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6E11" w14:textId="77777777" w:rsidR="00EF7290" w:rsidRPr="000114DE" w:rsidRDefault="00EF7290" w:rsidP="000114DE">
      <w:pPr>
        <w:tabs>
          <w:tab w:val="left" w:pos="-1134"/>
          <w:tab w:val="left" w:pos="-568"/>
          <w:tab w:val="left" w:pos="-2"/>
        </w:tabs>
        <w:spacing w:after="80"/>
        <w:ind w:right="-128"/>
        <w:rPr>
          <w:rFonts w:ascii="Arial Narrow" w:hAnsi="Arial Narrow"/>
          <w:b/>
          <w:sz w:val="2"/>
          <w:szCs w:val="16"/>
        </w:rPr>
      </w:pPr>
    </w:p>
    <w:p w14:paraId="37B64A42" w14:textId="3B1D03D1" w:rsidR="00AB62E6" w:rsidRPr="00C034A8" w:rsidRDefault="00872160" w:rsidP="009966B8">
      <w:pPr>
        <w:tabs>
          <w:tab w:val="left" w:pos="-1134"/>
          <w:tab w:val="left" w:pos="-568"/>
          <w:tab w:val="left" w:pos="0"/>
        </w:tabs>
        <w:spacing w:after="80"/>
        <w:ind w:right="340"/>
        <w:rPr>
          <w:rFonts w:ascii="Arial Narrow" w:hAnsi="Arial Narrow"/>
          <w:b/>
          <w:caps/>
          <w:color w:val="808080"/>
          <w:szCs w:val="24"/>
        </w:rPr>
      </w:pPr>
      <w:r>
        <w:rPr>
          <w:noProof/>
          <w:sz w:val="16"/>
        </w:rPr>
        <mc:AlternateContent>
          <mc:Choice Requires="wps">
            <w:drawing>
              <wp:anchor distT="0" distB="0" distL="114300" distR="114300" simplePos="0" relativeHeight="251655168" behindDoc="0" locked="0" layoutInCell="1" allowOverlap="1" wp14:anchorId="05309A5A" wp14:editId="20320CAD">
                <wp:simplePos x="0" y="0"/>
                <wp:positionH relativeFrom="column">
                  <wp:posOffset>5032375</wp:posOffset>
                </wp:positionH>
                <wp:positionV relativeFrom="paragraph">
                  <wp:posOffset>8890</wp:posOffset>
                </wp:positionV>
                <wp:extent cx="1330325" cy="333375"/>
                <wp:effectExtent l="0" t="0" r="0" b="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BE71" w14:textId="77777777" w:rsidR="002B0091" w:rsidRPr="001A5D79" w:rsidRDefault="002B0091">
                            <w:pPr>
                              <w:rPr>
                                <w:rFonts w:ascii="Arial Narrow" w:hAnsi="Arial Narrow"/>
                                <w:b/>
                                <w:bCs/>
                                <w:color w:val="7F7F7F" w:themeColor="text1" w:themeTint="80"/>
                              </w:rPr>
                            </w:pPr>
                            <w:r w:rsidRPr="001A5D79">
                              <w:rPr>
                                <w:rFonts w:ascii="Arial Narrow" w:hAnsi="Arial Narrow"/>
                                <w:b/>
                                <w:bCs/>
                                <w:color w:val="7F7F7F" w:themeColor="text1" w:themeTint="80"/>
                              </w:rPr>
                              <w:t>26 luglio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309A5A" id="_x0000_t202" coordsize="21600,21600" o:spt="202" path="m,l,21600r21600,l21600,xe">
                <v:stroke joinstyle="miter"/>
                <v:path gradientshapeok="t" o:connecttype="rect"/>
              </v:shapetype>
              <v:shape id="Casella di testo 2" o:spid="_x0000_s1026" type="#_x0000_t202" style="position:absolute;margin-left:396.25pt;margin-top:.7pt;width:104.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GC8QEAAMoDAAAOAAAAZHJzL2Uyb0RvYy54bWysU9uO0zAQfUfiHyy/0/TKQtR0tXRVhLRc&#10;pIUPcBwnsXA8Zuw2KV/P2Ml2C7wh/GB5POMzc86Mt7dDZ9hJoddgC76YzTlTVkKlbVPwb18Pr95w&#10;5oOwlTBgVcHPyvPb3csX297lagktmEohIxDr894VvA3B5VnmZas64WfglCVnDdiJQCY2WYWiJ/TO&#10;ZMv5/HXWA1YOQSrv6fZ+dPJdwq9rJcPnuvYqMFNwqi2kHdNexj3bbUXeoHCtllMZ4h+q6IS2lPQC&#10;dS+CYEfUf0F1WiJ4qMNMQpdBXWupEgdis5j/weaxFU4lLiSOdxeZ/P+DlZ9Oj+4LsjC8g4EamEh4&#10;9wDyu2cW9q2wjbpDhL5VoqLEiyhZ1jufT0+j1D73EaTsP0JFTRbHAAloqLGLqhBPRujUgPNFdDUE&#10;JmPK1Wq+Wm44k+Rb0brZpBQif3rt0If3CjoWDwVHampCF6cHH2I1In8Kick8GF0dtDHJwKbcG2Qn&#10;QQNwSGtC/y3M2BhsIT4bEeNNohmZjRzDUA7kjHRLqM5EGGEcKPoAdGgBf3LW0zAV3P84ClScmQ+W&#10;RHu7WK/j9CVjvblZkoHXnvLaI6wkqIIHzsbjPowTe3Som5YyjW2ycEdC1zpp8FzVVDcNTJJmGu44&#10;kdd2inr+grtfAAAA//8DAFBLAwQUAAYACAAAACEAY3xLAd0AAAAJAQAADwAAAGRycy9kb3ducmV2&#10;LnhtbEyP0U6DQBBF3038h82Y+GLsIpYilKVRE42vrf2AgZ0CKTtL2G2hf+/2yT5Ozs2dc4vNbHpx&#10;ptF1lhW8LCIQxLXVHTcK9r9fz28gnEfW2FsmBRdysCnv7wrMtZ14S+edb0QoYZejgtb7IZfS1S0Z&#10;dAs7EAd2sKNBH86xkXrEKZSbXsZRtJIGOw4fWhzos6X6uDsZBYef6SnJpurb79PtcvWBXVrZi1KP&#10;D/P7GoSn2f+H4aof1KEMTpU9sXaiV5BmcRKiASxBXHkUxWFcpSB5zUCWhbxdUP4BAAD//wMAUEsB&#10;Ai0AFAAGAAgAAAAhALaDOJL+AAAA4QEAABMAAAAAAAAAAAAAAAAAAAAAAFtDb250ZW50X1R5cGVz&#10;XS54bWxQSwECLQAUAAYACAAAACEAOP0h/9YAAACUAQAACwAAAAAAAAAAAAAAAAAvAQAAX3JlbHMv&#10;LnJlbHNQSwECLQAUAAYACAAAACEABi2RgvEBAADKAwAADgAAAAAAAAAAAAAAAAAuAgAAZHJzL2Uy&#10;b0RvYy54bWxQSwECLQAUAAYACAAAACEAY3xLAd0AAAAJAQAADwAAAAAAAAAAAAAAAABLBAAAZHJz&#10;L2Rvd25yZXYueG1sUEsFBgAAAAAEAAQA8wAAAFUFAAAAAA==&#10;" stroked="f">
                <v:textbox>
                  <w:txbxContent>
                    <w:p w14:paraId="7880BE71" w14:textId="77777777" w:rsidR="002B0091" w:rsidRPr="001A5D79" w:rsidRDefault="002B0091">
                      <w:pPr>
                        <w:rPr>
                          <w:rFonts w:ascii="Arial Narrow" w:hAnsi="Arial Narrow"/>
                          <w:b/>
                          <w:bCs/>
                          <w:color w:val="7F7F7F" w:themeColor="text1" w:themeTint="80"/>
                        </w:rPr>
                      </w:pPr>
                      <w:r w:rsidRPr="001A5D79">
                        <w:rPr>
                          <w:rFonts w:ascii="Arial Narrow" w:hAnsi="Arial Narrow"/>
                          <w:b/>
                          <w:bCs/>
                          <w:color w:val="7F7F7F" w:themeColor="text1" w:themeTint="80"/>
                        </w:rPr>
                        <w:t>26 luglio 2022</w:t>
                      </w:r>
                    </w:p>
                  </w:txbxContent>
                </v:textbox>
              </v:shape>
            </w:pict>
          </mc:Fallback>
        </mc:AlternateContent>
      </w:r>
    </w:p>
    <w:p w14:paraId="15A39F8D" w14:textId="77777777" w:rsidR="0013389C" w:rsidRPr="00F877FE" w:rsidRDefault="0013389C" w:rsidP="000502D9">
      <w:pPr>
        <w:tabs>
          <w:tab w:val="left" w:pos="-1134"/>
          <w:tab w:val="left" w:pos="-568"/>
          <w:tab w:val="left" w:pos="0"/>
        </w:tabs>
        <w:spacing w:after="80"/>
        <w:ind w:right="-35"/>
        <w:jc w:val="center"/>
        <w:rPr>
          <w:rFonts w:ascii="Arial Narrow" w:hAnsi="Arial Narrow"/>
          <w:b/>
          <w:caps/>
          <w:color w:val="808080"/>
          <w:sz w:val="20"/>
        </w:rPr>
      </w:pPr>
    </w:p>
    <w:p w14:paraId="674B95C6" w14:textId="1DDF2BE5" w:rsidR="00C20ADB" w:rsidRPr="004A6ABE" w:rsidRDefault="0069243E" w:rsidP="000502D9">
      <w:pPr>
        <w:tabs>
          <w:tab w:val="left" w:pos="-1134"/>
          <w:tab w:val="left" w:pos="-568"/>
          <w:tab w:val="left" w:pos="0"/>
        </w:tabs>
        <w:spacing w:after="80"/>
        <w:ind w:right="-35"/>
        <w:jc w:val="center"/>
        <w:rPr>
          <w:rFonts w:ascii="Times New Roman" w:hAnsi="Times New Roman"/>
          <w:bCs/>
          <w:sz w:val="4"/>
        </w:rPr>
      </w:pPr>
      <w:r w:rsidRPr="00A9541D">
        <w:rPr>
          <w:rFonts w:ascii="Arial Narrow" w:hAnsi="Arial Narrow"/>
          <w:b/>
          <w:caps/>
          <w:color w:val="808080"/>
          <w:sz w:val="48"/>
          <w:szCs w:val="48"/>
        </w:rPr>
        <w:t>Incidenti stradali</w:t>
      </w:r>
    </w:p>
    <w:p w14:paraId="59BDB7ED" w14:textId="247DB7BF" w:rsidR="009C3D95" w:rsidRDefault="00081F33" w:rsidP="006D568A">
      <w:pPr>
        <w:tabs>
          <w:tab w:val="left" w:pos="-1134"/>
          <w:tab w:val="left" w:pos="-568"/>
          <w:tab w:val="left" w:pos="0"/>
        </w:tabs>
        <w:spacing w:afterLines="60" w:after="144"/>
        <w:ind w:right="-34"/>
        <w:jc w:val="center"/>
        <w:rPr>
          <w:iCs/>
          <w:sz w:val="28"/>
        </w:rPr>
      </w:pPr>
      <w:r>
        <w:rPr>
          <w:iCs/>
          <w:sz w:val="28"/>
        </w:rPr>
        <w:t>Anno 20</w:t>
      </w:r>
      <w:r w:rsidR="00097829">
        <w:rPr>
          <w:iCs/>
          <w:sz w:val="28"/>
        </w:rPr>
        <w:t>2</w:t>
      </w:r>
      <w:r w:rsidR="00082FE9">
        <w:rPr>
          <w:iCs/>
          <w:sz w:val="28"/>
        </w:rPr>
        <w:t>1</w:t>
      </w:r>
      <w:r>
        <w:rPr>
          <w:iCs/>
          <w:sz w:val="28"/>
        </w:rPr>
        <w:t xml:space="preserve"> </w:t>
      </w:r>
    </w:p>
    <w:p w14:paraId="3AD3A783" w14:textId="7C715961" w:rsidR="00000CB5" w:rsidRPr="00E65385" w:rsidRDefault="00000CB5" w:rsidP="006D568A">
      <w:pPr>
        <w:numPr>
          <w:ilvl w:val="0"/>
          <w:numId w:val="1"/>
        </w:numPr>
        <w:tabs>
          <w:tab w:val="left" w:pos="0"/>
          <w:tab w:val="left" w:pos="851"/>
          <w:tab w:val="left" w:pos="5954"/>
          <w:tab w:val="left" w:pos="8789"/>
        </w:tabs>
        <w:autoSpaceDE w:val="0"/>
        <w:autoSpaceDN w:val="0"/>
        <w:adjustRightInd w:val="0"/>
        <w:spacing w:after="60"/>
        <w:ind w:right="-34"/>
        <w:jc w:val="both"/>
      </w:pPr>
      <w:r>
        <w:rPr>
          <w:bCs/>
          <w:sz w:val="20"/>
        </w:rPr>
        <w:t xml:space="preserve">La situazione pandemica e le misure per contenerla </w:t>
      </w:r>
      <w:r w:rsidR="00416BD1">
        <w:rPr>
          <w:bCs/>
          <w:sz w:val="20"/>
        </w:rPr>
        <w:t xml:space="preserve">hanno </w:t>
      </w:r>
      <w:r>
        <w:rPr>
          <w:bCs/>
          <w:sz w:val="20"/>
        </w:rPr>
        <w:t>influenza</w:t>
      </w:r>
      <w:r w:rsidR="00416BD1">
        <w:rPr>
          <w:bCs/>
          <w:sz w:val="20"/>
        </w:rPr>
        <w:t>t</w:t>
      </w:r>
      <w:r w:rsidR="000D78C5">
        <w:rPr>
          <w:bCs/>
          <w:sz w:val="20"/>
        </w:rPr>
        <w:t>o</w:t>
      </w:r>
      <w:r>
        <w:rPr>
          <w:bCs/>
          <w:sz w:val="20"/>
        </w:rPr>
        <w:t xml:space="preserve"> l’andamento dell’incidentalità stradale e della mobilità anche nel 2021</w:t>
      </w:r>
      <w:r w:rsidR="00785EEF">
        <w:rPr>
          <w:bCs/>
          <w:sz w:val="20"/>
        </w:rPr>
        <w:t>.</w:t>
      </w:r>
      <w:r w:rsidRPr="00462137">
        <w:rPr>
          <w:bCs/>
          <w:sz w:val="20"/>
        </w:rPr>
        <w:t xml:space="preserve"> Rispetto al 2020 </w:t>
      </w:r>
      <w:r w:rsidR="00463237">
        <w:rPr>
          <w:bCs/>
          <w:sz w:val="20"/>
        </w:rPr>
        <w:t xml:space="preserve">gli </w:t>
      </w:r>
      <w:r w:rsidRPr="00462137">
        <w:rPr>
          <w:bCs/>
          <w:sz w:val="20"/>
        </w:rPr>
        <w:t xml:space="preserve">incidenti e </w:t>
      </w:r>
      <w:r w:rsidR="00463237">
        <w:rPr>
          <w:bCs/>
          <w:sz w:val="20"/>
        </w:rPr>
        <w:t xml:space="preserve">gli </w:t>
      </w:r>
      <w:r w:rsidRPr="00462137">
        <w:rPr>
          <w:bCs/>
          <w:sz w:val="20"/>
        </w:rPr>
        <w:t xml:space="preserve">infortunati </w:t>
      </w:r>
      <w:r>
        <w:rPr>
          <w:bCs/>
          <w:sz w:val="20"/>
        </w:rPr>
        <w:t>diminuiscono ne</w:t>
      </w:r>
      <w:r w:rsidRPr="00462137">
        <w:rPr>
          <w:bCs/>
          <w:sz w:val="20"/>
        </w:rPr>
        <w:t>i mesi di gennaio e febbraio e aument</w:t>
      </w:r>
      <w:r>
        <w:rPr>
          <w:bCs/>
          <w:sz w:val="20"/>
        </w:rPr>
        <w:t>ano in misura consistente</w:t>
      </w:r>
      <w:r w:rsidRPr="00462137">
        <w:rPr>
          <w:bCs/>
          <w:sz w:val="20"/>
        </w:rPr>
        <w:t xml:space="preserve"> </w:t>
      </w:r>
      <w:r>
        <w:rPr>
          <w:bCs/>
          <w:sz w:val="20"/>
        </w:rPr>
        <w:t>nel periodo</w:t>
      </w:r>
      <w:r w:rsidR="00DC0DA0">
        <w:rPr>
          <w:bCs/>
          <w:sz w:val="20"/>
        </w:rPr>
        <w:t xml:space="preserve"> marzo-</w:t>
      </w:r>
      <w:r w:rsidR="00DC0DA0" w:rsidRPr="00E65385">
        <w:rPr>
          <w:bCs/>
          <w:sz w:val="20"/>
        </w:rPr>
        <w:t>giugno, per tornare a livelli molto vicini al periodo pre-pandemia nella seconda parte dell’anno.</w:t>
      </w:r>
    </w:p>
    <w:p w14:paraId="64CE23E1" w14:textId="4A107280" w:rsidR="00527F26" w:rsidRPr="006760C5" w:rsidRDefault="00292B8E" w:rsidP="006D568A">
      <w:pPr>
        <w:pStyle w:val="Testonormale"/>
        <w:numPr>
          <w:ilvl w:val="0"/>
          <w:numId w:val="1"/>
        </w:numPr>
        <w:tabs>
          <w:tab w:val="left" w:pos="0"/>
          <w:tab w:val="left" w:pos="851"/>
          <w:tab w:val="left" w:pos="5954"/>
        </w:tabs>
        <w:spacing w:after="60"/>
        <w:ind w:right="-34"/>
        <w:jc w:val="both"/>
        <w:rPr>
          <w:rFonts w:ascii="Arial" w:hAnsi="Arial"/>
        </w:rPr>
      </w:pPr>
      <w:r w:rsidRPr="00E65385">
        <w:rPr>
          <w:rFonts w:ascii="Arial" w:hAnsi="Arial"/>
          <w:bCs/>
        </w:rPr>
        <w:t>Nel 20</w:t>
      </w:r>
      <w:r w:rsidR="00097829" w:rsidRPr="00E65385">
        <w:rPr>
          <w:rFonts w:ascii="Arial" w:hAnsi="Arial"/>
          <w:bCs/>
        </w:rPr>
        <w:t>2</w:t>
      </w:r>
      <w:r w:rsidR="00DC0DA0" w:rsidRPr="00E65385">
        <w:rPr>
          <w:rFonts w:ascii="Arial" w:hAnsi="Arial"/>
          <w:bCs/>
        </w:rPr>
        <w:t>1</w:t>
      </w:r>
      <w:r w:rsidRPr="00E65385">
        <w:rPr>
          <w:rFonts w:ascii="Arial" w:hAnsi="Arial"/>
          <w:bCs/>
        </w:rPr>
        <w:t xml:space="preserve"> </w:t>
      </w:r>
      <w:r w:rsidR="00630969" w:rsidRPr="00E65385">
        <w:rPr>
          <w:rFonts w:ascii="Arial" w:hAnsi="Arial"/>
          <w:bCs/>
        </w:rPr>
        <w:t>sono</w:t>
      </w:r>
      <w:r w:rsidR="00CA5DDD" w:rsidRPr="00E65385">
        <w:rPr>
          <w:rFonts w:ascii="Arial" w:hAnsi="Arial"/>
          <w:bCs/>
        </w:rPr>
        <w:t xml:space="preserve"> </w:t>
      </w:r>
      <w:r w:rsidR="00A32E7B" w:rsidRPr="00E65385">
        <w:rPr>
          <w:rFonts w:ascii="Arial" w:hAnsi="Arial"/>
          <w:bCs/>
        </w:rPr>
        <w:t>2.875 i</w:t>
      </w:r>
      <w:r w:rsidR="00CA5DDD" w:rsidRPr="00E65385">
        <w:rPr>
          <w:rFonts w:ascii="Arial" w:hAnsi="Arial"/>
          <w:bCs/>
        </w:rPr>
        <w:t xml:space="preserve"> morti in incidenti stra</w:t>
      </w:r>
      <w:r w:rsidR="00A84841">
        <w:rPr>
          <w:rFonts w:ascii="Arial" w:hAnsi="Arial"/>
          <w:bCs/>
        </w:rPr>
        <w:t>dali in Italia</w:t>
      </w:r>
      <w:r w:rsidR="00785EEF">
        <w:rPr>
          <w:rFonts w:ascii="Arial" w:hAnsi="Arial"/>
          <w:bCs/>
        </w:rPr>
        <w:t xml:space="preserve"> </w:t>
      </w:r>
      <w:r w:rsidR="00785EEF" w:rsidRPr="00E65385">
        <w:rPr>
          <w:rFonts w:ascii="Arial" w:hAnsi="Arial"/>
          <w:bCs/>
        </w:rPr>
        <w:t>(+20,0%</w:t>
      </w:r>
      <w:r w:rsidR="00785EEF">
        <w:rPr>
          <w:rFonts w:ascii="Arial" w:hAnsi="Arial"/>
          <w:bCs/>
        </w:rPr>
        <w:t xml:space="preserve"> rispetto all’anno precedente</w:t>
      </w:r>
      <w:r w:rsidR="00785EEF" w:rsidRPr="00E65385">
        <w:rPr>
          <w:rFonts w:ascii="Arial" w:hAnsi="Arial"/>
          <w:bCs/>
        </w:rPr>
        <w:t>)</w:t>
      </w:r>
      <w:r w:rsidR="000D78C5">
        <w:rPr>
          <w:rFonts w:ascii="Arial" w:hAnsi="Arial"/>
          <w:bCs/>
        </w:rPr>
        <w:t>,</w:t>
      </w:r>
      <w:r w:rsidR="00A84841">
        <w:rPr>
          <w:rFonts w:ascii="Arial" w:hAnsi="Arial"/>
          <w:bCs/>
        </w:rPr>
        <w:t xml:space="preserve"> </w:t>
      </w:r>
      <w:r w:rsidR="007004B7" w:rsidRPr="00E65385">
        <w:rPr>
          <w:rFonts w:ascii="Arial" w:hAnsi="Arial"/>
          <w:bCs/>
        </w:rPr>
        <w:t>204.</w:t>
      </w:r>
      <w:r w:rsidR="00CC5E39" w:rsidRPr="00E65385">
        <w:rPr>
          <w:rFonts w:ascii="Arial" w:hAnsi="Arial"/>
          <w:bCs/>
        </w:rPr>
        <w:t>728</w:t>
      </w:r>
      <w:r w:rsidR="00DC0DA0" w:rsidRPr="00E65385">
        <w:rPr>
          <w:rFonts w:ascii="Arial" w:hAnsi="Arial"/>
          <w:bCs/>
        </w:rPr>
        <w:t xml:space="preserve"> i feriti</w:t>
      </w:r>
      <w:r w:rsidR="007004B7" w:rsidRPr="00E65385">
        <w:rPr>
          <w:rFonts w:ascii="Arial" w:hAnsi="Arial"/>
          <w:bCs/>
        </w:rPr>
        <w:t xml:space="preserve"> (+28,</w:t>
      </w:r>
      <w:r w:rsidR="00CC5E39" w:rsidRPr="00E65385">
        <w:rPr>
          <w:rFonts w:ascii="Arial" w:hAnsi="Arial"/>
          <w:bCs/>
        </w:rPr>
        <w:t>6</w:t>
      </w:r>
      <w:r w:rsidR="007004B7" w:rsidRPr="00E65385">
        <w:rPr>
          <w:rFonts w:ascii="Arial" w:hAnsi="Arial"/>
          <w:bCs/>
        </w:rPr>
        <w:t>%)</w:t>
      </w:r>
      <w:r w:rsidR="00DC0DA0" w:rsidRPr="00E65385">
        <w:rPr>
          <w:rFonts w:ascii="Arial" w:hAnsi="Arial"/>
          <w:bCs/>
        </w:rPr>
        <w:t xml:space="preserve"> </w:t>
      </w:r>
      <w:r w:rsidR="00E77D03" w:rsidRPr="00E65385">
        <w:rPr>
          <w:rFonts w:ascii="Arial" w:hAnsi="Arial"/>
          <w:bCs/>
        </w:rPr>
        <w:t xml:space="preserve">e </w:t>
      </w:r>
      <w:r w:rsidR="00BE1E21" w:rsidRPr="00E65385">
        <w:rPr>
          <w:rFonts w:ascii="Arial" w:hAnsi="Arial"/>
          <w:bCs/>
        </w:rPr>
        <w:t>151.8</w:t>
      </w:r>
      <w:r w:rsidR="00CC5E39" w:rsidRPr="00E65385">
        <w:rPr>
          <w:rFonts w:ascii="Arial" w:hAnsi="Arial"/>
          <w:bCs/>
        </w:rPr>
        <w:t>75</w:t>
      </w:r>
      <w:r w:rsidR="00E77D03" w:rsidRPr="00E65385">
        <w:rPr>
          <w:rFonts w:ascii="Arial" w:hAnsi="Arial"/>
          <w:bCs/>
        </w:rPr>
        <w:t xml:space="preserve"> gli incidenti stradali</w:t>
      </w:r>
      <w:r w:rsidR="00CC5E39" w:rsidRPr="00E65385">
        <w:rPr>
          <w:rFonts w:ascii="Arial" w:hAnsi="Arial"/>
          <w:bCs/>
        </w:rPr>
        <w:t xml:space="preserve"> (+28,4</w:t>
      </w:r>
      <w:r w:rsidR="007004B7" w:rsidRPr="00E65385">
        <w:rPr>
          <w:rFonts w:ascii="Arial" w:hAnsi="Arial"/>
          <w:bCs/>
        </w:rPr>
        <w:t>%)</w:t>
      </w:r>
      <w:r w:rsidR="00E77D03" w:rsidRPr="00E65385">
        <w:rPr>
          <w:rFonts w:ascii="Arial" w:hAnsi="Arial"/>
          <w:bCs/>
        </w:rPr>
        <w:t>, valori tu</w:t>
      </w:r>
      <w:r w:rsidR="007004B7" w:rsidRPr="00E65385">
        <w:rPr>
          <w:rFonts w:ascii="Arial" w:hAnsi="Arial"/>
          <w:bCs/>
        </w:rPr>
        <w:t xml:space="preserve">tti in </w:t>
      </w:r>
      <w:r w:rsidR="00617AA1">
        <w:rPr>
          <w:rFonts w:ascii="Arial" w:hAnsi="Arial"/>
          <w:bCs/>
        </w:rPr>
        <w:t>crescita</w:t>
      </w:r>
      <w:r w:rsidR="007004B7" w:rsidRPr="00E65385">
        <w:rPr>
          <w:rFonts w:ascii="Arial" w:hAnsi="Arial"/>
          <w:bCs/>
        </w:rPr>
        <w:t xml:space="preserve"> rispetto al 2020 </w:t>
      </w:r>
      <w:r w:rsidR="00E77D03" w:rsidRPr="00E65385">
        <w:rPr>
          <w:rFonts w:ascii="Arial" w:hAnsi="Arial"/>
          <w:bCs/>
        </w:rPr>
        <w:t xml:space="preserve">ma ancora </w:t>
      </w:r>
      <w:r w:rsidR="00E5702E" w:rsidRPr="00E65385">
        <w:rPr>
          <w:rFonts w:ascii="Arial" w:hAnsi="Arial"/>
          <w:bCs/>
        </w:rPr>
        <w:t xml:space="preserve">in diminuzione </w:t>
      </w:r>
      <w:r w:rsidR="000D78C5">
        <w:rPr>
          <w:rFonts w:ascii="Arial" w:hAnsi="Arial"/>
          <w:bCs/>
        </w:rPr>
        <w:t>nel confronto con il</w:t>
      </w:r>
      <w:r w:rsidR="00E5702E" w:rsidRPr="00E65385">
        <w:rPr>
          <w:rFonts w:ascii="Arial" w:hAnsi="Arial"/>
          <w:bCs/>
        </w:rPr>
        <w:t xml:space="preserve"> 2019 </w:t>
      </w:r>
      <w:r w:rsidR="00E77D03" w:rsidRPr="00E65385">
        <w:rPr>
          <w:rFonts w:ascii="Arial" w:hAnsi="Arial"/>
          <w:bCs/>
        </w:rPr>
        <w:t>(</w:t>
      </w:r>
      <w:r w:rsidR="00E5702E" w:rsidRPr="00E65385">
        <w:rPr>
          <w:rFonts w:ascii="Arial" w:hAnsi="Arial"/>
          <w:bCs/>
        </w:rPr>
        <w:t>-</w:t>
      </w:r>
      <w:r w:rsidR="00743101" w:rsidRPr="00E65385">
        <w:rPr>
          <w:rFonts w:ascii="Arial" w:hAnsi="Arial"/>
          <w:bCs/>
        </w:rPr>
        <w:t>9,4</w:t>
      </w:r>
      <w:r w:rsidR="00E5702E" w:rsidRPr="00E65385">
        <w:rPr>
          <w:rFonts w:ascii="Arial" w:hAnsi="Arial"/>
          <w:bCs/>
        </w:rPr>
        <w:t>%</w:t>
      </w:r>
      <w:r w:rsidR="000D78C5">
        <w:rPr>
          <w:rFonts w:ascii="Arial" w:hAnsi="Arial"/>
          <w:bCs/>
        </w:rPr>
        <w:t xml:space="preserve"> </w:t>
      </w:r>
      <w:r w:rsidR="000D78C5" w:rsidRPr="00E65385">
        <w:rPr>
          <w:rFonts w:ascii="Arial" w:hAnsi="Arial"/>
          <w:bCs/>
        </w:rPr>
        <w:t>vittime</w:t>
      </w:r>
      <w:r w:rsidR="00E77D03" w:rsidRPr="00E65385">
        <w:rPr>
          <w:rFonts w:ascii="Arial" w:hAnsi="Arial"/>
          <w:bCs/>
        </w:rPr>
        <w:t>, -</w:t>
      </w:r>
      <w:r w:rsidR="00743101" w:rsidRPr="00E65385">
        <w:rPr>
          <w:rFonts w:ascii="Arial" w:hAnsi="Arial"/>
          <w:bCs/>
        </w:rPr>
        <w:t>15,2</w:t>
      </w:r>
      <w:r w:rsidR="00E77D03" w:rsidRPr="00E65385">
        <w:rPr>
          <w:rFonts w:ascii="Arial" w:hAnsi="Arial"/>
          <w:bCs/>
        </w:rPr>
        <w:t>%</w:t>
      </w:r>
      <w:r w:rsidR="000D78C5">
        <w:rPr>
          <w:rFonts w:ascii="Arial" w:hAnsi="Arial"/>
          <w:bCs/>
        </w:rPr>
        <w:t xml:space="preserve"> </w:t>
      </w:r>
      <w:r w:rsidR="000D78C5" w:rsidRPr="00E65385">
        <w:rPr>
          <w:rFonts w:ascii="Arial" w:hAnsi="Arial"/>
          <w:bCs/>
        </w:rPr>
        <w:t>feriti</w:t>
      </w:r>
      <w:r w:rsidR="00E77D03" w:rsidRPr="00E65385">
        <w:rPr>
          <w:rFonts w:ascii="Arial" w:hAnsi="Arial"/>
          <w:bCs/>
        </w:rPr>
        <w:t xml:space="preserve"> e</w:t>
      </w:r>
      <w:r w:rsidR="007A379E" w:rsidRPr="00E65385">
        <w:rPr>
          <w:rFonts w:ascii="Arial" w:hAnsi="Arial"/>
          <w:bCs/>
        </w:rPr>
        <w:t xml:space="preserve"> </w:t>
      </w:r>
      <w:r w:rsidR="00743101" w:rsidRPr="00E65385">
        <w:rPr>
          <w:rFonts w:ascii="Arial" w:hAnsi="Arial"/>
          <w:bCs/>
        </w:rPr>
        <w:t>-11,8</w:t>
      </w:r>
      <w:r w:rsidR="00E77D03" w:rsidRPr="00E65385">
        <w:rPr>
          <w:rFonts w:ascii="Arial" w:hAnsi="Arial"/>
          <w:bCs/>
        </w:rPr>
        <w:t>%</w:t>
      </w:r>
      <w:r w:rsidR="000D78C5">
        <w:rPr>
          <w:rFonts w:ascii="Arial" w:hAnsi="Arial"/>
          <w:bCs/>
        </w:rPr>
        <w:t xml:space="preserve"> </w:t>
      </w:r>
      <w:r w:rsidR="000D78C5" w:rsidRPr="00E65385">
        <w:rPr>
          <w:rFonts w:ascii="Arial" w:hAnsi="Arial"/>
          <w:bCs/>
        </w:rPr>
        <w:t>incident</w:t>
      </w:r>
      <w:r w:rsidR="000D78C5">
        <w:rPr>
          <w:rFonts w:ascii="Arial" w:hAnsi="Arial"/>
          <w:bCs/>
        </w:rPr>
        <w:t>i</w:t>
      </w:r>
      <w:r w:rsidR="00E5702E" w:rsidRPr="00E65385">
        <w:rPr>
          <w:rFonts w:ascii="Arial" w:hAnsi="Arial"/>
          <w:bCs/>
        </w:rPr>
        <w:t>)</w:t>
      </w:r>
      <w:r w:rsidR="00CA5DDD" w:rsidRPr="00E65385">
        <w:rPr>
          <w:rFonts w:ascii="Arial" w:hAnsi="Arial"/>
          <w:bCs/>
        </w:rPr>
        <w:t>.</w:t>
      </w:r>
      <w:r w:rsidR="00A84841">
        <w:rPr>
          <w:rFonts w:ascii="Arial" w:hAnsi="Arial"/>
          <w:bCs/>
        </w:rPr>
        <w:t xml:space="preserve"> </w:t>
      </w:r>
      <w:r w:rsidR="00094670">
        <w:rPr>
          <w:rFonts w:ascii="Arial" w:hAnsi="Arial"/>
          <w:bCs/>
        </w:rPr>
        <w:t>Le vittime</w:t>
      </w:r>
      <w:r w:rsidR="00352B54">
        <w:rPr>
          <w:rFonts w:ascii="Arial" w:hAnsi="Arial"/>
          <w:bCs/>
        </w:rPr>
        <w:t xml:space="preserve"> entro le 24 ore sono 2.397 mentre </w:t>
      </w:r>
      <w:r w:rsidR="00094670">
        <w:rPr>
          <w:rFonts w:ascii="Arial" w:hAnsi="Arial"/>
          <w:bCs/>
        </w:rPr>
        <w:t>si contano</w:t>
      </w:r>
      <w:r w:rsidR="00352B54">
        <w:rPr>
          <w:rFonts w:ascii="Arial" w:hAnsi="Arial"/>
          <w:bCs/>
        </w:rPr>
        <w:t xml:space="preserve"> 478 </w:t>
      </w:r>
      <w:r w:rsidR="00094670">
        <w:rPr>
          <w:rFonts w:ascii="Arial" w:hAnsi="Arial"/>
          <w:bCs/>
        </w:rPr>
        <w:t xml:space="preserve">deceduti </w:t>
      </w:r>
      <w:r w:rsidR="00352B54">
        <w:rPr>
          <w:rFonts w:ascii="Arial" w:hAnsi="Arial"/>
          <w:bCs/>
        </w:rPr>
        <w:t>dal secondo al trentesimo giorno</w:t>
      </w:r>
      <w:r w:rsidR="00463237">
        <w:rPr>
          <w:rFonts w:ascii="Arial" w:hAnsi="Arial"/>
          <w:bCs/>
        </w:rPr>
        <w:t xml:space="preserve"> dall’evento</w:t>
      </w:r>
      <w:r w:rsidR="00352B54">
        <w:rPr>
          <w:rFonts w:ascii="Arial" w:hAnsi="Arial"/>
          <w:bCs/>
        </w:rPr>
        <w:t>.</w:t>
      </w:r>
      <w:r w:rsidR="00A84841">
        <w:rPr>
          <w:rFonts w:ascii="Arial" w:hAnsi="Arial"/>
          <w:bCs/>
        </w:rPr>
        <w:t xml:space="preserve"> </w:t>
      </w:r>
      <w:r w:rsidRPr="00E65385">
        <w:rPr>
          <w:rFonts w:ascii="Arial" w:hAnsi="Arial"/>
          <w:bCs/>
        </w:rPr>
        <w:t xml:space="preserve"> </w:t>
      </w:r>
    </w:p>
    <w:p w14:paraId="53436007" w14:textId="2F632C4F" w:rsidR="00D80F40" w:rsidRPr="00A32E7B" w:rsidRDefault="000D78C5" w:rsidP="006D568A">
      <w:pPr>
        <w:pStyle w:val="Testonormale"/>
        <w:numPr>
          <w:ilvl w:val="0"/>
          <w:numId w:val="1"/>
        </w:numPr>
        <w:tabs>
          <w:tab w:val="left" w:pos="0"/>
          <w:tab w:val="left" w:pos="851"/>
          <w:tab w:val="left" w:pos="5954"/>
        </w:tabs>
        <w:spacing w:after="60"/>
        <w:ind w:right="-34"/>
        <w:jc w:val="both"/>
        <w:rPr>
          <w:rFonts w:ascii="Arial" w:hAnsi="Arial"/>
        </w:rPr>
      </w:pPr>
      <w:r>
        <w:rPr>
          <w:rFonts w:ascii="Arial" w:hAnsi="Arial"/>
          <w:color w:val="000000" w:themeColor="text1"/>
        </w:rPr>
        <w:t>L</w:t>
      </w:r>
      <w:r w:rsidR="00527F26" w:rsidRPr="00743101">
        <w:rPr>
          <w:rFonts w:ascii="Arial" w:hAnsi="Arial"/>
          <w:color w:val="000000" w:themeColor="text1"/>
        </w:rPr>
        <w:t xml:space="preserve">e </w:t>
      </w:r>
      <w:r w:rsidR="00CD447D" w:rsidRPr="00743101">
        <w:rPr>
          <w:rFonts w:ascii="Arial" w:hAnsi="Arial"/>
          <w:color w:val="000000" w:themeColor="text1"/>
        </w:rPr>
        <w:t xml:space="preserve">vittime </w:t>
      </w:r>
      <w:r w:rsidR="00DF0594" w:rsidRPr="00743101">
        <w:rPr>
          <w:rFonts w:ascii="Arial" w:hAnsi="Arial"/>
          <w:color w:val="000000" w:themeColor="text1"/>
        </w:rPr>
        <w:t xml:space="preserve">aumentano </w:t>
      </w:r>
      <w:r>
        <w:rPr>
          <w:rFonts w:ascii="Arial" w:hAnsi="Arial"/>
          <w:color w:val="000000" w:themeColor="text1"/>
        </w:rPr>
        <w:t>tra</w:t>
      </w:r>
      <w:r w:rsidRPr="00743101">
        <w:rPr>
          <w:rFonts w:ascii="Arial" w:hAnsi="Arial"/>
          <w:color w:val="000000" w:themeColor="text1"/>
        </w:rPr>
        <w:t xml:space="preserve"> </w:t>
      </w:r>
      <w:r w:rsidR="00900C69" w:rsidRPr="00743101">
        <w:rPr>
          <w:rFonts w:ascii="Arial" w:hAnsi="Arial"/>
          <w:color w:val="000000" w:themeColor="text1"/>
        </w:rPr>
        <w:t xml:space="preserve">tutti gli </w:t>
      </w:r>
      <w:r w:rsidR="00527F26" w:rsidRPr="00743101">
        <w:rPr>
          <w:rFonts w:ascii="Arial" w:hAnsi="Arial"/>
          <w:color w:val="000000" w:themeColor="text1"/>
        </w:rPr>
        <w:t>utenti della strada</w:t>
      </w:r>
      <w:r>
        <w:rPr>
          <w:rFonts w:ascii="Arial" w:hAnsi="Arial"/>
          <w:color w:val="000000" w:themeColor="text1"/>
        </w:rPr>
        <w:t xml:space="preserve"> r</w:t>
      </w:r>
      <w:r w:rsidRPr="00743101">
        <w:rPr>
          <w:rFonts w:ascii="Arial" w:hAnsi="Arial"/>
          <w:color w:val="000000" w:themeColor="text1"/>
        </w:rPr>
        <w:t>ispetto al 2020</w:t>
      </w:r>
      <w:r w:rsidR="00DF0594" w:rsidRPr="00743101">
        <w:rPr>
          <w:rFonts w:ascii="Arial" w:hAnsi="Arial"/>
          <w:color w:val="000000" w:themeColor="text1"/>
        </w:rPr>
        <w:t xml:space="preserve">, </w:t>
      </w:r>
      <w:r w:rsidR="00D80F40" w:rsidRPr="002E3A37">
        <w:rPr>
          <w:rFonts w:ascii="Arial" w:hAnsi="Arial"/>
          <w:color w:val="000000" w:themeColor="text1"/>
        </w:rPr>
        <w:t>fatta eccezione per gli occupanti di autocarri</w:t>
      </w:r>
      <w:r w:rsidR="00D80F40">
        <w:rPr>
          <w:rFonts w:ascii="Arial" w:hAnsi="Arial"/>
          <w:color w:val="000000" w:themeColor="text1"/>
        </w:rPr>
        <w:t xml:space="preserve">, </w:t>
      </w:r>
      <w:r>
        <w:rPr>
          <w:rFonts w:ascii="Arial" w:hAnsi="Arial"/>
          <w:color w:val="000000" w:themeColor="text1"/>
        </w:rPr>
        <w:t>e</w:t>
      </w:r>
      <w:r w:rsidR="00DF0594" w:rsidRPr="002E3A37">
        <w:rPr>
          <w:rFonts w:ascii="Arial" w:hAnsi="Arial"/>
          <w:color w:val="000000" w:themeColor="text1"/>
        </w:rPr>
        <w:t xml:space="preserve"> </w:t>
      </w:r>
      <w:r w:rsidRPr="002E3A37">
        <w:rPr>
          <w:rFonts w:ascii="Arial" w:hAnsi="Arial"/>
          <w:color w:val="000000" w:themeColor="text1"/>
        </w:rPr>
        <w:t>diminu</w:t>
      </w:r>
      <w:r>
        <w:rPr>
          <w:rFonts w:ascii="Arial" w:hAnsi="Arial"/>
          <w:color w:val="000000" w:themeColor="text1"/>
        </w:rPr>
        <w:t>iscono</w:t>
      </w:r>
      <w:r w:rsidRPr="002E3A37">
        <w:rPr>
          <w:rFonts w:ascii="Arial" w:hAnsi="Arial"/>
          <w:color w:val="000000" w:themeColor="text1"/>
        </w:rPr>
        <w:t xml:space="preserve"> </w:t>
      </w:r>
      <w:r w:rsidR="00DF0594" w:rsidRPr="002E3A37">
        <w:rPr>
          <w:rFonts w:ascii="Arial" w:hAnsi="Arial"/>
          <w:color w:val="000000" w:themeColor="text1"/>
        </w:rPr>
        <w:t>rispetto al 2019</w:t>
      </w:r>
      <w:r w:rsidR="007C35BB" w:rsidRPr="002E3A37">
        <w:rPr>
          <w:rFonts w:ascii="Arial" w:hAnsi="Arial"/>
          <w:color w:val="000000" w:themeColor="text1"/>
        </w:rPr>
        <w:t xml:space="preserve">. </w:t>
      </w:r>
      <w:r w:rsidR="00416BD1">
        <w:rPr>
          <w:rFonts w:ascii="Arial" w:hAnsi="Arial"/>
          <w:color w:val="000000" w:themeColor="text1"/>
        </w:rPr>
        <w:t>Se ne contano</w:t>
      </w:r>
      <w:r w:rsidR="00B24181" w:rsidRPr="002E3A37">
        <w:rPr>
          <w:rFonts w:ascii="Arial" w:hAnsi="Arial"/>
          <w:color w:val="000000" w:themeColor="text1"/>
        </w:rPr>
        <w:t xml:space="preserve"> </w:t>
      </w:r>
      <w:r w:rsidR="00F072B6" w:rsidRPr="002E3A37">
        <w:rPr>
          <w:rFonts w:ascii="Arial" w:hAnsi="Arial"/>
          <w:color w:val="000000" w:themeColor="text1"/>
        </w:rPr>
        <w:t>169</w:t>
      </w:r>
      <w:r w:rsidR="00B24181" w:rsidRPr="002E3A37">
        <w:rPr>
          <w:rFonts w:ascii="Arial" w:hAnsi="Arial"/>
          <w:color w:val="000000" w:themeColor="text1"/>
        </w:rPr>
        <w:t xml:space="preserve"> </w:t>
      </w:r>
      <w:r>
        <w:rPr>
          <w:rFonts w:ascii="Arial" w:hAnsi="Arial"/>
          <w:color w:val="000000" w:themeColor="text1"/>
        </w:rPr>
        <w:t>tra</w:t>
      </w:r>
      <w:r w:rsidRPr="002E3A37">
        <w:rPr>
          <w:rFonts w:ascii="Arial" w:hAnsi="Arial"/>
          <w:color w:val="000000" w:themeColor="text1"/>
        </w:rPr>
        <w:t xml:space="preserve"> </w:t>
      </w:r>
      <w:r w:rsidR="00463237">
        <w:rPr>
          <w:rFonts w:ascii="Arial" w:hAnsi="Arial"/>
          <w:color w:val="000000" w:themeColor="text1"/>
        </w:rPr>
        <w:t>gli utenti</w:t>
      </w:r>
      <w:r w:rsidR="008E0FC6" w:rsidRPr="002E3A37">
        <w:rPr>
          <w:rFonts w:ascii="Arial" w:hAnsi="Arial"/>
          <w:color w:val="000000" w:themeColor="text1"/>
        </w:rPr>
        <w:t xml:space="preserve"> </w:t>
      </w:r>
      <w:r w:rsidR="00463237">
        <w:rPr>
          <w:rFonts w:ascii="Arial" w:hAnsi="Arial"/>
          <w:color w:val="000000" w:themeColor="text1"/>
        </w:rPr>
        <w:t>su</w:t>
      </w:r>
      <w:r w:rsidR="008E0FC6" w:rsidRPr="002E3A37">
        <w:rPr>
          <w:rFonts w:ascii="Arial" w:hAnsi="Arial"/>
          <w:color w:val="000000" w:themeColor="text1"/>
        </w:rPr>
        <w:t xml:space="preserve"> </w:t>
      </w:r>
      <w:r w:rsidR="00716D15" w:rsidRPr="002E3A37">
        <w:rPr>
          <w:rFonts w:ascii="Arial" w:hAnsi="Arial"/>
          <w:color w:val="000000" w:themeColor="text1"/>
        </w:rPr>
        <w:t>mezzi pesanti</w:t>
      </w:r>
      <w:r w:rsidR="00F072B6" w:rsidRPr="002E3A37">
        <w:rPr>
          <w:rFonts w:ascii="Arial" w:hAnsi="Arial"/>
          <w:color w:val="000000" w:themeColor="text1"/>
        </w:rPr>
        <w:t xml:space="preserve"> (+44,4% e +23,4% </w:t>
      </w:r>
      <w:r w:rsidR="00B24181" w:rsidRPr="002E3A37">
        <w:rPr>
          <w:rFonts w:ascii="Arial" w:hAnsi="Arial"/>
          <w:color w:val="000000" w:themeColor="text1"/>
        </w:rPr>
        <w:t>rispetto a 2020 e 2019</w:t>
      </w:r>
      <w:r w:rsidR="008E0FC6" w:rsidRPr="002E3A37">
        <w:rPr>
          <w:rFonts w:ascii="Arial" w:hAnsi="Arial"/>
          <w:color w:val="000000" w:themeColor="text1"/>
        </w:rPr>
        <w:t xml:space="preserve">), </w:t>
      </w:r>
      <w:r w:rsidR="00F072B6" w:rsidRPr="002E3A37">
        <w:rPr>
          <w:rFonts w:ascii="Arial" w:hAnsi="Arial"/>
          <w:color w:val="000000" w:themeColor="text1"/>
        </w:rPr>
        <w:t>695</w:t>
      </w:r>
      <w:r w:rsidR="00B24181" w:rsidRPr="002E3A37">
        <w:rPr>
          <w:rFonts w:ascii="Arial" w:hAnsi="Arial"/>
          <w:color w:val="000000" w:themeColor="text1"/>
        </w:rPr>
        <w:t xml:space="preserve"> </w:t>
      </w:r>
      <w:r>
        <w:rPr>
          <w:rFonts w:ascii="Arial" w:hAnsi="Arial"/>
          <w:color w:val="000000" w:themeColor="text1"/>
        </w:rPr>
        <w:t>tra</w:t>
      </w:r>
      <w:r w:rsidRPr="002E3A37">
        <w:rPr>
          <w:rFonts w:ascii="Arial" w:hAnsi="Arial"/>
          <w:color w:val="000000" w:themeColor="text1"/>
        </w:rPr>
        <w:t xml:space="preserve"> </w:t>
      </w:r>
      <w:r w:rsidR="00B24181" w:rsidRPr="002E3A37">
        <w:rPr>
          <w:rFonts w:ascii="Arial" w:hAnsi="Arial"/>
          <w:color w:val="000000" w:themeColor="text1"/>
        </w:rPr>
        <w:t xml:space="preserve">i </w:t>
      </w:r>
      <w:r w:rsidR="00527F26" w:rsidRPr="002E3A37">
        <w:rPr>
          <w:rFonts w:ascii="Arial" w:hAnsi="Arial"/>
          <w:color w:val="000000" w:themeColor="text1"/>
        </w:rPr>
        <w:t xml:space="preserve">motociclisti </w:t>
      </w:r>
      <w:r w:rsidR="00F072B6" w:rsidRPr="002E3A37">
        <w:rPr>
          <w:rFonts w:ascii="Arial" w:hAnsi="Arial"/>
          <w:color w:val="000000" w:themeColor="text1"/>
        </w:rPr>
        <w:t>(+18,6</w:t>
      </w:r>
      <w:r w:rsidR="00527F26" w:rsidRPr="002E3A37">
        <w:rPr>
          <w:rFonts w:ascii="Arial" w:hAnsi="Arial"/>
          <w:color w:val="000000" w:themeColor="text1"/>
        </w:rPr>
        <w:t>%</w:t>
      </w:r>
      <w:r w:rsidR="007A379E">
        <w:rPr>
          <w:rFonts w:ascii="Arial" w:hAnsi="Arial"/>
          <w:color w:val="000000" w:themeColor="text1"/>
        </w:rPr>
        <w:t xml:space="preserve">; </w:t>
      </w:r>
      <w:r w:rsidR="00B24181" w:rsidRPr="002E3A37">
        <w:rPr>
          <w:rFonts w:ascii="Arial" w:hAnsi="Arial"/>
          <w:color w:val="000000" w:themeColor="text1"/>
        </w:rPr>
        <w:t>-</w:t>
      </w:r>
      <w:r w:rsidR="00F072B6" w:rsidRPr="002E3A37">
        <w:rPr>
          <w:rFonts w:ascii="Arial" w:hAnsi="Arial"/>
          <w:color w:val="000000" w:themeColor="text1"/>
        </w:rPr>
        <w:t>0,4</w:t>
      </w:r>
      <w:r w:rsidR="007A379E">
        <w:rPr>
          <w:rFonts w:ascii="Arial" w:hAnsi="Arial"/>
          <w:color w:val="000000" w:themeColor="text1"/>
        </w:rPr>
        <w:t>%</w:t>
      </w:r>
      <w:r w:rsidR="00B24181" w:rsidRPr="002E3A37">
        <w:rPr>
          <w:rFonts w:ascii="Arial" w:hAnsi="Arial"/>
          <w:color w:val="000000" w:themeColor="text1"/>
        </w:rPr>
        <w:t>)</w:t>
      </w:r>
      <w:r w:rsidR="00590E0A" w:rsidRPr="002E3A37">
        <w:rPr>
          <w:rFonts w:ascii="Arial" w:hAnsi="Arial"/>
          <w:color w:val="000000" w:themeColor="text1"/>
        </w:rPr>
        <w:t xml:space="preserve">, </w:t>
      </w:r>
      <w:r w:rsidR="00F072B6" w:rsidRPr="002E3A37">
        <w:rPr>
          <w:rFonts w:ascii="Arial" w:hAnsi="Arial"/>
          <w:color w:val="000000" w:themeColor="text1"/>
        </w:rPr>
        <w:t xml:space="preserve">471 </w:t>
      </w:r>
      <w:r>
        <w:rPr>
          <w:rFonts w:ascii="Arial" w:hAnsi="Arial"/>
          <w:color w:val="000000" w:themeColor="text1"/>
        </w:rPr>
        <w:t xml:space="preserve">tra </w:t>
      </w:r>
      <w:r w:rsidR="00590E0A" w:rsidRPr="002E3A37">
        <w:rPr>
          <w:rFonts w:ascii="Arial" w:hAnsi="Arial"/>
          <w:color w:val="000000" w:themeColor="text1"/>
        </w:rPr>
        <w:t>i</w:t>
      </w:r>
      <w:r w:rsidR="009C4CE5" w:rsidRPr="002E3A37">
        <w:rPr>
          <w:rFonts w:ascii="Arial" w:hAnsi="Arial"/>
          <w:color w:val="000000" w:themeColor="text1"/>
        </w:rPr>
        <w:t xml:space="preserve"> pedoni (</w:t>
      </w:r>
      <w:r w:rsidR="00F072B6" w:rsidRPr="002E3A37">
        <w:rPr>
          <w:rFonts w:ascii="Arial" w:hAnsi="Arial"/>
          <w:color w:val="000000" w:themeColor="text1"/>
        </w:rPr>
        <w:t>+15,2</w:t>
      </w:r>
      <w:r w:rsidR="009C4CE5" w:rsidRPr="002E3A37">
        <w:rPr>
          <w:rFonts w:ascii="Arial" w:hAnsi="Arial"/>
          <w:color w:val="000000" w:themeColor="text1"/>
        </w:rPr>
        <w:t>%</w:t>
      </w:r>
      <w:r w:rsidR="00C04599">
        <w:rPr>
          <w:rFonts w:ascii="Arial" w:hAnsi="Arial"/>
          <w:color w:val="000000" w:themeColor="text1"/>
        </w:rPr>
        <w:t xml:space="preserve">; </w:t>
      </w:r>
      <w:r w:rsidR="00F072B6" w:rsidRPr="002E3A37">
        <w:rPr>
          <w:rFonts w:ascii="Arial" w:hAnsi="Arial"/>
          <w:color w:val="000000" w:themeColor="text1"/>
        </w:rPr>
        <w:t>-11,8%</w:t>
      </w:r>
      <w:r w:rsidR="009C4CE5" w:rsidRPr="002E3A37">
        <w:rPr>
          <w:rFonts w:ascii="Arial" w:hAnsi="Arial"/>
          <w:color w:val="000000" w:themeColor="text1"/>
        </w:rPr>
        <w:t>)</w:t>
      </w:r>
      <w:r w:rsidR="00590E0A" w:rsidRPr="002E3A37">
        <w:rPr>
          <w:rFonts w:ascii="Arial" w:hAnsi="Arial"/>
          <w:color w:val="000000" w:themeColor="text1"/>
        </w:rPr>
        <w:t xml:space="preserve">, </w:t>
      </w:r>
      <w:r w:rsidR="00F072B6" w:rsidRPr="002E3A37">
        <w:rPr>
          <w:rFonts w:ascii="Arial" w:hAnsi="Arial"/>
          <w:color w:val="000000" w:themeColor="text1"/>
        </w:rPr>
        <w:t>1.192</w:t>
      </w:r>
      <w:r w:rsidR="00590E0A" w:rsidRPr="002E3A37">
        <w:rPr>
          <w:rFonts w:ascii="Arial" w:hAnsi="Arial"/>
          <w:color w:val="000000" w:themeColor="text1"/>
        </w:rPr>
        <w:t xml:space="preserve"> </w:t>
      </w:r>
      <w:r>
        <w:rPr>
          <w:rFonts w:ascii="Arial" w:hAnsi="Arial"/>
          <w:color w:val="000000" w:themeColor="text1"/>
        </w:rPr>
        <w:t>tra</w:t>
      </w:r>
      <w:r w:rsidRPr="002E3A37">
        <w:rPr>
          <w:rFonts w:ascii="Arial" w:hAnsi="Arial"/>
          <w:color w:val="000000" w:themeColor="text1"/>
        </w:rPr>
        <w:t xml:space="preserve"> </w:t>
      </w:r>
      <w:r w:rsidR="00590E0A" w:rsidRPr="002E3A37">
        <w:rPr>
          <w:rFonts w:ascii="Arial" w:hAnsi="Arial"/>
          <w:color w:val="000000" w:themeColor="text1"/>
        </w:rPr>
        <w:t xml:space="preserve">gli occupanti di </w:t>
      </w:r>
      <w:r w:rsidR="009C4CE5" w:rsidRPr="002E3A37">
        <w:rPr>
          <w:rFonts w:ascii="Arial" w:hAnsi="Arial"/>
          <w:color w:val="000000" w:themeColor="text1"/>
        </w:rPr>
        <w:t>autovetture</w:t>
      </w:r>
      <w:r w:rsidR="00590E0A" w:rsidRPr="002E3A37">
        <w:rPr>
          <w:rFonts w:ascii="Arial" w:hAnsi="Arial"/>
          <w:color w:val="000000" w:themeColor="text1"/>
        </w:rPr>
        <w:t xml:space="preserve"> (</w:t>
      </w:r>
      <w:r w:rsidR="00F072B6" w:rsidRPr="002E3A37">
        <w:rPr>
          <w:rFonts w:ascii="Arial" w:hAnsi="Arial"/>
          <w:color w:val="000000" w:themeColor="text1"/>
        </w:rPr>
        <w:t>+17,1</w:t>
      </w:r>
      <w:r w:rsidR="00590E0A" w:rsidRPr="002E3A37">
        <w:rPr>
          <w:rFonts w:ascii="Arial" w:hAnsi="Arial"/>
          <w:color w:val="000000" w:themeColor="text1"/>
        </w:rPr>
        <w:t>%; -</w:t>
      </w:r>
      <w:r w:rsidR="00F072B6" w:rsidRPr="002E3A37">
        <w:rPr>
          <w:rFonts w:ascii="Arial" w:hAnsi="Arial"/>
          <w:color w:val="000000" w:themeColor="text1"/>
        </w:rPr>
        <w:t>15,5</w:t>
      </w:r>
      <w:r w:rsidR="00590E0A" w:rsidRPr="002E3A37">
        <w:rPr>
          <w:rFonts w:ascii="Arial" w:hAnsi="Arial"/>
          <w:color w:val="000000" w:themeColor="text1"/>
        </w:rPr>
        <w:t>)</w:t>
      </w:r>
      <w:r w:rsidR="009C4CE5" w:rsidRPr="002E3A37">
        <w:rPr>
          <w:rFonts w:ascii="Arial" w:hAnsi="Arial"/>
          <w:color w:val="000000" w:themeColor="text1"/>
        </w:rPr>
        <w:t xml:space="preserve">, </w:t>
      </w:r>
      <w:r w:rsidR="00F072B6" w:rsidRPr="002E3A37">
        <w:rPr>
          <w:rFonts w:ascii="Arial" w:hAnsi="Arial"/>
          <w:color w:val="000000" w:themeColor="text1"/>
        </w:rPr>
        <w:t>67</w:t>
      </w:r>
      <w:r w:rsidR="00590E0A" w:rsidRPr="002E3A37">
        <w:rPr>
          <w:rFonts w:ascii="Arial" w:hAnsi="Arial"/>
          <w:color w:val="000000" w:themeColor="text1"/>
        </w:rPr>
        <w:t xml:space="preserve"> </w:t>
      </w:r>
      <w:r>
        <w:rPr>
          <w:rFonts w:ascii="Arial" w:hAnsi="Arial"/>
          <w:color w:val="000000" w:themeColor="text1"/>
        </w:rPr>
        <w:t>tra</w:t>
      </w:r>
      <w:r w:rsidRPr="002E3A37">
        <w:rPr>
          <w:rFonts w:ascii="Arial" w:hAnsi="Arial"/>
          <w:color w:val="000000" w:themeColor="text1"/>
        </w:rPr>
        <w:t xml:space="preserve"> </w:t>
      </w:r>
      <w:r w:rsidR="00590E0A" w:rsidRPr="002E3A37">
        <w:rPr>
          <w:rFonts w:ascii="Arial" w:hAnsi="Arial"/>
          <w:color w:val="000000" w:themeColor="text1"/>
        </w:rPr>
        <w:t xml:space="preserve">i </w:t>
      </w:r>
      <w:r w:rsidR="008E0FC6" w:rsidRPr="002E3A37">
        <w:rPr>
          <w:rFonts w:ascii="Arial" w:hAnsi="Arial"/>
          <w:color w:val="000000" w:themeColor="text1"/>
        </w:rPr>
        <w:t>ciclomotori</w:t>
      </w:r>
      <w:r w:rsidR="00590E0A" w:rsidRPr="002E3A37">
        <w:rPr>
          <w:rFonts w:ascii="Arial" w:hAnsi="Arial"/>
          <w:color w:val="000000" w:themeColor="text1"/>
        </w:rPr>
        <w:t>sti (</w:t>
      </w:r>
      <w:r w:rsidR="00F072B6" w:rsidRPr="002E3A37">
        <w:rPr>
          <w:rFonts w:ascii="Arial" w:hAnsi="Arial"/>
          <w:color w:val="000000" w:themeColor="text1"/>
        </w:rPr>
        <w:t>+13,6%</w:t>
      </w:r>
      <w:r w:rsidR="00590E0A" w:rsidRPr="002E3A37">
        <w:rPr>
          <w:rFonts w:ascii="Arial" w:hAnsi="Arial"/>
          <w:color w:val="000000" w:themeColor="text1"/>
        </w:rPr>
        <w:t>; -</w:t>
      </w:r>
      <w:r w:rsidR="00F072B6" w:rsidRPr="002E3A37">
        <w:rPr>
          <w:rFonts w:ascii="Arial" w:hAnsi="Arial"/>
          <w:color w:val="000000" w:themeColor="text1"/>
        </w:rPr>
        <w:t>23,9</w:t>
      </w:r>
      <w:r w:rsidR="00590E0A" w:rsidRPr="002E3A37">
        <w:rPr>
          <w:rFonts w:ascii="Arial" w:hAnsi="Arial"/>
          <w:color w:val="000000" w:themeColor="text1"/>
        </w:rPr>
        <w:t>%)</w:t>
      </w:r>
      <w:r w:rsidR="00463237">
        <w:rPr>
          <w:rFonts w:ascii="Arial" w:hAnsi="Arial"/>
          <w:color w:val="000000" w:themeColor="text1"/>
        </w:rPr>
        <w:t>. P</w:t>
      </w:r>
      <w:r w:rsidR="007A379E">
        <w:rPr>
          <w:rFonts w:ascii="Arial" w:hAnsi="Arial"/>
          <w:color w:val="000000" w:themeColor="text1"/>
        </w:rPr>
        <w:t xml:space="preserve">er </w:t>
      </w:r>
      <w:r w:rsidR="002E3A37" w:rsidRPr="002E3A37">
        <w:rPr>
          <w:rFonts w:ascii="Arial" w:hAnsi="Arial"/>
          <w:color w:val="000000" w:themeColor="text1"/>
        </w:rPr>
        <w:t>biciclette e monopattini</w:t>
      </w:r>
      <w:r w:rsidR="007A379E">
        <w:rPr>
          <w:rFonts w:ascii="Arial" w:hAnsi="Arial"/>
          <w:color w:val="000000" w:themeColor="text1"/>
        </w:rPr>
        <w:t xml:space="preserve"> elettrici</w:t>
      </w:r>
      <w:r w:rsidR="00590E0A" w:rsidRPr="002E3A37">
        <w:rPr>
          <w:rFonts w:ascii="Arial" w:hAnsi="Arial"/>
          <w:color w:val="000000" w:themeColor="text1"/>
        </w:rPr>
        <w:t xml:space="preserve"> </w:t>
      </w:r>
      <w:r w:rsidR="007A379E">
        <w:rPr>
          <w:rFonts w:ascii="Arial" w:hAnsi="Arial"/>
          <w:color w:val="000000" w:themeColor="text1"/>
        </w:rPr>
        <w:t xml:space="preserve">si </w:t>
      </w:r>
      <w:r w:rsidR="00590E0A" w:rsidRPr="002E3A37">
        <w:rPr>
          <w:rFonts w:ascii="Arial" w:hAnsi="Arial"/>
          <w:color w:val="000000" w:themeColor="text1"/>
        </w:rPr>
        <w:t xml:space="preserve">registrano </w:t>
      </w:r>
      <w:r w:rsidR="002E3A37" w:rsidRPr="002E3A37">
        <w:rPr>
          <w:rFonts w:ascii="Arial" w:hAnsi="Arial"/>
          <w:color w:val="000000" w:themeColor="text1"/>
        </w:rPr>
        <w:t>229</w:t>
      </w:r>
      <w:r w:rsidR="002874BC" w:rsidRPr="002E3A37">
        <w:rPr>
          <w:rFonts w:ascii="Arial" w:hAnsi="Arial"/>
          <w:color w:val="000000" w:themeColor="text1"/>
        </w:rPr>
        <w:t xml:space="preserve"> vittime</w:t>
      </w:r>
      <w:r>
        <w:rPr>
          <w:rFonts w:ascii="Arial" w:hAnsi="Arial"/>
          <w:color w:val="000000" w:themeColor="text1"/>
        </w:rPr>
        <w:t xml:space="preserve"> (</w:t>
      </w:r>
      <w:r w:rsidR="002E3A37" w:rsidRPr="002E3A37">
        <w:rPr>
          <w:rFonts w:ascii="Arial" w:hAnsi="Arial"/>
          <w:color w:val="000000" w:themeColor="text1"/>
        </w:rPr>
        <w:t>+30,1%</w:t>
      </w:r>
      <w:r w:rsidR="00590E0A" w:rsidRPr="002E3A37">
        <w:rPr>
          <w:rFonts w:ascii="Arial" w:hAnsi="Arial"/>
          <w:color w:val="000000" w:themeColor="text1"/>
        </w:rPr>
        <w:t xml:space="preserve"> rispetto al 2020 e –</w:t>
      </w:r>
      <w:r w:rsidR="002E3A37" w:rsidRPr="002E3A37">
        <w:rPr>
          <w:rFonts w:ascii="Arial" w:hAnsi="Arial"/>
          <w:color w:val="000000" w:themeColor="text1"/>
        </w:rPr>
        <w:t>9,5</w:t>
      </w:r>
      <w:r w:rsidR="00590E0A" w:rsidRPr="002E3A37">
        <w:rPr>
          <w:rFonts w:ascii="Arial" w:hAnsi="Arial"/>
          <w:color w:val="000000" w:themeColor="text1"/>
        </w:rPr>
        <w:t>% rispetto al 201</w:t>
      </w:r>
      <w:r w:rsidR="00590E0A">
        <w:rPr>
          <w:rFonts w:ascii="Arial" w:hAnsi="Arial"/>
          <w:color w:val="000000" w:themeColor="text1"/>
        </w:rPr>
        <w:t>9</w:t>
      </w:r>
      <w:r>
        <w:rPr>
          <w:rFonts w:ascii="Arial" w:hAnsi="Arial"/>
          <w:color w:val="000000" w:themeColor="text1"/>
        </w:rPr>
        <w:t>)</w:t>
      </w:r>
      <w:r w:rsidR="002874BC">
        <w:rPr>
          <w:rFonts w:ascii="Arial" w:hAnsi="Arial"/>
          <w:color w:val="000000" w:themeColor="text1"/>
        </w:rPr>
        <w:t>.</w:t>
      </w:r>
      <w:r w:rsidR="00597A68" w:rsidRPr="001F02EF">
        <w:rPr>
          <w:rFonts w:ascii="Arial" w:hAnsi="Arial"/>
          <w:color w:val="000000" w:themeColor="text1"/>
        </w:rPr>
        <w:t xml:space="preserve"> </w:t>
      </w:r>
    </w:p>
    <w:p w14:paraId="5AC7DEF5" w14:textId="62CFC378" w:rsidR="00CD447D" w:rsidRPr="00DC0DA0" w:rsidRDefault="000D78C5" w:rsidP="006D568A">
      <w:pPr>
        <w:pStyle w:val="Testonormale"/>
        <w:numPr>
          <w:ilvl w:val="0"/>
          <w:numId w:val="1"/>
        </w:numPr>
        <w:tabs>
          <w:tab w:val="left" w:pos="0"/>
          <w:tab w:val="left" w:pos="851"/>
          <w:tab w:val="left" w:pos="5954"/>
        </w:tabs>
        <w:spacing w:after="60"/>
        <w:ind w:right="-34"/>
        <w:jc w:val="both"/>
        <w:rPr>
          <w:rFonts w:ascii="Arial" w:hAnsi="Arial"/>
        </w:rPr>
      </w:pPr>
      <w:r>
        <w:rPr>
          <w:rFonts w:ascii="Arial" w:hAnsi="Arial"/>
          <w:color w:val="000000" w:themeColor="text1"/>
        </w:rPr>
        <w:t>C</w:t>
      </w:r>
      <w:r w:rsidR="007A379E">
        <w:rPr>
          <w:rFonts w:ascii="Arial" w:hAnsi="Arial"/>
          <w:color w:val="000000" w:themeColor="text1"/>
        </w:rPr>
        <w:t>on riferimento ai soli monopattini elettrici</w:t>
      </w:r>
      <w:r w:rsidR="00FF62F7">
        <w:rPr>
          <w:rFonts w:ascii="Arial" w:hAnsi="Arial"/>
          <w:color w:val="000000" w:themeColor="text1"/>
        </w:rPr>
        <w:t xml:space="preserve"> </w:t>
      </w:r>
      <w:r>
        <w:rPr>
          <w:rFonts w:ascii="Arial" w:hAnsi="Arial"/>
          <w:color w:val="000000" w:themeColor="text1"/>
        </w:rPr>
        <w:t>(</w:t>
      </w:r>
      <w:r w:rsidR="00BE1E21">
        <w:rPr>
          <w:rFonts w:ascii="Arial" w:hAnsi="Arial"/>
          <w:color w:val="000000" w:themeColor="text1"/>
        </w:rPr>
        <w:t>conteggiati dal 2020</w:t>
      </w:r>
      <w:r>
        <w:rPr>
          <w:rFonts w:ascii="Arial" w:hAnsi="Arial"/>
          <w:color w:val="000000" w:themeColor="text1"/>
        </w:rPr>
        <w:t>)</w:t>
      </w:r>
      <w:r w:rsidR="00FF62F7">
        <w:rPr>
          <w:rFonts w:ascii="Arial" w:hAnsi="Arial"/>
          <w:color w:val="000000" w:themeColor="text1"/>
        </w:rPr>
        <w:t>,</w:t>
      </w:r>
      <w:r w:rsidR="007A379E">
        <w:rPr>
          <w:rFonts w:ascii="Arial" w:hAnsi="Arial"/>
          <w:color w:val="000000" w:themeColor="text1"/>
        </w:rPr>
        <w:t xml:space="preserve"> </w:t>
      </w:r>
      <w:r>
        <w:rPr>
          <w:rFonts w:ascii="Arial" w:hAnsi="Arial"/>
          <w:color w:val="000000" w:themeColor="text1"/>
        </w:rPr>
        <w:t xml:space="preserve">gli incidenti stradali </w:t>
      </w:r>
      <w:r w:rsidR="007A379E">
        <w:rPr>
          <w:rFonts w:ascii="Arial" w:hAnsi="Arial"/>
        </w:rPr>
        <w:t>che li vedono coinvolti</w:t>
      </w:r>
      <w:r w:rsidR="00620A14">
        <w:rPr>
          <w:rFonts w:ascii="Arial" w:hAnsi="Arial"/>
        </w:rPr>
        <w:t>, registrati in tutte le province italiane, passano</w:t>
      </w:r>
      <w:r w:rsidR="00DC0DA0">
        <w:rPr>
          <w:rFonts w:ascii="Arial" w:hAnsi="Arial"/>
        </w:rPr>
        <w:t xml:space="preserve"> da </w:t>
      </w:r>
      <w:r w:rsidR="00DC0DA0" w:rsidRPr="00162BBE">
        <w:rPr>
          <w:rFonts w:ascii="Arial" w:hAnsi="Arial"/>
        </w:rPr>
        <w:t xml:space="preserve">564 </w:t>
      </w:r>
      <w:r>
        <w:rPr>
          <w:rFonts w:ascii="Arial" w:hAnsi="Arial"/>
        </w:rPr>
        <w:t xml:space="preserve">del 2020 </w:t>
      </w:r>
      <w:r w:rsidR="00DC0DA0" w:rsidRPr="00162BBE">
        <w:rPr>
          <w:rFonts w:ascii="Arial" w:hAnsi="Arial"/>
        </w:rPr>
        <w:t xml:space="preserve">a </w:t>
      </w:r>
      <w:r w:rsidR="002E3A37" w:rsidRPr="00162BBE">
        <w:rPr>
          <w:rFonts w:ascii="Arial" w:hAnsi="Arial"/>
        </w:rPr>
        <w:t>2.10</w:t>
      </w:r>
      <w:r w:rsidR="00426773">
        <w:rPr>
          <w:rFonts w:ascii="Arial" w:hAnsi="Arial"/>
        </w:rPr>
        <w:t>1</w:t>
      </w:r>
      <w:r w:rsidR="007A379E" w:rsidRPr="00162BBE">
        <w:rPr>
          <w:rFonts w:ascii="Arial" w:hAnsi="Arial"/>
        </w:rPr>
        <w:t>,</w:t>
      </w:r>
      <w:r w:rsidR="00DC0DA0" w:rsidRPr="00162BBE">
        <w:rPr>
          <w:rFonts w:ascii="Arial" w:hAnsi="Arial"/>
        </w:rPr>
        <w:t xml:space="preserve"> </w:t>
      </w:r>
      <w:r w:rsidR="00DC0DA0">
        <w:rPr>
          <w:rFonts w:ascii="Arial" w:hAnsi="Arial"/>
        </w:rPr>
        <w:t xml:space="preserve">i feriti </w:t>
      </w:r>
      <w:r w:rsidR="00DC0DA0" w:rsidRPr="00162BBE">
        <w:rPr>
          <w:rFonts w:ascii="Arial" w:hAnsi="Arial"/>
        </w:rPr>
        <w:t xml:space="preserve">da </w:t>
      </w:r>
      <w:r w:rsidR="004063FC" w:rsidRPr="00162BBE">
        <w:rPr>
          <w:rFonts w:ascii="Arial" w:hAnsi="Arial"/>
        </w:rPr>
        <w:t>5</w:t>
      </w:r>
      <w:r w:rsidR="002E3A37" w:rsidRPr="00162BBE">
        <w:rPr>
          <w:rFonts w:ascii="Arial" w:hAnsi="Arial"/>
        </w:rPr>
        <w:t>18</w:t>
      </w:r>
      <w:r w:rsidR="004063FC" w:rsidRPr="00162BBE">
        <w:rPr>
          <w:rFonts w:ascii="Arial" w:hAnsi="Arial"/>
        </w:rPr>
        <w:t xml:space="preserve"> a </w:t>
      </w:r>
      <w:r w:rsidR="002E3A37" w:rsidRPr="00426773">
        <w:rPr>
          <w:rFonts w:ascii="Arial" w:hAnsi="Arial"/>
        </w:rPr>
        <w:t>1.98</w:t>
      </w:r>
      <w:r w:rsidR="00162BBE" w:rsidRPr="00426773">
        <w:rPr>
          <w:rFonts w:ascii="Arial" w:hAnsi="Arial"/>
        </w:rPr>
        <w:t>0</w:t>
      </w:r>
      <w:r w:rsidR="004063FC" w:rsidRPr="002E3A37">
        <w:rPr>
          <w:rFonts w:ascii="Arial" w:hAnsi="Arial"/>
        </w:rPr>
        <w:t>,</w:t>
      </w:r>
      <w:r w:rsidR="004063FC">
        <w:rPr>
          <w:rFonts w:ascii="Arial" w:hAnsi="Arial"/>
        </w:rPr>
        <w:t xml:space="preserve"> mentre i morti (entro </w:t>
      </w:r>
      <w:r w:rsidR="00BE1E21">
        <w:rPr>
          <w:rFonts w:ascii="Arial" w:hAnsi="Arial"/>
        </w:rPr>
        <w:t>30 giorni</w:t>
      </w:r>
      <w:r w:rsidR="004063FC">
        <w:rPr>
          <w:rFonts w:ascii="Arial" w:hAnsi="Arial"/>
        </w:rPr>
        <w:t xml:space="preserve">) sono </w:t>
      </w:r>
      <w:r w:rsidR="002E3A37">
        <w:rPr>
          <w:rFonts w:ascii="Arial" w:hAnsi="Arial"/>
        </w:rPr>
        <w:t>9</w:t>
      </w:r>
      <w:r w:rsidR="00E76927">
        <w:rPr>
          <w:rFonts w:ascii="Arial" w:hAnsi="Arial"/>
        </w:rPr>
        <w:t xml:space="preserve">, </w:t>
      </w:r>
      <w:r w:rsidR="00620A14">
        <w:rPr>
          <w:rFonts w:ascii="Arial" w:hAnsi="Arial"/>
        </w:rPr>
        <w:t>più</w:t>
      </w:r>
      <w:r w:rsidR="00DD4893">
        <w:rPr>
          <w:rFonts w:ascii="Arial" w:hAnsi="Arial"/>
        </w:rPr>
        <w:t xml:space="preserve"> </w:t>
      </w:r>
      <w:r w:rsidR="00416BD1">
        <w:rPr>
          <w:rFonts w:ascii="Arial" w:hAnsi="Arial"/>
        </w:rPr>
        <w:t xml:space="preserve">un </w:t>
      </w:r>
      <w:r w:rsidR="00E76927">
        <w:rPr>
          <w:rFonts w:ascii="Arial" w:hAnsi="Arial"/>
        </w:rPr>
        <w:t>pedone deceduto</w:t>
      </w:r>
      <w:r w:rsidR="00CA5072">
        <w:rPr>
          <w:rFonts w:ascii="Arial" w:hAnsi="Arial"/>
        </w:rPr>
        <w:t>.</w:t>
      </w:r>
      <w:r w:rsidR="00BE1E21">
        <w:rPr>
          <w:rFonts w:ascii="Arial" w:hAnsi="Arial"/>
        </w:rPr>
        <w:t xml:space="preserve"> </w:t>
      </w:r>
    </w:p>
    <w:p w14:paraId="40C144DB" w14:textId="1053A188" w:rsidR="009D0289" w:rsidRPr="00E81A76" w:rsidRDefault="00E81A76" w:rsidP="006D568A">
      <w:pPr>
        <w:numPr>
          <w:ilvl w:val="0"/>
          <w:numId w:val="1"/>
        </w:numPr>
        <w:tabs>
          <w:tab w:val="left" w:pos="0"/>
          <w:tab w:val="left" w:pos="851"/>
          <w:tab w:val="left" w:pos="5954"/>
        </w:tabs>
        <w:spacing w:after="60"/>
        <w:ind w:right="-35"/>
        <w:jc w:val="both"/>
        <w:rPr>
          <w:sz w:val="20"/>
        </w:rPr>
      </w:pPr>
      <w:r>
        <w:rPr>
          <w:sz w:val="20"/>
        </w:rPr>
        <w:t>Gli incidenti stradali, le vittime e gli infortunati aumentano su tutti gli ambiti stradali ma rimangono ancora sotto i livelli pre-pandemia. Le variazioni</w:t>
      </w:r>
      <w:r w:rsidR="001B5E65" w:rsidRPr="00E81A76">
        <w:rPr>
          <w:sz w:val="20"/>
        </w:rPr>
        <w:t xml:space="preserve"> più </w:t>
      </w:r>
      <w:r>
        <w:rPr>
          <w:sz w:val="20"/>
        </w:rPr>
        <w:t>significative</w:t>
      </w:r>
      <w:r w:rsidR="008E1EC5">
        <w:rPr>
          <w:sz w:val="20"/>
        </w:rPr>
        <w:t xml:space="preserve"> rispetto all’anno precedente </w:t>
      </w:r>
      <w:r w:rsidR="001B5E65" w:rsidRPr="00E81A76">
        <w:rPr>
          <w:sz w:val="20"/>
        </w:rPr>
        <w:t>si registra</w:t>
      </w:r>
      <w:r>
        <w:rPr>
          <w:sz w:val="20"/>
        </w:rPr>
        <w:t>no</w:t>
      </w:r>
      <w:r w:rsidR="001B5E65" w:rsidRPr="00E81A76">
        <w:rPr>
          <w:sz w:val="20"/>
        </w:rPr>
        <w:t xml:space="preserve"> sulle autostrade</w:t>
      </w:r>
      <w:r w:rsidR="00416BD1">
        <w:rPr>
          <w:sz w:val="20"/>
        </w:rPr>
        <w:t>,</w:t>
      </w:r>
      <w:r w:rsidR="008E1EC5">
        <w:rPr>
          <w:sz w:val="20"/>
        </w:rPr>
        <w:t xml:space="preserve"> dove </w:t>
      </w:r>
      <w:r>
        <w:rPr>
          <w:sz w:val="20"/>
        </w:rPr>
        <w:t xml:space="preserve">le vittime </w:t>
      </w:r>
      <w:r w:rsidR="00617AA1">
        <w:rPr>
          <w:sz w:val="20"/>
        </w:rPr>
        <w:t>cresco</w:t>
      </w:r>
      <w:r w:rsidR="008E1EC5">
        <w:rPr>
          <w:sz w:val="20"/>
        </w:rPr>
        <w:t>no del 2</w:t>
      </w:r>
      <w:r>
        <w:rPr>
          <w:sz w:val="20"/>
        </w:rPr>
        <w:t>6,</w:t>
      </w:r>
      <w:r w:rsidR="008E1EC5">
        <w:rPr>
          <w:sz w:val="20"/>
        </w:rPr>
        <w:t>2% (-</w:t>
      </w:r>
      <w:r w:rsidR="0073219D">
        <w:rPr>
          <w:sz w:val="20"/>
        </w:rPr>
        <w:t>20,6 nel confronto con il 2019)</w:t>
      </w:r>
      <w:r w:rsidR="009F5D27" w:rsidRPr="00E81A76">
        <w:rPr>
          <w:sz w:val="20"/>
        </w:rPr>
        <w:t xml:space="preserve">, </w:t>
      </w:r>
      <w:r w:rsidR="007C35BB" w:rsidRPr="00E81A76">
        <w:rPr>
          <w:sz w:val="20"/>
        </w:rPr>
        <w:t xml:space="preserve">seguono </w:t>
      </w:r>
      <w:r w:rsidR="009F5D27" w:rsidRPr="00E81A76">
        <w:rPr>
          <w:sz w:val="20"/>
        </w:rPr>
        <w:t xml:space="preserve">le strade </w:t>
      </w:r>
      <w:r w:rsidR="0073219D">
        <w:rPr>
          <w:sz w:val="20"/>
        </w:rPr>
        <w:t>extra</w:t>
      </w:r>
      <w:r w:rsidR="009F5D27" w:rsidRPr="00E81A76">
        <w:rPr>
          <w:sz w:val="20"/>
        </w:rPr>
        <w:t xml:space="preserve">urbane </w:t>
      </w:r>
      <w:r w:rsidR="0073219D">
        <w:rPr>
          <w:sz w:val="20"/>
        </w:rPr>
        <w:t>(+19,8% e -10,9% rispetto a 2020 e 2019</w:t>
      </w:r>
      <w:r w:rsidR="009F5D27" w:rsidRPr="00E81A76">
        <w:rPr>
          <w:sz w:val="20"/>
        </w:rPr>
        <w:t>)</w:t>
      </w:r>
      <w:r w:rsidR="005E06DF" w:rsidRPr="00E81A76">
        <w:rPr>
          <w:sz w:val="20"/>
        </w:rPr>
        <w:t xml:space="preserve"> e </w:t>
      </w:r>
      <w:r w:rsidR="00C63FDA" w:rsidRPr="00E81A76">
        <w:rPr>
          <w:sz w:val="20"/>
        </w:rPr>
        <w:t>quelle</w:t>
      </w:r>
      <w:r w:rsidR="005E06DF" w:rsidRPr="00E81A76">
        <w:rPr>
          <w:sz w:val="20"/>
        </w:rPr>
        <w:t xml:space="preserve"> urbane (</w:t>
      </w:r>
      <w:r w:rsidR="0073219D">
        <w:rPr>
          <w:sz w:val="20"/>
        </w:rPr>
        <w:t>+19,1% e -5,0%).</w:t>
      </w:r>
      <w:r w:rsidR="009D0289" w:rsidRPr="00E81A76">
        <w:rPr>
          <w:sz w:val="20"/>
        </w:rPr>
        <w:t xml:space="preserve"> </w:t>
      </w:r>
    </w:p>
    <w:p w14:paraId="254AC2C5" w14:textId="77777777" w:rsidR="00090BAB" w:rsidRDefault="007056DA" w:rsidP="00090BAB">
      <w:pPr>
        <w:numPr>
          <w:ilvl w:val="0"/>
          <w:numId w:val="1"/>
        </w:numPr>
        <w:tabs>
          <w:tab w:val="left" w:pos="0"/>
          <w:tab w:val="left" w:pos="851"/>
          <w:tab w:val="left" w:pos="5954"/>
        </w:tabs>
        <w:autoSpaceDE w:val="0"/>
        <w:autoSpaceDN w:val="0"/>
        <w:adjustRightInd w:val="0"/>
        <w:spacing w:after="60"/>
        <w:ind w:right="-35"/>
        <w:jc w:val="both"/>
        <w:rPr>
          <w:sz w:val="20"/>
        </w:rPr>
      </w:pPr>
      <w:r w:rsidRPr="003965A1">
        <w:rPr>
          <w:sz w:val="20"/>
        </w:rPr>
        <w:t>Anche n</w:t>
      </w:r>
      <w:r w:rsidR="007F70CF" w:rsidRPr="003965A1">
        <w:rPr>
          <w:sz w:val="20"/>
        </w:rPr>
        <w:t>ell</w:t>
      </w:r>
      <w:r w:rsidR="00BA7599" w:rsidRPr="003965A1">
        <w:rPr>
          <w:sz w:val="20"/>
        </w:rPr>
        <w:t xml:space="preserve">a </w:t>
      </w:r>
      <w:r w:rsidR="00BA7599" w:rsidRPr="003965A1">
        <w:rPr>
          <w:rStyle w:val="hps"/>
          <w:sz w:val="20"/>
        </w:rPr>
        <w:t>Ue</w:t>
      </w:r>
      <w:r w:rsidR="009F0CAF" w:rsidRPr="003965A1">
        <w:rPr>
          <w:rStyle w:val="hps"/>
          <w:sz w:val="20"/>
        </w:rPr>
        <w:t>2</w:t>
      </w:r>
      <w:r w:rsidR="00097829" w:rsidRPr="003965A1">
        <w:rPr>
          <w:rStyle w:val="hps"/>
          <w:sz w:val="20"/>
        </w:rPr>
        <w:t>7</w:t>
      </w:r>
      <w:r w:rsidR="007F70CF" w:rsidRPr="003965A1">
        <w:rPr>
          <w:rStyle w:val="hps"/>
          <w:sz w:val="20"/>
        </w:rPr>
        <w:t xml:space="preserve"> il numero delle</w:t>
      </w:r>
      <w:r w:rsidR="007F70CF" w:rsidRPr="003965A1">
        <w:rPr>
          <w:sz w:val="20"/>
        </w:rPr>
        <w:t xml:space="preserve"> vittime </w:t>
      </w:r>
      <w:r w:rsidR="00B45906" w:rsidRPr="003965A1">
        <w:rPr>
          <w:sz w:val="20"/>
        </w:rPr>
        <w:t>riprende ad aumentare nel 2021</w:t>
      </w:r>
      <w:r w:rsidR="003965A1" w:rsidRPr="003965A1">
        <w:rPr>
          <w:sz w:val="20"/>
        </w:rPr>
        <w:t xml:space="preserve"> (+5,3</w:t>
      </w:r>
      <w:r w:rsidR="003965A1" w:rsidRPr="003965A1">
        <w:rPr>
          <w:rStyle w:val="hps"/>
          <w:sz w:val="20"/>
        </w:rPr>
        <w:t>%</w:t>
      </w:r>
      <w:r w:rsidR="00F5312B">
        <w:rPr>
          <w:rStyle w:val="hps"/>
          <w:sz w:val="20"/>
        </w:rPr>
        <w:t xml:space="preserve"> rispetto all’anno precedente</w:t>
      </w:r>
      <w:r w:rsidR="003965A1" w:rsidRPr="003965A1">
        <w:rPr>
          <w:rStyle w:val="hps"/>
          <w:sz w:val="20"/>
        </w:rPr>
        <w:t xml:space="preserve">), </w:t>
      </w:r>
      <w:r w:rsidR="00B45906" w:rsidRPr="003965A1">
        <w:rPr>
          <w:sz w:val="20"/>
        </w:rPr>
        <w:t xml:space="preserve">dopo la drastica riduzione del </w:t>
      </w:r>
      <w:r w:rsidR="000D78C5">
        <w:rPr>
          <w:sz w:val="20"/>
        </w:rPr>
        <w:t>primo anno di pandemia</w:t>
      </w:r>
      <w:r w:rsidR="00F5312B">
        <w:rPr>
          <w:sz w:val="20"/>
        </w:rPr>
        <w:t xml:space="preserve"> </w:t>
      </w:r>
      <w:r w:rsidR="00F7167C">
        <w:rPr>
          <w:sz w:val="20"/>
        </w:rPr>
        <w:t>(</w:t>
      </w:r>
      <w:r w:rsidR="00F5312B">
        <w:rPr>
          <w:sz w:val="20"/>
        </w:rPr>
        <w:t>-</w:t>
      </w:r>
      <w:r w:rsidR="003965A1" w:rsidRPr="003965A1">
        <w:rPr>
          <w:sz w:val="20"/>
        </w:rPr>
        <w:t>17,1%</w:t>
      </w:r>
      <w:r w:rsidR="00F7167C">
        <w:rPr>
          <w:sz w:val="20"/>
        </w:rPr>
        <w:t xml:space="preserve"> sul 2019)</w:t>
      </w:r>
      <w:r w:rsidRPr="003965A1">
        <w:rPr>
          <w:rStyle w:val="hps"/>
          <w:sz w:val="20"/>
        </w:rPr>
        <w:t>. C</w:t>
      </w:r>
      <w:r w:rsidR="007F70CF" w:rsidRPr="003965A1">
        <w:rPr>
          <w:rStyle w:val="hps"/>
          <w:sz w:val="20"/>
        </w:rPr>
        <w:t>omplessivamente,</w:t>
      </w:r>
      <w:r w:rsidR="007F70CF" w:rsidRPr="003965A1">
        <w:rPr>
          <w:sz w:val="20"/>
        </w:rPr>
        <w:t xml:space="preserve"> </w:t>
      </w:r>
      <w:r w:rsidR="00AB62E6" w:rsidRPr="003965A1">
        <w:rPr>
          <w:sz w:val="20"/>
        </w:rPr>
        <w:t>nel 20</w:t>
      </w:r>
      <w:r w:rsidR="00B45906" w:rsidRPr="003965A1">
        <w:rPr>
          <w:sz w:val="20"/>
        </w:rPr>
        <w:t>21</w:t>
      </w:r>
      <w:r w:rsidR="00F5312B">
        <w:rPr>
          <w:sz w:val="20"/>
        </w:rPr>
        <w:t xml:space="preserve"> le vittime</w:t>
      </w:r>
      <w:r w:rsidR="00AB62E6" w:rsidRPr="003965A1">
        <w:rPr>
          <w:sz w:val="20"/>
        </w:rPr>
        <w:t xml:space="preserve"> </w:t>
      </w:r>
      <w:r w:rsidR="007F70CF" w:rsidRPr="003965A1">
        <w:rPr>
          <w:sz w:val="20"/>
        </w:rPr>
        <w:t xml:space="preserve">sono </w:t>
      </w:r>
      <w:r w:rsidR="00D34547">
        <w:rPr>
          <w:sz w:val="20"/>
        </w:rPr>
        <w:t>19.855</w:t>
      </w:r>
      <w:r w:rsidR="003965A1">
        <w:rPr>
          <w:sz w:val="20"/>
        </w:rPr>
        <w:t>,</w:t>
      </w:r>
      <w:r w:rsidR="003965A1" w:rsidRPr="003965A1">
        <w:rPr>
          <w:sz w:val="20"/>
        </w:rPr>
        <w:t xml:space="preserve"> </w:t>
      </w:r>
      <w:r w:rsidR="007F70CF" w:rsidRPr="003965A1">
        <w:rPr>
          <w:rStyle w:val="hps"/>
          <w:sz w:val="20"/>
        </w:rPr>
        <w:t>contro</w:t>
      </w:r>
      <w:r w:rsidR="00F5312B">
        <w:rPr>
          <w:rStyle w:val="hps"/>
          <w:sz w:val="20"/>
        </w:rPr>
        <w:t xml:space="preserve"> </w:t>
      </w:r>
      <w:r w:rsidR="003965A1" w:rsidRPr="003965A1">
        <w:rPr>
          <w:rStyle w:val="hps"/>
          <w:sz w:val="20"/>
        </w:rPr>
        <w:t>18</w:t>
      </w:r>
      <w:r w:rsidR="003965A1">
        <w:rPr>
          <w:rStyle w:val="hps"/>
          <w:sz w:val="20"/>
        </w:rPr>
        <w:t>.</w:t>
      </w:r>
      <w:r w:rsidR="003965A1" w:rsidRPr="003965A1">
        <w:rPr>
          <w:rStyle w:val="hps"/>
          <w:sz w:val="20"/>
        </w:rPr>
        <w:t>861 del 2020 e 22</w:t>
      </w:r>
      <w:r w:rsidR="003965A1">
        <w:rPr>
          <w:rStyle w:val="hps"/>
          <w:sz w:val="20"/>
        </w:rPr>
        <w:t>.</w:t>
      </w:r>
      <w:r w:rsidR="003965A1" w:rsidRPr="003965A1">
        <w:rPr>
          <w:rStyle w:val="hps"/>
          <w:sz w:val="20"/>
        </w:rPr>
        <w:t xml:space="preserve">763 </w:t>
      </w:r>
      <w:r w:rsidR="00021D04" w:rsidRPr="003965A1">
        <w:rPr>
          <w:rStyle w:val="hps"/>
          <w:sz w:val="20"/>
        </w:rPr>
        <w:t>del 201</w:t>
      </w:r>
      <w:r w:rsidR="00374353" w:rsidRPr="003965A1">
        <w:rPr>
          <w:rStyle w:val="hps"/>
          <w:sz w:val="20"/>
        </w:rPr>
        <w:t>9</w:t>
      </w:r>
      <w:r w:rsidR="007C35BB" w:rsidRPr="00B45906">
        <w:rPr>
          <w:rStyle w:val="hps"/>
          <w:sz w:val="20"/>
        </w:rPr>
        <w:t>.</w:t>
      </w:r>
      <w:r w:rsidRPr="00B45906">
        <w:rPr>
          <w:rStyle w:val="hps"/>
          <w:sz w:val="20"/>
        </w:rPr>
        <w:t xml:space="preserve"> </w:t>
      </w:r>
      <w:r w:rsidR="007F70CF" w:rsidRPr="00D34547">
        <w:rPr>
          <w:sz w:val="20"/>
        </w:rPr>
        <w:t>O</w:t>
      </w:r>
      <w:r w:rsidR="00374353" w:rsidRPr="00D34547">
        <w:rPr>
          <w:sz w:val="20"/>
        </w:rPr>
        <w:t xml:space="preserve">gni milione di abitanti </w:t>
      </w:r>
      <w:r w:rsidR="007F70CF" w:rsidRPr="00D34547">
        <w:rPr>
          <w:sz w:val="20"/>
        </w:rPr>
        <w:t xml:space="preserve">si contano </w:t>
      </w:r>
      <w:r w:rsidR="005078AE" w:rsidRPr="00D34547">
        <w:rPr>
          <w:sz w:val="20"/>
        </w:rPr>
        <w:t>4</w:t>
      </w:r>
      <w:r w:rsidR="00D34547" w:rsidRPr="00D34547">
        <w:rPr>
          <w:sz w:val="20"/>
        </w:rPr>
        <w:t>4,7</w:t>
      </w:r>
      <w:r w:rsidR="007F70CF" w:rsidRPr="00D34547">
        <w:rPr>
          <w:sz w:val="20"/>
        </w:rPr>
        <w:t xml:space="preserve"> morti per i</w:t>
      </w:r>
      <w:r w:rsidR="00EF7FEE" w:rsidRPr="00D34547">
        <w:rPr>
          <w:sz w:val="20"/>
        </w:rPr>
        <w:t>ncidente stradale nel</w:t>
      </w:r>
      <w:r w:rsidR="00374353" w:rsidRPr="00D34547">
        <w:rPr>
          <w:sz w:val="20"/>
        </w:rPr>
        <w:t>la Ue27</w:t>
      </w:r>
      <w:r w:rsidR="00EF7FEE" w:rsidRPr="00D34547">
        <w:rPr>
          <w:sz w:val="20"/>
        </w:rPr>
        <w:t xml:space="preserve"> e </w:t>
      </w:r>
      <w:r w:rsidR="00D34547" w:rsidRPr="00D34547">
        <w:rPr>
          <w:sz w:val="20"/>
        </w:rPr>
        <w:t>48</w:t>
      </w:r>
      <w:r w:rsidR="005078AE" w:rsidRPr="00D34547">
        <w:rPr>
          <w:sz w:val="20"/>
        </w:rPr>
        <w:t>,</w:t>
      </w:r>
      <w:r w:rsidR="00555763">
        <w:rPr>
          <w:sz w:val="20"/>
        </w:rPr>
        <w:t>6</w:t>
      </w:r>
      <w:r w:rsidR="007F70CF" w:rsidRPr="00D34547">
        <w:rPr>
          <w:sz w:val="20"/>
        </w:rPr>
        <w:t xml:space="preserve"> nel nostro Paese, che </w:t>
      </w:r>
      <w:r w:rsidR="00374353" w:rsidRPr="00D34547">
        <w:rPr>
          <w:sz w:val="20"/>
        </w:rPr>
        <w:t>passa</w:t>
      </w:r>
      <w:r w:rsidR="007F70CF" w:rsidRPr="00D34547">
        <w:rPr>
          <w:sz w:val="20"/>
        </w:rPr>
        <w:t xml:space="preserve"> </w:t>
      </w:r>
      <w:r w:rsidR="00374353" w:rsidRPr="00D34547">
        <w:rPr>
          <w:sz w:val="20"/>
        </w:rPr>
        <w:t>d</w:t>
      </w:r>
      <w:r w:rsidR="007F70CF" w:rsidRPr="00D34547">
        <w:rPr>
          <w:sz w:val="20"/>
        </w:rPr>
        <w:t>al 1</w:t>
      </w:r>
      <w:r w:rsidR="00D34547" w:rsidRPr="00D34547">
        <w:rPr>
          <w:sz w:val="20"/>
        </w:rPr>
        <w:t>2</w:t>
      </w:r>
      <w:r w:rsidR="007F70CF" w:rsidRPr="00D34547">
        <w:rPr>
          <w:sz w:val="20"/>
        </w:rPr>
        <w:t xml:space="preserve">° </w:t>
      </w:r>
      <w:r w:rsidR="00D34547" w:rsidRPr="00D34547">
        <w:rPr>
          <w:sz w:val="20"/>
        </w:rPr>
        <w:t>al 13</w:t>
      </w:r>
      <w:r w:rsidR="00374353" w:rsidRPr="00D34547">
        <w:rPr>
          <w:sz w:val="20"/>
        </w:rPr>
        <w:t>° p</w:t>
      </w:r>
      <w:r w:rsidR="00021D04" w:rsidRPr="00D34547">
        <w:rPr>
          <w:sz w:val="20"/>
        </w:rPr>
        <w:t>osto della graduatoria europea.</w:t>
      </w:r>
    </w:p>
    <w:p w14:paraId="5916E551" w14:textId="401ED91B" w:rsidR="00C56F46" w:rsidRPr="00090BAB" w:rsidRDefault="00E65385" w:rsidP="00090BAB">
      <w:pPr>
        <w:numPr>
          <w:ilvl w:val="0"/>
          <w:numId w:val="1"/>
        </w:numPr>
        <w:tabs>
          <w:tab w:val="left" w:pos="0"/>
          <w:tab w:val="left" w:pos="851"/>
          <w:tab w:val="left" w:pos="5954"/>
        </w:tabs>
        <w:autoSpaceDE w:val="0"/>
        <w:autoSpaceDN w:val="0"/>
        <w:adjustRightInd w:val="0"/>
        <w:spacing w:after="60"/>
        <w:ind w:right="-35"/>
        <w:jc w:val="both"/>
        <w:rPr>
          <w:sz w:val="20"/>
        </w:rPr>
      </w:pPr>
      <w:r w:rsidRPr="00090BAB">
        <w:rPr>
          <w:sz w:val="20"/>
        </w:rPr>
        <w:t>Tra i comportamenti errati alla guida i più frequenti si confermano la distrazione, il mancato rispetto della precedenza e la velocità troppo elevata. I tre gruppi costituiscono complessivamente il 39,7% dei casi (78.477)</w:t>
      </w:r>
      <w:r w:rsidR="00C56F46" w:rsidRPr="00090BAB">
        <w:rPr>
          <w:sz w:val="20"/>
        </w:rPr>
        <w:t>, valore stabile nel tempo</w:t>
      </w:r>
      <w:r w:rsidRPr="00090BAB">
        <w:rPr>
          <w:sz w:val="20"/>
        </w:rPr>
        <w:t xml:space="preserve">. </w:t>
      </w:r>
    </w:p>
    <w:p w14:paraId="039D6E07" w14:textId="7A7BBCF8" w:rsidR="00E65385" w:rsidRPr="00C56F46" w:rsidRDefault="00E65385" w:rsidP="00F877FE">
      <w:pPr>
        <w:pStyle w:val="Paragrafoelenco"/>
        <w:widowControl w:val="0"/>
        <w:numPr>
          <w:ilvl w:val="0"/>
          <w:numId w:val="1"/>
        </w:numPr>
        <w:spacing w:after="120"/>
        <w:jc w:val="both"/>
        <w:rPr>
          <w:sz w:val="20"/>
        </w:rPr>
      </w:pPr>
      <w:r w:rsidRPr="00C56F46">
        <w:rPr>
          <w:sz w:val="20"/>
        </w:rPr>
        <w:t xml:space="preserve">La guida troppo veloce è il comportamento più sanzionato, rappresenta infatti il 36% del totale. Diminuiscono le sanzioni per mancato uso delle cinture di sicurezza, dei sistemi di ritenuta per bambini e per mancato uso del casco. Rimane elevato il numero di sanzioni per uso improprio di dispositivi in auto, in particolare </w:t>
      </w:r>
      <w:r w:rsidR="00F7167C" w:rsidRPr="00C56F46">
        <w:rPr>
          <w:sz w:val="20"/>
        </w:rPr>
        <w:t>del</w:t>
      </w:r>
      <w:r w:rsidR="00D15CEE" w:rsidRPr="00C56F46">
        <w:rPr>
          <w:sz w:val="20"/>
        </w:rPr>
        <w:t xml:space="preserve">lo </w:t>
      </w:r>
      <w:r w:rsidRPr="00C56F46">
        <w:rPr>
          <w:i/>
          <w:sz w:val="20"/>
        </w:rPr>
        <w:t>smartphone</w:t>
      </w:r>
      <w:r w:rsidRPr="00C56F46">
        <w:rPr>
          <w:sz w:val="20"/>
        </w:rPr>
        <w:t>.</w:t>
      </w:r>
    </w:p>
    <w:p w14:paraId="031E2AE2" w14:textId="56A67877" w:rsidR="00F7167C" w:rsidRDefault="005A6DD3" w:rsidP="00F877FE">
      <w:pPr>
        <w:numPr>
          <w:ilvl w:val="0"/>
          <w:numId w:val="1"/>
        </w:numPr>
        <w:shd w:val="clear" w:color="auto" w:fill="FFFFFF" w:themeFill="background1"/>
        <w:tabs>
          <w:tab w:val="clear" w:pos="357"/>
          <w:tab w:val="left" w:pos="0"/>
          <w:tab w:val="num" w:pos="284"/>
          <w:tab w:val="left" w:pos="851"/>
          <w:tab w:val="left" w:pos="5954"/>
        </w:tabs>
        <w:autoSpaceDE w:val="0"/>
        <w:autoSpaceDN w:val="0"/>
        <w:adjustRightInd w:val="0"/>
        <w:spacing w:after="60"/>
        <w:ind w:right="-34"/>
        <w:jc w:val="both"/>
        <w:rPr>
          <w:sz w:val="20"/>
        </w:rPr>
      </w:pPr>
      <w:r w:rsidRPr="00100425">
        <w:rPr>
          <w:sz w:val="20"/>
        </w:rPr>
        <w:t>I</w:t>
      </w:r>
      <w:r w:rsidR="00597A68" w:rsidRPr="00100425">
        <w:rPr>
          <w:sz w:val="20"/>
        </w:rPr>
        <w:t xml:space="preserve">l mercato dell’auto </w:t>
      </w:r>
      <w:r w:rsidR="00F7167C" w:rsidRPr="00100425">
        <w:rPr>
          <w:sz w:val="20"/>
        </w:rPr>
        <w:t>è in</w:t>
      </w:r>
      <w:r w:rsidR="00E32712" w:rsidRPr="00100425">
        <w:rPr>
          <w:sz w:val="20"/>
        </w:rPr>
        <w:t xml:space="preserve"> leggera ripresa nel 2021</w:t>
      </w:r>
      <w:r w:rsidR="00597A68" w:rsidRPr="00100425">
        <w:rPr>
          <w:sz w:val="20"/>
        </w:rPr>
        <w:t xml:space="preserve">: le prime iscrizioni di autovetture sono </w:t>
      </w:r>
      <w:r w:rsidR="00E32712" w:rsidRPr="00100425">
        <w:rPr>
          <w:sz w:val="20"/>
        </w:rPr>
        <w:t>aumentate</w:t>
      </w:r>
      <w:r w:rsidR="00597A68" w:rsidRPr="00100425">
        <w:rPr>
          <w:sz w:val="20"/>
        </w:rPr>
        <w:t xml:space="preserve"> del </w:t>
      </w:r>
      <w:r w:rsidR="00E32712" w:rsidRPr="00100425">
        <w:rPr>
          <w:sz w:val="20"/>
        </w:rPr>
        <w:t>5,4</w:t>
      </w:r>
      <w:r w:rsidR="00597A68" w:rsidRPr="00100425">
        <w:rPr>
          <w:sz w:val="20"/>
        </w:rPr>
        <w:t>% rispetto al 20</w:t>
      </w:r>
      <w:r w:rsidR="00E32712" w:rsidRPr="00100425">
        <w:rPr>
          <w:sz w:val="20"/>
        </w:rPr>
        <w:t>20</w:t>
      </w:r>
      <w:r w:rsidR="00597A68" w:rsidRPr="00100425">
        <w:rPr>
          <w:sz w:val="20"/>
        </w:rPr>
        <w:t xml:space="preserve">, quelle di </w:t>
      </w:r>
      <w:r w:rsidR="00E32712" w:rsidRPr="00100425">
        <w:rPr>
          <w:sz w:val="20"/>
        </w:rPr>
        <w:t xml:space="preserve">motocicli </w:t>
      </w:r>
      <w:r w:rsidR="00CA5072" w:rsidRPr="00100425">
        <w:rPr>
          <w:sz w:val="20"/>
        </w:rPr>
        <w:t>del</w:t>
      </w:r>
      <w:r w:rsidR="00597A68" w:rsidRPr="00100425">
        <w:rPr>
          <w:sz w:val="20"/>
        </w:rPr>
        <w:t xml:space="preserve"> </w:t>
      </w:r>
      <w:r w:rsidR="00E32712" w:rsidRPr="00100425">
        <w:rPr>
          <w:sz w:val="20"/>
        </w:rPr>
        <w:t>25</w:t>
      </w:r>
      <w:r w:rsidR="00F7167C" w:rsidRPr="00100425">
        <w:rPr>
          <w:sz w:val="20"/>
        </w:rPr>
        <w:t>%</w:t>
      </w:r>
      <w:r w:rsidR="00E32712" w:rsidRPr="00100425">
        <w:rPr>
          <w:sz w:val="20"/>
        </w:rPr>
        <w:t>. Sulla rete autostradale le percorrenze medie annue dei veicoli registrano</w:t>
      </w:r>
      <w:r w:rsidR="00D15CEE" w:rsidRPr="00100425">
        <w:rPr>
          <w:sz w:val="20"/>
        </w:rPr>
        <w:t xml:space="preserve"> </w:t>
      </w:r>
      <w:r w:rsidR="00E32712" w:rsidRPr="00100425">
        <w:rPr>
          <w:sz w:val="20"/>
        </w:rPr>
        <w:t xml:space="preserve">un </w:t>
      </w:r>
      <w:r w:rsidR="00617AA1">
        <w:rPr>
          <w:sz w:val="20"/>
        </w:rPr>
        <w:t>incre</w:t>
      </w:r>
      <w:r w:rsidR="00E32712" w:rsidRPr="00100425">
        <w:rPr>
          <w:sz w:val="20"/>
        </w:rPr>
        <w:t>mento del 23%</w:t>
      </w:r>
      <w:r w:rsidR="00F7167C" w:rsidRPr="00100425">
        <w:rPr>
          <w:sz w:val="20"/>
        </w:rPr>
        <w:t xml:space="preserve"> rispetto al 2020</w:t>
      </w:r>
      <w:r w:rsidR="00D15CEE" w:rsidRPr="00100425">
        <w:rPr>
          <w:sz w:val="20"/>
        </w:rPr>
        <w:t xml:space="preserve"> </w:t>
      </w:r>
      <w:r w:rsidR="00E32712" w:rsidRPr="00100425">
        <w:rPr>
          <w:sz w:val="20"/>
        </w:rPr>
        <w:t xml:space="preserve">e una diminuzione dell’11% rispetto </w:t>
      </w:r>
      <w:r w:rsidR="00F7167C" w:rsidRPr="00100425">
        <w:rPr>
          <w:sz w:val="20"/>
        </w:rPr>
        <w:t>al</w:t>
      </w:r>
      <w:r w:rsidR="00E32712" w:rsidRPr="00100425">
        <w:rPr>
          <w:sz w:val="20"/>
        </w:rPr>
        <w:t xml:space="preserve"> 2019. </w:t>
      </w:r>
    </w:p>
    <w:p w14:paraId="7560151E" w14:textId="18EBCC0D" w:rsidR="00100425" w:rsidRDefault="00100425" w:rsidP="00F877FE">
      <w:pPr>
        <w:shd w:val="clear" w:color="auto" w:fill="FFFFFF" w:themeFill="background1"/>
        <w:tabs>
          <w:tab w:val="left" w:pos="0"/>
          <w:tab w:val="left" w:pos="851"/>
          <w:tab w:val="left" w:pos="5954"/>
        </w:tabs>
        <w:autoSpaceDE w:val="0"/>
        <w:autoSpaceDN w:val="0"/>
        <w:adjustRightInd w:val="0"/>
        <w:spacing w:after="60"/>
        <w:ind w:right="-34"/>
        <w:jc w:val="both"/>
        <w:rPr>
          <w:sz w:val="20"/>
        </w:rPr>
      </w:pPr>
    </w:p>
    <w:p w14:paraId="36053A7B" w14:textId="77777777" w:rsidR="009C3D95" w:rsidRPr="00597A68" w:rsidRDefault="00785C79" w:rsidP="006D568A">
      <w:pPr>
        <w:shd w:val="clear" w:color="auto" w:fill="FFFFFF" w:themeFill="background1"/>
        <w:tabs>
          <w:tab w:val="left" w:pos="0"/>
          <w:tab w:val="left" w:pos="851"/>
          <w:tab w:val="left" w:pos="5954"/>
        </w:tabs>
        <w:autoSpaceDE w:val="0"/>
        <w:autoSpaceDN w:val="0"/>
        <w:adjustRightInd w:val="0"/>
        <w:spacing w:after="120"/>
        <w:ind w:right="-34"/>
        <w:jc w:val="both"/>
        <w:rPr>
          <w:rFonts w:ascii="Arial Narrow" w:hAnsi="Arial Narrow"/>
          <w:sz w:val="19"/>
          <w:szCs w:val="19"/>
        </w:rPr>
      </w:pPr>
      <w:r w:rsidRPr="00597A68">
        <w:rPr>
          <w:rFonts w:ascii="Arial Narrow" w:hAnsi="Arial Narrow"/>
          <w:b/>
          <w:caps/>
          <w:color w:val="808080"/>
          <w:sz w:val="20"/>
        </w:rPr>
        <w:t>FIGURA 1. Incidenti stradali con lesioni a persone, morti e feriti.</w:t>
      </w:r>
      <w:r w:rsidRPr="00597A68">
        <w:rPr>
          <w:rFonts w:ascii="Arial Narrow" w:hAnsi="Arial Narrow"/>
          <w:caps/>
          <w:color w:val="808080" w:themeColor="background1" w:themeShade="80"/>
          <w:sz w:val="20"/>
        </w:rPr>
        <w:t xml:space="preserve"> </w:t>
      </w:r>
      <w:r w:rsidR="000C3E05">
        <w:rPr>
          <w:rFonts w:ascii="Arial Narrow" w:hAnsi="Arial Narrow"/>
          <w:sz w:val="19"/>
          <w:szCs w:val="19"/>
        </w:rPr>
        <w:t>Anni 2010-2021 e target 2030</w:t>
      </w:r>
      <w:r w:rsidR="00640D09" w:rsidRPr="00597A68">
        <w:rPr>
          <w:rFonts w:ascii="Arial Narrow" w:hAnsi="Arial Narrow"/>
          <w:sz w:val="19"/>
          <w:szCs w:val="19"/>
        </w:rPr>
        <w:t>,</w:t>
      </w:r>
      <w:r w:rsidRPr="00597A68">
        <w:rPr>
          <w:rFonts w:ascii="Arial Narrow" w:hAnsi="Arial Narrow"/>
          <w:sz w:val="19"/>
          <w:szCs w:val="19"/>
        </w:rPr>
        <w:t xml:space="preserve"> </w:t>
      </w:r>
      <w:r w:rsidR="00640D09" w:rsidRPr="00597A68">
        <w:rPr>
          <w:rFonts w:ascii="Arial Narrow" w:hAnsi="Arial Narrow"/>
          <w:sz w:val="19"/>
          <w:szCs w:val="19"/>
        </w:rPr>
        <w:t>v</w:t>
      </w:r>
      <w:r w:rsidRPr="00597A68">
        <w:rPr>
          <w:rFonts w:ascii="Arial Narrow" w:hAnsi="Arial Narrow"/>
          <w:sz w:val="19"/>
          <w:szCs w:val="19"/>
        </w:rPr>
        <w:t>alori assoluti</w:t>
      </w:r>
    </w:p>
    <w:p w14:paraId="01A1403A" w14:textId="0E19874F" w:rsidR="009C3D95" w:rsidRDefault="006D568A" w:rsidP="006D568A">
      <w:pPr>
        <w:pStyle w:val="Testonormale"/>
        <w:tabs>
          <w:tab w:val="left" w:pos="0"/>
          <w:tab w:val="left" w:pos="851"/>
          <w:tab w:val="left" w:pos="5954"/>
        </w:tabs>
        <w:spacing w:after="240"/>
        <w:ind w:right="-34"/>
        <w:jc w:val="center"/>
        <w:rPr>
          <w:rFonts w:ascii="Arial" w:hAnsi="Arial"/>
          <w:noProof/>
        </w:rPr>
      </w:pPr>
      <w:r>
        <w:rPr>
          <w:noProof/>
        </w:rPr>
        <w:drawing>
          <wp:inline distT="0" distB="0" distL="0" distR="0" wp14:anchorId="04689E8C" wp14:editId="27E804EC">
            <wp:extent cx="6245225" cy="1571625"/>
            <wp:effectExtent l="0" t="0" r="3175" b="9525"/>
            <wp:docPr id="3" name="Grafico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29A5BF" w14:textId="768675FA" w:rsidR="000F208D" w:rsidRPr="00972797" w:rsidRDefault="00972797" w:rsidP="00ED5289">
      <w:pPr>
        <w:pStyle w:val="xl23"/>
        <w:tabs>
          <w:tab w:val="left" w:pos="0"/>
        </w:tabs>
        <w:spacing w:before="0" w:beforeAutospacing="0" w:after="120" w:afterAutospacing="0"/>
        <w:ind w:right="-34"/>
        <w:rPr>
          <w:sz w:val="22"/>
          <w:szCs w:val="22"/>
        </w:rPr>
      </w:pPr>
      <w:r w:rsidRPr="004D3512">
        <w:rPr>
          <w:rFonts w:ascii="Arial" w:hAnsi="Arial" w:cs="Arial"/>
          <w:sz w:val="22"/>
          <w:szCs w:val="22"/>
        </w:rPr>
        <w:lastRenderedPageBreak/>
        <w:t>E</w:t>
      </w:r>
      <w:r w:rsidR="00982AB4" w:rsidRPr="004D3512">
        <w:rPr>
          <w:rFonts w:ascii="Arial" w:hAnsi="Arial" w:cs="Arial"/>
          <w:sz w:val="22"/>
          <w:szCs w:val="22"/>
        </w:rPr>
        <w:t>ffetto Covid</w:t>
      </w:r>
      <w:r w:rsidRPr="004D3512">
        <w:rPr>
          <w:rFonts w:ascii="Arial" w:hAnsi="Arial" w:cs="Arial"/>
          <w:sz w:val="22"/>
          <w:szCs w:val="22"/>
        </w:rPr>
        <w:t>-19 sulla mobilità anche nel 2021</w:t>
      </w:r>
    </w:p>
    <w:p w14:paraId="32C85E77" w14:textId="1DD7E468" w:rsidR="00521BE8" w:rsidRDefault="00AA6565" w:rsidP="00675C06">
      <w:pPr>
        <w:pStyle w:val="Testonormale"/>
        <w:ind w:right="-34"/>
        <w:jc w:val="both"/>
        <w:rPr>
          <w:rFonts w:ascii="Arial" w:hAnsi="Arial"/>
          <w:shd w:val="clear" w:color="auto" w:fill="FFFFFF"/>
        </w:rPr>
      </w:pPr>
      <w:r w:rsidRPr="00DE3760">
        <w:rPr>
          <w:rFonts w:ascii="Arial" w:hAnsi="Arial"/>
          <w:bCs/>
        </w:rPr>
        <w:t>N</w:t>
      </w:r>
      <w:r w:rsidR="00374353" w:rsidRPr="00DE3760">
        <w:rPr>
          <w:rFonts w:ascii="Arial" w:hAnsi="Arial"/>
          <w:bCs/>
        </w:rPr>
        <w:t>el 202</w:t>
      </w:r>
      <w:r w:rsidR="00F32192" w:rsidRPr="00DE3760">
        <w:rPr>
          <w:rFonts w:ascii="Arial" w:hAnsi="Arial"/>
          <w:bCs/>
        </w:rPr>
        <w:t>1</w:t>
      </w:r>
      <w:r w:rsidR="00D47CF5" w:rsidRPr="00DE3760">
        <w:rPr>
          <w:rFonts w:ascii="Arial" w:hAnsi="Arial"/>
          <w:bCs/>
        </w:rPr>
        <w:t xml:space="preserve"> si sono verificati </w:t>
      </w:r>
      <w:r w:rsidR="00D47CF5" w:rsidRPr="00DE3760">
        <w:rPr>
          <w:rFonts w:ascii="Arial" w:hAnsi="Arial"/>
        </w:rPr>
        <w:t>in Italia</w:t>
      </w:r>
      <w:r w:rsidR="00A4052D" w:rsidRPr="00DE3760">
        <w:rPr>
          <w:rFonts w:ascii="Arial" w:hAnsi="Arial"/>
        </w:rPr>
        <w:t xml:space="preserve"> </w:t>
      </w:r>
      <w:r w:rsidR="0079084C">
        <w:rPr>
          <w:rFonts w:ascii="Arial" w:hAnsi="Arial"/>
          <w:bCs/>
        </w:rPr>
        <w:t>151.875</w:t>
      </w:r>
      <w:r w:rsidR="00DE3760" w:rsidRPr="00DE3760">
        <w:rPr>
          <w:rFonts w:ascii="Arial" w:hAnsi="Arial"/>
          <w:bCs/>
        </w:rPr>
        <w:t xml:space="preserve"> </w:t>
      </w:r>
      <w:r w:rsidR="000864AF" w:rsidRPr="00DE3760">
        <w:rPr>
          <w:rFonts w:ascii="Arial" w:hAnsi="Arial"/>
          <w:bCs/>
        </w:rPr>
        <w:t>incidenti</w:t>
      </w:r>
      <w:r w:rsidR="004D0F39" w:rsidRPr="00DE3760">
        <w:rPr>
          <w:rFonts w:ascii="Arial" w:hAnsi="Arial"/>
          <w:bCs/>
        </w:rPr>
        <w:t xml:space="preserve"> stradali</w:t>
      </w:r>
      <w:r w:rsidR="00F43F66" w:rsidRPr="00DE3760">
        <w:rPr>
          <w:rFonts w:ascii="Arial" w:hAnsi="Arial"/>
          <w:bCs/>
        </w:rPr>
        <w:t xml:space="preserve"> con lesioni a persone</w:t>
      </w:r>
      <w:r w:rsidR="004923FA" w:rsidRPr="00DE3760">
        <w:rPr>
          <w:rStyle w:val="Rimandonotaapidipagina"/>
          <w:rFonts w:ascii="Arial" w:hAnsi="Arial"/>
        </w:rPr>
        <w:footnoteReference w:id="1"/>
      </w:r>
      <w:r w:rsidR="00D47CF5" w:rsidRPr="00DE3760">
        <w:rPr>
          <w:rFonts w:ascii="Arial" w:hAnsi="Arial"/>
          <w:bCs/>
        </w:rPr>
        <w:t>;</w:t>
      </w:r>
      <w:r w:rsidR="00A52F86" w:rsidRPr="00DE3760">
        <w:rPr>
          <w:rFonts w:ascii="Arial" w:hAnsi="Arial"/>
          <w:bCs/>
        </w:rPr>
        <w:t xml:space="preserve"> </w:t>
      </w:r>
      <w:r w:rsidR="00A52F86" w:rsidRPr="00DE3760">
        <w:rPr>
          <w:rFonts w:ascii="Arial" w:hAnsi="Arial"/>
        </w:rPr>
        <w:t>le vittime</w:t>
      </w:r>
      <w:r w:rsidR="00D47CF5" w:rsidRPr="00DE3760">
        <w:rPr>
          <w:rFonts w:ascii="Arial" w:hAnsi="Arial"/>
        </w:rPr>
        <w:t xml:space="preserve"> sono state</w:t>
      </w:r>
      <w:r w:rsidR="004D0F39" w:rsidRPr="00DE3760">
        <w:rPr>
          <w:rFonts w:ascii="Arial" w:hAnsi="Arial"/>
        </w:rPr>
        <w:t xml:space="preserve"> </w:t>
      </w:r>
      <w:r w:rsidR="00DE3760" w:rsidRPr="00DE3760">
        <w:rPr>
          <w:rFonts w:ascii="Arial" w:hAnsi="Arial"/>
        </w:rPr>
        <w:t>2.875</w:t>
      </w:r>
      <w:r w:rsidR="000864AF" w:rsidRPr="00DE3760">
        <w:rPr>
          <w:rFonts w:ascii="Arial" w:hAnsi="Arial"/>
        </w:rPr>
        <w:t xml:space="preserve"> </w:t>
      </w:r>
      <w:r w:rsidR="00A52F86" w:rsidRPr="00DE3760">
        <w:rPr>
          <w:rFonts w:ascii="Arial" w:hAnsi="Arial"/>
        </w:rPr>
        <w:t xml:space="preserve">e i feriti </w:t>
      </w:r>
      <w:r w:rsidR="0079084C">
        <w:rPr>
          <w:rFonts w:ascii="Arial" w:hAnsi="Arial"/>
        </w:rPr>
        <w:t>204.728</w:t>
      </w:r>
      <w:r w:rsidR="004D0F39" w:rsidRPr="00DE3760">
        <w:rPr>
          <w:rFonts w:ascii="Arial" w:hAnsi="Arial"/>
        </w:rPr>
        <w:t xml:space="preserve"> (Prospetto 1). </w:t>
      </w:r>
      <w:r w:rsidR="002B651B" w:rsidRPr="00DE3760">
        <w:rPr>
          <w:rFonts w:ascii="Arial" w:hAnsi="Arial"/>
        </w:rPr>
        <w:t>Rispetto all’anno precedente</w:t>
      </w:r>
      <w:r w:rsidR="00BA6E5C" w:rsidRPr="00DE3760">
        <w:rPr>
          <w:rFonts w:ascii="Arial" w:hAnsi="Arial"/>
        </w:rPr>
        <w:t xml:space="preserve"> i morti sulle strade</w:t>
      </w:r>
      <w:r w:rsidR="00E06D38" w:rsidRPr="00DE3760">
        <w:rPr>
          <w:rFonts w:ascii="Arial" w:hAnsi="Arial"/>
        </w:rPr>
        <w:t xml:space="preserve"> </w:t>
      </w:r>
      <w:r w:rsidR="00F32192" w:rsidRPr="00DE3760">
        <w:rPr>
          <w:rFonts w:ascii="Arial" w:hAnsi="Arial"/>
        </w:rPr>
        <w:t>aumentano</w:t>
      </w:r>
      <w:r w:rsidR="00E06D38" w:rsidRPr="00DE3760">
        <w:rPr>
          <w:rFonts w:ascii="Arial" w:hAnsi="Arial"/>
        </w:rPr>
        <w:t xml:space="preserve"> in </w:t>
      </w:r>
      <w:r w:rsidR="00F7167C" w:rsidRPr="00DE3760">
        <w:rPr>
          <w:rFonts w:ascii="Arial" w:hAnsi="Arial"/>
        </w:rPr>
        <w:t>m</w:t>
      </w:r>
      <w:r w:rsidR="00F7167C">
        <w:rPr>
          <w:rFonts w:ascii="Arial" w:hAnsi="Arial"/>
        </w:rPr>
        <w:t>isu</w:t>
      </w:r>
      <w:r w:rsidR="00F7167C" w:rsidRPr="00DE3760">
        <w:rPr>
          <w:rFonts w:ascii="Arial" w:hAnsi="Arial"/>
        </w:rPr>
        <w:t xml:space="preserve">ra </w:t>
      </w:r>
      <w:r w:rsidR="00E06D38" w:rsidRPr="00DE3760">
        <w:rPr>
          <w:rFonts w:ascii="Arial" w:hAnsi="Arial"/>
        </w:rPr>
        <w:t xml:space="preserve">consistente </w:t>
      </w:r>
      <w:r w:rsidR="00DE3760">
        <w:rPr>
          <w:rFonts w:ascii="Arial" w:hAnsi="Arial"/>
          <w:shd w:val="clear" w:color="auto" w:fill="FFFFFF"/>
        </w:rPr>
        <w:t>(+20</w:t>
      </w:r>
      <w:r w:rsidR="002E0F1F" w:rsidRPr="00DE3760">
        <w:rPr>
          <w:rFonts w:ascii="Arial" w:hAnsi="Arial"/>
          <w:shd w:val="clear" w:color="auto" w:fill="FFFFFF"/>
        </w:rPr>
        <w:t>%</w:t>
      </w:r>
      <w:r w:rsidR="00AF4B14" w:rsidRPr="00DE3760">
        <w:rPr>
          <w:rFonts w:ascii="Arial" w:hAnsi="Arial"/>
        </w:rPr>
        <w:t>) così come</w:t>
      </w:r>
      <w:r w:rsidR="004E1E78" w:rsidRPr="00DE3760">
        <w:rPr>
          <w:rFonts w:ascii="Arial" w:hAnsi="Arial"/>
        </w:rPr>
        <w:t xml:space="preserve"> il numero di</w:t>
      </w:r>
      <w:r w:rsidR="00C4513D" w:rsidRPr="00DE3760">
        <w:rPr>
          <w:rFonts w:ascii="Arial" w:hAnsi="Arial"/>
        </w:rPr>
        <w:t xml:space="preserve"> incid</w:t>
      </w:r>
      <w:r w:rsidR="000E1568" w:rsidRPr="00DE3760">
        <w:rPr>
          <w:rFonts w:ascii="Arial" w:hAnsi="Arial"/>
        </w:rPr>
        <w:t xml:space="preserve">enti e feriti (rispettivamente </w:t>
      </w:r>
      <w:r w:rsidR="00F7167C">
        <w:rPr>
          <w:rFonts w:ascii="Arial" w:hAnsi="Arial"/>
        </w:rPr>
        <w:t>+</w:t>
      </w:r>
      <w:r w:rsidR="0079084C">
        <w:rPr>
          <w:rFonts w:ascii="Arial" w:hAnsi="Arial"/>
        </w:rPr>
        <w:t>28,4</w:t>
      </w:r>
      <w:r w:rsidR="00DE3760">
        <w:rPr>
          <w:rFonts w:ascii="Arial" w:hAnsi="Arial"/>
        </w:rPr>
        <w:t xml:space="preserve">% </w:t>
      </w:r>
      <w:r w:rsidR="00C4513D" w:rsidRPr="00DE3760">
        <w:rPr>
          <w:rFonts w:ascii="Arial" w:hAnsi="Arial"/>
        </w:rPr>
        <w:t>e</w:t>
      </w:r>
      <w:r w:rsidR="00BA6E5C" w:rsidRPr="00DE3760">
        <w:rPr>
          <w:rFonts w:ascii="Arial" w:hAnsi="Arial"/>
        </w:rPr>
        <w:t xml:space="preserve"> </w:t>
      </w:r>
      <w:r w:rsidR="00F7167C">
        <w:rPr>
          <w:rFonts w:ascii="Arial" w:hAnsi="Arial"/>
        </w:rPr>
        <w:t>+</w:t>
      </w:r>
      <w:r w:rsidR="00DE3760">
        <w:rPr>
          <w:rFonts w:ascii="Arial" w:hAnsi="Arial"/>
        </w:rPr>
        <w:t>28,6</w:t>
      </w:r>
      <w:r w:rsidR="00C4513D" w:rsidRPr="00DE3760">
        <w:rPr>
          <w:rFonts w:ascii="Arial" w:hAnsi="Arial"/>
        </w:rPr>
        <w:t xml:space="preserve">%). </w:t>
      </w:r>
      <w:r w:rsidR="005D59DB" w:rsidRPr="00DE3760">
        <w:rPr>
          <w:rFonts w:ascii="Arial" w:hAnsi="Arial"/>
          <w:shd w:val="clear" w:color="auto" w:fill="FFFFFF"/>
        </w:rPr>
        <w:t>I</w:t>
      </w:r>
      <w:r w:rsidR="00E72081" w:rsidRPr="00DE3760">
        <w:rPr>
          <w:rFonts w:ascii="Arial" w:hAnsi="Arial"/>
          <w:shd w:val="clear" w:color="auto" w:fill="FFFFFF"/>
        </w:rPr>
        <w:t xml:space="preserve">l tasso di mortalità stradale </w:t>
      </w:r>
      <w:r w:rsidR="005D59DB" w:rsidRPr="00DE3760">
        <w:rPr>
          <w:rFonts w:ascii="Arial" w:hAnsi="Arial"/>
          <w:shd w:val="clear" w:color="auto" w:fill="FFFFFF"/>
        </w:rPr>
        <w:t>passa</w:t>
      </w:r>
      <w:r w:rsidR="00E72081" w:rsidRPr="00DE3760">
        <w:rPr>
          <w:rFonts w:ascii="Arial" w:hAnsi="Arial"/>
          <w:shd w:val="clear" w:color="auto" w:fill="FFFFFF"/>
        </w:rPr>
        <w:t xml:space="preserve"> da </w:t>
      </w:r>
      <w:r w:rsidR="00F32192" w:rsidRPr="00DE3760">
        <w:rPr>
          <w:rFonts w:ascii="Arial" w:hAnsi="Arial"/>
          <w:shd w:val="clear" w:color="auto" w:fill="FFFFFF"/>
        </w:rPr>
        <w:t xml:space="preserve">40,3 </w:t>
      </w:r>
      <w:r w:rsidR="00F32192" w:rsidRPr="00FD6C2D">
        <w:rPr>
          <w:rFonts w:ascii="Arial" w:hAnsi="Arial"/>
          <w:shd w:val="clear" w:color="auto" w:fill="FFFFFF"/>
        </w:rPr>
        <w:t xml:space="preserve">a </w:t>
      </w:r>
      <w:r w:rsidR="00DE3760" w:rsidRPr="00FD6C2D">
        <w:rPr>
          <w:rFonts w:ascii="Arial" w:hAnsi="Arial"/>
          <w:shd w:val="clear" w:color="auto" w:fill="FFFFFF"/>
        </w:rPr>
        <w:t>48,</w:t>
      </w:r>
      <w:r w:rsidR="00555763" w:rsidRPr="00FD6C2D">
        <w:rPr>
          <w:rFonts w:ascii="Arial" w:hAnsi="Arial"/>
          <w:shd w:val="clear" w:color="auto" w:fill="FFFFFF"/>
        </w:rPr>
        <w:t>6</w:t>
      </w:r>
      <w:r w:rsidR="00F32192" w:rsidRPr="00FD6C2D">
        <w:rPr>
          <w:rFonts w:ascii="Arial" w:hAnsi="Arial"/>
          <w:shd w:val="clear" w:color="auto" w:fill="FFFFFF"/>
        </w:rPr>
        <w:t xml:space="preserve"> </w:t>
      </w:r>
      <w:r w:rsidR="00E72081" w:rsidRPr="00FD6C2D">
        <w:rPr>
          <w:rFonts w:ascii="Arial" w:hAnsi="Arial"/>
          <w:shd w:val="clear" w:color="auto" w:fill="FFFFFF"/>
        </w:rPr>
        <w:t>morti</w:t>
      </w:r>
      <w:r w:rsidR="00E72081" w:rsidRPr="00DE3760">
        <w:rPr>
          <w:rFonts w:ascii="Arial" w:hAnsi="Arial"/>
          <w:shd w:val="clear" w:color="auto" w:fill="FFFFFF"/>
        </w:rPr>
        <w:t xml:space="preserve"> </w:t>
      </w:r>
      <w:r w:rsidR="007F5AC8" w:rsidRPr="00DE3760">
        <w:rPr>
          <w:rFonts w:ascii="Arial" w:hAnsi="Arial"/>
          <w:shd w:val="clear" w:color="auto" w:fill="FFFFFF"/>
        </w:rPr>
        <w:t>ogni</w:t>
      </w:r>
      <w:r w:rsidR="00E72081" w:rsidRPr="00DE3760">
        <w:rPr>
          <w:rFonts w:ascii="Arial" w:hAnsi="Arial"/>
          <w:shd w:val="clear" w:color="auto" w:fill="FFFFFF"/>
        </w:rPr>
        <w:t xml:space="preserve"> milione di abitanti</w:t>
      </w:r>
      <w:r w:rsidR="00F43F66" w:rsidRPr="00DE3760">
        <w:rPr>
          <w:rFonts w:ascii="Arial" w:hAnsi="Arial"/>
          <w:shd w:val="clear" w:color="auto" w:fill="FFFFFF"/>
        </w:rPr>
        <w:t xml:space="preserve"> tra il </w:t>
      </w:r>
      <w:r w:rsidR="00A57DC4" w:rsidRPr="00DE3760">
        <w:rPr>
          <w:rFonts w:ascii="Arial" w:hAnsi="Arial"/>
          <w:shd w:val="clear" w:color="auto" w:fill="FFFFFF"/>
        </w:rPr>
        <w:t>20</w:t>
      </w:r>
      <w:r w:rsidR="00F32192" w:rsidRPr="00DE3760">
        <w:rPr>
          <w:rFonts w:ascii="Arial" w:hAnsi="Arial"/>
          <w:shd w:val="clear" w:color="auto" w:fill="FFFFFF"/>
        </w:rPr>
        <w:t>20</w:t>
      </w:r>
      <w:r w:rsidR="00A57DC4" w:rsidRPr="00DE3760">
        <w:rPr>
          <w:rFonts w:ascii="Arial" w:hAnsi="Arial"/>
          <w:shd w:val="clear" w:color="auto" w:fill="FFFFFF"/>
        </w:rPr>
        <w:t xml:space="preserve"> </w:t>
      </w:r>
      <w:r w:rsidR="002E0F1F" w:rsidRPr="00DE3760">
        <w:rPr>
          <w:rFonts w:ascii="Arial" w:hAnsi="Arial"/>
          <w:shd w:val="clear" w:color="auto" w:fill="FFFFFF"/>
        </w:rPr>
        <w:t xml:space="preserve">e il </w:t>
      </w:r>
      <w:r w:rsidR="00A57DC4" w:rsidRPr="00DE3760">
        <w:rPr>
          <w:rFonts w:ascii="Arial" w:hAnsi="Arial"/>
          <w:shd w:val="clear" w:color="auto" w:fill="FFFFFF"/>
        </w:rPr>
        <w:t>20</w:t>
      </w:r>
      <w:r w:rsidR="00F32192" w:rsidRPr="00DE3760">
        <w:rPr>
          <w:rFonts w:ascii="Arial" w:hAnsi="Arial"/>
          <w:shd w:val="clear" w:color="auto" w:fill="FFFFFF"/>
        </w:rPr>
        <w:t>21</w:t>
      </w:r>
      <w:r w:rsidR="00F7167C">
        <w:rPr>
          <w:rFonts w:ascii="Arial" w:hAnsi="Arial"/>
          <w:shd w:val="clear" w:color="auto" w:fill="FFFFFF"/>
        </w:rPr>
        <w:t xml:space="preserve">, da </w:t>
      </w:r>
      <w:r w:rsidR="00F32192" w:rsidRPr="00DE3760">
        <w:rPr>
          <w:rFonts w:ascii="Arial" w:hAnsi="Arial"/>
          <w:shd w:val="clear" w:color="auto" w:fill="FFFFFF"/>
        </w:rPr>
        <w:t xml:space="preserve">52,6 </w:t>
      </w:r>
      <w:r w:rsidR="00F7167C">
        <w:rPr>
          <w:rFonts w:ascii="Arial" w:hAnsi="Arial"/>
          <w:shd w:val="clear" w:color="auto" w:fill="FFFFFF"/>
        </w:rPr>
        <w:t>d</w:t>
      </w:r>
      <w:r w:rsidR="00F32192" w:rsidRPr="00DE3760">
        <w:rPr>
          <w:rFonts w:ascii="Arial" w:hAnsi="Arial"/>
          <w:shd w:val="clear" w:color="auto" w:fill="FFFFFF"/>
        </w:rPr>
        <w:t>el 2019.</w:t>
      </w:r>
      <w:r w:rsidR="002E0F1F" w:rsidRPr="00DE3760">
        <w:rPr>
          <w:rFonts w:ascii="Arial" w:hAnsi="Arial"/>
          <w:shd w:val="clear" w:color="auto" w:fill="FFFFFF"/>
        </w:rPr>
        <w:t xml:space="preserve"> R</w:t>
      </w:r>
      <w:r w:rsidR="00272565" w:rsidRPr="00DE3760">
        <w:rPr>
          <w:rFonts w:ascii="Arial" w:hAnsi="Arial"/>
        </w:rPr>
        <w:t xml:space="preserve">ispetto al </w:t>
      </w:r>
      <w:r w:rsidR="00E72081" w:rsidRPr="00DE3760">
        <w:rPr>
          <w:rFonts w:ascii="Arial" w:hAnsi="Arial"/>
        </w:rPr>
        <w:t>201</w:t>
      </w:r>
      <w:r w:rsidR="00DE3760">
        <w:rPr>
          <w:rFonts w:ascii="Arial" w:hAnsi="Arial"/>
        </w:rPr>
        <w:t>9</w:t>
      </w:r>
      <w:r w:rsidR="00F43F66" w:rsidRPr="00DE3760">
        <w:rPr>
          <w:rFonts w:ascii="Arial" w:hAnsi="Arial"/>
        </w:rPr>
        <w:t>,</w:t>
      </w:r>
      <w:r w:rsidR="00DE3760">
        <w:rPr>
          <w:rFonts w:ascii="Arial" w:hAnsi="Arial"/>
        </w:rPr>
        <w:t xml:space="preserve"> </w:t>
      </w:r>
      <w:r w:rsidR="00DE3760" w:rsidRPr="00FD6C2D">
        <w:rPr>
          <w:rFonts w:ascii="Arial" w:hAnsi="Arial"/>
          <w:i/>
        </w:rPr>
        <w:t>benchmark</w:t>
      </w:r>
      <w:r w:rsidR="00C04599">
        <w:rPr>
          <w:rFonts w:ascii="Arial" w:hAnsi="Arial"/>
        </w:rPr>
        <w:t xml:space="preserve"> per il decennio 2021</w:t>
      </w:r>
      <w:r w:rsidR="00DE3760">
        <w:rPr>
          <w:rFonts w:ascii="Arial" w:hAnsi="Arial"/>
        </w:rPr>
        <w:t>-2030,</w:t>
      </w:r>
      <w:r w:rsidR="00C60896" w:rsidRPr="00DE3760">
        <w:rPr>
          <w:rFonts w:ascii="Arial" w:hAnsi="Arial"/>
        </w:rPr>
        <w:t xml:space="preserve"> </w:t>
      </w:r>
      <w:r w:rsidR="00E72081" w:rsidRPr="00DE3760">
        <w:rPr>
          <w:rFonts w:ascii="Arial" w:hAnsi="Arial"/>
        </w:rPr>
        <w:t>le vittim</w:t>
      </w:r>
      <w:r w:rsidR="00E06D38" w:rsidRPr="00DE3760">
        <w:rPr>
          <w:rFonts w:ascii="Arial" w:hAnsi="Arial"/>
        </w:rPr>
        <w:t xml:space="preserve">e della strada diminuiscono del </w:t>
      </w:r>
      <w:r w:rsidR="00DE3760">
        <w:rPr>
          <w:rFonts w:ascii="Arial" w:hAnsi="Arial"/>
        </w:rPr>
        <w:t>9,4</w:t>
      </w:r>
      <w:r w:rsidR="000E1568" w:rsidRPr="00DE3760">
        <w:rPr>
          <w:rFonts w:ascii="Arial" w:hAnsi="Arial"/>
          <w:shd w:val="clear" w:color="auto" w:fill="FFFFFF"/>
        </w:rPr>
        <w:t>%.</w:t>
      </w:r>
    </w:p>
    <w:p w14:paraId="4BDCC48C" w14:textId="77777777" w:rsidR="0006535B" w:rsidRPr="001D6F78" w:rsidRDefault="0006535B" w:rsidP="00ED5289">
      <w:pPr>
        <w:spacing w:after="120"/>
        <w:jc w:val="both"/>
        <w:rPr>
          <w:b/>
          <w:caps/>
          <w:sz w:val="20"/>
        </w:rPr>
      </w:pPr>
      <w:bookmarkStart w:id="0" w:name="OLE_LINK11"/>
    </w:p>
    <w:p w14:paraId="6F6D11BA" w14:textId="77777777" w:rsidR="00971B51" w:rsidRPr="00353E9B" w:rsidRDefault="00971B51" w:rsidP="00ED5289">
      <w:pPr>
        <w:spacing w:after="120"/>
        <w:jc w:val="both"/>
        <w:rPr>
          <w:rFonts w:ascii="Arial Narrow" w:hAnsi="Arial Narrow"/>
          <w:i/>
          <w:sz w:val="19"/>
          <w:szCs w:val="19"/>
        </w:rPr>
      </w:pPr>
      <w:r w:rsidRPr="00353E9B">
        <w:rPr>
          <w:rFonts w:ascii="Arial Narrow" w:hAnsi="Arial Narrow"/>
          <w:b/>
          <w:caps/>
          <w:color w:val="808080"/>
          <w:sz w:val="20"/>
        </w:rPr>
        <w:t>Prospetto 1. Incidenti stradali con lesioni a persone, morti e feriti</w:t>
      </w:r>
      <w:r w:rsidR="00E27DAC">
        <w:rPr>
          <w:rFonts w:ascii="Arial Narrow" w:hAnsi="Arial Narrow"/>
          <w:b/>
          <w:caps/>
          <w:color w:val="808080"/>
          <w:sz w:val="20"/>
        </w:rPr>
        <w:t>.</w:t>
      </w:r>
      <w:r w:rsidRPr="00353E9B">
        <w:rPr>
          <w:rFonts w:ascii="Arial Narrow" w:hAnsi="Arial Narrow"/>
          <w:b/>
          <w:caps/>
          <w:color w:val="808080"/>
          <w:sz w:val="20"/>
        </w:rPr>
        <w:t xml:space="preserve"> </w:t>
      </w:r>
      <w:r w:rsidRPr="00353E9B">
        <w:rPr>
          <w:rFonts w:ascii="Arial Narrow" w:hAnsi="Arial Narrow"/>
          <w:sz w:val="19"/>
          <w:szCs w:val="19"/>
        </w:rPr>
        <w:t>Anni 2001</w:t>
      </w:r>
      <w:r w:rsidR="003D282B">
        <w:rPr>
          <w:rFonts w:ascii="Arial Narrow" w:hAnsi="Arial Narrow"/>
          <w:sz w:val="19"/>
          <w:szCs w:val="19"/>
        </w:rPr>
        <w:t>, 2010</w:t>
      </w:r>
      <w:r w:rsidR="003A1310">
        <w:rPr>
          <w:rFonts w:ascii="Arial Narrow" w:hAnsi="Arial Narrow"/>
          <w:sz w:val="19"/>
          <w:szCs w:val="19"/>
        </w:rPr>
        <w:t>-</w:t>
      </w:r>
      <w:r w:rsidR="001C14F2">
        <w:rPr>
          <w:rFonts w:ascii="Arial Narrow" w:hAnsi="Arial Narrow"/>
          <w:sz w:val="19"/>
          <w:szCs w:val="19"/>
        </w:rPr>
        <w:t>20</w:t>
      </w:r>
      <w:r w:rsidR="00C82603">
        <w:rPr>
          <w:rFonts w:ascii="Arial Narrow" w:hAnsi="Arial Narrow"/>
          <w:sz w:val="19"/>
          <w:szCs w:val="19"/>
        </w:rPr>
        <w:t>2</w:t>
      </w:r>
      <w:r w:rsidR="00972797">
        <w:rPr>
          <w:rFonts w:ascii="Arial Narrow" w:hAnsi="Arial Narrow"/>
          <w:sz w:val="19"/>
          <w:szCs w:val="19"/>
        </w:rPr>
        <w:t>1</w:t>
      </w:r>
      <w:r w:rsidR="00062F63">
        <w:rPr>
          <w:rFonts w:ascii="Arial Narrow" w:hAnsi="Arial Narrow"/>
          <w:sz w:val="19"/>
          <w:szCs w:val="19"/>
        </w:rPr>
        <w:t>,</w:t>
      </w:r>
      <w:r w:rsidRPr="00353E9B">
        <w:rPr>
          <w:rFonts w:ascii="Arial Narrow" w:hAnsi="Arial Narrow"/>
          <w:sz w:val="19"/>
          <w:szCs w:val="19"/>
        </w:rPr>
        <w:t xml:space="preserve"> </w:t>
      </w:r>
      <w:r w:rsidRPr="00353E9B">
        <w:rPr>
          <w:rFonts w:ascii="Arial Narrow" w:hAnsi="Arial Narrow"/>
          <w:iCs/>
          <w:sz w:val="19"/>
          <w:szCs w:val="19"/>
        </w:rPr>
        <w:t>valori</w:t>
      </w:r>
      <w:r w:rsidR="00E06D38">
        <w:rPr>
          <w:rFonts w:ascii="Arial Narrow" w:hAnsi="Arial Narrow"/>
          <w:iCs/>
          <w:sz w:val="19"/>
          <w:szCs w:val="19"/>
        </w:rPr>
        <w:t xml:space="preserve"> </w:t>
      </w:r>
      <w:r w:rsidRPr="00353E9B">
        <w:rPr>
          <w:rFonts w:ascii="Arial Narrow" w:hAnsi="Arial Narrow"/>
          <w:sz w:val="19"/>
          <w:szCs w:val="19"/>
        </w:rPr>
        <w:t>assoluti, morti per milione di abitanti e variazioni percentuali</w:t>
      </w:r>
    </w:p>
    <w:tbl>
      <w:tblPr>
        <w:tblW w:w="9781" w:type="dxa"/>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1222"/>
        <w:gridCol w:w="1223"/>
        <w:gridCol w:w="1222"/>
        <w:gridCol w:w="1223"/>
        <w:gridCol w:w="1223"/>
        <w:gridCol w:w="1222"/>
        <w:gridCol w:w="1223"/>
        <w:gridCol w:w="1223"/>
      </w:tblGrid>
      <w:tr w:rsidR="00872EEA" w:rsidRPr="00C034A8" w14:paraId="10C4D258" w14:textId="77777777" w:rsidTr="00872EEA">
        <w:trPr>
          <w:trHeight w:val="603"/>
        </w:trPr>
        <w:tc>
          <w:tcPr>
            <w:tcW w:w="1222" w:type="dxa"/>
            <w:shd w:val="clear" w:color="auto" w:fill="FFFFFF" w:themeFill="background1"/>
            <w:vAlign w:val="center"/>
          </w:tcPr>
          <w:p w14:paraId="464DED14" w14:textId="77777777" w:rsidR="00872EEA" w:rsidRPr="003B3D7A" w:rsidRDefault="00872EEA" w:rsidP="00C47C95">
            <w:pPr>
              <w:spacing w:before="40" w:after="20"/>
              <w:rPr>
                <w:rFonts w:ascii="Arial Narrow" w:hAnsi="Arial Narrow"/>
                <w:b/>
                <w:bCs/>
                <w:caps/>
                <w:color w:val="000000"/>
                <w:sz w:val="18"/>
                <w:szCs w:val="18"/>
              </w:rPr>
            </w:pPr>
            <w:bookmarkStart w:id="1" w:name="OLE_LINK1"/>
            <w:r w:rsidRPr="003B3D7A">
              <w:rPr>
                <w:rFonts w:ascii="Arial Narrow" w:hAnsi="Arial Narrow"/>
                <w:b/>
                <w:bCs/>
                <w:caps/>
                <w:color w:val="000000"/>
                <w:sz w:val="18"/>
                <w:szCs w:val="18"/>
              </w:rPr>
              <w:t>Anni</w:t>
            </w:r>
          </w:p>
        </w:tc>
        <w:tc>
          <w:tcPr>
            <w:tcW w:w="1223" w:type="dxa"/>
            <w:shd w:val="clear" w:color="auto" w:fill="FFFFFF" w:themeFill="background1"/>
            <w:vAlign w:val="center"/>
          </w:tcPr>
          <w:p w14:paraId="368CF04F" w14:textId="77777777" w:rsidR="00872EEA" w:rsidRPr="003B3D7A" w:rsidRDefault="00872EEA" w:rsidP="00C47C95">
            <w:pPr>
              <w:spacing w:before="40" w:after="20"/>
              <w:jc w:val="center"/>
              <w:rPr>
                <w:rFonts w:ascii="Arial Narrow" w:hAnsi="Arial Narrow"/>
                <w:b/>
                <w:bCs/>
                <w:color w:val="000000"/>
                <w:sz w:val="18"/>
                <w:szCs w:val="18"/>
              </w:rPr>
            </w:pPr>
            <w:r w:rsidRPr="003B3D7A">
              <w:rPr>
                <w:rFonts w:ascii="Arial Narrow" w:hAnsi="Arial Narrow"/>
                <w:b/>
                <w:bCs/>
                <w:color w:val="000000"/>
                <w:sz w:val="18"/>
                <w:szCs w:val="18"/>
              </w:rPr>
              <w:t>Incidenti</w:t>
            </w:r>
          </w:p>
        </w:tc>
        <w:tc>
          <w:tcPr>
            <w:tcW w:w="1222" w:type="dxa"/>
            <w:shd w:val="clear" w:color="auto" w:fill="FFFFFF" w:themeFill="background1"/>
            <w:vAlign w:val="center"/>
          </w:tcPr>
          <w:p w14:paraId="57EBCA95" w14:textId="77777777" w:rsidR="00872EEA" w:rsidRPr="003B3D7A" w:rsidRDefault="00872EEA" w:rsidP="00C47C95">
            <w:pPr>
              <w:spacing w:before="40" w:after="20"/>
              <w:jc w:val="center"/>
              <w:rPr>
                <w:rFonts w:ascii="Arial Narrow" w:hAnsi="Arial Narrow"/>
                <w:b/>
                <w:bCs/>
                <w:color w:val="000000"/>
                <w:sz w:val="18"/>
                <w:szCs w:val="18"/>
              </w:rPr>
            </w:pPr>
            <w:r w:rsidRPr="003B3D7A">
              <w:rPr>
                <w:rFonts w:ascii="Arial Narrow" w:hAnsi="Arial Narrow"/>
                <w:b/>
                <w:bCs/>
                <w:color w:val="000000"/>
                <w:sz w:val="18"/>
                <w:szCs w:val="18"/>
              </w:rPr>
              <w:t>Morti</w:t>
            </w:r>
          </w:p>
        </w:tc>
        <w:tc>
          <w:tcPr>
            <w:tcW w:w="1223" w:type="dxa"/>
            <w:shd w:val="clear" w:color="auto" w:fill="FFFFFF" w:themeFill="background1"/>
            <w:vAlign w:val="center"/>
          </w:tcPr>
          <w:p w14:paraId="0BC7A5B3" w14:textId="77777777" w:rsidR="00872EEA" w:rsidRPr="003B3D7A" w:rsidRDefault="00872EEA" w:rsidP="00C47C95">
            <w:pPr>
              <w:spacing w:before="40" w:after="20"/>
              <w:jc w:val="center"/>
              <w:rPr>
                <w:rFonts w:ascii="Arial Narrow" w:hAnsi="Arial Narrow"/>
                <w:b/>
                <w:bCs/>
                <w:color w:val="000000"/>
                <w:sz w:val="18"/>
                <w:szCs w:val="18"/>
              </w:rPr>
            </w:pPr>
            <w:r w:rsidRPr="003B3D7A">
              <w:rPr>
                <w:rFonts w:ascii="Arial Narrow" w:hAnsi="Arial Narrow"/>
                <w:b/>
                <w:bCs/>
                <w:color w:val="000000"/>
                <w:sz w:val="18"/>
                <w:szCs w:val="18"/>
              </w:rPr>
              <w:t>Feriti</w:t>
            </w:r>
          </w:p>
        </w:tc>
        <w:tc>
          <w:tcPr>
            <w:tcW w:w="1223" w:type="dxa"/>
            <w:shd w:val="clear" w:color="auto" w:fill="FFFFFF" w:themeFill="background1"/>
            <w:vAlign w:val="center"/>
          </w:tcPr>
          <w:p w14:paraId="052C8944" w14:textId="77777777" w:rsidR="00872EEA" w:rsidRPr="003B3D7A" w:rsidRDefault="00872EEA" w:rsidP="00C47C95">
            <w:pPr>
              <w:spacing w:before="40" w:after="20"/>
              <w:jc w:val="center"/>
              <w:rPr>
                <w:rFonts w:ascii="Arial Narrow" w:hAnsi="Arial Narrow"/>
                <w:bCs/>
                <w:color w:val="000000"/>
                <w:sz w:val="18"/>
                <w:szCs w:val="18"/>
              </w:rPr>
            </w:pPr>
            <w:r w:rsidRPr="003B3D7A">
              <w:rPr>
                <w:rFonts w:ascii="Arial Narrow" w:hAnsi="Arial Narrow"/>
                <w:b/>
                <w:bCs/>
                <w:color w:val="000000"/>
                <w:sz w:val="18"/>
                <w:szCs w:val="18"/>
              </w:rPr>
              <w:t xml:space="preserve">Tasso di mortalità stradale </w:t>
            </w:r>
            <w:r w:rsidRPr="003B3D7A">
              <w:rPr>
                <w:rFonts w:ascii="Arial Narrow" w:hAnsi="Arial Narrow"/>
                <w:bCs/>
                <w:color w:val="000000"/>
                <w:sz w:val="18"/>
                <w:szCs w:val="18"/>
              </w:rPr>
              <w:t>(a)</w:t>
            </w:r>
          </w:p>
        </w:tc>
        <w:tc>
          <w:tcPr>
            <w:tcW w:w="1222" w:type="dxa"/>
            <w:shd w:val="clear" w:color="auto" w:fill="FFFFFF" w:themeFill="background1"/>
            <w:vAlign w:val="center"/>
          </w:tcPr>
          <w:p w14:paraId="189AA2E3" w14:textId="77777777" w:rsidR="00872EEA" w:rsidRPr="003B3D7A" w:rsidRDefault="00872EEA" w:rsidP="00C47C95">
            <w:pPr>
              <w:spacing w:before="40" w:after="20"/>
              <w:jc w:val="center"/>
              <w:rPr>
                <w:rFonts w:ascii="Arial Narrow" w:hAnsi="Arial Narrow"/>
                <w:b/>
                <w:bCs/>
                <w:color w:val="000000"/>
                <w:sz w:val="18"/>
                <w:szCs w:val="18"/>
              </w:rPr>
            </w:pPr>
            <w:r w:rsidRPr="003B3D7A">
              <w:rPr>
                <w:rFonts w:ascii="Arial Narrow" w:hAnsi="Arial Narrow"/>
                <w:b/>
                <w:bCs/>
                <w:color w:val="000000"/>
                <w:sz w:val="18"/>
                <w:szCs w:val="18"/>
              </w:rPr>
              <w:t xml:space="preserve">Var. % annua delle vittime </w:t>
            </w:r>
            <w:r w:rsidRPr="003B3D7A">
              <w:rPr>
                <w:rFonts w:ascii="Arial Narrow" w:hAnsi="Arial Narrow"/>
                <w:bCs/>
                <w:color w:val="000000"/>
                <w:sz w:val="18"/>
                <w:szCs w:val="18"/>
              </w:rPr>
              <w:t>(b)</w:t>
            </w:r>
          </w:p>
        </w:tc>
        <w:tc>
          <w:tcPr>
            <w:tcW w:w="1223" w:type="dxa"/>
            <w:shd w:val="clear" w:color="auto" w:fill="FFFFFF" w:themeFill="background1"/>
            <w:vAlign w:val="center"/>
          </w:tcPr>
          <w:p w14:paraId="7F67A63E" w14:textId="77777777" w:rsidR="00872EEA" w:rsidRPr="003B3D7A" w:rsidRDefault="00872EEA" w:rsidP="00C47C95">
            <w:pPr>
              <w:spacing w:before="40" w:after="20"/>
              <w:ind w:firstLine="6"/>
              <w:jc w:val="center"/>
              <w:rPr>
                <w:rFonts w:ascii="Arial Narrow" w:hAnsi="Arial Narrow"/>
                <w:b/>
                <w:bCs/>
                <w:color w:val="000000"/>
                <w:sz w:val="18"/>
                <w:szCs w:val="18"/>
              </w:rPr>
            </w:pPr>
            <w:r w:rsidRPr="003B3D7A">
              <w:rPr>
                <w:rFonts w:ascii="Arial Narrow" w:hAnsi="Arial Narrow"/>
                <w:b/>
                <w:bCs/>
                <w:color w:val="000000"/>
                <w:sz w:val="18"/>
                <w:szCs w:val="18"/>
              </w:rPr>
              <w:t xml:space="preserve">Var.% delle vittime </w:t>
            </w:r>
          </w:p>
          <w:p w14:paraId="4661992D" w14:textId="77777777" w:rsidR="00872EEA" w:rsidRPr="003B3D7A" w:rsidRDefault="00872EEA" w:rsidP="00C47C95">
            <w:pPr>
              <w:spacing w:before="40" w:after="20"/>
              <w:ind w:firstLine="6"/>
              <w:jc w:val="center"/>
              <w:rPr>
                <w:rFonts w:ascii="Arial Narrow" w:hAnsi="Arial Narrow"/>
                <w:b/>
                <w:bCs/>
                <w:color w:val="000000"/>
                <w:sz w:val="18"/>
                <w:szCs w:val="18"/>
              </w:rPr>
            </w:pPr>
            <w:r w:rsidRPr="003B3D7A">
              <w:rPr>
                <w:rFonts w:ascii="Arial Narrow" w:hAnsi="Arial Narrow"/>
                <w:b/>
                <w:bCs/>
                <w:color w:val="000000"/>
                <w:sz w:val="18"/>
                <w:szCs w:val="18"/>
              </w:rPr>
              <w:t xml:space="preserve">vs 2001 </w:t>
            </w:r>
            <w:r w:rsidRPr="003B3D7A">
              <w:rPr>
                <w:rFonts w:ascii="Arial Narrow" w:hAnsi="Arial Narrow"/>
                <w:color w:val="000000"/>
                <w:sz w:val="18"/>
                <w:szCs w:val="18"/>
              </w:rPr>
              <w:t>(b)</w:t>
            </w:r>
          </w:p>
        </w:tc>
        <w:tc>
          <w:tcPr>
            <w:tcW w:w="1223" w:type="dxa"/>
            <w:shd w:val="clear" w:color="auto" w:fill="FFFFFF" w:themeFill="background1"/>
            <w:vAlign w:val="center"/>
          </w:tcPr>
          <w:p w14:paraId="293E288B" w14:textId="77777777" w:rsidR="00872EEA" w:rsidRPr="003B3D7A" w:rsidRDefault="00872EEA" w:rsidP="00C47C95">
            <w:pPr>
              <w:spacing w:before="40" w:after="20"/>
              <w:ind w:firstLine="3"/>
              <w:jc w:val="center"/>
              <w:rPr>
                <w:rFonts w:ascii="Arial Narrow" w:hAnsi="Arial Narrow"/>
                <w:b/>
                <w:bCs/>
                <w:color w:val="000000"/>
                <w:sz w:val="18"/>
                <w:szCs w:val="18"/>
              </w:rPr>
            </w:pPr>
            <w:r w:rsidRPr="003B3D7A">
              <w:rPr>
                <w:rFonts w:ascii="Arial Narrow" w:hAnsi="Arial Narrow"/>
                <w:b/>
                <w:bCs/>
                <w:color w:val="000000"/>
                <w:sz w:val="18"/>
                <w:szCs w:val="18"/>
              </w:rPr>
              <w:t xml:space="preserve">Var. % delle vittime </w:t>
            </w:r>
          </w:p>
          <w:p w14:paraId="50A62420" w14:textId="77777777" w:rsidR="00872EEA" w:rsidRPr="003B3D7A" w:rsidRDefault="00872EEA" w:rsidP="00C47C95">
            <w:pPr>
              <w:spacing w:before="40" w:after="20"/>
              <w:ind w:firstLine="3"/>
              <w:jc w:val="center"/>
              <w:rPr>
                <w:rFonts w:ascii="Arial Narrow" w:hAnsi="Arial Narrow"/>
                <w:b/>
                <w:bCs/>
                <w:color w:val="000000"/>
                <w:sz w:val="18"/>
                <w:szCs w:val="18"/>
              </w:rPr>
            </w:pPr>
            <w:r w:rsidRPr="003B3D7A">
              <w:rPr>
                <w:rFonts w:ascii="Arial Narrow" w:hAnsi="Arial Narrow"/>
                <w:b/>
                <w:bCs/>
                <w:color w:val="000000"/>
                <w:sz w:val="18"/>
                <w:szCs w:val="18"/>
              </w:rPr>
              <w:t xml:space="preserve">vs 2010 </w:t>
            </w:r>
            <w:r w:rsidRPr="003B3D7A">
              <w:rPr>
                <w:rFonts w:ascii="Arial Narrow" w:hAnsi="Arial Narrow"/>
                <w:color w:val="000000"/>
                <w:sz w:val="18"/>
                <w:szCs w:val="18"/>
              </w:rPr>
              <w:t>(b)</w:t>
            </w:r>
          </w:p>
        </w:tc>
      </w:tr>
      <w:tr w:rsidR="00872EEA" w:rsidRPr="00C034A8" w14:paraId="3DB5B99E" w14:textId="77777777" w:rsidTr="00090BAB">
        <w:trPr>
          <w:trHeight w:val="255"/>
        </w:trPr>
        <w:tc>
          <w:tcPr>
            <w:tcW w:w="1222" w:type="dxa"/>
            <w:shd w:val="clear" w:color="auto" w:fill="FFFFFF" w:themeFill="background1"/>
            <w:vAlign w:val="center"/>
          </w:tcPr>
          <w:p w14:paraId="69C630F7" w14:textId="77777777" w:rsidR="00872EEA" w:rsidRPr="003B3D7A" w:rsidRDefault="00872EEA" w:rsidP="00D746FB">
            <w:pPr>
              <w:spacing w:before="40" w:after="20"/>
              <w:rPr>
                <w:rFonts w:ascii="Arial Narrow" w:hAnsi="Arial Narrow"/>
                <w:color w:val="000000"/>
                <w:sz w:val="18"/>
                <w:szCs w:val="18"/>
              </w:rPr>
            </w:pPr>
            <w:r w:rsidRPr="003B3D7A">
              <w:rPr>
                <w:rFonts w:ascii="Arial Narrow" w:hAnsi="Arial Narrow"/>
                <w:color w:val="000000"/>
                <w:sz w:val="18"/>
                <w:szCs w:val="18"/>
              </w:rPr>
              <w:t>2001</w:t>
            </w:r>
          </w:p>
        </w:tc>
        <w:tc>
          <w:tcPr>
            <w:tcW w:w="1223" w:type="dxa"/>
            <w:shd w:val="clear" w:color="auto" w:fill="D9D9D9" w:themeFill="background1" w:themeFillShade="D9"/>
            <w:vAlign w:val="center"/>
          </w:tcPr>
          <w:p w14:paraId="73515A01"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color w:val="000000"/>
                <w:sz w:val="18"/>
                <w:szCs w:val="18"/>
              </w:rPr>
              <w:t>263.100</w:t>
            </w:r>
          </w:p>
        </w:tc>
        <w:tc>
          <w:tcPr>
            <w:tcW w:w="1222" w:type="dxa"/>
            <w:shd w:val="clear" w:color="auto" w:fill="FFFFFF" w:themeFill="background1"/>
            <w:vAlign w:val="center"/>
          </w:tcPr>
          <w:p w14:paraId="12F6D63F"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7.096</w:t>
            </w:r>
          </w:p>
        </w:tc>
        <w:tc>
          <w:tcPr>
            <w:tcW w:w="1223" w:type="dxa"/>
            <w:shd w:val="clear" w:color="auto" w:fill="D9D9D9" w:themeFill="background1" w:themeFillShade="D9"/>
            <w:vAlign w:val="center"/>
          </w:tcPr>
          <w:p w14:paraId="2285E85C"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color w:val="000000"/>
                <w:sz w:val="18"/>
                <w:szCs w:val="18"/>
              </w:rPr>
              <w:t>373.286</w:t>
            </w:r>
          </w:p>
        </w:tc>
        <w:tc>
          <w:tcPr>
            <w:tcW w:w="1223" w:type="dxa"/>
            <w:shd w:val="clear" w:color="auto" w:fill="FFFFFF" w:themeFill="background1"/>
            <w:vAlign w:val="center"/>
          </w:tcPr>
          <w:p w14:paraId="062FD11D"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124,5</w:t>
            </w:r>
          </w:p>
        </w:tc>
        <w:tc>
          <w:tcPr>
            <w:tcW w:w="1222" w:type="dxa"/>
            <w:shd w:val="clear" w:color="auto" w:fill="D9D9D9" w:themeFill="background1" w:themeFillShade="D9"/>
            <w:vAlign w:val="center"/>
          </w:tcPr>
          <w:p w14:paraId="73760825"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w:t>
            </w:r>
          </w:p>
        </w:tc>
        <w:tc>
          <w:tcPr>
            <w:tcW w:w="1223" w:type="dxa"/>
            <w:shd w:val="clear" w:color="auto" w:fill="FFFFFF" w:themeFill="background1"/>
            <w:vAlign w:val="center"/>
          </w:tcPr>
          <w:p w14:paraId="12235FA4"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w:t>
            </w:r>
          </w:p>
        </w:tc>
        <w:tc>
          <w:tcPr>
            <w:tcW w:w="1223" w:type="dxa"/>
            <w:shd w:val="clear" w:color="auto" w:fill="D9D9D9" w:themeFill="background1" w:themeFillShade="D9"/>
            <w:vAlign w:val="center"/>
          </w:tcPr>
          <w:p w14:paraId="7218D524"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w:t>
            </w:r>
          </w:p>
        </w:tc>
      </w:tr>
      <w:tr w:rsidR="00872EEA" w:rsidRPr="00C034A8" w14:paraId="7EC88597" w14:textId="77777777" w:rsidTr="00090BAB">
        <w:trPr>
          <w:trHeight w:val="255"/>
        </w:trPr>
        <w:tc>
          <w:tcPr>
            <w:tcW w:w="1222" w:type="dxa"/>
            <w:shd w:val="clear" w:color="auto" w:fill="FFFFFF" w:themeFill="background1"/>
            <w:vAlign w:val="center"/>
          </w:tcPr>
          <w:p w14:paraId="7F9EBFD5" w14:textId="77777777" w:rsidR="00872EEA" w:rsidRPr="003B3D7A" w:rsidRDefault="00872EEA" w:rsidP="00D746FB">
            <w:pPr>
              <w:spacing w:before="40" w:after="20"/>
              <w:rPr>
                <w:rFonts w:ascii="Arial Narrow" w:hAnsi="Arial Narrow"/>
                <w:sz w:val="18"/>
                <w:szCs w:val="18"/>
              </w:rPr>
            </w:pPr>
            <w:r w:rsidRPr="003B3D7A">
              <w:rPr>
                <w:rFonts w:ascii="Arial Narrow" w:hAnsi="Arial Narrow"/>
                <w:sz w:val="18"/>
                <w:szCs w:val="18"/>
              </w:rPr>
              <w:t xml:space="preserve">2010 </w:t>
            </w:r>
          </w:p>
        </w:tc>
        <w:tc>
          <w:tcPr>
            <w:tcW w:w="1223" w:type="dxa"/>
            <w:shd w:val="clear" w:color="auto" w:fill="D9D9D9" w:themeFill="background1" w:themeFillShade="D9"/>
            <w:vAlign w:val="center"/>
          </w:tcPr>
          <w:p w14:paraId="08323BA1"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color w:val="000000"/>
                <w:sz w:val="18"/>
                <w:szCs w:val="18"/>
              </w:rPr>
              <w:t>212.997</w:t>
            </w:r>
          </w:p>
        </w:tc>
        <w:tc>
          <w:tcPr>
            <w:tcW w:w="1222" w:type="dxa"/>
            <w:shd w:val="clear" w:color="auto" w:fill="FFFFFF" w:themeFill="background1"/>
            <w:vAlign w:val="center"/>
          </w:tcPr>
          <w:p w14:paraId="0A263CAC"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4.114</w:t>
            </w:r>
          </w:p>
        </w:tc>
        <w:tc>
          <w:tcPr>
            <w:tcW w:w="1223" w:type="dxa"/>
            <w:shd w:val="clear" w:color="auto" w:fill="D9D9D9" w:themeFill="background1" w:themeFillShade="D9"/>
            <w:vAlign w:val="center"/>
          </w:tcPr>
          <w:p w14:paraId="77F25A43"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color w:val="000000"/>
                <w:sz w:val="18"/>
                <w:szCs w:val="18"/>
              </w:rPr>
              <w:t>304.720</w:t>
            </w:r>
          </w:p>
        </w:tc>
        <w:tc>
          <w:tcPr>
            <w:tcW w:w="1223" w:type="dxa"/>
            <w:shd w:val="clear" w:color="auto" w:fill="FFFFFF" w:themeFill="background1"/>
            <w:vAlign w:val="center"/>
          </w:tcPr>
          <w:p w14:paraId="277DBCFE"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69,4</w:t>
            </w:r>
          </w:p>
        </w:tc>
        <w:tc>
          <w:tcPr>
            <w:tcW w:w="1222" w:type="dxa"/>
            <w:shd w:val="clear" w:color="auto" w:fill="D9D9D9" w:themeFill="background1" w:themeFillShade="D9"/>
            <w:vAlign w:val="center"/>
          </w:tcPr>
          <w:p w14:paraId="1DC83178"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-2,9</w:t>
            </w:r>
          </w:p>
        </w:tc>
        <w:tc>
          <w:tcPr>
            <w:tcW w:w="1223" w:type="dxa"/>
            <w:shd w:val="clear" w:color="auto" w:fill="FFFFFF" w:themeFill="background1"/>
            <w:vAlign w:val="center"/>
          </w:tcPr>
          <w:p w14:paraId="241E903A"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-42,0</w:t>
            </w:r>
          </w:p>
        </w:tc>
        <w:tc>
          <w:tcPr>
            <w:tcW w:w="1223" w:type="dxa"/>
            <w:shd w:val="clear" w:color="auto" w:fill="D9D9D9" w:themeFill="background1" w:themeFillShade="D9"/>
            <w:vAlign w:val="center"/>
          </w:tcPr>
          <w:p w14:paraId="438FCD6C"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w:t>
            </w:r>
          </w:p>
        </w:tc>
      </w:tr>
      <w:tr w:rsidR="00872EEA" w:rsidRPr="00C034A8" w14:paraId="3B5DEB28" w14:textId="77777777" w:rsidTr="00090BAB">
        <w:trPr>
          <w:trHeight w:val="255"/>
        </w:trPr>
        <w:tc>
          <w:tcPr>
            <w:tcW w:w="1222" w:type="dxa"/>
            <w:shd w:val="clear" w:color="auto" w:fill="FFFFFF" w:themeFill="background1"/>
            <w:vAlign w:val="center"/>
          </w:tcPr>
          <w:p w14:paraId="6DB9FE7E" w14:textId="77777777" w:rsidR="00872EEA" w:rsidRPr="003B3D7A" w:rsidRDefault="00872EEA" w:rsidP="00D746FB">
            <w:pPr>
              <w:spacing w:before="40" w:after="20"/>
              <w:rPr>
                <w:rFonts w:ascii="Arial Narrow" w:hAnsi="Arial Narrow"/>
                <w:sz w:val="18"/>
                <w:szCs w:val="18"/>
              </w:rPr>
            </w:pPr>
            <w:r w:rsidRPr="003B3D7A">
              <w:rPr>
                <w:rFonts w:ascii="Arial Narrow" w:hAnsi="Arial Narrow"/>
                <w:sz w:val="18"/>
                <w:szCs w:val="18"/>
              </w:rPr>
              <w:t>2011</w:t>
            </w:r>
          </w:p>
        </w:tc>
        <w:tc>
          <w:tcPr>
            <w:tcW w:w="1223" w:type="dxa"/>
            <w:shd w:val="clear" w:color="auto" w:fill="D9D9D9" w:themeFill="background1" w:themeFillShade="D9"/>
            <w:vAlign w:val="center"/>
          </w:tcPr>
          <w:p w14:paraId="136525BB"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205.638</w:t>
            </w:r>
          </w:p>
        </w:tc>
        <w:tc>
          <w:tcPr>
            <w:tcW w:w="1222" w:type="dxa"/>
            <w:shd w:val="clear" w:color="auto" w:fill="FFFFFF" w:themeFill="background1"/>
            <w:vAlign w:val="center"/>
          </w:tcPr>
          <w:p w14:paraId="2A653773"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3.860</w:t>
            </w:r>
          </w:p>
        </w:tc>
        <w:tc>
          <w:tcPr>
            <w:tcW w:w="1223" w:type="dxa"/>
            <w:shd w:val="clear" w:color="auto" w:fill="D9D9D9" w:themeFill="background1" w:themeFillShade="D9"/>
            <w:vAlign w:val="center"/>
          </w:tcPr>
          <w:p w14:paraId="080CF951"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292.019</w:t>
            </w:r>
          </w:p>
        </w:tc>
        <w:tc>
          <w:tcPr>
            <w:tcW w:w="1223" w:type="dxa"/>
            <w:shd w:val="clear" w:color="auto" w:fill="FFFFFF" w:themeFill="background1"/>
            <w:vAlign w:val="center"/>
          </w:tcPr>
          <w:p w14:paraId="74C5574A"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65,0</w:t>
            </w:r>
          </w:p>
        </w:tc>
        <w:tc>
          <w:tcPr>
            <w:tcW w:w="1222" w:type="dxa"/>
            <w:shd w:val="clear" w:color="auto" w:fill="D9D9D9" w:themeFill="background1" w:themeFillShade="D9"/>
            <w:vAlign w:val="center"/>
          </w:tcPr>
          <w:p w14:paraId="51B29AEE"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-6,2</w:t>
            </w:r>
          </w:p>
        </w:tc>
        <w:tc>
          <w:tcPr>
            <w:tcW w:w="1223" w:type="dxa"/>
            <w:shd w:val="clear" w:color="auto" w:fill="FFFFFF" w:themeFill="background1"/>
            <w:vAlign w:val="center"/>
          </w:tcPr>
          <w:p w14:paraId="4BEE8FC6"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-45,6</w:t>
            </w:r>
          </w:p>
        </w:tc>
        <w:tc>
          <w:tcPr>
            <w:tcW w:w="1223" w:type="dxa"/>
            <w:shd w:val="clear" w:color="auto" w:fill="D9D9D9" w:themeFill="background1" w:themeFillShade="D9"/>
            <w:vAlign w:val="center"/>
          </w:tcPr>
          <w:p w14:paraId="1A0E8DAD"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-6,2</w:t>
            </w:r>
          </w:p>
        </w:tc>
      </w:tr>
      <w:tr w:rsidR="00872EEA" w:rsidRPr="00C034A8" w14:paraId="0A23D36E" w14:textId="77777777" w:rsidTr="00090BAB">
        <w:trPr>
          <w:trHeight w:val="255"/>
        </w:trPr>
        <w:tc>
          <w:tcPr>
            <w:tcW w:w="1222" w:type="dxa"/>
            <w:shd w:val="clear" w:color="auto" w:fill="FFFFFF" w:themeFill="background1"/>
            <w:vAlign w:val="center"/>
          </w:tcPr>
          <w:p w14:paraId="1D13380C" w14:textId="77777777" w:rsidR="00872EEA" w:rsidRPr="003B3D7A" w:rsidRDefault="00872EEA" w:rsidP="00D746FB">
            <w:pPr>
              <w:spacing w:before="40" w:after="20"/>
              <w:rPr>
                <w:rFonts w:ascii="Arial Narrow" w:hAnsi="Arial Narrow"/>
                <w:sz w:val="18"/>
                <w:szCs w:val="18"/>
              </w:rPr>
            </w:pPr>
            <w:r w:rsidRPr="003B3D7A">
              <w:rPr>
                <w:rFonts w:ascii="Arial Narrow" w:hAnsi="Arial Narrow"/>
                <w:sz w:val="18"/>
                <w:szCs w:val="18"/>
              </w:rPr>
              <w:t xml:space="preserve">2012 </w:t>
            </w:r>
          </w:p>
        </w:tc>
        <w:tc>
          <w:tcPr>
            <w:tcW w:w="1223" w:type="dxa"/>
            <w:shd w:val="clear" w:color="auto" w:fill="D9D9D9" w:themeFill="background1" w:themeFillShade="D9"/>
            <w:vAlign w:val="center"/>
          </w:tcPr>
          <w:p w14:paraId="0559E806"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188.228</w:t>
            </w:r>
          </w:p>
        </w:tc>
        <w:tc>
          <w:tcPr>
            <w:tcW w:w="1222" w:type="dxa"/>
            <w:shd w:val="clear" w:color="auto" w:fill="FFFFFF" w:themeFill="background1"/>
            <w:vAlign w:val="center"/>
          </w:tcPr>
          <w:p w14:paraId="6526E27A"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 xml:space="preserve">3.753 </w:t>
            </w:r>
          </w:p>
        </w:tc>
        <w:tc>
          <w:tcPr>
            <w:tcW w:w="1223" w:type="dxa"/>
            <w:shd w:val="clear" w:color="auto" w:fill="D9D9D9" w:themeFill="background1" w:themeFillShade="D9"/>
            <w:vAlign w:val="center"/>
          </w:tcPr>
          <w:p w14:paraId="1FCB5A48"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266.864</w:t>
            </w:r>
          </w:p>
        </w:tc>
        <w:tc>
          <w:tcPr>
            <w:tcW w:w="1223" w:type="dxa"/>
            <w:shd w:val="clear" w:color="auto" w:fill="FFFFFF" w:themeFill="background1"/>
            <w:vAlign w:val="center"/>
          </w:tcPr>
          <w:p w14:paraId="57534E94"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63,0</w:t>
            </w:r>
          </w:p>
        </w:tc>
        <w:tc>
          <w:tcPr>
            <w:tcW w:w="1222" w:type="dxa"/>
            <w:shd w:val="clear" w:color="auto" w:fill="D9D9D9" w:themeFill="background1" w:themeFillShade="D9"/>
            <w:vAlign w:val="center"/>
          </w:tcPr>
          <w:p w14:paraId="31FA561D"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-2,8</w:t>
            </w:r>
          </w:p>
        </w:tc>
        <w:tc>
          <w:tcPr>
            <w:tcW w:w="1223" w:type="dxa"/>
            <w:shd w:val="clear" w:color="auto" w:fill="FFFFFF" w:themeFill="background1"/>
            <w:vAlign w:val="center"/>
          </w:tcPr>
          <w:p w14:paraId="6BC661E9"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-47,1</w:t>
            </w:r>
          </w:p>
        </w:tc>
        <w:tc>
          <w:tcPr>
            <w:tcW w:w="1223" w:type="dxa"/>
            <w:shd w:val="clear" w:color="auto" w:fill="D9D9D9" w:themeFill="background1" w:themeFillShade="D9"/>
            <w:vAlign w:val="center"/>
          </w:tcPr>
          <w:p w14:paraId="34A71D82" w14:textId="7777777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-8,8</w:t>
            </w:r>
          </w:p>
        </w:tc>
      </w:tr>
      <w:tr w:rsidR="00872EEA" w:rsidRPr="00C034A8" w14:paraId="6A112F35" w14:textId="77777777" w:rsidTr="00090BAB">
        <w:trPr>
          <w:trHeight w:val="255"/>
        </w:trPr>
        <w:tc>
          <w:tcPr>
            <w:tcW w:w="1222" w:type="dxa"/>
            <w:shd w:val="clear" w:color="auto" w:fill="FFFFFF" w:themeFill="background1"/>
            <w:vAlign w:val="center"/>
          </w:tcPr>
          <w:p w14:paraId="1B72D637" w14:textId="77777777" w:rsidR="00872EEA" w:rsidRPr="003B3D7A" w:rsidRDefault="00872EEA" w:rsidP="00D746FB">
            <w:pPr>
              <w:spacing w:before="40" w:after="20"/>
              <w:rPr>
                <w:rFonts w:ascii="Arial Narrow" w:hAnsi="Arial Narrow"/>
                <w:sz w:val="18"/>
                <w:szCs w:val="18"/>
              </w:rPr>
            </w:pPr>
            <w:r w:rsidRPr="003B3D7A">
              <w:rPr>
                <w:rFonts w:ascii="Arial Narrow" w:hAnsi="Arial Narrow"/>
                <w:sz w:val="18"/>
                <w:szCs w:val="18"/>
              </w:rPr>
              <w:t xml:space="preserve">2013 </w:t>
            </w:r>
          </w:p>
        </w:tc>
        <w:tc>
          <w:tcPr>
            <w:tcW w:w="1223" w:type="dxa"/>
            <w:shd w:val="clear" w:color="auto" w:fill="D9D9D9" w:themeFill="background1" w:themeFillShade="D9"/>
            <w:vAlign w:val="center"/>
          </w:tcPr>
          <w:p w14:paraId="1F90B8C0"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181.660</w:t>
            </w:r>
          </w:p>
        </w:tc>
        <w:tc>
          <w:tcPr>
            <w:tcW w:w="1222" w:type="dxa"/>
            <w:shd w:val="clear" w:color="auto" w:fill="FFFFFF" w:themeFill="background1"/>
            <w:vAlign w:val="center"/>
          </w:tcPr>
          <w:p w14:paraId="0E0C5D25" w14:textId="7E3EB38B"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3.401</w:t>
            </w:r>
          </w:p>
        </w:tc>
        <w:tc>
          <w:tcPr>
            <w:tcW w:w="1223" w:type="dxa"/>
            <w:shd w:val="clear" w:color="auto" w:fill="D9D9D9" w:themeFill="background1" w:themeFillShade="D9"/>
            <w:vAlign w:val="center"/>
          </w:tcPr>
          <w:p w14:paraId="0B5DFB2F"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258.093</w:t>
            </w:r>
          </w:p>
        </w:tc>
        <w:tc>
          <w:tcPr>
            <w:tcW w:w="1223" w:type="dxa"/>
            <w:shd w:val="clear" w:color="auto" w:fill="FFFFFF" w:themeFill="background1"/>
            <w:vAlign w:val="center"/>
          </w:tcPr>
          <w:p w14:paraId="2F79EA08" w14:textId="467ACBF7" w:rsidR="00872EEA" w:rsidRPr="003B3D7A" w:rsidRDefault="00872EEA" w:rsidP="00D746FB">
            <w:pPr>
              <w:spacing w:before="40" w:after="20"/>
              <w:ind w:right="227"/>
              <w:jc w:val="right"/>
              <w:rPr>
                <w:rFonts w:ascii="Arial Narrow" w:hAnsi="Arial Narrow"/>
                <w:color w:val="000000"/>
                <w:sz w:val="18"/>
                <w:szCs w:val="18"/>
              </w:rPr>
            </w:pPr>
            <w:r w:rsidRPr="003B3D7A">
              <w:rPr>
                <w:rFonts w:ascii="Arial Narrow" w:hAnsi="Arial Narrow"/>
                <w:color w:val="000000"/>
                <w:sz w:val="18"/>
                <w:szCs w:val="18"/>
              </w:rPr>
              <w:t>56,2</w:t>
            </w:r>
          </w:p>
        </w:tc>
        <w:tc>
          <w:tcPr>
            <w:tcW w:w="1222" w:type="dxa"/>
            <w:shd w:val="clear" w:color="auto" w:fill="D9D9D9" w:themeFill="background1" w:themeFillShade="D9"/>
            <w:vAlign w:val="center"/>
          </w:tcPr>
          <w:p w14:paraId="7313F1F8" w14:textId="6FEF8EEE"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-9,4</w:t>
            </w:r>
          </w:p>
        </w:tc>
        <w:tc>
          <w:tcPr>
            <w:tcW w:w="1223" w:type="dxa"/>
            <w:shd w:val="clear" w:color="auto" w:fill="FFFFFF" w:themeFill="background1"/>
            <w:vAlign w:val="center"/>
          </w:tcPr>
          <w:p w14:paraId="5F36B8B8"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-52,1</w:t>
            </w:r>
          </w:p>
        </w:tc>
        <w:tc>
          <w:tcPr>
            <w:tcW w:w="1223" w:type="dxa"/>
            <w:shd w:val="clear" w:color="auto" w:fill="D9D9D9" w:themeFill="background1" w:themeFillShade="D9"/>
            <w:vAlign w:val="center"/>
          </w:tcPr>
          <w:p w14:paraId="51594DF9"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-17,3</w:t>
            </w:r>
          </w:p>
        </w:tc>
      </w:tr>
      <w:tr w:rsidR="00872EEA" w:rsidRPr="00C034A8" w14:paraId="50C22782" w14:textId="77777777" w:rsidTr="00090BAB">
        <w:trPr>
          <w:trHeight w:val="255"/>
        </w:trPr>
        <w:tc>
          <w:tcPr>
            <w:tcW w:w="1222" w:type="dxa"/>
            <w:shd w:val="clear" w:color="auto" w:fill="FFFFFF" w:themeFill="background1"/>
            <w:vAlign w:val="center"/>
          </w:tcPr>
          <w:p w14:paraId="304CF7B8" w14:textId="77777777" w:rsidR="00872EEA" w:rsidRPr="003B3D7A" w:rsidRDefault="00872EEA" w:rsidP="00D746FB">
            <w:pPr>
              <w:spacing w:before="40" w:after="20"/>
              <w:rPr>
                <w:rFonts w:ascii="Arial Narrow" w:hAnsi="Arial Narrow"/>
                <w:sz w:val="18"/>
                <w:szCs w:val="18"/>
              </w:rPr>
            </w:pPr>
            <w:r w:rsidRPr="003B3D7A">
              <w:rPr>
                <w:rFonts w:ascii="Arial Narrow" w:hAnsi="Arial Narrow"/>
                <w:sz w:val="18"/>
                <w:szCs w:val="18"/>
              </w:rPr>
              <w:t>2014</w:t>
            </w:r>
          </w:p>
        </w:tc>
        <w:tc>
          <w:tcPr>
            <w:tcW w:w="1223" w:type="dxa"/>
            <w:shd w:val="clear" w:color="auto" w:fill="D9D9D9" w:themeFill="background1" w:themeFillShade="D9"/>
            <w:vAlign w:val="center"/>
          </w:tcPr>
          <w:p w14:paraId="13C8242A"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177.031</w:t>
            </w:r>
          </w:p>
        </w:tc>
        <w:tc>
          <w:tcPr>
            <w:tcW w:w="1222" w:type="dxa"/>
            <w:shd w:val="clear" w:color="auto" w:fill="FFFFFF" w:themeFill="background1"/>
            <w:vAlign w:val="center"/>
          </w:tcPr>
          <w:p w14:paraId="00201C54"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3.381</w:t>
            </w:r>
          </w:p>
        </w:tc>
        <w:tc>
          <w:tcPr>
            <w:tcW w:w="1223" w:type="dxa"/>
            <w:shd w:val="clear" w:color="auto" w:fill="D9D9D9" w:themeFill="background1" w:themeFillShade="D9"/>
            <w:vAlign w:val="center"/>
          </w:tcPr>
          <w:p w14:paraId="6AEB776A" w14:textId="77777777" w:rsidR="00872EEA" w:rsidRPr="003B3D7A" w:rsidRDefault="00872EEA" w:rsidP="00D746FB">
            <w:pPr>
              <w:spacing w:before="40" w:after="20"/>
              <w:ind w:right="170"/>
              <w:jc w:val="right"/>
              <w:rPr>
                <w:rFonts w:ascii="Arial Narrow" w:hAnsi="Arial Narrow"/>
                <w:color w:val="000000"/>
                <w:sz w:val="18"/>
                <w:szCs w:val="18"/>
              </w:rPr>
            </w:pPr>
            <w:r w:rsidRPr="003B3D7A">
              <w:rPr>
                <w:rFonts w:ascii="Arial Narrow" w:hAnsi="Arial Narrow"/>
                <w:sz w:val="18"/>
                <w:szCs w:val="18"/>
              </w:rPr>
              <w:t>251.147</w:t>
            </w:r>
          </w:p>
        </w:tc>
        <w:tc>
          <w:tcPr>
            <w:tcW w:w="1223" w:type="dxa"/>
            <w:shd w:val="clear" w:color="auto" w:fill="FFFFFF" w:themeFill="background1"/>
            <w:vAlign w:val="center"/>
          </w:tcPr>
          <w:p w14:paraId="6651007D"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55,6</w:t>
            </w:r>
          </w:p>
        </w:tc>
        <w:tc>
          <w:tcPr>
            <w:tcW w:w="1222" w:type="dxa"/>
            <w:shd w:val="clear" w:color="auto" w:fill="D9D9D9" w:themeFill="background1" w:themeFillShade="D9"/>
            <w:vAlign w:val="center"/>
          </w:tcPr>
          <w:p w14:paraId="4C8CA1B0"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-0,6</w:t>
            </w:r>
          </w:p>
        </w:tc>
        <w:tc>
          <w:tcPr>
            <w:tcW w:w="1223" w:type="dxa"/>
            <w:shd w:val="clear" w:color="auto" w:fill="FFFFFF" w:themeFill="background1"/>
            <w:vAlign w:val="center"/>
          </w:tcPr>
          <w:p w14:paraId="4A23B474"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-52,4</w:t>
            </w:r>
          </w:p>
        </w:tc>
        <w:tc>
          <w:tcPr>
            <w:tcW w:w="1223" w:type="dxa"/>
            <w:shd w:val="clear" w:color="auto" w:fill="D9D9D9" w:themeFill="background1" w:themeFillShade="D9"/>
            <w:vAlign w:val="center"/>
          </w:tcPr>
          <w:p w14:paraId="56CEA5F9"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-17,8</w:t>
            </w:r>
          </w:p>
        </w:tc>
      </w:tr>
      <w:tr w:rsidR="00872EEA" w:rsidRPr="00C034A8" w14:paraId="4351FA6D" w14:textId="77777777" w:rsidTr="00090BAB">
        <w:trPr>
          <w:trHeight w:val="255"/>
        </w:trPr>
        <w:tc>
          <w:tcPr>
            <w:tcW w:w="1222" w:type="dxa"/>
            <w:shd w:val="clear" w:color="auto" w:fill="FFFFFF" w:themeFill="background1"/>
            <w:vAlign w:val="center"/>
          </w:tcPr>
          <w:p w14:paraId="43728F34" w14:textId="77777777" w:rsidR="00872EEA" w:rsidRPr="003B3D7A" w:rsidRDefault="00872EEA" w:rsidP="00D746FB">
            <w:pPr>
              <w:spacing w:before="40" w:after="20"/>
              <w:rPr>
                <w:rFonts w:ascii="Arial Narrow" w:hAnsi="Arial Narrow"/>
                <w:sz w:val="18"/>
                <w:szCs w:val="18"/>
              </w:rPr>
            </w:pPr>
            <w:r w:rsidRPr="003B3D7A">
              <w:rPr>
                <w:rFonts w:ascii="Arial Narrow" w:hAnsi="Arial Narrow"/>
                <w:sz w:val="18"/>
                <w:szCs w:val="18"/>
              </w:rPr>
              <w:t xml:space="preserve">2015 </w:t>
            </w:r>
          </w:p>
        </w:tc>
        <w:tc>
          <w:tcPr>
            <w:tcW w:w="1223" w:type="dxa"/>
            <w:shd w:val="clear" w:color="auto" w:fill="D9D9D9" w:themeFill="background1" w:themeFillShade="D9"/>
            <w:vAlign w:val="center"/>
          </w:tcPr>
          <w:p w14:paraId="1CEC83BA"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174.539</w:t>
            </w:r>
          </w:p>
        </w:tc>
        <w:tc>
          <w:tcPr>
            <w:tcW w:w="1222" w:type="dxa"/>
            <w:shd w:val="clear" w:color="auto" w:fill="FFFFFF" w:themeFill="background1"/>
            <w:vAlign w:val="center"/>
          </w:tcPr>
          <w:p w14:paraId="38863523"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3.428</w:t>
            </w:r>
          </w:p>
        </w:tc>
        <w:tc>
          <w:tcPr>
            <w:tcW w:w="1223" w:type="dxa"/>
            <w:shd w:val="clear" w:color="auto" w:fill="D9D9D9" w:themeFill="background1" w:themeFillShade="D9"/>
            <w:vAlign w:val="center"/>
          </w:tcPr>
          <w:p w14:paraId="0FB14CE5" w14:textId="77777777" w:rsidR="00872EEA" w:rsidRPr="003B3D7A" w:rsidRDefault="00872EEA" w:rsidP="00D746FB">
            <w:pPr>
              <w:spacing w:before="40" w:after="20"/>
              <w:ind w:right="170"/>
              <w:jc w:val="right"/>
              <w:rPr>
                <w:rFonts w:ascii="Arial Narrow" w:hAnsi="Arial Narrow"/>
                <w:color w:val="000000"/>
                <w:sz w:val="18"/>
                <w:szCs w:val="18"/>
              </w:rPr>
            </w:pPr>
            <w:r w:rsidRPr="003B3D7A">
              <w:rPr>
                <w:rFonts w:ascii="Arial Narrow" w:hAnsi="Arial Narrow"/>
                <w:color w:val="000000"/>
                <w:sz w:val="18"/>
                <w:szCs w:val="18"/>
              </w:rPr>
              <w:t>246.920</w:t>
            </w:r>
          </w:p>
        </w:tc>
        <w:tc>
          <w:tcPr>
            <w:tcW w:w="1223" w:type="dxa"/>
            <w:shd w:val="clear" w:color="auto" w:fill="FFFFFF" w:themeFill="background1"/>
            <w:vAlign w:val="center"/>
          </w:tcPr>
          <w:p w14:paraId="1FDFA41E"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56,3</w:t>
            </w:r>
          </w:p>
        </w:tc>
        <w:tc>
          <w:tcPr>
            <w:tcW w:w="1222" w:type="dxa"/>
            <w:shd w:val="clear" w:color="auto" w:fill="D9D9D9" w:themeFill="background1" w:themeFillShade="D9"/>
            <w:vAlign w:val="center"/>
          </w:tcPr>
          <w:p w14:paraId="61A7CBD8"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+1,4</w:t>
            </w:r>
          </w:p>
        </w:tc>
        <w:tc>
          <w:tcPr>
            <w:tcW w:w="1223" w:type="dxa"/>
            <w:shd w:val="clear" w:color="auto" w:fill="FFFFFF" w:themeFill="background1"/>
            <w:vAlign w:val="center"/>
          </w:tcPr>
          <w:p w14:paraId="7D43F91A"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-51,7</w:t>
            </w:r>
          </w:p>
        </w:tc>
        <w:tc>
          <w:tcPr>
            <w:tcW w:w="1223" w:type="dxa"/>
            <w:shd w:val="clear" w:color="auto" w:fill="D9D9D9" w:themeFill="background1" w:themeFillShade="D9"/>
            <w:vAlign w:val="center"/>
          </w:tcPr>
          <w:p w14:paraId="33B86045"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-16,7</w:t>
            </w:r>
          </w:p>
        </w:tc>
      </w:tr>
      <w:tr w:rsidR="00872EEA" w:rsidRPr="00C034A8" w14:paraId="55112FA1" w14:textId="77777777" w:rsidTr="00090BAB">
        <w:trPr>
          <w:trHeight w:val="255"/>
        </w:trPr>
        <w:tc>
          <w:tcPr>
            <w:tcW w:w="1222" w:type="dxa"/>
            <w:shd w:val="clear" w:color="auto" w:fill="FFFFFF" w:themeFill="background1"/>
            <w:vAlign w:val="center"/>
          </w:tcPr>
          <w:p w14:paraId="3B010CC0" w14:textId="77777777" w:rsidR="00872EEA" w:rsidRPr="003B3D7A" w:rsidRDefault="00872EEA" w:rsidP="00D746FB">
            <w:pPr>
              <w:spacing w:before="40" w:after="20"/>
              <w:rPr>
                <w:rFonts w:ascii="Arial Narrow" w:hAnsi="Arial Narrow"/>
                <w:color w:val="000000" w:themeColor="text1"/>
                <w:sz w:val="18"/>
                <w:szCs w:val="18"/>
              </w:rPr>
            </w:pPr>
            <w:r w:rsidRPr="003B3D7A">
              <w:rPr>
                <w:rFonts w:ascii="Arial Narrow" w:hAnsi="Arial Narrow"/>
                <w:color w:val="000000" w:themeColor="text1"/>
                <w:sz w:val="18"/>
                <w:szCs w:val="18"/>
              </w:rPr>
              <w:t>2016</w:t>
            </w:r>
          </w:p>
        </w:tc>
        <w:tc>
          <w:tcPr>
            <w:tcW w:w="1223" w:type="dxa"/>
            <w:shd w:val="clear" w:color="auto" w:fill="D9D9D9" w:themeFill="background1" w:themeFillShade="D9"/>
            <w:vAlign w:val="center"/>
          </w:tcPr>
          <w:p w14:paraId="325303D5"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175.791</w:t>
            </w:r>
          </w:p>
        </w:tc>
        <w:tc>
          <w:tcPr>
            <w:tcW w:w="1222" w:type="dxa"/>
            <w:shd w:val="clear" w:color="auto" w:fill="FFFFFF" w:themeFill="background1"/>
            <w:vAlign w:val="center"/>
          </w:tcPr>
          <w:p w14:paraId="35C6D34D"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3.283</w:t>
            </w:r>
          </w:p>
        </w:tc>
        <w:tc>
          <w:tcPr>
            <w:tcW w:w="1223" w:type="dxa"/>
            <w:shd w:val="clear" w:color="auto" w:fill="D9D9D9" w:themeFill="background1" w:themeFillShade="D9"/>
            <w:vAlign w:val="center"/>
          </w:tcPr>
          <w:p w14:paraId="27A51168"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249.175</w:t>
            </w:r>
          </w:p>
        </w:tc>
        <w:tc>
          <w:tcPr>
            <w:tcW w:w="1223" w:type="dxa"/>
            <w:shd w:val="clear" w:color="auto" w:fill="FFFFFF" w:themeFill="background1"/>
            <w:vAlign w:val="center"/>
          </w:tcPr>
          <w:p w14:paraId="029993DC"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54,2</w:t>
            </w:r>
          </w:p>
        </w:tc>
        <w:tc>
          <w:tcPr>
            <w:tcW w:w="1222" w:type="dxa"/>
            <w:shd w:val="clear" w:color="auto" w:fill="D9D9D9" w:themeFill="background1" w:themeFillShade="D9"/>
            <w:vAlign w:val="center"/>
          </w:tcPr>
          <w:p w14:paraId="58CA0090"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-4,2</w:t>
            </w:r>
          </w:p>
        </w:tc>
        <w:tc>
          <w:tcPr>
            <w:tcW w:w="1223" w:type="dxa"/>
            <w:shd w:val="clear" w:color="auto" w:fill="FFFFFF" w:themeFill="background1"/>
            <w:vAlign w:val="center"/>
          </w:tcPr>
          <w:p w14:paraId="58848382"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-53,7</w:t>
            </w:r>
          </w:p>
        </w:tc>
        <w:tc>
          <w:tcPr>
            <w:tcW w:w="1223" w:type="dxa"/>
            <w:shd w:val="clear" w:color="auto" w:fill="D9D9D9" w:themeFill="background1" w:themeFillShade="D9"/>
            <w:vAlign w:val="center"/>
          </w:tcPr>
          <w:p w14:paraId="6EB5F1FB"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-20,2</w:t>
            </w:r>
          </w:p>
        </w:tc>
      </w:tr>
      <w:tr w:rsidR="00872EEA" w:rsidRPr="00C034A8" w14:paraId="57CB4E6A" w14:textId="77777777" w:rsidTr="00090BAB">
        <w:trPr>
          <w:trHeight w:val="255"/>
        </w:trPr>
        <w:tc>
          <w:tcPr>
            <w:tcW w:w="1222" w:type="dxa"/>
            <w:shd w:val="clear" w:color="auto" w:fill="FFFFFF" w:themeFill="background1"/>
            <w:vAlign w:val="center"/>
          </w:tcPr>
          <w:p w14:paraId="0F5D20A9" w14:textId="77777777" w:rsidR="00872EEA" w:rsidRPr="003B3D7A" w:rsidRDefault="00872EEA" w:rsidP="00D746FB">
            <w:pPr>
              <w:spacing w:before="40" w:after="20"/>
              <w:rPr>
                <w:rFonts w:ascii="Arial Narrow" w:hAnsi="Arial Narrow"/>
                <w:color w:val="000000" w:themeColor="text1"/>
                <w:sz w:val="18"/>
                <w:szCs w:val="18"/>
              </w:rPr>
            </w:pPr>
            <w:r w:rsidRPr="003B3D7A">
              <w:rPr>
                <w:rFonts w:ascii="Arial Narrow" w:hAnsi="Arial Narrow"/>
                <w:color w:val="000000" w:themeColor="text1"/>
                <w:sz w:val="18"/>
                <w:szCs w:val="18"/>
              </w:rPr>
              <w:t>2017</w:t>
            </w:r>
          </w:p>
        </w:tc>
        <w:tc>
          <w:tcPr>
            <w:tcW w:w="1223" w:type="dxa"/>
            <w:shd w:val="clear" w:color="auto" w:fill="D9D9D9" w:themeFill="background1" w:themeFillShade="D9"/>
            <w:vAlign w:val="center"/>
          </w:tcPr>
          <w:p w14:paraId="02BABFD3"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174.933</w:t>
            </w:r>
          </w:p>
        </w:tc>
        <w:tc>
          <w:tcPr>
            <w:tcW w:w="1222" w:type="dxa"/>
            <w:shd w:val="clear" w:color="auto" w:fill="FFFFFF" w:themeFill="background1"/>
            <w:vAlign w:val="center"/>
          </w:tcPr>
          <w:p w14:paraId="515DBF9E"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3.378</w:t>
            </w:r>
          </w:p>
        </w:tc>
        <w:tc>
          <w:tcPr>
            <w:tcW w:w="1223" w:type="dxa"/>
            <w:shd w:val="clear" w:color="auto" w:fill="D9D9D9" w:themeFill="background1" w:themeFillShade="D9"/>
            <w:vAlign w:val="center"/>
          </w:tcPr>
          <w:p w14:paraId="148CF28F"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246.750</w:t>
            </w:r>
          </w:p>
        </w:tc>
        <w:tc>
          <w:tcPr>
            <w:tcW w:w="1223" w:type="dxa"/>
            <w:shd w:val="clear" w:color="auto" w:fill="FFFFFF" w:themeFill="background1"/>
            <w:vAlign w:val="center"/>
          </w:tcPr>
          <w:p w14:paraId="7E42207A"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55,8</w:t>
            </w:r>
          </w:p>
        </w:tc>
        <w:tc>
          <w:tcPr>
            <w:tcW w:w="1222" w:type="dxa"/>
            <w:shd w:val="clear" w:color="auto" w:fill="D9D9D9" w:themeFill="background1" w:themeFillShade="D9"/>
            <w:vAlign w:val="center"/>
          </w:tcPr>
          <w:p w14:paraId="49E4E1EE"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+2,9</w:t>
            </w:r>
          </w:p>
        </w:tc>
        <w:tc>
          <w:tcPr>
            <w:tcW w:w="1223" w:type="dxa"/>
            <w:shd w:val="clear" w:color="auto" w:fill="FFFFFF" w:themeFill="background1"/>
            <w:vAlign w:val="center"/>
          </w:tcPr>
          <w:p w14:paraId="6CBC39CE"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-52,4</w:t>
            </w:r>
          </w:p>
        </w:tc>
        <w:tc>
          <w:tcPr>
            <w:tcW w:w="1223" w:type="dxa"/>
            <w:shd w:val="clear" w:color="auto" w:fill="D9D9D9" w:themeFill="background1" w:themeFillShade="D9"/>
            <w:vAlign w:val="center"/>
          </w:tcPr>
          <w:p w14:paraId="0C028595"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-17,9</w:t>
            </w:r>
          </w:p>
        </w:tc>
      </w:tr>
      <w:tr w:rsidR="00872EEA" w:rsidRPr="00C034A8" w14:paraId="28025554" w14:textId="77777777" w:rsidTr="00090BAB">
        <w:trPr>
          <w:trHeight w:val="255"/>
        </w:trPr>
        <w:tc>
          <w:tcPr>
            <w:tcW w:w="1222" w:type="dxa"/>
            <w:shd w:val="clear" w:color="auto" w:fill="FFFFFF" w:themeFill="background1"/>
            <w:vAlign w:val="center"/>
          </w:tcPr>
          <w:p w14:paraId="2D8C1592" w14:textId="77777777" w:rsidR="00872EEA" w:rsidRPr="003B3D7A" w:rsidRDefault="00872EEA" w:rsidP="00D746FB">
            <w:pPr>
              <w:spacing w:before="40" w:after="20"/>
              <w:rPr>
                <w:rFonts w:ascii="Arial Narrow" w:hAnsi="Arial Narrow"/>
                <w:color w:val="000000" w:themeColor="text1"/>
                <w:sz w:val="18"/>
                <w:szCs w:val="18"/>
              </w:rPr>
            </w:pPr>
            <w:r w:rsidRPr="003B3D7A">
              <w:rPr>
                <w:rFonts w:ascii="Arial Narrow" w:hAnsi="Arial Narrow"/>
                <w:color w:val="000000" w:themeColor="text1"/>
                <w:sz w:val="18"/>
                <w:szCs w:val="18"/>
              </w:rPr>
              <w:t>2018</w:t>
            </w:r>
          </w:p>
        </w:tc>
        <w:tc>
          <w:tcPr>
            <w:tcW w:w="1223" w:type="dxa"/>
            <w:shd w:val="clear" w:color="auto" w:fill="D9D9D9" w:themeFill="background1" w:themeFillShade="D9"/>
            <w:vAlign w:val="center"/>
          </w:tcPr>
          <w:p w14:paraId="72244C71"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172.553</w:t>
            </w:r>
          </w:p>
        </w:tc>
        <w:tc>
          <w:tcPr>
            <w:tcW w:w="1222" w:type="dxa"/>
            <w:shd w:val="clear" w:color="auto" w:fill="FFFFFF" w:themeFill="background1"/>
            <w:vAlign w:val="center"/>
          </w:tcPr>
          <w:p w14:paraId="7595730C"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3.334</w:t>
            </w:r>
          </w:p>
        </w:tc>
        <w:tc>
          <w:tcPr>
            <w:tcW w:w="1223" w:type="dxa"/>
            <w:shd w:val="clear" w:color="auto" w:fill="D9D9D9" w:themeFill="background1" w:themeFillShade="D9"/>
            <w:vAlign w:val="center"/>
          </w:tcPr>
          <w:p w14:paraId="016B9810" w14:textId="77777777" w:rsidR="00872EEA" w:rsidRPr="003B3D7A" w:rsidRDefault="00872EEA" w:rsidP="00D746FB">
            <w:pPr>
              <w:spacing w:before="40" w:after="20"/>
              <w:ind w:right="170"/>
              <w:jc w:val="right"/>
              <w:rPr>
                <w:rFonts w:ascii="Arial Narrow" w:hAnsi="Arial Narrow"/>
                <w:color w:val="000000" w:themeColor="text1"/>
                <w:sz w:val="18"/>
                <w:szCs w:val="18"/>
              </w:rPr>
            </w:pPr>
            <w:r w:rsidRPr="003B3D7A">
              <w:rPr>
                <w:rFonts w:ascii="Arial Narrow" w:hAnsi="Arial Narrow"/>
                <w:color w:val="000000" w:themeColor="text1"/>
                <w:sz w:val="18"/>
                <w:szCs w:val="18"/>
              </w:rPr>
              <w:t>242.919</w:t>
            </w:r>
          </w:p>
        </w:tc>
        <w:tc>
          <w:tcPr>
            <w:tcW w:w="1223" w:type="dxa"/>
            <w:shd w:val="clear" w:color="auto" w:fill="FFFFFF" w:themeFill="background1"/>
            <w:vAlign w:val="center"/>
          </w:tcPr>
          <w:p w14:paraId="17B5454D"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55,2</w:t>
            </w:r>
          </w:p>
        </w:tc>
        <w:tc>
          <w:tcPr>
            <w:tcW w:w="1222" w:type="dxa"/>
            <w:shd w:val="clear" w:color="auto" w:fill="D9D9D9" w:themeFill="background1" w:themeFillShade="D9"/>
            <w:vAlign w:val="center"/>
          </w:tcPr>
          <w:p w14:paraId="20306A40"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-1,3</w:t>
            </w:r>
          </w:p>
        </w:tc>
        <w:tc>
          <w:tcPr>
            <w:tcW w:w="1223" w:type="dxa"/>
            <w:shd w:val="clear" w:color="auto" w:fill="FFFFFF" w:themeFill="background1"/>
            <w:vAlign w:val="center"/>
          </w:tcPr>
          <w:p w14:paraId="7C68DEF8"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-53,0</w:t>
            </w:r>
          </w:p>
        </w:tc>
        <w:tc>
          <w:tcPr>
            <w:tcW w:w="1223" w:type="dxa"/>
            <w:shd w:val="clear" w:color="auto" w:fill="D9D9D9" w:themeFill="background1" w:themeFillShade="D9"/>
            <w:vAlign w:val="center"/>
          </w:tcPr>
          <w:p w14:paraId="5E3EBDC0" w14:textId="77777777" w:rsidR="00872EEA" w:rsidRPr="003B3D7A" w:rsidRDefault="00872EEA" w:rsidP="00D746FB">
            <w:pPr>
              <w:spacing w:before="40" w:after="20"/>
              <w:ind w:right="227"/>
              <w:jc w:val="right"/>
              <w:rPr>
                <w:rFonts w:ascii="Arial Narrow" w:hAnsi="Arial Narrow"/>
                <w:color w:val="000000" w:themeColor="text1"/>
                <w:sz w:val="18"/>
                <w:szCs w:val="18"/>
              </w:rPr>
            </w:pPr>
            <w:r w:rsidRPr="003B3D7A">
              <w:rPr>
                <w:rFonts w:ascii="Arial Narrow" w:hAnsi="Arial Narrow"/>
                <w:color w:val="000000" w:themeColor="text1"/>
                <w:sz w:val="18"/>
                <w:szCs w:val="18"/>
              </w:rPr>
              <w:t>-19,0</w:t>
            </w:r>
          </w:p>
        </w:tc>
      </w:tr>
      <w:tr w:rsidR="00872EEA" w:rsidRPr="00C034A8" w14:paraId="645DFC48" w14:textId="77777777" w:rsidTr="00090BAB">
        <w:trPr>
          <w:trHeight w:val="255"/>
        </w:trPr>
        <w:tc>
          <w:tcPr>
            <w:tcW w:w="1222" w:type="dxa"/>
            <w:shd w:val="clear" w:color="auto" w:fill="FFFFFF" w:themeFill="background1"/>
            <w:vAlign w:val="center"/>
          </w:tcPr>
          <w:p w14:paraId="7C90448A" w14:textId="77777777" w:rsidR="00872EEA" w:rsidRPr="003B3D7A" w:rsidRDefault="00872EEA" w:rsidP="00D746FB">
            <w:pPr>
              <w:spacing w:before="40" w:after="20"/>
              <w:rPr>
                <w:rFonts w:ascii="Arial Narrow" w:hAnsi="Arial Narrow"/>
                <w:sz w:val="18"/>
                <w:szCs w:val="18"/>
              </w:rPr>
            </w:pPr>
            <w:r w:rsidRPr="003B3D7A">
              <w:rPr>
                <w:rFonts w:ascii="Arial Narrow" w:hAnsi="Arial Narrow"/>
                <w:sz w:val="18"/>
                <w:szCs w:val="18"/>
              </w:rPr>
              <w:t>2019</w:t>
            </w:r>
          </w:p>
        </w:tc>
        <w:tc>
          <w:tcPr>
            <w:tcW w:w="1223" w:type="dxa"/>
            <w:shd w:val="clear" w:color="auto" w:fill="D9D9D9" w:themeFill="background1" w:themeFillShade="D9"/>
            <w:vAlign w:val="center"/>
          </w:tcPr>
          <w:p w14:paraId="45A257D8"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172.183</w:t>
            </w:r>
          </w:p>
        </w:tc>
        <w:tc>
          <w:tcPr>
            <w:tcW w:w="1222" w:type="dxa"/>
            <w:shd w:val="clear" w:color="auto" w:fill="FFFFFF" w:themeFill="background1"/>
            <w:vAlign w:val="center"/>
          </w:tcPr>
          <w:p w14:paraId="0010E119"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3.173</w:t>
            </w:r>
          </w:p>
        </w:tc>
        <w:tc>
          <w:tcPr>
            <w:tcW w:w="1223" w:type="dxa"/>
            <w:shd w:val="clear" w:color="auto" w:fill="D9D9D9" w:themeFill="background1" w:themeFillShade="D9"/>
            <w:vAlign w:val="center"/>
          </w:tcPr>
          <w:p w14:paraId="22983794" w14:textId="77777777" w:rsidR="00872EEA" w:rsidRPr="003B3D7A" w:rsidRDefault="00872EEA" w:rsidP="00D746FB">
            <w:pPr>
              <w:spacing w:before="40" w:after="20"/>
              <w:ind w:right="170"/>
              <w:jc w:val="right"/>
              <w:rPr>
                <w:rFonts w:ascii="Arial Narrow" w:hAnsi="Arial Narrow"/>
                <w:sz w:val="18"/>
                <w:szCs w:val="18"/>
              </w:rPr>
            </w:pPr>
            <w:r w:rsidRPr="003B3D7A">
              <w:rPr>
                <w:rFonts w:ascii="Arial Narrow" w:hAnsi="Arial Narrow"/>
                <w:sz w:val="18"/>
                <w:szCs w:val="18"/>
              </w:rPr>
              <w:t>241.384</w:t>
            </w:r>
          </w:p>
        </w:tc>
        <w:tc>
          <w:tcPr>
            <w:tcW w:w="1223" w:type="dxa"/>
            <w:shd w:val="clear" w:color="auto" w:fill="FFFFFF" w:themeFill="background1"/>
            <w:vAlign w:val="center"/>
          </w:tcPr>
          <w:p w14:paraId="4498E4C9"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52,6</w:t>
            </w:r>
          </w:p>
        </w:tc>
        <w:tc>
          <w:tcPr>
            <w:tcW w:w="1222" w:type="dxa"/>
            <w:shd w:val="clear" w:color="auto" w:fill="D9D9D9" w:themeFill="background1" w:themeFillShade="D9"/>
            <w:vAlign w:val="center"/>
          </w:tcPr>
          <w:p w14:paraId="388DC717"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-4,8</w:t>
            </w:r>
          </w:p>
        </w:tc>
        <w:tc>
          <w:tcPr>
            <w:tcW w:w="1223" w:type="dxa"/>
            <w:shd w:val="clear" w:color="auto" w:fill="FFFFFF" w:themeFill="background1"/>
            <w:vAlign w:val="center"/>
          </w:tcPr>
          <w:p w14:paraId="321B8F8E"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-55,3</w:t>
            </w:r>
          </w:p>
        </w:tc>
        <w:tc>
          <w:tcPr>
            <w:tcW w:w="1223" w:type="dxa"/>
            <w:shd w:val="clear" w:color="auto" w:fill="D9D9D9" w:themeFill="background1" w:themeFillShade="D9"/>
            <w:vAlign w:val="center"/>
          </w:tcPr>
          <w:p w14:paraId="665EF806" w14:textId="77777777" w:rsidR="00872EEA" w:rsidRPr="003B3D7A" w:rsidRDefault="00872EEA" w:rsidP="00D746FB">
            <w:pPr>
              <w:spacing w:before="40" w:after="20"/>
              <w:ind w:right="227"/>
              <w:jc w:val="right"/>
              <w:rPr>
                <w:rFonts w:ascii="Arial Narrow" w:hAnsi="Arial Narrow"/>
                <w:sz w:val="18"/>
                <w:szCs w:val="18"/>
              </w:rPr>
            </w:pPr>
            <w:r w:rsidRPr="003B3D7A">
              <w:rPr>
                <w:rFonts w:ascii="Arial Narrow" w:hAnsi="Arial Narrow"/>
                <w:sz w:val="18"/>
                <w:szCs w:val="18"/>
              </w:rPr>
              <w:t>-22,9</w:t>
            </w:r>
          </w:p>
        </w:tc>
      </w:tr>
      <w:tr w:rsidR="00872EEA" w:rsidRPr="003B3D7A" w14:paraId="1CB95D38" w14:textId="77777777" w:rsidTr="00090BAB">
        <w:trPr>
          <w:trHeight w:val="255"/>
        </w:trPr>
        <w:tc>
          <w:tcPr>
            <w:tcW w:w="1222" w:type="dxa"/>
            <w:shd w:val="clear" w:color="auto" w:fill="FFFFFF" w:themeFill="background1"/>
            <w:vAlign w:val="center"/>
          </w:tcPr>
          <w:p w14:paraId="04A44AE6" w14:textId="77777777" w:rsidR="00872EEA" w:rsidRPr="003B3D7A" w:rsidRDefault="00872EEA" w:rsidP="00082FE9">
            <w:pPr>
              <w:spacing w:before="40" w:after="20"/>
              <w:rPr>
                <w:rFonts w:ascii="Arial Narrow" w:hAnsi="Arial Narrow"/>
                <w:sz w:val="18"/>
                <w:szCs w:val="18"/>
              </w:rPr>
            </w:pPr>
            <w:r w:rsidRPr="003B3D7A">
              <w:rPr>
                <w:rFonts w:ascii="Arial Narrow" w:hAnsi="Arial Narrow"/>
                <w:sz w:val="18"/>
                <w:szCs w:val="18"/>
              </w:rPr>
              <w:t>2020</w:t>
            </w:r>
          </w:p>
        </w:tc>
        <w:tc>
          <w:tcPr>
            <w:tcW w:w="1223" w:type="dxa"/>
            <w:shd w:val="clear" w:color="auto" w:fill="D9D9D9" w:themeFill="background1" w:themeFillShade="D9"/>
            <w:vAlign w:val="center"/>
          </w:tcPr>
          <w:p w14:paraId="2DDA0CE2" w14:textId="77777777" w:rsidR="00872EEA" w:rsidRPr="003B3D7A" w:rsidRDefault="00872EEA" w:rsidP="00082FE9">
            <w:pPr>
              <w:spacing w:before="40" w:after="20"/>
              <w:ind w:right="170"/>
              <w:jc w:val="right"/>
              <w:rPr>
                <w:rFonts w:ascii="Arial Narrow" w:hAnsi="Arial Narrow"/>
                <w:sz w:val="18"/>
                <w:szCs w:val="18"/>
              </w:rPr>
            </w:pPr>
            <w:r w:rsidRPr="003B3D7A">
              <w:rPr>
                <w:rFonts w:ascii="Arial Narrow" w:hAnsi="Arial Narrow"/>
                <w:sz w:val="18"/>
                <w:szCs w:val="18"/>
              </w:rPr>
              <w:t>118.298</w:t>
            </w:r>
          </w:p>
        </w:tc>
        <w:tc>
          <w:tcPr>
            <w:tcW w:w="1222" w:type="dxa"/>
            <w:shd w:val="clear" w:color="auto" w:fill="FFFFFF" w:themeFill="background1"/>
            <w:vAlign w:val="center"/>
          </w:tcPr>
          <w:p w14:paraId="212CFDD7" w14:textId="77777777" w:rsidR="00872EEA" w:rsidRPr="003B3D7A" w:rsidRDefault="00872EEA" w:rsidP="00082FE9">
            <w:pPr>
              <w:spacing w:before="40" w:after="20"/>
              <w:ind w:right="170"/>
              <w:jc w:val="right"/>
              <w:rPr>
                <w:rFonts w:ascii="Arial Narrow" w:hAnsi="Arial Narrow"/>
                <w:sz w:val="18"/>
                <w:szCs w:val="18"/>
              </w:rPr>
            </w:pPr>
            <w:r w:rsidRPr="003B3D7A">
              <w:rPr>
                <w:rFonts w:ascii="Arial Narrow" w:hAnsi="Arial Narrow"/>
                <w:sz w:val="18"/>
                <w:szCs w:val="18"/>
              </w:rPr>
              <w:t>2.395</w:t>
            </w:r>
          </w:p>
        </w:tc>
        <w:tc>
          <w:tcPr>
            <w:tcW w:w="1223" w:type="dxa"/>
            <w:shd w:val="clear" w:color="auto" w:fill="D9D9D9" w:themeFill="background1" w:themeFillShade="D9"/>
            <w:vAlign w:val="center"/>
          </w:tcPr>
          <w:p w14:paraId="5612DC5F" w14:textId="77777777" w:rsidR="00872EEA" w:rsidRPr="003B3D7A" w:rsidRDefault="00872EEA" w:rsidP="00082FE9">
            <w:pPr>
              <w:spacing w:before="40" w:after="20"/>
              <w:ind w:right="170"/>
              <w:jc w:val="right"/>
              <w:rPr>
                <w:rFonts w:ascii="Arial Narrow" w:hAnsi="Arial Narrow"/>
                <w:sz w:val="18"/>
                <w:szCs w:val="18"/>
              </w:rPr>
            </w:pPr>
            <w:r w:rsidRPr="003B3D7A">
              <w:rPr>
                <w:rFonts w:ascii="Arial Narrow" w:hAnsi="Arial Narrow"/>
                <w:sz w:val="18"/>
                <w:szCs w:val="18"/>
              </w:rPr>
              <w:t>159.249</w:t>
            </w:r>
          </w:p>
        </w:tc>
        <w:tc>
          <w:tcPr>
            <w:tcW w:w="1223" w:type="dxa"/>
            <w:shd w:val="clear" w:color="auto" w:fill="FFFFFF" w:themeFill="background1"/>
            <w:vAlign w:val="center"/>
          </w:tcPr>
          <w:p w14:paraId="2C9D1C5A" w14:textId="77777777" w:rsidR="00872EEA" w:rsidRPr="003B3D7A" w:rsidRDefault="00872EEA" w:rsidP="00082FE9">
            <w:pPr>
              <w:spacing w:before="40" w:after="20"/>
              <w:ind w:right="227"/>
              <w:jc w:val="right"/>
              <w:rPr>
                <w:rFonts w:ascii="Arial Narrow" w:hAnsi="Arial Narrow"/>
                <w:sz w:val="18"/>
                <w:szCs w:val="18"/>
              </w:rPr>
            </w:pPr>
            <w:r w:rsidRPr="003B3D7A">
              <w:rPr>
                <w:rFonts w:ascii="Arial Narrow" w:hAnsi="Arial Narrow"/>
                <w:sz w:val="18"/>
                <w:szCs w:val="18"/>
              </w:rPr>
              <w:t>40,3</w:t>
            </w:r>
          </w:p>
        </w:tc>
        <w:tc>
          <w:tcPr>
            <w:tcW w:w="1222" w:type="dxa"/>
            <w:shd w:val="clear" w:color="auto" w:fill="D9D9D9" w:themeFill="background1" w:themeFillShade="D9"/>
            <w:vAlign w:val="center"/>
          </w:tcPr>
          <w:p w14:paraId="22557B7E" w14:textId="77777777" w:rsidR="00872EEA" w:rsidRPr="003B3D7A" w:rsidRDefault="00872EEA" w:rsidP="00082FE9">
            <w:pPr>
              <w:spacing w:before="40" w:after="20"/>
              <w:ind w:right="227"/>
              <w:jc w:val="right"/>
              <w:rPr>
                <w:rFonts w:ascii="Arial Narrow" w:hAnsi="Arial Narrow"/>
                <w:sz w:val="18"/>
                <w:szCs w:val="18"/>
              </w:rPr>
            </w:pPr>
            <w:r w:rsidRPr="003B3D7A">
              <w:rPr>
                <w:rFonts w:ascii="Arial Narrow" w:hAnsi="Arial Narrow"/>
                <w:sz w:val="18"/>
                <w:szCs w:val="18"/>
              </w:rPr>
              <w:t>-24,5</w:t>
            </w:r>
          </w:p>
        </w:tc>
        <w:tc>
          <w:tcPr>
            <w:tcW w:w="1223" w:type="dxa"/>
            <w:shd w:val="clear" w:color="auto" w:fill="FFFFFF" w:themeFill="background1"/>
            <w:vAlign w:val="center"/>
          </w:tcPr>
          <w:p w14:paraId="446F5F99" w14:textId="77777777" w:rsidR="00872EEA" w:rsidRPr="003B3D7A" w:rsidRDefault="00872EEA" w:rsidP="00082FE9">
            <w:pPr>
              <w:spacing w:before="40" w:after="20"/>
              <w:ind w:right="227"/>
              <w:jc w:val="right"/>
              <w:rPr>
                <w:rFonts w:ascii="Arial Narrow" w:hAnsi="Arial Narrow"/>
                <w:sz w:val="18"/>
                <w:szCs w:val="18"/>
              </w:rPr>
            </w:pPr>
            <w:r w:rsidRPr="003B3D7A">
              <w:rPr>
                <w:rFonts w:ascii="Arial Narrow" w:hAnsi="Arial Narrow"/>
                <w:sz w:val="18"/>
                <w:szCs w:val="18"/>
              </w:rPr>
              <w:t>-66,2</w:t>
            </w:r>
          </w:p>
        </w:tc>
        <w:tc>
          <w:tcPr>
            <w:tcW w:w="1223" w:type="dxa"/>
            <w:shd w:val="clear" w:color="auto" w:fill="D9D9D9" w:themeFill="background1" w:themeFillShade="D9"/>
            <w:vAlign w:val="center"/>
          </w:tcPr>
          <w:p w14:paraId="7FB34DB7" w14:textId="77777777" w:rsidR="00872EEA" w:rsidRPr="003B3D7A" w:rsidRDefault="00872EEA" w:rsidP="00082FE9">
            <w:pPr>
              <w:spacing w:before="40" w:after="20"/>
              <w:ind w:right="227"/>
              <w:jc w:val="right"/>
              <w:rPr>
                <w:rFonts w:ascii="Arial Narrow" w:hAnsi="Arial Narrow"/>
                <w:sz w:val="18"/>
                <w:szCs w:val="18"/>
              </w:rPr>
            </w:pPr>
            <w:r w:rsidRPr="003B3D7A">
              <w:rPr>
                <w:rFonts w:ascii="Arial Narrow" w:hAnsi="Arial Narrow"/>
                <w:sz w:val="18"/>
                <w:szCs w:val="18"/>
              </w:rPr>
              <w:t>-41,8</w:t>
            </w:r>
          </w:p>
        </w:tc>
      </w:tr>
      <w:tr w:rsidR="00872EEA" w:rsidRPr="00C034A8" w14:paraId="3E7E6D00" w14:textId="77777777" w:rsidTr="00090BAB">
        <w:trPr>
          <w:trHeight w:val="255"/>
        </w:trPr>
        <w:tc>
          <w:tcPr>
            <w:tcW w:w="1222" w:type="dxa"/>
            <w:shd w:val="clear" w:color="auto" w:fill="1F497D"/>
            <w:vAlign w:val="center"/>
          </w:tcPr>
          <w:p w14:paraId="0E39EB03" w14:textId="77777777" w:rsidR="00872EEA" w:rsidRPr="003B3D7A" w:rsidRDefault="00872EEA" w:rsidP="006E09A3">
            <w:pPr>
              <w:spacing w:before="40" w:after="20"/>
              <w:rPr>
                <w:rFonts w:ascii="Arial Narrow" w:hAnsi="Arial Narrow"/>
                <w:b/>
                <w:color w:val="FFFFFF" w:themeColor="background1"/>
                <w:sz w:val="18"/>
                <w:szCs w:val="18"/>
              </w:rPr>
            </w:pPr>
            <w:r w:rsidRPr="003B3D7A">
              <w:rPr>
                <w:rFonts w:ascii="Arial Narrow" w:hAnsi="Arial Narrow"/>
                <w:b/>
                <w:color w:val="FFFFFF" w:themeColor="background1"/>
                <w:sz w:val="18"/>
                <w:szCs w:val="18"/>
              </w:rPr>
              <w:t>2021</w:t>
            </w:r>
          </w:p>
        </w:tc>
        <w:tc>
          <w:tcPr>
            <w:tcW w:w="1223" w:type="dxa"/>
            <w:shd w:val="clear" w:color="auto" w:fill="1F497D"/>
            <w:vAlign w:val="center"/>
          </w:tcPr>
          <w:p w14:paraId="5EF9985F" w14:textId="77777777" w:rsidR="00872EEA" w:rsidRPr="003B3D7A" w:rsidRDefault="00872EEA" w:rsidP="006E09A3">
            <w:pPr>
              <w:spacing w:before="40" w:after="20"/>
              <w:ind w:right="170"/>
              <w:jc w:val="right"/>
              <w:rPr>
                <w:rFonts w:ascii="Arial Narrow" w:hAnsi="Arial Narrow"/>
                <w:b/>
                <w:color w:val="FFFFFF" w:themeColor="background1"/>
                <w:sz w:val="18"/>
                <w:szCs w:val="18"/>
              </w:rPr>
            </w:pPr>
            <w:r w:rsidRPr="003B3D7A">
              <w:rPr>
                <w:rFonts w:ascii="Arial Narrow" w:hAnsi="Arial Narrow"/>
                <w:b/>
                <w:color w:val="FFFFFF" w:themeColor="background1"/>
                <w:sz w:val="18"/>
                <w:szCs w:val="18"/>
              </w:rPr>
              <w:t>151.87</w:t>
            </w:r>
            <w:r>
              <w:rPr>
                <w:rFonts w:ascii="Arial Narrow" w:hAnsi="Arial Narrow"/>
                <w:b/>
                <w:color w:val="FFFFFF" w:themeColor="background1"/>
                <w:sz w:val="18"/>
                <w:szCs w:val="18"/>
              </w:rPr>
              <w:t>5</w:t>
            </w:r>
          </w:p>
        </w:tc>
        <w:tc>
          <w:tcPr>
            <w:tcW w:w="1222" w:type="dxa"/>
            <w:shd w:val="clear" w:color="auto" w:fill="1F497D"/>
            <w:vAlign w:val="center"/>
          </w:tcPr>
          <w:p w14:paraId="28575CE3" w14:textId="77777777" w:rsidR="00872EEA" w:rsidRPr="003B3D7A" w:rsidRDefault="00872EEA" w:rsidP="006E09A3">
            <w:pPr>
              <w:spacing w:before="40" w:after="20"/>
              <w:ind w:right="170"/>
              <w:jc w:val="right"/>
              <w:rPr>
                <w:rFonts w:ascii="Arial Narrow" w:hAnsi="Arial Narrow"/>
                <w:b/>
                <w:color w:val="FFFFFF" w:themeColor="background1"/>
                <w:sz w:val="18"/>
                <w:szCs w:val="18"/>
              </w:rPr>
            </w:pPr>
            <w:r w:rsidRPr="003B3D7A">
              <w:rPr>
                <w:rFonts w:ascii="Arial Narrow" w:hAnsi="Arial Narrow"/>
                <w:b/>
                <w:color w:val="FFFFFF" w:themeColor="background1"/>
                <w:sz w:val="18"/>
                <w:szCs w:val="18"/>
              </w:rPr>
              <w:t>2.875</w:t>
            </w:r>
          </w:p>
        </w:tc>
        <w:tc>
          <w:tcPr>
            <w:tcW w:w="1223" w:type="dxa"/>
            <w:shd w:val="clear" w:color="auto" w:fill="1F497D"/>
            <w:vAlign w:val="center"/>
          </w:tcPr>
          <w:p w14:paraId="3A934B47" w14:textId="77777777" w:rsidR="00872EEA" w:rsidRPr="003B3D7A" w:rsidRDefault="00872EEA" w:rsidP="0079084C">
            <w:pPr>
              <w:spacing w:before="40" w:after="20"/>
              <w:ind w:right="170"/>
              <w:jc w:val="right"/>
              <w:rPr>
                <w:rFonts w:ascii="Arial Narrow" w:hAnsi="Arial Narrow"/>
                <w:b/>
                <w:color w:val="FFFFFF" w:themeColor="background1"/>
                <w:sz w:val="18"/>
                <w:szCs w:val="18"/>
              </w:rPr>
            </w:pPr>
            <w:r w:rsidRPr="003B3D7A">
              <w:rPr>
                <w:rFonts w:ascii="Arial Narrow" w:hAnsi="Arial Narrow"/>
                <w:b/>
                <w:color w:val="FFFFFF" w:themeColor="background1"/>
                <w:sz w:val="18"/>
                <w:szCs w:val="18"/>
              </w:rPr>
              <w:t>204.72</w:t>
            </w:r>
            <w:r>
              <w:rPr>
                <w:rFonts w:ascii="Arial Narrow" w:hAnsi="Arial Narrow"/>
                <w:b/>
                <w:color w:val="FFFFFF" w:themeColor="background1"/>
                <w:sz w:val="18"/>
                <w:szCs w:val="18"/>
              </w:rPr>
              <w:t>8</w:t>
            </w:r>
          </w:p>
        </w:tc>
        <w:tc>
          <w:tcPr>
            <w:tcW w:w="1223" w:type="dxa"/>
            <w:shd w:val="clear" w:color="auto" w:fill="1F497D"/>
            <w:vAlign w:val="center"/>
          </w:tcPr>
          <w:p w14:paraId="3FBBC254" w14:textId="77777777" w:rsidR="00872EEA" w:rsidRPr="003B3D7A" w:rsidRDefault="00872EEA" w:rsidP="00555763">
            <w:pPr>
              <w:spacing w:before="40" w:after="20"/>
              <w:ind w:right="227"/>
              <w:jc w:val="right"/>
              <w:rPr>
                <w:rFonts w:ascii="Arial Narrow" w:hAnsi="Arial Narrow"/>
                <w:b/>
                <w:color w:val="FFFFFF" w:themeColor="background1"/>
                <w:sz w:val="18"/>
                <w:szCs w:val="18"/>
              </w:rPr>
            </w:pPr>
            <w:r w:rsidRPr="003B3D7A">
              <w:rPr>
                <w:rFonts w:ascii="Arial Narrow" w:hAnsi="Arial Narrow"/>
                <w:b/>
                <w:color w:val="FFFFFF" w:themeColor="background1"/>
                <w:sz w:val="18"/>
                <w:szCs w:val="18"/>
              </w:rPr>
              <w:t>48,</w:t>
            </w:r>
            <w:r>
              <w:rPr>
                <w:rFonts w:ascii="Arial Narrow" w:hAnsi="Arial Narrow"/>
                <w:b/>
                <w:color w:val="FFFFFF" w:themeColor="background1"/>
                <w:sz w:val="18"/>
                <w:szCs w:val="18"/>
              </w:rPr>
              <w:t>6</w:t>
            </w:r>
          </w:p>
        </w:tc>
        <w:tc>
          <w:tcPr>
            <w:tcW w:w="1222" w:type="dxa"/>
            <w:shd w:val="clear" w:color="auto" w:fill="1F497D"/>
            <w:vAlign w:val="center"/>
          </w:tcPr>
          <w:p w14:paraId="211ADAB2" w14:textId="77777777" w:rsidR="00872EEA" w:rsidRPr="003B3D7A" w:rsidRDefault="00872EEA" w:rsidP="006E09A3">
            <w:pPr>
              <w:spacing w:before="40" w:after="20"/>
              <w:ind w:right="227"/>
              <w:jc w:val="right"/>
              <w:rPr>
                <w:rFonts w:ascii="Arial Narrow" w:hAnsi="Arial Narrow"/>
                <w:b/>
                <w:color w:val="FFFFFF" w:themeColor="background1"/>
                <w:sz w:val="18"/>
                <w:szCs w:val="18"/>
              </w:rPr>
            </w:pPr>
            <w:r w:rsidRPr="003B3D7A">
              <w:rPr>
                <w:rFonts w:ascii="Arial Narrow" w:hAnsi="Arial Narrow"/>
                <w:b/>
                <w:color w:val="FFFFFF" w:themeColor="background1"/>
                <w:sz w:val="18"/>
                <w:szCs w:val="18"/>
              </w:rPr>
              <w:t>+20,0</w:t>
            </w:r>
          </w:p>
        </w:tc>
        <w:tc>
          <w:tcPr>
            <w:tcW w:w="1223" w:type="dxa"/>
            <w:shd w:val="clear" w:color="auto" w:fill="1F497D"/>
            <w:vAlign w:val="center"/>
          </w:tcPr>
          <w:p w14:paraId="1E44B1C3" w14:textId="77777777" w:rsidR="00872EEA" w:rsidRPr="003B3D7A" w:rsidRDefault="00872EEA" w:rsidP="006E09A3">
            <w:pPr>
              <w:spacing w:before="40" w:after="20"/>
              <w:ind w:right="227"/>
              <w:jc w:val="right"/>
              <w:rPr>
                <w:rFonts w:ascii="Arial Narrow" w:hAnsi="Arial Narrow"/>
                <w:b/>
                <w:color w:val="FFFFFF" w:themeColor="background1"/>
                <w:sz w:val="18"/>
                <w:szCs w:val="18"/>
              </w:rPr>
            </w:pPr>
            <w:r w:rsidRPr="003B3D7A">
              <w:rPr>
                <w:rFonts w:ascii="Arial Narrow" w:hAnsi="Arial Narrow"/>
                <w:b/>
                <w:color w:val="FFFFFF" w:themeColor="background1"/>
                <w:sz w:val="18"/>
                <w:szCs w:val="18"/>
              </w:rPr>
              <w:t>-59,5</w:t>
            </w:r>
          </w:p>
        </w:tc>
        <w:tc>
          <w:tcPr>
            <w:tcW w:w="1223" w:type="dxa"/>
            <w:shd w:val="clear" w:color="auto" w:fill="1F497D"/>
            <w:vAlign w:val="center"/>
          </w:tcPr>
          <w:p w14:paraId="4C644A2D" w14:textId="77777777" w:rsidR="00872EEA" w:rsidRPr="003B3D7A" w:rsidRDefault="00872EEA" w:rsidP="006E09A3">
            <w:pPr>
              <w:spacing w:before="40" w:after="20"/>
              <w:ind w:right="227"/>
              <w:jc w:val="right"/>
              <w:rPr>
                <w:rFonts w:ascii="Arial Narrow" w:hAnsi="Arial Narrow"/>
                <w:b/>
                <w:color w:val="FFFFFF" w:themeColor="background1"/>
                <w:sz w:val="18"/>
                <w:szCs w:val="18"/>
              </w:rPr>
            </w:pPr>
            <w:r w:rsidRPr="003B3D7A">
              <w:rPr>
                <w:rFonts w:ascii="Arial Narrow" w:hAnsi="Arial Narrow"/>
                <w:b/>
                <w:color w:val="FFFFFF" w:themeColor="background1"/>
                <w:sz w:val="18"/>
                <w:szCs w:val="18"/>
              </w:rPr>
              <w:t>-30,1</w:t>
            </w:r>
          </w:p>
        </w:tc>
      </w:tr>
    </w:tbl>
    <w:p w14:paraId="13286BE0" w14:textId="3F026014" w:rsidR="00494B0B" w:rsidRPr="00B24181" w:rsidRDefault="00971B51" w:rsidP="00440F3F">
      <w:pPr>
        <w:spacing w:before="60"/>
        <w:ind w:right="-34"/>
        <w:jc w:val="both"/>
        <w:rPr>
          <w:rFonts w:ascii="Arial Narrow" w:hAnsi="Arial Narrow"/>
          <w:sz w:val="15"/>
          <w:szCs w:val="15"/>
        </w:rPr>
      </w:pPr>
      <w:bookmarkStart w:id="2" w:name="OLE_LINK9"/>
      <w:bookmarkEnd w:id="1"/>
      <w:r w:rsidRPr="003A26CF">
        <w:rPr>
          <w:rFonts w:ascii="Arial Narrow" w:hAnsi="Arial Narrow"/>
          <w:sz w:val="15"/>
          <w:szCs w:val="15"/>
        </w:rPr>
        <w:t>a)</w:t>
      </w:r>
      <w:r w:rsidRPr="00353E9B">
        <w:rPr>
          <w:rFonts w:ascii="Arial Narrow" w:hAnsi="Arial Narrow"/>
          <w:sz w:val="15"/>
          <w:szCs w:val="15"/>
        </w:rPr>
        <w:t xml:space="preserve"> Tasso di mortalità stradale (Morti per milione di abitanti).</w:t>
      </w:r>
      <w:r w:rsidRPr="003A26CF">
        <w:rPr>
          <w:rFonts w:ascii="Arial Narrow" w:hAnsi="Arial Narrow"/>
          <w:sz w:val="15"/>
          <w:szCs w:val="15"/>
        </w:rPr>
        <w:t xml:space="preserve"> b)</w:t>
      </w:r>
      <w:r w:rsidRPr="00353E9B">
        <w:rPr>
          <w:rFonts w:ascii="Arial Narrow" w:hAnsi="Arial Narrow"/>
          <w:sz w:val="15"/>
          <w:szCs w:val="15"/>
        </w:rPr>
        <w:t xml:space="preserve"> </w:t>
      </w:r>
      <w:bookmarkEnd w:id="2"/>
      <w:r w:rsidRPr="00353E9B">
        <w:rPr>
          <w:rFonts w:ascii="Arial Narrow" w:hAnsi="Arial Narrow"/>
          <w:sz w:val="15"/>
          <w:szCs w:val="15"/>
        </w:rPr>
        <w:t>Le vari</w:t>
      </w:r>
      <w:r>
        <w:rPr>
          <w:rFonts w:ascii="Arial Narrow" w:hAnsi="Arial Narrow"/>
          <w:sz w:val="15"/>
          <w:szCs w:val="15"/>
        </w:rPr>
        <w:t>azioni percentuali media annua</w:t>
      </w:r>
      <w:r w:rsidRPr="00353E9B">
        <w:rPr>
          <w:rFonts w:ascii="Arial Narrow" w:hAnsi="Arial Narrow"/>
          <w:sz w:val="15"/>
          <w:szCs w:val="15"/>
        </w:rPr>
        <w:t xml:space="preserve"> rispetto al</w:t>
      </w:r>
      <w:r>
        <w:rPr>
          <w:rFonts w:ascii="Arial Narrow" w:hAnsi="Arial Narrow"/>
          <w:sz w:val="15"/>
          <w:szCs w:val="15"/>
        </w:rPr>
        <w:t>l’anno precedente o al</w:t>
      </w:r>
      <w:r w:rsidRPr="00353E9B">
        <w:rPr>
          <w:rFonts w:ascii="Arial Narrow" w:hAnsi="Arial Narrow"/>
          <w:sz w:val="15"/>
          <w:szCs w:val="15"/>
        </w:rPr>
        <w:t xml:space="preserve"> 2001 </w:t>
      </w:r>
      <w:r>
        <w:rPr>
          <w:rFonts w:ascii="Arial Narrow" w:hAnsi="Arial Narrow"/>
          <w:sz w:val="15"/>
          <w:szCs w:val="15"/>
        </w:rPr>
        <w:t>o al</w:t>
      </w:r>
      <w:r w:rsidRPr="00353E9B">
        <w:rPr>
          <w:rFonts w:ascii="Arial Narrow" w:hAnsi="Arial Narrow"/>
          <w:sz w:val="15"/>
          <w:szCs w:val="15"/>
        </w:rPr>
        <w:t xml:space="preserve"> 2010</w:t>
      </w:r>
      <w:r w:rsidR="00440F3F">
        <w:rPr>
          <w:rFonts w:ascii="Arial Narrow" w:hAnsi="Arial Narrow"/>
          <w:sz w:val="15"/>
          <w:szCs w:val="15"/>
        </w:rPr>
        <w:t xml:space="preserve"> </w:t>
      </w:r>
      <w:r w:rsidRPr="00353E9B">
        <w:rPr>
          <w:rFonts w:ascii="Arial Narrow" w:hAnsi="Arial Narrow"/>
          <w:sz w:val="15"/>
          <w:szCs w:val="15"/>
        </w:rPr>
        <w:t>sono state calcolate come segue:</w:t>
      </w:r>
      <w:r w:rsidRPr="00C83E21">
        <w:rPr>
          <w:rFonts w:ascii="Arial Narrow" w:hAnsi="Arial Narrow"/>
          <w:sz w:val="16"/>
          <w:szCs w:val="16"/>
        </w:rPr>
        <w:t xml:space="preserve"> </w:t>
      </w:r>
      <w:bookmarkEnd w:id="0"/>
      <m:oMath>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t</m:t>
            </m:r>
          </m:sup>
        </m:sSup>
        <m:r>
          <w:rPr>
            <w:rFonts w:ascii="Cambria Math" w:hAnsi="Cambria Math"/>
            <w:sz w:val="15"/>
            <w:szCs w:val="15"/>
          </w:rPr>
          <m:t>/</m:t>
        </m:r>
        <m:sSup>
          <m:sSupPr>
            <m:ctrlPr>
              <w:rPr>
                <w:rFonts w:ascii="Cambria Math" w:hAnsi="Cambria Math"/>
                <w:i/>
                <w:sz w:val="15"/>
                <w:szCs w:val="15"/>
              </w:rPr>
            </m:ctrlPr>
          </m:sSupPr>
          <m:e>
            <m:r>
              <w:rPr>
                <w:rFonts w:ascii="Cambria Math" w:hAnsi="Cambria Math"/>
                <w:sz w:val="15"/>
                <w:szCs w:val="15"/>
              </w:rPr>
              <m:t>M</m:t>
            </m:r>
          </m:e>
          <m:sup>
            <m:r>
              <w:rPr>
                <w:rFonts w:ascii="Cambria Math" w:hAnsi="Cambria Math"/>
                <w:sz w:val="15"/>
                <w:szCs w:val="15"/>
              </w:rPr>
              <m:t>t-1 o 2001 o 2010 o 2020</m:t>
            </m:r>
          </m:sup>
        </m:sSup>
        <m:r>
          <w:rPr>
            <w:rFonts w:ascii="Cambria Math" w:hAnsi="Cambria Math"/>
            <w:sz w:val="15"/>
            <w:szCs w:val="15"/>
          </w:rPr>
          <m:t>)-1)*100</m:t>
        </m:r>
      </m:oMath>
    </w:p>
    <w:p w14:paraId="0F33FADB" w14:textId="77777777" w:rsidR="00B77A0E" w:rsidRDefault="00B77A0E" w:rsidP="00B77A0E">
      <w:pPr>
        <w:jc w:val="both"/>
        <w:rPr>
          <w:sz w:val="20"/>
        </w:rPr>
      </w:pPr>
    </w:p>
    <w:p w14:paraId="28B44AB3" w14:textId="77777777" w:rsidR="00675C06" w:rsidRPr="00C47C95" w:rsidRDefault="00675C06" w:rsidP="00675C06">
      <w:pPr>
        <w:spacing w:after="120"/>
        <w:jc w:val="both"/>
        <w:rPr>
          <w:sz w:val="14"/>
          <w:szCs w:val="14"/>
        </w:rPr>
      </w:pPr>
    </w:p>
    <w:p w14:paraId="108053E9" w14:textId="03BEEDE7" w:rsidR="00C935A3" w:rsidRPr="000564FE" w:rsidRDefault="00416BD1" w:rsidP="00F877FE">
      <w:pPr>
        <w:spacing w:after="120"/>
        <w:jc w:val="both"/>
        <w:rPr>
          <w:sz w:val="20"/>
        </w:rPr>
      </w:pPr>
      <w:r>
        <w:rPr>
          <w:sz w:val="20"/>
        </w:rPr>
        <w:t>La</w:t>
      </w:r>
      <w:r w:rsidR="00DA6558" w:rsidRPr="00494B0B">
        <w:rPr>
          <w:sz w:val="20"/>
        </w:rPr>
        <w:t xml:space="preserve"> situazione pandemica e le misure </w:t>
      </w:r>
      <w:r w:rsidR="00DA6558">
        <w:rPr>
          <w:sz w:val="20"/>
        </w:rPr>
        <w:t xml:space="preserve">adottate </w:t>
      </w:r>
      <w:r w:rsidR="00DA6558" w:rsidRPr="00494B0B">
        <w:rPr>
          <w:sz w:val="20"/>
        </w:rPr>
        <w:t xml:space="preserve">per contenerla </w:t>
      </w:r>
      <w:r w:rsidR="00F7167C">
        <w:rPr>
          <w:sz w:val="20"/>
        </w:rPr>
        <w:t xml:space="preserve">hanno condizionato </w:t>
      </w:r>
      <w:r w:rsidR="00DA6558" w:rsidRPr="00494B0B">
        <w:rPr>
          <w:sz w:val="20"/>
        </w:rPr>
        <w:t>i volumi e l’andamento del traffico</w:t>
      </w:r>
      <w:r w:rsidR="00DA6558">
        <w:rPr>
          <w:sz w:val="20"/>
        </w:rPr>
        <w:t>, il mercato dell’auto e il profilo di mobilità degli italiani</w:t>
      </w:r>
      <w:r w:rsidR="00DA6558" w:rsidRPr="009640A8">
        <w:rPr>
          <w:rStyle w:val="Rimandonotaapidipagina"/>
          <w:sz w:val="20"/>
        </w:rPr>
        <w:footnoteReference w:id="2"/>
      </w:r>
      <w:r w:rsidR="00DA6558" w:rsidRPr="00494B0B">
        <w:rPr>
          <w:sz w:val="20"/>
        </w:rPr>
        <w:t xml:space="preserve">. </w:t>
      </w:r>
      <w:r w:rsidR="00F7167C">
        <w:rPr>
          <w:sz w:val="20"/>
        </w:rPr>
        <w:t>B</w:t>
      </w:r>
      <w:r w:rsidR="00FD6C2D">
        <w:rPr>
          <w:sz w:val="20"/>
        </w:rPr>
        <w:t>asti pensare al perdurare dell’utilizzo dello</w:t>
      </w:r>
      <w:r w:rsidR="00C935A3" w:rsidRPr="000564FE">
        <w:rPr>
          <w:sz w:val="20"/>
        </w:rPr>
        <w:t xml:space="preserve"> </w:t>
      </w:r>
      <w:r w:rsidR="000564FE" w:rsidRPr="000564FE">
        <w:rPr>
          <w:i/>
          <w:sz w:val="20"/>
        </w:rPr>
        <w:t>s</w:t>
      </w:r>
      <w:r w:rsidR="00C935A3" w:rsidRPr="000564FE">
        <w:rPr>
          <w:i/>
          <w:sz w:val="20"/>
        </w:rPr>
        <w:t xml:space="preserve">mart </w:t>
      </w:r>
      <w:r w:rsidR="000564FE" w:rsidRPr="000564FE">
        <w:rPr>
          <w:i/>
          <w:sz w:val="20"/>
        </w:rPr>
        <w:t>w</w:t>
      </w:r>
      <w:r w:rsidR="00C935A3" w:rsidRPr="000564FE">
        <w:rPr>
          <w:i/>
          <w:sz w:val="20"/>
        </w:rPr>
        <w:t>orking</w:t>
      </w:r>
      <w:r w:rsidR="00C935A3" w:rsidRPr="000564FE">
        <w:rPr>
          <w:sz w:val="20"/>
        </w:rPr>
        <w:t xml:space="preserve"> c</w:t>
      </w:r>
      <w:r w:rsidR="00FD6C2D">
        <w:rPr>
          <w:sz w:val="20"/>
        </w:rPr>
        <w:t>he ha ridotto il flusso</w:t>
      </w:r>
      <w:r w:rsidR="00C935A3" w:rsidRPr="000564FE">
        <w:rPr>
          <w:sz w:val="20"/>
        </w:rPr>
        <w:t xml:space="preserve"> di lavoratori </w:t>
      </w:r>
      <w:r w:rsidR="00FD6C2D">
        <w:rPr>
          <w:sz w:val="20"/>
        </w:rPr>
        <w:t>negli spostamenti sistematici</w:t>
      </w:r>
      <w:r w:rsidR="00C935A3" w:rsidRPr="000564FE">
        <w:rPr>
          <w:sz w:val="20"/>
        </w:rPr>
        <w:t xml:space="preserve"> tra casa e lavoro, ai periodi di </w:t>
      </w:r>
      <w:r w:rsidR="000564FE" w:rsidRPr="000564FE">
        <w:rPr>
          <w:sz w:val="20"/>
        </w:rPr>
        <w:t>didattica a distanza,</w:t>
      </w:r>
      <w:r w:rsidR="00C935A3" w:rsidRPr="000564FE">
        <w:rPr>
          <w:sz w:val="20"/>
        </w:rPr>
        <w:t xml:space="preserve"> </w:t>
      </w:r>
      <w:r w:rsidR="00F7167C">
        <w:rPr>
          <w:sz w:val="20"/>
        </w:rPr>
        <w:t>disposti</w:t>
      </w:r>
      <w:r w:rsidR="00F7167C" w:rsidRPr="000564FE">
        <w:rPr>
          <w:sz w:val="20"/>
        </w:rPr>
        <w:t xml:space="preserve"> </w:t>
      </w:r>
      <w:r w:rsidR="00C935A3" w:rsidRPr="000564FE">
        <w:rPr>
          <w:sz w:val="20"/>
        </w:rPr>
        <w:t>a seconda della situazione sanitaria locale,</w:t>
      </w:r>
      <w:r w:rsidR="00DA6558">
        <w:rPr>
          <w:sz w:val="20"/>
        </w:rPr>
        <w:t xml:space="preserve"> ai periodi di</w:t>
      </w:r>
      <w:r w:rsidR="00C935A3" w:rsidRPr="000564FE">
        <w:rPr>
          <w:sz w:val="20"/>
        </w:rPr>
        <w:t xml:space="preserve"> </w:t>
      </w:r>
      <w:r w:rsidR="006C4138">
        <w:rPr>
          <w:sz w:val="20"/>
        </w:rPr>
        <w:t>blocco del traffico</w:t>
      </w:r>
      <w:r w:rsidR="00C935A3" w:rsidRPr="000564FE">
        <w:rPr>
          <w:sz w:val="20"/>
        </w:rPr>
        <w:t xml:space="preserve"> </w:t>
      </w:r>
      <w:r w:rsidR="006C4138" w:rsidRPr="000564FE">
        <w:rPr>
          <w:sz w:val="20"/>
        </w:rPr>
        <w:t>tra le 22 e le 5 del mattino</w:t>
      </w:r>
      <w:r w:rsidR="00620A14">
        <w:rPr>
          <w:sz w:val="20"/>
        </w:rPr>
        <w:t xml:space="preserve"> nei primi sei mesi dell’anno,</w:t>
      </w:r>
      <w:r w:rsidR="006C4138">
        <w:rPr>
          <w:sz w:val="20"/>
        </w:rPr>
        <w:t xml:space="preserve"> a meno di esigenze valide e comprovate</w:t>
      </w:r>
      <w:r w:rsidR="00C935A3" w:rsidRPr="000564FE">
        <w:rPr>
          <w:sz w:val="20"/>
        </w:rPr>
        <w:t xml:space="preserve">. </w:t>
      </w:r>
      <w:r w:rsidR="00F7167C">
        <w:rPr>
          <w:sz w:val="20"/>
        </w:rPr>
        <w:t>Ciononostante l’anno passato si caratterizza per la</w:t>
      </w:r>
      <w:r w:rsidR="00C935A3" w:rsidRPr="000564FE">
        <w:rPr>
          <w:sz w:val="20"/>
        </w:rPr>
        <w:t xml:space="preserve"> ripresa della mobilità in tutte le sue forme</w:t>
      </w:r>
      <w:r w:rsidR="000564FE" w:rsidRPr="000564FE">
        <w:rPr>
          <w:sz w:val="20"/>
        </w:rPr>
        <w:t>, dopo la sensibile diminuzione forzata</w:t>
      </w:r>
      <w:r w:rsidR="00C935A3" w:rsidRPr="000564FE">
        <w:rPr>
          <w:sz w:val="20"/>
        </w:rPr>
        <w:t xml:space="preserve"> del 2020.</w:t>
      </w:r>
    </w:p>
    <w:p w14:paraId="1C0A0BC7" w14:textId="6D70A09E" w:rsidR="00100425" w:rsidRDefault="00C935A3" w:rsidP="000564FE">
      <w:pPr>
        <w:pStyle w:val="NormaleWeb"/>
        <w:spacing w:before="0" w:beforeAutospacing="0" w:after="120" w:afterAutospacing="0"/>
        <w:jc w:val="both"/>
        <w:rPr>
          <w:rFonts w:ascii="Arial" w:hAnsi="Arial" w:cs="Arial"/>
          <w:sz w:val="20"/>
          <w:szCs w:val="20"/>
        </w:rPr>
      </w:pPr>
      <w:r w:rsidRPr="000564FE">
        <w:rPr>
          <w:rFonts w:ascii="Arial" w:hAnsi="Arial" w:cs="Arial"/>
          <w:sz w:val="20"/>
          <w:szCs w:val="20"/>
        </w:rPr>
        <w:t xml:space="preserve">Sulla rete autostradale le percorrenze medie annue dei veicoli </w:t>
      </w:r>
      <w:r w:rsidR="00FD6C2D">
        <w:rPr>
          <w:rFonts w:ascii="Arial" w:hAnsi="Arial" w:cs="Arial"/>
          <w:sz w:val="20"/>
          <w:szCs w:val="20"/>
        </w:rPr>
        <w:t>riportano</w:t>
      </w:r>
      <w:r w:rsidRPr="000564FE">
        <w:rPr>
          <w:rFonts w:ascii="Arial" w:hAnsi="Arial" w:cs="Arial"/>
          <w:sz w:val="20"/>
          <w:szCs w:val="20"/>
        </w:rPr>
        <w:t xml:space="preserve"> un aumento</w:t>
      </w:r>
      <w:r w:rsidR="00100425">
        <w:rPr>
          <w:rFonts w:ascii="Arial" w:hAnsi="Arial" w:cs="Arial"/>
          <w:sz w:val="20"/>
          <w:szCs w:val="20"/>
        </w:rPr>
        <w:t xml:space="preserve"> su anno</w:t>
      </w:r>
      <w:r w:rsidRPr="000564FE">
        <w:rPr>
          <w:rFonts w:ascii="Arial" w:hAnsi="Arial" w:cs="Arial"/>
          <w:sz w:val="20"/>
          <w:szCs w:val="20"/>
        </w:rPr>
        <w:t xml:space="preserve"> del 23% ma sono ancora inferiori dell’11% rispetto a</w:t>
      </w:r>
      <w:r w:rsidR="00100425">
        <w:rPr>
          <w:rFonts w:ascii="Arial" w:hAnsi="Arial" w:cs="Arial"/>
          <w:sz w:val="20"/>
          <w:szCs w:val="20"/>
        </w:rPr>
        <w:t>l</w:t>
      </w:r>
      <w:r w:rsidRPr="000564FE">
        <w:rPr>
          <w:rFonts w:ascii="Arial" w:hAnsi="Arial" w:cs="Arial"/>
          <w:sz w:val="20"/>
          <w:szCs w:val="20"/>
        </w:rPr>
        <w:t xml:space="preserve"> 2019</w:t>
      </w:r>
      <w:r w:rsidR="00100425">
        <w:rPr>
          <w:rFonts w:ascii="Arial" w:hAnsi="Arial" w:cs="Arial"/>
          <w:sz w:val="20"/>
          <w:szCs w:val="20"/>
        </w:rPr>
        <w:t>.</w:t>
      </w:r>
      <w:r w:rsidRPr="000564FE">
        <w:rPr>
          <w:rFonts w:ascii="Arial" w:hAnsi="Arial" w:cs="Arial"/>
          <w:sz w:val="20"/>
          <w:szCs w:val="20"/>
        </w:rPr>
        <w:t xml:space="preserve"> </w:t>
      </w:r>
      <w:r w:rsidR="00100425">
        <w:rPr>
          <w:rFonts w:ascii="Arial" w:hAnsi="Arial" w:cs="Arial"/>
          <w:sz w:val="20"/>
          <w:szCs w:val="20"/>
        </w:rPr>
        <w:t>L</w:t>
      </w:r>
      <w:r w:rsidRPr="000564FE">
        <w:rPr>
          <w:rFonts w:ascii="Arial" w:hAnsi="Arial" w:cs="Arial"/>
          <w:sz w:val="20"/>
          <w:szCs w:val="20"/>
        </w:rPr>
        <w:t xml:space="preserve">e variazioni sono più marcate per i veicoli leggeri </w:t>
      </w:r>
      <w:r w:rsidR="00100425">
        <w:rPr>
          <w:rFonts w:ascii="Arial" w:hAnsi="Arial" w:cs="Arial"/>
          <w:sz w:val="20"/>
          <w:szCs w:val="20"/>
        </w:rPr>
        <w:t>(+</w:t>
      </w:r>
      <w:r w:rsidR="00C566DE">
        <w:rPr>
          <w:rFonts w:ascii="Arial" w:hAnsi="Arial" w:cs="Arial"/>
          <w:sz w:val="20"/>
          <w:szCs w:val="20"/>
        </w:rPr>
        <w:t xml:space="preserve">26% </w:t>
      </w:r>
      <w:r w:rsidR="00100425">
        <w:rPr>
          <w:rFonts w:ascii="Arial" w:hAnsi="Arial" w:cs="Arial"/>
          <w:sz w:val="20"/>
          <w:szCs w:val="20"/>
        </w:rPr>
        <w:t>sul</w:t>
      </w:r>
      <w:r w:rsidR="00C566DE">
        <w:rPr>
          <w:rFonts w:ascii="Arial" w:hAnsi="Arial" w:cs="Arial"/>
          <w:sz w:val="20"/>
          <w:szCs w:val="20"/>
        </w:rPr>
        <w:t xml:space="preserve"> 2020 e</w:t>
      </w:r>
      <w:r w:rsidRPr="000564FE">
        <w:rPr>
          <w:rFonts w:ascii="Arial" w:hAnsi="Arial" w:cs="Arial"/>
          <w:sz w:val="20"/>
          <w:szCs w:val="20"/>
        </w:rPr>
        <w:t xml:space="preserve"> </w:t>
      </w:r>
      <w:r w:rsidR="00100425">
        <w:rPr>
          <w:rFonts w:ascii="Arial" w:hAnsi="Arial" w:cs="Arial"/>
          <w:sz w:val="20"/>
          <w:szCs w:val="20"/>
        </w:rPr>
        <w:br/>
        <w:t>-</w:t>
      </w:r>
      <w:r w:rsidRPr="000564FE">
        <w:rPr>
          <w:rFonts w:ascii="Arial" w:hAnsi="Arial" w:cs="Arial"/>
          <w:sz w:val="20"/>
          <w:szCs w:val="20"/>
        </w:rPr>
        <w:t>14,5% sul 2019</w:t>
      </w:r>
      <w:r w:rsidR="00100425">
        <w:rPr>
          <w:rFonts w:ascii="Arial" w:hAnsi="Arial" w:cs="Arial"/>
          <w:sz w:val="20"/>
          <w:szCs w:val="20"/>
        </w:rPr>
        <w:t>) mentre p</w:t>
      </w:r>
      <w:r w:rsidRPr="000564FE">
        <w:rPr>
          <w:rFonts w:ascii="Arial" w:hAnsi="Arial" w:cs="Arial"/>
          <w:sz w:val="20"/>
          <w:szCs w:val="20"/>
        </w:rPr>
        <w:t>er i veicoli pesanti, che anche nel 2020 avevano assicurato il trasporto delle merci</w:t>
      </w:r>
      <w:r w:rsidR="00FD6C2D">
        <w:rPr>
          <w:rFonts w:ascii="Arial" w:hAnsi="Arial" w:cs="Arial"/>
          <w:sz w:val="20"/>
          <w:szCs w:val="20"/>
        </w:rPr>
        <w:t xml:space="preserve"> sulle strade</w:t>
      </w:r>
      <w:r w:rsidRPr="000564FE">
        <w:rPr>
          <w:rFonts w:ascii="Arial" w:hAnsi="Arial" w:cs="Arial"/>
          <w:sz w:val="20"/>
          <w:szCs w:val="20"/>
        </w:rPr>
        <w:t xml:space="preserve">, </w:t>
      </w:r>
      <w:r w:rsidR="00100425">
        <w:rPr>
          <w:rFonts w:ascii="Arial" w:hAnsi="Arial" w:cs="Arial"/>
          <w:sz w:val="20"/>
          <w:szCs w:val="20"/>
        </w:rPr>
        <w:t xml:space="preserve">si registrano aumenti del </w:t>
      </w:r>
      <w:r w:rsidRPr="000564FE">
        <w:rPr>
          <w:rFonts w:ascii="Arial" w:hAnsi="Arial" w:cs="Arial"/>
          <w:sz w:val="20"/>
          <w:szCs w:val="20"/>
        </w:rPr>
        <w:t>15%</w:t>
      </w:r>
      <w:r w:rsidR="00100425">
        <w:rPr>
          <w:rFonts w:ascii="Arial" w:hAnsi="Arial" w:cs="Arial"/>
          <w:sz w:val="20"/>
          <w:szCs w:val="20"/>
        </w:rPr>
        <w:t xml:space="preserve"> sul 2020 e de</w:t>
      </w:r>
      <w:r w:rsidRPr="000564FE">
        <w:rPr>
          <w:rFonts w:ascii="Arial" w:hAnsi="Arial" w:cs="Arial"/>
          <w:sz w:val="20"/>
          <w:szCs w:val="20"/>
        </w:rPr>
        <w:t>l</w:t>
      </w:r>
      <w:r w:rsidR="00C566DE">
        <w:rPr>
          <w:rFonts w:ascii="Arial" w:hAnsi="Arial" w:cs="Arial"/>
          <w:sz w:val="20"/>
          <w:szCs w:val="20"/>
        </w:rPr>
        <w:t>l’1%</w:t>
      </w:r>
      <w:r w:rsidR="00100425">
        <w:rPr>
          <w:rFonts w:ascii="Arial" w:hAnsi="Arial" w:cs="Arial"/>
          <w:sz w:val="20"/>
          <w:szCs w:val="20"/>
        </w:rPr>
        <w:t xml:space="preserve"> su</w:t>
      </w:r>
      <w:r w:rsidRPr="000564FE">
        <w:rPr>
          <w:rFonts w:ascii="Arial" w:hAnsi="Arial" w:cs="Arial"/>
          <w:sz w:val="20"/>
          <w:szCs w:val="20"/>
        </w:rPr>
        <w:t xml:space="preserve">l 2019. </w:t>
      </w:r>
    </w:p>
    <w:p w14:paraId="261FDBC0" w14:textId="432E753E" w:rsidR="00C935A3" w:rsidRPr="000564FE" w:rsidRDefault="009B1036" w:rsidP="000564FE">
      <w:pPr>
        <w:pStyle w:val="NormaleWeb"/>
        <w:spacing w:before="0" w:beforeAutospacing="0" w:after="120" w:afterAutospacing="0"/>
        <w:jc w:val="both"/>
        <w:rPr>
          <w:rFonts w:ascii="Arial" w:hAnsi="Arial" w:cs="Arial"/>
          <w:sz w:val="20"/>
          <w:szCs w:val="20"/>
        </w:rPr>
      </w:pPr>
      <w:r>
        <w:rPr>
          <w:rFonts w:ascii="Arial" w:hAnsi="Arial" w:cs="Arial"/>
          <w:sz w:val="20"/>
          <w:szCs w:val="20"/>
        </w:rPr>
        <w:t>L</w:t>
      </w:r>
      <w:r w:rsidRPr="000564FE">
        <w:rPr>
          <w:rFonts w:ascii="Arial" w:hAnsi="Arial" w:cs="Arial"/>
          <w:sz w:val="20"/>
          <w:szCs w:val="20"/>
        </w:rPr>
        <w:t xml:space="preserve">’Indice di Mobilità Rilevata </w:t>
      </w:r>
      <w:r>
        <w:rPr>
          <w:rFonts w:ascii="Arial" w:hAnsi="Arial" w:cs="Arial"/>
          <w:sz w:val="20"/>
          <w:szCs w:val="20"/>
        </w:rPr>
        <w:t>(IMR), calcolato da Anas sulla base del t</w:t>
      </w:r>
      <w:r w:rsidRPr="0057031B">
        <w:rPr>
          <w:rFonts w:ascii="Arial" w:hAnsi="Arial" w:cs="Arial"/>
          <w:sz w:val="20"/>
          <w:szCs w:val="20"/>
        </w:rPr>
        <w:t xml:space="preserve">raffico </w:t>
      </w:r>
      <w:r>
        <w:rPr>
          <w:rFonts w:ascii="Arial" w:hAnsi="Arial" w:cs="Arial"/>
          <w:sz w:val="20"/>
          <w:szCs w:val="20"/>
        </w:rPr>
        <w:t>g</w:t>
      </w:r>
      <w:r w:rsidRPr="0057031B">
        <w:rPr>
          <w:rFonts w:ascii="Arial" w:hAnsi="Arial" w:cs="Arial"/>
          <w:sz w:val="20"/>
          <w:szCs w:val="20"/>
        </w:rPr>
        <w:t xml:space="preserve">iornaliero </w:t>
      </w:r>
      <w:r>
        <w:rPr>
          <w:rFonts w:ascii="Arial" w:hAnsi="Arial" w:cs="Arial"/>
          <w:sz w:val="20"/>
          <w:szCs w:val="20"/>
        </w:rPr>
        <w:t>m</w:t>
      </w:r>
      <w:r w:rsidRPr="0057031B">
        <w:rPr>
          <w:rFonts w:ascii="Arial" w:hAnsi="Arial" w:cs="Arial"/>
          <w:sz w:val="20"/>
          <w:szCs w:val="20"/>
        </w:rPr>
        <w:t xml:space="preserve">edio </w:t>
      </w:r>
      <w:r>
        <w:rPr>
          <w:rFonts w:ascii="Arial" w:hAnsi="Arial" w:cs="Arial"/>
          <w:sz w:val="20"/>
          <w:szCs w:val="20"/>
        </w:rPr>
        <w:t>m</w:t>
      </w:r>
      <w:r w:rsidRPr="0057031B">
        <w:rPr>
          <w:rFonts w:ascii="Arial" w:hAnsi="Arial" w:cs="Arial"/>
          <w:sz w:val="20"/>
          <w:szCs w:val="20"/>
        </w:rPr>
        <w:t>ensile</w:t>
      </w:r>
      <w:r>
        <w:rPr>
          <w:rFonts w:ascii="Arial" w:hAnsi="Arial" w:cs="Arial"/>
          <w:sz w:val="20"/>
          <w:szCs w:val="20"/>
        </w:rPr>
        <w:t xml:space="preserve"> per classi di veicolo, risulta pari a -12% rispetto al 2019 per il traffico totale sulle </w:t>
      </w:r>
      <w:r w:rsidR="00C935A3" w:rsidRPr="000564FE">
        <w:rPr>
          <w:rFonts w:ascii="Arial" w:hAnsi="Arial" w:cs="Arial"/>
          <w:sz w:val="20"/>
          <w:szCs w:val="20"/>
        </w:rPr>
        <w:t>strade di interesse nazionale</w:t>
      </w:r>
      <w:r>
        <w:rPr>
          <w:rFonts w:ascii="Arial" w:hAnsi="Arial" w:cs="Arial"/>
          <w:sz w:val="20"/>
          <w:szCs w:val="20"/>
        </w:rPr>
        <w:t xml:space="preserve"> e</w:t>
      </w:r>
      <w:r w:rsidR="00C935A3" w:rsidRPr="000564FE">
        <w:rPr>
          <w:rFonts w:ascii="Arial" w:hAnsi="Arial" w:cs="Arial"/>
          <w:sz w:val="20"/>
          <w:szCs w:val="20"/>
        </w:rPr>
        <w:t xml:space="preserve"> a -1,5% circa per il solo traffico </w:t>
      </w:r>
      <w:r w:rsidR="008A03FD">
        <w:rPr>
          <w:rFonts w:ascii="Arial" w:hAnsi="Arial" w:cs="Arial"/>
          <w:sz w:val="20"/>
          <w:szCs w:val="20"/>
        </w:rPr>
        <w:t>di mezzi pesanti</w:t>
      </w:r>
      <w:r w:rsidR="00DA6558">
        <w:rPr>
          <w:rFonts w:ascii="Arial" w:hAnsi="Arial" w:cs="Arial"/>
          <w:sz w:val="20"/>
          <w:szCs w:val="20"/>
        </w:rPr>
        <w:t xml:space="preserve">. </w:t>
      </w:r>
      <w:r w:rsidR="00DA6558" w:rsidRPr="00D31D8D">
        <w:rPr>
          <w:rFonts w:ascii="Arial" w:hAnsi="Arial" w:cs="Arial"/>
          <w:sz w:val="20"/>
          <w:szCs w:val="20"/>
        </w:rPr>
        <w:t>R</w:t>
      </w:r>
      <w:r w:rsidR="00C935A3" w:rsidRPr="00D31D8D">
        <w:rPr>
          <w:rFonts w:ascii="Arial" w:hAnsi="Arial" w:cs="Arial"/>
          <w:sz w:val="20"/>
          <w:szCs w:val="20"/>
        </w:rPr>
        <w:t>ispetto al 2020</w:t>
      </w:r>
      <w:r>
        <w:rPr>
          <w:rFonts w:ascii="Arial" w:hAnsi="Arial" w:cs="Arial"/>
          <w:sz w:val="20"/>
          <w:szCs w:val="20"/>
        </w:rPr>
        <w:t xml:space="preserve"> lo stesso indice </w:t>
      </w:r>
      <w:r w:rsidR="00C935A3" w:rsidRPr="00D31D8D">
        <w:rPr>
          <w:rFonts w:ascii="Arial" w:hAnsi="Arial" w:cs="Arial"/>
          <w:sz w:val="20"/>
          <w:szCs w:val="20"/>
        </w:rPr>
        <w:t xml:space="preserve">cresce di circa il 15% </w:t>
      </w:r>
      <w:r>
        <w:rPr>
          <w:rFonts w:ascii="Arial" w:hAnsi="Arial" w:cs="Arial"/>
          <w:sz w:val="20"/>
          <w:szCs w:val="20"/>
        </w:rPr>
        <w:t xml:space="preserve">per </w:t>
      </w:r>
      <w:r w:rsidR="00C935A3" w:rsidRPr="00D31D8D">
        <w:rPr>
          <w:rFonts w:ascii="Arial" w:hAnsi="Arial" w:cs="Arial"/>
          <w:sz w:val="20"/>
          <w:szCs w:val="20"/>
        </w:rPr>
        <w:t xml:space="preserve">il traffico totale e del 10% </w:t>
      </w:r>
      <w:r w:rsidR="00DA6558" w:rsidRPr="00D31D8D">
        <w:rPr>
          <w:rFonts w:ascii="Arial" w:hAnsi="Arial" w:cs="Arial"/>
          <w:sz w:val="20"/>
          <w:szCs w:val="20"/>
        </w:rPr>
        <w:t>con riferimento ai soli</w:t>
      </w:r>
      <w:r w:rsidR="00C935A3" w:rsidRPr="00D31D8D">
        <w:rPr>
          <w:rFonts w:ascii="Arial" w:hAnsi="Arial" w:cs="Arial"/>
          <w:sz w:val="20"/>
          <w:szCs w:val="20"/>
        </w:rPr>
        <w:t xml:space="preserve"> veicoli pesanti.</w:t>
      </w:r>
    </w:p>
    <w:p w14:paraId="2F3E20E1" w14:textId="00760393" w:rsidR="00C935A3" w:rsidRDefault="00DA6558" w:rsidP="000564FE">
      <w:pPr>
        <w:pStyle w:val="NormaleWeb"/>
        <w:spacing w:before="0" w:beforeAutospacing="0" w:after="120" w:afterAutospacing="0"/>
        <w:jc w:val="both"/>
        <w:rPr>
          <w:rFonts w:ascii="Arial" w:hAnsi="Arial" w:cs="Arial"/>
          <w:sz w:val="20"/>
          <w:szCs w:val="20"/>
        </w:rPr>
      </w:pPr>
      <w:r>
        <w:rPr>
          <w:rFonts w:ascii="Arial" w:hAnsi="Arial" w:cs="Arial"/>
          <w:sz w:val="20"/>
          <w:szCs w:val="20"/>
        </w:rPr>
        <w:t xml:space="preserve">Anche i dati congiunturali </w:t>
      </w:r>
      <w:r w:rsidR="00C935A3" w:rsidRPr="000564FE">
        <w:rPr>
          <w:rFonts w:ascii="Arial" w:hAnsi="Arial" w:cs="Arial"/>
          <w:sz w:val="20"/>
          <w:szCs w:val="20"/>
        </w:rPr>
        <w:t xml:space="preserve">provvisori dell’Osservatorio Audimob di Isfort, che includono la domanda </w:t>
      </w:r>
      <w:r>
        <w:rPr>
          <w:rFonts w:ascii="Arial" w:hAnsi="Arial" w:cs="Arial"/>
          <w:sz w:val="20"/>
          <w:szCs w:val="20"/>
        </w:rPr>
        <w:t xml:space="preserve">complessiva </w:t>
      </w:r>
      <w:r w:rsidR="00C935A3" w:rsidRPr="000564FE">
        <w:rPr>
          <w:rFonts w:ascii="Arial" w:hAnsi="Arial" w:cs="Arial"/>
          <w:sz w:val="20"/>
          <w:szCs w:val="20"/>
        </w:rPr>
        <w:t>di mobilità</w:t>
      </w:r>
      <w:r>
        <w:rPr>
          <w:rFonts w:ascii="Arial" w:hAnsi="Arial" w:cs="Arial"/>
          <w:sz w:val="20"/>
          <w:szCs w:val="20"/>
        </w:rPr>
        <w:t>,</w:t>
      </w:r>
      <w:r w:rsidR="00C935A3" w:rsidRPr="000564FE">
        <w:rPr>
          <w:rFonts w:ascii="Arial" w:hAnsi="Arial" w:cs="Arial"/>
          <w:sz w:val="20"/>
          <w:szCs w:val="20"/>
        </w:rPr>
        <w:t xml:space="preserve"> inclusi gli spostamenti a piedi, in bicicletta e con i mezzi pubblici,</w:t>
      </w:r>
      <w:r>
        <w:rPr>
          <w:rFonts w:ascii="Arial" w:hAnsi="Arial" w:cs="Arial"/>
          <w:sz w:val="20"/>
          <w:szCs w:val="20"/>
        </w:rPr>
        <w:t xml:space="preserve"> </w:t>
      </w:r>
      <w:r w:rsidR="00C935A3" w:rsidRPr="000564FE">
        <w:rPr>
          <w:rFonts w:ascii="Arial" w:hAnsi="Arial" w:cs="Arial"/>
          <w:sz w:val="20"/>
          <w:szCs w:val="20"/>
        </w:rPr>
        <w:t>confermano</w:t>
      </w:r>
      <w:r w:rsidR="00090BAB">
        <w:rPr>
          <w:rFonts w:ascii="Arial" w:hAnsi="Arial" w:cs="Arial"/>
          <w:sz w:val="20"/>
          <w:szCs w:val="20"/>
        </w:rPr>
        <w:t>,</w:t>
      </w:r>
      <w:r w:rsidR="009B1036">
        <w:rPr>
          <w:rFonts w:ascii="Arial" w:hAnsi="Arial" w:cs="Arial"/>
          <w:sz w:val="20"/>
          <w:szCs w:val="20"/>
        </w:rPr>
        <w:t xml:space="preserve"> specie in ambito urbano</w:t>
      </w:r>
      <w:r w:rsidR="00090BAB">
        <w:rPr>
          <w:rFonts w:ascii="Arial" w:hAnsi="Arial" w:cs="Arial"/>
          <w:sz w:val="20"/>
          <w:szCs w:val="20"/>
        </w:rPr>
        <w:t>,</w:t>
      </w:r>
      <w:r w:rsidR="00C935A3" w:rsidRPr="000564FE">
        <w:rPr>
          <w:rFonts w:ascii="Arial" w:hAnsi="Arial" w:cs="Arial"/>
          <w:sz w:val="20"/>
          <w:szCs w:val="20"/>
        </w:rPr>
        <w:t xml:space="preserve"> la consistente ripresa dei flussi di domanda</w:t>
      </w:r>
      <w:r w:rsidR="009B1036">
        <w:rPr>
          <w:rFonts w:ascii="Arial" w:hAnsi="Arial" w:cs="Arial"/>
          <w:sz w:val="20"/>
          <w:szCs w:val="20"/>
        </w:rPr>
        <w:t>,</w:t>
      </w:r>
      <w:r w:rsidR="00C935A3" w:rsidRPr="000564FE">
        <w:rPr>
          <w:rFonts w:ascii="Arial" w:hAnsi="Arial" w:cs="Arial"/>
          <w:sz w:val="20"/>
          <w:szCs w:val="20"/>
        </w:rPr>
        <w:t xml:space="preserve"> soprattutto </w:t>
      </w:r>
      <w:r>
        <w:rPr>
          <w:rFonts w:ascii="Arial" w:hAnsi="Arial" w:cs="Arial"/>
          <w:sz w:val="20"/>
          <w:szCs w:val="20"/>
        </w:rPr>
        <w:t xml:space="preserve">a partire </w:t>
      </w:r>
      <w:r w:rsidR="009B1036">
        <w:rPr>
          <w:rFonts w:ascii="Arial" w:hAnsi="Arial" w:cs="Arial"/>
          <w:sz w:val="20"/>
          <w:szCs w:val="20"/>
        </w:rPr>
        <w:t>da</w:t>
      </w:r>
      <w:r>
        <w:rPr>
          <w:rFonts w:ascii="Arial" w:hAnsi="Arial" w:cs="Arial"/>
          <w:sz w:val="20"/>
          <w:szCs w:val="20"/>
        </w:rPr>
        <w:t xml:space="preserve"> aprile</w:t>
      </w:r>
      <w:r w:rsidR="00D31D8D">
        <w:rPr>
          <w:rFonts w:ascii="Arial" w:hAnsi="Arial" w:cs="Arial"/>
          <w:sz w:val="20"/>
          <w:szCs w:val="20"/>
        </w:rPr>
        <w:t xml:space="preserve"> 2021</w:t>
      </w:r>
      <w:r w:rsidR="00C935A3" w:rsidRPr="000564FE">
        <w:rPr>
          <w:rFonts w:ascii="Arial" w:hAnsi="Arial" w:cs="Arial"/>
          <w:sz w:val="20"/>
          <w:szCs w:val="20"/>
        </w:rPr>
        <w:t xml:space="preserve">, </w:t>
      </w:r>
      <w:r>
        <w:rPr>
          <w:rFonts w:ascii="Arial" w:hAnsi="Arial" w:cs="Arial"/>
          <w:sz w:val="20"/>
          <w:szCs w:val="20"/>
        </w:rPr>
        <w:t>in coincidenza d</w:t>
      </w:r>
      <w:r w:rsidR="009B1036">
        <w:rPr>
          <w:rFonts w:ascii="Arial" w:hAnsi="Arial" w:cs="Arial"/>
          <w:sz w:val="20"/>
          <w:szCs w:val="20"/>
        </w:rPr>
        <w:t>ello stato di avanzamento della</w:t>
      </w:r>
      <w:r w:rsidR="00C935A3" w:rsidRPr="000564FE">
        <w:rPr>
          <w:rFonts w:ascii="Arial" w:hAnsi="Arial" w:cs="Arial"/>
          <w:sz w:val="20"/>
          <w:szCs w:val="20"/>
        </w:rPr>
        <w:t xml:space="preserve"> campagna vaccinale</w:t>
      </w:r>
      <w:r w:rsidR="009B1036">
        <w:rPr>
          <w:rFonts w:ascii="Arial" w:hAnsi="Arial" w:cs="Arial"/>
          <w:sz w:val="20"/>
          <w:szCs w:val="20"/>
        </w:rPr>
        <w:t>.</w:t>
      </w:r>
      <w:r>
        <w:rPr>
          <w:rFonts w:ascii="Arial" w:hAnsi="Arial" w:cs="Arial"/>
          <w:sz w:val="20"/>
          <w:szCs w:val="20"/>
        </w:rPr>
        <w:t xml:space="preserve"> Tra settembre e ottobr</w:t>
      </w:r>
      <w:r w:rsidR="009B1036">
        <w:rPr>
          <w:rFonts w:ascii="Arial" w:hAnsi="Arial" w:cs="Arial"/>
          <w:sz w:val="20"/>
          <w:szCs w:val="20"/>
        </w:rPr>
        <w:t>e</w:t>
      </w:r>
      <w:r w:rsidR="00C935A3" w:rsidRPr="000564FE">
        <w:rPr>
          <w:rFonts w:ascii="Arial" w:hAnsi="Arial" w:cs="Arial"/>
          <w:sz w:val="20"/>
          <w:szCs w:val="20"/>
        </w:rPr>
        <w:t xml:space="preserve"> il tasso di mobilità è arrivato al 77,2% (contro il 67,7% della media 2020) e il volume di spostamenti è cresciuto del 22% rispetto al primo trimestre dell’anno, pur restando </w:t>
      </w:r>
      <w:r>
        <w:rPr>
          <w:rFonts w:ascii="Arial" w:hAnsi="Arial" w:cs="Arial"/>
          <w:sz w:val="20"/>
          <w:szCs w:val="20"/>
        </w:rPr>
        <w:t>su livelli</w:t>
      </w:r>
      <w:r w:rsidR="00C935A3" w:rsidRPr="000564FE">
        <w:rPr>
          <w:rFonts w:ascii="Arial" w:hAnsi="Arial" w:cs="Arial"/>
          <w:sz w:val="20"/>
          <w:szCs w:val="20"/>
        </w:rPr>
        <w:t xml:space="preserve"> inferior</w:t>
      </w:r>
      <w:r>
        <w:rPr>
          <w:rFonts w:ascii="Arial" w:hAnsi="Arial" w:cs="Arial"/>
          <w:sz w:val="20"/>
          <w:szCs w:val="20"/>
        </w:rPr>
        <w:t>i</w:t>
      </w:r>
      <w:r w:rsidR="00C935A3" w:rsidRPr="000564FE">
        <w:rPr>
          <w:rFonts w:ascii="Arial" w:hAnsi="Arial" w:cs="Arial"/>
          <w:sz w:val="20"/>
          <w:szCs w:val="20"/>
        </w:rPr>
        <w:t xml:space="preserve"> al regime pre-Covid.</w:t>
      </w:r>
    </w:p>
    <w:p w14:paraId="508A690A" w14:textId="77777777" w:rsidR="00416BD1" w:rsidRPr="000564FE" w:rsidRDefault="00416BD1" w:rsidP="000564FE">
      <w:pPr>
        <w:pStyle w:val="NormaleWeb"/>
        <w:spacing w:before="0" w:beforeAutospacing="0" w:after="120" w:afterAutospacing="0"/>
        <w:jc w:val="both"/>
        <w:rPr>
          <w:rFonts w:ascii="Arial" w:hAnsi="Arial" w:cs="Arial"/>
          <w:sz w:val="20"/>
          <w:szCs w:val="20"/>
        </w:rPr>
      </w:pPr>
    </w:p>
    <w:p w14:paraId="3DD7D6F3" w14:textId="140A2376" w:rsidR="007C4700" w:rsidRDefault="00C935A3" w:rsidP="000564FE">
      <w:pPr>
        <w:pStyle w:val="NormaleWeb"/>
        <w:spacing w:before="0" w:beforeAutospacing="0" w:after="120" w:afterAutospacing="0"/>
        <w:jc w:val="both"/>
        <w:rPr>
          <w:rFonts w:ascii="Arial" w:hAnsi="Arial" w:cs="Arial"/>
          <w:sz w:val="20"/>
          <w:szCs w:val="20"/>
        </w:rPr>
      </w:pPr>
      <w:r w:rsidRPr="000564FE">
        <w:rPr>
          <w:rFonts w:ascii="Arial" w:hAnsi="Arial" w:cs="Arial"/>
          <w:sz w:val="20"/>
          <w:szCs w:val="20"/>
        </w:rPr>
        <w:t xml:space="preserve">Nel contesto della mobilità 2021 irrompono poi, soprattutto nelle aree urbane, nuove forme di mobilità personale come i monopattini elettrici ed altri dispositivi non ancora </w:t>
      </w:r>
      <w:r w:rsidR="003804D0">
        <w:rPr>
          <w:rFonts w:ascii="Arial" w:hAnsi="Arial" w:cs="Arial"/>
          <w:sz w:val="20"/>
          <w:szCs w:val="20"/>
        </w:rPr>
        <w:t>classificati e normati nelle categorie dei veicoli, come</w:t>
      </w:r>
      <w:r w:rsidRPr="000564FE">
        <w:rPr>
          <w:rFonts w:ascii="Arial" w:hAnsi="Arial" w:cs="Arial"/>
          <w:sz w:val="20"/>
          <w:szCs w:val="20"/>
        </w:rPr>
        <w:t xml:space="preserve"> </w:t>
      </w:r>
      <w:r w:rsidR="003804D0" w:rsidRPr="00EE5E97">
        <w:rPr>
          <w:rFonts w:ascii="Arial" w:hAnsi="Arial" w:cs="Arial"/>
          <w:i/>
          <w:sz w:val="20"/>
          <w:szCs w:val="20"/>
        </w:rPr>
        <w:t>monowheel, o</w:t>
      </w:r>
      <w:r w:rsidRPr="00EE5E97">
        <w:rPr>
          <w:rFonts w:ascii="Arial" w:hAnsi="Arial" w:cs="Arial"/>
          <w:i/>
          <w:sz w:val="20"/>
          <w:szCs w:val="20"/>
        </w:rPr>
        <w:t>verboard, skatebo</w:t>
      </w:r>
      <w:r w:rsidR="003804D0" w:rsidRPr="00EE5E97">
        <w:rPr>
          <w:rFonts w:ascii="Arial" w:hAnsi="Arial" w:cs="Arial"/>
          <w:i/>
          <w:sz w:val="20"/>
          <w:szCs w:val="20"/>
        </w:rPr>
        <w:t>ard</w:t>
      </w:r>
      <w:r w:rsidR="003804D0">
        <w:rPr>
          <w:rFonts w:ascii="Arial" w:hAnsi="Arial" w:cs="Arial"/>
          <w:sz w:val="20"/>
          <w:szCs w:val="20"/>
        </w:rPr>
        <w:t xml:space="preserve"> e altri mezzi </w:t>
      </w:r>
      <w:r w:rsidR="00FB2C2F">
        <w:rPr>
          <w:rFonts w:ascii="Arial" w:hAnsi="Arial" w:cs="Arial"/>
          <w:sz w:val="20"/>
          <w:szCs w:val="20"/>
        </w:rPr>
        <w:t xml:space="preserve">legati alla micromobilità elettrica. </w:t>
      </w:r>
      <w:r w:rsidR="009B1036">
        <w:rPr>
          <w:rFonts w:ascii="Arial" w:hAnsi="Arial" w:cs="Arial"/>
          <w:sz w:val="20"/>
          <w:szCs w:val="20"/>
        </w:rPr>
        <w:t xml:space="preserve">In </w:t>
      </w:r>
      <w:r w:rsidRPr="000564FE">
        <w:rPr>
          <w:rFonts w:ascii="Arial" w:hAnsi="Arial" w:cs="Arial"/>
          <w:sz w:val="20"/>
          <w:szCs w:val="20"/>
        </w:rPr>
        <w:t>u</w:t>
      </w:r>
      <w:r w:rsidR="00FB2C2F">
        <w:rPr>
          <w:rFonts w:ascii="Arial" w:hAnsi="Arial" w:cs="Arial"/>
          <w:sz w:val="20"/>
          <w:szCs w:val="20"/>
        </w:rPr>
        <w:t xml:space="preserve">lteriore crescita </w:t>
      </w:r>
      <w:r w:rsidR="009B1036">
        <w:rPr>
          <w:rFonts w:ascii="Arial" w:hAnsi="Arial" w:cs="Arial"/>
          <w:sz w:val="20"/>
          <w:szCs w:val="20"/>
        </w:rPr>
        <w:t xml:space="preserve">anche </w:t>
      </w:r>
      <w:r w:rsidR="00FB2C2F">
        <w:rPr>
          <w:rFonts w:ascii="Arial" w:hAnsi="Arial" w:cs="Arial"/>
          <w:sz w:val="20"/>
          <w:szCs w:val="20"/>
        </w:rPr>
        <w:t>l’uso della bicicletta,</w:t>
      </w:r>
      <w:r w:rsidRPr="000564FE">
        <w:rPr>
          <w:rFonts w:ascii="Arial" w:hAnsi="Arial" w:cs="Arial"/>
          <w:sz w:val="20"/>
          <w:szCs w:val="20"/>
        </w:rPr>
        <w:t xml:space="preserve"> favorito dalla spinta </w:t>
      </w:r>
      <w:r w:rsidR="009B1036">
        <w:rPr>
          <w:rFonts w:ascii="Arial" w:hAnsi="Arial" w:cs="Arial"/>
          <w:sz w:val="20"/>
          <w:szCs w:val="20"/>
        </w:rPr>
        <w:t>verso</w:t>
      </w:r>
      <w:r w:rsidRPr="000564FE">
        <w:rPr>
          <w:rFonts w:ascii="Arial" w:hAnsi="Arial" w:cs="Arial"/>
          <w:sz w:val="20"/>
          <w:szCs w:val="20"/>
        </w:rPr>
        <w:t xml:space="preserve"> forme di mobilità più attiva</w:t>
      </w:r>
      <w:r w:rsidR="00FB2C2F">
        <w:rPr>
          <w:rFonts w:ascii="Arial" w:hAnsi="Arial" w:cs="Arial"/>
          <w:sz w:val="20"/>
          <w:szCs w:val="20"/>
        </w:rPr>
        <w:t xml:space="preserve">, </w:t>
      </w:r>
      <w:r w:rsidR="00D31D8D">
        <w:rPr>
          <w:rFonts w:ascii="Arial" w:hAnsi="Arial" w:cs="Arial"/>
          <w:sz w:val="20"/>
          <w:szCs w:val="20"/>
        </w:rPr>
        <w:t xml:space="preserve">anche </w:t>
      </w:r>
      <w:r w:rsidR="00FB2C2F">
        <w:rPr>
          <w:rFonts w:ascii="Arial" w:hAnsi="Arial" w:cs="Arial"/>
          <w:sz w:val="20"/>
          <w:szCs w:val="20"/>
        </w:rPr>
        <w:t>con la finalità di</w:t>
      </w:r>
      <w:r w:rsidRPr="000564FE">
        <w:rPr>
          <w:rFonts w:ascii="Arial" w:hAnsi="Arial" w:cs="Arial"/>
          <w:sz w:val="20"/>
          <w:szCs w:val="20"/>
        </w:rPr>
        <w:t xml:space="preserve"> liberare le città da traffico e inquinamento. Nel 2021 sono state vendute 1</w:t>
      </w:r>
      <w:r w:rsidR="009B1036">
        <w:rPr>
          <w:rFonts w:ascii="Arial" w:hAnsi="Arial" w:cs="Arial"/>
          <w:sz w:val="20"/>
          <w:szCs w:val="20"/>
        </w:rPr>
        <w:t xml:space="preserve"> milione </w:t>
      </w:r>
      <w:r w:rsidRPr="000564FE">
        <w:rPr>
          <w:rFonts w:ascii="Arial" w:hAnsi="Arial" w:cs="Arial"/>
          <w:sz w:val="20"/>
          <w:szCs w:val="20"/>
        </w:rPr>
        <w:t>975</w:t>
      </w:r>
      <w:r w:rsidR="009B1036">
        <w:rPr>
          <w:rFonts w:ascii="Arial" w:hAnsi="Arial" w:cs="Arial"/>
          <w:sz w:val="20"/>
          <w:szCs w:val="20"/>
        </w:rPr>
        <w:t>mila</w:t>
      </w:r>
      <w:r w:rsidRPr="000564FE">
        <w:rPr>
          <w:rFonts w:ascii="Arial" w:hAnsi="Arial" w:cs="Arial"/>
          <w:sz w:val="20"/>
          <w:szCs w:val="20"/>
        </w:rPr>
        <w:t xml:space="preserve"> biciclette, comprese le e-bike, </w:t>
      </w:r>
      <w:r w:rsidR="007C4700">
        <w:rPr>
          <w:rFonts w:ascii="Arial" w:hAnsi="Arial" w:cs="Arial"/>
          <w:sz w:val="20"/>
          <w:szCs w:val="20"/>
        </w:rPr>
        <w:t>valore non trascurabile anche se inferiore del</w:t>
      </w:r>
      <w:r w:rsidRPr="000564FE">
        <w:rPr>
          <w:rFonts w:ascii="Arial" w:hAnsi="Arial" w:cs="Arial"/>
          <w:sz w:val="20"/>
          <w:szCs w:val="20"/>
        </w:rPr>
        <w:t xml:space="preserve"> 2%</w:t>
      </w:r>
      <w:r w:rsidR="007C4700">
        <w:rPr>
          <w:rFonts w:ascii="Arial" w:hAnsi="Arial" w:cs="Arial"/>
          <w:sz w:val="20"/>
          <w:szCs w:val="20"/>
        </w:rPr>
        <w:t xml:space="preserve"> </w:t>
      </w:r>
      <w:r w:rsidRPr="000564FE">
        <w:rPr>
          <w:rFonts w:ascii="Arial" w:hAnsi="Arial" w:cs="Arial"/>
          <w:sz w:val="20"/>
          <w:szCs w:val="20"/>
        </w:rPr>
        <w:t>rispetto al</w:t>
      </w:r>
      <w:r w:rsidR="007C4700">
        <w:rPr>
          <w:rFonts w:ascii="Arial" w:hAnsi="Arial" w:cs="Arial"/>
          <w:sz w:val="20"/>
          <w:szCs w:val="20"/>
        </w:rPr>
        <w:t>l’anno precedente</w:t>
      </w:r>
      <w:r w:rsidRPr="000564FE">
        <w:rPr>
          <w:rFonts w:ascii="Arial" w:hAnsi="Arial" w:cs="Arial"/>
          <w:sz w:val="20"/>
          <w:szCs w:val="20"/>
        </w:rPr>
        <w:t xml:space="preserve">. </w:t>
      </w:r>
    </w:p>
    <w:p w14:paraId="7D802031" w14:textId="18DE43A5" w:rsidR="00C935A3" w:rsidRPr="000564FE" w:rsidRDefault="00C935A3" w:rsidP="000564FE">
      <w:pPr>
        <w:pStyle w:val="NormaleWeb"/>
        <w:spacing w:before="0" w:beforeAutospacing="0" w:after="120" w:afterAutospacing="0"/>
        <w:jc w:val="both"/>
        <w:rPr>
          <w:rFonts w:ascii="Arial" w:hAnsi="Arial" w:cs="Arial"/>
          <w:sz w:val="20"/>
          <w:szCs w:val="20"/>
        </w:rPr>
      </w:pPr>
      <w:r w:rsidRPr="000564FE">
        <w:rPr>
          <w:rFonts w:ascii="Arial" w:hAnsi="Arial" w:cs="Arial"/>
          <w:sz w:val="20"/>
          <w:szCs w:val="20"/>
        </w:rPr>
        <w:t xml:space="preserve">I monopattini in </w:t>
      </w:r>
      <w:r w:rsidRPr="00FB2C2F">
        <w:rPr>
          <w:rFonts w:ascii="Arial" w:hAnsi="Arial" w:cs="Arial"/>
          <w:i/>
          <w:sz w:val="20"/>
          <w:szCs w:val="20"/>
        </w:rPr>
        <w:t>sharing</w:t>
      </w:r>
      <w:r w:rsidRPr="000564FE">
        <w:rPr>
          <w:rFonts w:ascii="Arial" w:hAnsi="Arial" w:cs="Arial"/>
          <w:sz w:val="20"/>
          <w:szCs w:val="20"/>
        </w:rPr>
        <w:t xml:space="preserve"> sono </w:t>
      </w:r>
      <w:r w:rsidR="007C4700">
        <w:rPr>
          <w:rFonts w:ascii="Arial" w:hAnsi="Arial" w:cs="Arial"/>
          <w:sz w:val="20"/>
          <w:szCs w:val="20"/>
        </w:rPr>
        <w:t xml:space="preserve">stati </w:t>
      </w:r>
      <w:r w:rsidRPr="000564FE">
        <w:rPr>
          <w:rFonts w:ascii="Arial" w:hAnsi="Arial" w:cs="Arial"/>
          <w:sz w:val="20"/>
          <w:szCs w:val="20"/>
        </w:rPr>
        <w:t>più di 35</w:t>
      </w:r>
      <w:r w:rsidR="007C4700">
        <w:rPr>
          <w:rFonts w:ascii="Arial" w:hAnsi="Arial" w:cs="Arial"/>
          <w:sz w:val="20"/>
          <w:szCs w:val="20"/>
        </w:rPr>
        <w:t>mila</w:t>
      </w:r>
      <w:r w:rsidR="00FB2C2F">
        <w:rPr>
          <w:rFonts w:ascii="Arial" w:hAnsi="Arial" w:cs="Arial"/>
          <w:sz w:val="20"/>
          <w:szCs w:val="20"/>
        </w:rPr>
        <w:t>,</w:t>
      </w:r>
      <w:r w:rsidRPr="000564FE">
        <w:rPr>
          <w:rFonts w:ascii="Arial" w:hAnsi="Arial" w:cs="Arial"/>
          <w:sz w:val="20"/>
          <w:szCs w:val="20"/>
        </w:rPr>
        <w:t xml:space="preserve"> </w:t>
      </w:r>
      <w:r w:rsidR="007C4700" w:rsidRPr="000564FE">
        <w:rPr>
          <w:rFonts w:ascii="Arial" w:hAnsi="Arial" w:cs="Arial"/>
          <w:sz w:val="20"/>
          <w:szCs w:val="20"/>
        </w:rPr>
        <w:t>diffusi in tutte le zone del Paese</w:t>
      </w:r>
      <w:r w:rsidR="007C4700">
        <w:rPr>
          <w:rFonts w:ascii="Arial" w:hAnsi="Arial" w:cs="Arial"/>
          <w:sz w:val="20"/>
          <w:szCs w:val="20"/>
        </w:rPr>
        <w:t>,</w:t>
      </w:r>
      <w:r w:rsidR="007C4700" w:rsidRPr="000564FE">
        <w:rPr>
          <w:rFonts w:ascii="Arial" w:hAnsi="Arial" w:cs="Arial"/>
          <w:sz w:val="20"/>
          <w:szCs w:val="20"/>
        </w:rPr>
        <w:t xml:space="preserve"> </w:t>
      </w:r>
      <w:r w:rsidRPr="000564FE">
        <w:rPr>
          <w:rFonts w:ascii="Arial" w:hAnsi="Arial" w:cs="Arial"/>
          <w:sz w:val="20"/>
          <w:szCs w:val="20"/>
        </w:rPr>
        <w:t>con percorrenze che</w:t>
      </w:r>
      <w:r w:rsidR="007C4700">
        <w:rPr>
          <w:rFonts w:ascii="Arial" w:hAnsi="Arial" w:cs="Arial"/>
          <w:sz w:val="20"/>
          <w:szCs w:val="20"/>
        </w:rPr>
        <w:t xml:space="preserve"> hanno</w:t>
      </w:r>
      <w:r w:rsidRPr="000564FE">
        <w:rPr>
          <w:rFonts w:ascii="Arial" w:hAnsi="Arial" w:cs="Arial"/>
          <w:sz w:val="20"/>
          <w:szCs w:val="20"/>
        </w:rPr>
        <w:t xml:space="preserve"> supera</w:t>
      </w:r>
      <w:r w:rsidR="007C4700">
        <w:rPr>
          <w:rFonts w:ascii="Arial" w:hAnsi="Arial" w:cs="Arial"/>
          <w:sz w:val="20"/>
          <w:szCs w:val="20"/>
        </w:rPr>
        <w:t>t</w:t>
      </w:r>
      <w:r w:rsidRPr="000564FE">
        <w:rPr>
          <w:rFonts w:ascii="Arial" w:hAnsi="Arial" w:cs="Arial"/>
          <w:sz w:val="20"/>
          <w:szCs w:val="20"/>
        </w:rPr>
        <w:t xml:space="preserve">o i 7,4 milioni di km. </w:t>
      </w:r>
      <w:r w:rsidR="007C4700">
        <w:rPr>
          <w:rFonts w:ascii="Arial" w:hAnsi="Arial" w:cs="Arial"/>
          <w:sz w:val="20"/>
          <w:szCs w:val="20"/>
        </w:rPr>
        <w:t>T</w:t>
      </w:r>
      <w:r w:rsidR="00D31D8D">
        <w:rPr>
          <w:rFonts w:ascii="Arial" w:hAnsi="Arial" w:cs="Arial"/>
          <w:sz w:val="20"/>
          <w:szCs w:val="20"/>
        </w:rPr>
        <w:t>uttavia</w:t>
      </w:r>
      <w:r w:rsidR="00FB2C2F">
        <w:rPr>
          <w:rFonts w:ascii="Arial" w:hAnsi="Arial" w:cs="Arial"/>
          <w:sz w:val="20"/>
          <w:szCs w:val="20"/>
        </w:rPr>
        <w:t>,</w:t>
      </w:r>
      <w:r w:rsidRPr="000564FE">
        <w:rPr>
          <w:rFonts w:ascii="Arial" w:hAnsi="Arial" w:cs="Arial"/>
          <w:sz w:val="20"/>
          <w:szCs w:val="20"/>
        </w:rPr>
        <w:t xml:space="preserve"> da un’indagine condotta da ACI </w:t>
      </w:r>
      <w:r w:rsidR="00FB2C2F">
        <w:rPr>
          <w:rFonts w:ascii="Arial" w:hAnsi="Arial" w:cs="Arial"/>
          <w:sz w:val="20"/>
          <w:szCs w:val="20"/>
        </w:rPr>
        <w:t>nel 2021</w:t>
      </w:r>
      <w:r w:rsidR="00FB2C2F">
        <w:rPr>
          <w:rStyle w:val="Rimandonotaapidipagina"/>
          <w:rFonts w:ascii="Arial" w:hAnsi="Arial" w:cs="Arial"/>
          <w:sz w:val="20"/>
          <w:szCs w:val="20"/>
        </w:rPr>
        <w:footnoteReference w:id="3"/>
      </w:r>
      <w:r w:rsidR="00FB2C2F">
        <w:rPr>
          <w:rFonts w:ascii="Arial" w:hAnsi="Arial" w:cs="Arial"/>
          <w:sz w:val="20"/>
          <w:szCs w:val="20"/>
        </w:rPr>
        <w:t xml:space="preserve">, </w:t>
      </w:r>
      <w:r w:rsidR="007C4700">
        <w:rPr>
          <w:rFonts w:ascii="Arial" w:hAnsi="Arial" w:cs="Arial"/>
          <w:sz w:val="20"/>
          <w:szCs w:val="20"/>
        </w:rPr>
        <w:t xml:space="preserve">è </w:t>
      </w:r>
      <w:r w:rsidRPr="000564FE">
        <w:rPr>
          <w:rFonts w:ascii="Arial" w:hAnsi="Arial" w:cs="Arial"/>
          <w:sz w:val="20"/>
          <w:szCs w:val="20"/>
        </w:rPr>
        <w:t>emer</w:t>
      </w:r>
      <w:r w:rsidR="007C4700">
        <w:rPr>
          <w:rFonts w:ascii="Arial" w:hAnsi="Arial" w:cs="Arial"/>
          <w:sz w:val="20"/>
          <w:szCs w:val="20"/>
        </w:rPr>
        <w:t>so</w:t>
      </w:r>
      <w:r w:rsidRPr="000564FE">
        <w:rPr>
          <w:rFonts w:ascii="Arial" w:hAnsi="Arial" w:cs="Arial"/>
          <w:sz w:val="20"/>
          <w:szCs w:val="20"/>
        </w:rPr>
        <w:t xml:space="preserve"> che solo il 13% </w:t>
      </w:r>
      <w:r w:rsidR="007C4700">
        <w:rPr>
          <w:rFonts w:ascii="Arial" w:hAnsi="Arial" w:cs="Arial"/>
          <w:sz w:val="20"/>
          <w:szCs w:val="20"/>
        </w:rPr>
        <w:t xml:space="preserve">degli utilizzatori di </w:t>
      </w:r>
      <w:r w:rsidRPr="000564FE">
        <w:rPr>
          <w:rFonts w:ascii="Arial" w:hAnsi="Arial" w:cs="Arial"/>
          <w:sz w:val="20"/>
          <w:szCs w:val="20"/>
        </w:rPr>
        <w:t xml:space="preserve">monopattino elettrico </w:t>
      </w:r>
      <w:r w:rsidR="007C4700">
        <w:rPr>
          <w:rFonts w:ascii="Arial" w:hAnsi="Arial" w:cs="Arial"/>
          <w:sz w:val="20"/>
          <w:szCs w:val="20"/>
        </w:rPr>
        <w:t>si spostava in precedenza con l’auto:</w:t>
      </w:r>
      <w:r w:rsidRPr="000564FE">
        <w:rPr>
          <w:rFonts w:ascii="Arial" w:hAnsi="Arial" w:cs="Arial"/>
          <w:sz w:val="20"/>
          <w:szCs w:val="20"/>
        </w:rPr>
        <w:t xml:space="preserve"> la maggior parte </w:t>
      </w:r>
      <w:r w:rsidR="00D31D8D">
        <w:rPr>
          <w:rFonts w:ascii="Arial" w:hAnsi="Arial" w:cs="Arial"/>
          <w:sz w:val="20"/>
          <w:szCs w:val="20"/>
        </w:rPr>
        <w:t xml:space="preserve">già </w:t>
      </w:r>
      <w:r w:rsidR="009E577F">
        <w:rPr>
          <w:rFonts w:ascii="Arial" w:hAnsi="Arial" w:cs="Arial"/>
          <w:sz w:val="20"/>
          <w:szCs w:val="20"/>
        </w:rPr>
        <w:t xml:space="preserve">percorreva i tragitti </w:t>
      </w:r>
      <w:r w:rsidRPr="000564FE">
        <w:rPr>
          <w:rFonts w:ascii="Arial" w:hAnsi="Arial" w:cs="Arial"/>
          <w:sz w:val="20"/>
          <w:szCs w:val="20"/>
        </w:rPr>
        <w:t>a piedi, in bicicletta o con i mezzi pubblici</w:t>
      </w:r>
      <w:r w:rsidR="007C4700">
        <w:rPr>
          <w:rFonts w:ascii="Arial" w:hAnsi="Arial" w:cs="Arial"/>
          <w:sz w:val="20"/>
          <w:szCs w:val="20"/>
        </w:rPr>
        <w:t>. A</w:t>
      </w:r>
      <w:r w:rsidRPr="000564FE">
        <w:rPr>
          <w:rFonts w:ascii="Arial" w:hAnsi="Arial" w:cs="Arial"/>
          <w:sz w:val="20"/>
          <w:szCs w:val="20"/>
        </w:rPr>
        <w:t xml:space="preserve">naloghi risultati sono stati </w:t>
      </w:r>
      <w:r w:rsidR="009E577F">
        <w:rPr>
          <w:rFonts w:ascii="Arial" w:hAnsi="Arial" w:cs="Arial"/>
          <w:sz w:val="20"/>
          <w:szCs w:val="20"/>
        </w:rPr>
        <w:t xml:space="preserve">registrati </w:t>
      </w:r>
      <w:r w:rsidRPr="000564FE">
        <w:rPr>
          <w:rFonts w:ascii="Arial" w:hAnsi="Arial" w:cs="Arial"/>
          <w:sz w:val="20"/>
          <w:szCs w:val="20"/>
        </w:rPr>
        <w:t xml:space="preserve">in altri paesi europei. A conferma di ciò, </w:t>
      </w:r>
      <w:r w:rsidR="007C4700">
        <w:rPr>
          <w:rFonts w:ascii="Arial" w:hAnsi="Arial" w:cs="Arial"/>
          <w:sz w:val="20"/>
          <w:szCs w:val="20"/>
        </w:rPr>
        <w:t>nel</w:t>
      </w:r>
      <w:r w:rsidRPr="000564FE">
        <w:rPr>
          <w:rFonts w:ascii="Arial" w:hAnsi="Arial" w:cs="Arial"/>
          <w:sz w:val="20"/>
          <w:szCs w:val="20"/>
        </w:rPr>
        <w:t>la prima metà del 2021</w:t>
      </w:r>
      <w:r w:rsidR="007C4700">
        <w:rPr>
          <w:rFonts w:ascii="Arial" w:hAnsi="Arial" w:cs="Arial"/>
          <w:sz w:val="20"/>
          <w:szCs w:val="20"/>
        </w:rPr>
        <w:t xml:space="preserve"> </w:t>
      </w:r>
      <w:r w:rsidRPr="000564FE">
        <w:rPr>
          <w:rFonts w:ascii="Arial" w:hAnsi="Arial" w:cs="Arial"/>
          <w:sz w:val="20"/>
          <w:szCs w:val="20"/>
        </w:rPr>
        <w:t xml:space="preserve">le quote </w:t>
      </w:r>
      <w:r w:rsidR="009E577F">
        <w:rPr>
          <w:rFonts w:ascii="Arial" w:hAnsi="Arial" w:cs="Arial"/>
          <w:sz w:val="20"/>
          <w:szCs w:val="20"/>
        </w:rPr>
        <w:t>di utilizzo dell’</w:t>
      </w:r>
      <w:r w:rsidRPr="000564FE">
        <w:rPr>
          <w:rFonts w:ascii="Arial" w:hAnsi="Arial" w:cs="Arial"/>
          <w:sz w:val="20"/>
          <w:szCs w:val="20"/>
        </w:rPr>
        <w:t>auto</w:t>
      </w:r>
      <w:r w:rsidR="007C4700">
        <w:rPr>
          <w:rFonts w:ascii="Arial" w:hAnsi="Arial" w:cs="Arial"/>
          <w:sz w:val="20"/>
          <w:szCs w:val="20"/>
        </w:rPr>
        <w:t xml:space="preserve"> sono pressoché tornate </w:t>
      </w:r>
      <w:r w:rsidRPr="000564FE">
        <w:rPr>
          <w:rFonts w:ascii="Arial" w:hAnsi="Arial" w:cs="Arial"/>
          <w:sz w:val="20"/>
          <w:szCs w:val="20"/>
        </w:rPr>
        <w:t>ai livelli pre-Covid, a scapito della mobilità dolce</w:t>
      </w:r>
      <w:r w:rsidR="009E577F">
        <w:rPr>
          <w:rFonts w:ascii="Arial" w:hAnsi="Arial" w:cs="Arial"/>
          <w:sz w:val="20"/>
          <w:szCs w:val="20"/>
        </w:rPr>
        <w:t>.</w:t>
      </w:r>
      <w:r w:rsidR="00D5389D">
        <w:rPr>
          <w:rFonts w:ascii="Arial" w:hAnsi="Arial" w:cs="Arial"/>
          <w:sz w:val="20"/>
          <w:szCs w:val="20"/>
        </w:rPr>
        <w:t xml:space="preserve"> </w:t>
      </w:r>
      <w:r w:rsidR="00D5389D" w:rsidRPr="00D5389D">
        <w:rPr>
          <w:rFonts w:ascii="Arial" w:hAnsi="Arial" w:cs="Arial"/>
          <w:sz w:val="20"/>
          <w:szCs w:val="20"/>
        </w:rPr>
        <w:t>Complessivamente, grazie soprattutto alla grande spinta degli spostamenti a piedi, il</w:t>
      </w:r>
      <w:r w:rsidR="00D5389D">
        <w:rPr>
          <w:rFonts w:ascii="Arial" w:hAnsi="Arial" w:cs="Arial"/>
          <w:sz w:val="20"/>
          <w:szCs w:val="20"/>
        </w:rPr>
        <w:t xml:space="preserve"> tasso di mobilità sostenibile</w:t>
      </w:r>
      <w:r w:rsidR="007C4700">
        <w:rPr>
          <w:rFonts w:ascii="Arial" w:hAnsi="Arial" w:cs="Arial"/>
          <w:sz w:val="20"/>
          <w:szCs w:val="20"/>
        </w:rPr>
        <w:t>,</w:t>
      </w:r>
      <w:r w:rsidR="00D5389D" w:rsidRPr="00D5389D">
        <w:rPr>
          <w:rFonts w:ascii="Arial" w:hAnsi="Arial" w:cs="Arial"/>
          <w:sz w:val="20"/>
          <w:szCs w:val="20"/>
        </w:rPr>
        <w:t xml:space="preserve"> salito nel 2020 al 38,2% dal 35% del 2019</w:t>
      </w:r>
      <w:r w:rsidR="00D5389D">
        <w:rPr>
          <w:rFonts w:ascii="Arial" w:hAnsi="Arial" w:cs="Arial"/>
          <w:sz w:val="20"/>
          <w:szCs w:val="20"/>
        </w:rPr>
        <w:t xml:space="preserve">, </w:t>
      </w:r>
      <w:r w:rsidR="007C4700">
        <w:rPr>
          <w:rFonts w:ascii="Arial" w:hAnsi="Arial" w:cs="Arial"/>
          <w:sz w:val="20"/>
          <w:szCs w:val="20"/>
        </w:rPr>
        <w:t xml:space="preserve">si attesta al </w:t>
      </w:r>
      <w:r w:rsidR="00C56F46">
        <w:rPr>
          <w:rFonts w:ascii="Arial" w:hAnsi="Arial" w:cs="Arial"/>
          <w:sz w:val="20"/>
          <w:szCs w:val="20"/>
        </w:rPr>
        <w:t>35,5%</w:t>
      </w:r>
      <w:r w:rsidR="007C4700">
        <w:rPr>
          <w:rFonts w:ascii="Arial" w:hAnsi="Arial" w:cs="Arial"/>
          <w:sz w:val="20"/>
          <w:szCs w:val="20"/>
        </w:rPr>
        <w:t xml:space="preserve"> </w:t>
      </w:r>
      <w:r w:rsidR="00D5389D">
        <w:rPr>
          <w:rFonts w:ascii="Arial" w:hAnsi="Arial" w:cs="Arial"/>
          <w:sz w:val="20"/>
          <w:szCs w:val="20"/>
        </w:rPr>
        <w:t>nel periodo gennaio-</w:t>
      </w:r>
      <w:r w:rsidR="00C56F46">
        <w:rPr>
          <w:rFonts w:ascii="Arial" w:hAnsi="Arial" w:cs="Arial"/>
          <w:sz w:val="20"/>
          <w:szCs w:val="20"/>
        </w:rPr>
        <w:t xml:space="preserve">luglio </w:t>
      </w:r>
      <w:r w:rsidR="00D5389D">
        <w:rPr>
          <w:rFonts w:ascii="Arial" w:hAnsi="Arial" w:cs="Arial"/>
          <w:sz w:val="20"/>
          <w:szCs w:val="20"/>
        </w:rPr>
        <w:t>2021.</w:t>
      </w:r>
    </w:p>
    <w:p w14:paraId="375FEA71" w14:textId="01DEEEB5" w:rsidR="00C935A3" w:rsidRDefault="00C935A3" w:rsidP="00D31D8D">
      <w:pPr>
        <w:pStyle w:val="NormaleWeb"/>
        <w:spacing w:before="0" w:beforeAutospacing="0" w:after="120" w:afterAutospacing="0"/>
        <w:jc w:val="both"/>
        <w:rPr>
          <w:rFonts w:ascii="Arial" w:hAnsi="Arial" w:cs="Arial"/>
          <w:sz w:val="20"/>
          <w:szCs w:val="20"/>
        </w:rPr>
      </w:pPr>
      <w:r w:rsidRPr="000564FE">
        <w:rPr>
          <w:rFonts w:ascii="Arial" w:hAnsi="Arial" w:cs="Arial"/>
          <w:sz w:val="20"/>
          <w:szCs w:val="20"/>
        </w:rPr>
        <w:t>Il mercato dell’auto ha mostrato una leggera ripresa</w:t>
      </w:r>
      <w:r w:rsidR="007F11CF">
        <w:rPr>
          <w:rFonts w:ascii="Arial" w:hAnsi="Arial" w:cs="Arial"/>
          <w:sz w:val="20"/>
          <w:szCs w:val="20"/>
        </w:rPr>
        <w:t xml:space="preserve"> nell’ultimo anno</w:t>
      </w:r>
      <w:r w:rsidRPr="000564FE">
        <w:rPr>
          <w:rFonts w:ascii="Arial" w:hAnsi="Arial" w:cs="Arial"/>
          <w:sz w:val="20"/>
          <w:szCs w:val="20"/>
        </w:rPr>
        <w:t>: rispetto al 2020 le prime iscrizioni di autovetture sono aumentate del 5,4% e quelle dei motocicli del 25%</w:t>
      </w:r>
      <w:r w:rsidR="00D31D8D">
        <w:rPr>
          <w:rFonts w:ascii="Arial" w:hAnsi="Arial" w:cs="Arial"/>
          <w:sz w:val="20"/>
          <w:szCs w:val="20"/>
        </w:rPr>
        <w:t>,</w:t>
      </w:r>
      <w:r w:rsidRPr="000564FE">
        <w:rPr>
          <w:rFonts w:ascii="Arial" w:hAnsi="Arial" w:cs="Arial"/>
          <w:sz w:val="20"/>
          <w:szCs w:val="20"/>
        </w:rPr>
        <w:t xml:space="preserve"> </w:t>
      </w:r>
      <w:r w:rsidR="00D31D8D">
        <w:rPr>
          <w:rFonts w:ascii="Arial" w:hAnsi="Arial" w:cs="Arial"/>
          <w:sz w:val="20"/>
          <w:szCs w:val="20"/>
        </w:rPr>
        <w:t xml:space="preserve">favorite </w:t>
      </w:r>
      <w:r w:rsidRPr="000564FE">
        <w:rPr>
          <w:rFonts w:ascii="Arial" w:hAnsi="Arial" w:cs="Arial"/>
          <w:sz w:val="20"/>
          <w:szCs w:val="20"/>
        </w:rPr>
        <w:t xml:space="preserve">anche </w:t>
      </w:r>
      <w:r w:rsidR="007F11CF">
        <w:rPr>
          <w:rFonts w:ascii="Arial" w:hAnsi="Arial" w:cs="Arial"/>
          <w:sz w:val="20"/>
          <w:szCs w:val="20"/>
        </w:rPr>
        <w:t>dal</w:t>
      </w:r>
      <w:r w:rsidR="00D31D8D">
        <w:rPr>
          <w:rFonts w:ascii="Arial" w:hAnsi="Arial" w:cs="Arial"/>
          <w:sz w:val="20"/>
          <w:szCs w:val="20"/>
        </w:rPr>
        <w:t xml:space="preserve"> timore dei contagi</w:t>
      </w:r>
      <w:r w:rsidR="007F11CF">
        <w:rPr>
          <w:rFonts w:ascii="Arial" w:hAnsi="Arial" w:cs="Arial"/>
          <w:sz w:val="20"/>
          <w:szCs w:val="20"/>
        </w:rPr>
        <w:t xml:space="preserve"> che ha fatto preferire la modalità “viaggiare da soli”</w:t>
      </w:r>
      <w:r w:rsidRPr="000564FE">
        <w:rPr>
          <w:rFonts w:ascii="Arial" w:hAnsi="Arial" w:cs="Arial"/>
          <w:sz w:val="20"/>
          <w:szCs w:val="20"/>
        </w:rPr>
        <w:t xml:space="preserve">. </w:t>
      </w:r>
      <w:r w:rsidR="007F11CF">
        <w:rPr>
          <w:rFonts w:ascii="Arial" w:hAnsi="Arial" w:cs="Arial"/>
          <w:sz w:val="20"/>
          <w:szCs w:val="20"/>
        </w:rPr>
        <w:t>Nel resto d’</w:t>
      </w:r>
      <w:r w:rsidR="007F11CF" w:rsidRPr="000564FE">
        <w:rPr>
          <w:rFonts w:ascii="Arial" w:hAnsi="Arial" w:cs="Arial"/>
          <w:sz w:val="20"/>
          <w:szCs w:val="20"/>
        </w:rPr>
        <w:t>Europa</w:t>
      </w:r>
      <w:r w:rsidR="007F11CF">
        <w:rPr>
          <w:rFonts w:ascii="Arial" w:hAnsi="Arial" w:cs="Arial"/>
          <w:sz w:val="20"/>
          <w:szCs w:val="20"/>
        </w:rPr>
        <w:t xml:space="preserve"> </w:t>
      </w:r>
      <w:r w:rsidRPr="000564FE">
        <w:rPr>
          <w:rFonts w:ascii="Arial" w:hAnsi="Arial" w:cs="Arial"/>
          <w:sz w:val="20"/>
          <w:szCs w:val="20"/>
        </w:rPr>
        <w:t xml:space="preserve">il mercato dell’autovettura </w:t>
      </w:r>
      <w:r w:rsidR="00D31D8D">
        <w:rPr>
          <w:rFonts w:ascii="Arial" w:hAnsi="Arial" w:cs="Arial"/>
          <w:sz w:val="20"/>
          <w:szCs w:val="20"/>
        </w:rPr>
        <w:t xml:space="preserve">ha avuto </w:t>
      </w:r>
      <w:r w:rsidR="00D31D8D" w:rsidRPr="00D31D8D">
        <w:rPr>
          <w:rFonts w:ascii="Arial" w:hAnsi="Arial" w:cs="Arial"/>
          <w:i/>
          <w:sz w:val="20"/>
          <w:szCs w:val="20"/>
        </w:rPr>
        <w:t>performance</w:t>
      </w:r>
      <w:r w:rsidR="00D31D8D">
        <w:rPr>
          <w:rFonts w:ascii="Arial" w:hAnsi="Arial" w:cs="Arial"/>
          <w:sz w:val="20"/>
          <w:szCs w:val="20"/>
        </w:rPr>
        <w:t xml:space="preserve"> peggiori</w:t>
      </w:r>
      <w:r w:rsidRPr="000564FE">
        <w:rPr>
          <w:rFonts w:ascii="Arial" w:hAnsi="Arial" w:cs="Arial"/>
          <w:sz w:val="20"/>
          <w:szCs w:val="20"/>
        </w:rPr>
        <w:t>, con una perdita dell’1,5% rispetto al 2020,</w:t>
      </w:r>
      <w:r w:rsidR="005F05C1">
        <w:rPr>
          <w:rFonts w:ascii="Arial" w:hAnsi="Arial" w:cs="Arial"/>
          <w:sz w:val="20"/>
          <w:szCs w:val="20"/>
        </w:rPr>
        <w:t xml:space="preserve"> </w:t>
      </w:r>
      <w:r w:rsidRPr="000564FE">
        <w:rPr>
          <w:rFonts w:ascii="Arial" w:hAnsi="Arial" w:cs="Arial"/>
          <w:sz w:val="20"/>
          <w:szCs w:val="20"/>
        </w:rPr>
        <w:t xml:space="preserve">anche </w:t>
      </w:r>
      <w:r w:rsidR="007F11CF">
        <w:rPr>
          <w:rFonts w:ascii="Arial" w:hAnsi="Arial" w:cs="Arial"/>
          <w:sz w:val="20"/>
          <w:szCs w:val="20"/>
        </w:rPr>
        <w:t>a causa della</w:t>
      </w:r>
      <w:r w:rsidR="00D31D8D">
        <w:rPr>
          <w:rFonts w:ascii="Arial" w:hAnsi="Arial" w:cs="Arial"/>
          <w:sz w:val="20"/>
          <w:szCs w:val="20"/>
        </w:rPr>
        <w:t xml:space="preserve"> “</w:t>
      </w:r>
      <w:r w:rsidRPr="000564FE">
        <w:rPr>
          <w:rFonts w:ascii="Arial" w:hAnsi="Arial" w:cs="Arial"/>
          <w:sz w:val="20"/>
          <w:szCs w:val="20"/>
        </w:rPr>
        <w:t xml:space="preserve">crisi dei </w:t>
      </w:r>
      <w:r w:rsidRPr="005F05C1">
        <w:rPr>
          <w:rFonts w:ascii="Arial" w:hAnsi="Arial" w:cs="Arial"/>
          <w:i/>
          <w:sz w:val="20"/>
          <w:szCs w:val="20"/>
        </w:rPr>
        <w:t>microchip</w:t>
      </w:r>
      <w:r w:rsidR="00D31D8D">
        <w:rPr>
          <w:rFonts w:ascii="Arial" w:hAnsi="Arial" w:cs="Arial"/>
          <w:sz w:val="20"/>
          <w:szCs w:val="20"/>
        </w:rPr>
        <w:t>”</w:t>
      </w:r>
      <w:r w:rsidRPr="000564FE">
        <w:rPr>
          <w:rFonts w:ascii="Arial" w:hAnsi="Arial" w:cs="Arial"/>
          <w:sz w:val="20"/>
          <w:szCs w:val="20"/>
        </w:rPr>
        <w:t xml:space="preserve"> nella </w:t>
      </w:r>
      <w:r w:rsidRPr="00D31D8D">
        <w:rPr>
          <w:rFonts w:ascii="Arial" w:hAnsi="Arial" w:cs="Arial"/>
          <w:sz w:val="20"/>
          <w:szCs w:val="20"/>
        </w:rPr>
        <w:t>seconda parte dell’anno</w:t>
      </w:r>
      <w:r w:rsidR="00240C06">
        <w:rPr>
          <w:rFonts w:ascii="Arial" w:hAnsi="Arial" w:cs="Arial"/>
          <w:sz w:val="20"/>
          <w:szCs w:val="20"/>
        </w:rPr>
        <w:t>,</w:t>
      </w:r>
      <w:r w:rsidR="00D31D8D" w:rsidRPr="00D31D8D">
        <w:rPr>
          <w:rFonts w:ascii="Arial" w:hAnsi="Arial" w:cs="Arial"/>
          <w:sz w:val="20"/>
          <w:szCs w:val="20"/>
        </w:rPr>
        <w:t xml:space="preserve"> che ha costretto le case costruttrici </w:t>
      </w:r>
      <w:r w:rsidR="005F05C1">
        <w:rPr>
          <w:rFonts w:ascii="Arial" w:hAnsi="Arial" w:cs="Arial"/>
          <w:sz w:val="20"/>
          <w:szCs w:val="20"/>
        </w:rPr>
        <w:t xml:space="preserve">a trovare soluzioni alternative </w:t>
      </w:r>
      <w:r w:rsidR="00D31D8D" w:rsidRPr="00D31D8D">
        <w:rPr>
          <w:rFonts w:ascii="Arial" w:hAnsi="Arial" w:cs="Arial"/>
          <w:sz w:val="20"/>
          <w:szCs w:val="20"/>
        </w:rPr>
        <w:t>per mantenere le linee di produzione in movimento.</w:t>
      </w:r>
    </w:p>
    <w:p w14:paraId="2EBB8DF4" w14:textId="77777777" w:rsidR="00675C06" w:rsidRDefault="007F11CF" w:rsidP="00675C06">
      <w:pPr>
        <w:pStyle w:val="NormaleWeb"/>
        <w:spacing w:before="0" w:beforeAutospacing="0" w:after="0" w:afterAutospacing="0"/>
        <w:jc w:val="both"/>
        <w:rPr>
          <w:rFonts w:ascii="Arial" w:hAnsi="Arial" w:cs="Arial"/>
          <w:sz w:val="20"/>
          <w:szCs w:val="20"/>
        </w:rPr>
      </w:pPr>
      <w:r w:rsidRPr="00F877FE">
        <w:rPr>
          <w:rFonts w:ascii="Arial" w:hAnsi="Arial" w:cs="Arial"/>
          <w:sz w:val="20"/>
          <w:szCs w:val="20"/>
        </w:rPr>
        <w:t>Quanto a</w:t>
      </w:r>
      <w:r w:rsidR="004A3D69" w:rsidRPr="00F877FE">
        <w:rPr>
          <w:rFonts w:ascii="Arial" w:hAnsi="Arial" w:cs="Arial"/>
          <w:sz w:val="20"/>
          <w:szCs w:val="20"/>
        </w:rPr>
        <w:t>l</w:t>
      </w:r>
      <w:r w:rsidRPr="00F877FE">
        <w:rPr>
          <w:rFonts w:ascii="Arial" w:hAnsi="Arial" w:cs="Arial"/>
          <w:sz w:val="20"/>
          <w:szCs w:val="20"/>
        </w:rPr>
        <w:t xml:space="preserve"> cost</w:t>
      </w:r>
      <w:r w:rsidR="004A3D69" w:rsidRPr="00F877FE">
        <w:rPr>
          <w:rFonts w:ascii="Arial" w:hAnsi="Arial" w:cs="Arial"/>
          <w:sz w:val="20"/>
          <w:szCs w:val="20"/>
        </w:rPr>
        <w:t>o sociale</w:t>
      </w:r>
      <w:r w:rsidRPr="00F877FE">
        <w:rPr>
          <w:rFonts w:ascii="Arial" w:hAnsi="Arial" w:cs="Arial"/>
          <w:sz w:val="20"/>
          <w:szCs w:val="20"/>
        </w:rPr>
        <w:t xml:space="preserve"> degli incidenti stradali</w:t>
      </w:r>
      <w:r w:rsidR="004A3D69" w:rsidRPr="00F877FE">
        <w:rPr>
          <w:rFonts w:ascii="Arial" w:hAnsi="Arial" w:cs="Arial"/>
          <w:sz w:val="20"/>
          <w:szCs w:val="20"/>
        </w:rPr>
        <w:t xml:space="preserve"> rilevati da Polizia Stradale, Polizia locale e Carabinieri,</w:t>
      </w:r>
      <w:r w:rsidRPr="00F877FE">
        <w:rPr>
          <w:rFonts w:ascii="Arial" w:hAnsi="Arial" w:cs="Arial"/>
          <w:sz w:val="20"/>
          <w:szCs w:val="20"/>
        </w:rPr>
        <w:t xml:space="preserve"> di cui </w:t>
      </w:r>
      <w:r w:rsidR="00780927" w:rsidRPr="00F877FE">
        <w:rPr>
          <w:rFonts w:ascii="Arial" w:hAnsi="Arial" w:cs="Arial"/>
          <w:sz w:val="20"/>
          <w:szCs w:val="20"/>
        </w:rPr>
        <w:t>Istat e ACI</w:t>
      </w:r>
      <w:r w:rsidRPr="00090BAB">
        <w:rPr>
          <w:rFonts w:ascii="Arial" w:hAnsi="Arial" w:cs="Arial"/>
          <w:sz w:val="18"/>
          <w:szCs w:val="18"/>
          <w:vertAlign w:val="superscript"/>
        </w:rPr>
        <w:footnoteReference w:id="4"/>
      </w:r>
      <w:r w:rsidR="005F05C1" w:rsidRPr="00090BAB">
        <w:rPr>
          <w:rFonts w:ascii="Arial" w:hAnsi="Arial" w:cs="Arial"/>
          <w:sz w:val="18"/>
          <w:szCs w:val="18"/>
          <w:vertAlign w:val="superscript"/>
        </w:rPr>
        <w:t xml:space="preserve"> </w:t>
      </w:r>
      <w:r w:rsidR="00780927" w:rsidRPr="00F877FE">
        <w:rPr>
          <w:rFonts w:ascii="Arial" w:hAnsi="Arial" w:cs="Arial"/>
          <w:sz w:val="20"/>
          <w:szCs w:val="20"/>
        </w:rPr>
        <w:t xml:space="preserve">hanno </w:t>
      </w:r>
      <w:r w:rsidRPr="00F877FE">
        <w:rPr>
          <w:rFonts w:ascii="Arial" w:hAnsi="Arial" w:cs="Arial"/>
          <w:sz w:val="20"/>
          <w:szCs w:val="20"/>
        </w:rPr>
        <w:t xml:space="preserve">aggiornato </w:t>
      </w:r>
      <w:r w:rsidR="00BF322B" w:rsidRPr="00F877FE">
        <w:rPr>
          <w:rFonts w:ascii="Arial" w:hAnsi="Arial" w:cs="Arial"/>
          <w:sz w:val="20"/>
          <w:szCs w:val="20"/>
        </w:rPr>
        <w:t xml:space="preserve">i </w:t>
      </w:r>
      <w:r w:rsidR="00780927" w:rsidRPr="00F877FE">
        <w:rPr>
          <w:rFonts w:ascii="Arial" w:hAnsi="Arial" w:cs="Arial"/>
          <w:sz w:val="20"/>
          <w:szCs w:val="20"/>
        </w:rPr>
        <w:t>parametri</w:t>
      </w:r>
      <w:r w:rsidRPr="00F877FE">
        <w:rPr>
          <w:rFonts w:ascii="Arial" w:hAnsi="Arial" w:cs="Arial"/>
          <w:sz w:val="20"/>
          <w:szCs w:val="20"/>
        </w:rPr>
        <w:t>,</w:t>
      </w:r>
      <w:r w:rsidR="00780927" w:rsidRPr="00F877FE">
        <w:rPr>
          <w:rFonts w:ascii="Arial" w:hAnsi="Arial" w:cs="Arial"/>
          <w:sz w:val="20"/>
          <w:szCs w:val="20"/>
        </w:rPr>
        <w:t xml:space="preserve"> </w:t>
      </w:r>
      <w:r w:rsidR="004A3D69" w:rsidRPr="00F877FE">
        <w:rPr>
          <w:rFonts w:ascii="Arial" w:hAnsi="Arial" w:cs="Arial"/>
          <w:sz w:val="20"/>
          <w:szCs w:val="20"/>
        </w:rPr>
        <w:t xml:space="preserve">ammonta </w:t>
      </w:r>
      <w:r w:rsidR="00780927" w:rsidRPr="004A3D69">
        <w:rPr>
          <w:rFonts w:ascii="Arial" w:hAnsi="Arial" w:cs="Arial"/>
          <w:sz w:val="20"/>
          <w:szCs w:val="20"/>
        </w:rPr>
        <w:t>a 16,4</w:t>
      </w:r>
      <w:r w:rsidR="009640A8" w:rsidRPr="004A3D69">
        <w:rPr>
          <w:rFonts w:ascii="Arial" w:hAnsi="Arial" w:cs="Arial"/>
          <w:sz w:val="20"/>
          <w:szCs w:val="20"/>
        </w:rPr>
        <w:t xml:space="preserve"> miliardi di euro</w:t>
      </w:r>
      <w:r w:rsidR="004A3D69" w:rsidRPr="004A3D69">
        <w:rPr>
          <w:rFonts w:ascii="Arial" w:hAnsi="Arial" w:cs="Arial"/>
          <w:sz w:val="20"/>
          <w:szCs w:val="20"/>
        </w:rPr>
        <w:t xml:space="preserve"> nel 2021</w:t>
      </w:r>
      <w:r w:rsidR="009640A8" w:rsidRPr="004A3D69">
        <w:rPr>
          <w:rFonts w:ascii="Arial" w:hAnsi="Arial" w:cs="Arial"/>
          <w:sz w:val="20"/>
          <w:szCs w:val="20"/>
        </w:rPr>
        <w:t xml:space="preserve"> </w:t>
      </w:r>
      <w:r w:rsidR="00085328" w:rsidRPr="004A3D69">
        <w:rPr>
          <w:rFonts w:ascii="Arial" w:hAnsi="Arial" w:cs="Arial"/>
          <w:sz w:val="20"/>
          <w:szCs w:val="20"/>
        </w:rPr>
        <w:t>(</w:t>
      </w:r>
      <w:r w:rsidR="00052971" w:rsidRPr="004A3D69">
        <w:rPr>
          <w:rFonts w:ascii="Arial" w:hAnsi="Arial" w:cs="Arial"/>
          <w:sz w:val="20"/>
          <w:szCs w:val="20"/>
        </w:rPr>
        <w:t xml:space="preserve">0,9 </w:t>
      </w:r>
      <w:r w:rsidR="00085328" w:rsidRPr="004A3D69">
        <w:rPr>
          <w:rFonts w:ascii="Arial" w:hAnsi="Arial" w:cs="Arial"/>
          <w:sz w:val="20"/>
          <w:szCs w:val="20"/>
        </w:rPr>
        <w:t>%</w:t>
      </w:r>
      <w:r w:rsidR="009640A8" w:rsidRPr="004A3D69">
        <w:rPr>
          <w:rFonts w:ascii="Arial" w:hAnsi="Arial" w:cs="Arial"/>
          <w:sz w:val="20"/>
          <w:szCs w:val="20"/>
        </w:rPr>
        <w:t xml:space="preserve"> del Pil nazionale</w:t>
      </w:r>
      <w:r w:rsidR="004A3D69" w:rsidRPr="004A3D69">
        <w:rPr>
          <w:rFonts w:ascii="Arial" w:hAnsi="Arial" w:cs="Arial"/>
          <w:sz w:val="20"/>
          <w:szCs w:val="20"/>
        </w:rPr>
        <w:t>)</w:t>
      </w:r>
      <w:r w:rsidR="00B01DFE" w:rsidRPr="00F877FE">
        <w:rPr>
          <w:rFonts w:ascii="Arial" w:hAnsi="Arial" w:cs="Arial"/>
          <w:sz w:val="20"/>
          <w:szCs w:val="20"/>
        </w:rPr>
        <w:t>.</w:t>
      </w:r>
    </w:p>
    <w:p w14:paraId="6138FAD9" w14:textId="6C4185BB" w:rsidR="00863592" w:rsidRPr="00F877FE" w:rsidRDefault="00B01DFE" w:rsidP="00675C06">
      <w:pPr>
        <w:pStyle w:val="NormaleWeb"/>
        <w:spacing w:before="0" w:beforeAutospacing="0" w:after="0" w:afterAutospacing="0"/>
        <w:jc w:val="both"/>
        <w:rPr>
          <w:rFonts w:ascii="Arial" w:hAnsi="Arial" w:cs="Arial"/>
          <w:sz w:val="20"/>
          <w:szCs w:val="20"/>
        </w:rPr>
      </w:pPr>
      <w:r w:rsidRPr="00F877FE">
        <w:rPr>
          <w:rFonts w:ascii="Arial" w:hAnsi="Arial" w:cs="Arial"/>
          <w:sz w:val="20"/>
          <w:szCs w:val="20"/>
        </w:rPr>
        <w:t xml:space="preserve"> </w:t>
      </w:r>
    </w:p>
    <w:p w14:paraId="1C97460C" w14:textId="40805C85" w:rsidR="0078568C" w:rsidRPr="00F877FE" w:rsidRDefault="0078568C" w:rsidP="00F877FE">
      <w:pPr>
        <w:pStyle w:val="NormaleWeb"/>
        <w:spacing w:before="0" w:beforeAutospacing="0" w:after="120" w:afterAutospacing="0"/>
        <w:jc w:val="both"/>
        <w:rPr>
          <w:sz w:val="20"/>
          <w:szCs w:val="20"/>
        </w:rPr>
      </w:pPr>
    </w:p>
    <w:p w14:paraId="26847E63" w14:textId="1A276D25" w:rsidR="00FF2B61" w:rsidRPr="00477506" w:rsidRDefault="0078568C" w:rsidP="000D061E">
      <w:pPr>
        <w:spacing w:after="120"/>
        <w:jc w:val="both"/>
        <w:rPr>
          <w:rFonts w:eastAsia="Arial Unicode MS"/>
          <w:b/>
          <w:bCs/>
          <w:sz w:val="22"/>
          <w:szCs w:val="22"/>
        </w:rPr>
      </w:pPr>
      <w:r>
        <w:rPr>
          <w:rFonts w:eastAsia="Arial Unicode MS"/>
          <w:b/>
          <w:bCs/>
          <w:sz w:val="22"/>
          <w:szCs w:val="22"/>
        </w:rPr>
        <w:t>Vi</w:t>
      </w:r>
      <w:r w:rsidR="00E27B50" w:rsidRPr="00477506">
        <w:rPr>
          <w:rFonts w:eastAsia="Arial Unicode MS"/>
          <w:b/>
          <w:bCs/>
          <w:sz w:val="22"/>
          <w:szCs w:val="22"/>
        </w:rPr>
        <w:t>ttime</w:t>
      </w:r>
      <w:r w:rsidR="00D047EF" w:rsidRPr="00477506">
        <w:rPr>
          <w:rFonts w:eastAsia="Arial Unicode MS"/>
          <w:b/>
          <w:bCs/>
          <w:sz w:val="22"/>
          <w:szCs w:val="22"/>
        </w:rPr>
        <w:t xml:space="preserve"> </w:t>
      </w:r>
      <w:r>
        <w:rPr>
          <w:rFonts w:eastAsia="Arial Unicode MS"/>
          <w:b/>
          <w:bCs/>
          <w:sz w:val="22"/>
          <w:szCs w:val="22"/>
        </w:rPr>
        <w:t xml:space="preserve">in aumento </w:t>
      </w:r>
      <w:r w:rsidR="0056530B" w:rsidRPr="00477506">
        <w:rPr>
          <w:rFonts w:eastAsia="Arial Unicode MS"/>
          <w:b/>
          <w:bCs/>
          <w:sz w:val="22"/>
          <w:szCs w:val="22"/>
        </w:rPr>
        <w:t xml:space="preserve">anche </w:t>
      </w:r>
      <w:r w:rsidR="001C06C9" w:rsidRPr="00477506">
        <w:rPr>
          <w:rFonts w:eastAsia="Arial Unicode MS"/>
          <w:b/>
          <w:bCs/>
          <w:sz w:val="22"/>
          <w:szCs w:val="22"/>
        </w:rPr>
        <w:t>sulle strade d</w:t>
      </w:r>
      <w:r w:rsidR="00E27B50" w:rsidRPr="00477506">
        <w:rPr>
          <w:rFonts w:eastAsia="Arial Unicode MS"/>
          <w:b/>
          <w:bCs/>
          <w:sz w:val="22"/>
          <w:szCs w:val="22"/>
        </w:rPr>
        <w:t>ell’</w:t>
      </w:r>
      <w:r w:rsidR="000127B5" w:rsidRPr="00477506">
        <w:rPr>
          <w:rFonts w:eastAsia="Arial Unicode MS"/>
          <w:b/>
          <w:bCs/>
          <w:sz w:val="22"/>
          <w:szCs w:val="22"/>
        </w:rPr>
        <w:t>Ue2</w:t>
      </w:r>
      <w:r w:rsidR="00B82E2D" w:rsidRPr="00477506">
        <w:rPr>
          <w:rFonts w:eastAsia="Arial Unicode MS"/>
          <w:b/>
          <w:bCs/>
          <w:sz w:val="22"/>
          <w:szCs w:val="22"/>
        </w:rPr>
        <w:t>7</w:t>
      </w:r>
    </w:p>
    <w:p w14:paraId="62FCFB33" w14:textId="0A2AD140" w:rsidR="00F41D6C" w:rsidRDefault="00240C06" w:rsidP="00F877FE">
      <w:pPr>
        <w:pStyle w:val="PreformattatoHTML"/>
        <w:spacing w:after="120"/>
        <w:jc w:val="both"/>
      </w:pPr>
      <w:r>
        <w:rPr>
          <w:rFonts w:ascii="Arial" w:hAnsi="Arial" w:cs="Arial"/>
        </w:rPr>
        <w:t>Anche sulle strade europee i</w:t>
      </w:r>
      <w:r w:rsidR="00861B74">
        <w:rPr>
          <w:rFonts w:ascii="Arial" w:hAnsi="Arial" w:cs="Arial"/>
        </w:rPr>
        <w:t>l 2021 segna una graduale ripresa della mobilità</w:t>
      </w:r>
      <w:r>
        <w:rPr>
          <w:rFonts w:ascii="Arial" w:hAnsi="Arial" w:cs="Arial"/>
        </w:rPr>
        <w:t>.</w:t>
      </w:r>
      <w:r w:rsidR="00861B74">
        <w:rPr>
          <w:rFonts w:ascii="Arial" w:hAnsi="Arial" w:cs="Arial"/>
        </w:rPr>
        <w:t xml:space="preserve"> </w:t>
      </w:r>
      <w:r>
        <w:rPr>
          <w:rFonts w:ascii="Arial" w:hAnsi="Arial" w:cs="Arial"/>
        </w:rPr>
        <w:t>Ne</w:t>
      </w:r>
      <w:r w:rsidR="00861B74">
        <w:rPr>
          <w:rFonts w:ascii="Arial" w:hAnsi="Arial" w:cs="Arial"/>
        </w:rPr>
        <w:t>lla Ue27</w:t>
      </w:r>
      <w:r w:rsidR="00C07E5B">
        <w:rPr>
          <w:rFonts w:ascii="Arial" w:hAnsi="Arial" w:cs="Arial"/>
        </w:rPr>
        <w:t xml:space="preserve"> le vittime </w:t>
      </w:r>
      <w:r w:rsidR="003B17C5" w:rsidRPr="00861B74">
        <w:rPr>
          <w:rFonts w:ascii="Arial" w:hAnsi="Arial" w:cs="Arial"/>
        </w:rPr>
        <w:t xml:space="preserve">sono state </w:t>
      </w:r>
      <w:r w:rsidR="00C07E5B" w:rsidRPr="00C07E5B">
        <w:rPr>
          <w:rFonts w:ascii="Arial" w:hAnsi="Arial" w:cs="Arial"/>
        </w:rPr>
        <w:t>19.855 contro 18.861 del 2020</w:t>
      </w:r>
      <w:r>
        <w:rPr>
          <w:rFonts w:ascii="Arial" w:hAnsi="Arial" w:cs="Arial"/>
        </w:rPr>
        <w:t>,</w:t>
      </w:r>
      <w:r w:rsidR="00C07E5B" w:rsidRPr="00C07E5B">
        <w:rPr>
          <w:rFonts w:ascii="Arial" w:hAnsi="Arial" w:cs="Arial"/>
        </w:rPr>
        <w:t xml:space="preserve"> 22.763 del 2019</w:t>
      </w:r>
      <w:r>
        <w:rPr>
          <w:rFonts w:ascii="Arial" w:hAnsi="Arial" w:cs="Arial"/>
        </w:rPr>
        <w:t xml:space="preserve"> e </w:t>
      </w:r>
      <w:r w:rsidR="00527DF0" w:rsidRPr="00861B74">
        <w:rPr>
          <w:rFonts w:ascii="Arial" w:hAnsi="Arial" w:cs="Arial"/>
        </w:rPr>
        <w:t>circa</w:t>
      </w:r>
      <w:r w:rsidR="00292B8E" w:rsidRPr="00861B74">
        <w:rPr>
          <w:rFonts w:ascii="Arial" w:hAnsi="Arial" w:cs="Arial"/>
        </w:rPr>
        <w:t xml:space="preserve"> </w:t>
      </w:r>
      <w:r w:rsidR="00527DF0" w:rsidRPr="00861B74">
        <w:rPr>
          <w:rFonts w:ascii="Arial" w:hAnsi="Arial" w:cs="Arial"/>
        </w:rPr>
        <w:t>30</w:t>
      </w:r>
      <w:r w:rsidR="00855D55" w:rsidRPr="00861B74">
        <w:rPr>
          <w:rFonts w:ascii="Arial" w:hAnsi="Arial" w:cs="Arial"/>
        </w:rPr>
        <w:t>mila</w:t>
      </w:r>
      <w:r w:rsidR="00E24724" w:rsidRPr="00861B74">
        <w:rPr>
          <w:rFonts w:ascii="Arial" w:hAnsi="Arial" w:cs="Arial"/>
        </w:rPr>
        <w:t xml:space="preserve"> </w:t>
      </w:r>
      <w:r w:rsidR="00C07E5B">
        <w:rPr>
          <w:rFonts w:ascii="Arial" w:hAnsi="Arial" w:cs="Arial"/>
        </w:rPr>
        <w:t>nel 2010.</w:t>
      </w:r>
      <w:r w:rsidR="00042D92">
        <w:rPr>
          <w:rFonts w:ascii="Arial" w:hAnsi="Arial" w:cs="Arial"/>
        </w:rPr>
        <w:t xml:space="preserve"> L’aumento</w:t>
      </w:r>
      <w:r w:rsidR="00FC5A5F">
        <w:rPr>
          <w:rFonts w:ascii="Arial" w:hAnsi="Arial" w:cs="Arial"/>
        </w:rPr>
        <w:t>,</w:t>
      </w:r>
      <w:r w:rsidR="00042D92">
        <w:rPr>
          <w:rFonts w:ascii="Arial" w:hAnsi="Arial" w:cs="Arial"/>
        </w:rPr>
        <w:t xml:space="preserve"> </w:t>
      </w:r>
      <w:r w:rsidR="00FC5A5F">
        <w:rPr>
          <w:rFonts w:ascii="Arial" w:hAnsi="Arial" w:cs="Arial"/>
        </w:rPr>
        <w:t xml:space="preserve">nel 2021, </w:t>
      </w:r>
      <w:r w:rsidR="00042D92">
        <w:rPr>
          <w:rFonts w:ascii="Arial" w:hAnsi="Arial" w:cs="Arial"/>
        </w:rPr>
        <w:t xml:space="preserve">è stato del </w:t>
      </w:r>
      <w:r w:rsidR="00042D92" w:rsidRPr="00C07E5B">
        <w:rPr>
          <w:rFonts w:ascii="Arial" w:hAnsi="Arial" w:cs="Arial"/>
        </w:rPr>
        <w:t xml:space="preserve">5,3% </w:t>
      </w:r>
      <w:r>
        <w:rPr>
          <w:rFonts w:ascii="Arial" w:hAnsi="Arial" w:cs="Arial"/>
        </w:rPr>
        <w:t>su</w:t>
      </w:r>
      <w:r w:rsidR="00042D92" w:rsidRPr="00C07E5B">
        <w:rPr>
          <w:rFonts w:ascii="Arial" w:hAnsi="Arial" w:cs="Arial"/>
        </w:rPr>
        <w:t>ll’anno precedente</w:t>
      </w:r>
      <w:r w:rsidR="00FC5A5F">
        <w:rPr>
          <w:rFonts w:ascii="Arial" w:hAnsi="Arial" w:cs="Arial"/>
        </w:rPr>
        <w:t xml:space="preserve"> mentre si registra ancora un calo del 12,8% rispetto al 2019</w:t>
      </w:r>
      <w:r w:rsidR="00042D92" w:rsidRPr="00C07E5B">
        <w:rPr>
          <w:rFonts w:ascii="Arial" w:hAnsi="Arial" w:cs="Arial"/>
        </w:rPr>
        <w:t>, dopo la drastica riduzione del 2020</w:t>
      </w:r>
      <w:r>
        <w:rPr>
          <w:rFonts w:ascii="Arial" w:hAnsi="Arial" w:cs="Arial"/>
        </w:rPr>
        <w:t xml:space="preserve"> (</w:t>
      </w:r>
      <w:r w:rsidR="00042D92" w:rsidRPr="00C07E5B">
        <w:rPr>
          <w:rFonts w:ascii="Arial" w:hAnsi="Arial" w:cs="Arial"/>
        </w:rPr>
        <w:t>-17,1</w:t>
      </w:r>
      <w:r w:rsidR="00042D92">
        <w:rPr>
          <w:rFonts w:ascii="Arial" w:hAnsi="Arial" w:cs="Arial"/>
        </w:rPr>
        <w:t>%</w:t>
      </w:r>
      <w:r>
        <w:rPr>
          <w:rFonts w:ascii="Arial" w:hAnsi="Arial" w:cs="Arial"/>
        </w:rPr>
        <w:t>)</w:t>
      </w:r>
      <w:r w:rsidR="00042D92">
        <w:rPr>
          <w:rFonts w:ascii="Arial" w:hAnsi="Arial" w:cs="Arial"/>
        </w:rPr>
        <w:t>.</w:t>
      </w:r>
      <w:r w:rsidR="008830FF">
        <w:rPr>
          <w:rFonts w:ascii="Arial" w:hAnsi="Arial" w:cs="Arial"/>
        </w:rPr>
        <w:t xml:space="preserve"> </w:t>
      </w:r>
      <w:r w:rsidR="00F41D6C">
        <w:rPr>
          <w:rFonts w:ascii="Arial" w:hAnsi="Arial" w:cs="Arial"/>
        </w:rPr>
        <w:t>La crescita del</w:t>
      </w:r>
      <w:r w:rsidR="00F41D6C" w:rsidRPr="00F41D6C">
        <w:rPr>
          <w:rFonts w:ascii="Arial" w:hAnsi="Arial" w:cs="Arial"/>
        </w:rPr>
        <w:t xml:space="preserve"> numero di vittime della strada non ha </w:t>
      </w:r>
      <w:r w:rsidR="00F41D6C" w:rsidRPr="00F877FE">
        <w:rPr>
          <w:rFonts w:ascii="Arial" w:hAnsi="Arial" w:cs="Arial"/>
        </w:rPr>
        <w:t>interessato tutti i Paesi</w:t>
      </w:r>
      <w:r w:rsidR="00F41D6C">
        <w:rPr>
          <w:rFonts w:ascii="Arial" w:hAnsi="Arial" w:cs="Arial"/>
        </w:rPr>
        <w:t>: variazioni negative si rilevano</w:t>
      </w:r>
      <w:r w:rsidR="00F41D6C" w:rsidRPr="00F41D6C">
        <w:rPr>
          <w:rFonts w:ascii="Arial" w:hAnsi="Arial" w:cs="Arial"/>
        </w:rPr>
        <w:t xml:space="preserve"> infatt</w:t>
      </w:r>
      <w:r w:rsidR="00F41D6C">
        <w:rPr>
          <w:rFonts w:ascii="Arial" w:hAnsi="Arial" w:cs="Arial"/>
        </w:rPr>
        <w:t>i</w:t>
      </w:r>
      <w:r w:rsidR="00F41D6C" w:rsidRPr="00F41D6C">
        <w:rPr>
          <w:rFonts w:ascii="Arial" w:hAnsi="Arial" w:cs="Arial"/>
        </w:rPr>
        <w:t xml:space="preserve"> nei Paesi Bassi (-4,6%), in Germania (-5,5%), Svezia (-5,9%), Cipro (-6,3%), Irlanda (-6,8%), Lituania (-7,7%), Estonia (-8,3%), Polonia (-9,9%), Danimarca (-12,9%), Lettonia (-16,0%) e </w:t>
      </w:r>
      <w:r w:rsidR="0078568C">
        <w:rPr>
          <w:rFonts w:ascii="Arial" w:hAnsi="Arial" w:cs="Arial"/>
        </w:rPr>
        <w:t xml:space="preserve">a </w:t>
      </w:r>
      <w:r w:rsidR="00F41D6C" w:rsidRPr="00F41D6C">
        <w:rPr>
          <w:rFonts w:ascii="Arial" w:hAnsi="Arial" w:cs="Arial"/>
        </w:rPr>
        <w:t xml:space="preserve">Malta (-25,0%).  </w:t>
      </w:r>
      <w:r w:rsidR="00F41D6C" w:rsidRPr="0078568C">
        <w:rPr>
          <w:rFonts w:ascii="Arial" w:hAnsi="Arial" w:cs="Arial"/>
        </w:rPr>
        <w:t xml:space="preserve">Gli aumenti più consistenti sono stati </w:t>
      </w:r>
      <w:r w:rsidR="0078568C">
        <w:rPr>
          <w:rFonts w:ascii="Arial" w:hAnsi="Arial" w:cs="Arial"/>
        </w:rPr>
        <w:t xml:space="preserve">invece </w:t>
      </w:r>
      <w:r w:rsidR="00F41D6C" w:rsidRPr="0078568C">
        <w:rPr>
          <w:rFonts w:ascii="Arial" w:hAnsi="Arial" w:cs="Arial"/>
        </w:rPr>
        <w:t>registrati in Slovenia (+42,5%), Croazia (+23.2%), Bulgaria (+21,2%), Italia (+20,0%), Ungheria (+18,3%) e Francia (+16,0%) (Prospetto 2</w:t>
      </w:r>
      <w:r w:rsidR="009215A5">
        <w:rPr>
          <w:rFonts w:ascii="Arial" w:hAnsi="Arial" w:cs="Arial"/>
        </w:rPr>
        <w:t>)</w:t>
      </w:r>
      <w:r w:rsidR="00F41D6C" w:rsidRPr="0078568C">
        <w:rPr>
          <w:rFonts w:ascii="Arial" w:hAnsi="Arial" w:cs="Arial"/>
        </w:rPr>
        <w:t>.</w:t>
      </w:r>
      <w:r w:rsidR="00F41D6C" w:rsidRPr="00021AFD">
        <w:t xml:space="preserve"> </w:t>
      </w:r>
    </w:p>
    <w:p w14:paraId="43F15A9B" w14:textId="00763D6F" w:rsidR="00042D92" w:rsidRPr="0047710A" w:rsidRDefault="00042D92">
      <w:pPr>
        <w:pStyle w:val="PreformattatoHTML"/>
        <w:spacing w:after="120"/>
        <w:jc w:val="both"/>
        <w:rPr>
          <w:rFonts w:ascii="Arial" w:hAnsi="Arial" w:cs="Arial"/>
        </w:rPr>
      </w:pPr>
      <w:r w:rsidRPr="0047710A">
        <w:rPr>
          <w:rFonts w:ascii="Arial" w:hAnsi="Arial" w:cs="Arial"/>
        </w:rPr>
        <w:t>Il tasso di mortalità stradale (morti per milione di abitanti) si attesta a 44,7 nella Ue27 e a 48,5 in Italia</w:t>
      </w:r>
      <w:r w:rsidR="00F41D6C">
        <w:rPr>
          <w:rFonts w:ascii="Arial" w:hAnsi="Arial" w:cs="Arial"/>
        </w:rPr>
        <w:t>.</w:t>
      </w:r>
      <w:r w:rsidRPr="0047710A">
        <w:rPr>
          <w:rFonts w:ascii="Arial" w:hAnsi="Arial" w:cs="Arial"/>
        </w:rPr>
        <w:t xml:space="preserve"> Il nostro Paese passa così dal dodicesimo al tredicesimo posto </w:t>
      </w:r>
      <w:r w:rsidRPr="009215A5">
        <w:rPr>
          <w:rFonts w:ascii="Arial" w:hAnsi="Arial" w:cs="Arial"/>
        </w:rPr>
        <w:t>nella graduatoria europea</w:t>
      </w:r>
      <w:r w:rsidR="009215A5">
        <w:rPr>
          <w:rFonts w:ascii="Arial" w:hAnsi="Arial" w:cs="Arial"/>
        </w:rPr>
        <w:t xml:space="preserve"> (</w:t>
      </w:r>
      <w:r w:rsidR="009215A5" w:rsidRPr="0078568C">
        <w:rPr>
          <w:rFonts w:ascii="Arial" w:hAnsi="Arial" w:cs="Arial"/>
        </w:rPr>
        <w:t>Figura 2)</w:t>
      </w:r>
      <w:r w:rsidRPr="0047710A">
        <w:rPr>
          <w:rFonts w:ascii="Arial" w:hAnsi="Arial" w:cs="Arial"/>
        </w:rPr>
        <w:t>.</w:t>
      </w:r>
    </w:p>
    <w:p w14:paraId="54AF1F6F" w14:textId="43779133" w:rsidR="0078568C" w:rsidRDefault="00F41D6C" w:rsidP="00F877FE">
      <w:pPr>
        <w:jc w:val="both"/>
        <w:rPr>
          <w:sz w:val="20"/>
        </w:rPr>
      </w:pPr>
      <w:r>
        <w:rPr>
          <w:sz w:val="20"/>
        </w:rPr>
        <w:t>P</w:t>
      </w:r>
      <w:r w:rsidRPr="0047710A">
        <w:rPr>
          <w:sz w:val="20"/>
        </w:rPr>
        <w:t>er il decennio 202</w:t>
      </w:r>
      <w:r w:rsidR="001D36D0">
        <w:rPr>
          <w:sz w:val="20"/>
        </w:rPr>
        <w:t>1</w:t>
      </w:r>
      <w:r w:rsidRPr="0047710A">
        <w:rPr>
          <w:sz w:val="20"/>
        </w:rPr>
        <w:t>-2030</w:t>
      </w:r>
      <w:r w:rsidRPr="00C07E5B">
        <w:rPr>
          <w:sz w:val="20"/>
        </w:rPr>
        <w:t xml:space="preserve"> </w:t>
      </w:r>
      <w:r>
        <w:rPr>
          <w:sz w:val="20"/>
        </w:rPr>
        <w:t>g</w:t>
      </w:r>
      <w:r w:rsidR="0047710A">
        <w:rPr>
          <w:sz w:val="20"/>
        </w:rPr>
        <w:t>li obiettivi europe</w:t>
      </w:r>
      <w:r w:rsidR="00C27B9C">
        <w:rPr>
          <w:sz w:val="20"/>
        </w:rPr>
        <w:t>i</w:t>
      </w:r>
      <w:r w:rsidR="0047710A" w:rsidRPr="0047710A">
        <w:rPr>
          <w:sz w:val="20"/>
        </w:rPr>
        <w:t xml:space="preserve"> </w:t>
      </w:r>
      <w:r w:rsidR="0047710A">
        <w:rPr>
          <w:sz w:val="20"/>
        </w:rPr>
        <w:t xml:space="preserve">sulla sicurezza stradale </w:t>
      </w:r>
      <w:r w:rsidR="00C27B9C">
        <w:rPr>
          <w:sz w:val="20"/>
        </w:rPr>
        <w:t xml:space="preserve">prevedono </w:t>
      </w:r>
      <w:r w:rsidR="00042D92" w:rsidRPr="00C07E5B">
        <w:rPr>
          <w:sz w:val="20"/>
        </w:rPr>
        <w:t>il dimezzamento del numero di vittime e feriti gravi entro il 2030 rispetto al</w:t>
      </w:r>
      <w:r w:rsidR="0047710A" w:rsidRPr="0047710A">
        <w:rPr>
          <w:sz w:val="20"/>
        </w:rPr>
        <w:t xml:space="preserve">l’anno di </w:t>
      </w:r>
      <w:r w:rsidR="00042D92" w:rsidRPr="0047710A">
        <w:rPr>
          <w:sz w:val="20"/>
        </w:rPr>
        <w:t>benchmark</w:t>
      </w:r>
      <w:r w:rsidR="00042D92" w:rsidRPr="00C07E5B">
        <w:rPr>
          <w:sz w:val="20"/>
        </w:rPr>
        <w:t xml:space="preserve"> </w:t>
      </w:r>
      <w:r w:rsidR="0078568C">
        <w:rPr>
          <w:sz w:val="20"/>
        </w:rPr>
        <w:t>(</w:t>
      </w:r>
      <w:r w:rsidR="0047710A" w:rsidRPr="0047710A">
        <w:rPr>
          <w:sz w:val="20"/>
        </w:rPr>
        <w:t xml:space="preserve">fissato </w:t>
      </w:r>
      <w:r w:rsidR="00C27B9C">
        <w:rPr>
          <w:sz w:val="20"/>
        </w:rPr>
        <w:t xml:space="preserve">nel </w:t>
      </w:r>
      <w:r w:rsidR="00042D92" w:rsidRPr="00C07E5B">
        <w:rPr>
          <w:sz w:val="20"/>
        </w:rPr>
        <w:t>2019</w:t>
      </w:r>
      <w:r w:rsidR="0078568C">
        <w:rPr>
          <w:sz w:val="20"/>
        </w:rPr>
        <w:t>)</w:t>
      </w:r>
      <w:r w:rsidR="00042D92" w:rsidRPr="00C07E5B">
        <w:rPr>
          <w:sz w:val="20"/>
        </w:rPr>
        <w:t xml:space="preserve"> e il monitoraggio di </w:t>
      </w:r>
      <w:r w:rsidR="0047710A" w:rsidRPr="0047710A">
        <w:rPr>
          <w:sz w:val="20"/>
        </w:rPr>
        <w:t xml:space="preserve">specifici indicatori di prestazione, </w:t>
      </w:r>
      <w:r w:rsidR="00042D92" w:rsidRPr="00C27B9C">
        <w:rPr>
          <w:i/>
          <w:sz w:val="20"/>
        </w:rPr>
        <w:t>Key Performance Indicators</w:t>
      </w:r>
      <w:r w:rsidR="0047710A" w:rsidRPr="0047710A">
        <w:rPr>
          <w:sz w:val="20"/>
        </w:rPr>
        <w:t>, che l’Italia</w:t>
      </w:r>
      <w:r w:rsidR="00236108">
        <w:rPr>
          <w:sz w:val="20"/>
        </w:rPr>
        <w:t xml:space="preserve"> si prepara a fornire</w:t>
      </w:r>
      <w:r w:rsidR="00236108">
        <w:rPr>
          <w:rStyle w:val="Rimandonotaapidipagina"/>
          <w:sz w:val="20"/>
        </w:rPr>
        <w:footnoteReference w:id="5"/>
      </w:r>
      <w:r>
        <w:rPr>
          <w:sz w:val="20"/>
        </w:rPr>
        <w:t xml:space="preserve">. Tali indicatori </w:t>
      </w:r>
      <w:r w:rsidR="0047710A" w:rsidRPr="0047710A">
        <w:rPr>
          <w:sz w:val="20"/>
        </w:rPr>
        <w:t xml:space="preserve">riguardano: velocità, uso dei sistemi di protezione (casco, cinture di sicurezza e seggiolini per bambini), uso di alcool e droghe, livello di sicurezza del parco </w:t>
      </w:r>
      <w:r w:rsidR="0047710A" w:rsidRPr="00C27B9C">
        <w:rPr>
          <w:sz w:val="20"/>
        </w:rPr>
        <w:t>veicolare e della rete stradale nazionale, distrazione alla guida ed efficienza dei sistemi di soccorso in caso di incidente.</w:t>
      </w:r>
      <w:r w:rsidR="0078568C">
        <w:rPr>
          <w:sz w:val="20"/>
        </w:rPr>
        <w:t xml:space="preserve"> </w:t>
      </w:r>
      <w:r>
        <w:rPr>
          <w:sz w:val="20"/>
        </w:rPr>
        <w:t>O</w:t>
      </w:r>
      <w:r w:rsidRPr="00C27B9C">
        <w:rPr>
          <w:sz w:val="20"/>
        </w:rPr>
        <w:t xml:space="preserve">ltre agli obiettivi fissati per il prossimo decennio, </w:t>
      </w:r>
      <w:r w:rsidR="00C27B9C" w:rsidRPr="00C27B9C">
        <w:rPr>
          <w:sz w:val="20"/>
        </w:rPr>
        <w:t>sono state gettate le basi per nuovi e ambiziosi traguardi</w:t>
      </w:r>
      <w:r>
        <w:rPr>
          <w:sz w:val="20"/>
        </w:rPr>
        <w:t>.</w:t>
      </w:r>
      <w:r w:rsidR="00C27B9C" w:rsidRPr="00C27B9C">
        <w:rPr>
          <w:sz w:val="20"/>
        </w:rPr>
        <w:t xml:space="preserve"> </w:t>
      </w:r>
      <w:r>
        <w:rPr>
          <w:sz w:val="20"/>
        </w:rPr>
        <w:t>I</w:t>
      </w:r>
      <w:r w:rsidR="00C27B9C" w:rsidRPr="00C27B9C">
        <w:rPr>
          <w:sz w:val="20"/>
        </w:rPr>
        <w:t>n particolare</w:t>
      </w:r>
      <w:r>
        <w:rPr>
          <w:sz w:val="20"/>
        </w:rPr>
        <w:t>,</w:t>
      </w:r>
      <w:r w:rsidR="00C27B9C" w:rsidRPr="00C27B9C">
        <w:rPr>
          <w:sz w:val="20"/>
        </w:rPr>
        <w:t xml:space="preserve"> la Dichiarazione di Stoccolma del febbraio 2020 </w:t>
      </w:r>
      <w:r w:rsidR="00A50F70">
        <w:rPr>
          <w:sz w:val="20"/>
        </w:rPr>
        <w:t xml:space="preserve">auspica </w:t>
      </w:r>
      <w:r w:rsidR="00C27B9C" w:rsidRPr="00C27B9C">
        <w:rPr>
          <w:sz w:val="20"/>
        </w:rPr>
        <w:t xml:space="preserve">una </w:t>
      </w:r>
      <w:r w:rsidR="00C27B9C" w:rsidRPr="00C27B9C">
        <w:rPr>
          <w:i/>
          <w:sz w:val="20"/>
        </w:rPr>
        <w:t>vision</w:t>
      </w:r>
      <w:r w:rsidR="00C27B9C">
        <w:rPr>
          <w:sz w:val="20"/>
        </w:rPr>
        <w:t xml:space="preserve"> “zero vittime” per il</w:t>
      </w:r>
      <w:r w:rsidR="00C27B9C" w:rsidRPr="00C27B9C">
        <w:rPr>
          <w:sz w:val="20"/>
        </w:rPr>
        <w:t xml:space="preserve"> 2050</w:t>
      </w:r>
      <w:r w:rsidR="00C27B9C">
        <w:rPr>
          <w:sz w:val="20"/>
        </w:rPr>
        <w:t>.</w:t>
      </w:r>
      <w:r w:rsidR="0077325B">
        <w:rPr>
          <w:sz w:val="20"/>
        </w:rPr>
        <w:t xml:space="preserve"> </w:t>
      </w:r>
    </w:p>
    <w:p w14:paraId="75B4DED4" w14:textId="77777777" w:rsidR="0078568C" w:rsidRDefault="0078568C" w:rsidP="00F877FE">
      <w:pPr>
        <w:jc w:val="both"/>
        <w:rPr>
          <w:sz w:val="20"/>
        </w:rPr>
      </w:pPr>
    </w:p>
    <w:p w14:paraId="36ABC179" w14:textId="77777777" w:rsidR="0078568C" w:rsidRDefault="0078568C" w:rsidP="00F877FE">
      <w:pPr>
        <w:jc w:val="both"/>
        <w:rPr>
          <w:sz w:val="20"/>
        </w:rPr>
      </w:pPr>
    </w:p>
    <w:p w14:paraId="1CD6990F" w14:textId="77777777" w:rsidR="0078568C" w:rsidRDefault="0078568C" w:rsidP="00F877FE">
      <w:pPr>
        <w:jc w:val="both"/>
        <w:rPr>
          <w:sz w:val="20"/>
        </w:rPr>
      </w:pPr>
    </w:p>
    <w:p w14:paraId="53345533" w14:textId="77777777" w:rsidR="0078568C" w:rsidRDefault="0078568C" w:rsidP="00F877FE">
      <w:pPr>
        <w:jc w:val="both"/>
        <w:rPr>
          <w:sz w:val="20"/>
        </w:rPr>
      </w:pPr>
    </w:p>
    <w:p w14:paraId="70F8B439" w14:textId="77777777" w:rsidR="00FD38B6" w:rsidRDefault="00FD38B6" w:rsidP="00F877FE">
      <w:pPr>
        <w:jc w:val="both"/>
        <w:rPr>
          <w:sz w:val="20"/>
        </w:rPr>
      </w:pPr>
    </w:p>
    <w:p w14:paraId="63FFEFFA" w14:textId="77777777" w:rsidR="00FD38B6" w:rsidRDefault="00FD38B6" w:rsidP="00F877FE">
      <w:pPr>
        <w:jc w:val="both"/>
        <w:rPr>
          <w:sz w:val="20"/>
        </w:rPr>
      </w:pPr>
    </w:p>
    <w:p w14:paraId="4D5F20B3" w14:textId="77777777" w:rsidR="00FD38B6" w:rsidRDefault="00FD38B6" w:rsidP="00F877FE">
      <w:pPr>
        <w:jc w:val="both"/>
        <w:rPr>
          <w:sz w:val="20"/>
        </w:rPr>
      </w:pPr>
    </w:p>
    <w:p w14:paraId="4D6F4D8C" w14:textId="77777777" w:rsidR="008C1EB9" w:rsidRPr="000A5360" w:rsidRDefault="001174EC" w:rsidP="00F67953">
      <w:pPr>
        <w:jc w:val="both"/>
        <w:rPr>
          <w:rFonts w:ascii="Arial Narrow" w:hAnsi="Arial Narrow"/>
          <w:b/>
          <w:caps/>
          <w:color w:val="808080"/>
          <w:sz w:val="20"/>
        </w:rPr>
      </w:pPr>
      <w:r>
        <w:rPr>
          <w:rFonts w:ascii="Arial Narrow" w:hAnsi="Arial Narrow"/>
          <w:b/>
          <w:caps/>
          <w:color w:val="808080"/>
          <w:sz w:val="20"/>
        </w:rPr>
        <w:lastRenderedPageBreak/>
        <w:t>pr</w:t>
      </w:r>
      <w:r w:rsidR="00F81CAD" w:rsidRPr="000A5360">
        <w:rPr>
          <w:rFonts w:ascii="Arial Narrow" w:hAnsi="Arial Narrow"/>
          <w:b/>
          <w:caps/>
          <w:color w:val="808080"/>
          <w:sz w:val="20"/>
        </w:rPr>
        <w:t xml:space="preserve">ospetto </w:t>
      </w:r>
      <w:r w:rsidR="008907B9" w:rsidRPr="000A5360">
        <w:rPr>
          <w:rFonts w:ascii="Arial Narrow" w:hAnsi="Arial Narrow"/>
          <w:b/>
          <w:caps/>
          <w:color w:val="808080"/>
          <w:sz w:val="20"/>
        </w:rPr>
        <w:t>2</w:t>
      </w:r>
      <w:r w:rsidR="0095489B" w:rsidRPr="000A5360">
        <w:rPr>
          <w:rFonts w:ascii="Arial Narrow" w:hAnsi="Arial Narrow"/>
          <w:b/>
          <w:caps/>
          <w:color w:val="808080"/>
          <w:sz w:val="20"/>
        </w:rPr>
        <w:t xml:space="preserve">. </w:t>
      </w:r>
      <w:r w:rsidR="00F81CAD" w:rsidRPr="000A5360">
        <w:rPr>
          <w:rFonts w:ascii="Arial Narrow" w:hAnsi="Arial Narrow"/>
          <w:b/>
          <w:caps/>
          <w:color w:val="808080"/>
          <w:sz w:val="20"/>
        </w:rPr>
        <w:t>Morti in incidenti stradali nei Paesi</w:t>
      </w:r>
      <w:r w:rsidR="00262B95" w:rsidRPr="000A5360">
        <w:rPr>
          <w:rFonts w:ascii="Arial Narrow" w:hAnsi="Arial Narrow"/>
          <w:b/>
          <w:caps/>
          <w:color w:val="808080"/>
          <w:sz w:val="20"/>
        </w:rPr>
        <w:t xml:space="preserve"> membri </w:t>
      </w:r>
      <w:r w:rsidR="00644A8F" w:rsidRPr="000A5360">
        <w:rPr>
          <w:rFonts w:ascii="Arial Narrow" w:hAnsi="Arial Narrow"/>
          <w:b/>
          <w:caps/>
          <w:color w:val="808080"/>
          <w:sz w:val="20"/>
        </w:rPr>
        <w:t>dell’U</w:t>
      </w:r>
      <w:r w:rsidR="004154A3" w:rsidRPr="000A5360">
        <w:rPr>
          <w:rFonts w:ascii="Arial Narrow" w:hAnsi="Arial Narrow"/>
          <w:b/>
          <w:caps/>
          <w:color w:val="808080"/>
          <w:sz w:val="20"/>
        </w:rPr>
        <w:t>nione Europea</w:t>
      </w:r>
      <w:r w:rsidR="00D80762" w:rsidRPr="000A5360">
        <w:rPr>
          <w:rFonts w:ascii="Arial Narrow" w:hAnsi="Arial Narrow"/>
          <w:b/>
          <w:caps/>
          <w:color w:val="808080"/>
          <w:sz w:val="20"/>
        </w:rPr>
        <w:t xml:space="preserve"> (</w:t>
      </w:r>
      <w:r w:rsidR="0086699A" w:rsidRPr="000A5360">
        <w:rPr>
          <w:rFonts w:ascii="Arial Narrow" w:hAnsi="Arial Narrow"/>
          <w:b/>
          <w:caps/>
          <w:color w:val="808080"/>
          <w:sz w:val="20"/>
        </w:rPr>
        <w:t>U</w:t>
      </w:r>
      <w:r w:rsidR="00D80762" w:rsidRPr="000A5360">
        <w:rPr>
          <w:rFonts w:ascii="Arial Narrow" w:hAnsi="Arial Narrow"/>
          <w:b/>
          <w:caps/>
          <w:color w:val="808080"/>
          <w:sz w:val="20"/>
        </w:rPr>
        <w:t>E</w:t>
      </w:r>
      <w:r w:rsidR="0086699A" w:rsidRPr="000A5360">
        <w:rPr>
          <w:rFonts w:ascii="Arial Narrow" w:hAnsi="Arial Narrow"/>
          <w:b/>
          <w:caps/>
          <w:color w:val="808080"/>
          <w:sz w:val="20"/>
        </w:rPr>
        <w:t>2</w:t>
      </w:r>
      <w:r w:rsidR="000B3440">
        <w:rPr>
          <w:rFonts w:ascii="Arial Narrow" w:hAnsi="Arial Narrow"/>
          <w:b/>
          <w:caps/>
          <w:color w:val="808080"/>
          <w:sz w:val="20"/>
        </w:rPr>
        <w:t>7</w:t>
      </w:r>
      <w:r w:rsidR="007F367A" w:rsidRPr="000A5360">
        <w:rPr>
          <w:rFonts w:ascii="Arial Narrow" w:hAnsi="Arial Narrow"/>
          <w:b/>
          <w:caps/>
          <w:color w:val="808080"/>
          <w:sz w:val="20"/>
        </w:rPr>
        <w:t>)</w:t>
      </w:r>
    </w:p>
    <w:p w14:paraId="41FEDB30" w14:textId="77777777" w:rsidR="00A76AD0" w:rsidRDefault="00DB2950" w:rsidP="0077325B">
      <w:pPr>
        <w:spacing w:after="120"/>
        <w:jc w:val="both"/>
        <w:rPr>
          <w:rFonts w:ascii="Arial Narrow" w:hAnsi="Arial Narrow"/>
          <w:sz w:val="19"/>
          <w:szCs w:val="19"/>
        </w:rPr>
      </w:pPr>
      <w:r>
        <w:rPr>
          <w:rFonts w:ascii="Arial Narrow" w:hAnsi="Arial Narrow"/>
          <w:sz w:val="19"/>
          <w:szCs w:val="19"/>
        </w:rPr>
        <w:t>Anni</w:t>
      </w:r>
      <w:r w:rsidR="000502D9">
        <w:rPr>
          <w:rFonts w:ascii="Arial Narrow" w:hAnsi="Arial Narrow"/>
          <w:sz w:val="19"/>
          <w:szCs w:val="19"/>
        </w:rPr>
        <w:t xml:space="preserve"> </w:t>
      </w:r>
      <w:r w:rsidR="00F663CD" w:rsidRPr="00A9541D">
        <w:rPr>
          <w:rFonts w:ascii="Arial Narrow" w:hAnsi="Arial Narrow"/>
          <w:sz w:val="19"/>
          <w:szCs w:val="19"/>
        </w:rPr>
        <w:t>20</w:t>
      </w:r>
      <w:r w:rsidR="003649EB">
        <w:rPr>
          <w:rFonts w:ascii="Arial Narrow" w:hAnsi="Arial Narrow"/>
          <w:sz w:val="19"/>
          <w:szCs w:val="19"/>
        </w:rPr>
        <w:t>1</w:t>
      </w:r>
      <w:r w:rsidR="00D01B3E">
        <w:rPr>
          <w:rFonts w:ascii="Arial Narrow" w:hAnsi="Arial Narrow"/>
          <w:sz w:val="19"/>
          <w:szCs w:val="19"/>
        </w:rPr>
        <w:t>0</w:t>
      </w:r>
      <w:r w:rsidR="006D6443">
        <w:rPr>
          <w:rFonts w:ascii="Arial Narrow" w:hAnsi="Arial Narrow"/>
          <w:sz w:val="19"/>
          <w:szCs w:val="19"/>
        </w:rPr>
        <w:t>, 201</w:t>
      </w:r>
      <w:r w:rsidR="000B3440">
        <w:rPr>
          <w:rFonts w:ascii="Arial Narrow" w:hAnsi="Arial Narrow"/>
          <w:sz w:val="19"/>
          <w:szCs w:val="19"/>
        </w:rPr>
        <w:t>9</w:t>
      </w:r>
      <w:r w:rsidR="00003DC9">
        <w:rPr>
          <w:rFonts w:ascii="Arial Narrow" w:hAnsi="Arial Narrow"/>
          <w:sz w:val="19"/>
          <w:szCs w:val="19"/>
        </w:rPr>
        <w:t xml:space="preserve">, </w:t>
      </w:r>
      <w:r w:rsidR="002E0FF4" w:rsidRPr="00A9541D">
        <w:rPr>
          <w:rFonts w:ascii="Arial Narrow" w:hAnsi="Arial Narrow"/>
          <w:sz w:val="19"/>
          <w:szCs w:val="19"/>
        </w:rPr>
        <w:t>20</w:t>
      </w:r>
      <w:r w:rsidR="000B3440">
        <w:rPr>
          <w:rFonts w:ascii="Arial Narrow" w:hAnsi="Arial Narrow"/>
          <w:sz w:val="19"/>
          <w:szCs w:val="19"/>
        </w:rPr>
        <w:t>20</w:t>
      </w:r>
      <w:r w:rsidR="00003DC9">
        <w:rPr>
          <w:rFonts w:ascii="Arial Narrow" w:hAnsi="Arial Narrow"/>
          <w:sz w:val="19"/>
          <w:szCs w:val="19"/>
        </w:rPr>
        <w:t xml:space="preserve"> e 2021</w:t>
      </w:r>
      <w:r w:rsidR="0095489B" w:rsidRPr="00A9541D">
        <w:rPr>
          <w:rFonts w:ascii="Arial Narrow" w:hAnsi="Arial Narrow"/>
          <w:sz w:val="19"/>
          <w:szCs w:val="19"/>
        </w:rPr>
        <w:t xml:space="preserve">, </w:t>
      </w:r>
      <w:r w:rsidR="00A95743" w:rsidRPr="00A9541D">
        <w:rPr>
          <w:rFonts w:ascii="Arial Narrow" w:hAnsi="Arial Narrow"/>
          <w:sz w:val="19"/>
          <w:szCs w:val="19"/>
        </w:rPr>
        <w:t>valori assoluti</w:t>
      </w:r>
      <w:r>
        <w:rPr>
          <w:rFonts w:ascii="Arial Narrow" w:hAnsi="Arial Narrow"/>
          <w:sz w:val="19"/>
          <w:szCs w:val="19"/>
        </w:rPr>
        <w:t>,</w:t>
      </w:r>
      <w:r w:rsidR="000502D9">
        <w:rPr>
          <w:rFonts w:ascii="Arial Narrow" w:hAnsi="Arial Narrow"/>
          <w:sz w:val="19"/>
          <w:szCs w:val="19"/>
        </w:rPr>
        <w:t xml:space="preserve"> </w:t>
      </w:r>
      <w:r>
        <w:rPr>
          <w:rFonts w:ascii="Arial Narrow" w:hAnsi="Arial Narrow"/>
          <w:sz w:val="19"/>
          <w:szCs w:val="19"/>
        </w:rPr>
        <w:t>variazione</w:t>
      </w:r>
      <w:r w:rsidR="002578E5" w:rsidRPr="00A9541D">
        <w:rPr>
          <w:rFonts w:ascii="Arial Narrow" w:hAnsi="Arial Narrow"/>
          <w:sz w:val="19"/>
          <w:szCs w:val="19"/>
        </w:rPr>
        <w:t xml:space="preserve"> percentual</w:t>
      </w:r>
      <w:r>
        <w:rPr>
          <w:rFonts w:ascii="Arial Narrow" w:hAnsi="Arial Narrow"/>
          <w:sz w:val="19"/>
          <w:szCs w:val="19"/>
        </w:rPr>
        <w:t xml:space="preserve">e e </w:t>
      </w:r>
      <w:r w:rsidR="00A253C8">
        <w:rPr>
          <w:rFonts w:ascii="Arial Narrow" w:hAnsi="Arial Narrow"/>
          <w:sz w:val="19"/>
          <w:szCs w:val="19"/>
        </w:rPr>
        <w:t>tasso di mortalità stradale (</w:t>
      </w:r>
      <w:r>
        <w:rPr>
          <w:rFonts w:ascii="Arial Narrow" w:hAnsi="Arial Narrow"/>
          <w:sz w:val="19"/>
          <w:szCs w:val="19"/>
        </w:rPr>
        <w:t>per milione di abitanti</w:t>
      </w:r>
      <w:r w:rsidR="00A253C8">
        <w:rPr>
          <w:rFonts w:ascii="Arial Narrow" w:hAnsi="Arial Narrow"/>
          <w:sz w:val="19"/>
          <w:szCs w:val="19"/>
        </w:rPr>
        <w:t>)</w:t>
      </w:r>
      <w:r w:rsidR="002578E5" w:rsidRPr="00A9541D">
        <w:rPr>
          <w:rFonts w:ascii="Arial Narrow" w:hAnsi="Arial Narrow"/>
          <w:i/>
          <w:sz w:val="19"/>
          <w:szCs w:val="19"/>
        </w:rPr>
        <w:t xml:space="preserve"> </w:t>
      </w:r>
      <w:r w:rsidR="002578E5" w:rsidRPr="004B42E5">
        <w:rPr>
          <w:rFonts w:ascii="Arial Narrow" w:hAnsi="Arial Narrow"/>
          <w:sz w:val="19"/>
          <w:szCs w:val="19"/>
        </w:rPr>
        <w:t>(a)</w:t>
      </w:r>
    </w:p>
    <w:tbl>
      <w:tblPr>
        <w:tblW w:w="9781"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488"/>
        <w:gridCol w:w="797"/>
        <w:gridCol w:w="798"/>
        <w:gridCol w:w="797"/>
        <w:gridCol w:w="798"/>
        <w:gridCol w:w="945"/>
        <w:gridCol w:w="945"/>
        <w:gridCol w:w="945"/>
        <w:gridCol w:w="756"/>
        <w:gridCol w:w="756"/>
        <w:gridCol w:w="756"/>
      </w:tblGrid>
      <w:tr w:rsidR="00003DC9" w:rsidRPr="00A73D9D" w14:paraId="3FE0E2F4" w14:textId="77777777" w:rsidTr="00D15CEE">
        <w:trPr>
          <w:cantSplit/>
          <w:trHeight w:val="244"/>
        </w:trPr>
        <w:tc>
          <w:tcPr>
            <w:tcW w:w="1488" w:type="dxa"/>
            <w:vMerge w:val="restart"/>
            <w:shd w:val="clear" w:color="auto" w:fill="auto"/>
            <w:vAlign w:val="center"/>
          </w:tcPr>
          <w:p w14:paraId="692B866B" w14:textId="77777777" w:rsidR="00003DC9" w:rsidRPr="0081434A" w:rsidRDefault="00003DC9" w:rsidP="00D746FB">
            <w:pPr>
              <w:spacing w:before="40" w:after="20"/>
              <w:rPr>
                <w:rFonts w:ascii="Arial Narrow" w:hAnsi="Arial Narrow"/>
                <w:b/>
                <w:bCs/>
                <w:sz w:val="18"/>
                <w:szCs w:val="18"/>
              </w:rPr>
            </w:pPr>
            <w:r w:rsidRPr="0081434A">
              <w:rPr>
                <w:rFonts w:ascii="Arial Narrow" w:hAnsi="Arial Narrow"/>
                <w:b/>
                <w:bCs/>
                <w:sz w:val="18"/>
                <w:szCs w:val="18"/>
              </w:rPr>
              <w:t>PAESI UE2</w:t>
            </w:r>
            <w:r>
              <w:rPr>
                <w:rFonts w:ascii="Arial Narrow" w:hAnsi="Arial Narrow"/>
                <w:b/>
                <w:bCs/>
                <w:sz w:val="18"/>
                <w:szCs w:val="18"/>
              </w:rPr>
              <w:t>7</w:t>
            </w:r>
          </w:p>
        </w:tc>
        <w:tc>
          <w:tcPr>
            <w:tcW w:w="3190" w:type="dxa"/>
            <w:gridSpan w:val="4"/>
            <w:shd w:val="clear" w:color="auto" w:fill="D9D9D9" w:themeFill="background1" w:themeFillShade="D9"/>
            <w:vAlign w:val="center"/>
          </w:tcPr>
          <w:p w14:paraId="45D0A9BC" w14:textId="77777777" w:rsidR="00003DC9" w:rsidRPr="0081434A" w:rsidRDefault="00003DC9">
            <w:pPr>
              <w:spacing w:before="40" w:after="20"/>
              <w:jc w:val="center"/>
              <w:rPr>
                <w:rFonts w:ascii="Arial Narrow" w:hAnsi="Arial Narrow"/>
                <w:b/>
                <w:sz w:val="18"/>
                <w:szCs w:val="18"/>
              </w:rPr>
            </w:pPr>
            <w:r w:rsidRPr="0081434A">
              <w:rPr>
                <w:rFonts w:ascii="Arial Narrow" w:hAnsi="Arial Narrow"/>
                <w:b/>
                <w:bCs/>
                <w:sz w:val="18"/>
                <w:szCs w:val="18"/>
              </w:rPr>
              <w:t>Valori assoluti</w:t>
            </w:r>
          </w:p>
        </w:tc>
        <w:tc>
          <w:tcPr>
            <w:tcW w:w="2835" w:type="dxa"/>
            <w:gridSpan w:val="3"/>
            <w:shd w:val="clear" w:color="auto" w:fill="auto"/>
            <w:vAlign w:val="center"/>
          </w:tcPr>
          <w:p w14:paraId="710C7C97" w14:textId="77777777" w:rsidR="00003DC9" w:rsidRPr="0081434A" w:rsidRDefault="00003DC9">
            <w:pPr>
              <w:spacing w:before="40" w:after="20"/>
              <w:jc w:val="center"/>
              <w:rPr>
                <w:rFonts w:ascii="Arial Narrow" w:hAnsi="Arial Narrow"/>
                <w:b/>
                <w:bCs/>
                <w:sz w:val="18"/>
                <w:szCs w:val="18"/>
              </w:rPr>
            </w:pPr>
            <w:r w:rsidRPr="0081434A">
              <w:rPr>
                <w:rFonts w:ascii="Arial Narrow" w:hAnsi="Arial Narrow"/>
                <w:b/>
                <w:sz w:val="18"/>
                <w:szCs w:val="18"/>
              </w:rPr>
              <w:t xml:space="preserve">Variazione percentuale </w:t>
            </w:r>
            <w:r w:rsidRPr="0081434A">
              <w:rPr>
                <w:rFonts w:ascii="Arial Narrow" w:hAnsi="Arial Narrow"/>
                <w:sz w:val="18"/>
                <w:szCs w:val="18"/>
              </w:rPr>
              <w:t>(b)</w:t>
            </w:r>
          </w:p>
        </w:tc>
        <w:tc>
          <w:tcPr>
            <w:tcW w:w="2268" w:type="dxa"/>
            <w:gridSpan w:val="3"/>
            <w:shd w:val="clear" w:color="auto" w:fill="D9D9D9" w:themeFill="background1" w:themeFillShade="D9"/>
            <w:vAlign w:val="center"/>
          </w:tcPr>
          <w:p w14:paraId="0714B142" w14:textId="77777777" w:rsidR="00003DC9" w:rsidRPr="0081434A" w:rsidRDefault="00003DC9">
            <w:pPr>
              <w:spacing w:before="40" w:after="20"/>
              <w:jc w:val="center"/>
              <w:rPr>
                <w:rFonts w:ascii="Arial Narrow" w:hAnsi="Arial Narrow"/>
                <w:b/>
                <w:sz w:val="18"/>
                <w:szCs w:val="18"/>
              </w:rPr>
            </w:pPr>
            <w:r w:rsidRPr="0081434A">
              <w:rPr>
                <w:rFonts w:ascii="Arial Narrow" w:hAnsi="Arial Narrow"/>
                <w:b/>
                <w:bCs/>
                <w:sz w:val="18"/>
                <w:szCs w:val="18"/>
              </w:rPr>
              <w:t>Tasso di mortalità stradale</w:t>
            </w:r>
          </w:p>
        </w:tc>
      </w:tr>
      <w:tr w:rsidR="00003DC9" w:rsidRPr="00A73D9D" w14:paraId="2C9EFC4A" w14:textId="77777777" w:rsidTr="00D15CEE">
        <w:trPr>
          <w:cantSplit/>
          <w:trHeight w:val="244"/>
        </w:trPr>
        <w:tc>
          <w:tcPr>
            <w:tcW w:w="1488" w:type="dxa"/>
            <w:vMerge/>
            <w:shd w:val="clear" w:color="auto" w:fill="auto"/>
            <w:vAlign w:val="center"/>
          </w:tcPr>
          <w:p w14:paraId="316F8A66" w14:textId="77777777" w:rsidR="00003DC9" w:rsidRPr="0081434A" w:rsidRDefault="00003DC9" w:rsidP="00003DC9">
            <w:pPr>
              <w:spacing w:before="40" w:after="20"/>
              <w:rPr>
                <w:rFonts w:ascii="Arial Narrow" w:hAnsi="Arial Narrow"/>
                <w:b/>
                <w:bCs/>
                <w:sz w:val="18"/>
                <w:szCs w:val="18"/>
              </w:rPr>
            </w:pPr>
          </w:p>
        </w:tc>
        <w:tc>
          <w:tcPr>
            <w:tcW w:w="797" w:type="dxa"/>
            <w:tcBorders>
              <w:bottom w:val="single" w:sz="4" w:space="0" w:color="auto"/>
            </w:tcBorders>
            <w:shd w:val="clear" w:color="auto" w:fill="auto"/>
            <w:noWrap/>
            <w:vAlign w:val="center"/>
          </w:tcPr>
          <w:p w14:paraId="1F1D4A24" w14:textId="77777777" w:rsidR="00003DC9" w:rsidRPr="0081434A" w:rsidRDefault="00003DC9" w:rsidP="00003DC9">
            <w:pPr>
              <w:spacing w:before="40" w:after="20"/>
              <w:jc w:val="center"/>
              <w:rPr>
                <w:rFonts w:ascii="Arial Narrow" w:hAnsi="Arial Narrow"/>
                <w:bCs/>
                <w:sz w:val="18"/>
                <w:szCs w:val="18"/>
              </w:rPr>
            </w:pPr>
            <w:r w:rsidRPr="0081434A">
              <w:rPr>
                <w:rFonts w:ascii="Arial Narrow" w:hAnsi="Arial Narrow"/>
                <w:bCs/>
                <w:sz w:val="18"/>
                <w:szCs w:val="18"/>
              </w:rPr>
              <w:t>2010</w:t>
            </w:r>
          </w:p>
        </w:tc>
        <w:tc>
          <w:tcPr>
            <w:tcW w:w="798" w:type="dxa"/>
            <w:shd w:val="clear" w:color="auto" w:fill="auto"/>
            <w:noWrap/>
            <w:vAlign w:val="center"/>
          </w:tcPr>
          <w:p w14:paraId="41B20DD0" w14:textId="77777777" w:rsidR="00003DC9" w:rsidRPr="0081434A" w:rsidRDefault="00003DC9" w:rsidP="00003DC9">
            <w:pPr>
              <w:spacing w:before="40" w:after="20"/>
              <w:jc w:val="center"/>
              <w:rPr>
                <w:rFonts w:ascii="Arial Narrow" w:hAnsi="Arial Narrow"/>
                <w:bCs/>
                <w:sz w:val="18"/>
                <w:szCs w:val="18"/>
              </w:rPr>
            </w:pPr>
            <w:r w:rsidRPr="0081434A">
              <w:rPr>
                <w:rFonts w:ascii="Arial Narrow" w:hAnsi="Arial Narrow"/>
                <w:bCs/>
                <w:sz w:val="18"/>
                <w:szCs w:val="18"/>
              </w:rPr>
              <w:t>2019</w:t>
            </w:r>
          </w:p>
        </w:tc>
        <w:tc>
          <w:tcPr>
            <w:tcW w:w="797" w:type="dxa"/>
            <w:tcBorders>
              <w:bottom w:val="single" w:sz="4" w:space="0" w:color="auto"/>
            </w:tcBorders>
            <w:shd w:val="clear" w:color="auto" w:fill="auto"/>
            <w:vAlign w:val="center"/>
          </w:tcPr>
          <w:p w14:paraId="66C8AA05" w14:textId="77777777" w:rsidR="00003DC9" w:rsidRPr="0081434A" w:rsidRDefault="00003DC9" w:rsidP="00003DC9">
            <w:pPr>
              <w:spacing w:before="40" w:after="20"/>
              <w:jc w:val="center"/>
              <w:rPr>
                <w:rFonts w:ascii="Arial Narrow" w:hAnsi="Arial Narrow"/>
                <w:bCs/>
                <w:sz w:val="18"/>
                <w:szCs w:val="18"/>
              </w:rPr>
            </w:pPr>
            <w:r w:rsidRPr="0081434A">
              <w:rPr>
                <w:rFonts w:ascii="Arial Narrow" w:hAnsi="Arial Narrow"/>
                <w:bCs/>
                <w:sz w:val="18"/>
                <w:szCs w:val="18"/>
              </w:rPr>
              <w:t>2020</w:t>
            </w:r>
          </w:p>
        </w:tc>
        <w:tc>
          <w:tcPr>
            <w:tcW w:w="798" w:type="dxa"/>
            <w:tcBorders>
              <w:bottom w:val="single" w:sz="4" w:space="0" w:color="auto"/>
            </w:tcBorders>
            <w:vAlign w:val="center"/>
          </w:tcPr>
          <w:p w14:paraId="3B2F6A44" w14:textId="77777777" w:rsidR="00003DC9" w:rsidRPr="00620A14" w:rsidRDefault="00003DC9" w:rsidP="00003DC9">
            <w:pPr>
              <w:spacing w:before="40" w:after="20"/>
              <w:jc w:val="center"/>
              <w:rPr>
                <w:rFonts w:ascii="Arial Narrow" w:hAnsi="Arial Narrow"/>
                <w:b/>
                <w:bCs/>
                <w:sz w:val="18"/>
                <w:szCs w:val="18"/>
              </w:rPr>
            </w:pPr>
            <w:r w:rsidRPr="00620A14">
              <w:rPr>
                <w:rFonts w:ascii="Arial Narrow" w:hAnsi="Arial Narrow"/>
                <w:b/>
                <w:bCs/>
                <w:sz w:val="18"/>
                <w:szCs w:val="18"/>
              </w:rPr>
              <w:t>2021</w:t>
            </w:r>
          </w:p>
        </w:tc>
        <w:tc>
          <w:tcPr>
            <w:tcW w:w="945" w:type="dxa"/>
            <w:tcBorders>
              <w:bottom w:val="single" w:sz="4" w:space="0" w:color="auto"/>
            </w:tcBorders>
            <w:shd w:val="clear" w:color="auto" w:fill="auto"/>
            <w:vAlign w:val="center"/>
          </w:tcPr>
          <w:p w14:paraId="250C947D" w14:textId="77777777" w:rsidR="00003DC9" w:rsidRPr="0081434A" w:rsidRDefault="00003DC9" w:rsidP="00003DC9">
            <w:pPr>
              <w:spacing w:before="40" w:after="20"/>
              <w:jc w:val="center"/>
              <w:rPr>
                <w:rFonts w:ascii="Arial Narrow" w:hAnsi="Arial Narrow"/>
                <w:bCs/>
                <w:sz w:val="18"/>
                <w:szCs w:val="18"/>
              </w:rPr>
            </w:pPr>
            <w:r>
              <w:rPr>
                <w:rFonts w:ascii="Arial Narrow" w:hAnsi="Arial Narrow"/>
                <w:bCs/>
                <w:sz w:val="18"/>
                <w:szCs w:val="18"/>
              </w:rPr>
              <w:t>2021</w:t>
            </w:r>
            <w:r w:rsidRPr="0081434A">
              <w:rPr>
                <w:rFonts w:ascii="Arial Narrow" w:hAnsi="Arial Narrow"/>
                <w:bCs/>
                <w:sz w:val="18"/>
                <w:szCs w:val="18"/>
              </w:rPr>
              <w:t>/20</w:t>
            </w:r>
            <w:r>
              <w:rPr>
                <w:rFonts w:ascii="Arial Narrow" w:hAnsi="Arial Narrow"/>
                <w:bCs/>
                <w:sz w:val="18"/>
                <w:szCs w:val="18"/>
              </w:rPr>
              <w:t>20</w:t>
            </w:r>
            <w:r w:rsidRPr="0081434A">
              <w:rPr>
                <w:rFonts w:ascii="Arial Narrow" w:hAnsi="Arial Narrow"/>
                <w:bCs/>
                <w:sz w:val="18"/>
                <w:szCs w:val="18"/>
              </w:rPr>
              <w:t>*</w:t>
            </w:r>
          </w:p>
        </w:tc>
        <w:tc>
          <w:tcPr>
            <w:tcW w:w="945" w:type="dxa"/>
            <w:tcBorders>
              <w:bottom w:val="single" w:sz="4" w:space="0" w:color="auto"/>
            </w:tcBorders>
            <w:shd w:val="clear" w:color="auto" w:fill="auto"/>
            <w:noWrap/>
            <w:vAlign w:val="center"/>
          </w:tcPr>
          <w:p w14:paraId="6EA93475" w14:textId="77777777" w:rsidR="00003DC9" w:rsidRPr="0081434A" w:rsidRDefault="00003DC9" w:rsidP="003E0E53">
            <w:pPr>
              <w:spacing w:before="40" w:after="20"/>
              <w:jc w:val="center"/>
              <w:rPr>
                <w:rFonts w:ascii="Arial Narrow" w:hAnsi="Arial Narrow"/>
                <w:bCs/>
                <w:sz w:val="18"/>
                <w:szCs w:val="18"/>
              </w:rPr>
            </w:pPr>
            <w:r w:rsidRPr="0081434A">
              <w:rPr>
                <w:rFonts w:ascii="Arial Narrow" w:hAnsi="Arial Narrow"/>
                <w:bCs/>
                <w:sz w:val="18"/>
                <w:szCs w:val="18"/>
              </w:rPr>
              <w:t>202</w:t>
            </w:r>
            <w:r w:rsidR="003E0E53">
              <w:rPr>
                <w:rFonts w:ascii="Arial Narrow" w:hAnsi="Arial Narrow"/>
                <w:bCs/>
                <w:sz w:val="18"/>
                <w:szCs w:val="18"/>
              </w:rPr>
              <w:t>1</w:t>
            </w:r>
            <w:r w:rsidRPr="0081434A">
              <w:rPr>
                <w:rFonts w:ascii="Arial Narrow" w:hAnsi="Arial Narrow"/>
                <w:bCs/>
                <w:sz w:val="18"/>
                <w:szCs w:val="18"/>
              </w:rPr>
              <w:t>/201</w:t>
            </w:r>
            <w:r>
              <w:rPr>
                <w:rFonts w:ascii="Arial Narrow" w:hAnsi="Arial Narrow"/>
                <w:bCs/>
                <w:sz w:val="18"/>
                <w:szCs w:val="18"/>
              </w:rPr>
              <w:t>9</w:t>
            </w:r>
            <w:r w:rsidRPr="0081434A">
              <w:rPr>
                <w:rFonts w:ascii="Arial Narrow" w:hAnsi="Arial Narrow"/>
                <w:bCs/>
                <w:sz w:val="18"/>
                <w:szCs w:val="18"/>
              </w:rPr>
              <w:t>*</w:t>
            </w:r>
          </w:p>
        </w:tc>
        <w:tc>
          <w:tcPr>
            <w:tcW w:w="945" w:type="dxa"/>
            <w:vAlign w:val="center"/>
          </w:tcPr>
          <w:p w14:paraId="6C4E5D6B" w14:textId="77777777" w:rsidR="00003DC9" w:rsidRPr="0081434A" w:rsidRDefault="00003DC9" w:rsidP="00D15CEE">
            <w:pPr>
              <w:spacing w:before="40" w:after="20"/>
              <w:jc w:val="center"/>
              <w:rPr>
                <w:rFonts w:ascii="Arial Narrow" w:hAnsi="Arial Narrow"/>
                <w:bCs/>
                <w:sz w:val="18"/>
                <w:szCs w:val="18"/>
              </w:rPr>
            </w:pPr>
            <w:r>
              <w:rPr>
                <w:rFonts w:ascii="Arial Narrow" w:hAnsi="Arial Narrow"/>
                <w:bCs/>
                <w:sz w:val="18"/>
                <w:szCs w:val="18"/>
              </w:rPr>
              <w:t>2021/2010</w:t>
            </w:r>
            <w:r w:rsidR="00D15CEE">
              <w:rPr>
                <w:rFonts w:ascii="Arial Narrow" w:hAnsi="Arial Narrow"/>
                <w:bCs/>
                <w:sz w:val="18"/>
                <w:szCs w:val="18"/>
              </w:rPr>
              <w:t xml:space="preserve"> </w:t>
            </w:r>
            <w:r>
              <w:rPr>
                <w:rFonts w:ascii="Arial Narrow" w:hAnsi="Arial Narrow"/>
                <w:bCs/>
                <w:sz w:val="18"/>
                <w:szCs w:val="18"/>
              </w:rPr>
              <w:t>*</w:t>
            </w:r>
          </w:p>
        </w:tc>
        <w:tc>
          <w:tcPr>
            <w:tcW w:w="756" w:type="dxa"/>
            <w:vAlign w:val="center"/>
          </w:tcPr>
          <w:p w14:paraId="1562C7E3" w14:textId="77777777" w:rsidR="00003DC9" w:rsidRPr="0081434A" w:rsidRDefault="00003DC9" w:rsidP="00003DC9">
            <w:pPr>
              <w:spacing w:before="40" w:after="20"/>
              <w:jc w:val="center"/>
              <w:rPr>
                <w:rFonts w:ascii="Arial Narrow" w:hAnsi="Arial Narrow"/>
                <w:bCs/>
                <w:sz w:val="18"/>
                <w:szCs w:val="18"/>
              </w:rPr>
            </w:pPr>
            <w:r w:rsidRPr="0081434A">
              <w:rPr>
                <w:rFonts w:ascii="Arial Narrow" w:hAnsi="Arial Narrow"/>
                <w:bCs/>
                <w:sz w:val="18"/>
                <w:szCs w:val="18"/>
              </w:rPr>
              <w:t>2010</w:t>
            </w:r>
          </w:p>
        </w:tc>
        <w:tc>
          <w:tcPr>
            <w:tcW w:w="756" w:type="dxa"/>
            <w:shd w:val="clear" w:color="auto" w:fill="auto"/>
            <w:vAlign w:val="center"/>
          </w:tcPr>
          <w:p w14:paraId="099B063E" w14:textId="77777777" w:rsidR="00003DC9" w:rsidRPr="0081434A" w:rsidRDefault="00003DC9" w:rsidP="00003DC9">
            <w:pPr>
              <w:spacing w:before="40" w:after="20"/>
              <w:jc w:val="center"/>
              <w:rPr>
                <w:rFonts w:ascii="Arial Narrow" w:hAnsi="Arial Narrow"/>
                <w:bCs/>
                <w:sz w:val="18"/>
                <w:szCs w:val="18"/>
              </w:rPr>
            </w:pPr>
            <w:r>
              <w:rPr>
                <w:rFonts w:ascii="Arial Narrow" w:hAnsi="Arial Narrow"/>
                <w:bCs/>
                <w:sz w:val="18"/>
                <w:szCs w:val="18"/>
              </w:rPr>
              <w:t>2020</w:t>
            </w:r>
          </w:p>
        </w:tc>
        <w:tc>
          <w:tcPr>
            <w:tcW w:w="756" w:type="dxa"/>
            <w:tcBorders>
              <w:bottom w:val="single" w:sz="4" w:space="0" w:color="auto"/>
            </w:tcBorders>
            <w:shd w:val="clear" w:color="auto" w:fill="auto"/>
            <w:vAlign w:val="center"/>
          </w:tcPr>
          <w:p w14:paraId="1B4B2389" w14:textId="77777777" w:rsidR="00003DC9" w:rsidRPr="00620A14" w:rsidRDefault="00003DC9" w:rsidP="00003DC9">
            <w:pPr>
              <w:spacing w:before="40" w:after="20"/>
              <w:jc w:val="center"/>
              <w:rPr>
                <w:rFonts w:ascii="Arial Narrow" w:hAnsi="Arial Narrow"/>
                <w:b/>
                <w:bCs/>
                <w:sz w:val="18"/>
                <w:szCs w:val="18"/>
              </w:rPr>
            </w:pPr>
            <w:r w:rsidRPr="00620A14">
              <w:rPr>
                <w:rFonts w:ascii="Arial Narrow" w:hAnsi="Arial Narrow"/>
                <w:b/>
                <w:bCs/>
                <w:sz w:val="18"/>
                <w:szCs w:val="18"/>
              </w:rPr>
              <w:t>2021</w:t>
            </w:r>
          </w:p>
        </w:tc>
      </w:tr>
      <w:tr w:rsidR="008A5463" w:rsidRPr="00A73D9D" w14:paraId="2F8F8B41" w14:textId="77777777" w:rsidTr="00D15CEE">
        <w:trPr>
          <w:cantSplit/>
          <w:trHeight w:hRule="exact" w:val="255"/>
        </w:trPr>
        <w:tc>
          <w:tcPr>
            <w:tcW w:w="1488" w:type="dxa"/>
            <w:shd w:val="clear" w:color="auto" w:fill="auto"/>
            <w:noWrap/>
            <w:vAlign w:val="center"/>
          </w:tcPr>
          <w:p w14:paraId="6A415B3A"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Austria</w:t>
            </w:r>
          </w:p>
        </w:tc>
        <w:tc>
          <w:tcPr>
            <w:tcW w:w="797" w:type="dxa"/>
            <w:shd w:val="clear" w:color="auto" w:fill="D9D9D9" w:themeFill="background1" w:themeFillShade="D9"/>
            <w:noWrap/>
            <w:vAlign w:val="center"/>
          </w:tcPr>
          <w:p w14:paraId="6855B0AF" w14:textId="77777777" w:rsidR="008A5463" w:rsidRPr="00314AB9" w:rsidRDefault="008A5463" w:rsidP="008A5463">
            <w:pPr>
              <w:ind w:right="113"/>
              <w:jc w:val="right"/>
              <w:rPr>
                <w:rFonts w:ascii="Arial Narrow" w:hAnsi="Arial Narrow" w:cs="Times New Roman"/>
                <w:color w:val="000000"/>
                <w:sz w:val="18"/>
                <w:szCs w:val="18"/>
              </w:rPr>
            </w:pPr>
            <w:r w:rsidRPr="00314AB9">
              <w:rPr>
                <w:rFonts w:ascii="Arial Narrow" w:hAnsi="Arial Narrow"/>
                <w:color w:val="000000"/>
                <w:sz w:val="18"/>
                <w:szCs w:val="18"/>
              </w:rPr>
              <w:t>552</w:t>
            </w:r>
          </w:p>
        </w:tc>
        <w:tc>
          <w:tcPr>
            <w:tcW w:w="798" w:type="dxa"/>
            <w:shd w:val="clear" w:color="auto" w:fill="auto"/>
            <w:noWrap/>
            <w:vAlign w:val="center"/>
          </w:tcPr>
          <w:p w14:paraId="3A682A01"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416</w:t>
            </w:r>
          </w:p>
        </w:tc>
        <w:tc>
          <w:tcPr>
            <w:tcW w:w="797" w:type="dxa"/>
            <w:shd w:val="clear" w:color="auto" w:fill="D9D9D9" w:themeFill="background1" w:themeFillShade="D9"/>
            <w:vAlign w:val="center"/>
          </w:tcPr>
          <w:p w14:paraId="49202894"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344</w:t>
            </w:r>
          </w:p>
        </w:tc>
        <w:tc>
          <w:tcPr>
            <w:tcW w:w="798" w:type="dxa"/>
            <w:vAlign w:val="center"/>
          </w:tcPr>
          <w:p w14:paraId="71C182CA"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362</w:t>
            </w:r>
          </w:p>
        </w:tc>
        <w:tc>
          <w:tcPr>
            <w:tcW w:w="945" w:type="dxa"/>
            <w:shd w:val="clear" w:color="auto" w:fill="auto"/>
            <w:vAlign w:val="center"/>
          </w:tcPr>
          <w:p w14:paraId="27C3751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5,2</w:t>
            </w:r>
          </w:p>
        </w:tc>
        <w:tc>
          <w:tcPr>
            <w:tcW w:w="945" w:type="dxa"/>
            <w:shd w:val="clear" w:color="auto" w:fill="D9D9D9" w:themeFill="background1" w:themeFillShade="D9"/>
            <w:noWrap/>
            <w:vAlign w:val="center"/>
          </w:tcPr>
          <w:p w14:paraId="1070015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-13,0</w:t>
            </w:r>
          </w:p>
        </w:tc>
        <w:tc>
          <w:tcPr>
            <w:tcW w:w="945" w:type="dxa"/>
            <w:vAlign w:val="center"/>
          </w:tcPr>
          <w:p w14:paraId="33F06ED3"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-34,4</w:t>
            </w:r>
          </w:p>
        </w:tc>
        <w:tc>
          <w:tcPr>
            <w:tcW w:w="756" w:type="dxa"/>
            <w:vAlign w:val="center"/>
          </w:tcPr>
          <w:p w14:paraId="29D87709"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65,9</w:t>
            </w:r>
          </w:p>
        </w:tc>
        <w:tc>
          <w:tcPr>
            <w:tcW w:w="756" w:type="dxa"/>
            <w:shd w:val="clear" w:color="auto" w:fill="auto"/>
            <w:vAlign w:val="center"/>
          </w:tcPr>
          <w:p w14:paraId="705B5AB3"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38,6</w:t>
            </w:r>
          </w:p>
        </w:tc>
        <w:tc>
          <w:tcPr>
            <w:tcW w:w="756" w:type="dxa"/>
            <w:shd w:val="clear" w:color="auto" w:fill="D9D9D9" w:themeFill="background1" w:themeFillShade="D9"/>
            <w:vAlign w:val="center"/>
          </w:tcPr>
          <w:p w14:paraId="7BB37B56"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40,5</w:t>
            </w:r>
          </w:p>
        </w:tc>
      </w:tr>
      <w:tr w:rsidR="008A5463" w:rsidRPr="00A73D9D" w14:paraId="0A3BB8F1" w14:textId="77777777" w:rsidTr="00D15CEE">
        <w:trPr>
          <w:cantSplit/>
          <w:trHeight w:hRule="exact" w:val="255"/>
        </w:trPr>
        <w:tc>
          <w:tcPr>
            <w:tcW w:w="1488" w:type="dxa"/>
            <w:shd w:val="clear" w:color="auto" w:fill="auto"/>
            <w:noWrap/>
            <w:vAlign w:val="center"/>
          </w:tcPr>
          <w:p w14:paraId="30DDFD94"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Belgio</w:t>
            </w:r>
          </w:p>
        </w:tc>
        <w:tc>
          <w:tcPr>
            <w:tcW w:w="797" w:type="dxa"/>
            <w:shd w:val="clear" w:color="auto" w:fill="D9D9D9" w:themeFill="background1" w:themeFillShade="D9"/>
            <w:noWrap/>
            <w:vAlign w:val="center"/>
          </w:tcPr>
          <w:p w14:paraId="4F55DCB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8</w:t>
            </w:r>
            <w:r>
              <w:rPr>
                <w:rFonts w:ascii="Arial Narrow" w:hAnsi="Arial Narrow"/>
                <w:color w:val="000000"/>
                <w:sz w:val="18"/>
                <w:szCs w:val="18"/>
              </w:rPr>
              <w:t>50</w:t>
            </w:r>
          </w:p>
        </w:tc>
        <w:tc>
          <w:tcPr>
            <w:tcW w:w="798" w:type="dxa"/>
            <w:shd w:val="clear" w:color="auto" w:fill="auto"/>
            <w:noWrap/>
            <w:vAlign w:val="center"/>
          </w:tcPr>
          <w:p w14:paraId="2C027E41"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646</w:t>
            </w:r>
          </w:p>
        </w:tc>
        <w:tc>
          <w:tcPr>
            <w:tcW w:w="797" w:type="dxa"/>
            <w:shd w:val="clear" w:color="auto" w:fill="D9D9D9" w:themeFill="background1" w:themeFillShade="D9"/>
            <w:vAlign w:val="center"/>
          </w:tcPr>
          <w:p w14:paraId="76B2488B"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484</w:t>
            </w:r>
          </w:p>
        </w:tc>
        <w:tc>
          <w:tcPr>
            <w:tcW w:w="798" w:type="dxa"/>
            <w:vAlign w:val="center"/>
          </w:tcPr>
          <w:p w14:paraId="309600E5"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484</w:t>
            </w:r>
          </w:p>
        </w:tc>
        <w:tc>
          <w:tcPr>
            <w:tcW w:w="945" w:type="dxa"/>
            <w:shd w:val="clear" w:color="auto" w:fill="auto"/>
            <w:vAlign w:val="center"/>
          </w:tcPr>
          <w:p w14:paraId="05AD298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0,0</w:t>
            </w:r>
          </w:p>
        </w:tc>
        <w:tc>
          <w:tcPr>
            <w:tcW w:w="945" w:type="dxa"/>
            <w:shd w:val="clear" w:color="auto" w:fill="D9D9D9" w:themeFill="background1" w:themeFillShade="D9"/>
            <w:noWrap/>
            <w:vAlign w:val="center"/>
          </w:tcPr>
          <w:p w14:paraId="5F1F262A"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-25,1</w:t>
            </w:r>
          </w:p>
        </w:tc>
        <w:tc>
          <w:tcPr>
            <w:tcW w:w="945" w:type="dxa"/>
            <w:vAlign w:val="center"/>
          </w:tcPr>
          <w:p w14:paraId="4907F857"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-43,1</w:t>
            </w:r>
          </w:p>
        </w:tc>
        <w:tc>
          <w:tcPr>
            <w:tcW w:w="756" w:type="dxa"/>
            <w:vAlign w:val="center"/>
          </w:tcPr>
          <w:p w14:paraId="51CF0EB3"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78,4</w:t>
            </w:r>
          </w:p>
        </w:tc>
        <w:tc>
          <w:tcPr>
            <w:tcW w:w="756" w:type="dxa"/>
            <w:shd w:val="clear" w:color="auto" w:fill="auto"/>
            <w:vAlign w:val="center"/>
          </w:tcPr>
          <w:p w14:paraId="0F73D4DA"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42,0</w:t>
            </w:r>
          </w:p>
        </w:tc>
        <w:tc>
          <w:tcPr>
            <w:tcW w:w="756" w:type="dxa"/>
            <w:shd w:val="clear" w:color="auto" w:fill="D9D9D9" w:themeFill="background1" w:themeFillShade="D9"/>
            <w:vAlign w:val="center"/>
          </w:tcPr>
          <w:p w14:paraId="69B97148"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41,8</w:t>
            </w:r>
          </w:p>
        </w:tc>
      </w:tr>
      <w:tr w:rsidR="008A5463" w:rsidRPr="00A73D9D" w14:paraId="7DD34206" w14:textId="77777777" w:rsidTr="00D15CEE">
        <w:trPr>
          <w:cantSplit/>
          <w:trHeight w:hRule="exact" w:val="255"/>
        </w:trPr>
        <w:tc>
          <w:tcPr>
            <w:tcW w:w="1488" w:type="dxa"/>
            <w:shd w:val="clear" w:color="auto" w:fill="auto"/>
            <w:noWrap/>
            <w:vAlign w:val="center"/>
          </w:tcPr>
          <w:p w14:paraId="3032AA9A"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Bulgaria</w:t>
            </w:r>
          </w:p>
        </w:tc>
        <w:tc>
          <w:tcPr>
            <w:tcW w:w="797" w:type="dxa"/>
            <w:shd w:val="clear" w:color="auto" w:fill="D9D9D9" w:themeFill="background1" w:themeFillShade="D9"/>
            <w:noWrap/>
            <w:vAlign w:val="center"/>
          </w:tcPr>
          <w:p w14:paraId="22C7A080"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776</w:t>
            </w:r>
          </w:p>
        </w:tc>
        <w:tc>
          <w:tcPr>
            <w:tcW w:w="798" w:type="dxa"/>
            <w:shd w:val="clear" w:color="auto" w:fill="auto"/>
            <w:noWrap/>
            <w:vAlign w:val="center"/>
          </w:tcPr>
          <w:p w14:paraId="5F651E12"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628</w:t>
            </w:r>
          </w:p>
        </w:tc>
        <w:tc>
          <w:tcPr>
            <w:tcW w:w="797" w:type="dxa"/>
            <w:shd w:val="clear" w:color="auto" w:fill="D9D9D9" w:themeFill="background1" w:themeFillShade="D9"/>
            <w:vAlign w:val="center"/>
          </w:tcPr>
          <w:p w14:paraId="453F94FF"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463</w:t>
            </w:r>
          </w:p>
        </w:tc>
        <w:tc>
          <w:tcPr>
            <w:tcW w:w="798" w:type="dxa"/>
            <w:vAlign w:val="center"/>
          </w:tcPr>
          <w:p w14:paraId="3343C92A"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561</w:t>
            </w:r>
          </w:p>
        </w:tc>
        <w:tc>
          <w:tcPr>
            <w:tcW w:w="945" w:type="dxa"/>
            <w:shd w:val="clear" w:color="auto" w:fill="auto"/>
            <w:vAlign w:val="center"/>
          </w:tcPr>
          <w:p w14:paraId="4A89118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21,2</w:t>
            </w:r>
          </w:p>
        </w:tc>
        <w:tc>
          <w:tcPr>
            <w:tcW w:w="945" w:type="dxa"/>
            <w:shd w:val="clear" w:color="auto" w:fill="D9D9D9" w:themeFill="background1" w:themeFillShade="D9"/>
            <w:noWrap/>
            <w:vAlign w:val="center"/>
          </w:tcPr>
          <w:p w14:paraId="0771FD2D"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-10,7</w:t>
            </w:r>
          </w:p>
        </w:tc>
        <w:tc>
          <w:tcPr>
            <w:tcW w:w="945" w:type="dxa"/>
            <w:vAlign w:val="center"/>
          </w:tcPr>
          <w:p w14:paraId="3B0A635E"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-27,7</w:t>
            </w:r>
          </w:p>
        </w:tc>
        <w:tc>
          <w:tcPr>
            <w:tcW w:w="756" w:type="dxa"/>
            <w:vAlign w:val="center"/>
          </w:tcPr>
          <w:p w14:paraId="1892D395"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104,6</w:t>
            </w:r>
          </w:p>
        </w:tc>
        <w:tc>
          <w:tcPr>
            <w:tcW w:w="756" w:type="dxa"/>
            <w:shd w:val="clear" w:color="auto" w:fill="auto"/>
            <w:vAlign w:val="center"/>
          </w:tcPr>
          <w:p w14:paraId="53CBCB14"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66,6</w:t>
            </w:r>
          </w:p>
        </w:tc>
        <w:tc>
          <w:tcPr>
            <w:tcW w:w="756" w:type="dxa"/>
            <w:shd w:val="clear" w:color="auto" w:fill="D9D9D9" w:themeFill="background1" w:themeFillShade="D9"/>
            <w:vAlign w:val="center"/>
          </w:tcPr>
          <w:p w14:paraId="4C3A90D6"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81,1</w:t>
            </w:r>
          </w:p>
        </w:tc>
      </w:tr>
      <w:tr w:rsidR="008A5463" w:rsidRPr="00A73D9D" w14:paraId="12D333FB" w14:textId="77777777" w:rsidTr="00D15CEE">
        <w:trPr>
          <w:cantSplit/>
          <w:trHeight w:hRule="exact" w:val="255"/>
        </w:trPr>
        <w:tc>
          <w:tcPr>
            <w:tcW w:w="1488" w:type="dxa"/>
            <w:shd w:val="clear" w:color="auto" w:fill="auto"/>
            <w:noWrap/>
            <w:vAlign w:val="center"/>
          </w:tcPr>
          <w:p w14:paraId="2C98C9AE"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Cipro</w:t>
            </w:r>
          </w:p>
        </w:tc>
        <w:tc>
          <w:tcPr>
            <w:tcW w:w="797" w:type="dxa"/>
            <w:shd w:val="clear" w:color="auto" w:fill="D9D9D9" w:themeFill="background1" w:themeFillShade="D9"/>
            <w:noWrap/>
            <w:vAlign w:val="center"/>
          </w:tcPr>
          <w:p w14:paraId="7C7DE875"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60</w:t>
            </w:r>
          </w:p>
        </w:tc>
        <w:tc>
          <w:tcPr>
            <w:tcW w:w="798" w:type="dxa"/>
            <w:shd w:val="clear" w:color="auto" w:fill="auto"/>
            <w:noWrap/>
            <w:vAlign w:val="center"/>
          </w:tcPr>
          <w:p w14:paraId="054BBEF4"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52</w:t>
            </w:r>
          </w:p>
        </w:tc>
        <w:tc>
          <w:tcPr>
            <w:tcW w:w="797" w:type="dxa"/>
            <w:shd w:val="clear" w:color="auto" w:fill="D9D9D9" w:themeFill="background1" w:themeFillShade="D9"/>
            <w:vAlign w:val="center"/>
          </w:tcPr>
          <w:p w14:paraId="45E9403A"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48</w:t>
            </w:r>
          </w:p>
        </w:tc>
        <w:tc>
          <w:tcPr>
            <w:tcW w:w="798" w:type="dxa"/>
            <w:vAlign w:val="center"/>
          </w:tcPr>
          <w:p w14:paraId="2051C3A5"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45</w:t>
            </w:r>
          </w:p>
        </w:tc>
        <w:tc>
          <w:tcPr>
            <w:tcW w:w="945" w:type="dxa"/>
            <w:shd w:val="clear" w:color="auto" w:fill="auto"/>
            <w:vAlign w:val="center"/>
          </w:tcPr>
          <w:p w14:paraId="7BCB4ADC"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-6,3</w:t>
            </w:r>
          </w:p>
        </w:tc>
        <w:tc>
          <w:tcPr>
            <w:tcW w:w="945" w:type="dxa"/>
            <w:shd w:val="clear" w:color="auto" w:fill="D9D9D9" w:themeFill="background1" w:themeFillShade="D9"/>
            <w:noWrap/>
            <w:vAlign w:val="center"/>
          </w:tcPr>
          <w:p w14:paraId="4103C36C"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-13,5</w:t>
            </w:r>
          </w:p>
        </w:tc>
        <w:tc>
          <w:tcPr>
            <w:tcW w:w="945" w:type="dxa"/>
            <w:vAlign w:val="center"/>
          </w:tcPr>
          <w:p w14:paraId="486CD67B"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-25,0</w:t>
            </w:r>
          </w:p>
        </w:tc>
        <w:tc>
          <w:tcPr>
            <w:tcW w:w="756" w:type="dxa"/>
            <w:vAlign w:val="center"/>
          </w:tcPr>
          <w:p w14:paraId="126D1B22"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73,2</w:t>
            </w:r>
          </w:p>
        </w:tc>
        <w:tc>
          <w:tcPr>
            <w:tcW w:w="756" w:type="dxa"/>
            <w:shd w:val="clear" w:color="auto" w:fill="auto"/>
            <w:vAlign w:val="center"/>
          </w:tcPr>
          <w:p w14:paraId="7EB690C9"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54,1</w:t>
            </w:r>
          </w:p>
        </w:tc>
        <w:tc>
          <w:tcPr>
            <w:tcW w:w="756" w:type="dxa"/>
            <w:shd w:val="clear" w:color="auto" w:fill="D9D9D9" w:themeFill="background1" w:themeFillShade="D9"/>
            <w:vAlign w:val="center"/>
          </w:tcPr>
          <w:p w14:paraId="3CDD5A05"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50,2</w:t>
            </w:r>
          </w:p>
        </w:tc>
      </w:tr>
      <w:tr w:rsidR="008A5463" w:rsidRPr="00A73D9D" w14:paraId="2DA35427" w14:textId="77777777" w:rsidTr="00D15CEE">
        <w:trPr>
          <w:cantSplit/>
          <w:trHeight w:hRule="exact" w:val="255"/>
        </w:trPr>
        <w:tc>
          <w:tcPr>
            <w:tcW w:w="1488" w:type="dxa"/>
            <w:shd w:val="clear" w:color="auto" w:fill="auto"/>
            <w:noWrap/>
            <w:vAlign w:val="center"/>
          </w:tcPr>
          <w:p w14:paraId="4B7DE692"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Croazia</w:t>
            </w:r>
          </w:p>
        </w:tc>
        <w:tc>
          <w:tcPr>
            <w:tcW w:w="797" w:type="dxa"/>
            <w:shd w:val="clear" w:color="auto" w:fill="D9D9D9" w:themeFill="background1" w:themeFillShade="D9"/>
            <w:noWrap/>
            <w:vAlign w:val="center"/>
          </w:tcPr>
          <w:p w14:paraId="38034655"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426</w:t>
            </w:r>
          </w:p>
        </w:tc>
        <w:tc>
          <w:tcPr>
            <w:tcW w:w="798" w:type="dxa"/>
            <w:shd w:val="clear" w:color="auto" w:fill="auto"/>
            <w:noWrap/>
            <w:vAlign w:val="center"/>
          </w:tcPr>
          <w:p w14:paraId="70ADF5CE"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297</w:t>
            </w:r>
          </w:p>
        </w:tc>
        <w:tc>
          <w:tcPr>
            <w:tcW w:w="797" w:type="dxa"/>
            <w:shd w:val="clear" w:color="auto" w:fill="D9D9D9" w:themeFill="background1" w:themeFillShade="D9"/>
            <w:vAlign w:val="center"/>
          </w:tcPr>
          <w:p w14:paraId="5CBBD240"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237</w:t>
            </w:r>
          </w:p>
        </w:tc>
        <w:tc>
          <w:tcPr>
            <w:tcW w:w="798" w:type="dxa"/>
            <w:vAlign w:val="center"/>
          </w:tcPr>
          <w:p w14:paraId="2C7DC92D"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292</w:t>
            </w:r>
          </w:p>
        </w:tc>
        <w:tc>
          <w:tcPr>
            <w:tcW w:w="945" w:type="dxa"/>
            <w:shd w:val="clear" w:color="auto" w:fill="auto"/>
            <w:vAlign w:val="center"/>
          </w:tcPr>
          <w:p w14:paraId="709B9AB6"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23,2</w:t>
            </w:r>
          </w:p>
        </w:tc>
        <w:tc>
          <w:tcPr>
            <w:tcW w:w="945" w:type="dxa"/>
            <w:shd w:val="clear" w:color="auto" w:fill="D9D9D9" w:themeFill="background1" w:themeFillShade="D9"/>
            <w:noWrap/>
            <w:vAlign w:val="center"/>
          </w:tcPr>
          <w:p w14:paraId="1C8B3061"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-1,7</w:t>
            </w:r>
          </w:p>
        </w:tc>
        <w:tc>
          <w:tcPr>
            <w:tcW w:w="945" w:type="dxa"/>
            <w:vAlign w:val="center"/>
          </w:tcPr>
          <w:p w14:paraId="22CBC13F"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-31,5</w:t>
            </w:r>
          </w:p>
        </w:tc>
        <w:tc>
          <w:tcPr>
            <w:tcW w:w="756" w:type="dxa"/>
            <w:vAlign w:val="center"/>
          </w:tcPr>
          <w:p w14:paraId="7DC156B7"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99,0</w:t>
            </w:r>
          </w:p>
        </w:tc>
        <w:tc>
          <w:tcPr>
            <w:tcW w:w="756" w:type="dxa"/>
            <w:shd w:val="clear" w:color="auto" w:fill="auto"/>
            <w:vAlign w:val="center"/>
          </w:tcPr>
          <w:p w14:paraId="7D289999"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58,4</w:t>
            </w:r>
          </w:p>
        </w:tc>
        <w:tc>
          <w:tcPr>
            <w:tcW w:w="756" w:type="dxa"/>
            <w:shd w:val="clear" w:color="auto" w:fill="D9D9D9" w:themeFill="background1" w:themeFillShade="D9"/>
            <w:vAlign w:val="center"/>
          </w:tcPr>
          <w:p w14:paraId="19996ACF"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72,3</w:t>
            </w:r>
          </w:p>
        </w:tc>
      </w:tr>
      <w:tr w:rsidR="008A5463" w:rsidRPr="00A73D9D" w14:paraId="791B3130" w14:textId="77777777" w:rsidTr="00D15CEE">
        <w:trPr>
          <w:cantSplit/>
          <w:trHeight w:hRule="exact" w:val="255"/>
        </w:trPr>
        <w:tc>
          <w:tcPr>
            <w:tcW w:w="1488" w:type="dxa"/>
            <w:shd w:val="clear" w:color="auto" w:fill="auto"/>
            <w:noWrap/>
            <w:vAlign w:val="center"/>
          </w:tcPr>
          <w:p w14:paraId="6DE0248C"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Danimarca</w:t>
            </w:r>
          </w:p>
        </w:tc>
        <w:tc>
          <w:tcPr>
            <w:tcW w:w="797" w:type="dxa"/>
            <w:shd w:val="clear" w:color="auto" w:fill="D9D9D9" w:themeFill="background1" w:themeFillShade="D9"/>
            <w:noWrap/>
            <w:vAlign w:val="center"/>
          </w:tcPr>
          <w:p w14:paraId="4AE6FA88"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255</w:t>
            </w:r>
          </w:p>
        </w:tc>
        <w:tc>
          <w:tcPr>
            <w:tcW w:w="798" w:type="dxa"/>
            <w:shd w:val="clear" w:color="auto" w:fill="auto"/>
            <w:noWrap/>
            <w:vAlign w:val="center"/>
          </w:tcPr>
          <w:p w14:paraId="1A260DF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199</w:t>
            </w:r>
          </w:p>
        </w:tc>
        <w:tc>
          <w:tcPr>
            <w:tcW w:w="797" w:type="dxa"/>
            <w:shd w:val="clear" w:color="auto" w:fill="D9D9D9" w:themeFill="background1" w:themeFillShade="D9"/>
            <w:vAlign w:val="center"/>
          </w:tcPr>
          <w:p w14:paraId="40F3BA44"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155</w:t>
            </w:r>
          </w:p>
        </w:tc>
        <w:tc>
          <w:tcPr>
            <w:tcW w:w="798" w:type="dxa"/>
            <w:vAlign w:val="center"/>
          </w:tcPr>
          <w:p w14:paraId="613D993E"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135</w:t>
            </w:r>
          </w:p>
        </w:tc>
        <w:tc>
          <w:tcPr>
            <w:tcW w:w="945" w:type="dxa"/>
            <w:shd w:val="clear" w:color="auto" w:fill="auto"/>
            <w:vAlign w:val="center"/>
          </w:tcPr>
          <w:p w14:paraId="132CD7DD"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-12,9</w:t>
            </w:r>
          </w:p>
        </w:tc>
        <w:tc>
          <w:tcPr>
            <w:tcW w:w="945" w:type="dxa"/>
            <w:shd w:val="clear" w:color="auto" w:fill="D9D9D9" w:themeFill="background1" w:themeFillShade="D9"/>
            <w:noWrap/>
            <w:vAlign w:val="center"/>
          </w:tcPr>
          <w:p w14:paraId="3A61E1D2"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-32,2</w:t>
            </w:r>
          </w:p>
        </w:tc>
        <w:tc>
          <w:tcPr>
            <w:tcW w:w="945" w:type="dxa"/>
            <w:vAlign w:val="center"/>
          </w:tcPr>
          <w:p w14:paraId="58211964"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-47,1</w:t>
            </w:r>
          </w:p>
        </w:tc>
        <w:tc>
          <w:tcPr>
            <w:tcW w:w="756" w:type="dxa"/>
            <w:vAlign w:val="center"/>
          </w:tcPr>
          <w:p w14:paraId="08D804F2"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46,1</w:t>
            </w:r>
          </w:p>
        </w:tc>
        <w:tc>
          <w:tcPr>
            <w:tcW w:w="756" w:type="dxa"/>
            <w:shd w:val="clear" w:color="auto" w:fill="auto"/>
            <w:vAlign w:val="center"/>
          </w:tcPr>
          <w:p w14:paraId="624275CE"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26,6</w:t>
            </w:r>
          </w:p>
        </w:tc>
        <w:tc>
          <w:tcPr>
            <w:tcW w:w="756" w:type="dxa"/>
            <w:shd w:val="clear" w:color="auto" w:fill="D9D9D9" w:themeFill="background1" w:themeFillShade="D9"/>
            <w:vAlign w:val="center"/>
          </w:tcPr>
          <w:p w14:paraId="2AAE3B06"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23,1</w:t>
            </w:r>
          </w:p>
        </w:tc>
      </w:tr>
      <w:tr w:rsidR="008A5463" w:rsidRPr="00A73D9D" w14:paraId="0AB679AF" w14:textId="77777777" w:rsidTr="00D15CEE">
        <w:trPr>
          <w:cantSplit/>
          <w:trHeight w:hRule="exact" w:val="255"/>
        </w:trPr>
        <w:tc>
          <w:tcPr>
            <w:tcW w:w="1488" w:type="dxa"/>
            <w:shd w:val="clear" w:color="auto" w:fill="auto"/>
            <w:noWrap/>
            <w:vAlign w:val="center"/>
          </w:tcPr>
          <w:p w14:paraId="233B00BD"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Estonia</w:t>
            </w:r>
          </w:p>
        </w:tc>
        <w:tc>
          <w:tcPr>
            <w:tcW w:w="797" w:type="dxa"/>
            <w:shd w:val="clear" w:color="auto" w:fill="D9D9D9" w:themeFill="background1" w:themeFillShade="D9"/>
            <w:noWrap/>
            <w:vAlign w:val="center"/>
          </w:tcPr>
          <w:p w14:paraId="299827B5"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79</w:t>
            </w:r>
          </w:p>
        </w:tc>
        <w:tc>
          <w:tcPr>
            <w:tcW w:w="798" w:type="dxa"/>
            <w:shd w:val="clear" w:color="auto" w:fill="auto"/>
            <w:noWrap/>
            <w:vAlign w:val="center"/>
          </w:tcPr>
          <w:p w14:paraId="4D380473"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52</w:t>
            </w:r>
          </w:p>
        </w:tc>
        <w:tc>
          <w:tcPr>
            <w:tcW w:w="797" w:type="dxa"/>
            <w:shd w:val="clear" w:color="auto" w:fill="D9D9D9" w:themeFill="background1" w:themeFillShade="D9"/>
            <w:vAlign w:val="center"/>
          </w:tcPr>
          <w:p w14:paraId="790F845E"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60</w:t>
            </w:r>
          </w:p>
        </w:tc>
        <w:tc>
          <w:tcPr>
            <w:tcW w:w="798" w:type="dxa"/>
            <w:vAlign w:val="center"/>
          </w:tcPr>
          <w:p w14:paraId="63560D1F"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55</w:t>
            </w:r>
          </w:p>
        </w:tc>
        <w:tc>
          <w:tcPr>
            <w:tcW w:w="945" w:type="dxa"/>
            <w:shd w:val="clear" w:color="auto" w:fill="auto"/>
            <w:vAlign w:val="center"/>
          </w:tcPr>
          <w:p w14:paraId="77424B94"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-8,3</w:t>
            </w:r>
          </w:p>
        </w:tc>
        <w:tc>
          <w:tcPr>
            <w:tcW w:w="945" w:type="dxa"/>
            <w:shd w:val="clear" w:color="auto" w:fill="D9D9D9" w:themeFill="background1" w:themeFillShade="D9"/>
            <w:noWrap/>
            <w:vAlign w:val="center"/>
          </w:tcPr>
          <w:p w14:paraId="455A6D7E"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5,8</w:t>
            </w:r>
          </w:p>
        </w:tc>
        <w:tc>
          <w:tcPr>
            <w:tcW w:w="945" w:type="dxa"/>
            <w:vAlign w:val="center"/>
          </w:tcPr>
          <w:p w14:paraId="39275703"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-30,4</w:t>
            </w:r>
          </w:p>
        </w:tc>
        <w:tc>
          <w:tcPr>
            <w:tcW w:w="756" w:type="dxa"/>
            <w:vAlign w:val="center"/>
          </w:tcPr>
          <w:p w14:paraId="3541D892"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59,3</w:t>
            </w:r>
          </w:p>
        </w:tc>
        <w:tc>
          <w:tcPr>
            <w:tcW w:w="756" w:type="dxa"/>
            <w:shd w:val="clear" w:color="auto" w:fill="auto"/>
            <w:vAlign w:val="center"/>
          </w:tcPr>
          <w:p w14:paraId="3A1E21A5"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45,1</w:t>
            </w:r>
          </w:p>
        </w:tc>
        <w:tc>
          <w:tcPr>
            <w:tcW w:w="756" w:type="dxa"/>
            <w:shd w:val="clear" w:color="auto" w:fill="D9D9D9" w:themeFill="background1" w:themeFillShade="D9"/>
            <w:vAlign w:val="center"/>
          </w:tcPr>
          <w:p w14:paraId="30FD9128"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41,4</w:t>
            </w:r>
          </w:p>
        </w:tc>
      </w:tr>
      <w:tr w:rsidR="008A5463" w:rsidRPr="00A73D9D" w14:paraId="47A1F8E4" w14:textId="77777777" w:rsidTr="00D15CEE">
        <w:trPr>
          <w:cantSplit/>
          <w:trHeight w:hRule="exact" w:val="255"/>
        </w:trPr>
        <w:tc>
          <w:tcPr>
            <w:tcW w:w="1488" w:type="dxa"/>
            <w:shd w:val="clear" w:color="auto" w:fill="auto"/>
            <w:noWrap/>
            <w:vAlign w:val="center"/>
          </w:tcPr>
          <w:p w14:paraId="1566F35C"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Finlandia</w:t>
            </w:r>
          </w:p>
        </w:tc>
        <w:tc>
          <w:tcPr>
            <w:tcW w:w="797" w:type="dxa"/>
            <w:shd w:val="clear" w:color="auto" w:fill="D9D9D9" w:themeFill="background1" w:themeFillShade="D9"/>
            <w:noWrap/>
            <w:vAlign w:val="center"/>
          </w:tcPr>
          <w:p w14:paraId="2992E086"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272</w:t>
            </w:r>
          </w:p>
        </w:tc>
        <w:tc>
          <w:tcPr>
            <w:tcW w:w="798" w:type="dxa"/>
            <w:shd w:val="clear" w:color="auto" w:fill="auto"/>
            <w:noWrap/>
            <w:vAlign w:val="center"/>
          </w:tcPr>
          <w:p w14:paraId="02BC2ED4"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211</w:t>
            </w:r>
          </w:p>
        </w:tc>
        <w:tc>
          <w:tcPr>
            <w:tcW w:w="797" w:type="dxa"/>
            <w:shd w:val="clear" w:color="auto" w:fill="D9D9D9" w:themeFill="background1" w:themeFillShade="D9"/>
            <w:vAlign w:val="center"/>
          </w:tcPr>
          <w:p w14:paraId="085D2CB2"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221</w:t>
            </w:r>
          </w:p>
        </w:tc>
        <w:tc>
          <w:tcPr>
            <w:tcW w:w="798" w:type="dxa"/>
            <w:vAlign w:val="center"/>
          </w:tcPr>
          <w:p w14:paraId="79886C8C"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223</w:t>
            </w:r>
          </w:p>
        </w:tc>
        <w:tc>
          <w:tcPr>
            <w:tcW w:w="945" w:type="dxa"/>
            <w:shd w:val="clear" w:color="auto" w:fill="auto"/>
            <w:vAlign w:val="center"/>
          </w:tcPr>
          <w:p w14:paraId="01B93D6D"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0,9</w:t>
            </w:r>
          </w:p>
        </w:tc>
        <w:tc>
          <w:tcPr>
            <w:tcW w:w="945" w:type="dxa"/>
            <w:shd w:val="clear" w:color="auto" w:fill="D9D9D9" w:themeFill="background1" w:themeFillShade="D9"/>
            <w:noWrap/>
            <w:vAlign w:val="center"/>
          </w:tcPr>
          <w:p w14:paraId="3A762BA1"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5,7</w:t>
            </w:r>
          </w:p>
        </w:tc>
        <w:tc>
          <w:tcPr>
            <w:tcW w:w="945" w:type="dxa"/>
            <w:vAlign w:val="center"/>
          </w:tcPr>
          <w:p w14:paraId="62749FB2"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-18,0</w:t>
            </w:r>
          </w:p>
        </w:tc>
        <w:tc>
          <w:tcPr>
            <w:tcW w:w="756" w:type="dxa"/>
            <w:vAlign w:val="center"/>
          </w:tcPr>
          <w:p w14:paraId="2F1F6933"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50,8</w:t>
            </w:r>
          </w:p>
        </w:tc>
        <w:tc>
          <w:tcPr>
            <w:tcW w:w="756" w:type="dxa"/>
            <w:shd w:val="clear" w:color="auto" w:fill="auto"/>
            <w:vAlign w:val="center"/>
          </w:tcPr>
          <w:p w14:paraId="631394D4"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40,0</w:t>
            </w:r>
          </w:p>
        </w:tc>
        <w:tc>
          <w:tcPr>
            <w:tcW w:w="756" w:type="dxa"/>
            <w:shd w:val="clear" w:color="auto" w:fill="D9D9D9" w:themeFill="background1" w:themeFillShade="D9"/>
            <w:vAlign w:val="center"/>
          </w:tcPr>
          <w:p w14:paraId="014177EA"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40,3</w:t>
            </w:r>
          </w:p>
        </w:tc>
      </w:tr>
      <w:tr w:rsidR="008A5463" w:rsidRPr="00A73D9D" w14:paraId="398FAD55" w14:textId="77777777" w:rsidTr="00D15CEE">
        <w:trPr>
          <w:cantSplit/>
          <w:trHeight w:hRule="exact" w:val="255"/>
        </w:trPr>
        <w:tc>
          <w:tcPr>
            <w:tcW w:w="1488" w:type="dxa"/>
            <w:shd w:val="clear" w:color="auto" w:fill="auto"/>
            <w:noWrap/>
            <w:vAlign w:val="center"/>
          </w:tcPr>
          <w:p w14:paraId="2BD6151A"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Francia</w:t>
            </w:r>
          </w:p>
        </w:tc>
        <w:tc>
          <w:tcPr>
            <w:tcW w:w="797" w:type="dxa"/>
            <w:shd w:val="clear" w:color="auto" w:fill="D9D9D9" w:themeFill="background1" w:themeFillShade="D9"/>
            <w:noWrap/>
            <w:vAlign w:val="center"/>
          </w:tcPr>
          <w:p w14:paraId="4EF45651"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3.992</w:t>
            </w:r>
          </w:p>
        </w:tc>
        <w:tc>
          <w:tcPr>
            <w:tcW w:w="798" w:type="dxa"/>
            <w:shd w:val="clear" w:color="auto" w:fill="auto"/>
            <w:noWrap/>
            <w:vAlign w:val="center"/>
          </w:tcPr>
          <w:p w14:paraId="0EA05365"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3.244</w:t>
            </w:r>
          </w:p>
        </w:tc>
        <w:tc>
          <w:tcPr>
            <w:tcW w:w="797" w:type="dxa"/>
            <w:shd w:val="clear" w:color="auto" w:fill="D9D9D9" w:themeFill="background1" w:themeFillShade="D9"/>
            <w:vAlign w:val="center"/>
          </w:tcPr>
          <w:p w14:paraId="37AC07BC"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2.541</w:t>
            </w:r>
          </w:p>
        </w:tc>
        <w:tc>
          <w:tcPr>
            <w:tcW w:w="798" w:type="dxa"/>
            <w:vAlign w:val="center"/>
          </w:tcPr>
          <w:p w14:paraId="5DB17A0E"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2.947</w:t>
            </w:r>
          </w:p>
        </w:tc>
        <w:tc>
          <w:tcPr>
            <w:tcW w:w="945" w:type="dxa"/>
            <w:shd w:val="clear" w:color="auto" w:fill="auto"/>
            <w:vAlign w:val="center"/>
          </w:tcPr>
          <w:p w14:paraId="7CA46537"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16,0</w:t>
            </w:r>
          </w:p>
        </w:tc>
        <w:tc>
          <w:tcPr>
            <w:tcW w:w="945" w:type="dxa"/>
            <w:shd w:val="clear" w:color="auto" w:fill="D9D9D9" w:themeFill="background1" w:themeFillShade="D9"/>
            <w:noWrap/>
            <w:vAlign w:val="center"/>
          </w:tcPr>
          <w:p w14:paraId="49CBF208"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-9,2</w:t>
            </w:r>
          </w:p>
        </w:tc>
        <w:tc>
          <w:tcPr>
            <w:tcW w:w="945" w:type="dxa"/>
            <w:vAlign w:val="center"/>
          </w:tcPr>
          <w:p w14:paraId="3010EAE8"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-26,2</w:t>
            </w:r>
          </w:p>
        </w:tc>
        <w:tc>
          <w:tcPr>
            <w:tcW w:w="756" w:type="dxa"/>
            <w:vAlign w:val="center"/>
          </w:tcPr>
          <w:p w14:paraId="1410A37F"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63,6</w:t>
            </w:r>
          </w:p>
        </w:tc>
        <w:tc>
          <w:tcPr>
            <w:tcW w:w="756" w:type="dxa"/>
            <w:shd w:val="clear" w:color="auto" w:fill="auto"/>
            <w:vAlign w:val="center"/>
          </w:tcPr>
          <w:p w14:paraId="5D5CF11D"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39,0</w:t>
            </w:r>
          </w:p>
        </w:tc>
        <w:tc>
          <w:tcPr>
            <w:tcW w:w="756" w:type="dxa"/>
            <w:shd w:val="clear" w:color="auto" w:fill="D9D9D9" w:themeFill="background1" w:themeFillShade="D9"/>
            <w:vAlign w:val="center"/>
          </w:tcPr>
          <w:p w14:paraId="519AC54B"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45,0</w:t>
            </w:r>
          </w:p>
        </w:tc>
      </w:tr>
      <w:tr w:rsidR="008A5463" w:rsidRPr="00A73D9D" w14:paraId="235FB13F" w14:textId="77777777" w:rsidTr="00D15CEE">
        <w:trPr>
          <w:cantSplit/>
          <w:trHeight w:hRule="exact" w:val="255"/>
        </w:trPr>
        <w:tc>
          <w:tcPr>
            <w:tcW w:w="1488" w:type="dxa"/>
            <w:shd w:val="clear" w:color="auto" w:fill="auto"/>
            <w:noWrap/>
            <w:vAlign w:val="center"/>
          </w:tcPr>
          <w:p w14:paraId="57F95C9C"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Germania</w:t>
            </w:r>
          </w:p>
        </w:tc>
        <w:tc>
          <w:tcPr>
            <w:tcW w:w="797" w:type="dxa"/>
            <w:shd w:val="clear" w:color="auto" w:fill="D9D9D9" w:themeFill="background1" w:themeFillShade="D9"/>
            <w:noWrap/>
            <w:vAlign w:val="center"/>
          </w:tcPr>
          <w:p w14:paraId="1462B87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3.651</w:t>
            </w:r>
          </w:p>
        </w:tc>
        <w:tc>
          <w:tcPr>
            <w:tcW w:w="798" w:type="dxa"/>
            <w:shd w:val="clear" w:color="auto" w:fill="auto"/>
            <w:noWrap/>
            <w:vAlign w:val="center"/>
          </w:tcPr>
          <w:p w14:paraId="2A4CA23A"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3.059</w:t>
            </w:r>
          </w:p>
        </w:tc>
        <w:tc>
          <w:tcPr>
            <w:tcW w:w="797" w:type="dxa"/>
            <w:shd w:val="clear" w:color="auto" w:fill="D9D9D9" w:themeFill="background1" w:themeFillShade="D9"/>
            <w:vAlign w:val="center"/>
          </w:tcPr>
          <w:p w14:paraId="58F8467D" w14:textId="599962A0" w:rsidR="008A5463" w:rsidRPr="00314AB9" w:rsidRDefault="007539BD"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s="Arial Narrow"/>
                <w:color w:val="000000"/>
                <w:sz w:val="18"/>
                <w:szCs w:val="18"/>
              </w:rPr>
              <w:t>2.719</w:t>
            </w:r>
          </w:p>
        </w:tc>
        <w:tc>
          <w:tcPr>
            <w:tcW w:w="798" w:type="dxa"/>
            <w:vAlign w:val="center"/>
          </w:tcPr>
          <w:p w14:paraId="47B504D3"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2.569</w:t>
            </w:r>
          </w:p>
        </w:tc>
        <w:tc>
          <w:tcPr>
            <w:tcW w:w="945" w:type="dxa"/>
            <w:shd w:val="clear" w:color="auto" w:fill="auto"/>
            <w:vAlign w:val="center"/>
          </w:tcPr>
          <w:p w14:paraId="0686DD36"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-5,5</w:t>
            </w:r>
          </w:p>
        </w:tc>
        <w:tc>
          <w:tcPr>
            <w:tcW w:w="945" w:type="dxa"/>
            <w:shd w:val="clear" w:color="auto" w:fill="D9D9D9" w:themeFill="background1" w:themeFillShade="D9"/>
            <w:noWrap/>
            <w:vAlign w:val="center"/>
          </w:tcPr>
          <w:p w14:paraId="7EE109D3"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-16,0</w:t>
            </w:r>
          </w:p>
        </w:tc>
        <w:tc>
          <w:tcPr>
            <w:tcW w:w="945" w:type="dxa"/>
            <w:vAlign w:val="center"/>
          </w:tcPr>
          <w:p w14:paraId="1A42E01C"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-29,6</w:t>
            </w:r>
          </w:p>
        </w:tc>
        <w:tc>
          <w:tcPr>
            <w:tcW w:w="756" w:type="dxa"/>
            <w:vAlign w:val="center"/>
          </w:tcPr>
          <w:p w14:paraId="129C60C6"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44,6</w:t>
            </w:r>
          </w:p>
        </w:tc>
        <w:tc>
          <w:tcPr>
            <w:tcW w:w="756" w:type="dxa"/>
            <w:shd w:val="clear" w:color="auto" w:fill="auto"/>
            <w:vAlign w:val="center"/>
          </w:tcPr>
          <w:p w14:paraId="1439542A"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32,8</w:t>
            </w:r>
          </w:p>
        </w:tc>
        <w:tc>
          <w:tcPr>
            <w:tcW w:w="756" w:type="dxa"/>
            <w:shd w:val="clear" w:color="auto" w:fill="D9D9D9" w:themeFill="background1" w:themeFillShade="D9"/>
            <w:vAlign w:val="center"/>
          </w:tcPr>
          <w:p w14:paraId="765E86A0"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30,9</w:t>
            </w:r>
          </w:p>
        </w:tc>
      </w:tr>
      <w:tr w:rsidR="008A5463" w:rsidRPr="00A73D9D" w14:paraId="1250C8AD" w14:textId="77777777" w:rsidTr="00D15CEE">
        <w:trPr>
          <w:cantSplit/>
          <w:trHeight w:hRule="exact" w:val="255"/>
        </w:trPr>
        <w:tc>
          <w:tcPr>
            <w:tcW w:w="1488" w:type="dxa"/>
            <w:shd w:val="clear" w:color="auto" w:fill="auto"/>
            <w:noWrap/>
            <w:vAlign w:val="center"/>
          </w:tcPr>
          <w:p w14:paraId="291F80F3"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Grecia</w:t>
            </w:r>
          </w:p>
        </w:tc>
        <w:tc>
          <w:tcPr>
            <w:tcW w:w="797" w:type="dxa"/>
            <w:shd w:val="clear" w:color="auto" w:fill="D9D9D9" w:themeFill="background1" w:themeFillShade="D9"/>
            <w:noWrap/>
            <w:vAlign w:val="center"/>
          </w:tcPr>
          <w:p w14:paraId="38A2B38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1.258</w:t>
            </w:r>
          </w:p>
        </w:tc>
        <w:tc>
          <w:tcPr>
            <w:tcW w:w="798" w:type="dxa"/>
            <w:shd w:val="clear" w:color="auto" w:fill="auto"/>
            <w:noWrap/>
            <w:vAlign w:val="center"/>
          </w:tcPr>
          <w:p w14:paraId="54CF4126"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688</w:t>
            </w:r>
          </w:p>
        </w:tc>
        <w:tc>
          <w:tcPr>
            <w:tcW w:w="797" w:type="dxa"/>
            <w:shd w:val="clear" w:color="auto" w:fill="D9D9D9" w:themeFill="background1" w:themeFillShade="D9"/>
            <w:vAlign w:val="center"/>
          </w:tcPr>
          <w:p w14:paraId="2E034498" w14:textId="0B74DBF7" w:rsidR="008A5463" w:rsidRPr="00314AB9" w:rsidRDefault="007539BD"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s="Arial Narrow"/>
                <w:color w:val="000000"/>
                <w:sz w:val="18"/>
                <w:szCs w:val="18"/>
              </w:rPr>
              <w:t>584</w:t>
            </w:r>
          </w:p>
        </w:tc>
        <w:tc>
          <w:tcPr>
            <w:tcW w:w="798" w:type="dxa"/>
            <w:vAlign w:val="center"/>
          </w:tcPr>
          <w:p w14:paraId="4E6B4360"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608</w:t>
            </w:r>
          </w:p>
        </w:tc>
        <w:tc>
          <w:tcPr>
            <w:tcW w:w="945" w:type="dxa"/>
            <w:shd w:val="clear" w:color="auto" w:fill="auto"/>
            <w:vAlign w:val="center"/>
          </w:tcPr>
          <w:p w14:paraId="040490A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4,1</w:t>
            </w:r>
          </w:p>
        </w:tc>
        <w:tc>
          <w:tcPr>
            <w:tcW w:w="945" w:type="dxa"/>
            <w:shd w:val="clear" w:color="auto" w:fill="D9D9D9" w:themeFill="background1" w:themeFillShade="D9"/>
            <w:noWrap/>
            <w:vAlign w:val="center"/>
          </w:tcPr>
          <w:p w14:paraId="3E2DCA7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-11,6</w:t>
            </w:r>
          </w:p>
        </w:tc>
        <w:tc>
          <w:tcPr>
            <w:tcW w:w="945" w:type="dxa"/>
            <w:vAlign w:val="center"/>
          </w:tcPr>
          <w:p w14:paraId="7DBCAD0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-51,7</w:t>
            </w:r>
          </w:p>
        </w:tc>
        <w:tc>
          <w:tcPr>
            <w:tcW w:w="756" w:type="dxa"/>
            <w:vAlign w:val="center"/>
          </w:tcPr>
          <w:p w14:paraId="4A473DDC"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112,5</w:t>
            </w:r>
          </w:p>
        </w:tc>
        <w:tc>
          <w:tcPr>
            <w:tcW w:w="756" w:type="dxa"/>
            <w:shd w:val="clear" w:color="auto" w:fill="auto"/>
            <w:vAlign w:val="center"/>
          </w:tcPr>
          <w:p w14:paraId="2A1D0A0C"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54,0</w:t>
            </w:r>
          </w:p>
        </w:tc>
        <w:tc>
          <w:tcPr>
            <w:tcW w:w="756" w:type="dxa"/>
            <w:shd w:val="clear" w:color="auto" w:fill="D9D9D9" w:themeFill="background1" w:themeFillShade="D9"/>
            <w:vAlign w:val="center"/>
          </w:tcPr>
          <w:p w14:paraId="37174221"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56,9</w:t>
            </w:r>
          </w:p>
        </w:tc>
      </w:tr>
      <w:tr w:rsidR="008A5463" w:rsidRPr="002D4420" w14:paraId="6E1E6CF0" w14:textId="77777777" w:rsidTr="00E006F9">
        <w:trPr>
          <w:cantSplit/>
          <w:trHeight w:hRule="exact" w:val="255"/>
        </w:trPr>
        <w:tc>
          <w:tcPr>
            <w:tcW w:w="1488" w:type="dxa"/>
            <w:tcBorders>
              <w:bottom w:val="single" w:sz="4" w:space="0" w:color="auto"/>
            </w:tcBorders>
            <w:shd w:val="clear" w:color="auto" w:fill="auto"/>
            <w:noWrap/>
            <w:vAlign w:val="center"/>
          </w:tcPr>
          <w:p w14:paraId="402F62C6"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Irlanda</w:t>
            </w:r>
          </w:p>
        </w:tc>
        <w:tc>
          <w:tcPr>
            <w:tcW w:w="797" w:type="dxa"/>
            <w:tcBorders>
              <w:bottom w:val="single" w:sz="4" w:space="0" w:color="auto"/>
            </w:tcBorders>
            <w:shd w:val="clear" w:color="auto" w:fill="D9D9D9" w:themeFill="background1" w:themeFillShade="D9"/>
            <w:noWrap/>
            <w:vAlign w:val="center"/>
          </w:tcPr>
          <w:p w14:paraId="74ED1C2B"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212</w:t>
            </w:r>
          </w:p>
        </w:tc>
        <w:tc>
          <w:tcPr>
            <w:tcW w:w="798" w:type="dxa"/>
            <w:tcBorders>
              <w:bottom w:val="single" w:sz="4" w:space="0" w:color="auto"/>
            </w:tcBorders>
            <w:shd w:val="clear" w:color="auto" w:fill="auto"/>
            <w:noWrap/>
            <w:vAlign w:val="center"/>
          </w:tcPr>
          <w:p w14:paraId="475EA072"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140</w:t>
            </w:r>
          </w:p>
        </w:tc>
        <w:tc>
          <w:tcPr>
            <w:tcW w:w="797" w:type="dxa"/>
            <w:tcBorders>
              <w:bottom w:val="single" w:sz="4" w:space="0" w:color="auto"/>
            </w:tcBorders>
            <w:shd w:val="clear" w:color="auto" w:fill="D9D9D9" w:themeFill="background1" w:themeFillShade="D9"/>
            <w:vAlign w:val="center"/>
          </w:tcPr>
          <w:p w14:paraId="143E14F3" w14:textId="0891BBD9"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14</w:t>
            </w:r>
            <w:r w:rsidR="007539BD">
              <w:rPr>
                <w:rFonts w:ascii="Arial Narrow" w:hAnsi="Arial Narrow" w:cs="Arial Narrow"/>
                <w:color w:val="000000"/>
                <w:sz w:val="18"/>
                <w:szCs w:val="18"/>
              </w:rPr>
              <w:t>7</w:t>
            </w:r>
          </w:p>
        </w:tc>
        <w:tc>
          <w:tcPr>
            <w:tcW w:w="798" w:type="dxa"/>
            <w:tcBorders>
              <w:bottom w:val="single" w:sz="4" w:space="0" w:color="auto"/>
            </w:tcBorders>
            <w:vAlign w:val="center"/>
          </w:tcPr>
          <w:p w14:paraId="2CB67875"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137</w:t>
            </w:r>
          </w:p>
        </w:tc>
        <w:tc>
          <w:tcPr>
            <w:tcW w:w="945" w:type="dxa"/>
            <w:tcBorders>
              <w:bottom w:val="single" w:sz="4" w:space="0" w:color="auto"/>
            </w:tcBorders>
            <w:shd w:val="clear" w:color="auto" w:fill="auto"/>
            <w:vAlign w:val="center"/>
          </w:tcPr>
          <w:p w14:paraId="6F37F39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-6,8</w:t>
            </w:r>
          </w:p>
        </w:tc>
        <w:tc>
          <w:tcPr>
            <w:tcW w:w="945" w:type="dxa"/>
            <w:tcBorders>
              <w:bottom w:val="single" w:sz="4" w:space="0" w:color="auto"/>
            </w:tcBorders>
            <w:shd w:val="clear" w:color="auto" w:fill="D9D9D9" w:themeFill="background1" w:themeFillShade="D9"/>
            <w:noWrap/>
            <w:vAlign w:val="center"/>
          </w:tcPr>
          <w:p w14:paraId="50891F47"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-2,1</w:t>
            </w:r>
          </w:p>
        </w:tc>
        <w:tc>
          <w:tcPr>
            <w:tcW w:w="945" w:type="dxa"/>
            <w:tcBorders>
              <w:bottom w:val="single" w:sz="4" w:space="0" w:color="auto"/>
            </w:tcBorders>
            <w:vAlign w:val="center"/>
          </w:tcPr>
          <w:p w14:paraId="3781D9CF"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-35,4</w:t>
            </w:r>
          </w:p>
        </w:tc>
        <w:tc>
          <w:tcPr>
            <w:tcW w:w="756" w:type="dxa"/>
            <w:tcBorders>
              <w:bottom w:val="single" w:sz="4" w:space="0" w:color="auto"/>
            </w:tcBorders>
            <w:vAlign w:val="center"/>
          </w:tcPr>
          <w:p w14:paraId="0B8DAD13"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46,6</w:t>
            </w:r>
          </w:p>
        </w:tc>
        <w:tc>
          <w:tcPr>
            <w:tcW w:w="756" w:type="dxa"/>
            <w:tcBorders>
              <w:bottom w:val="single" w:sz="4" w:space="0" w:color="auto"/>
            </w:tcBorders>
            <w:shd w:val="clear" w:color="auto" w:fill="auto"/>
            <w:vAlign w:val="center"/>
          </w:tcPr>
          <w:p w14:paraId="55356155"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30,0</w:t>
            </w:r>
          </w:p>
        </w:tc>
        <w:tc>
          <w:tcPr>
            <w:tcW w:w="756" w:type="dxa"/>
            <w:tcBorders>
              <w:bottom w:val="single" w:sz="4" w:space="0" w:color="auto"/>
            </w:tcBorders>
            <w:shd w:val="clear" w:color="auto" w:fill="D9D9D9" w:themeFill="background1" w:themeFillShade="D9"/>
            <w:vAlign w:val="center"/>
          </w:tcPr>
          <w:p w14:paraId="7BE3D2E4"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27,4</w:t>
            </w:r>
          </w:p>
        </w:tc>
      </w:tr>
      <w:tr w:rsidR="008A5463" w:rsidRPr="008A5463" w14:paraId="67FD1749" w14:textId="77777777" w:rsidTr="00E006F9">
        <w:trPr>
          <w:cantSplit/>
          <w:trHeight w:hRule="exact" w:val="255"/>
        </w:trPr>
        <w:tc>
          <w:tcPr>
            <w:tcW w:w="1488" w:type="dxa"/>
            <w:tcBorders>
              <w:bottom w:val="nil"/>
            </w:tcBorders>
            <w:shd w:val="clear" w:color="auto" w:fill="1F497D" w:themeFill="text2"/>
            <w:noWrap/>
            <w:vAlign w:val="center"/>
          </w:tcPr>
          <w:p w14:paraId="2046139F" w14:textId="77777777" w:rsidR="008A5463" w:rsidRPr="0081434A" w:rsidRDefault="008A5463" w:rsidP="008A5463">
            <w:pPr>
              <w:spacing w:before="40" w:after="20"/>
              <w:rPr>
                <w:rFonts w:ascii="Arial Narrow" w:hAnsi="Arial Narrow"/>
                <w:b/>
                <w:bCs/>
                <w:color w:val="FFFFFF"/>
                <w:sz w:val="18"/>
                <w:szCs w:val="18"/>
              </w:rPr>
            </w:pPr>
            <w:r w:rsidRPr="0081434A">
              <w:rPr>
                <w:rFonts w:ascii="Arial Narrow" w:hAnsi="Arial Narrow"/>
                <w:b/>
                <w:bCs/>
                <w:color w:val="FFFFFF"/>
                <w:sz w:val="18"/>
                <w:szCs w:val="18"/>
              </w:rPr>
              <w:t>Italia</w:t>
            </w:r>
          </w:p>
        </w:tc>
        <w:tc>
          <w:tcPr>
            <w:tcW w:w="797" w:type="dxa"/>
            <w:tcBorders>
              <w:bottom w:val="nil"/>
            </w:tcBorders>
            <w:shd w:val="clear" w:color="auto" w:fill="1F497D" w:themeFill="text2"/>
            <w:noWrap/>
            <w:vAlign w:val="center"/>
          </w:tcPr>
          <w:p w14:paraId="3B6B8BE9" w14:textId="77777777" w:rsidR="008A5463" w:rsidRPr="00314AB9" w:rsidRDefault="008A5463" w:rsidP="008A5463">
            <w:pPr>
              <w:ind w:right="113"/>
              <w:jc w:val="right"/>
              <w:rPr>
                <w:rFonts w:ascii="Arial Narrow" w:hAnsi="Arial Narrow"/>
                <w:b/>
                <w:bCs/>
                <w:color w:val="FFFFFF"/>
                <w:sz w:val="18"/>
                <w:szCs w:val="18"/>
              </w:rPr>
            </w:pPr>
            <w:r w:rsidRPr="00314AB9">
              <w:rPr>
                <w:rFonts w:ascii="Arial Narrow" w:hAnsi="Arial Narrow"/>
                <w:b/>
                <w:bCs/>
                <w:color w:val="FFFFFF"/>
                <w:sz w:val="18"/>
                <w:szCs w:val="18"/>
              </w:rPr>
              <w:t>4.114</w:t>
            </w:r>
          </w:p>
        </w:tc>
        <w:tc>
          <w:tcPr>
            <w:tcW w:w="798" w:type="dxa"/>
            <w:tcBorders>
              <w:bottom w:val="nil"/>
            </w:tcBorders>
            <w:shd w:val="clear" w:color="auto" w:fill="1F497D" w:themeFill="text2"/>
            <w:noWrap/>
            <w:vAlign w:val="center"/>
          </w:tcPr>
          <w:p w14:paraId="27E3389F" w14:textId="77777777" w:rsidR="008A5463" w:rsidRPr="00314AB9" w:rsidRDefault="008A5463" w:rsidP="008A5463">
            <w:pPr>
              <w:ind w:right="113"/>
              <w:jc w:val="right"/>
              <w:rPr>
                <w:rFonts w:ascii="Arial Narrow" w:hAnsi="Arial Narrow"/>
                <w:b/>
                <w:bCs/>
                <w:color w:val="FFFFFF"/>
                <w:sz w:val="18"/>
                <w:szCs w:val="18"/>
              </w:rPr>
            </w:pPr>
            <w:r w:rsidRPr="00314AB9">
              <w:rPr>
                <w:rFonts w:ascii="Arial Narrow" w:hAnsi="Arial Narrow"/>
                <w:b/>
                <w:bCs/>
                <w:color w:val="FFFFFF"/>
                <w:sz w:val="18"/>
                <w:szCs w:val="18"/>
              </w:rPr>
              <w:t>3.173</w:t>
            </w:r>
          </w:p>
        </w:tc>
        <w:tc>
          <w:tcPr>
            <w:tcW w:w="797" w:type="dxa"/>
            <w:tcBorders>
              <w:bottom w:val="nil"/>
            </w:tcBorders>
            <w:shd w:val="clear" w:color="auto" w:fill="1F497D" w:themeFill="text2"/>
            <w:vAlign w:val="center"/>
          </w:tcPr>
          <w:p w14:paraId="52FFF078" w14:textId="77777777" w:rsidR="008A5463" w:rsidRPr="00314AB9" w:rsidRDefault="008A5463" w:rsidP="008A5463">
            <w:pPr>
              <w:autoSpaceDE w:val="0"/>
              <w:autoSpaceDN w:val="0"/>
              <w:adjustRightInd w:val="0"/>
              <w:ind w:right="113"/>
              <w:jc w:val="right"/>
              <w:rPr>
                <w:rFonts w:ascii="Arial Narrow" w:hAnsi="Arial Narrow" w:cs="Arial Narrow"/>
                <w:b/>
                <w:bCs/>
                <w:color w:val="FFFFFF"/>
                <w:sz w:val="18"/>
                <w:szCs w:val="18"/>
              </w:rPr>
            </w:pPr>
            <w:r w:rsidRPr="00314AB9">
              <w:rPr>
                <w:rFonts w:ascii="Arial Narrow" w:hAnsi="Arial Narrow" w:cs="Arial Narrow"/>
                <w:b/>
                <w:bCs/>
                <w:color w:val="FFFFFF"/>
                <w:sz w:val="18"/>
                <w:szCs w:val="18"/>
              </w:rPr>
              <w:t>2.395</w:t>
            </w:r>
          </w:p>
        </w:tc>
        <w:tc>
          <w:tcPr>
            <w:tcW w:w="798" w:type="dxa"/>
            <w:tcBorders>
              <w:bottom w:val="nil"/>
            </w:tcBorders>
            <w:shd w:val="clear" w:color="auto" w:fill="1F497D" w:themeFill="text2"/>
            <w:vAlign w:val="center"/>
          </w:tcPr>
          <w:p w14:paraId="3FB91B16"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FFFFFF" w:themeColor="background1"/>
                <w:sz w:val="18"/>
                <w:szCs w:val="18"/>
              </w:rPr>
              <w:t>2.875</w:t>
            </w:r>
          </w:p>
        </w:tc>
        <w:tc>
          <w:tcPr>
            <w:tcW w:w="945" w:type="dxa"/>
            <w:tcBorders>
              <w:bottom w:val="nil"/>
            </w:tcBorders>
            <w:shd w:val="clear" w:color="auto" w:fill="1F497D" w:themeFill="text2"/>
            <w:vAlign w:val="center"/>
          </w:tcPr>
          <w:p w14:paraId="3B50FF9F" w14:textId="77777777" w:rsidR="008A5463" w:rsidRPr="002D2A45" w:rsidRDefault="008A5463" w:rsidP="008A5463">
            <w:pPr>
              <w:autoSpaceDE w:val="0"/>
              <w:autoSpaceDN w:val="0"/>
              <w:adjustRightInd w:val="0"/>
              <w:ind w:right="113"/>
              <w:jc w:val="right"/>
              <w:rPr>
                <w:rFonts w:ascii="Arial Narrow" w:hAnsi="Arial Narrow" w:cs="Arial Narrow"/>
                <w:b/>
                <w:bCs/>
                <w:color w:val="FFFFFF" w:themeColor="background1"/>
                <w:sz w:val="18"/>
                <w:szCs w:val="18"/>
              </w:rPr>
            </w:pPr>
            <w:r w:rsidRPr="002D2A45">
              <w:rPr>
                <w:rFonts w:ascii="Arial Narrow" w:hAnsi="Arial Narrow"/>
                <w:b/>
                <w:color w:val="FFFFFF" w:themeColor="background1"/>
                <w:sz w:val="18"/>
                <w:szCs w:val="18"/>
              </w:rPr>
              <w:t>+20,0</w:t>
            </w:r>
          </w:p>
        </w:tc>
        <w:tc>
          <w:tcPr>
            <w:tcW w:w="945" w:type="dxa"/>
            <w:tcBorders>
              <w:bottom w:val="nil"/>
            </w:tcBorders>
            <w:shd w:val="clear" w:color="auto" w:fill="1F497D" w:themeFill="text2"/>
            <w:noWrap/>
            <w:vAlign w:val="center"/>
          </w:tcPr>
          <w:p w14:paraId="2D6B4E6E" w14:textId="77777777" w:rsidR="008A5463" w:rsidRPr="002D2A45" w:rsidRDefault="008A5463" w:rsidP="008A5463">
            <w:pPr>
              <w:autoSpaceDE w:val="0"/>
              <w:autoSpaceDN w:val="0"/>
              <w:adjustRightInd w:val="0"/>
              <w:ind w:right="113"/>
              <w:jc w:val="right"/>
              <w:rPr>
                <w:rFonts w:ascii="Arial Narrow" w:hAnsi="Arial Narrow" w:cs="Arial Narrow"/>
                <w:b/>
                <w:bCs/>
                <w:color w:val="FFFFFF" w:themeColor="background1"/>
                <w:sz w:val="18"/>
                <w:szCs w:val="18"/>
              </w:rPr>
            </w:pPr>
            <w:r w:rsidRPr="002D2A45">
              <w:rPr>
                <w:rFonts w:ascii="Arial Narrow" w:hAnsi="Arial Narrow"/>
                <w:b/>
                <w:color w:val="FFFFFF" w:themeColor="background1"/>
                <w:sz w:val="18"/>
                <w:szCs w:val="18"/>
              </w:rPr>
              <w:t>-9,4</w:t>
            </w:r>
          </w:p>
        </w:tc>
        <w:tc>
          <w:tcPr>
            <w:tcW w:w="945" w:type="dxa"/>
            <w:tcBorders>
              <w:bottom w:val="nil"/>
            </w:tcBorders>
            <w:shd w:val="clear" w:color="auto" w:fill="1F497D" w:themeFill="text2"/>
            <w:vAlign w:val="center"/>
          </w:tcPr>
          <w:p w14:paraId="08AC995F" w14:textId="77777777" w:rsidR="008A5463" w:rsidRPr="002D2A45"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2D2A45">
              <w:rPr>
                <w:rFonts w:ascii="Arial Narrow" w:hAnsi="Arial Narrow"/>
                <w:b/>
                <w:color w:val="FFFFFF" w:themeColor="background1"/>
                <w:sz w:val="18"/>
                <w:szCs w:val="18"/>
              </w:rPr>
              <w:t>-30,1</w:t>
            </w:r>
          </w:p>
        </w:tc>
        <w:tc>
          <w:tcPr>
            <w:tcW w:w="756" w:type="dxa"/>
            <w:tcBorders>
              <w:bottom w:val="nil"/>
            </w:tcBorders>
            <w:shd w:val="clear" w:color="auto" w:fill="1F497D" w:themeFill="text2"/>
            <w:vAlign w:val="center"/>
          </w:tcPr>
          <w:p w14:paraId="608488F5" w14:textId="77777777" w:rsidR="008A5463" w:rsidRPr="00605152"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605152">
              <w:rPr>
                <w:rFonts w:ascii="Arial Narrow" w:hAnsi="Arial Narrow" w:cs="Arial Narrow"/>
                <w:b/>
                <w:color w:val="FFFFFF" w:themeColor="background1"/>
                <w:sz w:val="18"/>
                <w:szCs w:val="18"/>
              </w:rPr>
              <w:t>69,5</w:t>
            </w:r>
          </w:p>
        </w:tc>
        <w:tc>
          <w:tcPr>
            <w:tcW w:w="756" w:type="dxa"/>
            <w:tcBorders>
              <w:bottom w:val="nil"/>
            </w:tcBorders>
            <w:shd w:val="clear" w:color="auto" w:fill="1F497D" w:themeFill="text2"/>
            <w:vAlign w:val="center"/>
          </w:tcPr>
          <w:p w14:paraId="578708BA" w14:textId="77777777" w:rsidR="008A5463" w:rsidRPr="00605152"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605152">
              <w:rPr>
                <w:rFonts w:ascii="Arial Narrow" w:hAnsi="Arial Narrow" w:cs="Arial Narrow"/>
                <w:b/>
                <w:color w:val="FFFFFF" w:themeColor="background1"/>
                <w:sz w:val="18"/>
                <w:szCs w:val="18"/>
              </w:rPr>
              <w:t>40,3</w:t>
            </w:r>
          </w:p>
        </w:tc>
        <w:tc>
          <w:tcPr>
            <w:tcW w:w="756" w:type="dxa"/>
            <w:tcBorders>
              <w:bottom w:val="nil"/>
            </w:tcBorders>
            <w:shd w:val="clear" w:color="auto" w:fill="1F497D" w:themeFill="text2"/>
            <w:vAlign w:val="center"/>
          </w:tcPr>
          <w:p w14:paraId="7266ACB9" w14:textId="77777777" w:rsidR="008A5463" w:rsidRPr="00620A14"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620A14">
              <w:rPr>
                <w:rFonts w:ascii="Arial Narrow" w:hAnsi="Arial Narrow"/>
                <w:b/>
                <w:color w:val="FFFFFF" w:themeColor="background1"/>
                <w:sz w:val="18"/>
                <w:szCs w:val="18"/>
              </w:rPr>
              <w:t>48,</w:t>
            </w:r>
            <w:r w:rsidR="0079084C" w:rsidRPr="00620A14">
              <w:rPr>
                <w:rFonts w:ascii="Arial Narrow" w:hAnsi="Arial Narrow"/>
                <w:b/>
                <w:color w:val="FFFFFF" w:themeColor="background1"/>
                <w:sz w:val="18"/>
                <w:szCs w:val="18"/>
              </w:rPr>
              <w:t>6</w:t>
            </w:r>
          </w:p>
        </w:tc>
      </w:tr>
      <w:tr w:rsidR="008A5463" w:rsidRPr="00A73D9D" w14:paraId="1E29CC06" w14:textId="77777777" w:rsidTr="00E006F9">
        <w:trPr>
          <w:cantSplit/>
          <w:trHeight w:hRule="exact" w:val="255"/>
        </w:trPr>
        <w:tc>
          <w:tcPr>
            <w:tcW w:w="1488" w:type="dxa"/>
            <w:tcBorders>
              <w:top w:val="nil"/>
            </w:tcBorders>
            <w:shd w:val="clear" w:color="auto" w:fill="auto"/>
            <w:noWrap/>
            <w:vAlign w:val="center"/>
          </w:tcPr>
          <w:p w14:paraId="737342E1"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Lettonia</w:t>
            </w:r>
          </w:p>
        </w:tc>
        <w:tc>
          <w:tcPr>
            <w:tcW w:w="797" w:type="dxa"/>
            <w:tcBorders>
              <w:top w:val="nil"/>
            </w:tcBorders>
            <w:shd w:val="clear" w:color="auto" w:fill="D9D9D9" w:themeFill="background1" w:themeFillShade="D9"/>
            <w:noWrap/>
            <w:vAlign w:val="center"/>
          </w:tcPr>
          <w:p w14:paraId="27D99924"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218</w:t>
            </w:r>
          </w:p>
        </w:tc>
        <w:tc>
          <w:tcPr>
            <w:tcW w:w="798" w:type="dxa"/>
            <w:tcBorders>
              <w:top w:val="nil"/>
            </w:tcBorders>
            <w:shd w:val="clear" w:color="auto" w:fill="auto"/>
            <w:noWrap/>
            <w:vAlign w:val="center"/>
          </w:tcPr>
          <w:p w14:paraId="61D4C707"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132</w:t>
            </w:r>
          </w:p>
        </w:tc>
        <w:tc>
          <w:tcPr>
            <w:tcW w:w="797" w:type="dxa"/>
            <w:tcBorders>
              <w:top w:val="nil"/>
            </w:tcBorders>
            <w:shd w:val="clear" w:color="auto" w:fill="D9D9D9" w:themeFill="background1" w:themeFillShade="D9"/>
            <w:vAlign w:val="center"/>
          </w:tcPr>
          <w:p w14:paraId="3AE4464A" w14:textId="4C2D141D" w:rsidR="008A5463" w:rsidRPr="00314AB9" w:rsidRDefault="007539BD"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s="Arial Narrow"/>
                <w:color w:val="000000"/>
                <w:sz w:val="18"/>
                <w:szCs w:val="18"/>
              </w:rPr>
              <w:t>175</w:t>
            </w:r>
          </w:p>
        </w:tc>
        <w:tc>
          <w:tcPr>
            <w:tcW w:w="798" w:type="dxa"/>
            <w:tcBorders>
              <w:top w:val="nil"/>
            </w:tcBorders>
            <w:vAlign w:val="center"/>
          </w:tcPr>
          <w:p w14:paraId="62694A31"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147</w:t>
            </w:r>
          </w:p>
        </w:tc>
        <w:tc>
          <w:tcPr>
            <w:tcW w:w="945" w:type="dxa"/>
            <w:tcBorders>
              <w:top w:val="nil"/>
            </w:tcBorders>
            <w:shd w:val="clear" w:color="auto" w:fill="auto"/>
            <w:vAlign w:val="center"/>
          </w:tcPr>
          <w:p w14:paraId="7C501450"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-16,0</w:t>
            </w:r>
          </w:p>
        </w:tc>
        <w:tc>
          <w:tcPr>
            <w:tcW w:w="945" w:type="dxa"/>
            <w:tcBorders>
              <w:top w:val="nil"/>
            </w:tcBorders>
            <w:shd w:val="clear" w:color="auto" w:fill="D9D9D9" w:themeFill="background1" w:themeFillShade="D9"/>
            <w:noWrap/>
            <w:vAlign w:val="center"/>
          </w:tcPr>
          <w:p w14:paraId="27282B16"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-21,0</w:t>
            </w:r>
          </w:p>
        </w:tc>
        <w:tc>
          <w:tcPr>
            <w:tcW w:w="945" w:type="dxa"/>
            <w:tcBorders>
              <w:top w:val="nil"/>
            </w:tcBorders>
            <w:vAlign w:val="center"/>
          </w:tcPr>
          <w:p w14:paraId="4B09C5BB"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-32,6</w:t>
            </w:r>
          </w:p>
        </w:tc>
        <w:tc>
          <w:tcPr>
            <w:tcW w:w="756" w:type="dxa"/>
            <w:tcBorders>
              <w:top w:val="nil"/>
            </w:tcBorders>
            <w:vAlign w:val="center"/>
          </w:tcPr>
          <w:p w14:paraId="50F36F80"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102,8</w:t>
            </w:r>
          </w:p>
        </w:tc>
        <w:tc>
          <w:tcPr>
            <w:tcW w:w="756" w:type="dxa"/>
            <w:tcBorders>
              <w:top w:val="nil"/>
            </w:tcBorders>
            <w:shd w:val="clear" w:color="auto" w:fill="auto"/>
            <w:vAlign w:val="center"/>
          </w:tcPr>
          <w:p w14:paraId="26094FCD"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72,9</w:t>
            </w:r>
          </w:p>
        </w:tc>
        <w:tc>
          <w:tcPr>
            <w:tcW w:w="756" w:type="dxa"/>
            <w:tcBorders>
              <w:top w:val="nil"/>
            </w:tcBorders>
            <w:shd w:val="clear" w:color="auto" w:fill="D9D9D9" w:themeFill="background1" w:themeFillShade="D9"/>
            <w:vAlign w:val="center"/>
          </w:tcPr>
          <w:p w14:paraId="4E473E31"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52,6</w:t>
            </w:r>
          </w:p>
        </w:tc>
      </w:tr>
      <w:tr w:rsidR="008A5463" w:rsidRPr="00A73D9D" w14:paraId="1D493F0B" w14:textId="77777777" w:rsidTr="00D15CEE">
        <w:trPr>
          <w:cantSplit/>
          <w:trHeight w:hRule="exact" w:val="255"/>
        </w:trPr>
        <w:tc>
          <w:tcPr>
            <w:tcW w:w="1488" w:type="dxa"/>
            <w:shd w:val="clear" w:color="auto" w:fill="auto"/>
            <w:noWrap/>
            <w:vAlign w:val="center"/>
          </w:tcPr>
          <w:p w14:paraId="4484BD13"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Lituania</w:t>
            </w:r>
          </w:p>
        </w:tc>
        <w:tc>
          <w:tcPr>
            <w:tcW w:w="797" w:type="dxa"/>
            <w:shd w:val="clear" w:color="auto" w:fill="D9D9D9" w:themeFill="background1" w:themeFillShade="D9"/>
            <w:noWrap/>
            <w:vAlign w:val="center"/>
          </w:tcPr>
          <w:p w14:paraId="335652E7"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32</w:t>
            </w:r>
          </w:p>
        </w:tc>
        <w:tc>
          <w:tcPr>
            <w:tcW w:w="798" w:type="dxa"/>
            <w:shd w:val="clear" w:color="auto" w:fill="auto"/>
            <w:noWrap/>
            <w:vAlign w:val="center"/>
          </w:tcPr>
          <w:p w14:paraId="11B728F5"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22</w:t>
            </w:r>
          </w:p>
        </w:tc>
        <w:tc>
          <w:tcPr>
            <w:tcW w:w="797" w:type="dxa"/>
            <w:shd w:val="clear" w:color="auto" w:fill="D9D9D9" w:themeFill="background1" w:themeFillShade="D9"/>
            <w:vAlign w:val="center"/>
          </w:tcPr>
          <w:p w14:paraId="3AAB0BF5"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26</w:t>
            </w:r>
          </w:p>
        </w:tc>
        <w:tc>
          <w:tcPr>
            <w:tcW w:w="798" w:type="dxa"/>
            <w:vAlign w:val="center"/>
          </w:tcPr>
          <w:p w14:paraId="4EF67E62"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24</w:t>
            </w:r>
          </w:p>
        </w:tc>
        <w:tc>
          <w:tcPr>
            <w:tcW w:w="945" w:type="dxa"/>
            <w:shd w:val="clear" w:color="auto" w:fill="auto"/>
            <w:vAlign w:val="center"/>
          </w:tcPr>
          <w:p w14:paraId="615B6146"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-7,7</w:t>
            </w:r>
          </w:p>
        </w:tc>
        <w:tc>
          <w:tcPr>
            <w:tcW w:w="945" w:type="dxa"/>
            <w:shd w:val="clear" w:color="auto" w:fill="D9D9D9" w:themeFill="background1" w:themeFillShade="D9"/>
            <w:noWrap/>
            <w:vAlign w:val="center"/>
          </w:tcPr>
          <w:p w14:paraId="09AF94F2"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9,1</w:t>
            </w:r>
          </w:p>
        </w:tc>
        <w:tc>
          <w:tcPr>
            <w:tcW w:w="945" w:type="dxa"/>
            <w:vAlign w:val="center"/>
          </w:tcPr>
          <w:p w14:paraId="2FF1CB93"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-25,0</w:t>
            </w:r>
          </w:p>
        </w:tc>
        <w:tc>
          <w:tcPr>
            <w:tcW w:w="756" w:type="dxa"/>
            <w:vAlign w:val="center"/>
          </w:tcPr>
          <w:p w14:paraId="6A1BA110"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95,2</w:t>
            </w:r>
          </w:p>
        </w:tc>
        <w:tc>
          <w:tcPr>
            <w:tcW w:w="756" w:type="dxa"/>
            <w:shd w:val="clear" w:color="auto" w:fill="auto"/>
            <w:vAlign w:val="center"/>
          </w:tcPr>
          <w:p w14:paraId="40FEDAC6"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62,6</w:t>
            </w:r>
          </w:p>
        </w:tc>
        <w:tc>
          <w:tcPr>
            <w:tcW w:w="756" w:type="dxa"/>
            <w:shd w:val="clear" w:color="auto" w:fill="D9D9D9" w:themeFill="background1" w:themeFillShade="D9"/>
            <w:vAlign w:val="center"/>
          </w:tcPr>
          <w:p w14:paraId="0C1BB05B"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37,8</w:t>
            </w:r>
          </w:p>
        </w:tc>
      </w:tr>
      <w:tr w:rsidR="008A5463" w:rsidRPr="00A73D9D" w14:paraId="281C7CB7" w14:textId="77777777" w:rsidTr="00D15CEE">
        <w:trPr>
          <w:cantSplit/>
          <w:trHeight w:hRule="exact" w:val="255"/>
        </w:trPr>
        <w:tc>
          <w:tcPr>
            <w:tcW w:w="1488" w:type="dxa"/>
            <w:shd w:val="clear" w:color="auto" w:fill="auto"/>
            <w:noWrap/>
            <w:vAlign w:val="center"/>
          </w:tcPr>
          <w:p w14:paraId="1E045460"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Lussemburgo</w:t>
            </w:r>
          </w:p>
        </w:tc>
        <w:tc>
          <w:tcPr>
            <w:tcW w:w="797" w:type="dxa"/>
            <w:shd w:val="clear" w:color="auto" w:fill="D9D9D9" w:themeFill="background1" w:themeFillShade="D9"/>
            <w:noWrap/>
            <w:vAlign w:val="center"/>
          </w:tcPr>
          <w:p w14:paraId="2725B660"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299</w:t>
            </w:r>
          </w:p>
        </w:tc>
        <w:tc>
          <w:tcPr>
            <w:tcW w:w="798" w:type="dxa"/>
            <w:shd w:val="clear" w:color="auto" w:fill="auto"/>
            <w:noWrap/>
            <w:vAlign w:val="center"/>
          </w:tcPr>
          <w:p w14:paraId="6CD24FF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186</w:t>
            </w:r>
          </w:p>
        </w:tc>
        <w:tc>
          <w:tcPr>
            <w:tcW w:w="797" w:type="dxa"/>
            <w:shd w:val="clear" w:color="auto" w:fill="D9D9D9" w:themeFill="background1" w:themeFillShade="D9"/>
            <w:vAlign w:val="center"/>
          </w:tcPr>
          <w:p w14:paraId="5B53E2A5" w14:textId="3F4E6538" w:rsidR="008A5463" w:rsidRPr="00314AB9" w:rsidRDefault="007539BD"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s="Arial Narrow"/>
                <w:color w:val="000000"/>
                <w:sz w:val="18"/>
                <w:szCs w:val="18"/>
              </w:rPr>
              <w:t>139</w:t>
            </w:r>
          </w:p>
        </w:tc>
        <w:tc>
          <w:tcPr>
            <w:tcW w:w="798" w:type="dxa"/>
            <w:vAlign w:val="center"/>
          </w:tcPr>
          <w:p w14:paraId="3C2ABB45"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147</w:t>
            </w:r>
          </w:p>
        </w:tc>
        <w:tc>
          <w:tcPr>
            <w:tcW w:w="945" w:type="dxa"/>
            <w:shd w:val="clear" w:color="auto" w:fill="auto"/>
            <w:vAlign w:val="center"/>
          </w:tcPr>
          <w:p w14:paraId="4E5F0C0D"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5,8</w:t>
            </w:r>
          </w:p>
        </w:tc>
        <w:tc>
          <w:tcPr>
            <w:tcW w:w="945" w:type="dxa"/>
            <w:shd w:val="clear" w:color="auto" w:fill="D9D9D9" w:themeFill="background1" w:themeFillShade="D9"/>
            <w:noWrap/>
            <w:vAlign w:val="center"/>
          </w:tcPr>
          <w:p w14:paraId="2F5E1B3A"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11,4</w:t>
            </w:r>
          </w:p>
        </w:tc>
        <w:tc>
          <w:tcPr>
            <w:tcW w:w="945" w:type="dxa"/>
            <w:vAlign w:val="center"/>
          </w:tcPr>
          <w:p w14:paraId="48474501"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-50,8</w:t>
            </w:r>
          </w:p>
        </w:tc>
        <w:tc>
          <w:tcPr>
            <w:tcW w:w="756" w:type="dxa"/>
            <w:vAlign w:val="center"/>
          </w:tcPr>
          <w:p w14:paraId="712F1565"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63,7</w:t>
            </w:r>
          </w:p>
        </w:tc>
        <w:tc>
          <w:tcPr>
            <w:tcW w:w="756" w:type="dxa"/>
            <w:shd w:val="clear" w:color="auto" w:fill="auto"/>
            <w:vAlign w:val="center"/>
          </w:tcPr>
          <w:p w14:paraId="3654C252"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41,5</w:t>
            </w:r>
          </w:p>
        </w:tc>
        <w:tc>
          <w:tcPr>
            <w:tcW w:w="756" w:type="dxa"/>
            <w:shd w:val="clear" w:color="auto" w:fill="D9D9D9" w:themeFill="background1" w:themeFillShade="D9"/>
            <w:vAlign w:val="center"/>
          </w:tcPr>
          <w:p w14:paraId="6CAF9CBA"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77,6</w:t>
            </w:r>
          </w:p>
        </w:tc>
      </w:tr>
      <w:tr w:rsidR="008A5463" w:rsidRPr="00A73D9D" w14:paraId="0B70F33B" w14:textId="77777777" w:rsidTr="00D15CEE">
        <w:trPr>
          <w:cantSplit/>
          <w:trHeight w:hRule="exact" w:val="255"/>
        </w:trPr>
        <w:tc>
          <w:tcPr>
            <w:tcW w:w="1488" w:type="dxa"/>
            <w:shd w:val="clear" w:color="auto" w:fill="auto"/>
            <w:noWrap/>
            <w:vAlign w:val="center"/>
          </w:tcPr>
          <w:p w14:paraId="67E936BE"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Malta</w:t>
            </w:r>
          </w:p>
        </w:tc>
        <w:tc>
          <w:tcPr>
            <w:tcW w:w="797" w:type="dxa"/>
            <w:shd w:val="clear" w:color="auto" w:fill="D9D9D9" w:themeFill="background1" w:themeFillShade="D9"/>
            <w:noWrap/>
            <w:vAlign w:val="center"/>
          </w:tcPr>
          <w:p w14:paraId="78E6150D"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15</w:t>
            </w:r>
          </w:p>
        </w:tc>
        <w:tc>
          <w:tcPr>
            <w:tcW w:w="798" w:type="dxa"/>
            <w:shd w:val="clear" w:color="auto" w:fill="auto"/>
            <w:noWrap/>
            <w:vAlign w:val="center"/>
          </w:tcPr>
          <w:p w14:paraId="2DC2817E"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16</w:t>
            </w:r>
          </w:p>
        </w:tc>
        <w:tc>
          <w:tcPr>
            <w:tcW w:w="797" w:type="dxa"/>
            <w:shd w:val="clear" w:color="auto" w:fill="D9D9D9" w:themeFill="background1" w:themeFillShade="D9"/>
            <w:vAlign w:val="center"/>
          </w:tcPr>
          <w:p w14:paraId="19EE9CA9"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12</w:t>
            </w:r>
          </w:p>
        </w:tc>
        <w:tc>
          <w:tcPr>
            <w:tcW w:w="798" w:type="dxa"/>
            <w:vAlign w:val="center"/>
          </w:tcPr>
          <w:p w14:paraId="71FCC9B8"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9</w:t>
            </w:r>
          </w:p>
        </w:tc>
        <w:tc>
          <w:tcPr>
            <w:tcW w:w="945" w:type="dxa"/>
            <w:shd w:val="clear" w:color="auto" w:fill="auto"/>
            <w:vAlign w:val="center"/>
          </w:tcPr>
          <w:p w14:paraId="09D39F3E"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-25,0</w:t>
            </w:r>
          </w:p>
        </w:tc>
        <w:tc>
          <w:tcPr>
            <w:tcW w:w="945" w:type="dxa"/>
            <w:shd w:val="clear" w:color="auto" w:fill="D9D9D9" w:themeFill="background1" w:themeFillShade="D9"/>
            <w:noWrap/>
            <w:vAlign w:val="center"/>
          </w:tcPr>
          <w:p w14:paraId="1690C9B2"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-43,8</w:t>
            </w:r>
          </w:p>
        </w:tc>
        <w:tc>
          <w:tcPr>
            <w:tcW w:w="945" w:type="dxa"/>
            <w:vAlign w:val="center"/>
          </w:tcPr>
          <w:p w14:paraId="4B965FAB"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-40,0</w:t>
            </w:r>
          </w:p>
        </w:tc>
        <w:tc>
          <w:tcPr>
            <w:tcW w:w="756" w:type="dxa"/>
            <w:vAlign w:val="center"/>
          </w:tcPr>
          <w:p w14:paraId="62E11130"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36,2</w:t>
            </w:r>
          </w:p>
        </w:tc>
        <w:tc>
          <w:tcPr>
            <w:tcW w:w="756" w:type="dxa"/>
            <w:shd w:val="clear" w:color="auto" w:fill="auto"/>
            <w:vAlign w:val="center"/>
          </w:tcPr>
          <w:p w14:paraId="6F5D581E"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23,3</w:t>
            </w:r>
          </w:p>
        </w:tc>
        <w:tc>
          <w:tcPr>
            <w:tcW w:w="756" w:type="dxa"/>
            <w:shd w:val="clear" w:color="auto" w:fill="D9D9D9" w:themeFill="background1" w:themeFillShade="D9"/>
            <w:vAlign w:val="center"/>
          </w:tcPr>
          <w:p w14:paraId="6B0A7680"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17,4</w:t>
            </w:r>
          </w:p>
        </w:tc>
      </w:tr>
      <w:tr w:rsidR="008A5463" w:rsidRPr="00A73D9D" w14:paraId="390B68FF" w14:textId="77777777" w:rsidTr="00D15CEE">
        <w:trPr>
          <w:cantSplit/>
          <w:trHeight w:hRule="exact" w:val="255"/>
        </w:trPr>
        <w:tc>
          <w:tcPr>
            <w:tcW w:w="1488" w:type="dxa"/>
            <w:shd w:val="clear" w:color="auto" w:fill="auto"/>
            <w:noWrap/>
            <w:vAlign w:val="center"/>
          </w:tcPr>
          <w:p w14:paraId="072FD31D"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Paesi Bassi</w:t>
            </w:r>
          </w:p>
        </w:tc>
        <w:tc>
          <w:tcPr>
            <w:tcW w:w="797" w:type="dxa"/>
            <w:shd w:val="clear" w:color="auto" w:fill="D9D9D9" w:themeFill="background1" w:themeFillShade="D9"/>
            <w:noWrap/>
            <w:vAlign w:val="center"/>
          </w:tcPr>
          <w:p w14:paraId="50C2A73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640</w:t>
            </w:r>
          </w:p>
        </w:tc>
        <w:tc>
          <w:tcPr>
            <w:tcW w:w="798" w:type="dxa"/>
            <w:shd w:val="clear" w:color="auto" w:fill="auto"/>
            <w:noWrap/>
            <w:vAlign w:val="center"/>
          </w:tcPr>
          <w:p w14:paraId="56970011"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661</w:t>
            </w:r>
          </w:p>
        </w:tc>
        <w:tc>
          <w:tcPr>
            <w:tcW w:w="797" w:type="dxa"/>
            <w:shd w:val="clear" w:color="auto" w:fill="D9D9D9" w:themeFill="background1" w:themeFillShade="D9"/>
            <w:vAlign w:val="center"/>
          </w:tcPr>
          <w:p w14:paraId="79EA6064"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610</w:t>
            </w:r>
          </w:p>
        </w:tc>
        <w:tc>
          <w:tcPr>
            <w:tcW w:w="798" w:type="dxa"/>
            <w:vAlign w:val="center"/>
          </w:tcPr>
          <w:p w14:paraId="2F80E2D3"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582</w:t>
            </w:r>
          </w:p>
        </w:tc>
        <w:tc>
          <w:tcPr>
            <w:tcW w:w="945" w:type="dxa"/>
            <w:shd w:val="clear" w:color="auto" w:fill="auto"/>
            <w:vAlign w:val="center"/>
          </w:tcPr>
          <w:p w14:paraId="7E8A944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-4,6</w:t>
            </w:r>
          </w:p>
        </w:tc>
        <w:tc>
          <w:tcPr>
            <w:tcW w:w="945" w:type="dxa"/>
            <w:shd w:val="clear" w:color="auto" w:fill="D9D9D9" w:themeFill="background1" w:themeFillShade="D9"/>
            <w:noWrap/>
            <w:vAlign w:val="center"/>
          </w:tcPr>
          <w:p w14:paraId="2567BA58"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-12,0</w:t>
            </w:r>
          </w:p>
        </w:tc>
        <w:tc>
          <w:tcPr>
            <w:tcW w:w="945" w:type="dxa"/>
            <w:vAlign w:val="center"/>
          </w:tcPr>
          <w:p w14:paraId="1764855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-9,1</w:t>
            </w:r>
          </w:p>
        </w:tc>
        <w:tc>
          <w:tcPr>
            <w:tcW w:w="756" w:type="dxa"/>
            <w:vAlign w:val="center"/>
          </w:tcPr>
          <w:p w14:paraId="065BCCAC"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38,6</w:t>
            </w:r>
          </w:p>
        </w:tc>
        <w:tc>
          <w:tcPr>
            <w:tcW w:w="756" w:type="dxa"/>
            <w:shd w:val="clear" w:color="auto" w:fill="auto"/>
            <w:vAlign w:val="center"/>
          </w:tcPr>
          <w:p w14:paraId="0AC79E35"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35,0</w:t>
            </w:r>
          </w:p>
        </w:tc>
        <w:tc>
          <w:tcPr>
            <w:tcW w:w="756" w:type="dxa"/>
            <w:shd w:val="clear" w:color="auto" w:fill="D9D9D9" w:themeFill="background1" w:themeFillShade="D9"/>
            <w:vAlign w:val="center"/>
          </w:tcPr>
          <w:p w14:paraId="270D01D1"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33,3</w:t>
            </w:r>
          </w:p>
        </w:tc>
      </w:tr>
      <w:tr w:rsidR="008A5463" w:rsidRPr="00A73D9D" w14:paraId="048919BC" w14:textId="77777777" w:rsidTr="00D15CEE">
        <w:trPr>
          <w:cantSplit/>
          <w:trHeight w:hRule="exact" w:val="255"/>
        </w:trPr>
        <w:tc>
          <w:tcPr>
            <w:tcW w:w="1488" w:type="dxa"/>
            <w:shd w:val="clear" w:color="auto" w:fill="auto"/>
            <w:noWrap/>
            <w:vAlign w:val="center"/>
          </w:tcPr>
          <w:p w14:paraId="05C7CFB7"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Polonia</w:t>
            </w:r>
          </w:p>
        </w:tc>
        <w:tc>
          <w:tcPr>
            <w:tcW w:w="797" w:type="dxa"/>
            <w:shd w:val="clear" w:color="auto" w:fill="D9D9D9" w:themeFill="background1" w:themeFillShade="D9"/>
            <w:noWrap/>
            <w:vAlign w:val="center"/>
          </w:tcPr>
          <w:p w14:paraId="5D78411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3.907</w:t>
            </w:r>
          </w:p>
        </w:tc>
        <w:tc>
          <w:tcPr>
            <w:tcW w:w="798" w:type="dxa"/>
            <w:shd w:val="clear" w:color="auto" w:fill="auto"/>
            <w:noWrap/>
            <w:vAlign w:val="center"/>
          </w:tcPr>
          <w:p w14:paraId="69673174"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2.909</w:t>
            </w:r>
          </w:p>
        </w:tc>
        <w:tc>
          <w:tcPr>
            <w:tcW w:w="797" w:type="dxa"/>
            <w:shd w:val="clear" w:color="auto" w:fill="D9D9D9" w:themeFill="background1" w:themeFillShade="D9"/>
            <w:vAlign w:val="center"/>
          </w:tcPr>
          <w:p w14:paraId="36E11E43"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2.491</w:t>
            </w:r>
          </w:p>
        </w:tc>
        <w:tc>
          <w:tcPr>
            <w:tcW w:w="798" w:type="dxa"/>
            <w:vAlign w:val="center"/>
          </w:tcPr>
          <w:p w14:paraId="7552B220"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2.245</w:t>
            </w:r>
          </w:p>
        </w:tc>
        <w:tc>
          <w:tcPr>
            <w:tcW w:w="945" w:type="dxa"/>
            <w:shd w:val="clear" w:color="auto" w:fill="auto"/>
            <w:vAlign w:val="center"/>
          </w:tcPr>
          <w:p w14:paraId="008861E7"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-9,9</w:t>
            </w:r>
          </w:p>
        </w:tc>
        <w:tc>
          <w:tcPr>
            <w:tcW w:w="945" w:type="dxa"/>
            <w:shd w:val="clear" w:color="auto" w:fill="D9D9D9" w:themeFill="background1" w:themeFillShade="D9"/>
            <w:noWrap/>
            <w:vAlign w:val="center"/>
          </w:tcPr>
          <w:p w14:paraId="0B207A2B"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-22,8</w:t>
            </w:r>
          </w:p>
        </w:tc>
        <w:tc>
          <w:tcPr>
            <w:tcW w:w="945" w:type="dxa"/>
            <w:vAlign w:val="center"/>
          </w:tcPr>
          <w:p w14:paraId="77FB6D48"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-42,5</w:t>
            </w:r>
          </w:p>
        </w:tc>
        <w:tc>
          <w:tcPr>
            <w:tcW w:w="756" w:type="dxa"/>
            <w:vAlign w:val="center"/>
          </w:tcPr>
          <w:p w14:paraId="039C4833"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102,4</w:t>
            </w:r>
          </w:p>
        </w:tc>
        <w:tc>
          <w:tcPr>
            <w:tcW w:w="756" w:type="dxa"/>
            <w:shd w:val="clear" w:color="auto" w:fill="auto"/>
            <w:vAlign w:val="center"/>
          </w:tcPr>
          <w:p w14:paraId="1D8A9117"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65,6</w:t>
            </w:r>
          </w:p>
        </w:tc>
        <w:tc>
          <w:tcPr>
            <w:tcW w:w="756" w:type="dxa"/>
            <w:shd w:val="clear" w:color="auto" w:fill="D9D9D9" w:themeFill="background1" w:themeFillShade="D9"/>
            <w:vAlign w:val="center"/>
          </w:tcPr>
          <w:p w14:paraId="67ECDA8C"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59,3</w:t>
            </w:r>
          </w:p>
        </w:tc>
      </w:tr>
      <w:tr w:rsidR="008A5463" w:rsidRPr="00A73D9D" w14:paraId="6B4E4C4A" w14:textId="77777777" w:rsidTr="00D15CEE">
        <w:trPr>
          <w:cantSplit/>
          <w:trHeight w:hRule="exact" w:val="255"/>
        </w:trPr>
        <w:tc>
          <w:tcPr>
            <w:tcW w:w="1488" w:type="dxa"/>
            <w:shd w:val="clear" w:color="auto" w:fill="auto"/>
            <w:noWrap/>
            <w:vAlign w:val="center"/>
          </w:tcPr>
          <w:p w14:paraId="1AACF1DA"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Portogallo</w:t>
            </w:r>
          </w:p>
        </w:tc>
        <w:tc>
          <w:tcPr>
            <w:tcW w:w="797" w:type="dxa"/>
            <w:shd w:val="clear" w:color="auto" w:fill="D9D9D9" w:themeFill="background1" w:themeFillShade="D9"/>
            <w:noWrap/>
            <w:vAlign w:val="center"/>
          </w:tcPr>
          <w:p w14:paraId="77C706A4"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937</w:t>
            </w:r>
          </w:p>
        </w:tc>
        <w:tc>
          <w:tcPr>
            <w:tcW w:w="798" w:type="dxa"/>
            <w:shd w:val="clear" w:color="auto" w:fill="auto"/>
            <w:noWrap/>
            <w:vAlign w:val="center"/>
          </w:tcPr>
          <w:p w14:paraId="2956C89A"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626</w:t>
            </w:r>
          </w:p>
        </w:tc>
        <w:tc>
          <w:tcPr>
            <w:tcW w:w="797" w:type="dxa"/>
            <w:shd w:val="clear" w:color="auto" w:fill="D9D9D9" w:themeFill="background1" w:themeFillShade="D9"/>
            <w:vAlign w:val="center"/>
          </w:tcPr>
          <w:p w14:paraId="015A7BB7" w14:textId="2344DDCB" w:rsidR="008A5463" w:rsidRPr="00314AB9" w:rsidRDefault="007539BD"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s="Arial Narrow"/>
                <w:color w:val="000000"/>
                <w:sz w:val="18"/>
                <w:szCs w:val="18"/>
              </w:rPr>
              <w:t>509</w:t>
            </w:r>
          </w:p>
        </w:tc>
        <w:tc>
          <w:tcPr>
            <w:tcW w:w="798" w:type="dxa"/>
            <w:vAlign w:val="center"/>
          </w:tcPr>
          <w:p w14:paraId="0748BEB3"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514</w:t>
            </w:r>
          </w:p>
        </w:tc>
        <w:tc>
          <w:tcPr>
            <w:tcW w:w="945" w:type="dxa"/>
            <w:shd w:val="clear" w:color="auto" w:fill="auto"/>
            <w:vAlign w:val="center"/>
          </w:tcPr>
          <w:p w14:paraId="0CC89ABE"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1,0</w:t>
            </w:r>
          </w:p>
        </w:tc>
        <w:tc>
          <w:tcPr>
            <w:tcW w:w="945" w:type="dxa"/>
            <w:shd w:val="clear" w:color="auto" w:fill="D9D9D9" w:themeFill="background1" w:themeFillShade="D9"/>
            <w:noWrap/>
            <w:vAlign w:val="center"/>
          </w:tcPr>
          <w:p w14:paraId="06E53578"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-17,9</w:t>
            </w:r>
          </w:p>
        </w:tc>
        <w:tc>
          <w:tcPr>
            <w:tcW w:w="945" w:type="dxa"/>
            <w:vAlign w:val="center"/>
          </w:tcPr>
          <w:p w14:paraId="2240EE8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-45,1</w:t>
            </w:r>
          </w:p>
        </w:tc>
        <w:tc>
          <w:tcPr>
            <w:tcW w:w="756" w:type="dxa"/>
            <w:vAlign w:val="center"/>
          </w:tcPr>
          <w:p w14:paraId="300BC6DD"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88,6</w:t>
            </w:r>
          </w:p>
        </w:tc>
        <w:tc>
          <w:tcPr>
            <w:tcW w:w="756" w:type="dxa"/>
            <w:shd w:val="clear" w:color="auto" w:fill="auto"/>
            <w:vAlign w:val="center"/>
          </w:tcPr>
          <w:p w14:paraId="4ED8DA3F"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46,5</w:t>
            </w:r>
          </w:p>
        </w:tc>
        <w:tc>
          <w:tcPr>
            <w:tcW w:w="756" w:type="dxa"/>
            <w:shd w:val="clear" w:color="auto" w:fill="D9D9D9" w:themeFill="background1" w:themeFillShade="D9"/>
            <w:vAlign w:val="center"/>
          </w:tcPr>
          <w:p w14:paraId="70398FCB"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52,1</w:t>
            </w:r>
          </w:p>
        </w:tc>
      </w:tr>
      <w:tr w:rsidR="008A5463" w:rsidRPr="00A73D9D" w14:paraId="3592D664" w14:textId="77777777" w:rsidTr="00D15CEE">
        <w:trPr>
          <w:cantSplit/>
          <w:trHeight w:hRule="exact" w:val="255"/>
        </w:trPr>
        <w:tc>
          <w:tcPr>
            <w:tcW w:w="1488" w:type="dxa"/>
            <w:shd w:val="clear" w:color="auto" w:fill="auto"/>
            <w:noWrap/>
            <w:vAlign w:val="center"/>
          </w:tcPr>
          <w:p w14:paraId="35D1A24D"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Repubblica Ceca</w:t>
            </w:r>
          </w:p>
        </w:tc>
        <w:tc>
          <w:tcPr>
            <w:tcW w:w="797" w:type="dxa"/>
            <w:shd w:val="clear" w:color="auto" w:fill="D9D9D9" w:themeFill="background1" w:themeFillShade="D9"/>
            <w:noWrap/>
            <w:vAlign w:val="center"/>
          </w:tcPr>
          <w:p w14:paraId="464C41B5"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802</w:t>
            </w:r>
          </w:p>
        </w:tc>
        <w:tc>
          <w:tcPr>
            <w:tcW w:w="798" w:type="dxa"/>
            <w:shd w:val="clear" w:color="auto" w:fill="auto"/>
            <w:noWrap/>
            <w:vAlign w:val="center"/>
          </w:tcPr>
          <w:p w14:paraId="76819F82"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617</w:t>
            </w:r>
          </w:p>
        </w:tc>
        <w:tc>
          <w:tcPr>
            <w:tcW w:w="797" w:type="dxa"/>
            <w:shd w:val="clear" w:color="auto" w:fill="D9D9D9" w:themeFill="background1" w:themeFillShade="D9"/>
            <w:vAlign w:val="center"/>
          </w:tcPr>
          <w:p w14:paraId="65D12780"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517</w:t>
            </w:r>
          </w:p>
        </w:tc>
        <w:tc>
          <w:tcPr>
            <w:tcW w:w="798" w:type="dxa"/>
            <w:vAlign w:val="center"/>
          </w:tcPr>
          <w:p w14:paraId="23E53B49"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531</w:t>
            </w:r>
          </w:p>
        </w:tc>
        <w:tc>
          <w:tcPr>
            <w:tcW w:w="945" w:type="dxa"/>
            <w:shd w:val="clear" w:color="auto" w:fill="auto"/>
            <w:vAlign w:val="center"/>
          </w:tcPr>
          <w:p w14:paraId="2C201492"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2,7</w:t>
            </w:r>
          </w:p>
        </w:tc>
        <w:tc>
          <w:tcPr>
            <w:tcW w:w="945" w:type="dxa"/>
            <w:shd w:val="clear" w:color="auto" w:fill="D9D9D9" w:themeFill="background1" w:themeFillShade="D9"/>
            <w:noWrap/>
            <w:vAlign w:val="center"/>
          </w:tcPr>
          <w:p w14:paraId="65C1EF97"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-13,9</w:t>
            </w:r>
          </w:p>
        </w:tc>
        <w:tc>
          <w:tcPr>
            <w:tcW w:w="945" w:type="dxa"/>
            <w:vAlign w:val="center"/>
          </w:tcPr>
          <w:p w14:paraId="5C1169CB"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-33,8</w:t>
            </w:r>
          </w:p>
        </w:tc>
        <w:tc>
          <w:tcPr>
            <w:tcW w:w="756" w:type="dxa"/>
            <w:vAlign w:val="center"/>
          </w:tcPr>
          <w:p w14:paraId="231466D7"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76,7</w:t>
            </w:r>
          </w:p>
        </w:tc>
        <w:tc>
          <w:tcPr>
            <w:tcW w:w="756" w:type="dxa"/>
            <w:shd w:val="clear" w:color="auto" w:fill="auto"/>
            <w:vAlign w:val="center"/>
          </w:tcPr>
          <w:p w14:paraId="60BA14A1"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48,3</w:t>
            </w:r>
          </w:p>
        </w:tc>
        <w:tc>
          <w:tcPr>
            <w:tcW w:w="756" w:type="dxa"/>
            <w:shd w:val="clear" w:color="auto" w:fill="D9D9D9" w:themeFill="background1" w:themeFillShade="D9"/>
            <w:vAlign w:val="center"/>
          </w:tcPr>
          <w:p w14:paraId="5DB64C1D"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49,6</w:t>
            </w:r>
          </w:p>
        </w:tc>
      </w:tr>
      <w:tr w:rsidR="008A5463" w:rsidRPr="00A73D9D" w14:paraId="28691524" w14:textId="77777777" w:rsidTr="00D15CEE">
        <w:trPr>
          <w:cantSplit/>
          <w:trHeight w:hRule="exact" w:val="255"/>
        </w:trPr>
        <w:tc>
          <w:tcPr>
            <w:tcW w:w="1488" w:type="dxa"/>
            <w:shd w:val="clear" w:color="auto" w:fill="auto"/>
            <w:noWrap/>
            <w:vAlign w:val="center"/>
          </w:tcPr>
          <w:p w14:paraId="5D379CB5"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Romania</w:t>
            </w:r>
          </w:p>
        </w:tc>
        <w:tc>
          <w:tcPr>
            <w:tcW w:w="797" w:type="dxa"/>
            <w:shd w:val="clear" w:color="auto" w:fill="D9D9D9" w:themeFill="background1" w:themeFillShade="D9"/>
            <w:noWrap/>
            <w:vAlign w:val="center"/>
          </w:tcPr>
          <w:p w14:paraId="3983B88D"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2.377</w:t>
            </w:r>
          </w:p>
        </w:tc>
        <w:tc>
          <w:tcPr>
            <w:tcW w:w="798" w:type="dxa"/>
            <w:shd w:val="clear" w:color="auto" w:fill="auto"/>
            <w:noWrap/>
            <w:vAlign w:val="center"/>
          </w:tcPr>
          <w:p w14:paraId="0D4BC92D"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1.864</w:t>
            </w:r>
          </w:p>
        </w:tc>
        <w:tc>
          <w:tcPr>
            <w:tcW w:w="797" w:type="dxa"/>
            <w:shd w:val="clear" w:color="auto" w:fill="D9D9D9" w:themeFill="background1" w:themeFillShade="D9"/>
            <w:vAlign w:val="center"/>
          </w:tcPr>
          <w:p w14:paraId="2F716F8F"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1.646</w:t>
            </w:r>
          </w:p>
        </w:tc>
        <w:tc>
          <w:tcPr>
            <w:tcW w:w="798" w:type="dxa"/>
            <w:vAlign w:val="center"/>
          </w:tcPr>
          <w:p w14:paraId="2DD17ADF"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1.779</w:t>
            </w:r>
          </w:p>
        </w:tc>
        <w:tc>
          <w:tcPr>
            <w:tcW w:w="945" w:type="dxa"/>
            <w:shd w:val="clear" w:color="auto" w:fill="auto"/>
            <w:vAlign w:val="center"/>
          </w:tcPr>
          <w:p w14:paraId="5863802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8,1</w:t>
            </w:r>
          </w:p>
        </w:tc>
        <w:tc>
          <w:tcPr>
            <w:tcW w:w="945" w:type="dxa"/>
            <w:shd w:val="clear" w:color="auto" w:fill="D9D9D9" w:themeFill="background1" w:themeFillShade="D9"/>
            <w:noWrap/>
            <w:vAlign w:val="center"/>
          </w:tcPr>
          <w:p w14:paraId="7C38020D"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-4,6</w:t>
            </w:r>
          </w:p>
        </w:tc>
        <w:tc>
          <w:tcPr>
            <w:tcW w:w="945" w:type="dxa"/>
            <w:vAlign w:val="center"/>
          </w:tcPr>
          <w:p w14:paraId="0BB39B2C"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-25,2</w:t>
            </w:r>
          </w:p>
        </w:tc>
        <w:tc>
          <w:tcPr>
            <w:tcW w:w="756" w:type="dxa"/>
            <w:vAlign w:val="center"/>
          </w:tcPr>
          <w:p w14:paraId="04549093"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117,1</w:t>
            </w:r>
          </w:p>
        </w:tc>
        <w:tc>
          <w:tcPr>
            <w:tcW w:w="756" w:type="dxa"/>
            <w:shd w:val="clear" w:color="auto" w:fill="auto"/>
            <w:vAlign w:val="center"/>
          </w:tcPr>
          <w:p w14:paraId="3B3B039C"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85,2</w:t>
            </w:r>
          </w:p>
        </w:tc>
        <w:tc>
          <w:tcPr>
            <w:tcW w:w="756" w:type="dxa"/>
            <w:shd w:val="clear" w:color="auto" w:fill="D9D9D9" w:themeFill="background1" w:themeFillShade="D9"/>
            <w:vAlign w:val="center"/>
          </w:tcPr>
          <w:p w14:paraId="620657F4"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92,7</w:t>
            </w:r>
          </w:p>
        </w:tc>
      </w:tr>
      <w:tr w:rsidR="008A5463" w:rsidRPr="00A73D9D" w14:paraId="42F0CE85" w14:textId="77777777" w:rsidTr="00D15CEE">
        <w:trPr>
          <w:cantSplit/>
          <w:trHeight w:hRule="exact" w:val="255"/>
        </w:trPr>
        <w:tc>
          <w:tcPr>
            <w:tcW w:w="1488" w:type="dxa"/>
            <w:shd w:val="clear" w:color="auto" w:fill="auto"/>
            <w:noWrap/>
            <w:vAlign w:val="center"/>
          </w:tcPr>
          <w:p w14:paraId="625CD653"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Slovacchia</w:t>
            </w:r>
          </w:p>
        </w:tc>
        <w:tc>
          <w:tcPr>
            <w:tcW w:w="797" w:type="dxa"/>
            <w:shd w:val="clear" w:color="auto" w:fill="D9D9D9" w:themeFill="background1" w:themeFillShade="D9"/>
            <w:noWrap/>
            <w:vAlign w:val="center"/>
          </w:tcPr>
          <w:p w14:paraId="1E971C99"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3</w:t>
            </w:r>
            <w:r>
              <w:rPr>
                <w:rFonts w:ascii="Arial Narrow" w:hAnsi="Arial Narrow"/>
                <w:color w:val="000000"/>
                <w:sz w:val="18"/>
                <w:szCs w:val="18"/>
              </w:rPr>
              <w:t>45</w:t>
            </w:r>
          </w:p>
        </w:tc>
        <w:tc>
          <w:tcPr>
            <w:tcW w:w="798" w:type="dxa"/>
            <w:shd w:val="clear" w:color="auto" w:fill="auto"/>
            <w:noWrap/>
            <w:vAlign w:val="center"/>
          </w:tcPr>
          <w:p w14:paraId="2630E962"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245</w:t>
            </w:r>
          </w:p>
        </w:tc>
        <w:tc>
          <w:tcPr>
            <w:tcW w:w="797" w:type="dxa"/>
            <w:shd w:val="clear" w:color="auto" w:fill="D9D9D9" w:themeFill="background1" w:themeFillShade="D9"/>
            <w:vAlign w:val="center"/>
          </w:tcPr>
          <w:p w14:paraId="3D76193D"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224</w:t>
            </w:r>
          </w:p>
        </w:tc>
        <w:tc>
          <w:tcPr>
            <w:tcW w:w="798" w:type="dxa"/>
            <w:vAlign w:val="center"/>
          </w:tcPr>
          <w:p w14:paraId="76B2FB52"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226</w:t>
            </w:r>
          </w:p>
        </w:tc>
        <w:tc>
          <w:tcPr>
            <w:tcW w:w="945" w:type="dxa"/>
            <w:shd w:val="clear" w:color="auto" w:fill="auto"/>
            <w:vAlign w:val="center"/>
          </w:tcPr>
          <w:p w14:paraId="4B60618A"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0,9</w:t>
            </w:r>
          </w:p>
        </w:tc>
        <w:tc>
          <w:tcPr>
            <w:tcW w:w="945" w:type="dxa"/>
            <w:shd w:val="clear" w:color="auto" w:fill="D9D9D9" w:themeFill="background1" w:themeFillShade="D9"/>
            <w:noWrap/>
            <w:vAlign w:val="center"/>
          </w:tcPr>
          <w:p w14:paraId="4B8AC293"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-7,8</w:t>
            </w:r>
          </w:p>
        </w:tc>
        <w:tc>
          <w:tcPr>
            <w:tcW w:w="945" w:type="dxa"/>
            <w:vAlign w:val="center"/>
          </w:tcPr>
          <w:p w14:paraId="25575A4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-34,5</w:t>
            </w:r>
          </w:p>
        </w:tc>
        <w:tc>
          <w:tcPr>
            <w:tcW w:w="756" w:type="dxa"/>
            <w:vAlign w:val="center"/>
          </w:tcPr>
          <w:p w14:paraId="232ECCE1"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64,0</w:t>
            </w:r>
          </w:p>
        </w:tc>
        <w:tc>
          <w:tcPr>
            <w:tcW w:w="756" w:type="dxa"/>
            <w:shd w:val="clear" w:color="auto" w:fill="auto"/>
            <w:vAlign w:val="center"/>
          </w:tcPr>
          <w:p w14:paraId="557695F9"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41,0</w:t>
            </w:r>
          </w:p>
        </w:tc>
        <w:tc>
          <w:tcPr>
            <w:tcW w:w="756" w:type="dxa"/>
            <w:shd w:val="clear" w:color="auto" w:fill="D9D9D9" w:themeFill="background1" w:themeFillShade="D9"/>
            <w:vAlign w:val="center"/>
          </w:tcPr>
          <w:p w14:paraId="4164612D"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41,4</w:t>
            </w:r>
          </w:p>
        </w:tc>
      </w:tr>
      <w:tr w:rsidR="008A5463" w:rsidRPr="00A73D9D" w14:paraId="541F0795" w14:textId="77777777" w:rsidTr="00D15CEE">
        <w:trPr>
          <w:cantSplit/>
          <w:trHeight w:hRule="exact" w:val="255"/>
        </w:trPr>
        <w:tc>
          <w:tcPr>
            <w:tcW w:w="1488" w:type="dxa"/>
            <w:shd w:val="clear" w:color="auto" w:fill="auto"/>
            <w:noWrap/>
            <w:vAlign w:val="center"/>
          </w:tcPr>
          <w:p w14:paraId="2B2F8F9F"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Slovenia</w:t>
            </w:r>
          </w:p>
        </w:tc>
        <w:tc>
          <w:tcPr>
            <w:tcW w:w="797" w:type="dxa"/>
            <w:shd w:val="clear" w:color="auto" w:fill="D9D9D9" w:themeFill="background1" w:themeFillShade="D9"/>
            <w:noWrap/>
            <w:vAlign w:val="center"/>
          </w:tcPr>
          <w:p w14:paraId="5AA58F4A"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138</w:t>
            </w:r>
          </w:p>
        </w:tc>
        <w:tc>
          <w:tcPr>
            <w:tcW w:w="798" w:type="dxa"/>
            <w:shd w:val="clear" w:color="auto" w:fill="auto"/>
            <w:noWrap/>
            <w:vAlign w:val="center"/>
          </w:tcPr>
          <w:p w14:paraId="1C77037E"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102</w:t>
            </w:r>
          </w:p>
        </w:tc>
        <w:tc>
          <w:tcPr>
            <w:tcW w:w="797" w:type="dxa"/>
            <w:shd w:val="clear" w:color="auto" w:fill="D9D9D9" w:themeFill="background1" w:themeFillShade="D9"/>
            <w:vAlign w:val="center"/>
          </w:tcPr>
          <w:p w14:paraId="1CCDCB0C"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80</w:t>
            </w:r>
          </w:p>
        </w:tc>
        <w:tc>
          <w:tcPr>
            <w:tcW w:w="798" w:type="dxa"/>
            <w:vAlign w:val="center"/>
          </w:tcPr>
          <w:p w14:paraId="1DF34FC5"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114</w:t>
            </w:r>
          </w:p>
        </w:tc>
        <w:tc>
          <w:tcPr>
            <w:tcW w:w="945" w:type="dxa"/>
            <w:shd w:val="clear" w:color="auto" w:fill="auto"/>
            <w:vAlign w:val="center"/>
          </w:tcPr>
          <w:p w14:paraId="1A480C30"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42,5</w:t>
            </w:r>
          </w:p>
        </w:tc>
        <w:tc>
          <w:tcPr>
            <w:tcW w:w="945" w:type="dxa"/>
            <w:shd w:val="clear" w:color="auto" w:fill="D9D9D9" w:themeFill="background1" w:themeFillShade="D9"/>
            <w:noWrap/>
            <w:vAlign w:val="center"/>
          </w:tcPr>
          <w:p w14:paraId="59085C30"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11,8</w:t>
            </w:r>
          </w:p>
        </w:tc>
        <w:tc>
          <w:tcPr>
            <w:tcW w:w="945" w:type="dxa"/>
            <w:vAlign w:val="center"/>
          </w:tcPr>
          <w:p w14:paraId="30C5739B"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-17,4</w:t>
            </w:r>
          </w:p>
        </w:tc>
        <w:tc>
          <w:tcPr>
            <w:tcW w:w="756" w:type="dxa"/>
            <w:vAlign w:val="center"/>
          </w:tcPr>
          <w:p w14:paraId="21F0D6CE"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67,4</w:t>
            </w:r>
          </w:p>
        </w:tc>
        <w:tc>
          <w:tcPr>
            <w:tcW w:w="756" w:type="dxa"/>
            <w:shd w:val="clear" w:color="auto" w:fill="auto"/>
            <w:vAlign w:val="center"/>
          </w:tcPr>
          <w:p w14:paraId="2F6D59FB"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38,2</w:t>
            </w:r>
          </w:p>
        </w:tc>
        <w:tc>
          <w:tcPr>
            <w:tcW w:w="756" w:type="dxa"/>
            <w:shd w:val="clear" w:color="auto" w:fill="D9D9D9" w:themeFill="background1" w:themeFillShade="D9"/>
            <w:vAlign w:val="center"/>
          </w:tcPr>
          <w:p w14:paraId="1121AE0E"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54,1</w:t>
            </w:r>
          </w:p>
        </w:tc>
      </w:tr>
      <w:tr w:rsidR="008A5463" w:rsidRPr="00A73D9D" w14:paraId="68BF540F" w14:textId="77777777" w:rsidTr="00D15CEE">
        <w:trPr>
          <w:cantSplit/>
          <w:trHeight w:hRule="exact" w:val="255"/>
        </w:trPr>
        <w:tc>
          <w:tcPr>
            <w:tcW w:w="1488" w:type="dxa"/>
            <w:shd w:val="clear" w:color="auto" w:fill="auto"/>
            <w:noWrap/>
            <w:vAlign w:val="center"/>
          </w:tcPr>
          <w:p w14:paraId="4572B752"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Spagna</w:t>
            </w:r>
          </w:p>
        </w:tc>
        <w:tc>
          <w:tcPr>
            <w:tcW w:w="797" w:type="dxa"/>
            <w:shd w:val="clear" w:color="auto" w:fill="D9D9D9" w:themeFill="background1" w:themeFillShade="D9"/>
            <w:noWrap/>
            <w:vAlign w:val="center"/>
          </w:tcPr>
          <w:p w14:paraId="5CEF969C"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2.478</w:t>
            </w:r>
          </w:p>
        </w:tc>
        <w:tc>
          <w:tcPr>
            <w:tcW w:w="798" w:type="dxa"/>
            <w:shd w:val="clear" w:color="auto" w:fill="auto"/>
            <w:noWrap/>
            <w:vAlign w:val="center"/>
          </w:tcPr>
          <w:p w14:paraId="6E71C5FF"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1.755</w:t>
            </w:r>
          </w:p>
        </w:tc>
        <w:tc>
          <w:tcPr>
            <w:tcW w:w="797" w:type="dxa"/>
            <w:shd w:val="clear" w:color="auto" w:fill="D9D9D9" w:themeFill="background1" w:themeFillShade="D9"/>
            <w:vAlign w:val="center"/>
          </w:tcPr>
          <w:p w14:paraId="1DC5B3FC" w14:textId="427138F5" w:rsidR="008A5463" w:rsidRPr="00314AB9" w:rsidRDefault="007539BD"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s="Arial Narrow"/>
                <w:color w:val="000000"/>
                <w:sz w:val="18"/>
                <w:szCs w:val="18"/>
              </w:rPr>
              <w:t>1.370</w:t>
            </w:r>
          </w:p>
        </w:tc>
        <w:tc>
          <w:tcPr>
            <w:tcW w:w="798" w:type="dxa"/>
            <w:vAlign w:val="center"/>
          </w:tcPr>
          <w:p w14:paraId="44969733"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1508</w:t>
            </w:r>
          </w:p>
        </w:tc>
        <w:tc>
          <w:tcPr>
            <w:tcW w:w="945" w:type="dxa"/>
            <w:shd w:val="clear" w:color="auto" w:fill="auto"/>
            <w:vAlign w:val="center"/>
          </w:tcPr>
          <w:p w14:paraId="6033526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10,1</w:t>
            </w:r>
          </w:p>
        </w:tc>
        <w:tc>
          <w:tcPr>
            <w:tcW w:w="945" w:type="dxa"/>
            <w:shd w:val="clear" w:color="auto" w:fill="D9D9D9" w:themeFill="background1" w:themeFillShade="D9"/>
            <w:noWrap/>
            <w:vAlign w:val="center"/>
          </w:tcPr>
          <w:p w14:paraId="2BECE8D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-14,1</w:t>
            </w:r>
          </w:p>
        </w:tc>
        <w:tc>
          <w:tcPr>
            <w:tcW w:w="945" w:type="dxa"/>
            <w:vAlign w:val="center"/>
          </w:tcPr>
          <w:p w14:paraId="3AADA5D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-39,1</w:t>
            </w:r>
          </w:p>
        </w:tc>
        <w:tc>
          <w:tcPr>
            <w:tcW w:w="756" w:type="dxa"/>
            <w:vAlign w:val="center"/>
          </w:tcPr>
          <w:p w14:paraId="32C04794"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53,3</w:t>
            </w:r>
          </w:p>
        </w:tc>
        <w:tc>
          <w:tcPr>
            <w:tcW w:w="756" w:type="dxa"/>
            <w:shd w:val="clear" w:color="auto" w:fill="auto"/>
            <w:vAlign w:val="center"/>
          </w:tcPr>
          <w:p w14:paraId="1586D920"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28,9</w:t>
            </w:r>
          </w:p>
        </w:tc>
        <w:tc>
          <w:tcPr>
            <w:tcW w:w="756" w:type="dxa"/>
            <w:shd w:val="clear" w:color="auto" w:fill="D9D9D9" w:themeFill="background1" w:themeFillShade="D9"/>
            <w:vAlign w:val="center"/>
          </w:tcPr>
          <w:p w14:paraId="71446ABA"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31,8</w:t>
            </w:r>
          </w:p>
        </w:tc>
      </w:tr>
      <w:tr w:rsidR="008A5463" w:rsidRPr="00A73D9D" w14:paraId="3B498587" w14:textId="77777777" w:rsidTr="00D15CEE">
        <w:trPr>
          <w:cantSplit/>
          <w:trHeight w:hRule="exact" w:val="255"/>
        </w:trPr>
        <w:tc>
          <w:tcPr>
            <w:tcW w:w="1488" w:type="dxa"/>
            <w:shd w:val="clear" w:color="auto" w:fill="auto"/>
            <w:noWrap/>
            <w:vAlign w:val="center"/>
          </w:tcPr>
          <w:p w14:paraId="0F08B245"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Svezia</w:t>
            </w:r>
          </w:p>
        </w:tc>
        <w:tc>
          <w:tcPr>
            <w:tcW w:w="797" w:type="dxa"/>
            <w:shd w:val="clear" w:color="auto" w:fill="D9D9D9" w:themeFill="background1" w:themeFillShade="D9"/>
            <w:noWrap/>
            <w:vAlign w:val="center"/>
          </w:tcPr>
          <w:p w14:paraId="5BABCD58"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266</w:t>
            </w:r>
          </w:p>
        </w:tc>
        <w:tc>
          <w:tcPr>
            <w:tcW w:w="798" w:type="dxa"/>
            <w:shd w:val="clear" w:color="auto" w:fill="auto"/>
            <w:noWrap/>
            <w:vAlign w:val="center"/>
          </w:tcPr>
          <w:p w14:paraId="68F17F5C"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221</w:t>
            </w:r>
          </w:p>
        </w:tc>
        <w:tc>
          <w:tcPr>
            <w:tcW w:w="797" w:type="dxa"/>
            <w:shd w:val="clear" w:color="auto" w:fill="D9D9D9" w:themeFill="background1" w:themeFillShade="D9"/>
            <w:vAlign w:val="center"/>
          </w:tcPr>
          <w:p w14:paraId="13AFD6D3"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204</w:t>
            </w:r>
          </w:p>
        </w:tc>
        <w:tc>
          <w:tcPr>
            <w:tcW w:w="798" w:type="dxa"/>
            <w:vAlign w:val="center"/>
          </w:tcPr>
          <w:p w14:paraId="5BD10D6E"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192</w:t>
            </w:r>
          </w:p>
        </w:tc>
        <w:tc>
          <w:tcPr>
            <w:tcW w:w="945" w:type="dxa"/>
            <w:shd w:val="clear" w:color="auto" w:fill="auto"/>
            <w:vAlign w:val="center"/>
          </w:tcPr>
          <w:p w14:paraId="7DFD1850"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-5,9</w:t>
            </w:r>
          </w:p>
        </w:tc>
        <w:tc>
          <w:tcPr>
            <w:tcW w:w="945" w:type="dxa"/>
            <w:shd w:val="clear" w:color="auto" w:fill="D9D9D9" w:themeFill="background1" w:themeFillShade="D9"/>
            <w:noWrap/>
            <w:vAlign w:val="center"/>
          </w:tcPr>
          <w:p w14:paraId="719AAFB8"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-13,1</w:t>
            </w:r>
          </w:p>
        </w:tc>
        <w:tc>
          <w:tcPr>
            <w:tcW w:w="945" w:type="dxa"/>
            <w:vAlign w:val="center"/>
          </w:tcPr>
          <w:p w14:paraId="56540D05"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-27,8</w:t>
            </w:r>
          </w:p>
        </w:tc>
        <w:tc>
          <w:tcPr>
            <w:tcW w:w="756" w:type="dxa"/>
            <w:vAlign w:val="center"/>
          </w:tcPr>
          <w:p w14:paraId="7184574C"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28,5</w:t>
            </w:r>
          </w:p>
        </w:tc>
        <w:tc>
          <w:tcPr>
            <w:tcW w:w="756" w:type="dxa"/>
            <w:shd w:val="clear" w:color="auto" w:fill="auto"/>
            <w:vAlign w:val="center"/>
          </w:tcPr>
          <w:p w14:paraId="7D1600AE"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19,8</w:t>
            </w:r>
          </w:p>
        </w:tc>
        <w:tc>
          <w:tcPr>
            <w:tcW w:w="756" w:type="dxa"/>
            <w:shd w:val="clear" w:color="auto" w:fill="D9D9D9" w:themeFill="background1" w:themeFillShade="D9"/>
            <w:vAlign w:val="center"/>
          </w:tcPr>
          <w:p w14:paraId="50252000"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18,5</w:t>
            </w:r>
          </w:p>
        </w:tc>
      </w:tr>
      <w:tr w:rsidR="008A5463" w:rsidRPr="00A73D9D" w14:paraId="0F3FC685" w14:textId="77777777" w:rsidTr="00D15CEE">
        <w:trPr>
          <w:cantSplit/>
          <w:trHeight w:hRule="exact" w:val="255"/>
        </w:trPr>
        <w:tc>
          <w:tcPr>
            <w:tcW w:w="1488" w:type="dxa"/>
            <w:tcBorders>
              <w:bottom w:val="single" w:sz="4" w:space="0" w:color="auto"/>
            </w:tcBorders>
            <w:shd w:val="clear" w:color="auto" w:fill="auto"/>
            <w:noWrap/>
            <w:vAlign w:val="center"/>
          </w:tcPr>
          <w:p w14:paraId="0E946A9B" w14:textId="77777777" w:rsidR="008A5463" w:rsidRPr="0081434A" w:rsidRDefault="008A5463" w:rsidP="008A5463">
            <w:pPr>
              <w:spacing w:before="40" w:after="20"/>
              <w:rPr>
                <w:rFonts w:ascii="Arial Narrow" w:hAnsi="Arial Narrow"/>
                <w:color w:val="000000"/>
                <w:sz w:val="18"/>
                <w:szCs w:val="18"/>
              </w:rPr>
            </w:pPr>
            <w:r w:rsidRPr="0081434A">
              <w:rPr>
                <w:rFonts w:ascii="Arial Narrow" w:hAnsi="Arial Narrow"/>
                <w:color w:val="000000"/>
                <w:sz w:val="18"/>
                <w:szCs w:val="18"/>
              </w:rPr>
              <w:t>Ungheria</w:t>
            </w:r>
          </w:p>
        </w:tc>
        <w:tc>
          <w:tcPr>
            <w:tcW w:w="797" w:type="dxa"/>
            <w:tcBorders>
              <w:bottom w:val="single" w:sz="4" w:space="0" w:color="auto"/>
            </w:tcBorders>
            <w:shd w:val="clear" w:color="auto" w:fill="D9D9D9" w:themeFill="background1" w:themeFillShade="D9"/>
            <w:noWrap/>
            <w:vAlign w:val="center"/>
          </w:tcPr>
          <w:p w14:paraId="6ECA78A0"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740</w:t>
            </w:r>
          </w:p>
        </w:tc>
        <w:tc>
          <w:tcPr>
            <w:tcW w:w="798" w:type="dxa"/>
            <w:tcBorders>
              <w:bottom w:val="single" w:sz="4" w:space="0" w:color="auto"/>
            </w:tcBorders>
            <w:shd w:val="clear" w:color="auto" w:fill="auto"/>
            <w:noWrap/>
            <w:vAlign w:val="center"/>
          </w:tcPr>
          <w:p w14:paraId="6882746E" w14:textId="77777777" w:rsidR="008A5463" w:rsidRPr="00314AB9" w:rsidRDefault="008A5463" w:rsidP="008A5463">
            <w:pPr>
              <w:ind w:right="113"/>
              <w:jc w:val="right"/>
              <w:rPr>
                <w:rFonts w:ascii="Arial Narrow" w:hAnsi="Arial Narrow"/>
                <w:color w:val="000000"/>
                <w:sz w:val="18"/>
                <w:szCs w:val="18"/>
              </w:rPr>
            </w:pPr>
            <w:r w:rsidRPr="00314AB9">
              <w:rPr>
                <w:rFonts w:ascii="Arial Narrow" w:hAnsi="Arial Narrow"/>
                <w:color w:val="000000"/>
                <w:sz w:val="18"/>
                <w:szCs w:val="18"/>
              </w:rPr>
              <w:t>602</w:t>
            </w:r>
          </w:p>
        </w:tc>
        <w:tc>
          <w:tcPr>
            <w:tcW w:w="797" w:type="dxa"/>
            <w:tcBorders>
              <w:bottom w:val="single" w:sz="4" w:space="0" w:color="auto"/>
            </w:tcBorders>
            <w:shd w:val="clear" w:color="auto" w:fill="D9D9D9" w:themeFill="background1" w:themeFillShade="D9"/>
            <w:vAlign w:val="center"/>
          </w:tcPr>
          <w:p w14:paraId="6FB985C9" w14:textId="5EE2CE20"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314AB9">
              <w:rPr>
                <w:rFonts w:ascii="Arial Narrow" w:hAnsi="Arial Narrow" w:cs="Arial Narrow"/>
                <w:color w:val="000000"/>
                <w:sz w:val="18"/>
                <w:szCs w:val="18"/>
              </w:rPr>
              <w:t>46</w:t>
            </w:r>
            <w:r w:rsidR="007539BD">
              <w:rPr>
                <w:rFonts w:ascii="Arial Narrow" w:hAnsi="Arial Narrow" w:cs="Arial Narrow"/>
                <w:color w:val="000000"/>
                <w:sz w:val="18"/>
                <w:szCs w:val="18"/>
              </w:rPr>
              <w:t>0</w:t>
            </w:r>
          </w:p>
        </w:tc>
        <w:tc>
          <w:tcPr>
            <w:tcW w:w="798" w:type="dxa"/>
            <w:tcBorders>
              <w:bottom w:val="single" w:sz="4" w:space="0" w:color="auto"/>
            </w:tcBorders>
            <w:vAlign w:val="center"/>
          </w:tcPr>
          <w:p w14:paraId="3B4E6A74"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000000"/>
                <w:sz w:val="18"/>
                <w:szCs w:val="18"/>
              </w:rPr>
              <w:t>544</w:t>
            </w:r>
          </w:p>
        </w:tc>
        <w:tc>
          <w:tcPr>
            <w:tcW w:w="945" w:type="dxa"/>
            <w:tcBorders>
              <w:bottom w:val="single" w:sz="4" w:space="0" w:color="auto"/>
            </w:tcBorders>
            <w:shd w:val="clear" w:color="auto" w:fill="auto"/>
            <w:vAlign w:val="center"/>
          </w:tcPr>
          <w:p w14:paraId="4A56B67D"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Pr>
                <w:rFonts w:ascii="Arial Narrow" w:hAnsi="Arial Narrow"/>
                <w:color w:val="000000"/>
                <w:sz w:val="18"/>
                <w:szCs w:val="18"/>
              </w:rPr>
              <w:t>+</w:t>
            </w:r>
            <w:r w:rsidRPr="002D2A45">
              <w:rPr>
                <w:rFonts w:ascii="Arial Narrow" w:hAnsi="Arial Narrow"/>
                <w:color w:val="000000"/>
                <w:sz w:val="18"/>
                <w:szCs w:val="18"/>
              </w:rPr>
              <w:t>18,3</w:t>
            </w:r>
          </w:p>
        </w:tc>
        <w:tc>
          <w:tcPr>
            <w:tcW w:w="945" w:type="dxa"/>
            <w:tcBorders>
              <w:bottom w:val="single" w:sz="4" w:space="0" w:color="auto"/>
            </w:tcBorders>
            <w:shd w:val="clear" w:color="auto" w:fill="D9D9D9" w:themeFill="background1" w:themeFillShade="D9"/>
            <w:noWrap/>
            <w:vAlign w:val="center"/>
          </w:tcPr>
          <w:p w14:paraId="7BA3A4C9"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-9,6</w:t>
            </w:r>
          </w:p>
        </w:tc>
        <w:tc>
          <w:tcPr>
            <w:tcW w:w="945" w:type="dxa"/>
            <w:vAlign w:val="center"/>
          </w:tcPr>
          <w:p w14:paraId="4FF5A8E2" w14:textId="77777777" w:rsidR="008A5463" w:rsidRPr="002D2A45" w:rsidRDefault="008A5463" w:rsidP="008A5463">
            <w:pPr>
              <w:autoSpaceDE w:val="0"/>
              <w:autoSpaceDN w:val="0"/>
              <w:adjustRightInd w:val="0"/>
              <w:ind w:right="113"/>
              <w:jc w:val="right"/>
              <w:rPr>
                <w:rFonts w:ascii="Arial Narrow" w:hAnsi="Arial Narrow" w:cs="Arial Narrow"/>
                <w:color w:val="000000"/>
                <w:sz w:val="18"/>
                <w:szCs w:val="18"/>
              </w:rPr>
            </w:pPr>
            <w:r w:rsidRPr="002D2A45">
              <w:rPr>
                <w:rFonts w:ascii="Arial Narrow" w:hAnsi="Arial Narrow"/>
                <w:color w:val="000000"/>
                <w:sz w:val="18"/>
                <w:szCs w:val="18"/>
              </w:rPr>
              <w:t>-26,5</w:t>
            </w:r>
          </w:p>
        </w:tc>
        <w:tc>
          <w:tcPr>
            <w:tcW w:w="756" w:type="dxa"/>
            <w:vAlign w:val="center"/>
          </w:tcPr>
          <w:p w14:paraId="1E5CB54E" w14:textId="77777777" w:rsidR="008A5463" w:rsidRPr="00605152"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73,9</w:t>
            </w:r>
          </w:p>
        </w:tc>
        <w:tc>
          <w:tcPr>
            <w:tcW w:w="756" w:type="dxa"/>
            <w:shd w:val="clear" w:color="auto" w:fill="auto"/>
            <w:vAlign w:val="center"/>
          </w:tcPr>
          <w:p w14:paraId="65A42496" w14:textId="77777777" w:rsidR="008A5463" w:rsidRPr="00314AB9" w:rsidRDefault="008A5463" w:rsidP="008A5463">
            <w:pPr>
              <w:autoSpaceDE w:val="0"/>
              <w:autoSpaceDN w:val="0"/>
              <w:adjustRightInd w:val="0"/>
              <w:ind w:right="113"/>
              <w:jc w:val="right"/>
              <w:rPr>
                <w:rFonts w:ascii="Arial Narrow" w:hAnsi="Arial Narrow" w:cs="Arial Narrow"/>
                <w:color w:val="000000"/>
                <w:sz w:val="18"/>
                <w:szCs w:val="18"/>
              </w:rPr>
            </w:pPr>
            <w:r w:rsidRPr="00605152">
              <w:rPr>
                <w:rFonts w:ascii="Arial Narrow" w:hAnsi="Arial Narrow" w:cs="Arial Narrow"/>
                <w:color w:val="000000"/>
                <w:sz w:val="18"/>
                <w:szCs w:val="18"/>
              </w:rPr>
              <w:t>47,5</w:t>
            </w:r>
          </w:p>
        </w:tc>
        <w:tc>
          <w:tcPr>
            <w:tcW w:w="756" w:type="dxa"/>
            <w:shd w:val="clear" w:color="auto" w:fill="D9D9D9" w:themeFill="background1" w:themeFillShade="D9"/>
            <w:vAlign w:val="center"/>
          </w:tcPr>
          <w:p w14:paraId="651C719F"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b/>
                <w:color w:val="000000"/>
                <w:sz w:val="18"/>
                <w:szCs w:val="18"/>
              </w:rPr>
              <w:t>55,9</w:t>
            </w:r>
          </w:p>
        </w:tc>
      </w:tr>
      <w:tr w:rsidR="008A5463" w:rsidRPr="005D17E3" w14:paraId="69F3407D" w14:textId="77777777" w:rsidTr="00D15CEE">
        <w:trPr>
          <w:cantSplit/>
          <w:trHeight w:hRule="exact" w:val="255"/>
        </w:trPr>
        <w:tc>
          <w:tcPr>
            <w:tcW w:w="1488" w:type="dxa"/>
            <w:shd w:val="clear" w:color="auto" w:fill="1F497D" w:themeFill="text2"/>
            <w:noWrap/>
            <w:vAlign w:val="center"/>
          </w:tcPr>
          <w:p w14:paraId="1CAF830F" w14:textId="77777777" w:rsidR="008A5463" w:rsidRPr="0081434A" w:rsidRDefault="008A5463" w:rsidP="008A5463">
            <w:pPr>
              <w:spacing w:before="40" w:after="20"/>
              <w:rPr>
                <w:rFonts w:ascii="Arial Narrow" w:hAnsi="Arial Narrow"/>
                <w:b/>
                <w:bCs/>
                <w:color w:val="FFFFFF" w:themeColor="background1"/>
                <w:sz w:val="18"/>
                <w:szCs w:val="18"/>
              </w:rPr>
            </w:pPr>
            <w:r w:rsidRPr="0081434A">
              <w:rPr>
                <w:rFonts w:ascii="Arial Narrow" w:hAnsi="Arial Narrow"/>
                <w:b/>
                <w:bCs/>
                <w:color w:val="FFFFFF" w:themeColor="background1"/>
                <w:sz w:val="18"/>
                <w:szCs w:val="18"/>
              </w:rPr>
              <w:t>Ue27</w:t>
            </w:r>
          </w:p>
        </w:tc>
        <w:tc>
          <w:tcPr>
            <w:tcW w:w="797" w:type="dxa"/>
            <w:shd w:val="clear" w:color="auto" w:fill="1F497D" w:themeFill="text2"/>
            <w:noWrap/>
            <w:vAlign w:val="center"/>
          </w:tcPr>
          <w:p w14:paraId="14438668" w14:textId="77777777" w:rsidR="008A5463" w:rsidRPr="00314AB9" w:rsidRDefault="008A5463" w:rsidP="008A5463">
            <w:pPr>
              <w:ind w:right="113"/>
              <w:jc w:val="right"/>
              <w:rPr>
                <w:rFonts w:ascii="Arial Narrow" w:hAnsi="Arial Narrow"/>
                <w:b/>
                <w:bCs/>
                <w:color w:val="FFFFFF"/>
                <w:sz w:val="18"/>
                <w:szCs w:val="18"/>
              </w:rPr>
            </w:pPr>
            <w:r w:rsidRPr="00314AB9">
              <w:rPr>
                <w:rFonts w:ascii="Arial Narrow" w:hAnsi="Arial Narrow"/>
                <w:b/>
                <w:bCs/>
                <w:color w:val="FFFFFF" w:themeColor="background1"/>
                <w:sz w:val="18"/>
                <w:szCs w:val="18"/>
              </w:rPr>
              <w:t>29.69</w:t>
            </w:r>
            <w:r>
              <w:rPr>
                <w:rFonts w:ascii="Arial Narrow" w:hAnsi="Arial Narrow"/>
                <w:b/>
                <w:bCs/>
                <w:color w:val="FFFFFF" w:themeColor="background1"/>
                <w:sz w:val="18"/>
                <w:szCs w:val="18"/>
              </w:rPr>
              <w:t>1</w:t>
            </w:r>
          </w:p>
        </w:tc>
        <w:tc>
          <w:tcPr>
            <w:tcW w:w="798" w:type="dxa"/>
            <w:shd w:val="clear" w:color="auto" w:fill="1F497D" w:themeFill="text2"/>
            <w:noWrap/>
            <w:vAlign w:val="center"/>
          </w:tcPr>
          <w:p w14:paraId="7D8800D8" w14:textId="77777777" w:rsidR="008A5463" w:rsidRPr="00314AB9" w:rsidRDefault="008A5463" w:rsidP="008A5463">
            <w:pPr>
              <w:ind w:right="113"/>
              <w:jc w:val="right"/>
              <w:rPr>
                <w:rFonts w:ascii="Arial Narrow" w:hAnsi="Arial Narrow"/>
                <w:b/>
                <w:bCs/>
                <w:color w:val="FFFFFF"/>
                <w:sz w:val="18"/>
                <w:szCs w:val="18"/>
              </w:rPr>
            </w:pPr>
            <w:r w:rsidRPr="00314AB9">
              <w:rPr>
                <w:rFonts w:ascii="Arial Narrow" w:hAnsi="Arial Narrow"/>
                <w:b/>
                <w:bCs/>
                <w:color w:val="FFFFFF" w:themeColor="background1"/>
                <w:sz w:val="18"/>
                <w:szCs w:val="18"/>
              </w:rPr>
              <w:t>22.763</w:t>
            </w:r>
          </w:p>
        </w:tc>
        <w:tc>
          <w:tcPr>
            <w:tcW w:w="797" w:type="dxa"/>
            <w:shd w:val="clear" w:color="auto" w:fill="1F497D" w:themeFill="text2"/>
            <w:vAlign w:val="center"/>
          </w:tcPr>
          <w:p w14:paraId="65956018" w14:textId="5D344A50" w:rsidR="008A5463" w:rsidRPr="00314AB9" w:rsidRDefault="008A5463" w:rsidP="008A5463">
            <w:pPr>
              <w:autoSpaceDE w:val="0"/>
              <w:autoSpaceDN w:val="0"/>
              <w:adjustRightInd w:val="0"/>
              <w:ind w:right="113"/>
              <w:jc w:val="right"/>
              <w:rPr>
                <w:rFonts w:ascii="Arial Narrow" w:hAnsi="Arial Narrow" w:cs="Arial Narrow"/>
                <w:b/>
                <w:bCs/>
                <w:color w:val="FFFFFF"/>
                <w:sz w:val="18"/>
                <w:szCs w:val="18"/>
              </w:rPr>
            </w:pPr>
            <w:r w:rsidRPr="00314AB9">
              <w:rPr>
                <w:rFonts w:ascii="Arial Narrow" w:hAnsi="Arial Narrow" w:cs="Arial Narrow"/>
                <w:b/>
                <w:bCs/>
                <w:color w:val="FFFFFF"/>
                <w:sz w:val="18"/>
                <w:szCs w:val="18"/>
              </w:rPr>
              <w:t>18.8</w:t>
            </w:r>
            <w:r w:rsidR="007539BD">
              <w:rPr>
                <w:rFonts w:ascii="Arial Narrow" w:hAnsi="Arial Narrow" w:cs="Arial Narrow"/>
                <w:b/>
                <w:bCs/>
                <w:color w:val="FFFFFF"/>
                <w:sz w:val="18"/>
                <w:szCs w:val="18"/>
              </w:rPr>
              <w:t>61</w:t>
            </w:r>
          </w:p>
        </w:tc>
        <w:tc>
          <w:tcPr>
            <w:tcW w:w="798" w:type="dxa"/>
            <w:shd w:val="clear" w:color="auto" w:fill="1F497D" w:themeFill="text2"/>
            <w:vAlign w:val="center"/>
          </w:tcPr>
          <w:p w14:paraId="2E945BDA" w14:textId="77777777" w:rsidR="008A5463" w:rsidRPr="00620A14" w:rsidRDefault="008A5463" w:rsidP="008A5463">
            <w:pPr>
              <w:autoSpaceDE w:val="0"/>
              <w:autoSpaceDN w:val="0"/>
              <w:adjustRightInd w:val="0"/>
              <w:ind w:right="113"/>
              <w:jc w:val="right"/>
              <w:rPr>
                <w:rFonts w:ascii="Arial Narrow" w:hAnsi="Arial Narrow" w:cs="Arial Narrow"/>
                <w:b/>
                <w:color w:val="000000"/>
                <w:sz w:val="18"/>
                <w:szCs w:val="18"/>
              </w:rPr>
            </w:pPr>
            <w:r w:rsidRPr="00620A14">
              <w:rPr>
                <w:rFonts w:ascii="Arial Narrow" w:hAnsi="Arial Narrow" w:cs="Arial Narrow"/>
                <w:b/>
                <w:color w:val="FFFFFF" w:themeColor="background1"/>
                <w:sz w:val="18"/>
                <w:szCs w:val="18"/>
              </w:rPr>
              <w:t>19.855</w:t>
            </w:r>
          </w:p>
        </w:tc>
        <w:tc>
          <w:tcPr>
            <w:tcW w:w="945" w:type="dxa"/>
            <w:shd w:val="clear" w:color="auto" w:fill="1F497D" w:themeFill="text2"/>
            <w:vAlign w:val="center"/>
          </w:tcPr>
          <w:p w14:paraId="0C947997" w14:textId="77777777" w:rsidR="008A5463" w:rsidRPr="002D2A45" w:rsidRDefault="008A5463" w:rsidP="008A5463">
            <w:pPr>
              <w:autoSpaceDE w:val="0"/>
              <w:autoSpaceDN w:val="0"/>
              <w:adjustRightInd w:val="0"/>
              <w:ind w:right="113"/>
              <w:jc w:val="right"/>
              <w:rPr>
                <w:rFonts w:ascii="Arial Narrow" w:hAnsi="Arial Narrow" w:cs="Arial Narrow"/>
                <w:b/>
                <w:bCs/>
                <w:color w:val="FFFFFF" w:themeColor="background1"/>
                <w:sz w:val="18"/>
                <w:szCs w:val="18"/>
              </w:rPr>
            </w:pPr>
            <w:r w:rsidRPr="002D2A45">
              <w:rPr>
                <w:rFonts w:ascii="Arial Narrow" w:hAnsi="Arial Narrow"/>
                <w:b/>
                <w:color w:val="FFFFFF" w:themeColor="background1"/>
                <w:sz w:val="18"/>
                <w:szCs w:val="18"/>
              </w:rPr>
              <w:t>+5,3</w:t>
            </w:r>
          </w:p>
        </w:tc>
        <w:tc>
          <w:tcPr>
            <w:tcW w:w="945" w:type="dxa"/>
            <w:shd w:val="clear" w:color="auto" w:fill="1F497D" w:themeFill="text2"/>
            <w:noWrap/>
            <w:vAlign w:val="center"/>
          </w:tcPr>
          <w:p w14:paraId="37093C98" w14:textId="77777777" w:rsidR="008A5463" w:rsidRPr="002D2A45" w:rsidRDefault="008A5463" w:rsidP="008A5463">
            <w:pPr>
              <w:autoSpaceDE w:val="0"/>
              <w:autoSpaceDN w:val="0"/>
              <w:adjustRightInd w:val="0"/>
              <w:ind w:right="113"/>
              <w:jc w:val="right"/>
              <w:rPr>
                <w:rFonts w:ascii="Arial Narrow" w:hAnsi="Arial Narrow" w:cs="Arial Narrow"/>
                <w:b/>
                <w:bCs/>
                <w:color w:val="FFFFFF" w:themeColor="background1"/>
                <w:sz w:val="18"/>
                <w:szCs w:val="18"/>
              </w:rPr>
            </w:pPr>
            <w:r w:rsidRPr="002D2A45">
              <w:rPr>
                <w:rFonts w:ascii="Arial Narrow" w:hAnsi="Arial Narrow"/>
                <w:b/>
                <w:color w:val="FFFFFF" w:themeColor="background1"/>
                <w:sz w:val="18"/>
                <w:szCs w:val="18"/>
              </w:rPr>
              <w:t>-12,8</w:t>
            </w:r>
          </w:p>
        </w:tc>
        <w:tc>
          <w:tcPr>
            <w:tcW w:w="945" w:type="dxa"/>
            <w:shd w:val="clear" w:color="auto" w:fill="1F497D" w:themeFill="text2"/>
            <w:vAlign w:val="center"/>
          </w:tcPr>
          <w:p w14:paraId="78666988" w14:textId="77777777" w:rsidR="008A5463" w:rsidRPr="002D2A45"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2D2A45">
              <w:rPr>
                <w:rFonts w:ascii="Arial Narrow" w:hAnsi="Arial Narrow"/>
                <w:b/>
                <w:color w:val="FFFFFF" w:themeColor="background1"/>
                <w:sz w:val="18"/>
                <w:szCs w:val="18"/>
              </w:rPr>
              <w:t>-33,1</w:t>
            </w:r>
          </w:p>
        </w:tc>
        <w:tc>
          <w:tcPr>
            <w:tcW w:w="756" w:type="dxa"/>
            <w:shd w:val="clear" w:color="auto" w:fill="1F497D" w:themeFill="text2"/>
            <w:vAlign w:val="center"/>
          </w:tcPr>
          <w:p w14:paraId="0BEB9034" w14:textId="77777777" w:rsidR="008A5463" w:rsidRPr="00605152"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605152">
              <w:rPr>
                <w:rFonts w:ascii="Arial Narrow" w:hAnsi="Arial Narrow" w:cs="Arial Narrow"/>
                <w:b/>
                <w:color w:val="FFFFFF" w:themeColor="background1"/>
                <w:sz w:val="18"/>
                <w:szCs w:val="18"/>
              </w:rPr>
              <w:t>67,6</w:t>
            </w:r>
          </w:p>
        </w:tc>
        <w:tc>
          <w:tcPr>
            <w:tcW w:w="756" w:type="dxa"/>
            <w:shd w:val="clear" w:color="auto" w:fill="1F497D" w:themeFill="text2"/>
            <w:vAlign w:val="center"/>
          </w:tcPr>
          <w:p w14:paraId="6707CFDD" w14:textId="77777777" w:rsidR="008A5463" w:rsidRPr="00605152"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605152">
              <w:rPr>
                <w:rFonts w:ascii="Arial Narrow" w:hAnsi="Arial Narrow" w:cs="Arial Narrow"/>
                <w:b/>
                <w:color w:val="FFFFFF" w:themeColor="background1"/>
                <w:sz w:val="18"/>
                <w:szCs w:val="18"/>
              </w:rPr>
              <w:t>42,3</w:t>
            </w:r>
          </w:p>
        </w:tc>
        <w:tc>
          <w:tcPr>
            <w:tcW w:w="756" w:type="dxa"/>
            <w:shd w:val="clear" w:color="auto" w:fill="1F497D" w:themeFill="text2"/>
            <w:vAlign w:val="center"/>
          </w:tcPr>
          <w:p w14:paraId="31BE3B3C" w14:textId="77777777" w:rsidR="008A5463" w:rsidRPr="00620A14" w:rsidRDefault="008A5463" w:rsidP="008A5463">
            <w:pPr>
              <w:autoSpaceDE w:val="0"/>
              <w:autoSpaceDN w:val="0"/>
              <w:adjustRightInd w:val="0"/>
              <w:ind w:right="113"/>
              <w:jc w:val="right"/>
              <w:rPr>
                <w:rFonts w:ascii="Arial Narrow" w:hAnsi="Arial Narrow" w:cs="Arial Narrow"/>
                <w:b/>
                <w:color w:val="FFFFFF" w:themeColor="background1"/>
                <w:sz w:val="18"/>
                <w:szCs w:val="18"/>
              </w:rPr>
            </w:pPr>
            <w:r w:rsidRPr="00620A14">
              <w:rPr>
                <w:rFonts w:ascii="Arial Narrow" w:hAnsi="Arial Narrow"/>
                <w:b/>
                <w:color w:val="FFFFFF" w:themeColor="background1"/>
                <w:sz w:val="18"/>
                <w:szCs w:val="18"/>
              </w:rPr>
              <w:t>44,7</w:t>
            </w:r>
          </w:p>
        </w:tc>
      </w:tr>
    </w:tbl>
    <w:p w14:paraId="21442629" w14:textId="77777777" w:rsidR="00090BAB" w:rsidRDefault="00090BAB" w:rsidP="00872160">
      <w:pPr>
        <w:autoSpaceDE w:val="0"/>
        <w:autoSpaceDN w:val="0"/>
        <w:adjustRightInd w:val="0"/>
        <w:jc w:val="both"/>
        <w:rPr>
          <w:rFonts w:ascii="Arial Narrow" w:hAnsi="Arial Narrow"/>
          <w:sz w:val="15"/>
          <w:szCs w:val="15"/>
        </w:rPr>
      </w:pPr>
    </w:p>
    <w:p w14:paraId="1BED5105" w14:textId="77777777" w:rsidR="00377480" w:rsidRDefault="00BE6ABD" w:rsidP="00872160">
      <w:pPr>
        <w:autoSpaceDE w:val="0"/>
        <w:autoSpaceDN w:val="0"/>
        <w:adjustRightInd w:val="0"/>
        <w:jc w:val="both"/>
        <w:rPr>
          <w:rFonts w:ascii="Arial Narrow" w:hAnsi="Arial Narrow" w:cs="Times New Roman"/>
          <w:sz w:val="15"/>
          <w:szCs w:val="15"/>
        </w:rPr>
      </w:pPr>
      <w:r w:rsidRPr="003E0E53">
        <w:rPr>
          <w:rFonts w:ascii="Arial Narrow" w:hAnsi="Arial Narrow"/>
          <w:sz w:val="15"/>
          <w:szCs w:val="15"/>
        </w:rPr>
        <w:t xml:space="preserve">* </w:t>
      </w:r>
      <w:r w:rsidR="00C52EAA" w:rsidRPr="003E0E53">
        <w:rPr>
          <w:rFonts w:ascii="Arial Narrow" w:hAnsi="Arial Narrow"/>
          <w:sz w:val="15"/>
          <w:szCs w:val="15"/>
        </w:rPr>
        <w:t>Stime preliminari</w:t>
      </w:r>
      <w:r w:rsidR="00872160">
        <w:rPr>
          <w:rFonts w:ascii="Arial Narrow" w:hAnsi="Arial Narrow"/>
          <w:sz w:val="15"/>
          <w:szCs w:val="15"/>
        </w:rPr>
        <w:t xml:space="preserve"> </w:t>
      </w:r>
      <w:r w:rsidR="00926944" w:rsidRPr="00620A14">
        <w:rPr>
          <w:rFonts w:ascii="Arial Narrow" w:hAnsi="Arial Narrow"/>
          <w:sz w:val="15"/>
          <w:szCs w:val="15"/>
        </w:rPr>
        <w:t>202</w:t>
      </w:r>
      <w:r w:rsidR="00620A14">
        <w:rPr>
          <w:rFonts w:ascii="Arial Narrow" w:hAnsi="Arial Narrow"/>
          <w:sz w:val="15"/>
          <w:szCs w:val="15"/>
        </w:rPr>
        <w:t>1</w:t>
      </w:r>
      <w:r w:rsidR="00C52EAA" w:rsidRPr="003E0E53">
        <w:rPr>
          <w:rFonts w:ascii="Arial Narrow" w:hAnsi="Arial Narrow"/>
          <w:sz w:val="15"/>
          <w:szCs w:val="15"/>
        </w:rPr>
        <w:t xml:space="preserve"> per </w:t>
      </w:r>
      <w:r w:rsidR="00400C83" w:rsidRPr="003E0E53">
        <w:rPr>
          <w:rFonts w:ascii="Arial Narrow" w:hAnsi="Arial Narrow" w:cs="Times New Roman"/>
          <w:color w:val="000000"/>
          <w:sz w:val="15"/>
          <w:szCs w:val="15"/>
        </w:rPr>
        <w:t>Belgio, Danimarca, Finlandia,</w:t>
      </w:r>
      <w:r w:rsidR="003E0E53" w:rsidRPr="003E0E53">
        <w:rPr>
          <w:rFonts w:ascii="Arial Narrow" w:hAnsi="Arial Narrow" w:cs="Times New Roman"/>
          <w:color w:val="000000"/>
          <w:sz w:val="15"/>
          <w:szCs w:val="15"/>
        </w:rPr>
        <w:t xml:space="preserve"> Francia, </w:t>
      </w:r>
      <w:r w:rsidR="00400C83" w:rsidRPr="003E0E53">
        <w:rPr>
          <w:rFonts w:ascii="Arial Narrow" w:hAnsi="Arial Narrow" w:cs="Times New Roman"/>
          <w:color w:val="000000"/>
          <w:sz w:val="15"/>
          <w:szCs w:val="15"/>
        </w:rPr>
        <w:t>Germ</w:t>
      </w:r>
      <w:r w:rsidR="00982AB4" w:rsidRPr="003E0E53">
        <w:rPr>
          <w:rFonts w:ascii="Arial Narrow" w:hAnsi="Arial Narrow" w:cs="Times New Roman"/>
          <w:color w:val="000000"/>
          <w:sz w:val="15"/>
          <w:szCs w:val="15"/>
        </w:rPr>
        <w:t xml:space="preserve">ania, Irlanda, </w:t>
      </w:r>
      <w:r w:rsidR="003E0E53" w:rsidRPr="003E0E53">
        <w:rPr>
          <w:rFonts w:ascii="Arial Narrow" w:hAnsi="Arial Narrow" w:cs="Times New Roman"/>
          <w:color w:val="000000"/>
          <w:sz w:val="15"/>
          <w:szCs w:val="15"/>
        </w:rPr>
        <w:t xml:space="preserve">Lettonia, </w:t>
      </w:r>
      <w:r w:rsidR="00982AB4" w:rsidRPr="003E0E53">
        <w:rPr>
          <w:rFonts w:ascii="Arial Narrow" w:hAnsi="Arial Narrow" w:cs="Times New Roman"/>
          <w:color w:val="000000"/>
          <w:sz w:val="15"/>
          <w:szCs w:val="15"/>
        </w:rPr>
        <w:t xml:space="preserve">Lituania, </w:t>
      </w:r>
      <w:r w:rsidR="003E0E53" w:rsidRPr="003E0E53">
        <w:rPr>
          <w:rFonts w:ascii="Arial Narrow" w:hAnsi="Arial Narrow" w:cs="Times New Roman"/>
          <w:color w:val="000000"/>
          <w:sz w:val="15"/>
          <w:szCs w:val="15"/>
        </w:rPr>
        <w:t xml:space="preserve">Lussemburgo, </w:t>
      </w:r>
      <w:r w:rsidR="00400C83" w:rsidRPr="003E0E53">
        <w:rPr>
          <w:rFonts w:ascii="Arial Narrow" w:hAnsi="Arial Narrow" w:cs="Times New Roman"/>
          <w:color w:val="000000"/>
          <w:sz w:val="15"/>
          <w:szCs w:val="15"/>
        </w:rPr>
        <w:t>Portogallo,</w:t>
      </w:r>
      <w:r w:rsidR="003E0E53" w:rsidRPr="003E0E53">
        <w:rPr>
          <w:rFonts w:ascii="Arial Narrow" w:hAnsi="Arial Narrow" w:cs="Times New Roman"/>
          <w:color w:val="000000"/>
          <w:sz w:val="15"/>
          <w:szCs w:val="15"/>
        </w:rPr>
        <w:t xml:space="preserve"> Repubblica Ceca, </w:t>
      </w:r>
      <w:r w:rsidR="00400C83" w:rsidRPr="003E0E53">
        <w:rPr>
          <w:rFonts w:ascii="Arial Narrow" w:hAnsi="Arial Narrow" w:cs="Times New Roman"/>
          <w:color w:val="000000"/>
          <w:sz w:val="15"/>
          <w:szCs w:val="15"/>
        </w:rPr>
        <w:t>Spagna</w:t>
      </w:r>
      <w:r w:rsidR="003E0E53" w:rsidRPr="003E0E53">
        <w:rPr>
          <w:rFonts w:ascii="Arial Narrow" w:hAnsi="Arial Narrow"/>
          <w:sz w:val="15"/>
          <w:szCs w:val="15"/>
        </w:rPr>
        <w:t>, Svezia, Ungheria</w:t>
      </w:r>
      <w:r w:rsidR="00872160">
        <w:rPr>
          <w:rFonts w:ascii="Arial Narrow" w:hAnsi="Arial Narrow"/>
          <w:sz w:val="15"/>
          <w:szCs w:val="15"/>
        </w:rPr>
        <w:t xml:space="preserve"> </w:t>
      </w:r>
      <w:r w:rsidR="003E0E53" w:rsidRPr="003E0E53">
        <w:rPr>
          <w:rFonts w:ascii="Arial Narrow" w:hAnsi="Arial Narrow" w:cs="Times New Roman"/>
          <w:sz w:val="15"/>
          <w:szCs w:val="15"/>
        </w:rPr>
        <w:t xml:space="preserve"> </w:t>
      </w:r>
    </w:p>
    <w:p w14:paraId="310C6ED2" w14:textId="2F459837" w:rsidR="00BE6ABD" w:rsidRPr="00883FE5" w:rsidRDefault="00BE6ABD" w:rsidP="00872160">
      <w:pPr>
        <w:autoSpaceDE w:val="0"/>
        <w:autoSpaceDN w:val="0"/>
        <w:adjustRightInd w:val="0"/>
        <w:jc w:val="both"/>
        <w:rPr>
          <w:rFonts w:ascii="Arial Narrow" w:hAnsi="Arial Narrow"/>
          <w:sz w:val="15"/>
          <w:szCs w:val="15"/>
          <w:lang w:val="en-US"/>
        </w:rPr>
      </w:pPr>
      <w:r w:rsidRPr="00724E95">
        <w:rPr>
          <w:rFonts w:ascii="Arial Narrow" w:hAnsi="Arial Narrow" w:cs="Times New Roman"/>
          <w:sz w:val="15"/>
          <w:szCs w:val="15"/>
          <w:lang w:val="en-GB"/>
        </w:rPr>
        <w:t xml:space="preserve">(a) </w:t>
      </w:r>
      <w:r w:rsidRPr="00724E95">
        <w:rPr>
          <w:rFonts w:ascii="Arial Narrow" w:hAnsi="Arial Narrow"/>
          <w:sz w:val="15"/>
          <w:szCs w:val="15"/>
          <w:lang w:val="en-GB"/>
        </w:rPr>
        <w:t>Fonte: European Transport Safety Counc</w:t>
      </w:r>
      <w:r w:rsidR="00C52EAA" w:rsidRPr="00724E95">
        <w:rPr>
          <w:rFonts w:ascii="Arial Narrow" w:hAnsi="Arial Narrow"/>
          <w:sz w:val="15"/>
          <w:szCs w:val="15"/>
          <w:lang w:val="en-GB"/>
        </w:rPr>
        <w:t xml:space="preserve">il, Annual PIN report. </w:t>
      </w:r>
      <w:r w:rsidR="00400C83" w:rsidRPr="003E0E53">
        <w:rPr>
          <w:rFonts w:ascii="Arial Narrow" w:hAnsi="Arial Narrow"/>
          <w:sz w:val="15"/>
          <w:szCs w:val="15"/>
          <w:lang w:val="en-US"/>
        </w:rPr>
        <w:t>Year 202</w:t>
      </w:r>
      <w:r w:rsidR="00003DC9" w:rsidRPr="003E0E53">
        <w:rPr>
          <w:rFonts w:ascii="Arial Narrow" w:hAnsi="Arial Narrow"/>
          <w:sz w:val="15"/>
          <w:szCs w:val="15"/>
          <w:lang w:val="en-US"/>
        </w:rPr>
        <w:t>2</w:t>
      </w:r>
      <w:r w:rsidRPr="003E0E53">
        <w:rPr>
          <w:rFonts w:ascii="Arial Narrow" w:hAnsi="Arial Narrow"/>
          <w:sz w:val="15"/>
          <w:szCs w:val="15"/>
          <w:lang w:val="en-US"/>
        </w:rPr>
        <w:t xml:space="preserve"> </w:t>
      </w:r>
      <w:r w:rsidR="00400C83" w:rsidRPr="003E0E53">
        <w:rPr>
          <w:rFonts w:ascii="Arial Narrow" w:hAnsi="Arial Narrow"/>
          <w:sz w:val="15"/>
          <w:szCs w:val="15"/>
          <w:lang w:val="en-US"/>
        </w:rPr>
        <w:t xml:space="preserve">- </w:t>
      </w:r>
      <w:hyperlink r:id="rId9" w:history="1">
        <w:r w:rsidR="00883FE5" w:rsidRPr="003E0E53">
          <w:rPr>
            <w:rStyle w:val="Collegamentoipertestuale"/>
            <w:rFonts w:ascii="Arial Narrow" w:hAnsi="Arial Narrow"/>
            <w:sz w:val="15"/>
            <w:szCs w:val="15"/>
            <w:lang w:val="en-US"/>
          </w:rPr>
          <w:t>https://etsc.eu/16th-annual-road-safety-performance-index-pin-report/</w:t>
        </w:r>
      </w:hyperlink>
      <w:r w:rsidR="00883FE5">
        <w:rPr>
          <w:rFonts w:ascii="Arial Narrow" w:hAnsi="Arial Narrow"/>
          <w:sz w:val="15"/>
          <w:szCs w:val="15"/>
          <w:lang w:val="en-US"/>
        </w:rPr>
        <w:t xml:space="preserve"> </w:t>
      </w:r>
    </w:p>
    <w:p w14:paraId="45044428" w14:textId="77777777" w:rsidR="00E41FAD" w:rsidRPr="00E41FAD" w:rsidRDefault="00E41FAD" w:rsidP="00D746FB">
      <w:pPr>
        <w:autoSpaceDE w:val="0"/>
        <w:autoSpaceDN w:val="0"/>
        <w:adjustRightInd w:val="0"/>
        <w:jc w:val="both"/>
        <w:rPr>
          <w:rFonts w:ascii="Arial Narrow" w:hAnsi="Arial Narrow"/>
          <w:sz w:val="15"/>
          <w:szCs w:val="15"/>
        </w:rPr>
      </w:pPr>
      <w:r w:rsidRPr="00E41FAD">
        <w:rPr>
          <w:rFonts w:ascii="Arial Narrow" w:hAnsi="Arial Narrow"/>
          <w:sz w:val="15"/>
          <w:szCs w:val="15"/>
        </w:rPr>
        <w:t>Europea</w:t>
      </w:r>
      <w:r>
        <w:rPr>
          <w:rFonts w:ascii="Arial Narrow" w:hAnsi="Arial Narrow"/>
          <w:sz w:val="15"/>
          <w:szCs w:val="15"/>
        </w:rPr>
        <w:t>n</w:t>
      </w:r>
      <w:r w:rsidRPr="00E41FAD">
        <w:rPr>
          <w:rFonts w:ascii="Arial Narrow" w:hAnsi="Arial Narrow"/>
          <w:sz w:val="15"/>
          <w:szCs w:val="15"/>
        </w:rPr>
        <w:t xml:space="preserve"> Commission</w:t>
      </w:r>
      <w:r>
        <w:rPr>
          <w:rFonts w:ascii="Arial Narrow" w:hAnsi="Arial Narrow"/>
          <w:sz w:val="15"/>
          <w:szCs w:val="15"/>
        </w:rPr>
        <w:t xml:space="preserve"> </w:t>
      </w:r>
      <w:r w:rsidR="00003DC9">
        <w:rPr>
          <w:rFonts w:ascii="Arial Narrow" w:hAnsi="Arial Narrow"/>
          <w:sz w:val="15"/>
          <w:szCs w:val="15"/>
        </w:rPr>
        <w:t>28/03</w:t>
      </w:r>
      <w:r w:rsidR="001F71DF">
        <w:rPr>
          <w:rFonts w:ascii="Arial Narrow" w:hAnsi="Arial Narrow"/>
          <w:sz w:val="15"/>
          <w:szCs w:val="15"/>
        </w:rPr>
        <w:t>/202</w:t>
      </w:r>
      <w:r w:rsidR="00003DC9">
        <w:rPr>
          <w:rFonts w:ascii="Arial Narrow" w:hAnsi="Arial Narrow"/>
          <w:sz w:val="15"/>
          <w:szCs w:val="15"/>
        </w:rPr>
        <w:t>2</w:t>
      </w:r>
      <w:r w:rsidR="00883FE5">
        <w:rPr>
          <w:rFonts w:ascii="Arial Narrow" w:hAnsi="Arial Narrow"/>
          <w:sz w:val="15"/>
          <w:szCs w:val="15"/>
        </w:rPr>
        <w:t xml:space="preserve"> - </w:t>
      </w:r>
      <w:hyperlink r:id="rId10" w:history="1">
        <w:r w:rsidR="00883FE5" w:rsidRPr="00F91366">
          <w:rPr>
            <w:rStyle w:val="Collegamentoipertestuale"/>
            <w:rFonts w:ascii="Arial Narrow" w:hAnsi="Arial Narrow"/>
            <w:sz w:val="15"/>
            <w:szCs w:val="15"/>
          </w:rPr>
          <w:t>https://transport.ec.europa.eu/news/preliminary-2021-eu-road-safety-statistics-2022-03-28_en</w:t>
        </w:r>
      </w:hyperlink>
      <w:r w:rsidR="00883FE5">
        <w:rPr>
          <w:rFonts w:ascii="Arial Narrow" w:hAnsi="Arial Narrow"/>
          <w:sz w:val="15"/>
          <w:szCs w:val="15"/>
        </w:rPr>
        <w:t xml:space="preserve"> </w:t>
      </w:r>
    </w:p>
    <w:p w14:paraId="4FB79284" w14:textId="2E559656" w:rsidR="00B6308E" w:rsidRDefault="00BE6ABD" w:rsidP="00B82E2D">
      <w:pPr>
        <w:autoSpaceDE w:val="0"/>
        <w:autoSpaceDN w:val="0"/>
        <w:adjustRightInd w:val="0"/>
        <w:jc w:val="both"/>
        <w:rPr>
          <w:rFonts w:ascii="Arial Narrow" w:hAnsi="Arial Narrow"/>
          <w:sz w:val="15"/>
          <w:szCs w:val="15"/>
        </w:rPr>
      </w:pPr>
      <w:r w:rsidRPr="000B3AFC">
        <w:rPr>
          <w:rFonts w:ascii="Arial Narrow" w:hAnsi="Arial Narrow"/>
          <w:sz w:val="15"/>
          <w:szCs w:val="15"/>
        </w:rPr>
        <w:t>(b) Le variazio</w:t>
      </w:r>
      <w:r w:rsidR="00ED3BCA">
        <w:rPr>
          <w:rFonts w:ascii="Arial Narrow" w:hAnsi="Arial Narrow"/>
          <w:sz w:val="15"/>
          <w:szCs w:val="15"/>
        </w:rPr>
        <w:t xml:space="preserve">ni percentuali rispetto al 2010, </w:t>
      </w:r>
      <w:r w:rsidR="00400C83" w:rsidRPr="000B3AFC">
        <w:rPr>
          <w:rFonts w:ascii="Arial Narrow" w:hAnsi="Arial Narrow"/>
          <w:sz w:val="15"/>
          <w:szCs w:val="15"/>
        </w:rPr>
        <w:t>2019</w:t>
      </w:r>
      <w:r w:rsidR="00ED3BCA">
        <w:rPr>
          <w:rFonts w:ascii="Arial Narrow" w:hAnsi="Arial Narrow"/>
          <w:sz w:val="15"/>
          <w:szCs w:val="15"/>
        </w:rPr>
        <w:t xml:space="preserve"> e 2020</w:t>
      </w:r>
      <w:r w:rsidRPr="000B3AFC">
        <w:rPr>
          <w:rFonts w:ascii="Arial Narrow" w:hAnsi="Arial Narrow"/>
          <w:sz w:val="15"/>
          <w:szCs w:val="15"/>
        </w:rPr>
        <w:t xml:space="preserve"> sono state calcolate come segue</w:t>
      </w:r>
      <w:r w:rsidR="00C05827" w:rsidRPr="000B3AFC">
        <w:rPr>
          <w:rFonts w:ascii="Arial Narrow" w:hAnsi="Arial Narrow"/>
          <w:sz w:val="15"/>
          <w:szCs w:val="15"/>
        </w:rPr>
        <w:t>: ((</w:t>
      </w:r>
      <w:r w:rsidR="00E138B7" w:rsidRPr="000B3AFC">
        <w:rPr>
          <w:rFonts w:ascii="Arial Narrow" w:hAnsi="Arial Narrow"/>
          <w:sz w:val="15"/>
          <w:szCs w:val="15"/>
        </w:rPr>
        <w:t>M</w:t>
      </w:r>
      <w:r w:rsidR="00400C83" w:rsidRPr="000B3AFC">
        <w:rPr>
          <w:rFonts w:ascii="Arial Narrow" w:hAnsi="Arial Narrow"/>
          <w:sz w:val="15"/>
          <w:szCs w:val="15"/>
          <w:vertAlign w:val="superscript"/>
        </w:rPr>
        <w:t>202</w:t>
      </w:r>
      <w:r w:rsidR="00003DC9" w:rsidRPr="000B3AFC">
        <w:rPr>
          <w:rFonts w:ascii="Arial Narrow" w:hAnsi="Arial Narrow"/>
          <w:sz w:val="15"/>
          <w:szCs w:val="15"/>
          <w:vertAlign w:val="superscript"/>
        </w:rPr>
        <w:t>1</w:t>
      </w:r>
      <w:r w:rsidR="00E138B7" w:rsidRPr="000B3AFC">
        <w:rPr>
          <w:rFonts w:ascii="Arial Narrow" w:hAnsi="Arial Narrow"/>
          <w:sz w:val="15"/>
          <w:szCs w:val="15"/>
        </w:rPr>
        <w:t>/</w:t>
      </w:r>
      <w:r w:rsidR="00C05827" w:rsidRPr="000B3AFC">
        <w:rPr>
          <w:rFonts w:ascii="Arial Narrow" w:hAnsi="Arial Narrow"/>
          <w:sz w:val="15"/>
          <w:szCs w:val="15"/>
        </w:rPr>
        <w:t xml:space="preserve"> M</w:t>
      </w:r>
      <w:r w:rsidR="00003DC9" w:rsidRPr="000B3AFC">
        <w:rPr>
          <w:rFonts w:ascii="Arial Narrow" w:hAnsi="Arial Narrow"/>
          <w:sz w:val="15"/>
          <w:szCs w:val="15"/>
          <w:vertAlign w:val="superscript"/>
        </w:rPr>
        <w:t>2020</w:t>
      </w:r>
      <w:r w:rsidR="00C05827" w:rsidRPr="000B3AFC">
        <w:rPr>
          <w:rFonts w:ascii="Arial Narrow" w:hAnsi="Arial Narrow"/>
          <w:sz w:val="15"/>
          <w:szCs w:val="15"/>
          <w:vertAlign w:val="superscript"/>
        </w:rPr>
        <w:t xml:space="preserve"> o</w:t>
      </w:r>
      <w:r w:rsidR="00003DC9" w:rsidRPr="000B3AFC">
        <w:rPr>
          <w:rFonts w:ascii="Arial Narrow" w:hAnsi="Arial Narrow"/>
          <w:sz w:val="15"/>
          <w:szCs w:val="15"/>
          <w:vertAlign w:val="superscript"/>
        </w:rPr>
        <w:t xml:space="preserve"> 2019 o </w:t>
      </w:r>
      <w:r w:rsidR="00C05827" w:rsidRPr="000B3AFC">
        <w:rPr>
          <w:rFonts w:ascii="Arial Narrow" w:hAnsi="Arial Narrow"/>
          <w:sz w:val="15"/>
          <w:szCs w:val="15"/>
          <w:vertAlign w:val="superscript"/>
        </w:rPr>
        <w:t xml:space="preserve"> 2010</w:t>
      </w:r>
      <w:r w:rsidR="00C05827" w:rsidRPr="000B3AFC">
        <w:rPr>
          <w:rFonts w:ascii="Arial Narrow" w:hAnsi="Arial Narrow"/>
          <w:sz w:val="15"/>
          <w:szCs w:val="15"/>
        </w:rPr>
        <w:t>)-1)*100</w:t>
      </w:r>
    </w:p>
    <w:p w14:paraId="507C9F94" w14:textId="77777777" w:rsidR="00407A1F" w:rsidRDefault="00407A1F" w:rsidP="002004D9">
      <w:pPr>
        <w:pStyle w:val="Testonormale"/>
        <w:tabs>
          <w:tab w:val="left" w:pos="0"/>
          <w:tab w:val="left" w:pos="851"/>
          <w:tab w:val="left" w:pos="5954"/>
        </w:tabs>
        <w:ind w:right="-34"/>
        <w:jc w:val="both"/>
        <w:rPr>
          <w:rFonts w:ascii="Arial" w:hAnsi="Arial"/>
        </w:rPr>
      </w:pPr>
    </w:p>
    <w:p w14:paraId="7DAF3331" w14:textId="77777777" w:rsidR="0078568C" w:rsidRDefault="0078568C" w:rsidP="006D568A">
      <w:pPr>
        <w:autoSpaceDE w:val="0"/>
        <w:autoSpaceDN w:val="0"/>
        <w:adjustRightInd w:val="0"/>
        <w:spacing w:after="120"/>
        <w:rPr>
          <w:rFonts w:ascii="Arial Narrow" w:hAnsi="Arial Narrow"/>
          <w:b/>
          <w:caps/>
          <w:color w:val="808080"/>
          <w:sz w:val="20"/>
        </w:rPr>
      </w:pPr>
    </w:p>
    <w:p w14:paraId="5802D17F" w14:textId="11B9432B" w:rsidR="00407A1F" w:rsidRDefault="00407A1F" w:rsidP="006D568A">
      <w:pPr>
        <w:autoSpaceDE w:val="0"/>
        <w:autoSpaceDN w:val="0"/>
        <w:adjustRightInd w:val="0"/>
        <w:spacing w:after="120"/>
        <w:rPr>
          <w:rFonts w:ascii="Arial Narrow" w:hAnsi="Arial Narrow"/>
          <w:bCs/>
          <w:sz w:val="19"/>
          <w:szCs w:val="19"/>
        </w:rPr>
      </w:pPr>
      <w:r w:rsidRPr="000B3AFC">
        <w:rPr>
          <w:rFonts w:ascii="Arial Narrow" w:hAnsi="Arial Narrow"/>
          <w:b/>
          <w:caps/>
          <w:color w:val="808080"/>
          <w:sz w:val="20"/>
        </w:rPr>
        <w:t xml:space="preserve">Figura </w:t>
      </w:r>
      <w:r w:rsidR="003F41A4" w:rsidRPr="000B3AFC">
        <w:rPr>
          <w:rFonts w:ascii="Arial Narrow" w:hAnsi="Arial Narrow"/>
          <w:b/>
          <w:caps/>
          <w:color w:val="808080"/>
          <w:sz w:val="20"/>
        </w:rPr>
        <w:t>2</w:t>
      </w:r>
      <w:r w:rsidRPr="000B3AFC">
        <w:rPr>
          <w:rFonts w:ascii="Arial Narrow" w:hAnsi="Arial Narrow"/>
          <w:b/>
          <w:caps/>
          <w:color w:val="808080"/>
          <w:sz w:val="20"/>
        </w:rPr>
        <w:t>. Tasso di mortalitÀ stradale nei Paesi europei (UE2</w:t>
      </w:r>
      <w:r w:rsidR="00B82E2D" w:rsidRPr="000B3AFC">
        <w:rPr>
          <w:rFonts w:ascii="Arial Narrow" w:hAnsi="Arial Narrow"/>
          <w:b/>
          <w:caps/>
          <w:color w:val="808080"/>
          <w:sz w:val="20"/>
        </w:rPr>
        <w:t>7</w:t>
      </w:r>
      <w:r w:rsidRPr="000B3AFC">
        <w:rPr>
          <w:rFonts w:ascii="Arial Narrow" w:hAnsi="Arial Narrow"/>
          <w:b/>
          <w:caps/>
          <w:color w:val="808080"/>
          <w:sz w:val="20"/>
        </w:rPr>
        <w:t xml:space="preserve">) </w:t>
      </w:r>
      <w:r w:rsidRPr="000B3AFC">
        <w:rPr>
          <w:rFonts w:ascii="Arial Narrow" w:hAnsi="Arial Narrow"/>
          <w:bCs/>
          <w:sz w:val="19"/>
          <w:szCs w:val="19"/>
        </w:rPr>
        <w:t>(a).</w:t>
      </w:r>
      <w:r w:rsidRPr="000B3AFC">
        <w:rPr>
          <w:rFonts w:ascii="Arial Narrow" w:hAnsi="Arial Narrow"/>
          <w:bCs/>
          <w:color w:val="808080"/>
          <w:sz w:val="20"/>
        </w:rPr>
        <w:t xml:space="preserve"> </w:t>
      </w:r>
      <w:r w:rsidR="0078568C" w:rsidRPr="000B3AFC">
        <w:rPr>
          <w:rFonts w:ascii="Arial Narrow" w:hAnsi="Arial Narrow"/>
          <w:bCs/>
          <w:sz w:val="19"/>
          <w:szCs w:val="19"/>
        </w:rPr>
        <w:t>Ann</w:t>
      </w:r>
      <w:r w:rsidR="0078568C">
        <w:rPr>
          <w:rFonts w:ascii="Arial Narrow" w:hAnsi="Arial Narrow"/>
          <w:bCs/>
          <w:sz w:val="19"/>
          <w:szCs w:val="19"/>
        </w:rPr>
        <w:t>i</w:t>
      </w:r>
      <w:r w:rsidR="0078568C" w:rsidRPr="000B3AFC">
        <w:rPr>
          <w:rFonts w:ascii="Arial Narrow" w:hAnsi="Arial Narrow"/>
          <w:bCs/>
          <w:sz w:val="19"/>
          <w:szCs w:val="19"/>
        </w:rPr>
        <w:t xml:space="preserve"> </w:t>
      </w:r>
      <w:r w:rsidR="00883FE5" w:rsidRPr="000B3AFC">
        <w:rPr>
          <w:rFonts w:ascii="Arial Narrow" w:hAnsi="Arial Narrow"/>
          <w:bCs/>
          <w:sz w:val="19"/>
          <w:szCs w:val="19"/>
        </w:rPr>
        <w:t>2010, 20</w:t>
      </w:r>
      <w:r w:rsidR="000B3AFC">
        <w:rPr>
          <w:rFonts w:ascii="Arial Narrow" w:hAnsi="Arial Narrow"/>
          <w:bCs/>
          <w:sz w:val="19"/>
          <w:szCs w:val="19"/>
        </w:rPr>
        <w:t>20</w:t>
      </w:r>
      <w:r w:rsidR="00883FE5" w:rsidRPr="000B3AFC">
        <w:rPr>
          <w:rFonts w:ascii="Arial Narrow" w:hAnsi="Arial Narrow"/>
          <w:bCs/>
          <w:sz w:val="19"/>
          <w:szCs w:val="19"/>
        </w:rPr>
        <w:t xml:space="preserve"> e 2021</w:t>
      </w:r>
    </w:p>
    <w:p w14:paraId="7F2BE214" w14:textId="69059933" w:rsidR="00407A1F" w:rsidRPr="008058F3" w:rsidRDefault="006D568A" w:rsidP="00090BAB">
      <w:pPr>
        <w:rPr>
          <w:rFonts w:ascii="Arial Narrow" w:hAnsi="Arial Narrow"/>
          <w:sz w:val="5"/>
          <w:szCs w:val="15"/>
        </w:rPr>
      </w:pPr>
      <w:r>
        <w:rPr>
          <w:noProof/>
        </w:rPr>
        <w:drawing>
          <wp:inline distT="0" distB="0" distL="0" distR="0" wp14:anchorId="16D32281" wp14:editId="08C0FACD">
            <wp:extent cx="6245225" cy="1964987"/>
            <wp:effectExtent l="0" t="0" r="3175" b="16510"/>
            <wp:docPr id="1" name="Grafico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8D1D83" w14:textId="77777777" w:rsidR="00407A1F" w:rsidRPr="001174EC" w:rsidRDefault="00407A1F" w:rsidP="006D568A">
      <w:pPr>
        <w:pStyle w:val="Paragrafoelenco"/>
        <w:numPr>
          <w:ilvl w:val="0"/>
          <w:numId w:val="12"/>
        </w:numPr>
        <w:tabs>
          <w:tab w:val="left" w:pos="142"/>
        </w:tabs>
        <w:autoSpaceDE w:val="0"/>
        <w:autoSpaceDN w:val="0"/>
        <w:adjustRightInd w:val="0"/>
        <w:spacing w:before="60"/>
        <w:jc w:val="both"/>
        <w:rPr>
          <w:rFonts w:ascii="Arial Narrow" w:hAnsi="Arial Narrow"/>
          <w:sz w:val="15"/>
          <w:szCs w:val="15"/>
          <w:lang w:val="en-US"/>
        </w:rPr>
      </w:pPr>
      <w:r w:rsidRPr="001174EC">
        <w:rPr>
          <w:rFonts w:ascii="Arial Narrow" w:hAnsi="Arial Narrow"/>
          <w:sz w:val="15"/>
          <w:szCs w:val="15"/>
        </w:rPr>
        <w:t xml:space="preserve">Morti per milione di abitanti; Fonte: European Transport Safety Council, Annual PIN report. </w:t>
      </w:r>
      <w:r w:rsidRPr="006E7023">
        <w:rPr>
          <w:rFonts w:ascii="Arial Narrow" w:hAnsi="Arial Narrow"/>
          <w:sz w:val="15"/>
          <w:szCs w:val="15"/>
          <w:lang w:val="en-US"/>
        </w:rPr>
        <w:t>Year 202</w:t>
      </w:r>
      <w:r w:rsidR="00883FE5">
        <w:rPr>
          <w:rFonts w:ascii="Arial Narrow" w:hAnsi="Arial Narrow"/>
          <w:sz w:val="15"/>
          <w:szCs w:val="15"/>
          <w:lang w:val="en-US"/>
        </w:rPr>
        <w:t>2</w:t>
      </w:r>
      <w:r w:rsidRPr="006E7023">
        <w:rPr>
          <w:rFonts w:ascii="Arial Narrow" w:hAnsi="Arial Narrow"/>
          <w:sz w:val="15"/>
          <w:szCs w:val="15"/>
          <w:lang w:val="en-US"/>
        </w:rPr>
        <w:t xml:space="preserve"> - </w:t>
      </w:r>
      <w:hyperlink r:id="rId12" w:history="1">
        <w:r w:rsidR="00883FE5" w:rsidRPr="00F91366">
          <w:rPr>
            <w:rStyle w:val="Collegamentoipertestuale"/>
            <w:rFonts w:ascii="Arial Narrow" w:hAnsi="Arial Narrow"/>
            <w:sz w:val="15"/>
            <w:szCs w:val="15"/>
            <w:lang w:val="en-US"/>
          </w:rPr>
          <w:t>https://etsc.eu/16th-annual-road-safety-performance-index-pin-report/</w:t>
        </w:r>
      </w:hyperlink>
      <w:r w:rsidR="00883FE5">
        <w:rPr>
          <w:rFonts w:ascii="Arial Narrow" w:hAnsi="Arial Narrow"/>
          <w:sz w:val="15"/>
          <w:szCs w:val="15"/>
          <w:lang w:val="en-US"/>
        </w:rPr>
        <w:t xml:space="preserve"> </w:t>
      </w:r>
      <w:hyperlink r:id="rId13" w:history="1"/>
      <w:r w:rsidRPr="001174EC">
        <w:rPr>
          <w:rFonts w:ascii="Arial Narrow" w:hAnsi="Arial Narrow"/>
          <w:sz w:val="15"/>
          <w:szCs w:val="15"/>
          <w:lang w:val="en-US"/>
        </w:rPr>
        <w:t xml:space="preserve"> </w:t>
      </w:r>
    </w:p>
    <w:p w14:paraId="61605395" w14:textId="724112BD" w:rsidR="0077325B" w:rsidRPr="00367572" w:rsidRDefault="0077325B" w:rsidP="00ED5289">
      <w:pPr>
        <w:pStyle w:val="Paragrafoelenco"/>
        <w:tabs>
          <w:tab w:val="left" w:pos="0"/>
          <w:tab w:val="left" w:pos="142"/>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jc w:val="both"/>
        <w:rPr>
          <w:b/>
          <w:sz w:val="22"/>
          <w:szCs w:val="22"/>
          <w:lang w:val="en-US"/>
        </w:rPr>
      </w:pPr>
      <w:r w:rsidRPr="00367572">
        <w:rPr>
          <w:b/>
          <w:sz w:val="22"/>
          <w:szCs w:val="22"/>
          <w:lang w:val="en-US"/>
        </w:rPr>
        <w:br w:type="page"/>
      </w:r>
    </w:p>
    <w:p w14:paraId="2DB21B5C" w14:textId="2A87329C" w:rsidR="000E6070" w:rsidRPr="00B75626" w:rsidRDefault="0078568C" w:rsidP="00ED5289">
      <w:pPr>
        <w:pStyle w:val="Paragrafoelenco"/>
        <w:tabs>
          <w:tab w:val="left" w:pos="0"/>
          <w:tab w:val="left" w:pos="142"/>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jc w:val="both"/>
        <w:rPr>
          <w:b/>
          <w:sz w:val="22"/>
          <w:szCs w:val="22"/>
        </w:rPr>
      </w:pPr>
      <w:r>
        <w:rPr>
          <w:b/>
          <w:sz w:val="22"/>
          <w:szCs w:val="22"/>
        </w:rPr>
        <w:lastRenderedPageBreak/>
        <w:t>A</w:t>
      </w:r>
      <w:r w:rsidR="000E6070" w:rsidRPr="00EA1D4E">
        <w:rPr>
          <w:b/>
          <w:sz w:val="22"/>
          <w:szCs w:val="22"/>
        </w:rPr>
        <w:t xml:space="preserve">ncora allarme </w:t>
      </w:r>
      <w:r w:rsidR="00C818EB">
        <w:rPr>
          <w:b/>
          <w:sz w:val="22"/>
          <w:szCs w:val="22"/>
        </w:rPr>
        <w:t xml:space="preserve">giovani e </w:t>
      </w:r>
      <w:r w:rsidR="000E6070" w:rsidRPr="00EA1D4E">
        <w:rPr>
          <w:b/>
          <w:sz w:val="22"/>
          <w:szCs w:val="22"/>
        </w:rPr>
        <w:t>bambini</w:t>
      </w:r>
    </w:p>
    <w:p w14:paraId="24D05A10" w14:textId="02223166" w:rsidR="000E6070" w:rsidRPr="00B75626" w:rsidRDefault="000E6070" w:rsidP="00ED5289">
      <w:pPr>
        <w:spacing w:after="120"/>
        <w:jc w:val="both"/>
        <w:rPr>
          <w:sz w:val="20"/>
        </w:rPr>
      </w:pPr>
      <w:r w:rsidRPr="00B75626">
        <w:rPr>
          <w:bCs/>
          <w:sz w:val="20"/>
        </w:rPr>
        <w:t>L</w:t>
      </w:r>
      <w:r w:rsidRPr="00B75626">
        <w:rPr>
          <w:sz w:val="20"/>
        </w:rPr>
        <w:t>e vittime di incidenti stradali sono state 2.</w:t>
      </w:r>
      <w:r>
        <w:rPr>
          <w:sz w:val="20"/>
        </w:rPr>
        <w:t>875</w:t>
      </w:r>
      <w:r w:rsidRPr="00B75626">
        <w:rPr>
          <w:sz w:val="20"/>
        </w:rPr>
        <w:t xml:space="preserve"> nel 202</w:t>
      </w:r>
      <w:r>
        <w:rPr>
          <w:sz w:val="20"/>
        </w:rPr>
        <w:t>1</w:t>
      </w:r>
      <w:r w:rsidRPr="00B75626">
        <w:rPr>
          <w:sz w:val="20"/>
        </w:rPr>
        <w:t xml:space="preserve">: </w:t>
      </w:r>
      <w:r>
        <w:rPr>
          <w:sz w:val="20"/>
        </w:rPr>
        <w:t>2.396</w:t>
      </w:r>
      <w:r w:rsidRPr="00B75626">
        <w:rPr>
          <w:sz w:val="20"/>
        </w:rPr>
        <w:t xml:space="preserve"> uomini</w:t>
      </w:r>
      <w:r>
        <w:rPr>
          <w:sz w:val="20"/>
        </w:rPr>
        <w:t xml:space="preserve"> (83,3%)</w:t>
      </w:r>
      <w:r w:rsidRPr="00B75626">
        <w:rPr>
          <w:sz w:val="20"/>
        </w:rPr>
        <w:t xml:space="preserve"> e 4</w:t>
      </w:r>
      <w:r>
        <w:rPr>
          <w:sz w:val="20"/>
        </w:rPr>
        <w:t>79</w:t>
      </w:r>
      <w:r w:rsidRPr="00B75626">
        <w:rPr>
          <w:sz w:val="20"/>
        </w:rPr>
        <w:t xml:space="preserve"> donne</w:t>
      </w:r>
      <w:r>
        <w:rPr>
          <w:sz w:val="20"/>
        </w:rPr>
        <w:t xml:space="preserve"> (16,7%)</w:t>
      </w:r>
      <w:r w:rsidRPr="00B75626">
        <w:rPr>
          <w:sz w:val="20"/>
        </w:rPr>
        <w:t>.</w:t>
      </w:r>
      <w:r>
        <w:rPr>
          <w:sz w:val="20"/>
        </w:rPr>
        <w:t xml:space="preserve">  La percentuale di uomini deceduti in incidente stradale risulta lievemente più alta rispetto alla consueta ripartizione percentuale (81% e 19%)</w:t>
      </w:r>
      <w:r w:rsidR="0078568C">
        <w:rPr>
          <w:sz w:val="20"/>
        </w:rPr>
        <w:t xml:space="preserve"> ed è presumibilmente </w:t>
      </w:r>
      <w:r>
        <w:rPr>
          <w:sz w:val="20"/>
        </w:rPr>
        <w:t xml:space="preserve">dovuta al mutamento delle abitudini di mobilità, ancora </w:t>
      </w:r>
      <w:r w:rsidR="0078568C">
        <w:rPr>
          <w:sz w:val="20"/>
        </w:rPr>
        <w:t xml:space="preserve">influenzate </w:t>
      </w:r>
      <w:r>
        <w:rPr>
          <w:sz w:val="20"/>
        </w:rPr>
        <w:t>d</w:t>
      </w:r>
      <w:r w:rsidR="0078568C">
        <w:rPr>
          <w:sz w:val="20"/>
        </w:rPr>
        <w:t>a</w:t>
      </w:r>
      <w:r>
        <w:rPr>
          <w:sz w:val="20"/>
        </w:rPr>
        <w:t xml:space="preserve">lle misure di contenimento della pandemia. </w:t>
      </w:r>
      <w:r w:rsidRPr="00B75626">
        <w:rPr>
          <w:sz w:val="20"/>
        </w:rPr>
        <w:t xml:space="preserve">I conducenti deceduti </w:t>
      </w:r>
      <w:r w:rsidR="0078568C">
        <w:rPr>
          <w:sz w:val="20"/>
        </w:rPr>
        <w:t>ammontano a</w:t>
      </w:r>
      <w:r w:rsidR="0078568C" w:rsidRPr="00B75626">
        <w:rPr>
          <w:sz w:val="20"/>
        </w:rPr>
        <w:t xml:space="preserve"> </w:t>
      </w:r>
      <w:r>
        <w:rPr>
          <w:sz w:val="20"/>
        </w:rPr>
        <w:t>2.072</w:t>
      </w:r>
      <w:r w:rsidRPr="00B75626">
        <w:rPr>
          <w:sz w:val="20"/>
        </w:rPr>
        <w:t xml:space="preserve"> (1.</w:t>
      </w:r>
      <w:r>
        <w:rPr>
          <w:sz w:val="20"/>
        </w:rPr>
        <w:t>870</w:t>
      </w:r>
      <w:r w:rsidRPr="00B75626">
        <w:rPr>
          <w:sz w:val="20"/>
        </w:rPr>
        <w:t xml:space="preserve"> uomini e </w:t>
      </w:r>
      <w:r>
        <w:rPr>
          <w:sz w:val="20"/>
        </w:rPr>
        <w:t>202</w:t>
      </w:r>
      <w:r w:rsidRPr="00B75626">
        <w:rPr>
          <w:sz w:val="20"/>
        </w:rPr>
        <w:t xml:space="preserve"> donne), i passeggeri</w:t>
      </w:r>
      <w:r w:rsidR="0078568C">
        <w:rPr>
          <w:sz w:val="20"/>
        </w:rPr>
        <w:t xml:space="preserve"> a</w:t>
      </w:r>
      <w:r w:rsidRPr="00B75626">
        <w:rPr>
          <w:sz w:val="20"/>
        </w:rPr>
        <w:t xml:space="preserve"> </w:t>
      </w:r>
      <w:r>
        <w:rPr>
          <w:sz w:val="20"/>
        </w:rPr>
        <w:t>332</w:t>
      </w:r>
      <w:r w:rsidRPr="00B75626">
        <w:rPr>
          <w:sz w:val="20"/>
        </w:rPr>
        <w:t xml:space="preserve"> (1</w:t>
      </w:r>
      <w:r>
        <w:rPr>
          <w:sz w:val="20"/>
        </w:rPr>
        <w:t>9</w:t>
      </w:r>
      <w:r w:rsidRPr="00B75626">
        <w:rPr>
          <w:sz w:val="20"/>
        </w:rPr>
        <w:t>6 uomini e 1</w:t>
      </w:r>
      <w:r>
        <w:rPr>
          <w:sz w:val="20"/>
        </w:rPr>
        <w:t>36</w:t>
      </w:r>
      <w:r w:rsidRPr="00B75626">
        <w:rPr>
          <w:sz w:val="20"/>
        </w:rPr>
        <w:t xml:space="preserve"> donne) e i pedoni</w:t>
      </w:r>
      <w:r w:rsidR="0078568C">
        <w:rPr>
          <w:sz w:val="20"/>
        </w:rPr>
        <w:t xml:space="preserve"> a</w:t>
      </w:r>
      <w:r w:rsidRPr="00B75626">
        <w:rPr>
          <w:sz w:val="20"/>
        </w:rPr>
        <w:t xml:space="preserve"> </w:t>
      </w:r>
      <w:r>
        <w:rPr>
          <w:sz w:val="20"/>
        </w:rPr>
        <w:t>471</w:t>
      </w:r>
      <w:r w:rsidRPr="00B75626">
        <w:rPr>
          <w:sz w:val="20"/>
        </w:rPr>
        <w:t xml:space="preserve"> (</w:t>
      </w:r>
      <w:r>
        <w:rPr>
          <w:sz w:val="20"/>
        </w:rPr>
        <w:t xml:space="preserve">330 </w:t>
      </w:r>
      <w:r w:rsidRPr="00B75626">
        <w:rPr>
          <w:sz w:val="20"/>
        </w:rPr>
        <w:t>uomini e 14</w:t>
      </w:r>
      <w:r>
        <w:rPr>
          <w:sz w:val="20"/>
        </w:rPr>
        <w:t>1</w:t>
      </w:r>
      <w:r w:rsidRPr="00B75626">
        <w:rPr>
          <w:sz w:val="20"/>
        </w:rPr>
        <w:t xml:space="preserve"> donne). </w:t>
      </w:r>
    </w:p>
    <w:p w14:paraId="681BCFC8" w14:textId="62931578" w:rsidR="000E6070" w:rsidRPr="002751E7" w:rsidRDefault="0078568C" w:rsidP="000E6070">
      <w:pPr>
        <w:spacing w:after="120"/>
        <w:jc w:val="both"/>
        <w:rPr>
          <w:sz w:val="20"/>
          <w:highlight w:val="yellow"/>
        </w:rPr>
      </w:pPr>
      <w:r>
        <w:rPr>
          <w:sz w:val="20"/>
        </w:rPr>
        <w:t>Guardando la</w:t>
      </w:r>
      <w:r w:rsidRPr="00030ACC">
        <w:rPr>
          <w:sz w:val="20"/>
        </w:rPr>
        <w:t xml:space="preserve"> distribuzione</w:t>
      </w:r>
      <w:r>
        <w:rPr>
          <w:sz w:val="20"/>
        </w:rPr>
        <w:t xml:space="preserve"> per età, </w:t>
      </w:r>
      <w:r w:rsidRPr="00030ACC">
        <w:rPr>
          <w:sz w:val="20"/>
        </w:rPr>
        <w:t>le vittime</w:t>
      </w:r>
      <w:r>
        <w:rPr>
          <w:sz w:val="20"/>
        </w:rPr>
        <w:t xml:space="preserve"> risultano concentrate </w:t>
      </w:r>
      <w:r w:rsidR="000E6070" w:rsidRPr="00030ACC">
        <w:rPr>
          <w:sz w:val="20"/>
        </w:rPr>
        <w:t>nelle class</w:t>
      </w:r>
      <w:r w:rsidR="002751E7">
        <w:rPr>
          <w:sz w:val="20"/>
        </w:rPr>
        <w:t xml:space="preserve">i </w:t>
      </w:r>
      <w:r w:rsidR="000E6070" w:rsidRPr="00030ACC">
        <w:rPr>
          <w:sz w:val="20"/>
        </w:rPr>
        <w:t>45-59 anni e 20-24</w:t>
      </w:r>
      <w:r w:rsidR="000E6070">
        <w:rPr>
          <w:sz w:val="20"/>
        </w:rPr>
        <w:t xml:space="preserve"> anni</w:t>
      </w:r>
      <w:r w:rsidR="000E6070" w:rsidRPr="00030ACC">
        <w:rPr>
          <w:sz w:val="20"/>
        </w:rPr>
        <w:t xml:space="preserve"> per gli uomini</w:t>
      </w:r>
      <w:r w:rsidR="002751E7">
        <w:rPr>
          <w:sz w:val="20"/>
        </w:rPr>
        <w:t>,</w:t>
      </w:r>
      <w:r w:rsidR="000E6070" w:rsidRPr="00030ACC">
        <w:rPr>
          <w:sz w:val="20"/>
        </w:rPr>
        <w:t xml:space="preserve"> tra i 70 e gli 84 anni e 20-24 anni per le donne. </w:t>
      </w:r>
      <w:r w:rsidR="002751E7">
        <w:rPr>
          <w:sz w:val="20"/>
        </w:rPr>
        <w:t>L’</w:t>
      </w:r>
      <w:r w:rsidR="000E6070">
        <w:rPr>
          <w:sz w:val="20"/>
        </w:rPr>
        <w:t>aumento più consistente rispetto al 2020</w:t>
      </w:r>
      <w:r w:rsidR="002751E7">
        <w:rPr>
          <w:sz w:val="20"/>
        </w:rPr>
        <w:t xml:space="preserve"> si registra però nel</w:t>
      </w:r>
      <w:r w:rsidR="000E6070">
        <w:rPr>
          <w:sz w:val="20"/>
        </w:rPr>
        <w:t xml:space="preserve">le classi di età 15-19 (+41,7%) e 25-29 anni (+34,9%), seguite dai 40-49-enni (+31,5%). </w:t>
      </w:r>
    </w:p>
    <w:p w14:paraId="0DFF1FCC" w14:textId="1DF87C4D" w:rsidR="000E6070" w:rsidRDefault="000E6070" w:rsidP="000E6070">
      <w:pPr>
        <w:spacing w:after="120"/>
        <w:jc w:val="both"/>
        <w:rPr>
          <w:sz w:val="20"/>
        </w:rPr>
      </w:pPr>
      <w:r w:rsidRPr="00610515">
        <w:rPr>
          <w:sz w:val="20"/>
        </w:rPr>
        <w:t xml:space="preserve">Continua a essere una nota negativa la quota elevata di bambini </w:t>
      </w:r>
      <w:r w:rsidR="002751E7">
        <w:rPr>
          <w:sz w:val="20"/>
        </w:rPr>
        <w:t xml:space="preserve">da 0 a 14 anni </w:t>
      </w:r>
      <w:r w:rsidRPr="00610515">
        <w:rPr>
          <w:sz w:val="20"/>
        </w:rPr>
        <w:t>deceduti in incidente stradale</w:t>
      </w:r>
      <w:r w:rsidR="002751E7">
        <w:rPr>
          <w:sz w:val="20"/>
        </w:rPr>
        <w:t xml:space="preserve"> (entro il 30 esimo giorno):</w:t>
      </w:r>
      <w:r w:rsidRPr="00610515">
        <w:rPr>
          <w:sz w:val="20"/>
        </w:rPr>
        <w:t xml:space="preserve"> </w:t>
      </w:r>
      <w:r w:rsidR="002751E7">
        <w:rPr>
          <w:sz w:val="20"/>
        </w:rPr>
        <w:t>s</w:t>
      </w:r>
      <w:r w:rsidRPr="00610515">
        <w:rPr>
          <w:sz w:val="20"/>
        </w:rPr>
        <w:t xml:space="preserve">ono </w:t>
      </w:r>
      <w:r>
        <w:rPr>
          <w:sz w:val="20"/>
        </w:rPr>
        <w:t xml:space="preserve">28 nel 2021, </w:t>
      </w:r>
      <w:r w:rsidR="00C818EB">
        <w:rPr>
          <w:sz w:val="20"/>
        </w:rPr>
        <w:t xml:space="preserve">dei quali </w:t>
      </w:r>
      <w:r>
        <w:rPr>
          <w:sz w:val="20"/>
        </w:rPr>
        <w:t xml:space="preserve">23 tra 5 e 14 anni </w:t>
      </w:r>
      <w:r w:rsidRPr="00610515">
        <w:rPr>
          <w:sz w:val="20"/>
        </w:rPr>
        <w:t>(</w:t>
      </w:r>
      <w:r>
        <w:rPr>
          <w:sz w:val="20"/>
        </w:rPr>
        <w:t>18</w:t>
      </w:r>
      <w:r w:rsidRPr="00610515">
        <w:rPr>
          <w:sz w:val="20"/>
        </w:rPr>
        <w:t xml:space="preserve"> nel 2019</w:t>
      </w:r>
      <w:r>
        <w:rPr>
          <w:sz w:val="20"/>
        </w:rPr>
        <w:t xml:space="preserve"> e ben 29 nel 2020</w:t>
      </w:r>
      <w:r w:rsidRPr="00610515">
        <w:rPr>
          <w:sz w:val="20"/>
        </w:rPr>
        <w:t>)</w:t>
      </w:r>
      <w:r w:rsidRPr="00610515">
        <w:rPr>
          <w:sz w:val="20"/>
          <w:vertAlign w:val="superscript"/>
        </w:rPr>
        <w:footnoteReference w:id="6"/>
      </w:r>
      <w:r w:rsidRPr="00610515">
        <w:rPr>
          <w:sz w:val="20"/>
        </w:rPr>
        <w:t xml:space="preserve">. </w:t>
      </w:r>
    </w:p>
    <w:p w14:paraId="0F739D6B" w14:textId="1FCFA2E0" w:rsidR="000E6070" w:rsidRPr="00CE0DF7" w:rsidRDefault="000E6070" w:rsidP="00B77A0E">
      <w:pPr>
        <w:jc w:val="both"/>
        <w:rPr>
          <w:sz w:val="20"/>
        </w:rPr>
      </w:pPr>
      <w:r>
        <w:rPr>
          <w:sz w:val="20"/>
        </w:rPr>
        <w:t xml:space="preserve">Il </w:t>
      </w:r>
      <w:r w:rsidRPr="00CE0DF7">
        <w:rPr>
          <w:sz w:val="20"/>
        </w:rPr>
        <w:t>P</w:t>
      </w:r>
      <w:r>
        <w:rPr>
          <w:sz w:val="20"/>
        </w:rPr>
        <w:t xml:space="preserve">iano </w:t>
      </w:r>
      <w:r w:rsidRPr="00CE0DF7">
        <w:rPr>
          <w:sz w:val="20"/>
        </w:rPr>
        <w:t>N</w:t>
      </w:r>
      <w:r>
        <w:rPr>
          <w:sz w:val="20"/>
        </w:rPr>
        <w:t xml:space="preserve">azionale per </w:t>
      </w:r>
      <w:r w:rsidRPr="00CE0DF7">
        <w:rPr>
          <w:sz w:val="20"/>
        </w:rPr>
        <w:t>S</w:t>
      </w:r>
      <w:r>
        <w:rPr>
          <w:sz w:val="20"/>
        </w:rPr>
        <w:t xml:space="preserve">icurezza </w:t>
      </w:r>
      <w:r w:rsidRPr="00CE0DF7">
        <w:rPr>
          <w:sz w:val="20"/>
        </w:rPr>
        <w:t>S</w:t>
      </w:r>
      <w:r>
        <w:rPr>
          <w:sz w:val="20"/>
        </w:rPr>
        <w:t>tradale (PNSS)</w:t>
      </w:r>
      <w:r w:rsidRPr="00CE0DF7">
        <w:rPr>
          <w:sz w:val="20"/>
        </w:rPr>
        <w:t xml:space="preserve"> 2030</w:t>
      </w:r>
      <w:r w:rsidR="00C818EB">
        <w:rPr>
          <w:sz w:val="20"/>
        </w:rPr>
        <w:t>,</w:t>
      </w:r>
      <w:r>
        <w:rPr>
          <w:sz w:val="20"/>
        </w:rPr>
        <w:t xml:space="preserve"> oltre a prevedere interventi finalizzati</w:t>
      </w:r>
      <w:r w:rsidRPr="00CE0DF7">
        <w:rPr>
          <w:sz w:val="20"/>
        </w:rPr>
        <w:t xml:space="preserve"> al raggiungimento dell’obiettivo generale (dimezzamento del numero totale di morti e feriti gravi), </w:t>
      </w:r>
      <w:r>
        <w:rPr>
          <w:sz w:val="20"/>
        </w:rPr>
        <w:t xml:space="preserve">individua </w:t>
      </w:r>
      <w:r w:rsidRPr="00CE0DF7">
        <w:rPr>
          <w:sz w:val="20"/>
        </w:rPr>
        <w:t>azioni prioritarie per il miglioramento delle condizioni di sicurezza stradale di alcune categorie di ut</w:t>
      </w:r>
      <w:r>
        <w:rPr>
          <w:sz w:val="20"/>
        </w:rPr>
        <w:t xml:space="preserve">enti particolarmente a rischio, tra </w:t>
      </w:r>
      <w:r w:rsidR="00C818EB">
        <w:rPr>
          <w:sz w:val="20"/>
        </w:rPr>
        <w:t>cui</w:t>
      </w:r>
      <w:r w:rsidRPr="00CE0DF7">
        <w:rPr>
          <w:sz w:val="20"/>
        </w:rPr>
        <w:t xml:space="preserve"> bambini</w:t>
      </w:r>
      <w:r>
        <w:rPr>
          <w:sz w:val="20"/>
        </w:rPr>
        <w:t xml:space="preserve"> e </w:t>
      </w:r>
      <w:r w:rsidRPr="00CE0DF7">
        <w:rPr>
          <w:sz w:val="20"/>
        </w:rPr>
        <w:t xml:space="preserve">adolescenti </w:t>
      </w:r>
      <w:r>
        <w:rPr>
          <w:sz w:val="20"/>
        </w:rPr>
        <w:t>tra 0 e</w:t>
      </w:r>
      <w:r w:rsidRPr="00CE0DF7">
        <w:rPr>
          <w:sz w:val="20"/>
        </w:rPr>
        <w:t xml:space="preserve"> 14 anni. Tuttavia, gli effetti positivi sperati, anche a seguito delle azioni messe in campo negli anni scorsi, non sono ancora tangibili e l’obiettivo di “zero vittime”</w:t>
      </w:r>
      <w:r w:rsidR="00C818EB">
        <w:rPr>
          <w:sz w:val="20"/>
        </w:rPr>
        <w:t xml:space="preserve"> </w:t>
      </w:r>
      <w:r w:rsidRPr="00CE0DF7">
        <w:rPr>
          <w:sz w:val="20"/>
        </w:rPr>
        <w:t>è ancora molto lontano.</w:t>
      </w:r>
    </w:p>
    <w:p w14:paraId="616AD036" w14:textId="77777777" w:rsidR="004F5E20" w:rsidRDefault="004F5E20" w:rsidP="004F5E20">
      <w:pPr>
        <w:widowControl w:val="0"/>
        <w:jc w:val="both"/>
        <w:rPr>
          <w:rFonts w:ascii="Arial Narrow" w:hAnsi="Arial Narrow"/>
          <w:b/>
          <w:caps/>
          <w:color w:val="808080"/>
          <w:sz w:val="20"/>
        </w:rPr>
      </w:pPr>
    </w:p>
    <w:p w14:paraId="59C28640" w14:textId="6DA4DD48" w:rsidR="000E6070" w:rsidRPr="00A32C94" w:rsidRDefault="000E6070" w:rsidP="00EE627C">
      <w:pPr>
        <w:widowControl w:val="0"/>
        <w:spacing w:after="120"/>
        <w:jc w:val="both"/>
        <w:rPr>
          <w:rFonts w:ascii="Arial Narrow" w:hAnsi="Arial Narrow"/>
          <w:caps/>
          <w:sz w:val="20"/>
        </w:rPr>
      </w:pPr>
      <w:r w:rsidRPr="0086611B">
        <w:rPr>
          <w:rFonts w:ascii="Arial Narrow" w:hAnsi="Arial Narrow"/>
          <w:b/>
          <w:caps/>
          <w:color w:val="808080"/>
          <w:sz w:val="20"/>
        </w:rPr>
        <w:t xml:space="preserve">Prospetto </w:t>
      </w:r>
      <w:r w:rsidR="00724E95">
        <w:rPr>
          <w:rFonts w:ascii="Arial Narrow" w:hAnsi="Arial Narrow"/>
          <w:b/>
          <w:caps/>
          <w:color w:val="808080"/>
          <w:sz w:val="20"/>
        </w:rPr>
        <w:t>3</w:t>
      </w:r>
      <w:r w:rsidRPr="0086611B">
        <w:rPr>
          <w:rFonts w:ascii="Arial Narrow" w:hAnsi="Arial Narrow"/>
          <w:b/>
          <w:caps/>
          <w:color w:val="808080"/>
          <w:sz w:val="20"/>
        </w:rPr>
        <w:t>. Morti</w:t>
      </w:r>
      <w:r w:rsidRPr="00A9541D">
        <w:rPr>
          <w:rFonts w:ascii="Arial Narrow" w:hAnsi="Arial Narrow"/>
          <w:b/>
          <w:caps/>
          <w:color w:val="808080"/>
          <w:sz w:val="20"/>
        </w:rPr>
        <w:t xml:space="preserve"> e feriti in</w:t>
      </w:r>
      <w:r>
        <w:rPr>
          <w:rFonts w:ascii="Arial Narrow" w:hAnsi="Arial Narrow"/>
          <w:b/>
          <w:caps/>
          <w:color w:val="808080"/>
          <w:sz w:val="20"/>
        </w:rPr>
        <w:t xml:space="preserve"> incidenti stradali per sesso eD</w:t>
      </w:r>
      <w:r w:rsidRPr="00A9541D">
        <w:rPr>
          <w:rFonts w:ascii="Arial Narrow" w:hAnsi="Arial Narrow"/>
          <w:b/>
          <w:caps/>
          <w:color w:val="808080"/>
          <w:sz w:val="20"/>
        </w:rPr>
        <w:t xml:space="preserve"> età</w:t>
      </w:r>
      <w:r w:rsidRPr="00AE74A8">
        <w:rPr>
          <w:rFonts w:ascii="Arial Narrow" w:hAnsi="Arial Narrow"/>
          <w:b/>
          <w:caps/>
          <w:color w:val="808080"/>
          <w:sz w:val="20"/>
        </w:rPr>
        <w:t xml:space="preserve">. </w:t>
      </w:r>
      <w:r w:rsidRPr="00966ED0">
        <w:rPr>
          <w:rFonts w:ascii="Arial Narrow" w:hAnsi="Arial Narrow"/>
          <w:sz w:val="19"/>
          <w:szCs w:val="19"/>
        </w:rPr>
        <w:t>Anno 20</w:t>
      </w:r>
      <w:r>
        <w:rPr>
          <w:rFonts w:ascii="Arial Narrow" w:hAnsi="Arial Narrow"/>
          <w:sz w:val="19"/>
          <w:szCs w:val="19"/>
        </w:rPr>
        <w:t>21</w:t>
      </w:r>
      <w:r w:rsidRPr="00966ED0">
        <w:rPr>
          <w:rFonts w:ascii="Arial Narrow" w:hAnsi="Arial Narrow"/>
          <w:sz w:val="19"/>
          <w:szCs w:val="19"/>
        </w:rPr>
        <w:t>, valori assoluti</w:t>
      </w:r>
      <w:r>
        <w:rPr>
          <w:rFonts w:ascii="Arial Narrow" w:hAnsi="Arial Narrow"/>
          <w:sz w:val="19"/>
          <w:szCs w:val="19"/>
        </w:rPr>
        <w:t xml:space="preserve"> e percentuali </w:t>
      </w:r>
      <w:r w:rsidRPr="001D6F78">
        <w:rPr>
          <w:rFonts w:ascii="Arial Narrow" w:hAnsi="Arial Narrow"/>
          <w:sz w:val="19"/>
          <w:szCs w:val="19"/>
        </w:rPr>
        <w:t>(a)</w:t>
      </w:r>
    </w:p>
    <w:tbl>
      <w:tblPr>
        <w:tblW w:w="978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351"/>
        <w:gridCol w:w="843"/>
        <w:gridCol w:w="783"/>
        <w:gridCol w:w="851"/>
        <w:gridCol w:w="895"/>
        <w:gridCol w:w="843"/>
        <w:gridCol w:w="843"/>
        <w:gridCol w:w="843"/>
        <w:gridCol w:w="843"/>
        <w:gridCol w:w="843"/>
        <w:gridCol w:w="843"/>
      </w:tblGrid>
      <w:tr w:rsidR="000E6070" w:rsidRPr="003C2D6C" w14:paraId="3BF9C68F" w14:textId="77777777" w:rsidTr="00236108">
        <w:trPr>
          <w:trHeight w:hRule="exact" w:val="311"/>
        </w:trPr>
        <w:tc>
          <w:tcPr>
            <w:tcW w:w="1351" w:type="dxa"/>
            <w:vMerge w:val="restart"/>
            <w:vAlign w:val="center"/>
          </w:tcPr>
          <w:p w14:paraId="16A52EE7" w14:textId="00846A3B" w:rsidR="000E6070" w:rsidRPr="003C2D6C" w:rsidRDefault="000E6070" w:rsidP="002B0091">
            <w:pPr>
              <w:spacing w:before="40" w:after="20"/>
              <w:ind w:left="157"/>
              <w:rPr>
                <w:rFonts w:ascii="Arial Narrow" w:eastAsia="Arial Unicode MS" w:hAnsi="Arial Narrow"/>
                <w:b/>
                <w:bCs/>
                <w:sz w:val="18"/>
                <w:szCs w:val="18"/>
              </w:rPr>
            </w:pPr>
            <w:r w:rsidRPr="003C2D6C">
              <w:rPr>
                <w:rFonts w:ascii="Arial Narrow" w:hAnsi="Arial Narrow"/>
                <w:b/>
                <w:bCs/>
                <w:sz w:val="18"/>
                <w:szCs w:val="18"/>
              </w:rPr>
              <w:t xml:space="preserve">CLASSI DI </w:t>
            </w:r>
            <w:r w:rsidRPr="00A32C94">
              <w:rPr>
                <w:rFonts w:ascii="Arial Narrow" w:hAnsi="Arial Narrow"/>
                <w:b/>
                <w:bCs/>
                <w:sz w:val="18"/>
                <w:szCs w:val="18"/>
              </w:rPr>
              <w:t>ET</w:t>
            </w:r>
            <w:r w:rsidRPr="00A32C94">
              <w:rPr>
                <w:rFonts w:ascii="Arial Narrow" w:hAnsi="Arial Narrow"/>
                <w:b/>
                <w:sz w:val="18"/>
                <w:szCs w:val="18"/>
              </w:rPr>
              <w:t xml:space="preserve">Á </w:t>
            </w:r>
          </w:p>
        </w:tc>
        <w:tc>
          <w:tcPr>
            <w:tcW w:w="2477" w:type="dxa"/>
            <w:gridSpan w:val="3"/>
            <w:shd w:val="clear" w:color="auto" w:fill="FFFFFF" w:themeFill="background1"/>
            <w:vAlign w:val="center"/>
          </w:tcPr>
          <w:p w14:paraId="5A050BBD" w14:textId="77777777" w:rsidR="000E6070" w:rsidRPr="003C2D6C" w:rsidRDefault="000E6070" w:rsidP="00236108">
            <w:pPr>
              <w:spacing w:before="40" w:after="20"/>
              <w:jc w:val="center"/>
              <w:rPr>
                <w:rFonts w:ascii="Arial Narrow" w:hAnsi="Arial Narrow"/>
                <w:b/>
                <w:bCs/>
                <w:sz w:val="18"/>
                <w:szCs w:val="18"/>
              </w:rPr>
            </w:pPr>
            <w:r w:rsidRPr="003C2D6C">
              <w:rPr>
                <w:rFonts w:ascii="Arial Narrow" w:hAnsi="Arial Narrow"/>
                <w:b/>
                <w:bCs/>
                <w:sz w:val="18"/>
                <w:szCs w:val="18"/>
              </w:rPr>
              <w:t>Morti</w:t>
            </w:r>
            <w:r>
              <w:rPr>
                <w:rFonts w:ascii="Arial Narrow" w:hAnsi="Arial Narrow"/>
                <w:b/>
                <w:bCs/>
                <w:sz w:val="18"/>
                <w:szCs w:val="18"/>
              </w:rPr>
              <w:t xml:space="preserve"> (entro 30 giorni)</w:t>
            </w:r>
          </w:p>
        </w:tc>
        <w:tc>
          <w:tcPr>
            <w:tcW w:w="2581" w:type="dxa"/>
            <w:gridSpan w:val="3"/>
            <w:shd w:val="clear" w:color="auto" w:fill="FFFFFF" w:themeFill="background1"/>
            <w:vAlign w:val="center"/>
          </w:tcPr>
          <w:p w14:paraId="0EA037DE" w14:textId="77777777" w:rsidR="000E6070" w:rsidRDefault="000E6070" w:rsidP="00236108">
            <w:pPr>
              <w:spacing w:before="40" w:after="20"/>
              <w:jc w:val="center"/>
              <w:rPr>
                <w:rFonts w:ascii="Arial Narrow" w:hAnsi="Arial Narrow"/>
                <w:b/>
                <w:bCs/>
                <w:color w:val="000000" w:themeColor="text1"/>
                <w:sz w:val="18"/>
                <w:szCs w:val="18"/>
              </w:rPr>
            </w:pPr>
            <w:r w:rsidRPr="003C2D6C">
              <w:rPr>
                <w:rFonts w:ascii="Arial Narrow" w:hAnsi="Arial Narrow"/>
                <w:b/>
                <w:bCs/>
                <w:sz w:val="18"/>
                <w:szCs w:val="18"/>
              </w:rPr>
              <w:t>Feriti</w:t>
            </w:r>
          </w:p>
        </w:tc>
        <w:tc>
          <w:tcPr>
            <w:tcW w:w="1686" w:type="dxa"/>
            <w:gridSpan w:val="2"/>
            <w:shd w:val="clear" w:color="auto" w:fill="FFFFFF" w:themeFill="background1"/>
            <w:vAlign w:val="center"/>
          </w:tcPr>
          <w:p w14:paraId="338BE9D6" w14:textId="77777777" w:rsidR="000E6070" w:rsidRDefault="000E6070" w:rsidP="00236108">
            <w:pPr>
              <w:spacing w:before="40" w:after="20"/>
              <w:jc w:val="center"/>
              <w:rPr>
                <w:rFonts w:ascii="Arial Narrow" w:hAnsi="Arial Narrow"/>
                <w:b/>
                <w:bCs/>
                <w:color w:val="000000" w:themeColor="text1"/>
                <w:sz w:val="18"/>
                <w:szCs w:val="18"/>
              </w:rPr>
            </w:pPr>
            <w:r w:rsidRPr="007B73F4">
              <w:rPr>
                <w:rFonts w:ascii="Arial Narrow" w:hAnsi="Arial Narrow"/>
                <w:b/>
                <w:bCs/>
                <w:color w:val="000000" w:themeColor="text1"/>
                <w:sz w:val="18"/>
                <w:szCs w:val="18"/>
              </w:rPr>
              <w:t xml:space="preserve">Variazioni % </w:t>
            </w:r>
            <w:r>
              <w:rPr>
                <w:rFonts w:ascii="Arial Narrow" w:hAnsi="Arial Narrow"/>
                <w:b/>
                <w:bCs/>
                <w:color w:val="000000" w:themeColor="text1"/>
                <w:sz w:val="18"/>
                <w:szCs w:val="18"/>
              </w:rPr>
              <w:t>2021/2019</w:t>
            </w:r>
          </w:p>
        </w:tc>
        <w:tc>
          <w:tcPr>
            <w:tcW w:w="1686" w:type="dxa"/>
            <w:gridSpan w:val="2"/>
            <w:shd w:val="clear" w:color="auto" w:fill="FFFFFF" w:themeFill="background1"/>
            <w:vAlign w:val="center"/>
          </w:tcPr>
          <w:p w14:paraId="19967456" w14:textId="77777777" w:rsidR="000E6070" w:rsidRPr="007B73F4" w:rsidRDefault="000E6070" w:rsidP="00236108">
            <w:pPr>
              <w:spacing w:before="40" w:after="20"/>
              <w:jc w:val="center"/>
              <w:rPr>
                <w:rFonts w:ascii="Arial Narrow" w:hAnsi="Arial Narrow"/>
                <w:b/>
                <w:bCs/>
                <w:color w:val="000000" w:themeColor="text1"/>
                <w:sz w:val="18"/>
                <w:szCs w:val="18"/>
              </w:rPr>
            </w:pPr>
            <w:r w:rsidRPr="007B73F4">
              <w:rPr>
                <w:rFonts w:ascii="Arial Narrow" w:hAnsi="Arial Narrow"/>
                <w:b/>
                <w:bCs/>
                <w:color w:val="000000" w:themeColor="text1"/>
                <w:sz w:val="18"/>
                <w:szCs w:val="18"/>
              </w:rPr>
              <w:t xml:space="preserve">Variazioni % </w:t>
            </w:r>
            <w:r>
              <w:rPr>
                <w:rFonts w:ascii="Arial Narrow" w:hAnsi="Arial Narrow"/>
                <w:b/>
                <w:bCs/>
                <w:color w:val="000000" w:themeColor="text1"/>
                <w:sz w:val="18"/>
                <w:szCs w:val="18"/>
              </w:rPr>
              <w:t>2021/2020</w:t>
            </w:r>
          </w:p>
        </w:tc>
      </w:tr>
      <w:tr w:rsidR="000E6070" w:rsidRPr="003C2D6C" w14:paraId="49827994" w14:textId="77777777" w:rsidTr="00236108">
        <w:trPr>
          <w:trHeight w:hRule="exact" w:val="287"/>
        </w:trPr>
        <w:tc>
          <w:tcPr>
            <w:tcW w:w="1351" w:type="dxa"/>
            <w:vMerge/>
            <w:vAlign w:val="center"/>
          </w:tcPr>
          <w:p w14:paraId="78432214" w14:textId="77777777" w:rsidR="000E6070" w:rsidRPr="003C2D6C" w:rsidRDefault="000E6070" w:rsidP="00236108">
            <w:pPr>
              <w:spacing w:before="40" w:after="20"/>
              <w:ind w:left="157"/>
              <w:rPr>
                <w:rFonts w:ascii="Arial Narrow" w:eastAsia="Arial Unicode MS" w:hAnsi="Arial Narrow"/>
                <w:sz w:val="18"/>
                <w:szCs w:val="18"/>
              </w:rPr>
            </w:pPr>
          </w:p>
        </w:tc>
        <w:tc>
          <w:tcPr>
            <w:tcW w:w="843" w:type="dxa"/>
            <w:shd w:val="clear" w:color="auto" w:fill="auto"/>
            <w:vAlign w:val="center"/>
          </w:tcPr>
          <w:p w14:paraId="427F5A11" w14:textId="77777777" w:rsidR="000E6070" w:rsidRPr="008332E0" w:rsidRDefault="000E6070" w:rsidP="00236108">
            <w:pPr>
              <w:tabs>
                <w:tab w:val="left" w:pos="341"/>
              </w:tabs>
              <w:spacing w:before="40" w:after="20"/>
              <w:jc w:val="center"/>
              <w:rPr>
                <w:rFonts w:ascii="Arial Narrow" w:hAnsi="Arial Narrow"/>
                <w:sz w:val="18"/>
                <w:szCs w:val="18"/>
              </w:rPr>
            </w:pPr>
            <w:r w:rsidRPr="008332E0">
              <w:rPr>
                <w:rFonts w:ascii="Arial Narrow" w:hAnsi="Arial Narrow"/>
                <w:sz w:val="18"/>
                <w:szCs w:val="18"/>
              </w:rPr>
              <w:t>Maschi</w:t>
            </w:r>
          </w:p>
        </w:tc>
        <w:tc>
          <w:tcPr>
            <w:tcW w:w="783" w:type="dxa"/>
            <w:shd w:val="clear" w:color="auto" w:fill="auto"/>
            <w:vAlign w:val="center"/>
          </w:tcPr>
          <w:p w14:paraId="2AAF214F" w14:textId="77777777" w:rsidR="000E6070" w:rsidRPr="008332E0" w:rsidRDefault="000E6070" w:rsidP="00236108">
            <w:pPr>
              <w:tabs>
                <w:tab w:val="left" w:pos="341"/>
              </w:tabs>
              <w:spacing w:before="40" w:after="20"/>
              <w:jc w:val="center"/>
              <w:rPr>
                <w:rFonts w:ascii="Arial Narrow" w:hAnsi="Arial Narrow"/>
                <w:sz w:val="18"/>
                <w:szCs w:val="18"/>
              </w:rPr>
            </w:pPr>
            <w:r w:rsidRPr="008332E0">
              <w:rPr>
                <w:rFonts w:ascii="Arial Narrow" w:hAnsi="Arial Narrow"/>
                <w:sz w:val="18"/>
                <w:szCs w:val="18"/>
              </w:rPr>
              <w:t>Femmine</w:t>
            </w:r>
          </w:p>
        </w:tc>
        <w:tc>
          <w:tcPr>
            <w:tcW w:w="851" w:type="dxa"/>
            <w:shd w:val="clear" w:color="auto" w:fill="auto"/>
            <w:vAlign w:val="center"/>
          </w:tcPr>
          <w:p w14:paraId="1B9D9317" w14:textId="77777777" w:rsidR="000E6070" w:rsidRPr="008332E0" w:rsidRDefault="000E6070" w:rsidP="00236108">
            <w:pPr>
              <w:tabs>
                <w:tab w:val="left" w:pos="341"/>
              </w:tabs>
              <w:spacing w:before="40" w:after="20"/>
              <w:jc w:val="center"/>
              <w:rPr>
                <w:rFonts w:ascii="Arial Narrow" w:hAnsi="Arial Narrow"/>
                <w:sz w:val="18"/>
                <w:szCs w:val="18"/>
              </w:rPr>
            </w:pPr>
            <w:r w:rsidRPr="008332E0">
              <w:rPr>
                <w:rFonts w:ascii="Arial Narrow" w:hAnsi="Arial Narrow"/>
                <w:sz w:val="18"/>
                <w:szCs w:val="18"/>
              </w:rPr>
              <w:t>Totale</w:t>
            </w:r>
          </w:p>
        </w:tc>
        <w:tc>
          <w:tcPr>
            <w:tcW w:w="895" w:type="dxa"/>
            <w:shd w:val="clear" w:color="auto" w:fill="auto"/>
            <w:vAlign w:val="center"/>
          </w:tcPr>
          <w:p w14:paraId="0720A676" w14:textId="77777777" w:rsidR="000E6070" w:rsidRPr="002C4ABC" w:rsidRDefault="000E6070" w:rsidP="00236108">
            <w:pPr>
              <w:tabs>
                <w:tab w:val="left" w:pos="341"/>
              </w:tabs>
              <w:spacing w:before="40" w:after="20"/>
              <w:jc w:val="center"/>
              <w:rPr>
                <w:rFonts w:ascii="Arial Narrow" w:hAnsi="Arial Narrow"/>
                <w:sz w:val="18"/>
                <w:szCs w:val="18"/>
              </w:rPr>
            </w:pPr>
            <w:r w:rsidRPr="002C4ABC">
              <w:rPr>
                <w:rFonts w:ascii="Arial Narrow" w:hAnsi="Arial Narrow"/>
                <w:sz w:val="18"/>
                <w:szCs w:val="18"/>
              </w:rPr>
              <w:t>Maschi</w:t>
            </w:r>
          </w:p>
        </w:tc>
        <w:tc>
          <w:tcPr>
            <w:tcW w:w="843" w:type="dxa"/>
            <w:shd w:val="clear" w:color="auto" w:fill="auto"/>
            <w:vAlign w:val="center"/>
          </w:tcPr>
          <w:p w14:paraId="0A9EACD3" w14:textId="77777777" w:rsidR="000E6070" w:rsidRPr="002C4ABC" w:rsidRDefault="000E6070" w:rsidP="00236108">
            <w:pPr>
              <w:tabs>
                <w:tab w:val="left" w:pos="341"/>
              </w:tabs>
              <w:spacing w:before="40" w:after="20"/>
              <w:jc w:val="center"/>
              <w:rPr>
                <w:rFonts w:ascii="Arial Narrow" w:hAnsi="Arial Narrow"/>
                <w:sz w:val="18"/>
                <w:szCs w:val="18"/>
              </w:rPr>
            </w:pPr>
            <w:r w:rsidRPr="002C4ABC">
              <w:rPr>
                <w:rFonts w:ascii="Arial Narrow" w:hAnsi="Arial Narrow"/>
                <w:sz w:val="18"/>
                <w:szCs w:val="18"/>
              </w:rPr>
              <w:t>Femmine</w:t>
            </w:r>
          </w:p>
        </w:tc>
        <w:tc>
          <w:tcPr>
            <w:tcW w:w="843" w:type="dxa"/>
            <w:shd w:val="clear" w:color="auto" w:fill="auto"/>
            <w:vAlign w:val="center"/>
          </w:tcPr>
          <w:p w14:paraId="0458D7B9" w14:textId="77777777" w:rsidR="000E6070" w:rsidRPr="002C4ABC" w:rsidRDefault="000E6070" w:rsidP="00236108">
            <w:pPr>
              <w:tabs>
                <w:tab w:val="left" w:pos="341"/>
              </w:tabs>
              <w:spacing w:before="40" w:after="20"/>
              <w:jc w:val="center"/>
              <w:rPr>
                <w:rFonts w:ascii="Arial Narrow" w:hAnsi="Arial Narrow"/>
                <w:sz w:val="18"/>
                <w:szCs w:val="18"/>
              </w:rPr>
            </w:pPr>
            <w:r w:rsidRPr="002C4ABC">
              <w:rPr>
                <w:rFonts w:ascii="Arial Narrow" w:hAnsi="Arial Narrow"/>
                <w:sz w:val="18"/>
                <w:szCs w:val="18"/>
              </w:rPr>
              <w:t>Totale</w:t>
            </w:r>
          </w:p>
        </w:tc>
        <w:tc>
          <w:tcPr>
            <w:tcW w:w="843" w:type="dxa"/>
            <w:shd w:val="clear" w:color="auto" w:fill="FFFFFF" w:themeFill="background1"/>
            <w:vAlign w:val="center"/>
          </w:tcPr>
          <w:p w14:paraId="5F58891B" w14:textId="77777777" w:rsidR="000E6070" w:rsidRPr="007B73F4" w:rsidRDefault="000E6070" w:rsidP="00236108">
            <w:pPr>
              <w:tabs>
                <w:tab w:val="left" w:pos="341"/>
              </w:tabs>
              <w:spacing w:before="40" w:after="20"/>
              <w:jc w:val="center"/>
              <w:rPr>
                <w:rFonts w:ascii="Arial Narrow" w:hAnsi="Arial Narrow"/>
                <w:sz w:val="18"/>
                <w:szCs w:val="18"/>
              </w:rPr>
            </w:pPr>
            <w:r w:rsidRPr="007B73F4">
              <w:rPr>
                <w:rFonts w:ascii="Arial Narrow" w:hAnsi="Arial Narrow"/>
                <w:sz w:val="18"/>
                <w:szCs w:val="18"/>
              </w:rPr>
              <w:t>Morti</w:t>
            </w:r>
          </w:p>
        </w:tc>
        <w:tc>
          <w:tcPr>
            <w:tcW w:w="843" w:type="dxa"/>
            <w:shd w:val="clear" w:color="auto" w:fill="FFFFFF" w:themeFill="background1"/>
            <w:vAlign w:val="center"/>
          </w:tcPr>
          <w:p w14:paraId="6290B3C9" w14:textId="77777777" w:rsidR="000E6070" w:rsidRPr="007B73F4" w:rsidRDefault="000E6070" w:rsidP="00236108">
            <w:pPr>
              <w:tabs>
                <w:tab w:val="left" w:pos="341"/>
              </w:tabs>
              <w:spacing w:before="40" w:after="20"/>
              <w:jc w:val="center"/>
              <w:rPr>
                <w:rFonts w:ascii="Arial Narrow" w:hAnsi="Arial Narrow"/>
                <w:sz w:val="18"/>
                <w:szCs w:val="18"/>
              </w:rPr>
            </w:pPr>
            <w:r w:rsidRPr="007B73F4">
              <w:rPr>
                <w:rFonts w:ascii="Arial Narrow" w:hAnsi="Arial Narrow"/>
                <w:sz w:val="18"/>
                <w:szCs w:val="18"/>
              </w:rPr>
              <w:t>Feriti</w:t>
            </w:r>
          </w:p>
        </w:tc>
        <w:tc>
          <w:tcPr>
            <w:tcW w:w="843" w:type="dxa"/>
            <w:shd w:val="clear" w:color="auto" w:fill="FFFFFF" w:themeFill="background1"/>
            <w:vAlign w:val="center"/>
          </w:tcPr>
          <w:p w14:paraId="644E2432" w14:textId="77777777" w:rsidR="000E6070" w:rsidRPr="007B73F4" w:rsidRDefault="000E6070" w:rsidP="00236108">
            <w:pPr>
              <w:tabs>
                <w:tab w:val="left" w:pos="341"/>
              </w:tabs>
              <w:spacing w:before="40" w:after="20"/>
              <w:jc w:val="center"/>
              <w:rPr>
                <w:rFonts w:ascii="Arial Narrow" w:hAnsi="Arial Narrow"/>
                <w:sz w:val="18"/>
                <w:szCs w:val="18"/>
              </w:rPr>
            </w:pPr>
            <w:r w:rsidRPr="007B73F4">
              <w:rPr>
                <w:rFonts w:ascii="Arial Narrow" w:hAnsi="Arial Narrow"/>
                <w:sz w:val="18"/>
                <w:szCs w:val="18"/>
              </w:rPr>
              <w:t>Morti</w:t>
            </w:r>
          </w:p>
        </w:tc>
        <w:tc>
          <w:tcPr>
            <w:tcW w:w="843" w:type="dxa"/>
            <w:shd w:val="clear" w:color="auto" w:fill="FFFFFF" w:themeFill="background1"/>
            <w:vAlign w:val="center"/>
          </w:tcPr>
          <w:p w14:paraId="24CF8DDF" w14:textId="77777777" w:rsidR="000E6070" w:rsidRPr="007B73F4" w:rsidRDefault="000E6070" w:rsidP="00236108">
            <w:pPr>
              <w:tabs>
                <w:tab w:val="left" w:pos="341"/>
              </w:tabs>
              <w:spacing w:before="40" w:after="20"/>
              <w:jc w:val="center"/>
              <w:rPr>
                <w:rFonts w:ascii="Arial Narrow" w:hAnsi="Arial Narrow"/>
                <w:sz w:val="18"/>
                <w:szCs w:val="18"/>
              </w:rPr>
            </w:pPr>
            <w:r w:rsidRPr="007B73F4">
              <w:rPr>
                <w:rFonts w:ascii="Arial Narrow" w:hAnsi="Arial Narrow"/>
                <w:sz w:val="18"/>
                <w:szCs w:val="18"/>
              </w:rPr>
              <w:t>Feriti</w:t>
            </w:r>
          </w:p>
        </w:tc>
      </w:tr>
      <w:tr w:rsidR="000E6070" w:rsidRPr="003C2D6C" w14:paraId="59BDAD14" w14:textId="77777777" w:rsidTr="00FA7778">
        <w:trPr>
          <w:trHeight w:hRule="exact" w:val="255"/>
        </w:trPr>
        <w:tc>
          <w:tcPr>
            <w:tcW w:w="1351" w:type="dxa"/>
            <w:vAlign w:val="center"/>
          </w:tcPr>
          <w:p w14:paraId="2D7F0D3D" w14:textId="77777777" w:rsidR="000E6070" w:rsidRPr="003C2D6C" w:rsidRDefault="000E6070" w:rsidP="00236108">
            <w:pPr>
              <w:ind w:left="157"/>
              <w:rPr>
                <w:rFonts w:ascii="Arial Narrow" w:hAnsi="Arial Narrow"/>
                <w:sz w:val="18"/>
                <w:szCs w:val="18"/>
              </w:rPr>
            </w:pPr>
            <w:r>
              <w:rPr>
                <w:rFonts w:ascii="Arial Narrow" w:hAnsi="Arial Narrow"/>
                <w:sz w:val="18"/>
                <w:szCs w:val="18"/>
              </w:rPr>
              <w:t>0 - 4</w:t>
            </w:r>
          </w:p>
        </w:tc>
        <w:tc>
          <w:tcPr>
            <w:tcW w:w="843" w:type="dxa"/>
            <w:shd w:val="clear" w:color="auto" w:fill="D9D9D9" w:themeFill="background1" w:themeFillShade="D9"/>
            <w:vAlign w:val="center"/>
          </w:tcPr>
          <w:p w14:paraId="7E2BBB44"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w:t>
            </w:r>
          </w:p>
        </w:tc>
        <w:tc>
          <w:tcPr>
            <w:tcW w:w="783" w:type="dxa"/>
            <w:vAlign w:val="center"/>
          </w:tcPr>
          <w:p w14:paraId="6EBC254C"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w:t>
            </w:r>
          </w:p>
        </w:tc>
        <w:tc>
          <w:tcPr>
            <w:tcW w:w="851" w:type="dxa"/>
            <w:shd w:val="clear" w:color="auto" w:fill="D9D9D9" w:themeFill="background1" w:themeFillShade="D9"/>
            <w:vAlign w:val="center"/>
          </w:tcPr>
          <w:p w14:paraId="42EFCFB7"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w:t>
            </w:r>
          </w:p>
        </w:tc>
        <w:tc>
          <w:tcPr>
            <w:tcW w:w="895" w:type="dxa"/>
            <w:vAlign w:val="center"/>
          </w:tcPr>
          <w:p w14:paraId="05008A1B"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1.011</w:t>
            </w:r>
          </w:p>
        </w:tc>
        <w:tc>
          <w:tcPr>
            <w:tcW w:w="843" w:type="dxa"/>
            <w:shd w:val="clear" w:color="auto" w:fill="D9D9D9" w:themeFill="background1" w:themeFillShade="D9"/>
            <w:vAlign w:val="center"/>
          </w:tcPr>
          <w:p w14:paraId="00BEF37F"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760</w:t>
            </w:r>
          </w:p>
        </w:tc>
        <w:tc>
          <w:tcPr>
            <w:tcW w:w="843" w:type="dxa"/>
            <w:vAlign w:val="center"/>
          </w:tcPr>
          <w:p w14:paraId="388FFFC4"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1.771</w:t>
            </w:r>
          </w:p>
        </w:tc>
        <w:tc>
          <w:tcPr>
            <w:tcW w:w="843" w:type="dxa"/>
            <w:shd w:val="clear" w:color="auto" w:fill="D9D9D9" w:themeFill="background1" w:themeFillShade="D9"/>
            <w:vAlign w:val="center"/>
          </w:tcPr>
          <w:p w14:paraId="0753D7A0" w14:textId="77777777" w:rsidR="000E6070" w:rsidRPr="007E4606" w:rsidRDefault="000E6070" w:rsidP="00236108">
            <w:pPr>
              <w:ind w:right="170"/>
              <w:jc w:val="right"/>
              <w:rPr>
                <w:rFonts w:ascii="Arial Narrow" w:hAnsi="Arial Narrow" w:cs="Times New Roman"/>
                <w:color w:val="000000"/>
                <w:sz w:val="18"/>
                <w:szCs w:val="18"/>
              </w:rPr>
            </w:pPr>
            <w:r w:rsidRPr="007E4606">
              <w:rPr>
                <w:rFonts w:ascii="Arial Narrow" w:hAnsi="Arial Narrow"/>
                <w:color w:val="000000"/>
                <w:sz w:val="18"/>
                <w:szCs w:val="18"/>
              </w:rPr>
              <w:t>-70,6</w:t>
            </w:r>
          </w:p>
        </w:tc>
        <w:tc>
          <w:tcPr>
            <w:tcW w:w="843" w:type="dxa"/>
            <w:vAlign w:val="center"/>
          </w:tcPr>
          <w:p w14:paraId="3683D6C3" w14:textId="77777777" w:rsidR="000E6070" w:rsidRPr="007E4606" w:rsidRDefault="000E6070" w:rsidP="00236108">
            <w:pPr>
              <w:ind w:right="170"/>
              <w:jc w:val="right"/>
              <w:rPr>
                <w:rFonts w:ascii="Arial Narrow" w:hAnsi="Arial Narrow" w:cs="Times New Roman"/>
                <w:color w:val="000000"/>
                <w:sz w:val="18"/>
                <w:szCs w:val="18"/>
              </w:rPr>
            </w:pPr>
            <w:r w:rsidRPr="007E4606">
              <w:rPr>
                <w:rFonts w:ascii="Arial Narrow" w:hAnsi="Arial Narrow"/>
                <w:color w:val="000000"/>
                <w:sz w:val="18"/>
                <w:szCs w:val="18"/>
              </w:rPr>
              <w:t>-30,9</w:t>
            </w:r>
          </w:p>
        </w:tc>
        <w:tc>
          <w:tcPr>
            <w:tcW w:w="843" w:type="dxa"/>
            <w:shd w:val="clear" w:color="auto" w:fill="D9D9D9" w:themeFill="background1" w:themeFillShade="D9"/>
            <w:vAlign w:val="center"/>
          </w:tcPr>
          <w:p w14:paraId="7AD2D52C" w14:textId="77777777" w:rsidR="000E6070" w:rsidRPr="007E4606" w:rsidRDefault="000E6070" w:rsidP="00236108">
            <w:pPr>
              <w:ind w:right="170"/>
              <w:jc w:val="right"/>
              <w:rPr>
                <w:rFonts w:ascii="Arial Narrow" w:hAnsi="Arial Narrow" w:cs="Times New Roman"/>
                <w:color w:val="000000"/>
                <w:sz w:val="18"/>
                <w:szCs w:val="18"/>
              </w:rPr>
            </w:pPr>
            <w:r w:rsidRPr="007E4606">
              <w:rPr>
                <w:rFonts w:ascii="Arial Narrow" w:hAnsi="Arial Narrow"/>
                <w:color w:val="000000"/>
                <w:sz w:val="18"/>
                <w:szCs w:val="18"/>
              </w:rPr>
              <w:t>-37,5</w:t>
            </w:r>
          </w:p>
        </w:tc>
        <w:tc>
          <w:tcPr>
            <w:tcW w:w="843" w:type="dxa"/>
            <w:vAlign w:val="center"/>
          </w:tcPr>
          <w:p w14:paraId="0548ED21" w14:textId="1A4019AD" w:rsidR="000E6070" w:rsidRPr="007E4606" w:rsidRDefault="002B0091" w:rsidP="00236108">
            <w:pPr>
              <w:ind w:right="170"/>
              <w:jc w:val="right"/>
              <w:rPr>
                <w:rFonts w:ascii="Arial Narrow" w:hAnsi="Arial Narrow" w:cs="Times New Roman"/>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31,6</w:t>
            </w:r>
          </w:p>
        </w:tc>
      </w:tr>
      <w:tr w:rsidR="000E6070" w:rsidRPr="003C2D6C" w14:paraId="75EE46BA" w14:textId="77777777" w:rsidTr="00FA7778">
        <w:trPr>
          <w:trHeight w:hRule="exact" w:val="255"/>
        </w:trPr>
        <w:tc>
          <w:tcPr>
            <w:tcW w:w="1351" w:type="dxa"/>
            <w:vAlign w:val="center"/>
          </w:tcPr>
          <w:p w14:paraId="5CA5CAE8" w14:textId="77777777" w:rsidR="000E6070" w:rsidRPr="003C2D6C" w:rsidRDefault="000E6070" w:rsidP="00236108">
            <w:pPr>
              <w:ind w:left="157"/>
              <w:rPr>
                <w:rFonts w:ascii="Arial Narrow" w:hAnsi="Arial Narrow"/>
                <w:sz w:val="18"/>
                <w:szCs w:val="18"/>
              </w:rPr>
            </w:pPr>
            <w:r>
              <w:rPr>
                <w:rFonts w:ascii="Arial Narrow" w:hAnsi="Arial Narrow"/>
                <w:sz w:val="18"/>
                <w:szCs w:val="18"/>
              </w:rPr>
              <w:t>5</w:t>
            </w:r>
            <w:r w:rsidRPr="003C2D6C">
              <w:rPr>
                <w:rFonts w:ascii="Arial Narrow" w:hAnsi="Arial Narrow"/>
                <w:sz w:val="18"/>
                <w:szCs w:val="18"/>
              </w:rPr>
              <w:t xml:space="preserve"> - 9 </w:t>
            </w:r>
          </w:p>
        </w:tc>
        <w:tc>
          <w:tcPr>
            <w:tcW w:w="843" w:type="dxa"/>
            <w:shd w:val="clear" w:color="auto" w:fill="D9D9D9" w:themeFill="background1" w:themeFillShade="D9"/>
            <w:vAlign w:val="center"/>
          </w:tcPr>
          <w:p w14:paraId="5F65FCAC"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w:t>
            </w:r>
          </w:p>
        </w:tc>
        <w:tc>
          <w:tcPr>
            <w:tcW w:w="783" w:type="dxa"/>
            <w:vAlign w:val="center"/>
          </w:tcPr>
          <w:p w14:paraId="669B3CE1"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w:t>
            </w:r>
          </w:p>
        </w:tc>
        <w:tc>
          <w:tcPr>
            <w:tcW w:w="851" w:type="dxa"/>
            <w:shd w:val="clear" w:color="auto" w:fill="D9D9D9" w:themeFill="background1" w:themeFillShade="D9"/>
            <w:vAlign w:val="center"/>
          </w:tcPr>
          <w:p w14:paraId="6C7B813E"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6</w:t>
            </w:r>
          </w:p>
        </w:tc>
        <w:tc>
          <w:tcPr>
            <w:tcW w:w="895" w:type="dxa"/>
            <w:vAlign w:val="center"/>
          </w:tcPr>
          <w:p w14:paraId="591A0AE1"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1.344</w:t>
            </w:r>
          </w:p>
        </w:tc>
        <w:tc>
          <w:tcPr>
            <w:tcW w:w="843" w:type="dxa"/>
            <w:shd w:val="clear" w:color="auto" w:fill="D9D9D9" w:themeFill="background1" w:themeFillShade="D9"/>
            <w:vAlign w:val="center"/>
          </w:tcPr>
          <w:p w14:paraId="57202E2E"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985</w:t>
            </w:r>
          </w:p>
        </w:tc>
        <w:tc>
          <w:tcPr>
            <w:tcW w:w="843" w:type="dxa"/>
            <w:vAlign w:val="center"/>
          </w:tcPr>
          <w:p w14:paraId="08988FC1"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2.329</w:t>
            </w:r>
          </w:p>
        </w:tc>
        <w:tc>
          <w:tcPr>
            <w:tcW w:w="843" w:type="dxa"/>
            <w:shd w:val="clear" w:color="auto" w:fill="D9D9D9" w:themeFill="background1" w:themeFillShade="D9"/>
            <w:vAlign w:val="center"/>
          </w:tcPr>
          <w:p w14:paraId="5FCF87F3" w14:textId="409DE33A"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50,0</w:t>
            </w:r>
          </w:p>
        </w:tc>
        <w:tc>
          <w:tcPr>
            <w:tcW w:w="843" w:type="dxa"/>
            <w:vAlign w:val="center"/>
          </w:tcPr>
          <w:p w14:paraId="379F4EE4"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-32,0</w:t>
            </w:r>
          </w:p>
        </w:tc>
        <w:tc>
          <w:tcPr>
            <w:tcW w:w="843" w:type="dxa"/>
            <w:shd w:val="clear" w:color="auto" w:fill="D9D9D9" w:themeFill="background1" w:themeFillShade="D9"/>
            <w:vAlign w:val="center"/>
          </w:tcPr>
          <w:p w14:paraId="75A263F5"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-40,0</w:t>
            </w:r>
          </w:p>
        </w:tc>
        <w:tc>
          <w:tcPr>
            <w:tcW w:w="843" w:type="dxa"/>
            <w:vAlign w:val="center"/>
          </w:tcPr>
          <w:p w14:paraId="71E193C1" w14:textId="2EA6960C"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26,9</w:t>
            </w:r>
          </w:p>
        </w:tc>
      </w:tr>
      <w:tr w:rsidR="000E6070" w:rsidRPr="003C2D6C" w14:paraId="3A6391F3" w14:textId="77777777" w:rsidTr="00FA7778">
        <w:trPr>
          <w:trHeight w:hRule="exact" w:val="255"/>
        </w:trPr>
        <w:tc>
          <w:tcPr>
            <w:tcW w:w="1351" w:type="dxa"/>
            <w:vAlign w:val="center"/>
          </w:tcPr>
          <w:p w14:paraId="511C31E6"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10 -14 </w:t>
            </w:r>
          </w:p>
        </w:tc>
        <w:tc>
          <w:tcPr>
            <w:tcW w:w="843" w:type="dxa"/>
            <w:shd w:val="clear" w:color="auto" w:fill="D9D9D9" w:themeFill="background1" w:themeFillShade="D9"/>
            <w:vAlign w:val="center"/>
          </w:tcPr>
          <w:p w14:paraId="41B326C9"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12</w:t>
            </w:r>
          </w:p>
        </w:tc>
        <w:tc>
          <w:tcPr>
            <w:tcW w:w="783" w:type="dxa"/>
            <w:vAlign w:val="center"/>
          </w:tcPr>
          <w:p w14:paraId="10E3CBE2"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w:t>
            </w:r>
          </w:p>
        </w:tc>
        <w:tc>
          <w:tcPr>
            <w:tcW w:w="851" w:type="dxa"/>
            <w:shd w:val="clear" w:color="auto" w:fill="D9D9D9" w:themeFill="background1" w:themeFillShade="D9"/>
            <w:vAlign w:val="center"/>
          </w:tcPr>
          <w:p w14:paraId="0E114EEF"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w:t>
            </w:r>
          </w:p>
        </w:tc>
        <w:tc>
          <w:tcPr>
            <w:tcW w:w="895" w:type="dxa"/>
            <w:vAlign w:val="center"/>
          </w:tcPr>
          <w:p w14:paraId="490DD248"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2.429</w:t>
            </w:r>
          </w:p>
        </w:tc>
        <w:tc>
          <w:tcPr>
            <w:tcW w:w="843" w:type="dxa"/>
            <w:shd w:val="clear" w:color="auto" w:fill="D9D9D9" w:themeFill="background1" w:themeFillShade="D9"/>
            <w:vAlign w:val="center"/>
          </w:tcPr>
          <w:p w14:paraId="3248FB7C"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1.672</w:t>
            </w:r>
          </w:p>
        </w:tc>
        <w:tc>
          <w:tcPr>
            <w:tcW w:w="843" w:type="dxa"/>
            <w:vAlign w:val="center"/>
          </w:tcPr>
          <w:p w14:paraId="34E48A08"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4.101</w:t>
            </w:r>
          </w:p>
        </w:tc>
        <w:tc>
          <w:tcPr>
            <w:tcW w:w="843" w:type="dxa"/>
            <w:shd w:val="clear" w:color="auto" w:fill="D9D9D9" w:themeFill="background1" w:themeFillShade="D9"/>
            <w:vAlign w:val="center"/>
          </w:tcPr>
          <w:p w14:paraId="3E902169" w14:textId="2D11AE99"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21,4</w:t>
            </w:r>
          </w:p>
        </w:tc>
        <w:tc>
          <w:tcPr>
            <w:tcW w:w="843" w:type="dxa"/>
            <w:vAlign w:val="center"/>
          </w:tcPr>
          <w:p w14:paraId="3A5E7E14"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-19,6</w:t>
            </w:r>
          </w:p>
        </w:tc>
        <w:tc>
          <w:tcPr>
            <w:tcW w:w="843" w:type="dxa"/>
            <w:shd w:val="clear" w:color="auto" w:fill="D9D9D9" w:themeFill="background1" w:themeFillShade="D9"/>
            <w:vAlign w:val="center"/>
          </w:tcPr>
          <w:p w14:paraId="5617A34D"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-10,5</w:t>
            </w:r>
          </w:p>
        </w:tc>
        <w:tc>
          <w:tcPr>
            <w:tcW w:w="843" w:type="dxa"/>
            <w:vAlign w:val="center"/>
          </w:tcPr>
          <w:p w14:paraId="63E0993C" w14:textId="5D87CCB7"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38,0</w:t>
            </w:r>
          </w:p>
        </w:tc>
      </w:tr>
      <w:tr w:rsidR="000E6070" w:rsidRPr="003C2D6C" w14:paraId="5FBAE966" w14:textId="77777777" w:rsidTr="00FA7778">
        <w:trPr>
          <w:trHeight w:hRule="exact" w:val="255"/>
        </w:trPr>
        <w:tc>
          <w:tcPr>
            <w:tcW w:w="1351" w:type="dxa"/>
            <w:vAlign w:val="center"/>
          </w:tcPr>
          <w:p w14:paraId="18E2FA7C"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15 -19 </w:t>
            </w:r>
          </w:p>
        </w:tc>
        <w:tc>
          <w:tcPr>
            <w:tcW w:w="843" w:type="dxa"/>
            <w:shd w:val="clear" w:color="auto" w:fill="D9D9D9" w:themeFill="background1" w:themeFillShade="D9"/>
            <w:vAlign w:val="center"/>
          </w:tcPr>
          <w:p w14:paraId="56B02D67"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122</w:t>
            </w:r>
          </w:p>
        </w:tc>
        <w:tc>
          <w:tcPr>
            <w:tcW w:w="783" w:type="dxa"/>
            <w:vAlign w:val="center"/>
          </w:tcPr>
          <w:p w14:paraId="3FCAB7C3"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24</w:t>
            </w:r>
          </w:p>
        </w:tc>
        <w:tc>
          <w:tcPr>
            <w:tcW w:w="851" w:type="dxa"/>
            <w:shd w:val="clear" w:color="auto" w:fill="D9D9D9" w:themeFill="background1" w:themeFillShade="D9"/>
            <w:vAlign w:val="center"/>
          </w:tcPr>
          <w:p w14:paraId="5EF88A88"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146</w:t>
            </w:r>
          </w:p>
        </w:tc>
        <w:tc>
          <w:tcPr>
            <w:tcW w:w="895" w:type="dxa"/>
            <w:vAlign w:val="center"/>
          </w:tcPr>
          <w:p w14:paraId="7FE76350"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12.667</w:t>
            </w:r>
          </w:p>
        </w:tc>
        <w:tc>
          <w:tcPr>
            <w:tcW w:w="843" w:type="dxa"/>
            <w:shd w:val="clear" w:color="auto" w:fill="D9D9D9" w:themeFill="background1" w:themeFillShade="D9"/>
            <w:vAlign w:val="center"/>
          </w:tcPr>
          <w:p w14:paraId="6AD9E115"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5.474</w:t>
            </w:r>
          </w:p>
        </w:tc>
        <w:tc>
          <w:tcPr>
            <w:tcW w:w="843" w:type="dxa"/>
            <w:vAlign w:val="center"/>
          </w:tcPr>
          <w:p w14:paraId="439CC78F"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18.141</w:t>
            </w:r>
          </w:p>
        </w:tc>
        <w:tc>
          <w:tcPr>
            <w:tcW w:w="843" w:type="dxa"/>
            <w:shd w:val="clear" w:color="auto" w:fill="D9D9D9" w:themeFill="background1" w:themeFillShade="D9"/>
            <w:vAlign w:val="center"/>
          </w:tcPr>
          <w:p w14:paraId="70A08633"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-7,6</w:t>
            </w:r>
          </w:p>
        </w:tc>
        <w:tc>
          <w:tcPr>
            <w:tcW w:w="843" w:type="dxa"/>
            <w:vAlign w:val="center"/>
          </w:tcPr>
          <w:p w14:paraId="594936C8"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-3,4</w:t>
            </w:r>
          </w:p>
        </w:tc>
        <w:tc>
          <w:tcPr>
            <w:tcW w:w="843" w:type="dxa"/>
            <w:shd w:val="clear" w:color="auto" w:fill="D9D9D9" w:themeFill="background1" w:themeFillShade="D9"/>
            <w:vAlign w:val="center"/>
          </w:tcPr>
          <w:p w14:paraId="68C771FE" w14:textId="2FFD3CFE"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41,7</w:t>
            </w:r>
          </w:p>
        </w:tc>
        <w:tc>
          <w:tcPr>
            <w:tcW w:w="843" w:type="dxa"/>
            <w:vAlign w:val="center"/>
          </w:tcPr>
          <w:p w14:paraId="466D0739" w14:textId="73A88595"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48,4</w:t>
            </w:r>
          </w:p>
        </w:tc>
      </w:tr>
      <w:tr w:rsidR="000E6070" w:rsidRPr="003C2D6C" w14:paraId="51B3CA96" w14:textId="77777777" w:rsidTr="00FA7778">
        <w:trPr>
          <w:trHeight w:hRule="exact" w:val="255"/>
        </w:trPr>
        <w:tc>
          <w:tcPr>
            <w:tcW w:w="1351" w:type="dxa"/>
            <w:vAlign w:val="center"/>
          </w:tcPr>
          <w:p w14:paraId="2098EA23"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20 -24 </w:t>
            </w:r>
          </w:p>
        </w:tc>
        <w:tc>
          <w:tcPr>
            <w:tcW w:w="843" w:type="dxa"/>
            <w:shd w:val="clear" w:color="auto" w:fill="D9D9D9" w:themeFill="background1" w:themeFillShade="D9"/>
            <w:vAlign w:val="center"/>
          </w:tcPr>
          <w:p w14:paraId="255B12C3"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179</w:t>
            </w:r>
          </w:p>
        </w:tc>
        <w:tc>
          <w:tcPr>
            <w:tcW w:w="783" w:type="dxa"/>
            <w:vAlign w:val="center"/>
          </w:tcPr>
          <w:p w14:paraId="31EB98B5"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40</w:t>
            </w:r>
          </w:p>
        </w:tc>
        <w:tc>
          <w:tcPr>
            <w:tcW w:w="851" w:type="dxa"/>
            <w:shd w:val="clear" w:color="auto" w:fill="D9D9D9" w:themeFill="background1" w:themeFillShade="D9"/>
            <w:vAlign w:val="center"/>
          </w:tcPr>
          <w:p w14:paraId="364E37BD"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219</w:t>
            </w:r>
          </w:p>
        </w:tc>
        <w:tc>
          <w:tcPr>
            <w:tcW w:w="895" w:type="dxa"/>
            <w:vAlign w:val="center"/>
          </w:tcPr>
          <w:p w14:paraId="71BD1B48"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16.245</w:t>
            </w:r>
          </w:p>
        </w:tc>
        <w:tc>
          <w:tcPr>
            <w:tcW w:w="843" w:type="dxa"/>
            <w:shd w:val="clear" w:color="auto" w:fill="D9D9D9" w:themeFill="background1" w:themeFillShade="D9"/>
            <w:vAlign w:val="center"/>
          </w:tcPr>
          <w:p w14:paraId="7ECCA040"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7.737</w:t>
            </w:r>
          </w:p>
        </w:tc>
        <w:tc>
          <w:tcPr>
            <w:tcW w:w="843" w:type="dxa"/>
            <w:vAlign w:val="center"/>
          </w:tcPr>
          <w:p w14:paraId="0B2CA446"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23.982</w:t>
            </w:r>
          </w:p>
        </w:tc>
        <w:tc>
          <w:tcPr>
            <w:tcW w:w="843" w:type="dxa"/>
            <w:shd w:val="clear" w:color="auto" w:fill="D9D9D9" w:themeFill="background1" w:themeFillShade="D9"/>
            <w:vAlign w:val="center"/>
          </w:tcPr>
          <w:p w14:paraId="4AA6CFFF"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-11,7</w:t>
            </w:r>
          </w:p>
        </w:tc>
        <w:tc>
          <w:tcPr>
            <w:tcW w:w="843" w:type="dxa"/>
            <w:vAlign w:val="center"/>
          </w:tcPr>
          <w:p w14:paraId="7C8636CF"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-7,0</w:t>
            </w:r>
          </w:p>
        </w:tc>
        <w:tc>
          <w:tcPr>
            <w:tcW w:w="843" w:type="dxa"/>
            <w:shd w:val="clear" w:color="auto" w:fill="D9D9D9" w:themeFill="background1" w:themeFillShade="D9"/>
            <w:vAlign w:val="center"/>
          </w:tcPr>
          <w:p w14:paraId="43F1A6D9" w14:textId="1773B009"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21,7</w:t>
            </w:r>
          </w:p>
        </w:tc>
        <w:tc>
          <w:tcPr>
            <w:tcW w:w="843" w:type="dxa"/>
            <w:vAlign w:val="center"/>
          </w:tcPr>
          <w:p w14:paraId="289AB238" w14:textId="6EDCFE7A"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39,8</w:t>
            </w:r>
          </w:p>
        </w:tc>
      </w:tr>
      <w:tr w:rsidR="000E6070" w:rsidRPr="003C2D6C" w14:paraId="1A0277B8" w14:textId="77777777" w:rsidTr="00FA7778">
        <w:trPr>
          <w:trHeight w:hRule="exact" w:val="255"/>
        </w:trPr>
        <w:tc>
          <w:tcPr>
            <w:tcW w:w="1351" w:type="dxa"/>
            <w:vAlign w:val="center"/>
          </w:tcPr>
          <w:p w14:paraId="796FB7D4"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25 -29 </w:t>
            </w:r>
          </w:p>
        </w:tc>
        <w:tc>
          <w:tcPr>
            <w:tcW w:w="843" w:type="dxa"/>
            <w:shd w:val="clear" w:color="auto" w:fill="D9D9D9" w:themeFill="background1" w:themeFillShade="D9"/>
            <w:vAlign w:val="center"/>
          </w:tcPr>
          <w:p w14:paraId="4DEC29F7"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162</w:t>
            </w:r>
          </w:p>
        </w:tc>
        <w:tc>
          <w:tcPr>
            <w:tcW w:w="783" w:type="dxa"/>
            <w:vAlign w:val="center"/>
          </w:tcPr>
          <w:p w14:paraId="7812BC92"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39</w:t>
            </w:r>
          </w:p>
        </w:tc>
        <w:tc>
          <w:tcPr>
            <w:tcW w:w="851" w:type="dxa"/>
            <w:shd w:val="clear" w:color="auto" w:fill="D9D9D9" w:themeFill="background1" w:themeFillShade="D9"/>
            <w:vAlign w:val="center"/>
          </w:tcPr>
          <w:p w14:paraId="01D93710"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201</w:t>
            </w:r>
          </w:p>
        </w:tc>
        <w:tc>
          <w:tcPr>
            <w:tcW w:w="895" w:type="dxa"/>
            <w:vAlign w:val="center"/>
          </w:tcPr>
          <w:p w14:paraId="05220468"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13.254</w:t>
            </w:r>
          </w:p>
        </w:tc>
        <w:tc>
          <w:tcPr>
            <w:tcW w:w="843" w:type="dxa"/>
            <w:shd w:val="clear" w:color="auto" w:fill="D9D9D9" w:themeFill="background1" w:themeFillShade="D9"/>
            <w:vAlign w:val="center"/>
          </w:tcPr>
          <w:p w14:paraId="050FC7FA"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6.696</w:t>
            </w:r>
          </w:p>
        </w:tc>
        <w:tc>
          <w:tcPr>
            <w:tcW w:w="843" w:type="dxa"/>
            <w:vAlign w:val="center"/>
          </w:tcPr>
          <w:p w14:paraId="49778326"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19.950</w:t>
            </w:r>
          </w:p>
        </w:tc>
        <w:tc>
          <w:tcPr>
            <w:tcW w:w="843" w:type="dxa"/>
            <w:shd w:val="clear" w:color="auto" w:fill="D9D9D9" w:themeFill="background1" w:themeFillShade="D9"/>
            <w:vAlign w:val="center"/>
          </w:tcPr>
          <w:p w14:paraId="08EF2260"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-7,8</w:t>
            </w:r>
          </w:p>
        </w:tc>
        <w:tc>
          <w:tcPr>
            <w:tcW w:w="843" w:type="dxa"/>
            <w:vAlign w:val="center"/>
          </w:tcPr>
          <w:p w14:paraId="59067A17"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-13,6</w:t>
            </w:r>
          </w:p>
        </w:tc>
        <w:tc>
          <w:tcPr>
            <w:tcW w:w="843" w:type="dxa"/>
            <w:shd w:val="clear" w:color="auto" w:fill="D9D9D9" w:themeFill="background1" w:themeFillShade="D9"/>
            <w:vAlign w:val="center"/>
          </w:tcPr>
          <w:p w14:paraId="6886AD8D" w14:textId="2E875840"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34,9</w:t>
            </w:r>
          </w:p>
        </w:tc>
        <w:tc>
          <w:tcPr>
            <w:tcW w:w="843" w:type="dxa"/>
            <w:vAlign w:val="center"/>
          </w:tcPr>
          <w:p w14:paraId="11BCFB54" w14:textId="64726658"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32,2</w:t>
            </w:r>
          </w:p>
        </w:tc>
      </w:tr>
      <w:tr w:rsidR="000E6070" w:rsidRPr="003C2D6C" w14:paraId="480AE7C9" w14:textId="77777777" w:rsidTr="00FA7778">
        <w:trPr>
          <w:trHeight w:hRule="exact" w:val="255"/>
        </w:trPr>
        <w:tc>
          <w:tcPr>
            <w:tcW w:w="1351" w:type="dxa"/>
            <w:vAlign w:val="center"/>
          </w:tcPr>
          <w:p w14:paraId="6BB79C24"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30 - 34 </w:t>
            </w:r>
          </w:p>
        </w:tc>
        <w:tc>
          <w:tcPr>
            <w:tcW w:w="843" w:type="dxa"/>
            <w:shd w:val="clear" w:color="auto" w:fill="D9D9D9" w:themeFill="background1" w:themeFillShade="D9"/>
            <w:vAlign w:val="center"/>
          </w:tcPr>
          <w:p w14:paraId="7DEE0A29"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158</w:t>
            </w:r>
          </w:p>
        </w:tc>
        <w:tc>
          <w:tcPr>
            <w:tcW w:w="783" w:type="dxa"/>
            <w:vAlign w:val="center"/>
          </w:tcPr>
          <w:p w14:paraId="3008B51E"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19</w:t>
            </w:r>
          </w:p>
        </w:tc>
        <w:tc>
          <w:tcPr>
            <w:tcW w:w="851" w:type="dxa"/>
            <w:shd w:val="clear" w:color="auto" w:fill="D9D9D9" w:themeFill="background1" w:themeFillShade="D9"/>
            <w:vAlign w:val="center"/>
          </w:tcPr>
          <w:p w14:paraId="5918FADE"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177</w:t>
            </w:r>
          </w:p>
        </w:tc>
        <w:tc>
          <w:tcPr>
            <w:tcW w:w="895" w:type="dxa"/>
            <w:vAlign w:val="center"/>
          </w:tcPr>
          <w:p w14:paraId="2E5CEE9E"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11.303</w:t>
            </w:r>
          </w:p>
        </w:tc>
        <w:tc>
          <w:tcPr>
            <w:tcW w:w="843" w:type="dxa"/>
            <w:shd w:val="clear" w:color="auto" w:fill="D9D9D9" w:themeFill="background1" w:themeFillShade="D9"/>
            <w:vAlign w:val="center"/>
          </w:tcPr>
          <w:p w14:paraId="3E3AE051"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5.783</w:t>
            </w:r>
          </w:p>
        </w:tc>
        <w:tc>
          <w:tcPr>
            <w:tcW w:w="843" w:type="dxa"/>
            <w:vAlign w:val="center"/>
          </w:tcPr>
          <w:p w14:paraId="73BC50C0"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17.086</w:t>
            </w:r>
          </w:p>
        </w:tc>
        <w:tc>
          <w:tcPr>
            <w:tcW w:w="843" w:type="dxa"/>
            <w:shd w:val="clear" w:color="auto" w:fill="D9D9D9" w:themeFill="background1" w:themeFillShade="D9"/>
            <w:vAlign w:val="center"/>
          </w:tcPr>
          <w:p w14:paraId="1A72C0FA" w14:textId="3511FE01"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4,1</w:t>
            </w:r>
          </w:p>
        </w:tc>
        <w:tc>
          <w:tcPr>
            <w:tcW w:w="843" w:type="dxa"/>
            <w:vAlign w:val="center"/>
          </w:tcPr>
          <w:p w14:paraId="3F61E799"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-13,1</w:t>
            </w:r>
          </w:p>
        </w:tc>
        <w:tc>
          <w:tcPr>
            <w:tcW w:w="843" w:type="dxa"/>
            <w:shd w:val="clear" w:color="auto" w:fill="D9D9D9" w:themeFill="background1" w:themeFillShade="D9"/>
            <w:vAlign w:val="center"/>
          </w:tcPr>
          <w:p w14:paraId="29FEBBF0" w14:textId="18A0788F"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29,2</w:t>
            </w:r>
          </w:p>
        </w:tc>
        <w:tc>
          <w:tcPr>
            <w:tcW w:w="843" w:type="dxa"/>
            <w:vAlign w:val="center"/>
          </w:tcPr>
          <w:p w14:paraId="2C7CBA7C" w14:textId="0418AE6D"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29,8</w:t>
            </w:r>
          </w:p>
        </w:tc>
      </w:tr>
      <w:tr w:rsidR="000E6070" w:rsidRPr="003C2D6C" w14:paraId="6A80035D" w14:textId="77777777" w:rsidTr="00FA7778">
        <w:trPr>
          <w:trHeight w:hRule="exact" w:val="255"/>
        </w:trPr>
        <w:tc>
          <w:tcPr>
            <w:tcW w:w="1351" w:type="dxa"/>
            <w:vAlign w:val="center"/>
          </w:tcPr>
          <w:p w14:paraId="656AE175"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35 - 39 </w:t>
            </w:r>
          </w:p>
        </w:tc>
        <w:tc>
          <w:tcPr>
            <w:tcW w:w="843" w:type="dxa"/>
            <w:shd w:val="clear" w:color="auto" w:fill="D9D9D9" w:themeFill="background1" w:themeFillShade="D9"/>
            <w:vAlign w:val="center"/>
          </w:tcPr>
          <w:p w14:paraId="505844BB"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152</w:t>
            </w:r>
          </w:p>
        </w:tc>
        <w:tc>
          <w:tcPr>
            <w:tcW w:w="783" w:type="dxa"/>
            <w:vAlign w:val="center"/>
          </w:tcPr>
          <w:p w14:paraId="6551A41B"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13</w:t>
            </w:r>
          </w:p>
        </w:tc>
        <w:tc>
          <w:tcPr>
            <w:tcW w:w="851" w:type="dxa"/>
            <w:shd w:val="clear" w:color="auto" w:fill="D9D9D9" w:themeFill="background1" w:themeFillShade="D9"/>
            <w:vAlign w:val="center"/>
          </w:tcPr>
          <w:p w14:paraId="0811886A"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165</w:t>
            </w:r>
          </w:p>
        </w:tc>
        <w:tc>
          <w:tcPr>
            <w:tcW w:w="895" w:type="dxa"/>
            <w:vAlign w:val="center"/>
          </w:tcPr>
          <w:p w14:paraId="23AAED80"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9.919</w:t>
            </w:r>
          </w:p>
        </w:tc>
        <w:tc>
          <w:tcPr>
            <w:tcW w:w="843" w:type="dxa"/>
            <w:shd w:val="clear" w:color="auto" w:fill="D9D9D9" w:themeFill="background1" w:themeFillShade="D9"/>
            <w:vAlign w:val="center"/>
          </w:tcPr>
          <w:p w14:paraId="6F661AAB"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5.081</w:t>
            </w:r>
          </w:p>
        </w:tc>
        <w:tc>
          <w:tcPr>
            <w:tcW w:w="843" w:type="dxa"/>
            <w:vAlign w:val="center"/>
          </w:tcPr>
          <w:p w14:paraId="3B1A03CA"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15.000</w:t>
            </w:r>
          </w:p>
        </w:tc>
        <w:tc>
          <w:tcPr>
            <w:tcW w:w="843" w:type="dxa"/>
            <w:shd w:val="clear" w:color="auto" w:fill="D9D9D9" w:themeFill="background1" w:themeFillShade="D9"/>
            <w:vAlign w:val="center"/>
          </w:tcPr>
          <w:p w14:paraId="701024FC"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-9,8</w:t>
            </w:r>
          </w:p>
        </w:tc>
        <w:tc>
          <w:tcPr>
            <w:tcW w:w="843" w:type="dxa"/>
            <w:vAlign w:val="center"/>
          </w:tcPr>
          <w:p w14:paraId="3667D820"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-18,1</w:t>
            </w:r>
          </w:p>
        </w:tc>
        <w:tc>
          <w:tcPr>
            <w:tcW w:w="843" w:type="dxa"/>
            <w:shd w:val="clear" w:color="auto" w:fill="D9D9D9" w:themeFill="background1" w:themeFillShade="D9"/>
            <w:vAlign w:val="center"/>
          </w:tcPr>
          <w:p w14:paraId="48DB11C6" w14:textId="14781C80"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19,6</w:t>
            </w:r>
          </w:p>
        </w:tc>
        <w:tc>
          <w:tcPr>
            <w:tcW w:w="843" w:type="dxa"/>
            <w:vAlign w:val="center"/>
          </w:tcPr>
          <w:p w14:paraId="1745C414" w14:textId="6DD71355"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27,5</w:t>
            </w:r>
          </w:p>
        </w:tc>
      </w:tr>
      <w:tr w:rsidR="000E6070" w:rsidRPr="003C2D6C" w14:paraId="2E6CC9FD" w14:textId="77777777" w:rsidTr="00FA7778">
        <w:trPr>
          <w:trHeight w:hRule="exact" w:val="255"/>
        </w:trPr>
        <w:tc>
          <w:tcPr>
            <w:tcW w:w="1351" w:type="dxa"/>
            <w:vAlign w:val="center"/>
          </w:tcPr>
          <w:p w14:paraId="4C0DE74B"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40 - 44 </w:t>
            </w:r>
          </w:p>
        </w:tc>
        <w:tc>
          <w:tcPr>
            <w:tcW w:w="843" w:type="dxa"/>
            <w:shd w:val="clear" w:color="auto" w:fill="D9D9D9" w:themeFill="background1" w:themeFillShade="D9"/>
            <w:vAlign w:val="center"/>
          </w:tcPr>
          <w:p w14:paraId="4C6F0049"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174</w:t>
            </w:r>
          </w:p>
        </w:tc>
        <w:tc>
          <w:tcPr>
            <w:tcW w:w="783" w:type="dxa"/>
            <w:vAlign w:val="center"/>
          </w:tcPr>
          <w:p w14:paraId="596ADAC4"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21</w:t>
            </w:r>
          </w:p>
        </w:tc>
        <w:tc>
          <w:tcPr>
            <w:tcW w:w="851" w:type="dxa"/>
            <w:shd w:val="clear" w:color="auto" w:fill="D9D9D9" w:themeFill="background1" w:themeFillShade="D9"/>
            <w:vAlign w:val="center"/>
          </w:tcPr>
          <w:p w14:paraId="735780C5"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195</w:t>
            </w:r>
          </w:p>
        </w:tc>
        <w:tc>
          <w:tcPr>
            <w:tcW w:w="895" w:type="dxa"/>
            <w:vAlign w:val="center"/>
          </w:tcPr>
          <w:p w14:paraId="7EF3F129"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10.119</w:t>
            </w:r>
          </w:p>
        </w:tc>
        <w:tc>
          <w:tcPr>
            <w:tcW w:w="843" w:type="dxa"/>
            <w:shd w:val="clear" w:color="auto" w:fill="D9D9D9" w:themeFill="background1" w:themeFillShade="D9"/>
            <w:vAlign w:val="center"/>
          </w:tcPr>
          <w:p w14:paraId="6F77ABCD"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5.270</w:t>
            </w:r>
          </w:p>
        </w:tc>
        <w:tc>
          <w:tcPr>
            <w:tcW w:w="843" w:type="dxa"/>
            <w:vAlign w:val="center"/>
          </w:tcPr>
          <w:p w14:paraId="5D06C5B1"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15.389</w:t>
            </w:r>
          </w:p>
        </w:tc>
        <w:tc>
          <w:tcPr>
            <w:tcW w:w="843" w:type="dxa"/>
            <w:shd w:val="clear" w:color="auto" w:fill="D9D9D9" w:themeFill="background1" w:themeFillShade="D9"/>
            <w:vAlign w:val="center"/>
          </w:tcPr>
          <w:p w14:paraId="67DAF8A1"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-3,9</w:t>
            </w:r>
          </w:p>
        </w:tc>
        <w:tc>
          <w:tcPr>
            <w:tcW w:w="843" w:type="dxa"/>
            <w:vAlign w:val="center"/>
          </w:tcPr>
          <w:p w14:paraId="568136D1"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-20,5</w:t>
            </w:r>
          </w:p>
        </w:tc>
        <w:tc>
          <w:tcPr>
            <w:tcW w:w="843" w:type="dxa"/>
            <w:shd w:val="clear" w:color="auto" w:fill="D9D9D9" w:themeFill="background1" w:themeFillShade="D9"/>
            <w:vAlign w:val="center"/>
          </w:tcPr>
          <w:p w14:paraId="3620D335" w14:textId="2F15EA57"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31,8</w:t>
            </w:r>
          </w:p>
        </w:tc>
        <w:tc>
          <w:tcPr>
            <w:tcW w:w="843" w:type="dxa"/>
            <w:vAlign w:val="center"/>
          </w:tcPr>
          <w:p w14:paraId="24536595" w14:textId="1C0FD66A"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24,3</w:t>
            </w:r>
          </w:p>
        </w:tc>
      </w:tr>
      <w:tr w:rsidR="000E6070" w:rsidRPr="003C2D6C" w14:paraId="3151449D" w14:textId="77777777" w:rsidTr="00FA7778">
        <w:trPr>
          <w:trHeight w:hRule="exact" w:val="255"/>
        </w:trPr>
        <w:tc>
          <w:tcPr>
            <w:tcW w:w="1351" w:type="dxa"/>
            <w:vAlign w:val="center"/>
          </w:tcPr>
          <w:p w14:paraId="1E8DC5FB"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45 - 49 </w:t>
            </w:r>
          </w:p>
        </w:tc>
        <w:tc>
          <w:tcPr>
            <w:tcW w:w="843" w:type="dxa"/>
            <w:shd w:val="clear" w:color="auto" w:fill="D9D9D9" w:themeFill="background1" w:themeFillShade="D9"/>
            <w:vAlign w:val="center"/>
          </w:tcPr>
          <w:p w14:paraId="3FF0E435"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182</w:t>
            </w:r>
          </w:p>
        </w:tc>
        <w:tc>
          <w:tcPr>
            <w:tcW w:w="783" w:type="dxa"/>
            <w:vAlign w:val="center"/>
          </w:tcPr>
          <w:p w14:paraId="176F9DAC"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24</w:t>
            </w:r>
          </w:p>
        </w:tc>
        <w:tc>
          <w:tcPr>
            <w:tcW w:w="851" w:type="dxa"/>
            <w:shd w:val="clear" w:color="auto" w:fill="D9D9D9" w:themeFill="background1" w:themeFillShade="D9"/>
            <w:vAlign w:val="center"/>
          </w:tcPr>
          <w:p w14:paraId="30008FD9"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206</w:t>
            </w:r>
          </w:p>
        </w:tc>
        <w:tc>
          <w:tcPr>
            <w:tcW w:w="895" w:type="dxa"/>
            <w:vAlign w:val="center"/>
          </w:tcPr>
          <w:p w14:paraId="209B52CC"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11.211</w:t>
            </w:r>
          </w:p>
        </w:tc>
        <w:tc>
          <w:tcPr>
            <w:tcW w:w="843" w:type="dxa"/>
            <w:shd w:val="clear" w:color="auto" w:fill="D9D9D9" w:themeFill="background1" w:themeFillShade="D9"/>
            <w:vAlign w:val="center"/>
          </w:tcPr>
          <w:p w14:paraId="01C42338"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5.945</w:t>
            </w:r>
          </w:p>
        </w:tc>
        <w:tc>
          <w:tcPr>
            <w:tcW w:w="843" w:type="dxa"/>
            <w:vAlign w:val="center"/>
          </w:tcPr>
          <w:p w14:paraId="5C87DD47"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17.156</w:t>
            </w:r>
          </w:p>
        </w:tc>
        <w:tc>
          <w:tcPr>
            <w:tcW w:w="843" w:type="dxa"/>
            <w:shd w:val="clear" w:color="auto" w:fill="D9D9D9" w:themeFill="background1" w:themeFillShade="D9"/>
            <w:vAlign w:val="center"/>
          </w:tcPr>
          <w:p w14:paraId="6340E700"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-12,3</w:t>
            </w:r>
          </w:p>
        </w:tc>
        <w:tc>
          <w:tcPr>
            <w:tcW w:w="843" w:type="dxa"/>
            <w:vAlign w:val="center"/>
          </w:tcPr>
          <w:p w14:paraId="4BEAE5A8"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-16,0</w:t>
            </w:r>
          </w:p>
        </w:tc>
        <w:tc>
          <w:tcPr>
            <w:tcW w:w="843" w:type="dxa"/>
            <w:shd w:val="clear" w:color="auto" w:fill="D9D9D9" w:themeFill="background1" w:themeFillShade="D9"/>
            <w:vAlign w:val="center"/>
          </w:tcPr>
          <w:p w14:paraId="0D794523" w14:textId="1BFFA9B7"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31,2</w:t>
            </w:r>
          </w:p>
        </w:tc>
        <w:tc>
          <w:tcPr>
            <w:tcW w:w="843" w:type="dxa"/>
            <w:vAlign w:val="center"/>
          </w:tcPr>
          <w:p w14:paraId="005E00CC" w14:textId="567E43B0"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24,1</w:t>
            </w:r>
          </w:p>
        </w:tc>
      </w:tr>
      <w:tr w:rsidR="000E6070" w:rsidRPr="003C2D6C" w14:paraId="2B05146D" w14:textId="77777777" w:rsidTr="00FA7778">
        <w:trPr>
          <w:trHeight w:hRule="exact" w:val="255"/>
        </w:trPr>
        <w:tc>
          <w:tcPr>
            <w:tcW w:w="1351" w:type="dxa"/>
            <w:vAlign w:val="center"/>
          </w:tcPr>
          <w:p w14:paraId="15C1FEDA"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50 -54 </w:t>
            </w:r>
          </w:p>
        </w:tc>
        <w:tc>
          <w:tcPr>
            <w:tcW w:w="843" w:type="dxa"/>
            <w:shd w:val="clear" w:color="auto" w:fill="D9D9D9" w:themeFill="background1" w:themeFillShade="D9"/>
            <w:vAlign w:val="center"/>
          </w:tcPr>
          <w:p w14:paraId="4E5A9B74"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191</w:t>
            </w:r>
          </w:p>
        </w:tc>
        <w:tc>
          <w:tcPr>
            <w:tcW w:w="783" w:type="dxa"/>
            <w:vAlign w:val="center"/>
          </w:tcPr>
          <w:p w14:paraId="050A9C11"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31</w:t>
            </w:r>
          </w:p>
        </w:tc>
        <w:tc>
          <w:tcPr>
            <w:tcW w:w="851" w:type="dxa"/>
            <w:shd w:val="clear" w:color="auto" w:fill="D9D9D9" w:themeFill="background1" w:themeFillShade="D9"/>
            <w:vAlign w:val="center"/>
          </w:tcPr>
          <w:p w14:paraId="0311F360"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222</w:t>
            </w:r>
          </w:p>
        </w:tc>
        <w:tc>
          <w:tcPr>
            <w:tcW w:w="895" w:type="dxa"/>
            <w:vAlign w:val="center"/>
          </w:tcPr>
          <w:p w14:paraId="62B24A04"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10.684</w:t>
            </w:r>
          </w:p>
        </w:tc>
        <w:tc>
          <w:tcPr>
            <w:tcW w:w="843" w:type="dxa"/>
            <w:shd w:val="clear" w:color="auto" w:fill="D9D9D9" w:themeFill="background1" w:themeFillShade="D9"/>
            <w:vAlign w:val="center"/>
          </w:tcPr>
          <w:p w14:paraId="6CCE78BC"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5.857</w:t>
            </w:r>
          </w:p>
        </w:tc>
        <w:tc>
          <w:tcPr>
            <w:tcW w:w="843" w:type="dxa"/>
            <w:vAlign w:val="center"/>
          </w:tcPr>
          <w:p w14:paraId="47FAA9C0"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16.541</w:t>
            </w:r>
          </w:p>
        </w:tc>
        <w:tc>
          <w:tcPr>
            <w:tcW w:w="843" w:type="dxa"/>
            <w:shd w:val="clear" w:color="auto" w:fill="D9D9D9" w:themeFill="background1" w:themeFillShade="D9"/>
            <w:vAlign w:val="center"/>
          </w:tcPr>
          <w:p w14:paraId="764F027D"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-16,5</w:t>
            </w:r>
          </w:p>
        </w:tc>
        <w:tc>
          <w:tcPr>
            <w:tcW w:w="843" w:type="dxa"/>
            <w:vAlign w:val="center"/>
          </w:tcPr>
          <w:p w14:paraId="501F6A26"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-15,7</w:t>
            </w:r>
          </w:p>
        </w:tc>
        <w:tc>
          <w:tcPr>
            <w:tcW w:w="843" w:type="dxa"/>
            <w:shd w:val="clear" w:color="auto" w:fill="D9D9D9" w:themeFill="background1" w:themeFillShade="D9"/>
            <w:vAlign w:val="center"/>
          </w:tcPr>
          <w:p w14:paraId="60380DA4" w14:textId="7D784D75"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24,0</w:t>
            </w:r>
          </w:p>
        </w:tc>
        <w:tc>
          <w:tcPr>
            <w:tcW w:w="843" w:type="dxa"/>
            <w:vAlign w:val="center"/>
          </w:tcPr>
          <w:p w14:paraId="6170449D" w14:textId="6CE3D689"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23,5</w:t>
            </w:r>
          </w:p>
        </w:tc>
      </w:tr>
      <w:tr w:rsidR="000E6070" w:rsidRPr="003C2D6C" w14:paraId="2A5C7A35" w14:textId="77777777" w:rsidTr="00FA7778">
        <w:trPr>
          <w:trHeight w:hRule="exact" w:val="255"/>
        </w:trPr>
        <w:tc>
          <w:tcPr>
            <w:tcW w:w="1351" w:type="dxa"/>
            <w:vAlign w:val="center"/>
          </w:tcPr>
          <w:p w14:paraId="7CED67D2"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55 -59 </w:t>
            </w:r>
          </w:p>
        </w:tc>
        <w:tc>
          <w:tcPr>
            <w:tcW w:w="843" w:type="dxa"/>
            <w:shd w:val="clear" w:color="auto" w:fill="D9D9D9" w:themeFill="background1" w:themeFillShade="D9"/>
            <w:vAlign w:val="center"/>
          </w:tcPr>
          <w:p w14:paraId="3AB4D568"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195</w:t>
            </w:r>
          </w:p>
        </w:tc>
        <w:tc>
          <w:tcPr>
            <w:tcW w:w="783" w:type="dxa"/>
            <w:vAlign w:val="center"/>
          </w:tcPr>
          <w:p w14:paraId="466BC2D5"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26</w:t>
            </w:r>
          </w:p>
        </w:tc>
        <w:tc>
          <w:tcPr>
            <w:tcW w:w="851" w:type="dxa"/>
            <w:shd w:val="clear" w:color="auto" w:fill="D9D9D9" w:themeFill="background1" w:themeFillShade="D9"/>
            <w:vAlign w:val="center"/>
          </w:tcPr>
          <w:p w14:paraId="2F1E4D3B"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221</w:t>
            </w:r>
          </w:p>
        </w:tc>
        <w:tc>
          <w:tcPr>
            <w:tcW w:w="895" w:type="dxa"/>
            <w:vAlign w:val="center"/>
          </w:tcPr>
          <w:p w14:paraId="3885A0D5"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9.595</w:t>
            </w:r>
          </w:p>
        </w:tc>
        <w:tc>
          <w:tcPr>
            <w:tcW w:w="843" w:type="dxa"/>
            <w:shd w:val="clear" w:color="auto" w:fill="D9D9D9" w:themeFill="background1" w:themeFillShade="D9"/>
            <w:vAlign w:val="center"/>
          </w:tcPr>
          <w:p w14:paraId="7977E165"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5.094</w:t>
            </w:r>
          </w:p>
        </w:tc>
        <w:tc>
          <w:tcPr>
            <w:tcW w:w="843" w:type="dxa"/>
            <w:vAlign w:val="center"/>
          </w:tcPr>
          <w:p w14:paraId="070ECD9D"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14.689</w:t>
            </w:r>
          </w:p>
        </w:tc>
        <w:tc>
          <w:tcPr>
            <w:tcW w:w="843" w:type="dxa"/>
            <w:shd w:val="clear" w:color="auto" w:fill="D9D9D9" w:themeFill="background1" w:themeFillShade="D9"/>
            <w:vAlign w:val="center"/>
          </w:tcPr>
          <w:p w14:paraId="5DF2C57E" w14:textId="2A3AFA46"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p>
        </w:tc>
        <w:tc>
          <w:tcPr>
            <w:tcW w:w="843" w:type="dxa"/>
            <w:vAlign w:val="center"/>
          </w:tcPr>
          <w:p w14:paraId="458F5B39"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-12,1</w:t>
            </w:r>
          </w:p>
        </w:tc>
        <w:tc>
          <w:tcPr>
            <w:tcW w:w="843" w:type="dxa"/>
            <w:shd w:val="clear" w:color="auto" w:fill="D9D9D9" w:themeFill="background1" w:themeFillShade="D9"/>
            <w:vAlign w:val="center"/>
          </w:tcPr>
          <w:p w14:paraId="27AB7B7E" w14:textId="7C5FD317"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14,5</w:t>
            </w:r>
          </w:p>
        </w:tc>
        <w:tc>
          <w:tcPr>
            <w:tcW w:w="843" w:type="dxa"/>
            <w:vAlign w:val="center"/>
          </w:tcPr>
          <w:p w14:paraId="78AD45D2" w14:textId="07F19828"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23,5</w:t>
            </w:r>
          </w:p>
        </w:tc>
      </w:tr>
      <w:tr w:rsidR="000E6070" w:rsidRPr="003C2D6C" w14:paraId="033F2D08" w14:textId="77777777" w:rsidTr="00FA7778">
        <w:trPr>
          <w:trHeight w:hRule="exact" w:val="255"/>
        </w:trPr>
        <w:tc>
          <w:tcPr>
            <w:tcW w:w="1351" w:type="dxa"/>
            <w:vAlign w:val="center"/>
          </w:tcPr>
          <w:p w14:paraId="38C912E7"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60 -64 </w:t>
            </w:r>
          </w:p>
        </w:tc>
        <w:tc>
          <w:tcPr>
            <w:tcW w:w="843" w:type="dxa"/>
            <w:shd w:val="clear" w:color="auto" w:fill="D9D9D9" w:themeFill="background1" w:themeFillShade="D9"/>
            <w:vAlign w:val="center"/>
          </w:tcPr>
          <w:p w14:paraId="14E704FB"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148</w:t>
            </w:r>
          </w:p>
        </w:tc>
        <w:tc>
          <w:tcPr>
            <w:tcW w:w="783" w:type="dxa"/>
            <w:vAlign w:val="center"/>
          </w:tcPr>
          <w:p w14:paraId="7DB6DB95"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24</w:t>
            </w:r>
          </w:p>
        </w:tc>
        <w:tc>
          <w:tcPr>
            <w:tcW w:w="851" w:type="dxa"/>
            <w:shd w:val="clear" w:color="auto" w:fill="D9D9D9" w:themeFill="background1" w:themeFillShade="D9"/>
            <w:vAlign w:val="center"/>
          </w:tcPr>
          <w:p w14:paraId="6B12F17E"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172</w:t>
            </w:r>
          </w:p>
        </w:tc>
        <w:tc>
          <w:tcPr>
            <w:tcW w:w="895" w:type="dxa"/>
            <w:vAlign w:val="center"/>
          </w:tcPr>
          <w:p w14:paraId="50C74D1C"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6.935</w:t>
            </w:r>
          </w:p>
        </w:tc>
        <w:tc>
          <w:tcPr>
            <w:tcW w:w="843" w:type="dxa"/>
            <w:shd w:val="clear" w:color="auto" w:fill="D9D9D9" w:themeFill="background1" w:themeFillShade="D9"/>
            <w:vAlign w:val="center"/>
          </w:tcPr>
          <w:p w14:paraId="08E5F907"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3.506</w:t>
            </w:r>
          </w:p>
        </w:tc>
        <w:tc>
          <w:tcPr>
            <w:tcW w:w="843" w:type="dxa"/>
            <w:vAlign w:val="center"/>
          </w:tcPr>
          <w:p w14:paraId="798F2A73"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10.441</w:t>
            </w:r>
          </w:p>
        </w:tc>
        <w:tc>
          <w:tcPr>
            <w:tcW w:w="843" w:type="dxa"/>
            <w:shd w:val="clear" w:color="auto" w:fill="D9D9D9" w:themeFill="background1" w:themeFillShade="D9"/>
            <w:vAlign w:val="center"/>
          </w:tcPr>
          <w:p w14:paraId="045C84BA"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-11,3</w:t>
            </w:r>
          </w:p>
        </w:tc>
        <w:tc>
          <w:tcPr>
            <w:tcW w:w="843" w:type="dxa"/>
            <w:vAlign w:val="center"/>
          </w:tcPr>
          <w:p w14:paraId="6C5C8C4A"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-13,4</w:t>
            </w:r>
          </w:p>
        </w:tc>
        <w:tc>
          <w:tcPr>
            <w:tcW w:w="843" w:type="dxa"/>
            <w:shd w:val="clear" w:color="auto" w:fill="D9D9D9" w:themeFill="background1" w:themeFillShade="D9"/>
            <w:vAlign w:val="center"/>
          </w:tcPr>
          <w:p w14:paraId="357EDFFB"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-1,1</w:t>
            </w:r>
          </w:p>
        </w:tc>
        <w:tc>
          <w:tcPr>
            <w:tcW w:w="843" w:type="dxa"/>
            <w:vAlign w:val="center"/>
          </w:tcPr>
          <w:p w14:paraId="5F6365A4" w14:textId="2CF170BF"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24,0</w:t>
            </w:r>
          </w:p>
        </w:tc>
      </w:tr>
      <w:tr w:rsidR="000E6070" w:rsidRPr="003C2D6C" w14:paraId="6E6BC700" w14:textId="77777777" w:rsidTr="00FA7778">
        <w:trPr>
          <w:trHeight w:hRule="exact" w:val="255"/>
        </w:trPr>
        <w:tc>
          <w:tcPr>
            <w:tcW w:w="1351" w:type="dxa"/>
            <w:vAlign w:val="center"/>
          </w:tcPr>
          <w:p w14:paraId="29AF4753"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65 -69 </w:t>
            </w:r>
          </w:p>
        </w:tc>
        <w:tc>
          <w:tcPr>
            <w:tcW w:w="843" w:type="dxa"/>
            <w:shd w:val="clear" w:color="auto" w:fill="D9D9D9" w:themeFill="background1" w:themeFillShade="D9"/>
            <w:vAlign w:val="center"/>
          </w:tcPr>
          <w:p w14:paraId="44501691"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136</w:t>
            </w:r>
          </w:p>
        </w:tc>
        <w:tc>
          <w:tcPr>
            <w:tcW w:w="783" w:type="dxa"/>
            <w:vAlign w:val="center"/>
          </w:tcPr>
          <w:p w14:paraId="4F7E9A3B"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30</w:t>
            </w:r>
          </w:p>
        </w:tc>
        <w:tc>
          <w:tcPr>
            <w:tcW w:w="851" w:type="dxa"/>
            <w:shd w:val="clear" w:color="auto" w:fill="D9D9D9" w:themeFill="background1" w:themeFillShade="D9"/>
            <w:vAlign w:val="center"/>
          </w:tcPr>
          <w:p w14:paraId="46EFB64E"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166</w:t>
            </w:r>
          </w:p>
        </w:tc>
        <w:tc>
          <w:tcPr>
            <w:tcW w:w="895" w:type="dxa"/>
            <w:vAlign w:val="center"/>
          </w:tcPr>
          <w:p w14:paraId="7531A540"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4.917</w:t>
            </w:r>
          </w:p>
        </w:tc>
        <w:tc>
          <w:tcPr>
            <w:tcW w:w="843" w:type="dxa"/>
            <w:shd w:val="clear" w:color="auto" w:fill="D9D9D9" w:themeFill="background1" w:themeFillShade="D9"/>
            <w:vAlign w:val="center"/>
          </w:tcPr>
          <w:p w14:paraId="0C9D7D11"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2.555</w:t>
            </w:r>
          </w:p>
        </w:tc>
        <w:tc>
          <w:tcPr>
            <w:tcW w:w="843" w:type="dxa"/>
            <w:vAlign w:val="center"/>
          </w:tcPr>
          <w:p w14:paraId="10D3AF8C"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7.472</w:t>
            </w:r>
          </w:p>
        </w:tc>
        <w:tc>
          <w:tcPr>
            <w:tcW w:w="843" w:type="dxa"/>
            <w:shd w:val="clear" w:color="auto" w:fill="D9D9D9" w:themeFill="background1" w:themeFillShade="D9"/>
            <w:vAlign w:val="center"/>
          </w:tcPr>
          <w:p w14:paraId="24025472"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-8,3</w:t>
            </w:r>
          </w:p>
        </w:tc>
        <w:tc>
          <w:tcPr>
            <w:tcW w:w="843" w:type="dxa"/>
            <w:vAlign w:val="center"/>
          </w:tcPr>
          <w:p w14:paraId="086E50F1"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-15,3</w:t>
            </w:r>
          </w:p>
        </w:tc>
        <w:tc>
          <w:tcPr>
            <w:tcW w:w="843" w:type="dxa"/>
            <w:shd w:val="clear" w:color="auto" w:fill="D9D9D9" w:themeFill="background1" w:themeFillShade="D9"/>
            <w:vAlign w:val="center"/>
          </w:tcPr>
          <w:p w14:paraId="0B23D185" w14:textId="0187DC70"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20,3</w:t>
            </w:r>
          </w:p>
        </w:tc>
        <w:tc>
          <w:tcPr>
            <w:tcW w:w="843" w:type="dxa"/>
            <w:vAlign w:val="center"/>
          </w:tcPr>
          <w:p w14:paraId="782995FB" w14:textId="50567F63"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23,8</w:t>
            </w:r>
          </w:p>
        </w:tc>
      </w:tr>
      <w:tr w:rsidR="000E6070" w:rsidRPr="003C2D6C" w14:paraId="74478ED6" w14:textId="77777777" w:rsidTr="00FA7778">
        <w:trPr>
          <w:trHeight w:hRule="exact" w:val="255"/>
        </w:trPr>
        <w:tc>
          <w:tcPr>
            <w:tcW w:w="1351" w:type="dxa"/>
            <w:vAlign w:val="center"/>
          </w:tcPr>
          <w:p w14:paraId="37BE3EEA"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70 - 74 </w:t>
            </w:r>
          </w:p>
        </w:tc>
        <w:tc>
          <w:tcPr>
            <w:tcW w:w="843" w:type="dxa"/>
            <w:shd w:val="clear" w:color="auto" w:fill="D9D9D9" w:themeFill="background1" w:themeFillShade="D9"/>
            <w:vAlign w:val="center"/>
          </w:tcPr>
          <w:p w14:paraId="188070D9"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149</w:t>
            </w:r>
          </w:p>
        </w:tc>
        <w:tc>
          <w:tcPr>
            <w:tcW w:w="783" w:type="dxa"/>
            <w:vAlign w:val="center"/>
          </w:tcPr>
          <w:p w14:paraId="12760682"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44</w:t>
            </w:r>
          </w:p>
        </w:tc>
        <w:tc>
          <w:tcPr>
            <w:tcW w:w="851" w:type="dxa"/>
            <w:shd w:val="clear" w:color="auto" w:fill="D9D9D9" w:themeFill="background1" w:themeFillShade="D9"/>
            <w:vAlign w:val="center"/>
          </w:tcPr>
          <w:p w14:paraId="54E45C40"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193</w:t>
            </w:r>
          </w:p>
        </w:tc>
        <w:tc>
          <w:tcPr>
            <w:tcW w:w="895" w:type="dxa"/>
            <w:vAlign w:val="center"/>
          </w:tcPr>
          <w:p w14:paraId="57B3F7D6"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3.974</w:t>
            </w:r>
          </w:p>
        </w:tc>
        <w:tc>
          <w:tcPr>
            <w:tcW w:w="843" w:type="dxa"/>
            <w:shd w:val="clear" w:color="auto" w:fill="D9D9D9" w:themeFill="background1" w:themeFillShade="D9"/>
            <w:vAlign w:val="center"/>
          </w:tcPr>
          <w:p w14:paraId="2E37BEDC"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2.161</w:t>
            </w:r>
          </w:p>
        </w:tc>
        <w:tc>
          <w:tcPr>
            <w:tcW w:w="843" w:type="dxa"/>
            <w:vAlign w:val="center"/>
          </w:tcPr>
          <w:p w14:paraId="2BA1C9E7"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6.135</w:t>
            </w:r>
          </w:p>
        </w:tc>
        <w:tc>
          <w:tcPr>
            <w:tcW w:w="843" w:type="dxa"/>
            <w:shd w:val="clear" w:color="auto" w:fill="D9D9D9" w:themeFill="background1" w:themeFillShade="D9"/>
            <w:vAlign w:val="center"/>
          </w:tcPr>
          <w:p w14:paraId="78CB5D6F" w14:textId="2C4E8654"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1,0</w:t>
            </w:r>
          </w:p>
        </w:tc>
        <w:tc>
          <w:tcPr>
            <w:tcW w:w="843" w:type="dxa"/>
            <w:vAlign w:val="center"/>
          </w:tcPr>
          <w:p w14:paraId="2CCC6635"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-23,0</w:t>
            </w:r>
          </w:p>
        </w:tc>
        <w:tc>
          <w:tcPr>
            <w:tcW w:w="843" w:type="dxa"/>
            <w:shd w:val="clear" w:color="auto" w:fill="D9D9D9" w:themeFill="background1" w:themeFillShade="D9"/>
            <w:vAlign w:val="center"/>
          </w:tcPr>
          <w:p w14:paraId="3879D4E6" w14:textId="21355801"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20,6</w:t>
            </w:r>
          </w:p>
        </w:tc>
        <w:tc>
          <w:tcPr>
            <w:tcW w:w="843" w:type="dxa"/>
            <w:vAlign w:val="center"/>
          </w:tcPr>
          <w:p w14:paraId="34E946A2" w14:textId="7FC0F175"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15,7</w:t>
            </w:r>
          </w:p>
        </w:tc>
      </w:tr>
      <w:tr w:rsidR="000E6070" w:rsidRPr="003C2D6C" w14:paraId="799CBAC7" w14:textId="77777777" w:rsidTr="00FA7778">
        <w:trPr>
          <w:trHeight w:hRule="exact" w:val="255"/>
        </w:trPr>
        <w:tc>
          <w:tcPr>
            <w:tcW w:w="1351" w:type="dxa"/>
            <w:vAlign w:val="center"/>
          </w:tcPr>
          <w:p w14:paraId="783FADB6"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75 - 79 </w:t>
            </w:r>
          </w:p>
        </w:tc>
        <w:tc>
          <w:tcPr>
            <w:tcW w:w="843" w:type="dxa"/>
            <w:shd w:val="clear" w:color="auto" w:fill="D9D9D9" w:themeFill="background1" w:themeFillShade="D9"/>
            <w:vAlign w:val="center"/>
          </w:tcPr>
          <w:p w14:paraId="3DF816A1"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118</w:t>
            </w:r>
          </w:p>
        </w:tc>
        <w:tc>
          <w:tcPr>
            <w:tcW w:w="783" w:type="dxa"/>
            <w:vAlign w:val="center"/>
          </w:tcPr>
          <w:p w14:paraId="7188ED89"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37</w:t>
            </w:r>
          </w:p>
        </w:tc>
        <w:tc>
          <w:tcPr>
            <w:tcW w:w="851" w:type="dxa"/>
            <w:shd w:val="clear" w:color="auto" w:fill="D9D9D9" w:themeFill="background1" w:themeFillShade="D9"/>
            <w:vAlign w:val="center"/>
          </w:tcPr>
          <w:p w14:paraId="2D0D92D0"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155</w:t>
            </w:r>
          </w:p>
        </w:tc>
        <w:tc>
          <w:tcPr>
            <w:tcW w:w="895" w:type="dxa"/>
            <w:vAlign w:val="center"/>
          </w:tcPr>
          <w:p w14:paraId="7CC5FAB8"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3.024</w:t>
            </w:r>
          </w:p>
        </w:tc>
        <w:tc>
          <w:tcPr>
            <w:tcW w:w="843" w:type="dxa"/>
            <w:shd w:val="clear" w:color="auto" w:fill="D9D9D9" w:themeFill="background1" w:themeFillShade="D9"/>
            <w:vAlign w:val="center"/>
          </w:tcPr>
          <w:p w14:paraId="523057C8"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1.779</w:t>
            </w:r>
          </w:p>
        </w:tc>
        <w:tc>
          <w:tcPr>
            <w:tcW w:w="843" w:type="dxa"/>
            <w:vAlign w:val="center"/>
          </w:tcPr>
          <w:p w14:paraId="23A48613"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4.803</w:t>
            </w:r>
          </w:p>
        </w:tc>
        <w:tc>
          <w:tcPr>
            <w:tcW w:w="843" w:type="dxa"/>
            <w:shd w:val="clear" w:color="auto" w:fill="D9D9D9" w:themeFill="background1" w:themeFillShade="D9"/>
            <w:vAlign w:val="center"/>
          </w:tcPr>
          <w:p w14:paraId="79B84863"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-22,5</w:t>
            </w:r>
          </w:p>
        </w:tc>
        <w:tc>
          <w:tcPr>
            <w:tcW w:w="843" w:type="dxa"/>
            <w:vAlign w:val="center"/>
          </w:tcPr>
          <w:p w14:paraId="2DBDF4BA"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-25,0</w:t>
            </w:r>
          </w:p>
        </w:tc>
        <w:tc>
          <w:tcPr>
            <w:tcW w:w="843" w:type="dxa"/>
            <w:shd w:val="clear" w:color="auto" w:fill="D9D9D9" w:themeFill="background1" w:themeFillShade="D9"/>
            <w:vAlign w:val="center"/>
          </w:tcPr>
          <w:p w14:paraId="6B6259A9" w14:textId="6F7864BD"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14,0</w:t>
            </w:r>
          </w:p>
        </w:tc>
        <w:tc>
          <w:tcPr>
            <w:tcW w:w="843" w:type="dxa"/>
            <w:vAlign w:val="center"/>
          </w:tcPr>
          <w:p w14:paraId="37169D49" w14:textId="44397225"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14,0</w:t>
            </w:r>
          </w:p>
        </w:tc>
      </w:tr>
      <w:tr w:rsidR="000E6070" w:rsidRPr="003C2D6C" w14:paraId="1F96F468" w14:textId="77777777" w:rsidTr="00FA7778">
        <w:trPr>
          <w:trHeight w:hRule="exact" w:val="255"/>
        </w:trPr>
        <w:tc>
          <w:tcPr>
            <w:tcW w:w="1351" w:type="dxa"/>
            <w:vAlign w:val="center"/>
          </w:tcPr>
          <w:p w14:paraId="0CB66C84"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80 - 84 </w:t>
            </w:r>
          </w:p>
        </w:tc>
        <w:tc>
          <w:tcPr>
            <w:tcW w:w="843" w:type="dxa"/>
            <w:shd w:val="clear" w:color="auto" w:fill="D9D9D9" w:themeFill="background1" w:themeFillShade="D9"/>
            <w:vAlign w:val="center"/>
          </w:tcPr>
          <w:p w14:paraId="4D6DC01F"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138</w:t>
            </w:r>
          </w:p>
        </w:tc>
        <w:tc>
          <w:tcPr>
            <w:tcW w:w="783" w:type="dxa"/>
            <w:vAlign w:val="center"/>
          </w:tcPr>
          <w:p w14:paraId="067039A3"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49</w:t>
            </w:r>
          </w:p>
        </w:tc>
        <w:tc>
          <w:tcPr>
            <w:tcW w:w="851" w:type="dxa"/>
            <w:shd w:val="clear" w:color="auto" w:fill="D9D9D9" w:themeFill="background1" w:themeFillShade="D9"/>
            <w:vAlign w:val="center"/>
          </w:tcPr>
          <w:p w14:paraId="1A5FC390"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187</w:t>
            </w:r>
          </w:p>
        </w:tc>
        <w:tc>
          <w:tcPr>
            <w:tcW w:w="895" w:type="dxa"/>
            <w:vAlign w:val="center"/>
          </w:tcPr>
          <w:p w14:paraId="66DE1844"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2.498</w:t>
            </w:r>
          </w:p>
        </w:tc>
        <w:tc>
          <w:tcPr>
            <w:tcW w:w="843" w:type="dxa"/>
            <w:shd w:val="clear" w:color="auto" w:fill="D9D9D9" w:themeFill="background1" w:themeFillShade="D9"/>
            <w:vAlign w:val="center"/>
          </w:tcPr>
          <w:p w14:paraId="7155E84E"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1.363</w:t>
            </w:r>
          </w:p>
        </w:tc>
        <w:tc>
          <w:tcPr>
            <w:tcW w:w="843" w:type="dxa"/>
            <w:vAlign w:val="center"/>
          </w:tcPr>
          <w:p w14:paraId="07BDDEFE"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3.861</w:t>
            </w:r>
          </w:p>
        </w:tc>
        <w:tc>
          <w:tcPr>
            <w:tcW w:w="843" w:type="dxa"/>
            <w:shd w:val="clear" w:color="auto" w:fill="D9D9D9" w:themeFill="background1" w:themeFillShade="D9"/>
            <w:vAlign w:val="center"/>
          </w:tcPr>
          <w:p w14:paraId="1A20640F"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-12,2</w:t>
            </w:r>
          </w:p>
        </w:tc>
        <w:tc>
          <w:tcPr>
            <w:tcW w:w="843" w:type="dxa"/>
            <w:vAlign w:val="center"/>
          </w:tcPr>
          <w:p w14:paraId="67AB4640"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-24,0</w:t>
            </w:r>
          </w:p>
        </w:tc>
        <w:tc>
          <w:tcPr>
            <w:tcW w:w="843" w:type="dxa"/>
            <w:shd w:val="clear" w:color="auto" w:fill="D9D9D9" w:themeFill="background1" w:themeFillShade="D9"/>
            <w:vAlign w:val="center"/>
          </w:tcPr>
          <w:p w14:paraId="30B2E4EF" w14:textId="29951DC5"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6,3</w:t>
            </w:r>
          </w:p>
        </w:tc>
        <w:tc>
          <w:tcPr>
            <w:tcW w:w="843" w:type="dxa"/>
            <w:vAlign w:val="center"/>
          </w:tcPr>
          <w:p w14:paraId="5A057CF0" w14:textId="061EAAA5"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12,9</w:t>
            </w:r>
          </w:p>
        </w:tc>
      </w:tr>
      <w:tr w:rsidR="000E6070" w:rsidRPr="003C2D6C" w14:paraId="56FADB97" w14:textId="77777777" w:rsidTr="00FA7778">
        <w:trPr>
          <w:trHeight w:hRule="exact" w:val="255"/>
        </w:trPr>
        <w:tc>
          <w:tcPr>
            <w:tcW w:w="1351" w:type="dxa"/>
            <w:vAlign w:val="center"/>
          </w:tcPr>
          <w:p w14:paraId="7D2AFEDD"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85 - 89 </w:t>
            </w:r>
          </w:p>
        </w:tc>
        <w:tc>
          <w:tcPr>
            <w:tcW w:w="843" w:type="dxa"/>
            <w:shd w:val="clear" w:color="auto" w:fill="D9D9D9" w:themeFill="background1" w:themeFillShade="D9"/>
            <w:vAlign w:val="center"/>
          </w:tcPr>
          <w:p w14:paraId="75805041"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94</w:t>
            </w:r>
          </w:p>
        </w:tc>
        <w:tc>
          <w:tcPr>
            <w:tcW w:w="783" w:type="dxa"/>
            <w:vAlign w:val="center"/>
          </w:tcPr>
          <w:p w14:paraId="5693C413"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32</w:t>
            </w:r>
          </w:p>
        </w:tc>
        <w:tc>
          <w:tcPr>
            <w:tcW w:w="851" w:type="dxa"/>
            <w:shd w:val="clear" w:color="auto" w:fill="D9D9D9" w:themeFill="background1" w:themeFillShade="D9"/>
            <w:vAlign w:val="center"/>
          </w:tcPr>
          <w:p w14:paraId="7DD5ED7B"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126</w:t>
            </w:r>
          </w:p>
        </w:tc>
        <w:tc>
          <w:tcPr>
            <w:tcW w:w="895" w:type="dxa"/>
            <w:vAlign w:val="center"/>
          </w:tcPr>
          <w:p w14:paraId="13048D0F"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1.196</w:t>
            </w:r>
          </w:p>
        </w:tc>
        <w:tc>
          <w:tcPr>
            <w:tcW w:w="843" w:type="dxa"/>
            <w:shd w:val="clear" w:color="auto" w:fill="D9D9D9" w:themeFill="background1" w:themeFillShade="D9"/>
            <w:vAlign w:val="center"/>
          </w:tcPr>
          <w:p w14:paraId="30A43837"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588</w:t>
            </w:r>
          </w:p>
        </w:tc>
        <w:tc>
          <w:tcPr>
            <w:tcW w:w="843" w:type="dxa"/>
            <w:vAlign w:val="center"/>
          </w:tcPr>
          <w:p w14:paraId="270D5F90"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1.784</w:t>
            </w:r>
          </w:p>
        </w:tc>
        <w:tc>
          <w:tcPr>
            <w:tcW w:w="843" w:type="dxa"/>
            <w:shd w:val="clear" w:color="auto" w:fill="D9D9D9" w:themeFill="background1" w:themeFillShade="D9"/>
            <w:vAlign w:val="center"/>
          </w:tcPr>
          <w:p w14:paraId="4717D906"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-20,3</w:t>
            </w:r>
          </w:p>
        </w:tc>
        <w:tc>
          <w:tcPr>
            <w:tcW w:w="843" w:type="dxa"/>
            <w:vAlign w:val="center"/>
          </w:tcPr>
          <w:p w14:paraId="78EDA07B"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-21,4</w:t>
            </w:r>
          </w:p>
        </w:tc>
        <w:tc>
          <w:tcPr>
            <w:tcW w:w="843" w:type="dxa"/>
            <w:shd w:val="clear" w:color="auto" w:fill="D9D9D9" w:themeFill="background1" w:themeFillShade="D9"/>
            <w:vAlign w:val="center"/>
          </w:tcPr>
          <w:p w14:paraId="4F327EB3" w14:textId="38F46D8A"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14,5</w:t>
            </w:r>
          </w:p>
        </w:tc>
        <w:tc>
          <w:tcPr>
            <w:tcW w:w="843" w:type="dxa"/>
            <w:vAlign w:val="center"/>
          </w:tcPr>
          <w:p w14:paraId="5F338825" w14:textId="3D4F9B28"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12,6</w:t>
            </w:r>
          </w:p>
        </w:tc>
      </w:tr>
      <w:tr w:rsidR="000E6070" w:rsidRPr="003C2D6C" w14:paraId="5763726F" w14:textId="77777777" w:rsidTr="00FA7778">
        <w:trPr>
          <w:trHeight w:hRule="exact" w:val="255"/>
        </w:trPr>
        <w:tc>
          <w:tcPr>
            <w:tcW w:w="1351" w:type="dxa"/>
            <w:vAlign w:val="center"/>
          </w:tcPr>
          <w:p w14:paraId="70C71C20"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 xml:space="preserve">90 + </w:t>
            </w:r>
          </w:p>
        </w:tc>
        <w:tc>
          <w:tcPr>
            <w:tcW w:w="843" w:type="dxa"/>
            <w:shd w:val="clear" w:color="auto" w:fill="D9D9D9" w:themeFill="background1" w:themeFillShade="D9"/>
            <w:vAlign w:val="center"/>
          </w:tcPr>
          <w:p w14:paraId="218EE386"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38</w:t>
            </w:r>
          </w:p>
        </w:tc>
        <w:tc>
          <w:tcPr>
            <w:tcW w:w="783" w:type="dxa"/>
            <w:vAlign w:val="center"/>
          </w:tcPr>
          <w:p w14:paraId="01BB54BD"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w:t>
            </w:r>
          </w:p>
        </w:tc>
        <w:tc>
          <w:tcPr>
            <w:tcW w:w="851" w:type="dxa"/>
            <w:shd w:val="clear" w:color="auto" w:fill="D9D9D9" w:themeFill="background1" w:themeFillShade="D9"/>
            <w:vAlign w:val="center"/>
          </w:tcPr>
          <w:p w14:paraId="0AAE8DF6"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43</w:t>
            </w:r>
          </w:p>
        </w:tc>
        <w:tc>
          <w:tcPr>
            <w:tcW w:w="895" w:type="dxa"/>
            <w:vAlign w:val="center"/>
          </w:tcPr>
          <w:p w14:paraId="6588CBCB"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345</w:t>
            </w:r>
          </w:p>
        </w:tc>
        <w:tc>
          <w:tcPr>
            <w:tcW w:w="843" w:type="dxa"/>
            <w:shd w:val="clear" w:color="auto" w:fill="D9D9D9" w:themeFill="background1" w:themeFillShade="D9"/>
            <w:vAlign w:val="center"/>
          </w:tcPr>
          <w:p w14:paraId="4BFF08C5"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172</w:t>
            </w:r>
          </w:p>
        </w:tc>
        <w:tc>
          <w:tcPr>
            <w:tcW w:w="843" w:type="dxa"/>
            <w:vAlign w:val="center"/>
          </w:tcPr>
          <w:p w14:paraId="12005CEA"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517</w:t>
            </w:r>
          </w:p>
        </w:tc>
        <w:tc>
          <w:tcPr>
            <w:tcW w:w="843" w:type="dxa"/>
            <w:shd w:val="clear" w:color="auto" w:fill="D9D9D9" w:themeFill="background1" w:themeFillShade="D9"/>
            <w:vAlign w:val="center"/>
          </w:tcPr>
          <w:p w14:paraId="32F92D56"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-15,7</w:t>
            </w:r>
          </w:p>
        </w:tc>
        <w:tc>
          <w:tcPr>
            <w:tcW w:w="843" w:type="dxa"/>
            <w:vAlign w:val="center"/>
          </w:tcPr>
          <w:p w14:paraId="1C4D1C27"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-18,8</w:t>
            </w:r>
          </w:p>
        </w:tc>
        <w:tc>
          <w:tcPr>
            <w:tcW w:w="843" w:type="dxa"/>
            <w:shd w:val="clear" w:color="auto" w:fill="D9D9D9" w:themeFill="background1" w:themeFillShade="D9"/>
            <w:vAlign w:val="center"/>
          </w:tcPr>
          <w:p w14:paraId="553DCAD3" w14:textId="0ACDE03D"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19,4</w:t>
            </w:r>
          </w:p>
        </w:tc>
        <w:tc>
          <w:tcPr>
            <w:tcW w:w="843" w:type="dxa"/>
            <w:vAlign w:val="center"/>
          </w:tcPr>
          <w:p w14:paraId="3E9AE582" w14:textId="1754D8CB"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16,4</w:t>
            </w:r>
          </w:p>
        </w:tc>
      </w:tr>
      <w:tr w:rsidR="000E6070" w:rsidRPr="003C2D6C" w14:paraId="4D93B60F" w14:textId="77777777" w:rsidTr="00FA7778">
        <w:trPr>
          <w:trHeight w:hRule="exact" w:val="255"/>
        </w:trPr>
        <w:tc>
          <w:tcPr>
            <w:tcW w:w="1351" w:type="dxa"/>
            <w:vAlign w:val="center"/>
          </w:tcPr>
          <w:p w14:paraId="1D29EDBC" w14:textId="77777777" w:rsidR="000E6070" w:rsidRPr="003C2D6C" w:rsidRDefault="000E6070" w:rsidP="00236108">
            <w:pPr>
              <w:ind w:left="157"/>
              <w:rPr>
                <w:rFonts w:ascii="Arial Narrow" w:hAnsi="Arial Narrow"/>
                <w:sz w:val="18"/>
                <w:szCs w:val="18"/>
              </w:rPr>
            </w:pPr>
            <w:r w:rsidRPr="003C2D6C">
              <w:rPr>
                <w:rFonts w:ascii="Arial Narrow" w:hAnsi="Arial Narrow"/>
                <w:sz w:val="18"/>
                <w:szCs w:val="18"/>
              </w:rPr>
              <w:t>Non indicata</w:t>
            </w:r>
          </w:p>
        </w:tc>
        <w:tc>
          <w:tcPr>
            <w:tcW w:w="843" w:type="dxa"/>
            <w:shd w:val="clear" w:color="auto" w:fill="D9D9D9" w:themeFill="background1" w:themeFillShade="D9"/>
            <w:vAlign w:val="center"/>
          </w:tcPr>
          <w:p w14:paraId="6C91FDDE"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41</w:t>
            </w:r>
          </w:p>
        </w:tc>
        <w:tc>
          <w:tcPr>
            <w:tcW w:w="783" w:type="dxa"/>
            <w:vAlign w:val="center"/>
          </w:tcPr>
          <w:p w14:paraId="37C50CCF"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12</w:t>
            </w:r>
          </w:p>
        </w:tc>
        <w:tc>
          <w:tcPr>
            <w:tcW w:w="851" w:type="dxa"/>
            <w:shd w:val="clear" w:color="auto" w:fill="D9D9D9" w:themeFill="background1" w:themeFillShade="D9"/>
            <w:vAlign w:val="center"/>
          </w:tcPr>
          <w:p w14:paraId="1D892F0D" w14:textId="77777777" w:rsidR="000E6070" w:rsidRPr="00CD3CDC"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53</w:t>
            </w:r>
          </w:p>
        </w:tc>
        <w:tc>
          <w:tcPr>
            <w:tcW w:w="895" w:type="dxa"/>
            <w:vAlign w:val="center"/>
          </w:tcPr>
          <w:p w14:paraId="32DED4FF"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2.137</w:t>
            </w:r>
          </w:p>
        </w:tc>
        <w:tc>
          <w:tcPr>
            <w:tcW w:w="843" w:type="dxa"/>
            <w:shd w:val="clear" w:color="auto" w:fill="D9D9D9" w:themeFill="background1" w:themeFillShade="D9"/>
            <w:vAlign w:val="center"/>
          </w:tcPr>
          <w:p w14:paraId="299E1B39"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1.443</w:t>
            </w:r>
          </w:p>
        </w:tc>
        <w:tc>
          <w:tcPr>
            <w:tcW w:w="843" w:type="dxa"/>
            <w:vAlign w:val="center"/>
          </w:tcPr>
          <w:p w14:paraId="3187125B" w14:textId="77777777" w:rsidR="000E6070" w:rsidRPr="00493670" w:rsidRDefault="000E6070" w:rsidP="00236108">
            <w:pPr>
              <w:ind w:right="113"/>
              <w:jc w:val="right"/>
              <w:rPr>
                <w:rFonts w:ascii="Arial Narrow" w:hAnsi="Arial Narrow"/>
                <w:color w:val="000000"/>
                <w:sz w:val="18"/>
                <w:szCs w:val="18"/>
              </w:rPr>
            </w:pPr>
            <w:r w:rsidRPr="00493670">
              <w:rPr>
                <w:rFonts w:ascii="Arial Narrow" w:hAnsi="Arial Narrow"/>
                <w:color w:val="000000"/>
                <w:sz w:val="18"/>
                <w:szCs w:val="18"/>
              </w:rPr>
              <w:t>3.580</w:t>
            </w:r>
          </w:p>
        </w:tc>
        <w:tc>
          <w:tcPr>
            <w:tcW w:w="843" w:type="dxa"/>
            <w:shd w:val="clear" w:color="auto" w:fill="D9D9D9" w:themeFill="background1" w:themeFillShade="D9"/>
            <w:vAlign w:val="center"/>
          </w:tcPr>
          <w:p w14:paraId="25D7ECD3" w14:textId="2C313313"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10,4</w:t>
            </w:r>
          </w:p>
        </w:tc>
        <w:tc>
          <w:tcPr>
            <w:tcW w:w="843" w:type="dxa"/>
            <w:vAlign w:val="center"/>
          </w:tcPr>
          <w:p w14:paraId="67A5243B" w14:textId="77777777" w:rsidR="000E6070" w:rsidRPr="007E4606" w:rsidRDefault="000E6070" w:rsidP="00236108">
            <w:pPr>
              <w:ind w:right="170"/>
              <w:jc w:val="right"/>
              <w:rPr>
                <w:rFonts w:ascii="Arial Narrow" w:hAnsi="Arial Narrow"/>
                <w:color w:val="000000"/>
                <w:sz w:val="18"/>
                <w:szCs w:val="18"/>
              </w:rPr>
            </w:pPr>
            <w:r w:rsidRPr="007E4606">
              <w:rPr>
                <w:rFonts w:ascii="Arial Narrow" w:hAnsi="Arial Narrow"/>
                <w:color w:val="000000"/>
                <w:sz w:val="18"/>
                <w:szCs w:val="18"/>
              </w:rPr>
              <w:t>-32,4</w:t>
            </w:r>
          </w:p>
        </w:tc>
        <w:tc>
          <w:tcPr>
            <w:tcW w:w="843" w:type="dxa"/>
            <w:shd w:val="clear" w:color="auto" w:fill="D9D9D9" w:themeFill="background1" w:themeFillShade="D9"/>
            <w:vAlign w:val="center"/>
          </w:tcPr>
          <w:p w14:paraId="456BD382" w14:textId="7743627F"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20,5</w:t>
            </w:r>
          </w:p>
        </w:tc>
        <w:tc>
          <w:tcPr>
            <w:tcW w:w="843" w:type="dxa"/>
            <w:vAlign w:val="center"/>
          </w:tcPr>
          <w:p w14:paraId="549E0787" w14:textId="712E87E2" w:rsidR="000E6070" w:rsidRPr="007E4606" w:rsidRDefault="002B0091" w:rsidP="00236108">
            <w:pPr>
              <w:ind w:right="170"/>
              <w:jc w:val="right"/>
              <w:rPr>
                <w:rFonts w:ascii="Arial Narrow" w:hAnsi="Arial Narrow"/>
                <w:color w:val="000000"/>
                <w:sz w:val="18"/>
                <w:szCs w:val="18"/>
              </w:rPr>
            </w:pPr>
            <w:r>
              <w:rPr>
                <w:rFonts w:ascii="Arial Narrow" w:hAnsi="Arial Narrow"/>
                <w:color w:val="000000"/>
                <w:sz w:val="18"/>
                <w:szCs w:val="18"/>
              </w:rPr>
              <w:t>+</w:t>
            </w:r>
            <w:r w:rsidR="000E6070" w:rsidRPr="007E4606">
              <w:rPr>
                <w:rFonts w:ascii="Arial Narrow" w:hAnsi="Arial Narrow"/>
                <w:color w:val="000000"/>
                <w:sz w:val="18"/>
                <w:szCs w:val="18"/>
              </w:rPr>
              <w:t>27,9</w:t>
            </w:r>
          </w:p>
        </w:tc>
      </w:tr>
      <w:tr w:rsidR="000E6070" w:rsidRPr="003C2D6C" w14:paraId="33B853D6" w14:textId="77777777" w:rsidTr="00FA7778">
        <w:trPr>
          <w:trHeight w:hRule="exact" w:val="255"/>
        </w:trPr>
        <w:tc>
          <w:tcPr>
            <w:tcW w:w="1351" w:type="dxa"/>
            <w:shd w:val="clear" w:color="auto" w:fill="00527F"/>
            <w:vAlign w:val="center"/>
          </w:tcPr>
          <w:p w14:paraId="36BC4C7E" w14:textId="77777777" w:rsidR="000E6070" w:rsidRPr="003C2D6C" w:rsidRDefault="000E6070" w:rsidP="00236108">
            <w:pPr>
              <w:ind w:left="157"/>
              <w:rPr>
                <w:rFonts w:ascii="Arial Narrow" w:hAnsi="Arial Narrow"/>
                <w:b/>
                <w:bCs/>
                <w:color w:val="FFFFFF"/>
                <w:sz w:val="18"/>
                <w:szCs w:val="18"/>
              </w:rPr>
            </w:pPr>
            <w:r w:rsidRPr="003C2D6C">
              <w:rPr>
                <w:rFonts w:ascii="Arial Narrow" w:hAnsi="Arial Narrow"/>
                <w:b/>
                <w:bCs/>
                <w:color w:val="FFFFFF"/>
                <w:sz w:val="18"/>
                <w:szCs w:val="18"/>
              </w:rPr>
              <w:t xml:space="preserve"> Totale </w:t>
            </w:r>
          </w:p>
        </w:tc>
        <w:tc>
          <w:tcPr>
            <w:tcW w:w="843" w:type="dxa"/>
            <w:shd w:val="clear" w:color="auto" w:fill="00527F"/>
            <w:vAlign w:val="center"/>
          </w:tcPr>
          <w:p w14:paraId="70CF5EF4" w14:textId="77777777" w:rsidR="000E6070" w:rsidRPr="00493670" w:rsidRDefault="000E6070" w:rsidP="00236108">
            <w:pPr>
              <w:ind w:right="113"/>
              <w:jc w:val="right"/>
              <w:rPr>
                <w:rFonts w:ascii="Arial Narrow" w:hAnsi="Arial Narrow"/>
                <w:b/>
                <w:color w:val="FFFFFF" w:themeColor="background1"/>
                <w:sz w:val="18"/>
                <w:szCs w:val="18"/>
              </w:rPr>
            </w:pPr>
            <w:r w:rsidRPr="00493670">
              <w:rPr>
                <w:rFonts w:ascii="Arial Narrow" w:hAnsi="Arial Narrow"/>
                <w:b/>
                <w:color w:val="FFFFFF" w:themeColor="background1"/>
                <w:sz w:val="18"/>
                <w:szCs w:val="18"/>
              </w:rPr>
              <w:t>2.396</w:t>
            </w:r>
          </w:p>
        </w:tc>
        <w:tc>
          <w:tcPr>
            <w:tcW w:w="783" w:type="dxa"/>
            <w:shd w:val="clear" w:color="auto" w:fill="00527F"/>
            <w:vAlign w:val="center"/>
          </w:tcPr>
          <w:p w14:paraId="5E7AA708" w14:textId="77777777" w:rsidR="000E6070" w:rsidRPr="00493670" w:rsidRDefault="000E6070" w:rsidP="00236108">
            <w:pPr>
              <w:ind w:right="113"/>
              <w:jc w:val="right"/>
              <w:rPr>
                <w:rFonts w:ascii="Arial Narrow" w:hAnsi="Arial Narrow"/>
                <w:b/>
                <w:color w:val="FFFFFF" w:themeColor="background1"/>
                <w:sz w:val="18"/>
                <w:szCs w:val="18"/>
              </w:rPr>
            </w:pPr>
            <w:r w:rsidRPr="00493670">
              <w:rPr>
                <w:rFonts w:ascii="Arial Narrow" w:hAnsi="Arial Narrow"/>
                <w:b/>
                <w:color w:val="FFFFFF" w:themeColor="background1"/>
                <w:sz w:val="18"/>
                <w:szCs w:val="18"/>
              </w:rPr>
              <w:t>479</w:t>
            </w:r>
          </w:p>
        </w:tc>
        <w:tc>
          <w:tcPr>
            <w:tcW w:w="851" w:type="dxa"/>
            <w:shd w:val="clear" w:color="auto" w:fill="00527F"/>
            <w:vAlign w:val="center"/>
          </w:tcPr>
          <w:p w14:paraId="2266C96E" w14:textId="77777777" w:rsidR="000E6070" w:rsidRPr="00493670" w:rsidRDefault="000E6070" w:rsidP="00236108">
            <w:pPr>
              <w:ind w:right="113"/>
              <w:jc w:val="right"/>
              <w:rPr>
                <w:rFonts w:ascii="Arial Narrow" w:hAnsi="Arial Narrow"/>
                <w:b/>
                <w:color w:val="FFFFFF" w:themeColor="background1"/>
                <w:sz w:val="18"/>
                <w:szCs w:val="18"/>
              </w:rPr>
            </w:pPr>
            <w:r w:rsidRPr="00493670">
              <w:rPr>
                <w:rFonts w:ascii="Arial Narrow" w:hAnsi="Arial Narrow"/>
                <w:b/>
                <w:color w:val="FFFFFF" w:themeColor="background1"/>
                <w:sz w:val="18"/>
                <w:szCs w:val="18"/>
              </w:rPr>
              <w:t>2.875</w:t>
            </w:r>
          </w:p>
        </w:tc>
        <w:tc>
          <w:tcPr>
            <w:tcW w:w="895" w:type="dxa"/>
            <w:shd w:val="clear" w:color="auto" w:fill="00527F"/>
            <w:vAlign w:val="center"/>
          </w:tcPr>
          <w:p w14:paraId="5C4A4D89" w14:textId="77777777" w:rsidR="000E6070" w:rsidRPr="00493670" w:rsidRDefault="000E6070" w:rsidP="00236108">
            <w:pPr>
              <w:ind w:right="113"/>
              <w:jc w:val="right"/>
              <w:rPr>
                <w:rFonts w:ascii="Arial Narrow" w:hAnsi="Arial Narrow"/>
                <w:b/>
                <w:color w:val="FFFFFF" w:themeColor="background1"/>
                <w:sz w:val="18"/>
                <w:szCs w:val="18"/>
              </w:rPr>
            </w:pPr>
            <w:r w:rsidRPr="00493670">
              <w:rPr>
                <w:rFonts w:ascii="Arial Narrow" w:hAnsi="Arial Narrow"/>
                <w:b/>
                <w:color w:val="FFFFFF" w:themeColor="background1"/>
                <w:sz w:val="18"/>
                <w:szCs w:val="18"/>
              </w:rPr>
              <w:t>134.807</w:t>
            </w:r>
          </w:p>
        </w:tc>
        <w:tc>
          <w:tcPr>
            <w:tcW w:w="843" w:type="dxa"/>
            <w:shd w:val="clear" w:color="auto" w:fill="00527F"/>
            <w:vAlign w:val="center"/>
          </w:tcPr>
          <w:p w14:paraId="298D7309" w14:textId="77777777" w:rsidR="000E6070" w:rsidRPr="00493670" w:rsidRDefault="000E6070" w:rsidP="00236108">
            <w:pPr>
              <w:ind w:right="113"/>
              <w:jc w:val="right"/>
              <w:rPr>
                <w:rFonts w:ascii="Arial Narrow" w:hAnsi="Arial Narrow"/>
                <w:b/>
                <w:color w:val="FFFFFF" w:themeColor="background1"/>
                <w:sz w:val="18"/>
                <w:szCs w:val="18"/>
              </w:rPr>
            </w:pPr>
            <w:r w:rsidRPr="00493670">
              <w:rPr>
                <w:rFonts w:ascii="Arial Narrow" w:hAnsi="Arial Narrow"/>
                <w:b/>
                <w:color w:val="FFFFFF" w:themeColor="background1"/>
                <w:sz w:val="18"/>
                <w:szCs w:val="18"/>
              </w:rPr>
              <w:t>69.921</w:t>
            </w:r>
          </w:p>
        </w:tc>
        <w:tc>
          <w:tcPr>
            <w:tcW w:w="843" w:type="dxa"/>
            <w:shd w:val="clear" w:color="auto" w:fill="00527F"/>
            <w:vAlign w:val="center"/>
          </w:tcPr>
          <w:p w14:paraId="3282FA2F" w14:textId="77777777" w:rsidR="000E6070" w:rsidRPr="00493670" w:rsidRDefault="000E6070" w:rsidP="00236108">
            <w:pPr>
              <w:ind w:right="113"/>
              <w:jc w:val="right"/>
              <w:rPr>
                <w:rFonts w:ascii="Arial Narrow" w:hAnsi="Arial Narrow"/>
                <w:b/>
                <w:color w:val="FFFFFF" w:themeColor="background1"/>
                <w:sz w:val="18"/>
                <w:szCs w:val="18"/>
              </w:rPr>
            </w:pPr>
            <w:r w:rsidRPr="00493670">
              <w:rPr>
                <w:rFonts w:ascii="Arial Narrow" w:hAnsi="Arial Narrow"/>
                <w:b/>
                <w:color w:val="FFFFFF" w:themeColor="background1"/>
                <w:sz w:val="18"/>
                <w:szCs w:val="18"/>
              </w:rPr>
              <w:t>204.728</w:t>
            </w:r>
          </w:p>
        </w:tc>
        <w:tc>
          <w:tcPr>
            <w:tcW w:w="843" w:type="dxa"/>
            <w:shd w:val="clear" w:color="auto" w:fill="00527F"/>
            <w:vAlign w:val="center"/>
          </w:tcPr>
          <w:p w14:paraId="65C4B5B6" w14:textId="77777777" w:rsidR="000E6070" w:rsidRPr="007E4606" w:rsidRDefault="000E6070" w:rsidP="00236108">
            <w:pPr>
              <w:ind w:right="170"/>
              <w:jc w:val="right"/>
              <w:rPr>
                <w:rFonts w:ascii="Arial Narrow" w:hAnsi="Arial Narrow"/>
                <w:b/>
                <w:color w:val="FFFFFF" w:themeColor="background1"/>
                <w:sz w:val="18"/>
                <w:szCs w:val="18"/>
              </w:rPr>
            </w:pPr>
            <w:r w:rsidRPr="007E4606">
              <w:rPr>
                <w:rFonts w:ascii="Arial Narrow" w:hAnsi="Arial Narrow"/>
                <w:b/>
                <w:color w:val="FFFFFF" w:themeColor="background1"/>
                <w:sz w:val="18"/>
                <w:szCs w:val="18"/>
              </w:rPr>
              <w:t>-9,4</w:t>
            </w:r>
          </w:p>
        </w:tc>
        <w:tc>
          <w:tcPr>
            <w:tcW w:w="843" w:type="dxa"/>
            <w:shd w:val="clear" w:color="auto" w:fill="00527F"/>
            <w:vAlign w:val="center"/>
          </w:tcPr>
          <w:p w14:paraId="467C02C0" w14:textId="77777777" w:rsidR="000E6070" w:rsidRPr="007E4606" w:rsidRDefault="000E6070" w:rsidP="00236108">
            <w:pPr>
              <w:ind w:right="170"/>
              <w:jc w:val="right"/>
              <w:rPr>
                <w:rFonts w:ascii="Arial Narrow" w:hAnsi="Arial Narrow"/>
                <w:b/>
                <w:color w:val="FFFFFF" w:themeColor="background1"/>
                <w:sz w:val="18"/>
                <w:szCs w:val="18"/>
              </w:rPr>
            </w:pPr>
            <w:r w:rsidRPr="007E4606">
              <w:rPr>
                <w:rFonts w:ascii="Arial Narrow" w:hAnsi="Arial Narrow"/>
                <w:b/>
                <w:color w:val="FFFFFF" w:themeColor="background1"/>
                <w:sz w:val="18"/>
                <w:szCs w:val="18"/>
              </w:rPr>
              <w:t>-15,2</w:t>
            </w:r>
          </w:p>
        </w:tc>
        <w:tc>
          <w:tcPr>
            <w:tcW w:w="843" w:type="dxa"/>
            <w:shd w:val="clear" w:color="auto" w:fill="00527F"/>
            <w:vAlign w:val="center"/>
          </w:tcPr>
          <w:p w14:paraId="1E824E5A" w14:textId="024F3D0C" w:rsidR="000E6070" w:rsidRPr="007E4606" w:rsidRDefault="002B0091" w:rsidP="00236108">
            <w:pPr>
              <w:ind w:right="170"/>
              <w:jc w:val="right"/>
              <w:rPr>
                <w:rFonts w:ascii="Arial Narrow" w:hAnsi="Arial Narrow"/>
                <w:b/>
                <w:color w:val="FFFFFF" w:themeColor="background1"/>
                <w:sz w:val="18"/>
                <w:szCs w:val="18"/>
              </w:rPr>
            </w:pPr>
            <w:r>
              <w:rPr>
                <w:rFonts w:ascii="Arial Narrow" w:hAnsi="Arial Narrow"/>
                <w:b/>
                <w:color w:val="FFFFFF" w:themeColor="background1"/>
                <w:sz w:val="18"/>
                <w:szCs w:val="18"/>
              </w:rPr>
              <w:t>+</w:t>
            </w:r>
            <w:r w:rsidR="000E6070" w:rsidRPr="007E4606">
              <w:rPr>
                <w:rFonts w:ascii="Arial Narrow" w:hAnsi="Arial Narrow"/>
                <w:b/>
                <w:color w:val="FFFFFF" w:themeColor="background1"/>
                <w:sz w:val="18"/>
                <w:szCs w:val="18"/>
              </w:rPr>
              <w:t>20,0</w:t>
            </w:r>
          </w:p>
        </w:tc>
        <w:tc>
          <w:tcPr>
            <w:tcW w:w="843" w:type="dxa"/>
            <w:shd w:val="clear" w:color="auto" w:fill="00527F"/>
            <w:vAlign w:val="center"/>
          </w:tcPr>
          <w:p w14:paraId="08049AEE" w14:textId="2BD5342C" w:rsidR="000E6070" w:rsidRPr="007E4606" w:rsidRDefault="002B0091" w:rsidP="00236108">
            <w:pPr>
              <w:ind w:right="170"/>
              <w:jc w:val="right"/>
              <w:rPr>
                <w:rFonts w:ascii="Arial Narrow" w:hAnsi="Arial Narrow"/>
                <w:b/>
                <w:color w:val="FFFFFF" w:themeColor="background1"/>
                <w:sz w:val="18"/>
                <w:szCs w:val="18"/>
              </w:rPr>
            </w:pPr>
            <w:r>
              <w:rPr>
                <w:rFonts w:ascii="Arial Narrow" w:hAnsi="Arial Narrow"/>
                <w:b/>
                <w:color w:val="FFFFFF" w:themeColor="background1"/>
                <w:sz w:val="18"/>
                <w:szCs w:val="18"/>
              </w:rPr>
              <w:t>+</w:t>
            </w:r>
            <w:r w:rsidR="000E6070" w:rsidRPr="007E4606">
              <w:rPr>
                <w:rFonts w:ascii="Arial Narrow" w:hAnsi="Arial Narrow"/>
                <w:b/>
                <w:color w:val="FFFFFF" w:themeColor="background1"/>
                <w:sz w:val="18"/>
                <w:szCs w:val="18"/>
              </w:rPr>
              <w:t>28,6</w:t>
            </w:r>
          </w:p>
        </w:tc>
      </w:tr>
    </w:tbl>
    <w:p w14:paraId="3EED02A0" w14:textId="77777777" w:rsidR="000E6070" w:rsidRDefault="000E6070" w:rsidP="000E6070">
      <w:pPr>
        <w:numPr>
          <w:ilvl w:val="0"/>
          <w:numId w:val="3"/>
        </w:numPr>
        <w:tabs>
          <w:tab w:val="left" w:pos="0"/>
          <w:tab w:val="left" w:pos="284"/>
        </w:tabs>
        <w:spacing w:before="40"/>
        <w:ind w:left="0" w:right="28" w:firstLine="0"/>
        <w:jc w:val="both"/>
        <w:rPr>
          <w:rFonts w:ascii="Arial Narrow" w:hAnsi="Arial Narrow" w:cs="Times New Roman"/>
          <w:sz w:val="15"/>
          <w:szCs w:val="15"/>
        </w:rPr>
      </w:pPr>
      <w:r w:rsidRPr="00A9541D">
        <w:rPr>
          <w:rFonts w:ascii="Arial Narrow" w:hAnsi="Arial Narrow" w:cs="Times New Roman"/>
          <w:sz w:val="15"/>
          <w:szCs w:val="15"/>
        </w:rPr>
        <w:t>Tra le classi della variabile età, è inclusa anche la modali</w:t>
      </w:r>
      <w:r>
        <w:rPr>
          <w:rFonts w:ascii="Arial Narrow" w:hAnsi="Arial Narrow" w:cs="Times New Roman"/>
          <w:sz w:val="15"/>
          <w:szCs w:val="15"/>
        </w:rPr>
        <w:t>tà “imprecisata o non indicata”. S</w:t>
      </w:r>
      <w:r w:rsidRPr="00A9541D">
        <w:rPr>
          <w:rFonts w:ascii="Arial Narrow" w:hAnsi="Arial Narrow" w:cs="Times New Roman"/>
          <w:sz w:val="15"/>
          <w:szCs w:val="15"/>
        </w:rPr>
        <w:t>ono conteggiati,</w:t>
      </w:r>
      <w:r>
        <w:rPr>
          <w:rFonts w:ascii="Arial Narrow" w:hAnsi="Arial Narrow" w:cs="Times New Roman"/>
          <w:sz w:val="15"/>
          <w:szCs w:val="15"/>
        </w:rPr>
        <w:t xml:space="preserve"> infatti, </w:t>
      </w:r>
      <w:r w:rsidRPr="00A9541D">
        <w:rPr>
          <w:rFonts w:ascii="Arial Narrow" w:hAnsi="Arial Narrow" w:cs="Times New Roman"/>
          <w:sz w:val="15"/>
          <w:szCs w:val="15"/>
        </w:rPr>
        <w:t>per ciascun incidente, anche gli occupanti degli altri veicoli coinvolti oltre il terzo; per questi individui, dei quali si conosce solo l’esito e la numerosità, non si rilevano le caratteristiche anagrafiche, tra cui l’età.</w:t>
      </w:r>
    </w:p>
    <w:p w14:paraId="258A95D5" w14:textId="77777777" w:rsidR="000E6070" w:rsidRDefault="000E6070" w:rsidP="000E6070">
      <w:pPr>
        <w:widowControl w:val="0"/>
        <w:jc w:val="both"/>
        <w:rPr>
          <w:sz w:val="20"/>
        </w:rPr>
      </w:pPr>
    </w:p>
    <w:p w14:paraId="73CD2DA2" w14:textId="77777777" w:rsidR="009E186D" w:rsidRDefault="009E186D" w:rsidP="004F5E20">
      <w:pPr>
        <w:spacing w:after="120"/>
        <w:jc w:val="both"/>
        <w:rPr>
          <w:sz w:val="20"/>
        </w:rPr>
      </w:pPr>
    </w:p>
    <w:p w14:paraId="50A2E0D3" w14:textId="202D30D3" w:rsidR="004F5E20" w:rsidRDefault="004F5E20" w:rsidP="004F5E20">
      <w:pPr>
        <w:spacing w:after="120"/>
        <w:jc w:val="both"/>
        <w:rPr>
          <w:sz w:val="20"/>
        </w:rPr>
      </w:pPr>
      <w:r w:rsidRPr="00127CD9">
        <w:rPr>
          <w:sz w:val="20"/>
        </w:rPr>
        <w:t xml:space="preserve">Quanto ai feriti negli incidenti stradali, si tratta prevalentemente di giovani tra i </w:t>
      </w:r>
      <w:r>
        <w:rPr>
          <w:sz w:val="20"/>
        </w:rPr>
        <w:t>15</w:t>
      </w:r>
      <w:r w:rsidRPr="00127CD9">
        <w:rPr>
          <w:sz w:val="20"/>
        </w:rPr>
        <w:t xml:space="preserve"> e i 29 anni</w:t>
      </w:r>
      <w:r>
        <w:rPr>
          <w:sz w:val="20"/>
        </w:rPr>
        <w:t xml:space="preserve"> (30,3% sul totale)</w:t>
      </w:r>
      <w:r w:rsidR="00C818EB">
        <w:rPr>
          <w:sz w:val="20"/>
        </w:rPr>
        <w:t xml:space="preserve"> per i quali si registra</w:t>
      </w:r>
      <w:r w:rsidR="009E186D">
        <w:rPr>
          <w:sz w:val="20"/>
        </w:rPr>
        <w:t>no</w:t>
      </w:r>
      <w:r w:rsidR="00C818EB">
        <w:rPr>
          <w:sz w:val="20"/>
        </w:rPr>
        <w:t xml:space="preserve"> aument</w:t>
      </w:r>
      <w:r w:rsidR="009E186D">
        <w:rPr>
          <w:sz w:val="20"/>
        </w:rPr>
        <w:t>i</w:t>
      </w:r>
      <w:r w:rsidR="00C818EB">
        <w:rPr>
          <w:sz w:val="20"/>
        </w:rPr>
        <w:t xml:space="preserve"> </w:t>
      </w:r>
      <w:r>
        <w:rPr>
          <w:sz w:val="20"/>
        </w:rPr>
        <w:t xml:space="preserve">di oltre il 40% rispetto al 2020 e </w:t>
      </w:r>
      <w:r w:rsidR="00C818EB">
        <w:rPr>
          <w:sz w:val="20"/>
        </w:rPr>
        <w:t xml:space="preserve">cali </w:t>
      </w:r>
      <w:r>
        <w:rPr>
          <w:sz w:val="20"/>
        </w:rPr>
        <w:t xml:space="preserve">più </w:t>
      </w:r>
      <w:r w:rsidR="00C818EB">
        <w:rPr>
          <w:sz w:val="20"/>
        </w:rPr>
        <w:t>limitati</w:t>
      </w:r>
      <w:r>
        <w:rPr>
          <w:sz w:val="20"/>
        </w:rPr>
        <w:t xml:space="preserve"> </w:t>
      </w:r>
      <w:r w:rsidR="009E186D">
        <w:rPr>
          <w:sz w:val="20"/>
        </w:rPr>
        <w:t>di</w:t>
      </w:r>
      <w:r>
        <w:rPr>
          <w:sz w:val="20"/>
        </w:rPr>
        <w:t xml:space="preserve"> altre classi di età rispetto al 2019</w:t>
      </w:r>
      <w:r w:rsidR="00724E95">
        <w:rPr>
          <w:sz w:val="20"/>
        </w:rPr>
        <w:t xml:space="preserve"> (Prospetto 3</w:t>
      </w:r>
      <w:r w:rsidRPr="00127CD9">
        <w:rPr>
          <w:sz w:val="20"/>
        </w:rPr>
        <w:t xml:space="preserve">). </w:t>
      </w:r>
      <w:r>
        <w:rPr>
          <w:sz w:val="20"/>
        </w:rPr>
        <w:t xml:space="preserve">Per far fronte concretamente a questa situazione allarmante, il nuovo Piano Nazionale di Sicurezza Stradale 2030 punta </w:t>
      </w:r>
      <w:r w:rsidR="00A50F70">
        <w:rPr>
          <w:sz w:val="20"/>
        </w:rPr>
        <w:t xml:space="preserve">anche </w:t>
      </w:r>
      <w:r>
        <w:rPr>
          <w:sz w:val="20"/>
        </w:rPr>
        <w:t>su</w:t>
      </w:r>
      <w:r w:rsidRPr="00F02253">
        <w:rPr>
          <w:sz w:val="20"/>
        </w:rPr>
        <w:t xml:space="preserve"> miglioramenti nella progettazione di strade e veicoli, sul rafforzamento delle leggi e</w:t>
      </w:r>
      <w:r w:rsidR="00FD38B6">
        <w:rPr>
          <w:sz w:val="20"/>
        </w:rPr>
        <w:t xml:space="preserve"> la</w:t>
      </w:r>
      <w:r w:rsidRPr="00F02253">
        <w:rPr>
          <w:sz w:val="20"/>
        </w:rPr>
        <w:t xml:space="preserve"> loro applicazione, su un’assistenza tempestiva ed efficace ai feriti.</w:t>
      </w:r>
    </w:p>
    <w:p w14:paraId="1397CD55" w14:textId="1A7D3102" w:rsidR="000E6070" w:rsidRPr="001844F8" w:rsidRDefault="000E6070" w:rsidP="000E6070">
      <w:pPr>
        <w:spacing w:after="120"/>
        <w:jc w:val="both"/>
        <w:rPr>
          <w:sz w:val="20"/>
        </w:rPr>
      </w:pPr>
      <w:r w:rsidRPr="001844F8">
        <w:rPr>
          <w:sz w:val="20"/>
        </w:rPr>
        <w:t>La struttura per età e genere dei deceduti nel 202</w:t>
      </w:r>
      <w:r>
        <w:rPr>
          <w:sz w:val="20"/>
        </w:rPr>
        <w:t>1</w:t>
      </w:r>
      <w:r w:rsidRPr="001844F8">
        <w:rPr>
          <w:sz w:val="20"/>
        </w:rPr>
        <w:t xml:space="preserve"> </w:t>
      </w:r>
      <w:r>
        <w:rPr>
          <w:sz w:val="20"/>
        </w:rPr>
        <w:t xml:space="preserve">e </w:t>
      </w:r>
      <w:r w:rsidRPr="001844F8">
        <w:rPr>
          <w:sz w:val="20"/>
        </w:rPr>
        <w:t>nel 2010</w:t>
      </w:r>
      <w:r>
        <w:rPr>
          <w:sz w:val="20"/>
        </w:rPr>
        <w:t xml:space="preserve"> </w:t>
      </w:r>
      <w:r w:rsidR="009E186D">
        <w:rPr>
          <w:sz w:val="20"/>
        </w:rPr>
        <w:t>(</w:t>
      </w:r>
      <w:r>
        <w:rPr>
          <w:sz w:val="20"/>
        </w:rPr>
        <w:t>considerato come anno di confronto per rilevare differenze nella forma della distribuzione</w:t>
      </w:r>
      <w:r w:rsidR="009E186D">
        <w:rPr>
          <w:sz w:val="20"/>
        </w:rPr>
        <w:t>)</w:t>
      </w:r>
      <w:r w:rsidRPr="001844F8">
        <w:rPr>
          <w:sz w:val="20"/>
        </w:rPr>
        <w:t xml:space="preserve"> mostra come </w:t>
      </w:r>
      <w:r>
        <w:rPr>
          <w:sz w:val="20"/>
        </w:rPr>
        <w:t xml:space="preserve">le proporzioni di vittime in età adulta e anziana, rispetto </w:t>
      </w:r>
      <w:r>
        <w:rPr>
          <w:sz w:val="20"/>
        </w:rPr>
        <w:lastRenderedPageBreak/>
        <w:t xml:space="preserve">al totale per genere, </w:t>
      </w:r>
      <w:r w:rsidR="009E186D">
        <w:rPr>
          <w:sz w:val="20"/>
        </w:rPr>
        <w:t>siano</w:t>
      </w:r>
      <w:r>
        <w:rPr>
          <w:sz w:val="20"/>
        </w:rPr>
        <w:t xml:space="preserve"> sempre più consistenti</w:t>
      </w:r>
      <w:r w:rsidRPr="001844F8">
        <w:rPr>
          <w:sz w:val="20"/>
        </w:rPr>
        <w:t xml:space="preserve"> nel tempo</w:t>
      </w:r>
      <w:r>
        <w:rPr>
          <w:sz w:val="20"/>
        </w:rPr>
        <w:t xml:space="preserve">, anche in </w:t>
      </w:r>
      <w:r w:rsidRPr="001844F8">
        <w:rPr>
          <w:sz w:val="20"/>
        </w:rPr>
        <w:t xml:space="preserve">relazione all’invecchiamento della popolazione. </w:t>
      </w:r>
    </w:p>
    <w:p w14:paraId="41ACDEB7" w14:textId="25E14E95" w:rsidR="000E6070" w:rsidRDefault="000E6070" w:rsidP="000E6070">
      <w:pPr>
        <w:jc w:val="both"/>
        <w:rPr>
          <w:sz w:val="20"/>
        </w:rPr>
      </w:pPr>
      <w:r w:rsidRPr="00887FF5">
        <w:rPr>
          <w:sz w:val="20"/>
        </w:rPr>
        <w:t>La distribuzione dei tassi di mortalità stradale per età, calcolati sulla popolazione residente, conferma lo svantaggio delle classi di età più giovani (20-</w:t>
      </w:r>
      <w:r w:rsidR="00A50F70">
        <w:rPr>
          <w:sz w:val="20"/>
        </w:rPr>
        <w:t>34</w:t>
      </w:r>
      <w:r w:rsidR="00A50F70" w:rsidRPr="00887FF5">
        <w:rPr>
          <w:sz w:val="20"/>
        </w:rPr>
        <w:t xml:space="preserve"> </w:t>
      </w:r>
      <w:r w:rsidRPr="00887FF5">
        <w:rPr>
          <w:sz w:val="20"/>
        </w:rPr>
        <w:t xml:space="preserve">anni) e degli </w:t>
      </w:r>
      <w:r w:rsidR="00872160" w:rsidRPr="00887FF5">
        <w:rPr>
          <w:sz w:val="20"/>
        </w:rPr>
        <w:t>individui</w:t>
      </w:r>
      <w:r w:rsidR="00872160">
        <w:rPr>
          <w:sz w:val="20"/>
        </w:rPr>
        <w:t xml:space="preserve"> ultrasettantenni</w:t>
      </w:r>
      <w:r w:rsidRPr="00887FF5">
        <w:rPr>
          <w:sz w:val="20"/>
        </w:rPr>
        <w:t xml:space="preserve">: il tasso specifico di mortalità più </w:t>
      </w:r>
      <w:r>
        <w:rPr>
          <w:sz w:val="20"/>
        </w:rPr>
        <w:t>elevato è nella classe di età 85-89 anni (90,1</w:t>
      </w:r>
      <w:r w:rsidRPr="00887FF5">
        <w:rPr>
          <w:sz w:val="20"/>
        </w:rPr>
        <w:t xml:space="preserve"> ogni milione di abitanti) e nella classe 20-24 anni (</w:t>
      </w:r>
      <w:r>
        <w:rPr>
          <w:sz w:val="20"/>
        </w:rPr>
        <w:t>74,0</w:t>
      </w:r>
      <w:r w:rsidRPr="00887FF5">
        <w:rPr>
          <w:sz w:val="20"/>
        </w:rPr>
        <w:t xml:space="preserve"> ogni milione di abitanti) (Figure </w:t>
      </w:r>
      <w:r w:rsidR="00724E95">
        <w:rPr>
          <w:sz w:val="20"/>
        </w:rPr>
        <w:t>3</w:t>
      </w:r>
      <w:r w:rsidRPr="00887FF5">
        <w:rPr>
          <w:sz w:val="20"/>
        </w:rPr>
        <w:t xml:space="preserve"> e </w:t>
      </w:r>
      <w:r w:rsidR="00724E95">
        <w:rPr>
          <w:sz w:val="20"/>
        </w:rPr>
        <w:t>4</w:t>
      </w:r>
      <w:r w:rsidRPr="00887FF5">
        <w:rPr>
          <w:sz w:val="20"/>
        </w:rPr>
        <w:t>).</w:t>
      </w:r>
    </w:p>
    <w:p w14:paraId="734161F9" w14:textId="77777777" w:rsidR="009E186D" w:rsidRDefault="009E186D" w:rsidP="000E6070">
      <w:pPr>
        <w:jc w:val="both"/>
        <w:rPr>
          <w:sz w:val="20"/>
        </w:rPr>
      </w:pPr>
    </w:p>
    <w:p w14:paraId="1FE8EC19" w14:textId="77777777" w:rsidR="000E6070" w:rsidRDefault="000E6070" w:rsidP="000E6070">
      <w:pPr>
        <w:widowControl w:val="0"/>
        <w:jc w:val="both"/>
        <w:rPr>
          <w:sz w:val="20"/>
        </w:rPr>
      </w:pPr>
    </w:p>
    <w:tbl>
      <w:tblPr>
        <w:tblW w:w="9645" w:type="dxa"/>
        <w:tblLayout w:type="fixed"/>
        <w:tblLook w:val="04A0" w:firstRow="1" w:lastRow="0" w:firstColumn="1" w:lastColumn="0" w:noHBand="0" w:noVBand="1"/>
      </w:tblPr>
      <w:tblGrid>
        <w:gridCol w:w="4675"/>
        <w:gridCol w:w="4970"/>
      </w:tblGrid>
      <w:tr w:rsidR="000E6070" w:rsidRPr="00D46C60" w14:paraId="040AF899" w14:textId="77777777" w:rsidTr="0058393C">
        <w:trPr>
          <w:trHeight w:val="376"/>
        </w:trPr>
        <w:tc>
          <w:tcPr>
            <w:tcW w:w="4675" w:type="dxa"/>
            <w:tcBorders>
              <w:bottom w:val="single" w:sz="2" w:space="0" w:color="D9D9D9" w:themeColor="background1" w:themeShade="D9"/>
            </w:tcBorders>
            <w:shd w:val="clear" w:color="auto" w:fill="auto"/>
          </w:tcPr>
          <w:p w14:paraId="45B637D9" w14:textId="6FF16E44" w:rsidR="000E6070" w:rsidRPr="0086611B" w:rsidRDefault="000E6070" w:rsidP="00236108">
            <w:pPr>
              <w:spacing w:after="40"/>
              <w:jc w:val="both"/>
              <w:rPr>
                <w:rFonts w:ascii="Arial Narrow" w:hAnsi="Arial Narrow" w:cs="Times New Roman"/>
                <w:sz w:val="15"/>
                <w:szCs w:val="15"/>
              </w:rPr>
            </w:pPr>
            <w:r w:rsidRPr="0086611B">
              <w:rPr>
                <w:rFonts w:ascii="Arial Narrow" w:hAnsi="Arial Narrow"/>
                <w:b/>
                <w:caps/>
                <w:color w:val="808080"/>
                <w:sz w:val="20"/>
              </w:rPr>
              <w:t xml:space="preserve">figura </w:t>
            </w:r>
            <w:r w:rsidR="00724E95">
              <w:rPr>
                <w:rFonts w:ascii="Arial Narrow" w:hAnsi="Arial Narrow"/>
                <w:b/>
                <w:caps/>
                <w:color w:val="808080"/>
                <w:sz w:val="20"/>
              </w:rPr>
              <w:t>3</w:t>
            </w:r>
            <w:r w:rsidRPr="0086611B">
              <w:rPr>
                <w:rFonts w:ascii="Arial Narrow" w:hAnsi="Arial Narrow"/>
                <w:b/>
                <w:caps/>
                <w:color w:val="808080"/>
                <w:sz w:val="20"/>
              </w:rPr>
              <w:t xml:space="preserve">. </w:t>
            </w:r>
            <w:r>
              <w:rPr>
                <w:rFonts w:ascii="Arial Narrow" w:hAnsi="Arial Narrow"/>
                <w:b/>
                <w:caps/>
                <w:color w:val="808080"/>
                <w:sz w:val="20"/>
              </w:rPr>
              <w:t xml:space="preserve">Piramide delle età delle vittime in incidente stradale. </w:t>
            </w:r>
            <w:r>
              <w:rPr>
                <w:rFonts w:ascii="Arial Narrow" w:hAnsi="Arial Narrow"/>
                <w:sz w:val="19"/>
                <w:szCs w:val="19"/>
              </w:rPr>
              <w:t>Anni</w:t>
            </w:r>
            <w:r w:rsidRPr="0072691B">
              <w:rPr>
                <w:rFonts w:ascii="Arial Narrow" w:hAnsi="Arial Narrow"/>
                <w:sz w:val="19"/>
                <w:szCs w:val="19"/>
              </w:rPr>
              <w:t xml:space="preserve"> 201</w:t>
            </w:r>
            <w:r>
              <w:rPr>
                <w:rFonts w:ascii="Arial Narrow" w:hAnsi="Arial Narrow"/>
                <w:sz w:val="19"/>
                <w:szCs w:val="19"/>
              </w:rPr>
              <w:t>0 e 2021, valori percentuali</w:t>
            </w:r>
          </w:p>
        </w:tc>
        <w:tc>
          <w:tcPr>
            <w:tcW w:w="4970" w:type="dxa"/>
            <w:tcBorders>
              <w:bottom w:val="single" w:sz="2" w:space="0" w:color="D9D9D9" w:themeColor="background1" w:themeShade="D9"/>
            </w:tcBorders>
            <w:shd w:val="clear" w:color="auto" w:fill="auto"/>
          </w:tcPr>
          <w:p w14:paraId="7A896595" w14:textId="2AA3060A" w:rsidR="000E6070" w:rsidRPr="00CE24A3" w:rsidRDefault="000E6070" w:rsidP="00236108">
            <w:pPr>
              <w:tabs>
                <w:tab w:val="left" w:pos="362"/>
              </w:tabs>
              <w:autoSpaceDE w:val="0"/>
              <w:autoSpaceDN w:val="0"/>
              <w:adjustRightInd w:val="0"/>
              <w:spacing w:after="40"/>
              <w:jc w:val="both"/>
              <w:rPr>
                <w:rFonts w:ascii="Arial Narrow" w:hAnsi="Arial Narrow" w:cs="Times New Roman"/>
                <w:i/>
                <w:sz w:val="15"/>
                <w:szCs w:val="15"/>
              </w:rPr>
            </w:pPr>
            <w:r w:rsidRPr="004F7CC1">
              <w:rPr>
                <w:rFonts w:ascii="Arial Narrow" w:hAnsi="Arial Narrow"/>
                <w:b/>
                <w:caps/>
                <w:color w:val="808080" w:themeColor="background1" w:themeShade="80"/>
                <w:sz w:val="20"/>
              </w:rPr>
              <w:t xml:space="preserve">figura </w:t>
            </w:r>
            <w:r w:rsidR="00724E95">
              <w:rPr>
                <w:rFonts w:ascii="Arial Narrow" w:hAnsi="Arial Narrow"/>
                <w:b/>
                <w:caps/>
                <w:color w:val="808080" w:themeColor="background1" w:themeShade="80"/>
                <w:sz w:val="20"/>
              </w:rPr>
              <w:t>4</w:t>
            </w:r>
            <w:r w:rsidRPr="004F7CC1">
              <w:rPr>
                <w:rFonts w:ascii="Arial Narrow" w:hAnsi="Arial Narrow"/>
                <w:b/>
                <w:caps/>
                <w:color w:val="808080" w:themeColor="background1" w:themeShade="80"/>
                <w:sz w:val="20"/>
              </w:rPr>
              <w:t>. TASSO di mortalità stradale per classe di età</w:t>
            </w:r>
            <w:r w:rsidRPr="004F7CC1">
              <w:rPr>
                <w:rFonts w:ascii="Arial Narrow" w:hAnsi="Arial Narrow"/>
                <w:sz w:val="19"/>
                <w:szCs w:val="19"/>
              </w:rPr>
              <w:t>.</w:t>
            </w:r>
            <w:r>
              <w:rPr>
                <w:rFonts w:ascii="Arial Narrow" w:hAnsi="Arial Narrow"/>
                <w:i/>
                <w:sz w:val="19"/>
                <w:szCs w:val="19"/>
              </w:rPr>
              <w:t xml:space="preserve"> </w:t>
            </w:r>
            <w:r w:rsidRPr="009966B8">
              <w:rPr>
                <w:rFonts w:ascii="Arial Narrow" w:hAnsi="Arial Narrow"/>
                <w:sz w:val="19"/>
                <w:szCs w:val="19"/>
              </w:rPr>
              <w:t>Anno 202</w:t>
            </w:r>
            <w:r>
              <w:rPr>
                <w:rFonts w:ascii="Arial Narrow" w:hAnsi="Arial Narrow"/>
                <w:sz w:val="19"/>
                <w:szCs w:val="19"/>
              </w:rPr>
              <w:t>1</w:t>
            </w:r>
            <w:r w:rsidRPr="009966B8">
              <w:rPr>
                <w:rFonts w:ascii="Arial Narrow" w:hAnsi="Arial Narrow"/>
                <w:sz w:val="19"/>
                <w:szCs w:val="19"/>
              </w:rPr>
              <w:t>, per milione di abitanti</w:t>
            </w:r>
          </w:p>
        </w:tc>
      </w:tr>
      <w:tr w:rsidR="000E6070" w:rsidRPr="00D46C60" w14:paraId="2536E5AF" w14:textId="77777777" w:rsidTr="00ED3BCA">
        <w:tblPrEx>
          <w:tblCellMar>
            <w:left w:w="70" w:type="dxa"/>
            <w:right w:w="70" w:type="dxa"/>
          </w:tblCellMar>
        </w:tblPrEx>
        <w:trPr>
          <w:trHeight w:val="2963"/>
        </w:trPr>
        <w:tc>
          <w:tcPr>
            <w:tcW w:w="46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33EFB59D" w14:textId="5F982F9B" w:rsidR="00B231AB" w:rsidRPr="009966B8" w:rsidRDefault="004A192E" w:rsidP="0058393C">
            <w:pPr>
              <w:ind w:left="67" w:right="-113"/>
              <w:jc w:val="both"/>
              <w:rPr>
                <w:b/>
                <w:sz w:val="20"/>
              </w:rPr>
            </w:pPr>
            <w:r>
              <w:rPr>
                <w:noProof/>
              </w:rPr>
              <w:drawing>
                <wp:inline distT="0" distB="0" distL="0" distR="0" wp14:anchorId="6C67354F" wp14:editId="5F3AD02A">
                  <wp:extent cx="2879725" cy="2019300"/>
                  <wp:effectExtent l="0" t="0" r="0" b="0"/>
                  <wp:docPr id="9" name="Gra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7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2FA7282B" w14:textId="77777777" w:rsidR="00ED3BCA" w:rsidRPr="00ED3BCA" w:rsidRDefault="00ED3BCA" w:rsidP="00236108">
            <w:pPr>
              <w:tabs>
                <w:tab w:val="left" w:pos="254"/>
              </w:tabs>
              <w:ind w:right="28"/>
              <w:jc w:val="both"/>
              <w:rPr>
                <w:rFonts w:ascii="Arial Narrow" w:hAnsi="Arial Narrow"/>
                <w:b/>
                <w:caps/>
                <w:noProof/>
                <w:color w:val="808080" w:themeColor="background1" w:themeShade="80"/>
                <w:sz w:val="6"/>
                <w:szCs w:val="6"/>
              </w:rPr>
            </w:pPr>
          </w:p>
          <w:p w14:paraId="0318CFA2" w14:textId="13532946" w:rsidR="00CA7B02" w:rsidRDefault="00ED3BCA" w:rsidP="00236108">
            <w:pPr>
              <w:tabs>
                <w:tab w:val="left" w:pos="254"/>
              </w:tabs>
              <w:ind w:right="28"/>
              <w:jc w:val="both"/>
              <w:rPr>
                <w:rFonts w:ascii="Arial Narrow" w:hAnsi="Arial Narrow"/>
                <w:b/>
                <w:caps/>
                <w:color w:val="808080" w:themeColor="background1" w:themeShade="80"/>
                <w:sz w:val="20"/>
              </w:rPr>
            </w:pPr>
            <w:r>
              <w:rPr>
                <w:rFonts w:ascii="Arial Narrow" w:hAnsi="Arial Narrow"/>
                <w:b/>
                <w:caps/>
                <w:noProof/>
                <w:color w:val="808080" w:themeColor="background1" w:themeShade="80"/>
                <w:sz w:val="20"/>
              </w:rPr>
              <w:drawing>
                <wp:inline distT="0" distB="0" distL="0" distR="0" wp14:anchorId="786327A9" wp14:editId="22883C07">
                  <wp:extent cx="3054485" cy="190568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3506" cy="1930032"/>
                          </a:xfrm>
                          <a:prstGeom prst="rect">
                            <a:avLst/>
                          </a:prstGeom>
                          <a:noFill/>
                        </pic:spPr>
                      </pic:pic>
                    </a:graphicData>
                  </a:graphic>
                </wp:inline>
              </w:drawing>
            </w:r>
          </w:p>
          <w:p w14:paraId="0E170C13" w14:textId="237BC3DE" w:rsidR="000E6070" w:rsidRPr="002C3D4C" w:rsidRDefault="000E6070" w:rsidP="00236108">
            <w:pPr>
              <w:tabs>
                <w:tab w:val="left" w:pos="254"/>
              </w:tabs>
              <w:ind w:right="28"/>
              <w:jc w:val="both"/>
              <w:rPr>
                <w:rFonts w:ascii="Arial Narrow" w:hAnsi="Arial Narrow"/>
                <w:b/>
                <w:caps/>
                <w:color w:val="808080" w:themeColor="background1" w:themeShade="80"/>
                <w:sz w:val="20"/>
              </w:rPr>
            </w:pPr>
          </w:p>
        </w:tc>
      </w:tr>
    </w:tbl>
    <w:p w14:paraId="5AF8B9F8" w14:textId="77777777" w:rsidR="000E6070" w:rsidRPr="001D6F78" w:rsidRDefault="000E6070" w:rsidP="003B4587">
      <w:pPr>
        <w:spacing w:after="120"/>
        <w:ind w:right="-113"/>
        <w:jc w:val="both"/>
        <w:rPr>
          <w:sz w:val="20"/>
          <w:szCs w:val="22"/>
        </w:rPr>
      </w:pPr>
    </w:p>
    <w:p w14:paraId="7711F54C" w14:textId="77777777" w:rsidR="009E186D" w:rsidRDefault="009E186D" w:rsidP="003B4587">
      <w:pPr>
        <w:shd w:val="clear" w:color="auto" w:fill="FDFDFC"/>
        <w:spacing w:after="120"/>
        <w:jc w:val="both"/>
        <w:rPr>
          <w:b/>
          <w:sz w:val="22"/>
          <w:szCs w:val="22"/>
        </w:rPr>
      </w:pPr>
    </w:p>
    <w:p w14:paraId="13034633" w14:textId="0CF39118" w:rsidR="000E6070" w:rsidRPr="00976BAC" w:rsidRDefault="000E6070" w:rsidP="003B4587">
      <w:pPr>
        <w:shd w:val="clear" w:color="auto" w:fill="FDFDFC"/>
        <w:spacing w:after="120"/>
        <w:jc w:val="both"/>
        <w:rPr>
          <w:b/>
          <w:sz w:val="22"/>
          <w:szCs w:val="22"/>
        </w:rPr>
      </w:pPr>
      <w:r>
        <w:rPr>
          <w:b/>
          <w:sz w:val="22"/>
          <w:szCs w:val="22"/>
        </w:rPr>
        <w:t>Vittime: aumenti più marcati per occupanti di</w:t>
      </w:r>
      <w:r w:rsidRPr="00976BAC">
        <w:rPr>
          <w:b/>
          <w:sz w:val="22"/>
          <w:szCs w:val="22"/>
        </w:rPr>
        <w:t xml:space="preserve"> </w:t>
      </w:r>
      <w:r>
        <w:rPr>
          <w:b/>
          <w:sz w:val="22"/>
          <w:szCs w:val="22"/>
        </w:rPr>
        <w:t>mezzi pesanti,</w:t>
      </w:r>
      <w:r w:rsidRPr="00976BAC">
        <w:rPr>
          <w:b/>
          <w:sz w:val="22"/>
          <w:szCs w:val="22"/>
        </w:rPr>
        <w:t xml:space="preserve"> biciclette e monopattini elettrici</w:t>
      </w:r>
    </w:p>
    <w:p w14:paraId="0864EA2D" w14:textId="30A28602" w:rsidR="000E6070" w:rsidRDefault="000E6070" w:rsidP="003B4587">
      <w:pPr>
        <w:shd w:val="clear" w:color="auto" w:fill="FDFDFC"/>
        <w:spacing w:after="120"/>
        <w:jc w:val="both"/>
        <w:rPr>
          <w:sz w:val="20"/>
        </w:rPr>
      </w:pPr>
      <w:r>
        <w:rPr>
          <w:sz w:val="20"/>
        </w:rPr>
        <w:t xml:space="preserve">Uno degli elementi di novità </w:t>
      </w:r>
      <w:r w:rsidR="009E186D">
        <w:rPr>
          <w:sz w:val="20"/>
        </w:rPr>
        <w:t xml:space="preserve">del 2021 </w:t>
      </w:r>
      <w:r>
        <w:rPr>
          <w:sz w:val="20"/>
        </w:rPr>
        <w:t>è rappresentato dalla</w:t>
      </w:r>
      <w:r w:rsidRPr="002C07CA">
        <w:rPr>
          <w:sz w:val="20"/>
        </w:rPr>
        <w:t xml:space="preserve"> </w:t>
      </w:r>
      <w:r w:rsidR="009E186D">
        <w:rPr>
          <w:sz w:val="20"/>
        </w:rPr>
        <w:t>sempre più diffusa</w:t>
      </w:r>
      <w:r w:rsidR="009E186D" w:rsidRPr="002C07CA">
        <w:rPr>
          <w:sz w:val="20"/>
        </w:rPr>
        <w:t xml:space="preserve"> </w:t>
      </w:r>
      <w:r w:rsidRPr="002C07CA">
        <w:rPr>
          <w:sz w:val="20"/>
        </w:rPr>
        <w:t>circolazione</w:t>
      </w:r>
      <w:r>
        <w:rPr>
          <w:sz w:val="20"/>
        </w:rPr>
        <w:t xml:space="preserve"> </w:t>
      </w:r>
      <w:r w:rsidR="009E186D">
        <w:rPr>
          <w:sz w:val="20"/>
        </w:rPr>
        <w:t>dei</w:t>
      </w:r>
      <w:r w:rsidRPr="002C07CA">
        <w:rPr>
          <w:sz w:val="20"/>
        </w:rPr>
        <w:t xml:space="preserve"> mezzi di micromobilità elettrica</w:t>
      </w:r>
      <w:r w:rsidR="009E186D">
        <w:rPr>
          <w:sz w:val="20"/>
        </w:rPr>
        <w:t>, a zero emissioni</w:t>
      </w:r>
      <w:r>
        <w:rPr>
          <w:sz w:val="20"/>
        </w:rPr>
        <w:t>.</w:t>
      </w:r>
      <w:r w:rsidR="009E186D">
        <w:rPr>
          <w:sz w:val="20"/>
        </w:rPr>
        <w:t xml:space="preserve"> </w:t>
      </w:r>
      <w:r w:rsidRPr="006D08B8">
        <w:rPr>
          <w:sz w:val="20"/>
        </w:rPr>
        <w:t xml:space="preserve">I monopattini elettrici, in particolare, assumono in via definitiva lo stato di “veicolo” con la legge di bilancio n.160 del 27 dicembre 2019, che li assimila alle biciclette anche in termini di norme di circolazione. </w:t>
      </w:r>
      <w:r w:rsidR="00EE7C33">
        <w:rPr>
          <w:sz w:val="20"/>
        </w:rPr>
        <w:t xml:space="preserve">Anche </w:t>
      </w:r>
      <w:r w:rsidRPr="007A7FAC">
        <w:rPr>
          <w:sz w:val="20"/>
        </w:rPr>
        <w:t xml:space="preserve">il </w:t>
      </w:r>
      <w:r w:rsidRPr="007A7FAC">
        <w:rPr>
          <w:bCs/>
          <w:sz w:val="20"/>
        </w:rPr>
        <w:t>decreto Infrastrutture</w:t>
      </w:r>
      <w:r w:rsidRPr="007A7FAC">
        <w:rPr>
          <w:sz w:val="20"/>
        </w:rPr>
        <w:t xml:space="preserve"> (D</w:t>
      </w:r>
      <w:r>
        <w:rPr>
          <w:sz w:val="20"/>
        </w:rPr>
        <w:t>.</w:t>
      </w:r>
      <w:r w:rsidRPr="007A7FAC">
        <w:rPr>
          <w:sz w:val="20"/>
        </w:rPr>
        <w:t>L</w:t>
      </w:r>
      <w:r>
        <w:rPr>
          <w:sz w:val="20"/>
        </w:rPr>
        <w:t>.</w:t>
      </w:r>
      <w:r w:rsidRPr="007A7FAC">
        <w:rPr>
          <w:sz w:val="20"/>
        </w:rPr>
        <w:t xml:space="preserve"> 121/2021)</w:t>
      </w:r>
      <w:r>
        <w:rPr>
          <w:sz w:val="20"/>
        </w:rPr>
        <w:t xml:space="preserve"> </w:t>
      </w:r>
      <w:r w:rsidR="00EE7C33">
        <w:rPr>
          <w:sz w:val="20"/>
        </w:rPr>
        <w:t xml:space="preserve">ha introdotto modifiche </w:t>
      </w:r>
      <w:r w:rsidR="009E186D">
        <w:rPr>
          <w:sz w:val="20"/>
        </w:rPr>
        <w:t>nel</w:t>
      </w:r>
      <w:r w:rsidR="009E186D" w:rsidRPr="007A7FAC">
        <w:rPr>
          <w:sz w:val="20"/>
        </w:rPr>
        <w:t xml:space="preserve"> Codice della Strada</w:t>
      </w:r>
      <w:r w:rsidRPr="007A7FAC">
        <w:rPr>
          <w:sz w:val="20"/>
        </w:rPr>
        <w:t xml:space="preserve"> </w:t>
      </w:r>
      <w:r w:rsidR="00EE7C33">
        <w:rPr>
          <w:sz w:val="20"/>
        </w:rPr>
        <w:t>per la loro circolazione</w:t>
      </w:r>
      <w:r w:rsidRPr="007A7FAC">
        <w:rPr>
          <w:sz w:val="20"/>
        </w:rPr>
        <w:t xml:space="preserve">. </w:t>
      </w:r>
    </w:p>
    <w:p w14:paraId="04789AE0" w14:textId="04667912" w:rsidR="000E6070" w:rsidRPr="002F6EFB" w:rsidRDefault="000E6070" w:rsidP="00F877FE">
      <w:pPr>
        <w:shd w:val="clear" w:color="auto" w:fill="FDFDFC"/>
        <w:spacing w:after="120"/>
        <w:jc w:val="both"/>
        <w:rPr>
          <w:sz w:val="20"/>
        </w:rPr>
      </w:pPr>
      <w:r w:rsidRPr="006D08B8">
        <w:rPr>
          <w:sz w:val="20"/>
        </w:rPr>
        <w:t>Per documentare l’incidentalità di questi nuovi mezzi, a partire da maggio 2020</w:t>
      </w:r>
      <w:r w:rsidR="00FA7778">
        <w:rPr>
          <w:sz w:val="20"/>
        </w:rPr>
        <w:t>,</w:t>
      </w:r>
      <w:r w:rsidRPr="006D08B8">
        <w:rPr>
          <w:sz w:val="20"/>
        </w:rPr>
        <w:t xml:space="preserve"> l’Istat ha incluso tra le variabili di rilevazione i nuovi veicoli monopattino elettrico e bicicletta elettrica. </w:t>
      </w:r>
      <w:r w:rsidRPr="00426773">
        <w:rPr>
          <w:sz w:val="20"/>
        </w:rPr>
        <w:t xml:space="preserve">Gli incidenti stradali con lesioni a persone che </w:t>
      </w:r>
      <w:r w:rsidR="00EE7C33">
        <w:rPr>
          <w:sz w:val="20"/>
        </w:rPr>
        <w:t xml:space="preserve">hanno </w:t>
      </w:r>
      <w:r w:rsidRPr="00426773">
        <w:rPr>
          <w:sz w:val="20"/>
        </w:rPr>
        <w:t>coinvol</w:t>
      </w:r>
      <w:r w:rsidR="00EE7C33">
        <w:rPr>
          <w:sz w:val="20"/>
        </w:rPr>
        <w:t>t</w:t>
      </w:r>
      <w:r w:rsidRPr="00426773">
        <w:rPr>
          <w:sz w:val="20"/>
        </w:rPr>
        <w:t>o almeno un monopattino elettrico sono stati 2.101</w:t>
      </w:r>
      <w:r w:rsidR="00EE7C33">
        <w:rPr>
          <w:sz w:val="20"/>
        </w:rPr>
        <w:t xml:space="preserve"> nel 2021</w:t>
      </w:r>
      <w:r>
        <w:rPr>
          <w:sz w:val="20"/>
        </w:rPr>
        <w:t xml:space="preserve">, </w:t>
      </w:r>
      <w:r w:rsidR="00EE7C33">
        <w:rPr>
          <w:sz w:val="20"/>
        </w:rPr>
        <w:t>da</w:t>
      </w:r>
      <w:r>
        <w:rPr>
          <w:sz w:val="20"/>
        </w:rPr>
        <w:t xml:space="preserve"> 564 nel 2020</w:t>
      </w:r>
      <w:r w:rsidR="00872160">
        <w:rPr>
          <w:sz w:val="20"/>
        </w:rPr>
        <w:t xml:space="preserve"> (rilevati a partire da maggio </w:t>
      </w:r>
      <w:r w:rsidR="00EE7C33">
        <w:rPr>
          <w:sz w:val="20"/>
        </w:rPr>
        <w:t>dello stesso anno</w:t>
      </w:r>
      <w:r w:rsidR="00872160">
        <w:rPr>
          <w:sz w:val="20"/>
        </w:rPr>
        <w:t>)</w:t>
      </w:r>
      <w:r w:rsidR="00EE7C33">
        <w:rPr>
          <w:sz w:val="20"/>
        </w:rPr>
        <w:t xml:space="preserve">; le vittime sono state </w:t>
      </w:r>
      <w:r>
        <w:rPr>
          <w:sz w:val="20"/>
        </w:rPr>
        <w:t>9</w:t>
      </w:r>
      <w:r w:rsidRPr="00426773">
        <w:rPr>
          <w:sz w:val="20"/>
        </w:rPr>
        <w:t xml:space="preserve">, più </w:t>
      </w:r>
      <w:r w:rsidR="00EE7C33">
        <w:rPr>
          <w:sz w:val="20"/>
        </w:rPr>
        <w:t>un</w:t>
      </w:r>
      <w:r w:rsidR="00EE7C33" w:rsidRPr="00426773">
        <w:rPr>
          <w:sz w:val="20"/>
        </w:rPr>
        <w:t xml:space="preserve"> </w:t>
      </w:r>
      <w:r w:rsidRPr="00426773">
        <w:rPr>
          <w:sz w:val="20"/>
        </w:rPr>
        <w:t>pedone investito</w:t>
      </w:r>
      <w:r>
        <w:rPr>
          <w:sz w:val="20"/>
        </w:rPr>
        <w:t xml:space="preserve"> e deceduto.</w:t>
      </w:r>
      <w:r w:rsidRPr="00426773">
        <w:rPr>
          <w:sz w:val="20"/>
        </w:rPr>
        <w:t xml:space="preserve"> I feriti tra conducenti e passeggeri su monopattino ammontano a </w:t>
      </w:r>
      <w:r>
        <w:rPr>
          <w:sz w:val="20"/>
        </w:rPr>
        <w:t>1</w:t>
      </w:r>
      <w:r w:rsidR="00FD38B6">
        <w:rPr>
          <w:sz w:val="20"/>
        </w:rPr>
        <w:t>.</w:t>
      </w:r>
      <w:r>
        <w:rPr>
          <w:sz w:val="20"/>
        </w:rPr>
        <w:t>980 (1</w:t>
      </w:r>
      <w:r w:rsidR="00FD38B6">
        <w:rPr>
          <w:sz w:val="20"/>
        </w:rPr>
        <w:t>.</w:t>
      </w:r>
      <w:r>
        <w:rPr>
          <w:sz w:val="20"/>
        </w:rPr>
        <w:t>903 conducenti e 77 passeggeri)</w:t>
      </w:r>
      <w:r w:rsidRPr="00426773">
        <w:rPr>
          <w:sz w:val="20"/>
        </w:rPr>
        <w:t xml:space="preserve">, </w:t>
      </w:r>
      <w:r w:rsidRPr="008A646C">
        <w:rPr>
          <w:sz w:val="20"/>
        </w:rPr>
        <w:t xml:space="preserve">i conducenti illesi a </w:t>
      </w:r>
      <w:r w:rsidRPr="002F6EFB">
        <w:rPr>
          <w:sz w:val="20"/>
        </w:rPr>
        <w:t>202</w:t>
      </w:r>
      <w:r w:rsidR="00FA7778">
        <w:rPr>
          <w:sz w:val="20"/>
        </w:rPr>
        <w:t>,</w:t>
      </w:r>
      <w:r w:rsidRPr="002F6EFB">
        <w:rPr>
          <w:sz w:val="20"/>
        </w:rPr>
        <w:t xml:space="preserve"> mentre sono 127 </w:t>
      </w:r>
      <w:r w:rsidR="00FD38B6">
        <w:rPr>
          <w:sz w:val="20"/>
        </w:rPr>
        <w:t xml:space="preserve">i </w:t>
      </w:r>
      <w:r w:rsidRPr="002F6EFB">
        <w:rPr>
          <w:sz w:val="20"/>
        </w:rPr>
        <w:t>feriti tra i pedoni investiti.</w:t>
      </w:r>
    </w:p>
    <w:p w14:paraId="21DA447D" w14:textId="0AF1B641" w:rsidR="000E6070" w:rsidRDefault="000E6070" w:rsidP="000E6070">
      <w:pPr>
        <w:spacing w:after="120"/>
        <w:jc w:val="both"/>
        <w:rPr>
          <w:sz w:val="20"/>
        </w:rPr>
      </w:pPr>
      <w:r w:rsidRPr="002F6EFB">
        <w:rPr>
          <w:sz w:val="20"/>
        </w:rPr>
        <w:t xml:space="preserve">Le biciclette elettriche sono state coinvolte in 691 sinistri </w:t>
      </w:r>
      <w:r w:rsidR="00EE7C33">
        <w:rPr>
          <w:sz w:val="20"/>
        </w:rPr>
        <w:t>(</w:t>
      </w:r>
      <w:r w:rsidRPr="002F6EFB">
        <w:rPr>
          <w:sz w:val="20"/>
        </w:rPr>
        <w:t>240 nel 2020</w:t>
      </w:r>
      <w:r w:rsidR="00EE7C33">
        <w:rPr>
          <w:sz w:val="20"/>
        </w:rPr>
        <w:t>)</w:t>
      </w:r>
      <w:r w:rsidRPr="002F6EFB">
        <w:rPr>
          <w:sz w:val="20"/>
        </w:rPr>
        <w:t xml:space="preserve">, con 13 vittime </w:t>
      </w:r>
      <w:r w:rsidR="00EE7C33">
        <w:rPr>
          <w:sz w:val="20"/>
        </w:rPr>
        <w:t>(</w:t>
      </w:r>
      <w:r w:rsidRPr="002F6EFB">
        <w:rPr>
          <w:sz w:val="20"/>
        </w:rPr>
        <w:t>6 nel 2020</w:t>
      </w:r>
      <w:r w:rsidR="00EE7C33">
        <w:rPr>
          <w:sz w:val="20"/>
        </w:rPr>
        <w:t>).</w:t>
      </w:r>
      <w:r w:rsidRPr="002F6EFB">
        <w:rPr>
          <w:sz w:val="20"/>
        </w:rPr>
        <w:t xml:space="preserve"> In totale, sono stati 16.448 </w:t>
      </w:r>
      <w:r w:rsidR="00EE7C33">
        <w:rPr>
          <w:sz w:val="20"/>
        </w:rPr>
        <w:t xml:space="preserve">gli </w:t>
      </w:r>
      <w:r w:rsidRPr="002F6EFB">
        <w:rPr>
          <w:sz w:val="20"/>
        </w:rPr>
        <w:t xml:space="preserve">incidenti con biciclette (elettriche e non) e 2.101 </w:t>
      </w:r>
      <w:r w:rsidR="00EE7C33">
        <w:rPr>
          <w:sz w:val="20"/>
        </w:rPr>
        <w:t xml:space="preserve">quelli </w:t>
      </w:r>
      <w:r w:rsidRPr="002F6EFB">
        <w:rPr>
          <w:sz w:val="20"/>
        </w:rPr>
        <w:t>con monopattini</w:t>
      </w:r>
      <w:r w:rsidR="00EE7C33">
        <w:rPr>
          <w:sz w:val="20"/>
        </w:rPr>
        <w:t xml:space="preserve">, che hanno causato </w:t>
      </w:r>
      <w:r w:rsidR="00FE1548">
        <w:rPr>
          <w:sz w:val="20"/>
        </w:rPr>
        <w:t xml:space="preserve">complessivamente </w:t>
      </w:r>
      <w:r w:rsidRPr="002F6EFB">
        <w:rPr>
          <w:sz w:val="20"/>
        </w:rPr>
        <w:t xml:space="preserve">229 vittime e 18.037 feriti, </w:t>
      </w:r>
      <w:r w:rsidR="008B5FC0">
        <w:rPr>
          <w:sz w:val="20"/>
        </w:rPr>
        <w:t>oltre a</w:t>
      </w:r>
      <w:r w:rsidR="00022D19">
        <w:rPr>
          <w:sz w:val="20"/>
        </w:rPr>
        <w:t xml:space="preserve"> 6 pedoni deceduti e</w:t>
      </w:r>
      <w:r w:rsidRPr="002F6EFB">
        <w:rPr>
          <w:sz w:val="20"/>
        </w:rPr>
        <w:t xml:space="preserve"> 535 </w:t>
      </w:r>
      <w:r w:rsidR="00022D19">
        <w:rPr>
          <w:sz w:val="20"/>
        </w:rPr>
        <w:t xml:space="preserve">feriti. </w:t>
      </w:r>
      <w:r w:rsidRPr="002F6EFB">
        <w:rPr>
          <w:sz w:val="20"/>
        </w:rPr>
        <w:t xml:space="preserve"> </w:t>
      </w:r>
    </w:p>
    <w:p w14:paraId="4D824354" w14:textId="63469DB9" w:rsidR="000E6070" w:rsidRDefault="00EE7C33" w:rsidP="000E6070">
      <w:pPr>
        <w:spacing w:after="120"/>
        <w:jc w:val="both"/>
        <w:rPr>
          <w:sz w:val="20"/>
        </w:rPr>
      </w:pPr>
      <w:r>
        <w:rPr>
          <w:sz w:val="20"/>
        </w:rPr>
        <w:t>R</w:t>
      </w:r>
      <w:r w:rsidRPr="002F6EFB">
        <w:rPr>
          <w:sz w:val="20"/>
        </w:rPr>
        <w:t xml:space="preserve">ispetto al 2020 </w:t>
      </w:r>
      <w:r>
        <w:rPr>
          <w:sz w:val="20"/>
        </w:rPr>
        <w:t>l</w:t>
      </w:r>
      <w:r w:rsidR="000E6070" w:rsidRPr="002F6EFB">
        <w:rPr>
          <w:sz w:val="20"/>
        </w:rPr>
        <w:t xml:space="preserve">e vittime </w:t>
      </w:r>
      <w:r>
        <w:rPr>
          <w:sz w:val="20"/>
        </w:rPr>
        <w:t>sono aumentate tra t</w:t>
      </w:r>
      <w:r w:rsidR="000E6070" w:rsidRPr="002F6EFB">
        <w:rPr>
          <w:sz w:val="20"/>
        </w:rPr>
        <w:t xml:space="preserve">utti gli utenti della strada mentre si registra una diminuzione </w:t>
      </w:r>
      <w:r>
        <w:rPr>
          <w:sz w:val="20"/>
        </w:rPr>
        <w:t>nel confronto con il</w:t>
      </w:r>
      <w:r w:rsidR="000E6070" w:rsidRPr="002F6EFB">
        <w:rPr>
          <w:sz w:val="20"/>
        </w:rPr>
        <w:t xml:space="preserve"> 2019, </w:t>
      </w:r>
      <w:r w:rsidR="000E6070" w:rsidRPr="00474090">
        <w:rPr>
          <w:sz w:val="20"/>
        </w:rPr>
        <w:t xml:space="preserve">fatta eccezione per gli occupanti di </w:t>
      </w:r>
      <w:r w:rsidR="00474090">
        <w:rPr>
          <w:sz w:val="20"/>
        </w:rPr>
        <w:t xml:space="preserve">mezzi pesanti </w:t>
      </w:r>
      <w:r w:rsidR="000E6070" w:rsidRPr="00474090">
        <w:rPr>
          <w:sz w:val="20"/>
        </w:rPr>
        <w:t xml:space="preserve">che </w:t>
      </w:r>
      <w:r w:rsidRPr="00F877FE">
        <w:rPr>
          <w:sz w:val="20"/>
        </w:rPr>
        <w:t xml:space="preserve">risultano in </w:t>
      </w:r>
      <w:r w:rsidR="000E6070" w:rsidRPr="00474090">
        <w:rPr>
          <w:sz w:val="20"/>
        </w:rPr>
        <w:t>cres</w:t>
      </w:r>
      <w:r w:rsidR="00474090" w:rsidRPr="00474090">
        <w:rPr>
          <w:sz w:val="20"/>
        </w:rPr>
        <w:t>cita</w:t>
      </w:r>
      <w:r w:rsidR="000E6070" w:rsidRPr="002F6EFB">
        <w:rPr>
          <w:sz w:val="20"/>
        </w:rPr>
        <w:t xml:space="preserve"> (+44,4% e +23,4% rispetto a 2020 e 2019</w:t>
      </w:r>
      <w:r w:rsidR="00CE1A45">
        <w:rPr>
          <w:sz w:val="20"/>
        </w:rPr>
        <w:t>)</w:t>
      </w:r>
      <w:r w:rsidR="000E6070">
        <w:rPr>
          <w:sz w:val="20"/>
        </w:rPr>
        <w:t>.</w:t>
      </w:r>
    </w:p>
    <w:p w14:paraId="195DD824" w14:textId="3A4C47B5" w:rsidR="000E6070" w:rsidRPr="00BE2AFF" w:rsidRDefault="000E6070" w:rsidP="000E6070">
      <w:pPr>
        <w:spacing w:after="120"/>
        <w:ind w:right="54"/>
        <w:jc w:val="both"/>
        <w:rPr>
          <w:sz w:val="20"/>
        </w:rPr>
      </w:pPr>
      <w:r w:rsidRPr="00BE2AFF">
        <w:rPr>
          <w:sz w:val="20"/>
        </w:rPr>
        <w:t>La distribuzione per genere delle vittime mostra uno svantaggio nettamente maschile, con proporzioni più attenuate per i pedoni, per i quali le frequenze sono elevate anche tra le donne. Nel complesso, gli utenti più vulnerabili</w:t>
      </w:r>
      <w:r w:rsidRPr="00BE2AFF">
        <w:rPr>
          <w:sz w:val="16"/>
          <w:szCs w:val="16"/>
          <w:vertAlign w:val="superscript"/>
        </w:rPr>
        <w:footnoteReference w:id="7"/>
      </w:r>
      <w:r w:rsidRPr="00BE2AFF">
        <w:rPr>
          <w:sz w:val="20"/>
        </w:rPr>
        <w:t xml:space="preserve"> rappresentano il 50,9% dei morti sulle s</w:t>
      </w:r>
      <w:r w:rsidR="00724E95">
        <w:rPr>
          <w:sz w:val="20"/>
        </w:rPr>
        <w:t>trade (51,4% nel 2020) (Figura 5)</w:t>
      </w:r>
      <w:r w:rsidRPr="00BE2AFF">
        <w:rPr>
          <w:sz w:val="20"/>
        </w:rPr>
        <w:t xml:space="preserve">. </w:t>
      </w:r>
    </w:p>
    <w:p w14:paraId="4039A2C3" w14:textId="20A068A4" w:rsidR="000E6070" w:rsidRDefault="000E6070" w:rsidP="00067C4D">
      <w:pPr>
        <w:spacing w:after="120"/>
        <w:ind w:right="57"/>
        <w:jc w:val="both"/>
        <w:rPr>
          <w:sz w:val="20"/>
        </w:rPr>
      </w:pPr>
      <w:r w:rsidRPr="00571294">
        <w:rPr>
          <w:sz w:val="20"/>
        </w:rPr>
        <w:t>Gli indici di mortalità e lesività per categoria di utente della strada evidenziano rischi più elevati per gli utenti vulnerabili, rispetto a quelli di altre modalità di trasporto. L’indice di mortalità per i pedoni</w:t>
      </w:r>
      <w:r w:rsidRPr="00571294">
        <w:rPr>
          <w:rStyle w:val="Rimandonotaapidipagina"/>
          <w:sz w:val="20"/>
        </w:rPr>
        <w:footnoteReference w:id="8"/>
      </w:r>
      <w:r w:rsidRPr="00571294">
        <w:rPr>
          <w:sz w:val="20"/>
        </w:rPr>
        <w:t>, pari a 3,0 ogni 100 incidenti per investimento di pedone, è 4,6 volte</w:t>
      </w:r>
      <w:r w:rsidR="00474090">
        <w:rPr>
          <w:sz w:val="20"/>
        </w:rPr>
        <w:t xml:space="preserve"> superiore</w:t>
      </w:r>
      <w:r w:rsidRPr="00571294">
        <w:rPr>
          <w:sz w:val="20"/>
        </w:rPr>
        <w:t xml:space="preserve"> a quello degli occupanti di autovetture (0,7). Il valore dell’indice di mortalità riferito ai motociclisti è di 2,6 volte (1,7 morti ogni 100 incidenti)</w:t>
      </w:r>
      <w:r w:rsidR="00474090">
        <w:rPr>
          <w:sz w:val="20"/>
        </w:rPr>
        <w:t>;</w:t>
      </w:r>
      <w:r w:rsidRPr="00571294">
        <w:rPr>
          <w:sz w:val="20"/>
        </w:rPr>
        <w:t xml:space="preserve"> </w:t>
      </w:r>
      <w:r w:rsidR="00474090" w:rsidRPr="00571294">
        <w:rPr>
          <w:sz w:val="20"/>
        </w:rPr>
        <w:t>è invece</w:t>
      </w:r>
      <w:r w:rsidR="00474090">
        <w:rPr>
          <w:sz w:val="20"/>
        </w:rPr>
        <w:t xml:space="preserve"> </w:t>
      </w:r>
      <w:r w:rsidR="00474090" w:rsidRPr="00571294">
        <w:rPr>
          <w:sz w:val="20"/>
        </w:rPr>
        <w:t>1,</w:t>
      </w:r>
      <w:r w:rsidR="00AD5162">
        <w:rPr>
          <w:sz w:val="20"/>
        </w:rPr>
        <w:t>8</w:t>
      </w:r>
      <w:r w:rsidR="00474090">
        <w:rPr>
          <w:sz w:val="20"/>
        </w:rPr>
        <w:t xml:space="preserve"> </w:t>
      </w:r>
      <w:r w:rsidR="00CE1A45">
        <w:rPr>
          <w:sz w:val="20"/>
        </w:rPr>
        <w:t xml:space="preserve">volte </w:t>
      </w:r>
      <w:r w:rsidR="00474090">
        <w:rPr>
          <w:sz w:val="20"/>
        </w:rPr>
        <w:t xml:space="preserve">più alto </w:t>
      </w:r>
      <w:r w:rsidRPr="00571294">
        <w:rPr>
          <w:sz w:val="20"/>
        </w:rPr>
        <w:t xml:space="preserve">per i conducenti e passeggeri di biciclette, elettriche e non e </w:t>
      </w:r>
      <w:r w:rsidR="00474090">
        <w:rPr>
          <w:sz w:val="20"/>
        </w:rPr>
        <w:t xml:space="preserve">di </w:t>
      </w:r>
      <w:r w:rsidRPr="00571294">
        <w:rPr>
          <w:sz w:val="20"/>
        </w:rPr>
        <w:t>monopattini</w:t>
      </w:r>
      <w:r w:rsidR="00372F09">
        <w:rPr>
          <w:sz w:val="20"/>
        </w:rPr>
        <w:t xml:space="preserve"> </w:t>
      </w:r>
      <w:r w:rsidR="00372F09" w:rsidRPr="00571294">
        <w:rPr>
          <w:sz w:val="20"/>
        </w:rPr>
        <w:t>(1,</w:t>
      </w:r>
      <w:r w:rsidR="00372F09">
        <w:rPr>
          <w:sz w:val="20"/>
        </w:rPr>
        <w:t>2</w:t>
      </w:r>
      <w:r w:rsidR="00372F09" w:rsidRPr="00571294">
        <w:rPr>
          <w:sz w:val="20"/>
        </w:rPr>
        <w:t xml:space="preserve"> morti ogni 100 incidenti)</w:t>
      </w:r>
      <w:r w:rsidRPr="00571294">
        <w:rPr>
          <w:sz w:val="20"/>
        </w:rPr>
        <w:t>.</w:t>
      </w:r>
    </w:p>
    <w:p w14:paraId="527BC76E" w14:textId="00AE6A32" w:rsidR="00067C4D" w:rsidRDefault="008C5D3F" w:rsidP="00067C4D">
      <w:pPr>
        <w:spacing w:after="120"/>
        <w:ind w:right="57"/>
        <w:jc w:val="both"/>
        <w:rPr>
          <w:rFonts w:ascii="Arial Narrow" w:hAnsi="Arial Narrow"/>
          <w:sz w:val="19"/>
          <w:szCs w:val="19"/>
        </w:rPr>
      </w:pPr>
      <w:r>
        <w:rPr>
          <w:noProof/>
        </w:rPr>
        <w:lastRenderedPageBreak/>
        <mc:AlternateContent>
          <mc:Choice Requires="wps">
            <w:drawing>
              <wp:anchor distT="0" distB="0" distL="114300" distR="114300" simplePos="0" relativeHeight="251654656" behindDoc="0" locked="0" layoutInCell="1" allowOverlap="1" wp14:anchorId="3F39FB67" wp14:editId="6CBE853E">
                <wp:simplePos x="0" y="0"/>
                <wp:positionH relativeFrom="page">
                  <wp:posOffset>2304098</wp:posOffset>
                </wp:positionH>
                <wp:positionV relativeFrom="line">
                  <wp:posOffset>-782637</wp:posOffset>
                </wp:positionV>
                <wp:extent cx="159385" cy="2528570"/>
                <wp:effectExtent l="0" t="3492" r="27622" b="27623"/>
                <wp:wrapNone/>
                <wp:docPr id="15" name="AutoShape 2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9385" cy="2528570"/>
                        </a:xfrm>
                        <a:prstGeom prst="leftBrace">
                          <a:avLst>
                            <a:gd name="adj1" fmla="val 66909"/>
                            <a:gd name="adj2" fmla="val 50000"/>
                          </a:avLst>
                        </a:prstGeom>
                        <a:noFill/>
                        <a:ln w="25400">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D3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910" o:spid="_x0000_s1026" type="#_x0000_t87" style="position:absolute;margin-left:181.45pt;margin-top:-61.6pt;width:12.55pt;height:199.1pt;rotation:9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6ABwMAAHkGAAAOAAAAZHJzL2Uyb0RvYy54bWysVVtv0zAYfUfiP1h+z3Jp0ku0bNrSFiEN&#10;mDQQz27sNAbHDra7bCD+O5+dLGvHC0JLpciOPx2fc75Lzy8fWoHumTZcyQLHZxFGTFaKcrkv8JfP&#10;22CJkbFEUiKUZAV+ZAZfXrx9c953OUtUowRlGgGINHnfFbixtsvD0FQNa4k5Ux2TcFgr3RILW70P&#10;qSY9oLciTKJoHvZK006rihkDX9fDIb7w+HXNKvuprg2zSBQYuFn/1v69c+/w4pzke026hlcjDfIf&#10;LFrCJVw6Qa2JJeig+V9QLa+0Mqq2Z5VqQ1XXvGJeA6iJoxdq7hrSMa8FzDHdZJN5Pdjq4/2tRpxC&#10;7jKMJGkhR1cHq/zVKFnF3qK+MzlE3nW32ok03Y2qvhvwLjw5cRsDMWjXf1AUkAggeVseat0ircD+&#10;LI3c47+CfPTgc/E45YI9WFTBxzhbzZZAqYKjJEuW2cIzCUnusByLThv7jqkWuUWBBavttSaVM4zk&#10;5P7GWJ8QOqoi9FuMUd0KyO89EWg+X0WrMf9HMclxTOapOp0TIqyeLnbwUm25EL6KhES94woCPQWj&#10;BKfu1MUZvd+VQiO4ucDlYMGAexKm1UFSj9YwQjfj2hIuhjXcLqTDY762QaMPBtNGuc4+X3e/QN1m&#10;uVmmQZrMN0EardfB1bZMg/k2XmTr2bos1/FvRzRO84ZTyqTj+tQDcfpvNTZ241C9UxecaDqRvvWP&#10;sx2kHIWFpzT8MWjxUidJV9ssWqSzZbBYZLMgnW2i4Hq5LYOrMp7PF5vr8nrzQtLG22ReR9XkuWOl&#10;Dpbpu4b2iHJXfrNslUB9UQ7DJVkMCUZE7GEqVlZjV/xfuW18X7lidxgnziwj9xudmdAHI56S7XZT&#10;ukZtz1aBo0+F4PvStaIbhCbfKfoIbekbEKYgzGtg3Cj9E6MeZl+BzY8D0Qwj8V7CcFnFaeqGpd+k&#10;2SKBjT4+2R2fEFkBVIEtRsOytMOAPXSa7xu4KfZqpXKDpeauZD2/gdW4gfnmlYyz2A3Q472Pev7H&#10;uPgDAAD//wMAUEsDBBQABgAIAAAAIQACwPMc3wAAAAkBAAAPAAAAZHJzL2Rvd25yZXYueG1sTI9B&#10;TsMwEEX3SNzBGiQ2FXVoQxqFOBVq1Q1CIEoP4MZuHGGPQ2y34fYMK1h+zdP/b+r15Cw76zH0HgXc&#10;zzNgGluveuwEHD52dyWwECUqaT1qAd86wLq5vqplpfwF3/V5HztGJRgqKcDEOFSch9ZoJ8PcDxrp&#10;dvKjk5Hi2HE1yguVO8sXWVZwJ3ukBSMHvTG6/dwnJ2D7msxuG599Z1++0ltazFzazIS4vZmeHoFF&#10;PcU/GH71SR0acjr6hCowS3lV5IQKKJZLYAQ8rPIC2FFAWebAm5r//6D5AQAA//8DAFBLAQItABQA&#10;BgAIAAAAIQC2gziS/gAAAOEBAAATAAAAAAAAAAAAAAAAAAAAAABbQ29udGVudF9UeXBlc10ueG1s&#10;UEsBAi0AFAAGAAgAAAAhADj9If/WAAAAlAEAAAsAAAAAAAAAAAAAAAAALwEAAF9yZWxzLy5yZWxz&#10;UEsBAi0AFAAGAAgAAAAhAM8pLoAHAwAAeQYAAA4AAAAAAAAAAAAAAAAALgIAAGRycy9lMm9Eb2Mu&#10;eG1sUEsBAi0AFAAGAAgAAAAhAALA8xzfAAAACQEAAA8AAAAAAAAAAAAAAAAAYQUAAGRycy9kb3du&#10;cmV2LnhtbFBLBQYAAAAABAAEAPMAAABtBgAAAAA=&#10;" adj="911" strokecolor="#c00000" strokeweight="2pt">
                <w10:wrap anchorx="page" anchory="line"/>
              </v:shape>
            </w:pict>
          </mc:Fallback>
        </mc:AlternateContent>
      </w:r>
      <w:r w:rsidR="000E6070" w:rsidRPr="0086326A">
        <w:rPr>
          <w:rFonts w:ascii="Arial Narrow" w:hAnsi="Arial Narrow"/>
          <w:b/>
          <w:caps/>
          <w:color w:val="808080"/>
          <w:sz w:val="20"/>
        </w:rPr>
        <w:t xml:space="preserve">figura </w:t>
      </w:r>
      <w:r w:rsidR="00724E95">
        <w:rPr>
          <w:rFonts w:ascii="Arial Narrow" w:hAnsi="Arial Narrow"/>
          <w:b/>
          <w:caps/>
          <w:color w:val="808080"/>
          <w:sz w:val="20"/>
        </w:rPr>
        <w:t>5</w:t>
      </w:r>
      <w:r w:rsidR="000E6070" w:rsidRPr="001317C1">
        <w:rPr>
          <w:rFonts w:ascii="Arial Narrow" w:hAnsi="Arial Narrow"/>
          <w:b/>
          <w:caps/>
          <w:color w:val="808080"/>
          <w:sz w:val="20"/>
        </w:rPr>
        <w:t>. Morti in incidente stradale per tipo di utente della strada</w:t>
      </w:r>
      <w:r w:rsidR="000E6070">
        <w:rPr>
          <w:rFonts w:ascii="Arial Narrow" w:hAnsi="Arial Narrow"/>
          <w:b/>
          <w:caps/>
          <w:color w:val="808080"/>
          <w:sz w:val="20"/>
        </w:rPr>
        <w:t xml:space="preserve"> e genere</w:t>
      </w:r>
      <w:r w:rsidR="000E6070" w:rsidRPr="001317C1">
        <w:rPr>
          <w:rFonts w:ascii="Arial Narrow" w:hAnsi="Arial Narrow"/>
          <w:b/>
          <w:caps/>
          <w:color w:val="808080"/>
          <w:sz w:val="20"/>
        </w:rPr>
        <w:t xml:space="preserve"> </w:t>
      </w:r>
      <w:r w:rsidR="000E6070" w:rsidRPr="001317C1">
        <w:rPr>
          <w:rFonts w:ascii="Arial Narrow" w:hAnsi="Arial Narrow"/>
          <w:sz w:val="19"/>
          <w:szCs w:val="19"/>
        </w:rPr>
        <w:t>(a). Anno 20</w:t>
      </w:r>
      <w:r w:rsidR="000E6070">
        <w:rPr>
          <w:rFonts w:ascii="Arial Narrow" w:hAnsi="Arial Narrow"/>
          <w:sz w:val="19"/>
          <w:szCs w:val="19"/>
        </w:rPr>
        <w:t xml:space="preserve">21, valori </w:t>
      </w:r>
      <w:r w:rsidR="000E6070" w:rsidRPr="001317C1">
        <w:rPr>
          <w:rFonts w:ascii="Arial Narrow" w:hAnsi="Arial Narrow"/>
          <w:sz w:val="19"/>
          <w:szCs w:val="19"/>
        </w:rPr>
        <w:t>assoluti</w:t>
      </w:r>
    </w:p>
    <w:p w14:paraId="614FFDEC" w14:textId="633BD6AD" w:rsidR="00067C4D" w:rsidRDefault="00067C4D" w:rsidP="00067C4D">
      <w:pPr>
        <w:spacing w:before="60" w:after="60"/>
        <w:ind w:right="57"/>
        <w:jc w:val="both"/>
        <w:rPr>
          <w:rFonts w:ascii="Arial Narrow" w:hAnsi="Arial Narrow"/>
          <w:sz w:val="15"/>
          <w:szCs w:val="15"/>
        </w:rPr>
      </w:pPr>
      <w:r>
        <w:rPr>
          <w:rFonts w:ascii="Arial Narrow" w:hAnsi="Arial Narrow"/>
          <w:noProof/>
          <w:sz w:val="4"/>
          <w:szCs w:val="4"/>
        </w:rPr>
        <mc:AlternateContent>
          <mc:Choice Requires="wps">
            <w:drawing>
              <wp:anchor distT="0" distB="0" distL="114300" distR="114300" simplePos="0" relativeHeight="251656704" behindDoc="0" locked="0" layoutInCell="1" allowOverlap="1" wp14:anchorId="2E6E7C9B" wp14:editId="7530E540">
                <wp:simplePos x="0" y="0"/>
                <wp:positionH relativeFrom="column">
                  <wp:posOffset>630555</wp:posOffset>
                </wp:positionH>
                <wp:positionV relativeFrom="paragraph">
                  <wp:posOffset>9525</wp:posOffset>
                </wp:positionV>
                <wp:extent cx="2223770" cy="222885"/>
                <wp:effectExtent l="0" t="0" r="0" b="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65D8D" w14:textId="77777777" w:rsidR="002B0091" w:rsidRPr="00EA3DAA" w:rsidRDefault="002B0091" w:rsidP="000E6070">
                            <w:pPr>
                              <w:jc w:val="center"/>
                              <w:rPr>
                                <w:rFonts w:ascii="Arial Narrow" w:hAnsi="Arial Narrow"/>
                                <w:b/>
                                <w:color w:val="C00000"/>
                                <w:sz w:val="18"/>
                                <w:szCs w:val="18"/>
                              </w:rPr>
                            </w:pPr>
                            <w:r w:rsidRPr="00EA3DAA">
                              <w:rPr>
                                <w:rFonts w:ascii="Arial Narrow" w:hAnsi="Arial Narrow"/>
                                <w:b/>
                                <w:color w:val="C00000"/>
                                <w:sz w:val="18"/>
                                <w:szCs w:val="18"/>
                              </w:rPr>
                              <w:t>Utenti vulnerabili della strada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6E7C9B" id="_x0000_s1027" type="#_x0000_t202" style="position:absolute;left:0;text-align:left;margin-left:49.65pt;margin-top:.75pt;width:175.1pt;height:17.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xU4AEAAKgDAAAOAAAAZHJzL2Uyb0RvYy54bWysU9uO0zAQfUfiHyy/07ShS0vUdLXsqghp&#10;uUgLH+A6TmOReMyM26R8PWM37RZ4Q7xYnhnnzDlnJqvboWvFwSBZcKWcTaZSGKehsm5Xym9fN6+W&#10;UlBQrlItOFPKoyF5u375YtX7wuTQQFsZFAziqOh9KZsQfJFlpBvTKZqAN46LNWCnAoe4yypUPaN3&#10;bZZPp2+yHrDyCNoQcfbhVJTrhF/XRofPdU0miLaUzC2kE9O5jWe2Xqlih8o3Vo801D+w6JR13PQC&#10;9aCCEnu0f0F1ViMQ1GGiocugrq02SQOrmU3/UPPUKG+SFjaH/MUm+n+w+tPhyX9BEYZ3MPAAkwjy&#10;j6C/k3Bw3yi3M3eI0DdGVdx4Fi3Lek/F+Gm0mgqKINv+I1Q8ZLUPkICGGrvoCusUjM4DOF5MN0MQ&#10;mpN5nr9eLLikucbBcnmTWqji/LVHCu8NdCJeSok81ISuDo8UIhtVnJ/EZg42tm3TYFv3W4Ifxkxi&#10;HwmfqIdhOwhbjdKimC1UR5aDcFoXXm++NIA/peh5VUpJP/YKjRTtB8eWvJ3N53G3UjC/WeQc4HVl&#10;e11RTjNUKYMUp+t9OO3j3qPdNdzpPIQ7tnFjk8JnViN9XockfFzduG/XcXr1/IOtfwEAAP//AwBQ&#10;SwMEFAAGAAgAAAAhAHG3Eu/cAAAABwEAAA8AAABkcnMvZG93bnJldi54bWxMjsFOwzAQRO9I/IO1&#10;SNyoQ1tSEuJUFWrLEWgjzm68JBHx2ordNPw9ywluszOj2VesJ9uLEYfQOVJwP0tAINXOdNQoqI67&#10;u0cQIWoyuneECr4xwLq8vip0btyF3nE8xEbwCIVcK2hj9LmUoW7R6jBzHomzTzdYHfkcGmkGfeFx&#10;28t5kqTS6o74Q6s9PrdYfx3OVoGPfr96GV7fNtvdmFQf+2reNVulbm+mzROIiFP8K8MvPqNDyUwn&#10;dyYTRK8gyxbcZP8BBMfLZcbipGCRpiDLQv7nL38AAAD//wMAUEsBAi0AFAAGAAgAAAAhALaDOJL+&#10;AAAA4QEAABMAAAAAAAAAAAAAAAAAAAAAAFtDb250ZW50X1R5cGVzXS54bWxQSwECLQAUAAYACAAA&#10;ACEAOP0h/9YAAACUAQAACwAAAAAAAAAAAAAAAAAvAQAAX3JlbHMvLnJlbHNQSwECLQAUAAYACAAA&#10;ACEAn25sVOABAACoAwAADgAAAAAAAAAAAAAAAAAuAgAAZHJzL2Uyb0RvYy54bWxQSwECLQAUAAYA&#10;CAAAACEAcbcS79wAAAAHAQAADwAAAAAAAAAAAAAAAAA6BAAAZHJzL2Rvd25yZXYueG1sUEsFBgAA&#10;AAAEAAQA8wAAAEMFAAAAAA==&#10;" filled="f" stroked="f">
                <v:textbox style="mso-fit-shape-to-text:t">
                  <w:txbxContent>
                    <w:p w14:paraId="50A65D8D" w14:textId="77777777" w:rsidR="002B0091" w:rsidRPr="00EA3DAA" w:rsidRDefault="002B0091" w:rsidP="000E6070">
                      <w:pPr>
                        <w:jc w:val="center"/>
                        <w:rPr>
                          <w:rFonts w:ascii="Arial Narrow" w:hAnsi="Arial Narrow"/>
                          <w:b/>
                          <w:color w:val="C00000"/>
                          <w:sz w:val="18"/>
                          <w:szCs w:val="18"/>
                        </w:rPr>
                      </w:pPr>
                      <w:r w:rsidRPr="00EA3DAA">
                        <w:rPr>
                          <w:rFonts w:ascii="Arial Narrow" w:hAnsi="Arial Narrow"/>
                          <w:b/>
                          <w:color w:val="C00000"/>
                          <w:sz w:val="18"/>
                          <w:szCs w:val="18"/>
                        </w:rPr>
                        <w:t>Utenti vulnerabili della strada</w:t>
                      </w:r>
                    </w:p>
                  </w:txbxContent>
                </v:textbox>
              </v:shape>
            </w:pict>
          </mc:Fallback>
        </mc:AlternateContent>
      </w:r>
      <w:r w:rsidR="000E6070">
        <w:rPr>
          <w:noProof/>
          <w:sz w:val="20"/>
        </w:rPr>
        <w:drawing>
          <wp:inline distT="0" distB="0" distL="0" distR="0" wp14:anchorId="5FAF0625" wp14:editId="4715B90F">
            <wp:extent cx="6169025" cy="1346356"/>
            <wp:effectExtent l="19050" t="19050" r="22225" b="2540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9025" cy="1346356"/>
                    </a:xfrm>
                    <a:prstGeom prst="rect">
                      <a:avLst/>
                    </a:prstGeom>
                    <a:noFill/>
                    <a:ln w="3175">
                      <a:solidFill>
                        <a:schemeClr val="bg1">
                          <a:lumMod val="85000"/>
                        </a:schemeClr>
                      </a:solidFill>
                    </a:ln>
                  </pic:spPr>
                </pic:pic>
              </a:graphicData>
            </a:graphic>
          </wp:inline>
        </w:drawing>
      </w:r>
    </w:p>
    <w:p w14:paraId="2BE8E34C" w14:textId="31E85975" w:rsidR="000E6070" w:rsidRPr="008C5D3F" w:rsidRDefault="000E6070" w:rsidP="008C5D3F">
      <w:pPr>
        <w:pStyle w:val="Paragrafoelenco"/>
        <w:numPr>
          <w:ilvl w:val="0"/>
          <w:numId w:val="15"/>
        </w:numPr>
        <w:spacing w:before="60" w:after="120"/>
        <w:ind w:left="284" w:right="57" w:hanging="284"/>
        <w:jc w:val="both"/>
        <w:rPr>
          <w:rFonts w:ascii="Arial Narrow" w:hAnsi="Arial Narrow"/>
          <w:sz w:val="15"/>
          <w:szCs w:val="15"/>
        </w:rPr>
      </w:pPr>
      <w:r w:rsidRPr="008C5D3F">
        <w:rPr>
          <w:rFonts w:ascii="Arial Narrow" w:hAnsi="Arial Narrow"/>
          <w:sz w:val="15"/>
          <w:szCs w:val="15"/>
        </w:rPr>
        <w:t>Sono inclusi nella categoria Autocarri e motrici: Autocarri, Autotreni con rimorchio, Autosnodati o autoarticolati, Veicoli speciali, Trattori stradali o motrici. Sono inclusi nella categoria Altri utenti della strada: Autobus o filobus in servizio urbano, Autobus di linea o non di linea in extraurbana, Tram, Macchine agricole, Motocarri e motofurgoni, Veicoli a trazione animale o a braccia, Veicoli ignoto perché datisi alla fuga, Quadricicli.</w:t>
      </w:r>
    </w:p>
    <w:p w14:paraId="206492E2" w14:textId="77777777" w:rsidR="000E6070" w:rsidRPr="00FB78DB" w:rsidRDefault="000E6070" w:rsidP="000E6070">
      <w:pPr>
        <w:pStyle w:val="Rientrocorpodeltesto3"/>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6378"/>
          <w:tab w:val="clear" w:pos="7092"/>
          <w:tab w:val="clear" w:pos="7800"/>
          <w:tab w:val="left" w:pos="284"/>
        </w:tabs>
        <w:spacing w:before="60"/>
        <w:ind w:right="-34" w:firstLine="0"/>
        <w:rPr>
          <w:rFonts w:ascii="Arial Narrow" w:hAnsi="Arial Narrow"/>
          <w:sz w:val="15"/>
          <w:szCs w:val="15"/>
        </w:rPr>
      </w:pPr>
    </w:p>
    <w:p w14:paraId="4D63AB63" w14:textId="1ECF6C0A" w:rsidR="000E6070" w:rsidRPr="00AD5162" w:rsidRDefault="0061045F" w:rsidP="000E6070">
      <w:pPr>
        <w:spacing w:after="120"/>
        <w:ind w:right="-113"/>
        <w:jc w:val="both"/>
        <w:rPr>
          <w:sz w:val="20"/>
        </w:rPr>
      </w:pPr>
      <w:r>
        <w:rPr>
          <w:sz w:val="20"/>
        </w:rPr>
        <w:t>Al</w:t>
      </w:r>
      <w:r w:rsidRPr="001B7A37">
        <w:rPr>
          <w:sz w:val="20"/>
        </w:rPr>
        <w:t xml:space="preserve"> </w:t>
      </w:r>
      <w:r w:rsidR="000E6070" w:rsidRPr="001B7A37">
        <w:rPr>
          <w:sz w:val="20"/>
        </w:rPr>
        <w:t xml:space="preserve">decennio della sicurezza stradale 2011-2020 </w:t>
      </w:r>
      <w:r>
        <w:rPr>
          <w:sz w:val="20"/>
        </w:rPr>
        <w:t>ormai</w:t>
      </w:r>
      <w:r w:rsidR="000E6070" w:rsidRPr="001B7A37">
        <w:rPr>
          <w:sz w:val="20"/>
        </w:rPr>
        <w:t xml:space="preserve"> concluso</w:t>
      </w:r>
      <w:r>
        <w:rPr>
          <w:sz w:val="20"/>
        </w:rPr>
        <w:t xml:space="preserve"> </w:t>
      </w:r>
      <w:r w:rsidR="00474090">
        <w:rPr>
          <w:sz w:val="20"/>
        </w:rPr>
        <w:t xml:space="preserve">ha fatto seguito </w:t>
      </w:r>
      <w:r>
        <w:rPr>
          <w:sz w:val="20"/>
        </w:rPr>
        <w:t xml:space="preserve">l’Agenda </w:t>
      </w:r>
      <w:r w:rsidR="000E6070">
        <w:rPr>
          <w:sz w:val="20"/>
        </w:rPr>
        <w:t>2030</w:t>
      </w:r>
      <w:r w:rsidR="00474090">
        <w:rPr>
          <w:sz w:val="20"/>
        </w:rPr>
        <w:t>,</w:t>
      </w:r>
      <w:r>
        <w:rPr>
          <w:sz w:val="20"/>
        </w:rPr>
        <w:t xml:space="preserve"> che</w:t>
      </w:r>
      <w:r w:rsidR="000E6070">
        <w:rPr>
          <w:sz w:val="20"/>
        </w:rPr>
        <w:t xml:space="preserve"> prevede il dimezzamento del numero delle vittime e dei feriti gravi entro il 2030, oltre </w:t>
      </w:r>
      <w:r>
        <w:rPr>
          <w:sz w:val="20"/>
        </w:rPr>
        <w:t xml:space="preserve">al </w:t>
      </w:r>
      <w:r w:rsidR="000E6070">
        <w:rPr>
          <w:sz w:val="20"/>
        </w:rPr>
        <w:t xml:space="preserve">monitoraggio di indicatori di prestazione, i </w:t>
      </w:r>
      <w:r w:rsidR="000E6070" w:rsidRPr="00EE5E97">
        <w:rPr>
          <w:i/>
          <w:sz w:val="20"/>
        </w:rPr>
        <w:t>Key Performance Indicators</w:t>
      </w:r>
      <w:r w:rsidR="000E6070">
        <w:rPr>
          <w:sz w:val="20"/>
        </w:rPr>
        <w:t xml:space="preserve">. Come ribadito, il 2020 </w:t>
      </w:r>
      <w:r w:rsidR="00474090">
        <w:rPr>
          <w:sz w:val="20"/>
        </w:rPr>
        <w:t>è stato</w:t>
      </w:r>
      <w:r w:rsidR="00474090" w:rsidRPr="001B7A37">
        <w:rPr>
          <w:sz w:val="20"/>
        </w:rPr>
        <w:t xml:space="preserve"> </w:t>
      </w:r>
      <w:r w:rsidR="000E6070" w:rsidRPr="001B7A37">
        <w:rPr>
          <w:sz w:val="20"/>
        </w:rPr>
        <w:t xml:space="preserve">un anno </w:t>
      </w:r>
      <w:r w:rsidR="000E6070">
        <w:rPr>
          <w:sz w:val="20"/>
        </w:rPr>
        <w:t>eccezionale, segnato dagli effetti della pandemia</w:t>
      </w:r>
      <w:r w:rsidR="00474090">
        <w:rPr>
          <w:sz w:val="20"/>
        </w:rPr>
        <w:t>,</w:t>
      </w:r>
      <w:r w:rsidR="000E6070">
        <w:rPr>
          <w:sz w:val="20"/>
        </w:rPr>
        <w:t xml:space="preserve"> </w:t>
      </w:r>
      <w:r w:rsidR="000E6070" w:rsidRPr="001B7A37">
        <w:rPr>
          <w:sz w:val="20"/>
        </w:rPr>
        <w:t xml:space="preserve">e </w:t>
      </w:r>
      <w:r w:rsidR="000E6070">
        <w:rPr>
          <w:sz w:val="20"/>
        </w:rPr>
        <w:t xml:space="preserve">pertanto </w:t>
      </w:r>
      <w:r w:rsidR="000E6070" w:rsidRPr="001B7A37">
        <w:rPr>
          <w:sz w:val="20"/>
        </w:rPr>
        <w:t>non verrà utilizzato per monitorare i progressi nella sicurezza stradale nel prossimo decennio</w:t>
      </w:r>
      <w:r w:rsidR="00474090">
        <w:rPr>
          <w:sz w:val="20"/>
        </w:rPr>
        <w:t>.</w:t>
      </w:r>
      <w:r w:rsidR="000E6070" w:rsidRPr="001B7A37">
        <w:rPr>
          <w:sz w:val="20"/>
        </w:rPr>
        <w:t xml:space="preserve"> </w:t>
      </w:r>
      <w:r w:rsidR="00474090">
        <w:rPr>
          <w:sz w:val="20"/>
        </w:rPr>
        <w:t>L</w:t>
      </w:r>
      <w:r w:rsidR="000E6070">
        <w:rPr>
          <w:sz w:val="20"/>
        </w:rPr>
        <w:t xml:space="preserve">’anno di </w:t>
      </w:r>
      <w:r w:rsidR="000E6070" w:rsidRPr="00D41FFC">
        <w:rPr>
          <w:i/>
          <w:sz w:val="20"/>
        </w:rPr>
        <w:t>benchmark</w:t>
      </w:r>
      <w:r w:rsidR="000E6070">
        <w:rPr>
          <w:sz w:val="20"/>
        </w:rPr>
        <w:t xml:space="preserve"> sarà il 2019. Interessanti analisi possono essere condotte considerando </w:t>
      </w:r>
      <w:r w:rsidR="000E6070" w:rsidRPr="00AD5162">
        <w:rPr>
          <w:sz w:val="20"/>
        </w:rPr>
        <w:t>il confronto tra il 2021 e gli anni di riferimento 2001, 2010 e 2019.</w:t>
      </w:r>
    </w:p>
    <w:p w14:paraId="7E5B3F01" w14:textId="0362E49B" w:rsidR="000E6070" w:rsidRDefault="000E6070" w:rsidP="009F78D5">
      <w:pPr>
        <w:spacing w:after="120"/>
        <w:ind w:right="-113"/>
        <w:jc w:val="both"/>
        <w:rPr>
          <w:sz w:val="20"/>
          <w:highlight w:val="yellow"/>
        </w:rPr>
      </w:pPr>
      <w:r w:rsidRPr="00AD5162">
        <w:rPr>
          <w:sz w:val="20"/>
        </w:rPr>
        <w:t xml:space="preserve">Le categorie </w:t>
      </w:r>
      <w:r w:rsidR="009215A5" w:rsidRPr="00AD5162">
        <w:rPr>
          <w:sz w:val="20"/>
        </w:rPr>
        <w:t>che hanno registrato</w:t>
      </w:r>
      <w:r w:rsidR="008C5D3F" w:rsidRPr="00AD5162">
        <w:rPr>
          <w:sz w:val="20"/>
        </w:rPr>
        <w:t xml:space="preserve"> le diminuzioni </w:t>
      </w:r>
      <w:r w:rsidR="006318AD" w:rsidRPr="00AD5162">
        <w:rPr>
          <w:sz w:val="20"/>
        </w:rPr>
        <w:t>meno consistenti</w:t>
      </w:r>
      <w:r w:rsidR="008C5D3F" w:rsidRPr="00AD5162">
        <w:rPr>
          <w:sz w:val="20"/>
        </w:rPr>
        <w:t xml:space="preserve"> </w:t>
      </w:r>
      <w:r w:rsidRPr="00AD5162">
        <w:rPr>
          <w:sz w:val="20"/>
        </w:rPr>
        <w:t xml:space="preserve">sono </w:t>
      </w:r>
      <w:r w:rsidR="00474090" w:rsidRPr="00AD5162">
        <w:rPr>
          <w:sz w:val="20"/>
        </w:rPr>
        <w:t xml:space="preserve">state </w:t>
      </w:r>
      <w:r w:rsidRPr="00AD5162">
        <w:rPr>
          <w:sz w:val="20"/>
        </w:rPr>
        <w:t>quelle dei motociclisti (-18,0% dal</w:t>
      </w:r>
      <w:r w:rsidRPr="00A13B50">
        <w:rPr>
          <w:sz w:val="20"/>
        </w:rPr>
        <w:t xml:space="preserve"> 2001, -26,8% dal 2010,-0,4% dal 2019), dei ciclisti (-37,4% dal 2001, -13,6% dal 2010, -9,5% dal 2019) e dei pedoni (-54,4% dal 2001, -24,2% dal 2010, -11,8% dal 2019). </w:t>
      </w:r>
      <w:r w:rsidR="00474090">
        <w:rPr>
          <w:sz w:val="20"/>
        </w:rPr>
        <w:t>C</w:t>
      </w:r>
      <w:r w:rsidR="00474090" w:rsidRPr="00A13B50">
        <w:rPr>
          <w:sz w:val="20"/>
        </w:rPr>
        <w:t xml:space="preserve">iclomotoristi e automobilisti </w:t>
      </w:r>
      <w:r w:rsidR="00474090">
        <w:rPr>
          <w:sz w:val="20"/>
        </w:rPr>
        <w:t>hanno ottenuto i</w:t>
      </w:r>
      <w:r w:rsidRPr="00A13B50">
        <w:rPr>
          <w:sz w:val="20"/>
        </w:rPr>
        <w:t xml:space="preserve"> maggiori guadagni in termini di riduzione della mortalità negli ultimi 20 anni</w:t>
      </w:r>
      <w:r w:rsidR="00474090">
        <w:rPr>
          <w:sz w:val="20"/>
        </w:rPr>
        <w:t xml:space="preserve"> grazie</w:t>
      </w:r>
      <w:r w:rsidRPr="00A13B50">
        <w:rPr>
          <w:sz w:val="20"/>
        </w:rPr>
        <w:t xml:space="preserve"> a una molteplicità di fattori, tra i quali la sensibilizzazione a un corretto utilizzo del casco e dei dispositivi di sicurezza e i notevoli progressi della tecnologia per la costruzione di dispositivi di sicurezza dei veicoli.</w:t>
      </w:r>
      <w:r w:rsidR="00A50F70">
        <w:rPr>
          <w:sz w:val="20"/>
        </w:rPr>
        <w:t xml:space="preserve"> </w:t>
      </w:r>
      <w:r w:rsidR="00474090">
        <w:rPr>
          <w:sz w:val="20"/>
        </w:rPr>
        <w:t>Resta d</w:t>
      </w:r>
      <w:r w:rsidR="00872160">
        <w:rPr>
          <w:sz w:val="20"/>
        </w:rPr>
        <w:t xml:space="preserve">a sottolineare </w:t>
      </w:r>
      <w:r w:rsidR="00A50F70">
        <w:rPr>
          <w:sz w:val="20"/>
        </w:rPr>
        <w:t>che il numero di ciclomotori in circolazione è nettamente diminuito</w:t>
      </w:r>
      <w:r w:rsidR="00872160">
        <w:rPr>
          <w:sz w:val="20"/>
        </w:rPr>
        <w:t xml:space="preserve"> nel tempo.</w:t>
      </w:r>
    </w:p>
    <w:p w14:paraId="0D8D0047" w14:textId="77777777" w:rsidR="000E6070" w:rsidRPr="00D23651" w:rsidRDefault="000E6070" w:rsidP="009F78D5">
      <w:pPr>
        <w:spacing w:after="120"/>
        <w:ind w:right="-113"/>
        <w:jc w:val="both"/>
        <w:rPr>
          <w:sz w:val="20"/>
          <w:highlight w:val="yellow"/>
        </w:rPr>
      </w:pPr>
    </w:p>
    <w:p w14:paraId="75506175" w14:textId="106BB5E3" w:rsidR="000E6070" w:rsidRPr="00075EDD" w:rsidRDefault="0013389C" w:rsidP="009F78D5">
      <w:pPr>
        <w:spacing w:after="120"/>
        <w:ind w:right="57"/>
        <w:jc w:val="both"/>
        <w:rPr>
          <w:b/>
          <w:sz w:val="22"/>
          <w:szCs w:val="22"/>
        </w:rPr>
      </w:pPr>
      <w:r w:rsidRPr="00F877FE">
        <w:rPr>
          <w:b/>
          <w:sz w:val="22"/>
          <w:szCs w:val="22"/>
        </w:rPr>
        <w:t>Grazie alle protezioni il 90% dei conducenti</w:t>
      </w:r>
      <w:r>
        <w:rPr>
          <w:b/>
          <w:sz w:val="22"/>
          <w:szCs w:val="22"/>
        </w:rPr>
        <w:t xml:space="preserve"> di autovetture</w:t>
      </w:r>
      <w:r w:rsidRPr="00F877FE">
        <w:rPr>
          <w:b/>
          <w:sz w:val="22"/>
          <w:szCs w:val="22"/>
        </w:rPr>
        <w:t xml:space="preserve"> esce incolume dall’</w:t>
      </w:r>
      <w:r w:rsidR="000E6070" w:rsidRPr="0013389C">
        <w:rPr>
          <w:b/>
          <w:sz w:val="22"/>
          <w:szCs w:val="22"/>
        </w:rPr>
        <w:t xml:space="preserve">incidente </w:t>
      </w:r>
    </w:p>
    <w:p w14:paraId="27B7B227" w14:textId="3ECA9E22" w:rsidR="000E6070" w:rsidRPr="00AA3DC8" w:rsidRDefault="000E6070" w:rsidP="009F78D5">
      <w:pPr>
        <w:spacing w:after="120"/>
        <w:ind w:right="57"/>
        <w:jc w:val="both"/>
        <w:rPr>
          <w:sz w:val="20"/>
        </w:rPr>
      </w:pPr>
      <w:r w:rsidRPr="00AA3DC8">
        <w:rPr>
          <w:sz w:val="20"/>
        </w:rPr>
        <w:t>Di particolare rilievo per l’analisi de</w:t>
      </w:r>
      <w:r w:rsidR="00474090">
        <w:rPr>
          <w:sz w:val="20"/>
        </w:rPr>
        <w:t xml:space="preserve">lle persone </w:t>
      </w:r>
      <w:r w:rsidRPr="00AA3DC8">
        <w:rPr>
          <w:sz w:val="20"/>
        </w:rPr>
        <w:t>coinvolt</w:t>
      </w:r>
      <w:r w:rsidR="00474090">
        <w:rPr>
          <w:sz w:val="20"/>
        </w:rPr>
        <w:t>e</w:t>
      </w:r>
      <w:r w:rsidRPr="00AA3DC8">
        <w:rPr>
          <w:sz w:val="20"/>
        </w:rPr>
        <w:t xml:space="preserve"> in incidente stradale è lo studio del gruppo dei conducenti. A differenza degli altri utenti della strada, </w:t>
      </w:r>
      <w:r w:rsidR="00990988">
        <w:rPr>
          <w:sz w:val="20"/>
        </w:rPr>
        <w:t xml:space="preserve">oltre alle informazioni sugli infortunati sono disponibili anche </w:t>
      </w:r>
      <w:r w:rsidR="00990988" w:rsidRPr="00AA3DC8">
        <w:rPr>
          <w:sz w:val="20"/>
        </w:rPr>
        <w:t>quell</w:t>
      </w:r>
      <w:r w:rsidR="00990988">
        <w:rPr>
          <w:sz w:val="20"/>
        </w:rPr>
        <w:t>e</w:t>
      </w:r>
      <w:r w:rsidR="00990988" w:rsidRPr="00AA3DC8">
        <w:rPr>
          <w:sz w:val="20"/>
        </w:rPr>
        <w:t xml:space="preserve"> </w:t>
      </w:r>
      <w:r w:rsidRPr="00AA3DC8">
        <w:rPr>
          <w:sz w:val="20"/>
        </w:rPr>
        <w:t xml:space="preserve">sugli incolumi </w:t>
      </w:r>
      <w:r>
        <w:rPr>
          <w:sz w:val="20"/>
        </w:rPr>
        <w:t xml:space="preserve">e </w:t>
      </w:r>
      <w:r w:rsidR="00990988">
        <w:rPr>
          <w:sz w:val="20"/>
        </w:rPr>
        <w:t xml:space="preserve">sui </w:t>
      </w:r>
      <w:r>
        <w:rPr>
          <w:sz w:val="20"/>
        </w:rPr>
        <w:t>deceduti nelle 24 ore o dal secondo al trentesimo giorno.</w:t>
      </w:r>
    </w:p>
    <w:p w14:paraId="4D3A4454" w14:textId="3AA350F5" w:rsidR="000E6070" w:rsidRPr="009D7C09" w:rsidRDefault="000E6070" w:rsidP="000E6070">
      <w:pPr>
        <w:spacing w:after="120"/>
        <w:ind w:right="57"/>
        <w:jc w:val="both"/>
        <w:rPr>
          <w:sz w:val="20"/>
        </w:rPr>
      </w:pPr>
      <w:r w:rsidRPr="009D7C09">
        <w:rPr>
          <w:sz w:val="20"/>
        </w:rPr>
        <w:t>Nel 20</w:t>
      </w:r>
      <w:r>
        <w:rPr>
          <w:sz w:val="20"/>
        </w:rPr>
        <w:t>21</w:t>
      </w:r>
      <w:r w:rsidRPr="009D7C09">
        <w:rPr>
          <w:sz w:val="20"/>
        </w:rPr>
        <w:t xml:space="preserve"> </w:t>
      </w:r>
      <w:r w:rsidR="00990988">
        <w:rPr>
          <w:sz w:val="20"/>
        </w:rPr>
        <w:t>si contano</w:t>
      </w:r>
      <w:r w:rsidR="00990988" w:rsidRPr="009D7C09">
        <w:rPr>
          <w:sz w:val="20"/>
        </w:rPr>
        <w:t xml:space="preserve"> </w:t>
      </w:r>
      <w:r w:rsidRPr="009D7C09">
        <w:rPr>
          <w:sz w:val="20"/>
        </w:rPr>
        <w:t>147.478 conducenti infortunati, morti o feriti e 128.822 incolumi, per un totale di 276.300 persone</w:t>
      </w:r>
      <w:r w:rsidR="00990988">
        <w:rPr>
          <w:sz w:val="20"/>
        </w:rPr>
        <w:t xml:space="preserve"> coinvolte in incidenti stradali</w:t>
      </w:r>
      <w:r w:rsidRPr="009D7C09">
        <w:rPr>
          <w:sz w:val="20"/>
        </w:rPr>
        <w:t xml:space="preserve"> (211.751 uomini; 76,6% e 64.549 donne; 23,4%).</w:t>
      </w:r>
      <w:r>
        <w:rPr>
          <w:sz w:val="20"/>
        </w:rPr>
        <w:t xml:space="preserve"> I deceduti sono</w:t>
      </w:r>
      <w:r w:rsidR="00990988">
        <w:rPr>
          <w:sz w:val="20"/>
        </w:rPr>
        <w:t xml:space="preserve"> stati </w:t>
      </w:r>
      <w:r>
        <w:rPr>
          <w:sz w:val="20"/>
        </w:rPr>
        <w:t>2.072</w:t>
      </w:r>
      <w:r w:rsidR="00C6624B">
        <w:rPr>
          <w:sz w:val="20"/>
        </w:rPr>
        <w:t>,</w:t>
      </w:r>
      <w:r>
        <w:rPr>
          <w:sz w:val="20"/>
        </w:rPr>
        <w:t xml:space="preserve"> dei quali l’86% sul colpo o entro le 24 ore e il 14% dal secondo al trentesimo giorno.</w:t>
      </w:r>
    </w:p>
    <w:p w14:paraId="4AE2B41C" w14:textId="3CB0676D" w:rsidR="00990988" w:rsidRDefault="000E6070" w:rsidP="00613030">
      <w:pPr>
        <w:spacing w:after="120"/>
        <w:ind w:right="57"/>
        <w:jc w:val="both"/>
        <w:rPr>
          <w:sz w:val="20"/>
        </w:rPr>
      </w:pPr>
      <w:r>
        <w:rPr>
          <w:sz w:val="20"/>
        </w:rPr>
        <w:t>N</w:t>
      </w:r>
      <w:r w:rsidRPr="009D7C09">
        <w:rPr>
          <w:sz w:val="20"/>
        </w:rPr>
        <w:t>el complesso, i feriti sono più numerosi in corrispondenza delle età 20-24 e 25-29</w:t>
      </w:r>
      <w:r>
        <w:rPr>
          <w:sz w:val="20"/>
        </w:rPr>
        <w:t xml:space="preserve"> </w:t>
      </w:r>
      <w:r w:rsidRPr="009D7C09">
        <w:rPr>
          <w:sz w:val="20"/>
        </w:rPr>
        <w:t>anni</w:t>
      </w:r>
      <w:r>
        <w:rPr>
          <w:sz w:val="20"/>
        </w:rPr>
        <w:t xml:space="preserve"> (circa il 22% sul totale),</w:t>
      </w:r>
      <w:r w:rsidRPr="009D7C09">
        <w:rPr>
          <w:sz w:val="20"/>
        </w:rPr>
        <w:t xml:space="preserve"> mentre le vittime si concentrano tra i giovani </w:t>
      </w:r>
      <w:r>
        <w:rPr>
          <w:sz w:val="20"/>
        </w:rPr>
        <w:t>(20-34 anni; 23%) e nelle età più mature (40-59 anni; 34%)</w:t>
      </w:r>
      <w:r w:rsidR="00990988">
        <w:rPr>
          <w:sz w:val="20"/>
        </w:rPr>
        <w:t>.</w:t>
      </w:r>
      <w:r w:rsidRPr="009D7C09">
        <w:rPr>
          <w:sz w:val="20"/>
        </w:rPr>
        <w:t xml:space="preserve"> </w:t>
      </w:r>
      <w:r w:rsidR="00990988">
        <w:rPr>
          <w:sz w:val="20"/>
        </w:rPr>
        <w:t>T</w:t>
      </w:r>
      <w:r w:rsidRPr="009D7C09">
        <w:rPr>
          <w:sz w:val="20"/>
        </w:rPr>
        <w:t>ra i più anziani</w:t>
      </w:r>
      <w:r>
        <w:rPr>
          <w:sz w:val="20"/>
        </w:rPr>
        <w:t xml:space="preserve"> </w:t>
      </w:r>
      <w:r w:rsidR="0061045F">
        <w:rPr>
          <w:sz w:val="20"/>
        </w:rPr>
        <w:t xml:space="preserve">è </w:t>
      </w:r>
      <w:r>
        <w:rPr>
          <w:sz w:val="20"/>
        </w:rPr>
        <w:t>la classe 70-74 quella più penalizzata</w:t>
      </w:r>
      <w:r w:rsidRPr="009D7C09">
        <w:rPr>
          <w:sz w:val="20"/>
        </w:rPr>
        <w:t xml:space="preserve">. Gli incolumi </w:t>
      </w:r>
      <w:r>
        <w:rPr>
          <w:sz w:val="20"/>
        </w:rPr>
        <w:t>sono prevalentemente 45-54</w:t>
      </w:r>
      <w:r w:rsidRPr="009D7C09">
        <w:rPr>
          <w:sz w:val="20"/>
        </w:rPr>
        <w:t>enni (Figura</w:t>
      </w:r>
      <w:r w:rsidR="00724E95">
        <w:rPr>
          <w:sz w:val="20"/>
        </w:rPr>
        <w:t xml:space="preserve"> 6)</w:t>
      </w:r>
      <w:r w:rsidRPr="009D7C09">
        <w:rPr>
          <w:sz w:val="20"/>
        </w:rPr>
        <w:t>.</w:t>
      </w:r>
      <w:r w:rsidR="007770AB">
        <w:rPr>
          <w:sz w:val="20"/>
        </w:rPr>
        <w:t xml:space="preserve"> </w:t>
      </w:r>
    </w:p>
    <w:p w14:paraId="762DC8DD" w14:textId="3158E704" w:rsidR="00613030" w:rsidRPr="009D7C09" w:rsidRDefault="00990988" w:rsidP="00613030">
      <w:pPr>
        <w:spacing w:after="120"/>
        <w:ind w:right="57"/>
        <w:jc w:val="both"/>
        <w:rPr>
          <w:sz w:val="20"/>
        </w:rPr>
      </w:pPr>
      <w:r>
        <w:rPr>
          <w:sz w:val="20"/>
        </w:rPr>
        <w:t>L</w:t>
      </w:r>
      <w:r w:rsidR="007770AB">
        <w:rPr>
          <w:sz w:val="20"/>
        </w:rPr>
        <w:t>e protezioni esterne presenti sui veicoli dotati di abitacolo</w:t>
      </w:r>
      <w:r w:rsidR="004B0B0F">
        <w:rPr>
          <w:sz w:val="20"/>
        </w:rPr>
        <w:t xml:space="preserve"> </w:t>
      </w:r>
      <w:r w:rsidR="00613030">
        <w:rPr>
          <w:sz w:val="20"/>
        </w:rPr>
        <w:t xml:space="preserve">e la massa stessa del veicolo </w:t>
      </w:r>
      <w:r>
        <w:rPr>
          <w:sz w:val="20"/>
        </w:rPr>
        <w:t xml:space="preserve">hanno fatto </w:t>
      </w:r>
      <w:r w:rsidR="004B0B0F">
        <w:rPr>
          <w:sz w:val="20"/>
        </w:rPr>
        <w:t xml:space="preserve">la differenza per l’incolumità in caso di incidente, </w:t>
      </w:r>
      <w:r>
        <w:rPr>
          <w:sz w:val="20"/>
        </w:rPr>
        <w:t>insieme al</w:t>
      </w:r>
      <w:r w:rsidR="004B0B0F">
        <w:rPr>
          <w:sz w:val="20"/>
        </w:rPr>
        <w:t xml:space="preserve">la tecnologia, con l’utilizzo sempre più diffuso di </w:t>
      </w:r>
      <w:r w:rsidR="004B0B0F" w:rsidRPr="00794D62">
        <w:rPr>
          <w:i/>
          <w:sz w:val="20"/>
        </w:rPr>
        <w:t>Ad</w:t>
      </w:r>
      <w:r w:rsidR="00794D62" w:rsidRPr="00794D62">
        <w:rPr>
          <w:i/>
          <w:sz w:val="20"/>
        </w:rPr>
        <w:t>vanced Driver Assistance System</w:t>
      </w:r>
      <w:r w:rsidR="004B0B0F" w:rsidRPr="004B0B0F">
        <w:rPr>
          <w:sz w:val="20"/>
        </w:rPr>
        <w:t xml:space="preserve"> (ADAS)</w:t>
      </w:r>
      <w:r>
        <w:rPr>
          <w:sz w:val="20"/>
        </w:rPr>
        <w:t>. Non a caso,</w:t>
      </w:r>
      <w:r w:rsidR="004B0B0F">
        <w:rPr>
          <w:sz w:val="20"/>
        </w:rPr>
        <w:t xml:space="preserve"> </w:t>
      </w:r>
      <w:r>
        <w:rPr>
          <w:sz w:val="20"/>
        </w:rPr>
        <w:t>i</w:t>
      </w:r>
      <w:r w:rsidR="004B0B0F">
        <w:rPr>
          <w:sz w:val="20"/>
        </w:rPr>
        <w:t xml:space="preserve"> conducenti di autovetture e autocarri rappresentano oltre il 90% degli incolumi e il 65,6% degli infortunati, mentre per le due ruote a motore </w:t>
      </w:r>
      <w:r>
        <w:rPr>
          <w:sz w:val="20"/>
        </w:rPr>
        <w:t>gli incolumi sono</w:t>
      </w:r>
      <w:r w:rsidR="004B0B0F">
        <w:rPr>
          <w:sz w:val="20"/>
        </w:rPr>
        <w:t xml:space="preserve"> </w:t>
      </w:r>
      <w:r>
        <w:rPr>
          <w:sz w:val="20"/>
        </w:rPr>
        <w:t xml:space="preserve">il </w:t>
      </w:r>
      <w:r w:rsidR="004B0B0F">
        <w:rPr>
          <w:sz w:val="20"/>
        </w:rPr>
        <w:t xml:space="preserve">3,3% e </w:t>
      </w:r>
      <w:r>
        <w:rPr>
          <w:sz w:val="20"/>
        </w:rPr>
        <w:t xml:space="preserve">gli infortunati il </w:t>
      </w:r>
      <w:r w:rsidR="004B0B0F">
        <w:rPr>
          <w:sz w:val="20"/>
        </w:rPr>
        <w:t xml:space="preserve">29,9% </w:t>
      </w:r>
      <w:r>
        <w:rPr>
          <w:sz w:val="20"/>
        </w:rPr>
        <w:t xml:space="preserve">(rispettivamente </w:t>
      </w:r>
      <w:r w:rsidR="00794D62">
        <w:rPr>
          <w:sz w:val="20"/>
        </w:rPr>
        <w:t xml:space="preserve">1% e 12% </w:t>
      </w:r>
      <w:r w:rsidR="004B0B0F">
        <w:rPr>
          <w:sz w:val="20"/>
        </w:rPr>
        <w:t>per le biciclette</w:t>
      </w:r>
      <w:r>
        <w:rPr>
          <w:sz w:val="20"/>
        </w:rPr>
        <w:t>)</w:t>
      </w:r>
      <w:r w:rsidR="004B0B0F">
        <w:rPr>
          <w:sz w:val="20"/>
        </w:rPr>
        <w:t>.</w:t>
      </w:r>
      <w:r w:rsidR="00613030">
        <w:rPr>
          <w:sz w:val="20"/>
        </w:rPr>
        <w:t xml:space="preserve"> </w:t>
      </w:r>
    </w:p>
    <w:p w14:paraId="1F278EFF" w14:textId="251793AD" w:rsidR="000E6070" w:rsidRPr="0095182F" w:rsidRDefault="00990988" w:rsidP="000E6070">
      <w:pPr>
        <w:spacing w:after="120"/>
        <w:ind w:right="57"/>
        <w:jc w:val="both"/>
        <w:rPr>
          <w:sz w:val="20"/>
        </w:rPr>
      </w:pPr>
      <w:r>
        <w:rPr>
          <w:sz w:val="20"/>
        </w:rPr>
        <w:t xml:space="preserve">Quanto alla </w:t>
      </w:r>
      <w:r w:rsidRPr="001178C2">
        <w:rPr>
          <w:sz w:val="20"/>
        </w:rPr>
        <w:t>cittadinanza dei conducenti</w:t>
      </w:r>
      <w:r>
        <w:rPr>
          <w:sz w:val="20"/>
        </w:rPr>
        <w:t xml:space="preserve">, rilevata a </w:t>
      </w:r>
      <w:r w:rsidR="000E6070" w:rsidRPr="001178C2">
        <w:rPr>
          <w:sz w:val="20"/>
        </w:rPr>
        <w:t>partire dal 2016</w:t>
      </w:r>
      <w:r>
        <w:rPr>
          <w:sz w:val="20"/>
        </w:rPr>
        <w:t>, nel 13% dei casi si tratta di cittadini stranieri</w:t>
      </w:r>
      <w:r w:rsidR="00C6624B">
        <w:rPr>
          <w:sz w:val="20"/>
        </w:rPr>
        <w:t xml:space="preserve"> </w:t>
      </w:r>
      <w:r w:rsidR="000E6070" w:rsidRPr="001178C2">
        <w:rPr>
          <w:sz w:val="20"/>
        </w:rPr>
        <w:t xml:space="preserve">(10,3% </w:t>
      </w:r>
      <w:r w:rsidR="00C6624B">
        <w:rPr>
          <w:sz w:val="20"/>
        </w:rPr>
        <w:t>n</w:t>
      </w:r>
      <w:r w:rsidR="000E6070" w:rsidRPr="001178C2">
        <w:rPr>
          <w:sz w:val="20"/>
        </w:rPr>
        <w:t xml:space="preserve">el 2020 e 8,9% </w:t>
      </w:r>
      <w:r w:rsidR="00C6624B">
        <w:rPr>
          <w:sz w:val="20"/>
        </w:rPr>
        <w:t>n</w:t>
      </w:r>
      <w:r w:rsidR="000E6070" w:rsidRPr="001178C2">
        <w:rPr>
          <w:sz w:val="20"/>
        </w:rPr>
        <w:t>el 2019) il 79,4% uomini e il 20,6% donne</w:t>
      </w:r>
      <w:r w:rsidR="000E6070" w:rsidRPr="0095182F">
        <w:rPr>
          <w:sz w:val="20"/>
        </w:rPr>
        <w:t xml:space="preserve">. Le </w:t>
      </w:r>
      <w:r w:rsidR="00C6624B" w:rsidRPr="0095182F">
        <w:rPr>
          <w:sz w:val="20"/>
        </w:rPr>
        <w:t>c</w:t>
      </w:r>
      <w:r w:rsidR="00C6624B">
        <w:rPr>
          <w:sz w:val="20"/>
        </w:rPr>
        <w:t>omunità</w:t>
      </w:r>
      <w:r w:rsidR="00C6624B" w:rsidRPr="0095182F">
        <w:rPr>
          <w:sz w:val="20"/>
        </w:rPr>
        <w:t xml:space="preserve"> </w:t>
      </w:r>
      <w:r w:rsidR="00C6624B">
        <w:rPr>
          <w:sz w:val="20"/>
        </w:rPr>
        <w:t>più</w:t>
      </w:r>
      <w:r w:rsidR="00C6624B" w:rsidRPr="0095182F">
        <w:rPr>
          <w:sz w:val="20"/>
        </w:rPr>
        <w:t xml:space="preserve"> </w:t>
      </w:r>
      <w:r w:rsidR="000E6070" w:rsidRPr="0095182F">
        <w:rPr>
          <w:sz w:val="20"/>
        </w:rPr>
        <w:t xml:space="preserve">rappresentate sono quelle di Romania, Albania e Marocco (circa il 34% dei conducenti stranieri coinvolti), dato che trova corrispondenza anche nelle quote di popolazione straniera residente in Italia. Tra i cittadini degli altri Paesi sono inclusi, dalla quarta alla decima posizione in graduatoria, anche </w:t>
      </w:r>
      <w:r w:rsidR="00C6624B">
        <w:rPr>
          <w:sz w:val="20"/>
        </w:rPr>
        <w:t xml:space="preserve">quelli provenienti da </w:t>
      </w:r>
      <w:r w:rsidR="000E6070" w:rsidRPr="0095182F">
        <w:rPr>
          <w:sz w:val="20"/>
        </w:rPr>
        <w:t>Germania (</w:t>
      </w:r>
      <w:r w:rsidR="000E6070">
        <w:rPr>
          <w:sz w:val="20"/>
        </w:rPr>
        <w:t>4,1</w:t>
      </w:r>
      <w:r w:rsidR="000E6070" w:rsidRPr="0095182F">
        <w:rPr>
          <w:sz w:val="20"/>
        </w:rPr>
        <w:t>%), Moldavia (3,</w:t>
      </w:r>
      <w:r w:rsidR="000E6070">
        <w:rPr>
          <w:sz w:val="20"/>
        </w:rPr>
        <w:t>6</w:t>
      </w:r>
      <w:r w:rsidR="000E6070" w:rsidRPr="0095182F">
        <w:rPr>
          <w:sz w:val="20"/>
        </w:rPr>
        <w:t>%), Pakistan (</w:t>
      </w:r>
      <w:r w:rsidR="000E6070">
        <w:rPr>
          <w:sz w:val="20"/>
        </w:rPr>
        <w:t>3,0%), Ucraina (2,8</w:t>
      </w:r>
      <w:r w:rsidR="000E6070" w:rsidRPr="0095182F">
        <w:rPr>
          <w:sz w:val="20"/>
        </w:rPr>
        <w:t>%), Egitto (2,</w:t>
      </w:r>
      <w:r w:rsidR="000E6070">
        <w:rPr>
          <w:sz w:val="20"/>
        </w:rPr>
        <w:t>7</w:t>
      </w:r>
      <w:r w:rsidR="000E6070" w:rsidRPr="0095182F">
        <w:rPr>
          <w:sz w:val="20"/>
        </w:rPr>
        <w:t>%), Perù (2,6%)</w:t>
      </w:r>
      <w:r w:rsidR="00C6624B">
        <w:rPr>
          <w:sz w:val="20"/>
        </w:rPr>
        <w:t xml:space="preserve"> e</w:t>
      </w:r>
      <w:r w:rsidR="000E6070" w:rsidRPr="0095182F">
        <w:rPr>
          <w:sz w:val="20"/>
        </w:rPr>
        <w:t xml:space="preserve"> </w:t>
      </w:r>
      <w:r w:rsidR="000E6070">
        <w:rPr>
          <w:sz w:val="20"/>
        </w:rPr>
        <w:t>Svizzera</w:t>
      </w:r>
      <w:r w:rsidR="000E6070" w:rsidRPr="0095182F">
        <w:rPr>
          <w:sz w:val="20"/>
        </w:rPr>
        <w:t xml:space="preserve"> (2,5%).</w:t>
      </w:r>
    </w:p>
    <w:p w14:paraId="4BA59791" w14:textId="282149BF" w:rsidR="000E6070" w:rsidRPr="007254C5" w:rsidRDefault="008D1A4E" w:rsidP="000E6070">
      <w:pPr>
        <w:spacing w:after="120"/>
        <w:ind w:right="57"/>
        <w:jc w:val="both"/>
        <w:rPr>
          <w:sz w:val="20"/>
        </w:rPr>
      </w:pPr>
      <w:r>
        <w:rPr>
          <w:sz w:val="20"/>
        </w:rPr>
        <w:t>I</w:t>
      </w:r>
      <w:r w:rsidR="000E6070" w:rsidRPr="007254C5">
        <w:rPr>
          <w:sz w:val="20"/>
        </w:rPr>
        <w:t xml:space="preserve"> conducenti st</w:t>
      </w:r>
      <w:r w:rsidR="000A5F93">
        <w:rPr>
          <w:sz w:val="20"/>
        </w:rPr>
        <w:t>ranieri coinvolti in incidenti</w:t>
      </w:r>
      <w:r w:rsidR="000E6070" w:rsidRPr="007254C5">
        <w:rPr>
          <w:sz w:val="20"/>
        </w:rPr>
        <w:t xml:space="preserve"> risultano occupanti di autovetture nel 60,5% dei casi, nel 12,7% alla guida di biciclette (6,7% del 2019 e 13,5% nel 2020), nel 7,8% di motocicli, nel 7,4% di mezzi pesanti. </w:t>
      </w:r>
      <w:r w:rsidR="000E6070">
        <w:rPr>
          <w:sz w:val="20"/>
        </w:rPr>
        <w:t>Significative</w:t>
      </w:r>
      <w:r w:rsidR="00C6624B">
        <w:rPr>
          <w:sz w:val="20"/>
        </w:rPr>
        <w:t xml:space="preserve"> </w:t>
      </w:r>
      <w:r w:rsidR="000E6070">
        <w:rPr>
          <w:sz w:val="20"/>
        </w:rPr>
        <w:t xml:space="preserve">anche le percentuali di conducenti di motocicli e monopattini elettrici coinvolti in incidenti stradali (3,4% e 2,8%). </w:t>
      </w:r>
      <w:r w:rsidR="000E6070" w:rsidRPr="007254C5">
        <w:rPr>
          <w:sz w:val="20"/>
        </w:rPr>
        <w:t xml:space="preserve">Per i conducenti stranieri di </w:t>
      </w:r>
      <w:r w:rsidR="000E6070">
        <w:rPr>
          <w:sz w:val="20"/>
        </w:rPr>
        <w:t>autocarri</w:t>
      </w:r>
      <w:r w:rsidR="000E6070" w:rsidRPr="007254C5">
        <w:rPr>
          <w:sz w:val="20"/>
        </w:rPr>
        <w:t xml:space="preserve"> </w:t>
      </w:r>
      <w:r w:rsidR="000E6070" w:rsidRPr="00A554D8">
        <w:rPr>
          <w:sz w:val="20"/>
        </w:rPr>
        <w:t>(circa 2.200, il 15% sul totale comprensivo anche degli italiani), le nazionalità più frequenti sono quelle rumena (19,6%), albanese (15,8%) e marocchina (9,7%).</w:t>
      </w:r>
    </w:p>
    <w:p w14:paraId="2AB461BB" w14:textId="49DF8103" w:rsidR="000E6070" w:rsidRPr="009043DB" w:rsidRDefault="000E6070" w:rsidP="000E6070">
      <w:pPr>
        <w:spacing w:after="120"/>
        <w:ind w:right="54"/>
        <w:jc w:val="both"/>
        <w:rPr>
          <w:sz w:val="20"/>
        </w:rPr>
      </w:pPr>
      <w:r w:rsidRPr="00063A85">
        <w:rPr>
          <w:sz w:val="20"/>
        </w:rPr>
        <w:t>Per i monopattini elettrici coinvolti in incidenti stradali, su 2</w:t>
      </w:r>
      <w:r w:rsidR="00C06652">
        <w:rPr>
          <w:sz w:val="20"/>
        </w:rPr>
        <w:t>.</w:t>
      </w:r>
      <w:r w:rsidRPr="00063A85">
        <w:rPr>
          <w:sz w:val="20"/>
        </w:rPr>
        <w:t xml:space="preserve">114 conducenti sono 865 quelli di nazionalità straniera (40,9% del totale), percentuale in forte aumento rispetto al </w:t>
      </w:r>
      <w:r w:rsidR="00C6624B">
        <w:rPr>
          <w:sz w:val="20"/>
        </w:rPr>
        <w:t xml:space="preserve">34,2% del </w:t>
      </w:r>
      <w:r w:rsidRPr="00063A85">
        <w:rPr>
          <w:sz w:val="20"/>
        </w:rPr>
        <w:t>2020</w:t>
      </w:r>
      <w:r w:rsidR="00C6624B">
        <w:rPr>
          <w:sz w:val="20"/>
        </w:rPr>
        <w:t xml:space="preserve"> e</w:t>
      </w:r>
      <w:r w:rsidRPr="00063A85">
        <w:rPr>
          <w:sz w:val="20"/>
        </w:rPr>
        <w:t xml:space="preserve"> più elevata anche </w:t>
      </w:r>
      <w:r w:rsidR="00C6624B">
        <w:rPr>
          <w:sz w:val="20"/>
        </w:rPr>
        <w:t>della quota relativa alle</w:t>
      </w:r>
      <w:r w:rsidRPr="00063A85">
        <w:rPr>
          <w:sz w:val="20"/>
        </w:rPr>
        <w:t xml:space="preserve"> biciclette (23%)</w:t>
      </w:r>
      <w:r w:rsidR="00C6624B">
        <w:rPr>
          <w:sz w:val="20"/>
        </w:rPr>
        <w:t>.</w:t>
      </w:r>
      <w:r w:rsidRPr="00063A85">
        <w:rPr>
          <w:sz w:val="20"/>
        </w:rPr>
        <w:t xml:space="preserve"> </w:t>
      </w:r>
      <w:r w:rsidR="00C6624B">
        <w:rPr>
          <w:sz w:val="20"/>
        </w:rPr>
        <w:t xml:space="preserve">In questo caso i conducenti stranieri provengono in larga parte </w:t>
      </w:r>
      <w:r w:rsidRPr="00063A85">
        <w:rPr>
          <w:sz w:val="20"/>
        </w:rPr>
        <w:t xml:space="preserve">da Filippine, </w:t>
      </w:r>
      <w:r w:rsidRPr="00063A85">
        <w:rPr>
          <w:sz w:val="20"/>
        </w:rPr>
        <w:lastRenderedPageBreak/>
        <w:t xml:space="preserve">Egitto, Marocco, Bangladesh e Nigeria. </w:t>
      </w:r>
      <w:r w:rsidRPr="009043DB">
        <w:rPr>
          <w:sz w:val="20"/>
        </w:rPr>
        <w:t>Tale tendenza</w:t>
      </w:r>
      <w:r w:rsidR="00C6624B">
        <w:rPr>
          <w:sz w:val="20"/>
        </w:rPr>
        <w:t xml:space="preserve"> potrebbe</w:t>
      </w:r>
      <w:r>
        <w:rPr>
          <w:sz w:val="20"/>
        </w:rPr>
        <w:t xml:space="preserve"> essere legata alla figura</w:t>
      </w:r>
      <w:r w:rsidRPr="009043DB">
        <w:rPr>
          <w:sz w:val="20"/>
        </w:rPr>
        <w:t xml:space="preserve"> d</w:t>
      </w:r>
      <w:r w:rsidR="00C6624B">
        <w:rPr>
          <w:sz w:val="20"/>
        </w:rPr>
        <w:t>el</w:t>
      </w:r>
      <w:r w:rsidRPr="009043DB">
        <w:rPr>
          <w:sz w:val="20"/>
        </w:rPr>
        <w:t xml:space="preserve"> “</w:t>
      </w:r>
      <w:r w:rsidRPr="009043DB">
        <w:rPr>
          <w:i/>
          <w:sz w:val="20"/>
        </w:rPr>
        <w:t>rider</w:t>
      </w:r>
      <w:r w:rsidRPr="009043DB">
        <w:rPr>
          <w:sz w:val="20"/>
        </w:rPr>
        <w:t xml:space="preserve">”, soprattutto sulle strade urbane, </w:t>
      </w:r>
      <w:r w:rsidR="00C06652">
        <w:rPr>
          <w:sz w:val="20"/>
        </w:rPr>
        <w:t xml:space="preserve">impiegata dai servizi di ristorazione per </w:t>
      </w:r>
      <w:r w:rsidRPr="009043DB">
        <w:rPr>
          <w:sz w:val="20"/>
        </w:rPr>
        <w:t>le consegne a domicilio</w:t>
      </w:r>
      <w:r w:rsidR="00C06652">
        <w:rPr>
          <w:sz w:val="20"/>
        </w:rPr>
        <w:t>,</w:t>
      </w:r>
      <w:r w:rsidRPr="009043DB">
        <w:rPr>
          <w:sz w:val="20"/>
        </w:rPr>
        <w:t xml:space="preserve"> </w:t>
      </w:r>
      <w:r w:rsidR="00C06652">
        <w:rPr>
          <w:sz w:val="20"/>
        </w:rPr>
        <w:t>ch</w:t>
      </w:r>
      <w:r w:rsidRPr="009043DB">
        <w:rPr>
          <w:sz w:val="20"/>
        </w:rPr>
        <w:t xml:space="preserve">e spesso </w:t>
      </w:r>
      <w:r w:rsidR="00C06652">
        <w:rPr>
          <w:sz w:val="20"/>
        </w:rPr>
        <w:t xml:space="preserve">utilizza </w:t>
      </w:r>
      <w:r w:rsidRPr="009043DB">
        <w:rPr>
          <w:sz w:val="20"/>
        </w:rPr>
        <w:t>monopattini elettrici o biciclette.</w:t>
      </w:r>
    </w:p>
    <w:p w14:paraId="6516046B" w14:textId="012A2A19" w:rsidR="000E6070" w:rsidRDefault="000E6070" w:rsidP="000E6070">
      <w:pPr>
        <w:ind w:right="57"/>
        <w:jc w:val="both"/>
        <w:rPr>
          <w:color w:val="000000" w:themeColor="text1"/>
          <w:sz w:val="20"/>
        </w:rPr>
      </w:pPr>
      <w:r w:rsidRPr="00480073">
        <w:rPr>
          <w:sz w:val="20"/>
        </w:rPr>
        <w:t>Con riferimento alle età dei conducenti</w:t>
      </w:r>
      <w:r w:rsidR="00C06652">
        <w:rPr>
          <w:sz w:val="20"/>
        </w:rPr>
        <w:t xml:space="preserve"> di monopattini elettrici</w:t>
      </w:r>
      <w:r w:rsidRPr="00480073">
        <w:rPr>
          <w:sz w:val="20"/>
        </w:rPr>
        <w:t xml:space="preserve">, </w:t>
      </w:r>
      <w:r w:rsidR="00C06652">
        <w:rPr>
          <w:sz w:val="20"/>
        </w:rPr>
        <w:t xml:space="preserve">i </w:t>
      </w:r>
      <w:r w:rsidR="00C06652" w:rsidRPr="00480073">
        <w:rPr>
          <w:color w:val="000000" w:themeColor="text1"/>
          <w:sz w:val="20"/>
        </w:rPr>
        <w:t>più coinvolti in incidente</w:t>
      </w:r>
      <w:r w:rsidR="00C06652" w:rsidRPr="00480073">
        <w:rPr>
          <w:sz w:val="20"/>
        </w:rPr>
        <w:t xml:space="preserve"> </w:t>
      </w:r>
      <w:r w:rsidRPr="00480073">
        <w:rPr>
          <w:color w:val="000000" w:themeColor="text1"/>
          <w:sz w:val="20"/>
        </w:rPr>
        <w:t xml:space="preserve">sono le donne e gli uomini </w:t>
      </w:r>
      <w:r w:rsidR="00C06652">
        <w:rPr>
          <w:color w:val="000000" w:themeColor="text1"/>
          <w:sz w:val="20"/>
        </w:rPr>
        <w:t>d</w:t>
      </w:r>
      <w:r>
        <w:rPr>
          <w:color w:val="000000" w:themeColor="text1"/>
          <w:sz w:val="20"/>
        </w:rPr>
        <w:t>i 20</w:t>
      </w:r>
      <w:r w:rsidR="00C06652">
        <w:rPr>
          <w:color w:val="000000" w:themeColor="text1"/>
          <w:sz w:val="20"/>
        </w:rPr>
        <w:t>-24 anni</w:t>
      </w:r>
      <w:r>
        <w:rPr>
          <w:color w:val="000000" w:themeColor="text1"/>
          <w:sz w:val="20"/>
        </w:rPr>
        <w:t xml:space="preserve"> e</w:t>
      </w:r>
      <w:r w:rsidR="00683B19">
        <w:rPr>
          <w:color w:val="000000" w:themeColor="text1"/>
          <w:sz w:val="20"/>
        </w:rPr>
        <w:t xml:space="preserve"> </w:t>
      </w:r>
      <w:r w:rsidR="00C06652">
        <w:rPr>
          <w:color w:val="000000" w:themeColor="text1"/>
          <w:sz w:val="20"/>
        </w:rPr>
        <w:t>di</w:t>
      </w:r>
      <w:r w:rsidRPr="00480073">
        <w:rPr>
          <w:color w:val="000000" w:themeColor="text1"/>
          <w:sz w:val="20"/>
        </w:rPr>
        <w:t xml:space="preserve"> 45</w:t>
      </w:r>
      <w:r w:rsidR="00C06652">
        <w:rPr>
          <w:color w:val="000000" w:themeColor="text1"/>
          <w:sz w:val="20"/>
        </w:rPr>
        <w:t>-</w:t>
      </w:r>
      <w:r w:rsidRPr="00480073">
        <w:rPr>
          <w:color w:val="000000" w:themeColor="text1"/>
          <w:sz w:val="20"/>
        </w:rPr>
        <w:t>5</w:t>
      </w:r>
      <w:r>
        <w:rPr>
          <w:color w:val="000000" w:themeColor="text1"/>
          <w:sz w:val="20"/>
        </w:rPr>
        <w:t>9</w:t>
      </w:r>
      <w:r w:rsidRPr="00480073">
        <w:rPr>
          <w:color w:val="000000" w:themeColor="text1"/>
          <w:sz w:val="20"/>
        </w:rPr>
        <w:t xml:space="preserve"> anni </w:t>
      </w:r>
      <w:r w:rsidR="00C06652" w:rsidRPr="00480073">
        <w:rPr>
          <w:sz w:val="20"/>
        </w:rPr>
        <w:t>tra quelli di cittadinanza italiana</w:t>
      </w:r>
      <w:r w:rsidR="00C06652">
        <w:rPr>
          <w:sz w:val="20"/>
        </w:rPr>
        <w:t>,</w:t>
      </w:r>
      <w:r w:rsidR="00C06652" w:rsidRPr="00480073">
        <w:rPr>
          <w:color w:val="000000" w:themeColor="text1"/>
          <w:sz w:val="20"/>
        </w:rPr>
        <w:t xml:space="preserve"> gli uomini di </w:t>
      </w:r>
      <w:r w:rsidR="00C06652">
        <w:rPr>
          <w:color w:val="000000" w:themeColor="text1"/>
          <w:sz w:val="20"/>
        </w:rPr>
        <w:t>25-44</w:t>
      </w:r>
      <w:r w:rsidR="00C06652" w:rsidRPr="00480073">
        <w:rPr>
          <w:color w:val="000000" w:themeColor="text1"/>
          <w:sz w:val="20"/>
        </w:rPr>
        <w:t xml:space="preserve"> anni e le donne di </w:t>
      </w:r>
      <w:r w:rsidR="00C06652">
        <w:rPr>
          <w:color w:val="000000" w:themeColor="text1"/>
          <w:sz w:val="20"/>
        </w:rPr>
        <w:t>35</w:t>
      </w:r>
      <w:r w:rsidR="00C06652" w:rsidRPr="00480073">
        <w:rPr>
          <w:color w:val="000000" w:themeColor="text1"/>
          <w:sz w:val="20"/>
        </w:rPr>
        <w:t xml:space="preserve">-44 anni </w:t>
      </w:r>
      <w:r w:rsidR="00C06652">
        <w:rPr>
          <w:color w:val="000000" w:themeColor="text1"/>
          <w:sz w:val="20"/>
        </w:rPr>
        <w:t>tra i cittadini stranieri</w:t>
      </w:r>
      <w:r w:rsidRPr="00480073">
        <w:rPr>
          <w:color w:val="000000" w:themeColor="text1"/>
          <w:sz w:val="20"/>
        </w:rPr>
        <w:t xml:space="preserve"> (Figura </w:t>
      </w:r>
      <w:r w:rsidR="00724E95">
        <w:rPr>
          <w:color w:val="000000" w:themeColor="text1"/>
          <w:sz w:val="20"/>
        </w:rPr>
        <w:t>7</w:t>
      </w:r>
      <w:r w:rsidRPr="00480073">
        <w:rPr>
          <w:color w:val="000000" w:themeColor="text1"/>
          <w:sz w:val="20"/>
        </w:rPr>
        <w:t>).</w:t>
      </w:r>
      <w:r w:rsidRPr="008754F8">
        <w:rPr>
          <w:color w:val="000000" w:themeColor="text1"/>
          <w:sz w:val="20"/>
        </w:rPr>
        <w:t xml:space="preserve"> </w:t>
      </w:r>
    </w:p>
    <w:p w14:paraId="18B473A3" w14:textId="77777777" w:rsidR="000E6070" w:rsidRDefault="000E6070" w:rsidP="008C5D3F">
      <w:pPr>
        <w:spacing w:after="120"/>
        <w:ind w:right="57"/>
        <w:jc w:val="both"/>
        <w:rPr>
          <w:color w:val="000000" w:themeColor="text1"/>
          <w:sz w:val="20"/>
        </w:rPr>
      </w:pPr>
    </w:p>
    <w:tbl>
      <w:tblPr>
        <w:tblStyle w:val="Grigliatabella"/>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5185"/>
      </w:tblGrid>
      <w:tr w:rsidR="000E6070" w14:paraId="1AB70FB8" w14:textId="77777777" w:rsidTr="008C5D3F">
        <w:trPr>
          <w:trHeight w:val="384"/>
        </w:trPr>
        <w:tc>
          <w:tcPr>
            <w:tcW w:w="5049" w:type="dxa"/>
            <w:tcBorders>
              <w:bottom w:val="single" w:sz="2" w:space="0" w:color="D9D9D9" w:themeColor="background1" w:themeShade="D9"/>
            </w:tcBorders>
          </w:tcPr>
          <w:p w14:paraId="6566A991" w14:textId="6F13474F" w:rsidR="000E6070" w:rsidRDefault="000E6070" w:rsidP="00724E95">
            <w:pPr>
              <w:spacing w:after="40"/>
              <w:ind w:right="-113"/>
              <w:jc w:val="both"/>
              <w:rPr>
                <w:sz w:val="20"/>
              </w:rPr>
            </w:pPr>
            <w:r>
              <w:rPr>
                <w:rFonts w:ascii="Arial Narrow" w:hAnsi="Arial Narrow"/>
                <w:b/>
                <w:caps/>
                <w:color w:val="808080"/>
                <w:sz w:val="20"/>
              </w:rPr>
              <w:t>F</w:t>
            </w:r>
            <w:r w:rsidRPr="00905FDF">
              <w:rPr>
                <w:rFonts w:ascii="Arial Narrow" w:hAnsi="Arial Narrow"/>
                <w:b/>
                <w:caps/>
                <w:color w:val="808080"/>
                <w:sz w:val="20"/>
              </w:rPr>
              <w:t xml:space="preserve">igura </w:t>
            </w:r>
            <w:r w:rsidR="00724E95">
              <w:rPr>
                <w:rFonts w:ascii="Arial Narrow" w:hAnsi="Arial Narrow"/>
                <w:b/>
                <w:caps/>
                <w:color w:val="808080"/>
                <w:sz w:val="20"/>
              </w:rPr>
              <w:t>6</w:t>
            </w:r>
            <w:r>
              <w:rPr>
                <w:rFonts w:ascii="Arial Narrow" w:hAnsi="Arial Narrow"/>
                <w:b/>
                <w:caps/>
                <w:color w:val="808080"/>
                <w:sz w:val="20"/>
              </w:rPr>
              <w:t xml:space="preserve">. conducenti coinvolti in incidenti per esito. </w:t>
            </w:r>
            <w:r w:rsidRPr="0046519F">
              <w:rPr>
                <w:rFonts w:ascii="Arial Narrow" w:hAnsi="Arial Narrow"/>
                <w:sz w:val="19"/>
                <w:szCs w:val="19"/>
              </w:rPr>
              <w:t xml:space="preserve">Anno </w:t>
            </w:r>
            <w:r>
              <w:rPr>
                <w:rFonts w:ascii="Arial Narrow" w:hAnsi="Arial Narrow"/>
                <w:sz w:val="19"/>
                <w:szCs w:val="19"/>
              </w:rPr>
              <w:t>2021</w:t>
            </w:r>
            <w:r w:rsidRPr="0046519F">
              <w:rPr>
                <w:rFonts w:ascii="Arial Narrow" w:hAnsi="Arial Narrow"/>
                <w:sz w:val="19"/>
                <w:szCs w:val="19"/>
              </w:rPr>
              <w:t>, valori percentuali</w:t>
            </w:r>
          </w:p>
        </w:tc>
        <w:tc>
          <w:tcPr>
            <w:tcW w:w="5185" w:type="dxa"/>
            <w:tcBorders>
              <w:bottom w:val="single" w:sz="2" w:space="0" w:color="D9D9D9" w:themeColor="background1" w:themeShade="D9"/>
            </w:tcBorders>
          </w:tcPr>
          <w:p w14:paraId="2E840B6D" w14:textId="690E65BF" w:rsidR="000E6070" w:rsidRDefault="000E6070" w:rsidP="00724E95">
            <w:pPr>
              <w:spacing w:after="40"/>
              <w:ind w:right="-113"/>
              <w:jc w:val="both"/>
              <w:rPr>
                <w:sz w:val="20"/>
              </w:rPr>
            </w:pPr>
            <w:r w:rsidRPr="00905FDF">
              <w:rPr>
                <w:rFonts w:ascii="Arial Narrow" w:hAnsi="Arial Narrow"/>
                <w:b/>
                <w:caps/>
                <w:color w:val="808080"/>
                <w:sz w:val="20"/>
              </w:rPr>
              <w:t xml:space="preserve">figura </w:t>
            </w:r>
            <w:r w:rsidR="00724E95">
              <w:rPr>
                <w:rFonts w:ascii="Arial Narrow" w:hAnsi="Arial Narrow"/>
                <w:b/>
                <w:caps/>
                <w:color w:val="808080"/>
                <w:sz w:val="20"/>
              </w:rPr>
              <w:t>7</w:t>
            </w:r>
            <w:r>
              <w:rPr>
                <w:rFonts w:ascii="Arial Narrow" w:hAnsi="Arial Narrow"/>
                <w:b/>
                <w:caps/>
                <w:color w:val="808080"/>
                <w:sz w:val="20"/>
              </w:rPr>
              <w:t xml:space="preserve">. conducenti coinvolti in incidenti per </w:t>
            </w:r>
            <w:r w:rsidRPr="00C7052F">
              <w:rPr>
                <w:rFonts w:ascii="Arial Narrow" w:hAnsi="Arial Narrow"/>
                <w:b/>
                <w:caps/>
                <w:color w:val="808080"/>
                <w:sz w:val="20"/>
              </w:rPr>
              <w:t xml:space="preserve">genere e </w:t>
            </w:r>
            <w:r w:rsidRPr="00EB6FE8">
              <w:rPr>
                <w:rFonts w:ascii="Arial Narrow" w:hAnsi="Arial Narrow"/>
                <w:b/>
                <w:caps/>
                <w:color w:val="808080"/>
                <w:sz w:val="20"/>
              </w:rPr>
              <w:t>cittadinanza.</w:t>
            </w:r>
            <w:r w:rsidRPr="00EB6FE8">
              <w:rPr>
                <w:rFonts w:ascii="Arial Narrow" w:hAnsi="Arial Narrow"/>
                <w:sz w:val="19"/>
                <w:szCs w:val="19"/>
              </w:rPr>
              <w:t xml:space="preserve"> Anno 20</w:t>
            </w:r>
            <w:r>
              <w:rPr>
                <w:rFonts w:ascii="Arial Narrow" w:hAnsi="Arial Narrow"/>
                <w:sz w:val="19"/>
                <w:szCs w:val="19"/>
              </w:rPr>
              <w:t>21</w:t>
            </w:r>
            <w:r w:rsidRPr="00EB6FE8">
              <w:rPr>
                <w:rFonts w:ascii="Arial Narrow" w:hAnsi="Arial Narrow"/>
                <w:sz w:val="19"/>
                <w:szCs w:val="19"/>
              </w:rPr>
              <w:t>, valori assoluti</w:t>
            </w:r>
          </w:p>
        </w:tc>
      </w:tr>
      <w:tr w:rsidR="000E6070" w14:paraId="362030BB" w14:textId="77777777" w:rsidTr="008C5D3F">
        <w:tblPrEx>
          <w:tblCellMar>
            <w:left w:w="70" w:type="dxa"/>
            <w:right w:w="70" w:type="dxa"/>
          </w:tblCellMar>
        </w:tblPrEx>
        <w:trPr>
          <w:trHeight w:val="2555"/>
        </w:trPr>
        <w:tc>
          <w:tcPr>
            <w:tcW w:w="50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BE2C561" w14:textId="54451BC4" w:rsidR="000E6070" w:rsidRDefault="000E6070" w:rsidP="00236108">
            <w:pPr>
              <w:ind w:left="-108" w:right="-113"/>
              <w:jc w:val="both"/>
              <w:rPr>
                <w:sz w:val="20"/>
              </w:rPr>
            </w:pPr>
            <w:r>
              <w:rPr>
                <w:sz w:val="20"/>
              </w:rPr>
              <w:t xml:space="preserve"> </w:t>
            </w:r>
            <w:r w:rsidR="00AF73E3">
              <w:rPr>
                <w:noProof/>
              </w:rPr>
              <w:drawing>
                <wp:inline distT="0" distB="0" distL="0" distR="0" wp14:anchorId="7A471860" wp14:editId="403F6BD2">
                  <wp:extent cx="3124200" cy="1885950"/>
                  <wp:effectExtent l="0" t="0" r="0" b="0"/>
                  <wp:docPr id="10" name="Grafico 10">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1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5BB1BA4" w14:textId="08FCF958" w:rsidR="000E6070" w:rsidRDefault="00500995" w:rsidP="006153A9">
            <w:pPr>
              <w:ind w:right="-113"/>
              <w:jc w:val="both"/>
              <w:rPr>
                <w:sz w:val="20"/>
              </w:rPr>
            </w:pPr>
            <w:r>
              <w:rPr>
                <w:noProof/>
              </w:rPr>
              <w:drawing>
                <wp:inline distT="0" distB="0" distL="0" distR="0" wp14:anchorId="6D3B2535" wp14:editId="6C9FD569">
                  <wp:extent cx="3200400" cy="1924050"/>
                  <wp:effectExtent l="0" t="0" r="0" b="0"/>
                  <wp:docPr id="12" name="Grafico 12">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7D563DF5" w14:textId="77777777" w:rsidR="001F4101" w:rsidRDefault="001F4101" w:rsidP="006153A9">
      <w:pPr>
        <w:spacing w:after="120"/>
        <w:rPr>
          <w:b/>
          <w:bCs/>
          <w:sz w:val="22"/>
          <w:szCs w:val="22"/>
        </w:rPr>
      </w:pPr>
    </w:p>
    <w:p w14:paraId="18B57F39" w14:textId="77777777" w:rsidR="008C5D3F" w:rsidRDefault="008C5D3F" w:rsidP="006153A9">
      <w:pPr>
        <w:spacing w:after="120"/>
        <w:rPr>
          <w:b/>
          <w:bCs/>
          <w:sz w:val="22"/>
          <w:szCs w:val="22"/>
        </w:rPr>
      </w:pPr>
    </w:p>
    <w:p w14:paraId="61B2220F" w14:textId="499DB1C9" w:rsidR="00610A87" w:rsidRDefault="001339CA" w:rsidP="006153A9">
      <w:pPr>
        <w:spacing w:after="120"/>
        <w:rPr>
          <w:b/>
          <w:bCs/>
          <w:sz w:val="22"/>
          <w:szCs w:val="22"/>
        </w:rPr>
      </w:pPr>
      <w:r w:rsidRPr="00610A87">
        <w:rPr>
          <w:b/>
          <w:bCs/>
          <w:sz w:val="22"/>
          <w:szCs w:val="22"/>
        </w:rPr>
        <w:t xml:space="preserve">Incidenti </w:t>
      </w:r>
      <w:r w:rsidR="00610A87">
        <w:rPr>
          <w:b/>
          <w:bCs/>
          <w:sz w:val="22"/>
          <w:szCs w:val="22"/>
        </w:rPr>
        <w:t>giorno per giorno</w:t>
      </w:r>
      <w:r w:rsidRPr="00610A87">
        <w:rPr>
          <w:b/>
          <w:bCs/>
          <w:sz w:val="22"/>
          <w:szCs w:val="22"/>
        </w:rPr>
        <w:t xml:space="preserve">: </w:t>
      </w:r>
      <w:r w:rsidR="00610A87">
        <w:rPr>
          <w:b/>
          <w:bCs/>
          <w:sz w:val="22"/>
          <w:szCs w:val="22"/>
        </w:rPr>
        <w:t>ancora effetti della pandemia sull’andamento dell’incidentalità</w:t>
      </w:r>
    </w:p>
    <w:p w14:paraId="42FBB2A9" w14:textId="1D130290" w:rsidR="00C070A2" w:rsidRDefault="00820461" w:rsidP="008C5D3F">
      <w:pPr>
        <w:jc w:val="both"/>
        <w:rPr>
          <w:sz w:val="20"/>
        </w:rPr>
      </w:pPr>
      <w:r>
        <w:rPr>
          <w:sz w:val="20"/>
        </w:rPr>
        <w:t>L’anno</w:t>
      </w:r>
      <w:r w:rsidR="00415C45">
        <w:rPr>
          <w:sz w:val="20"/>
        </w:rPr>
        <w:t xml:space="preserve"> 2021 è caratterizzato dalla ripresa graduale delle attività e del traffico ma risente ancora di periodi di </w:t>
      </w:r>
      <w:r w:rsidR="00415C45" w:rsidRPr="00415C45">
        <w:rPr>
          <w:i/>
          <w:sz w:val="20"/>
        </w:rPr>
        <w:t>lockdown</w:t>
      </w:r>
      <w:r w:rsidR="00415C45">
        <w:rPr>
          <w:sz w:val="20"/>
        </w:rPr>
        <w:t xml:space="preserve"> leggeri attuati durante l’anno e diversificati sul territorio.</w:t>
      </w:r>
      <w:r w:rsidR="001339CA" w:rsidRPr="001B313B">
        <w:rPr>
          <w:sz w:val="20"/>
        </w:rPr>
        <w:t xml:space="preserve"> </w:t>
      </w:r>
      <w:r>
        <w:rPr>
          <w:sz w:val="20"/>
        </w:rPr>
        <w:t>L</w:t>
      </w:r>
      <w:r w:rsidR="001B313B" w:rsidRPr="001B313B">
        <w:rPr>
          <w:sz w:val="20"/>
        </w:rPr>
        <w:t xml:space="preserve">’analisi giornaliera dei dati di </w:t>
      </w:r>
      <w:r w:rsidR="001B313B" w:rsidRPr="001D5316">
        <w:rPr>
          <w:sz w:val="20"/>
        </w:rPr>
        <w:t>incidentalità</w:t>
      </w:r>
      <w:r w:rsidR="009215A5" w:rsidRPr="001D5316">
        <w:rPr>
          <w:rStyle w:val="Rimandonotaapidipagina"/>
          <w:sz w:val="20"/>
        </w:rPr>
        <w:footnoteReference w:id="9"/>
      </w:r>
      <w:r w:rsidR="009215A5" w:rsidRPr="001D5316">
        <w:rPr>
          <w:sz w:val="20"/>
        </w:rPr>
        <w:t xml:space="preserve"> </w:t>
      </w:r>
      <w:r>
        <w:rPr>
          <w:sz w:val="20"/>
        </w:rPr>
        <w:t>mette in luce</w:t>
      </w:r>
      <w:r w:rsidR="007333D8">
        <w:rPr>
          <w:sz w:val="20"/>
        </w:rPr>
        <w:t xml:space="preserve"> forti diminuzioni per i mesi di gennaio e febbraio rispetto </w:t>
      </w:r>
      <w:r>
        <w:rPr>
          <w:sz w:val="20"/>
        </w:rPr>
        <w:t xml:space="preserve">sia </w:t>
      </w:r>
      <w:r w:rsidR="007333D8">
        <w:rPr>
          <w:sz w:val="20"/>
        </w:rPr>
        <w:t>al 2019</w:t>
      </w:r>
      <w:r>
        <w:rPr>
          <w:sz w:val="20"/>
        </w:rPr>
        <w:t xml:space="preserve"> che</w:t>
      </w:r>
      <w:r w:rsidR="007333D8">
        <w:rPr>
          <w:sz w:val="20"/>
        </w:rPr>
        <w:t xml:space="preserve"> al 2020</w:t>
      </w:r>
      <w:r w:rsidR="001F4101">
        <w:rPr>
          <w:sz w:val="20"/>
        </w:rPr>
        <w:t xml:space="preserve"> e aumenti consistenti </w:t>
      </w:r>
      <w:r>
        <w:rPr>
          <w:sz w:val="20"/>
        </w:rPr>
        <w:t>t</w:t>
      </w:r>
      <w:r w:rsidR="007333D8">
        <w:rPr>
          <w:sz w:val="20"/>
        </w:rPr>
        <w:t xml:space="preserve">ra marzo e giugno rispetto </w:t>
      </w:r>
      <w:r w:rsidR="006B19F5">
        <w:rPr>
          <w:sz w:val="20"/>
        </w:rPr>
        <w:t>agli stessi mesi de</w:t>
      </w:r>
      <w:r w:rsidR="007333D8">
        <w:rPr>
          <w:sz w:val="20"/>
        </w:rPr>
        <w:t xml:space="preserve">ll’anno precedente </w:t>
      </w:r>
      <w:r>
        <w:rPr>
          <w:sz w:val="20"/>
        </w:rPr>
        <w:t xml:space="preserve">(quando </w:t>
      </w:r>
      <w:r w:rsidR="007333D8">
        <w:rPr>
          <w:sz w:val="20"/>
        </w:rPr>
        <w:t xml:space="preserve">il Paese si trovava in </w:t>
      </w:r>
      <w:r w:rsidR="007333D8" w:rsidRPr="007333D8">
        <w:rPr>
          <w:i/>
          <w:sz w:val="20"/>
        </w:rPr>
        <w:t>lockdown</w:t>
      </w:r>
      <w:r w:rsidR="007333D8">
        <w:rPr>
          <w:sz w:val="20"/>
        </w:rPr>
        <w:t xml:space="preserve"> pressoché totale</w:t>
      </w:r>
      <w:r>
        <w:rPr>
          <w:sz w:val="20"/>
        </w:rPr>
        <w:t>)</w:t>
      </w:r>
      <w:r w:rsidR="001F4101">
        <w:rPr>
          <w:sz w:val="20"/>
        </w:rPr>
        <w:t xml:space="preserve"> mentre n</w:t>
      </w:r>
      <w:r>
        <w:rPr>
          <w:sz w:val="20"/>
        </w:rPr>
        <w:t xml:space="preserve">el secondo semestre </w:t>
      </w:r>
      <w:r w:rsidR="001F4101">
        <w:rPr>
          <w:sz w:val="20"/>
        </w:rPr>
        <w:t xml:space="preserve">i </w:t>
      </w:r>
      <w:r w:rsidR="007333D8">
        <w:rPr>
          <w:sz w:val="20"/>
        </w:rPr>
        <w:t xml:space="preserve">livelli </w:t>
      </w:r>
      <w:r w:rsidR="001F4101">
        <w:rPr>
          <w:sz w:val="20"/>
        </w:rPr>
        <w:t xml:space="preserve">tornano </w:t>
      </w:r>
      <w:r w:rsidR="007333D8">
        <w:rPr>
          <w:sz w:val="20"/>
        </w:rPr>
        <w:t>molto vicini a quelli del 2019</w:t>
      </w:r>
      <w:r w:rsidR="00C070A2">
        <w:rPr>
          <w:sz w:val="20"/>
        </w:rPr>
        <w:t xml:space="preserve">. </w:t>
      </w:r>
    </w:p>
    <w:p w14:paraId="3B6C6CE2" w14:textId="77777777" w:rsidR="008C5D3F" w:rsidRPr="007008A5" w:rsidRDefault="008C5D3F" w:rsidP="00F877FE">
      <w:pPr>
        <w:spacing w:after="120"/>
        <w:jc w:val="both"/>
        <w:rPr>
          <w:sz w:val="20"/>
        </w:rPr>
      </w:pPr>
    </w:p>
    <w:p w14:paraId="582CC72E" w14:textId="6088261B" w:rsidR="003F41A4" w:rsidRPr="00955503" w:rsidRDefault="00E006F9" w:rsidP="00B21F40">
      <w:pPr>
        <w:autoSpaceDE w:val="0"/>
        <w:autoSpaceDN w:val="0"/>
        <w:adjustRightInd w:val="0"/>
        <w:spacing w:after="120"/>
        <w:jc w:val="both"/>
        <w:rPr>
          <w:rFonts w:eastAsia="Arial Unicode MS"/>
          <w:bCs/>
          <w:sz w:val="20"/>
          <w:szCs w:val="22"/>
        </w:rPr>
      </w:pPr>
      <w:r>
        <w:rPr>
          <w:rFonts w:ascii="Arial Narrow" w:hAnsi="Arial Narrow"/>
          <w:b/>
          <w:caps/>
          <w:color w:val="808080"/>
          <w:sz w:val="20"/>
        </w:rPr>
        <w:t>F</w:t>
      </w:r>
      <w:r w:rsidR="00724E95">
        <w:rPr>
          <w:rFonts w:ascii="Arial Narrow" w:hAnsi="Arial Narrow"/>
          <w:b/>
          <w:caps/>
          <w:color w:val="808080"/>
          <w:sz w:val="20"/>
        </w:rPr>
        <w:t>igura 8</w:t>
      </w:r>
      <w:r w:rsidR="003F41A4" w:rsidRPr="00CB6B7C">
        <w:rPr>
          <w:rFonts w:ascii="Arial Narrow" w:hAnsi="Arial Narrow"/>
          <w:b/>
          <w:caps/>
          <w:color w:val="808080"/>
          <w:sz w:val="20"/>
        </w:rPr>
        <w:t>. incidenti stradali con lesioni a per</w:t>
      </w:r>
      <w:r w:rsidR="00CB6B7C">
        <w:rPr>
          <w:rFonts w:ascii="Arial Narrow" w:hAnsi="Arial Narrow"/>
          <w:b/>
          <w:caps/>
          <w:color w:val="808080"/>
          <w:sz w:val="20"/>
        </w:rPr>
        <w:t xml:space="preserve">sone per giorno e mese nel 2019, </w:t>
      </w:r>
      <w:r w:rsidR="003F41A4" w:rsidRPr="00CB6B7C">
        <w:rPr>
          <w:rFonts w:ascii="Arial Narrow" w:hAnsi="Arial Narrow"/>
          <w:b/>
          <w:caps/>
          <w:color w:val="808080"/>
          <w:sz w:val="20"/>
        </w:rPr>
        <w:t>2020</w:t>
      </w:r>
      <w:r w:rsidR="00CB6B7C">
        <w:rPr>
          <w:rFonts w:ascii="Arial Narrow" w:hAnsi="Arial Narrow"/>
          <w:b/>
          <w:caps/>
          <w:color w:val="808080"/>
          <w:sz w:val="20"/>
        </w:rPr>
        <w:t xml:space="preserve"> e 2021</w:t>
      </w:r>
      <w:r w:rsidR="00955503" w:rsidRPr="00CB6B7C">
        <w:rPr>
          <w:rFonts w:ascii="Arial Narrow" w:hAnsi="Arial Narrow"/>
          <w:color w:val="808080"/>
          <w:sz w:val="20"/>
        </w:rPr>
        <w:t>. V</w:t>
      </w:r>
      <w:r w:rsidR="003F41A4" w:rsidRPr="00CB6B7C">
        <w:rPr>
          <w:rFonts w:ascii="Arial Narrow" w:hAnsi="Arial Narrow"/>
          <w:color w:val="808080"/>
          <w:sz w:val="20"/>
        </w:rPr>
        <w:t>alori assoluti</w:t>
      </w:r>
      <w:r w:rsidR="000F1C8E">
        <w:rPr>
          <w:rFonts w:ascii="Arial Narrow" w:hAnsi="Arial Narrow"/>
          <w:color w:val="808080"/>
          <w:sz w:val="20"/>
        </w:rPr>
        <w:t xml:space="preserve"> e lin</w:t>
      </w:r>
      <w:r w:rsidR="000E6070">
        <w:rPr>
          <w:rFonts w:ascii="Arial Narrow" w:hAnsi="Arial Narrow"/>
          <w:color w:val="808080"/>
          <w:sz w:val="20"/>
        </w:rPr>
        <w:t>ee</w:t>
      </w:r>
      <w:r w:rsidR="000F1C8E">
        <w:rPr>
          <w:rFonts w:ascii="Arial Narrow" w:hAnsi="Arial Narrow"/>
          <w:color w:val="808080"/>
          <w:sz w:val="20"/>
        </w:rPr>
        <w:t xml:space="preserve"> di tendenza (</w:t>
      </w:r>
      <w:r w:rsidR="007008A5">
        <w:rPr>
          <w:rFonts w:ascii="Arial Narrow" w:hAnsi="Arial Narrow"/>
          <w:color w:val="808080"/>
          <w:sz w:val="20"/>
        </w:rPr>
        <w:t xml:space="preserve">metodo della </w:t>
      </w:r>
      <w:r w:rsidR="000E6070">
        <w:rPr>
          <w:rFonts w:ascii="Arial Narrow" w:hAnsi="Arial Narrow"/>
          <w:color w:val="808080"/>
          <w:sz w:val="20"/>
        </w:rPr>
        <w:t>media mobile</w:t>
      </w:r>
      <w:r w:rsidR="000F1C8E">
        <w:rPr>
          <w:rFonts w:ascii="Arial Narrow" w:hAnsi="Arial Narrow"/>
          <w:color w:val="808080"/>
          <w:sz w:val="20"/>
        </w:rPr>
        <w:t>)</w:t>
      </w:r>
    </w:p>
    <w:p w14:paraId="48E20341" w14:textId="77777777" w:rsidR="001C6059" w:rsidRDefault="000C1865" w:rsidP="00B21F40">
      <w:pPr>
        <w:pBdr>
          <w:top w:val="single" w:sz="2" w:space="1" w:color="D9D9D9" w:themeColor="background1" w:themeShade="D9"/>
          <w:left w:val="single" w:sz="2" w:space="4" w:color="D9D9D9" w:themeColor="background1" w:themeShade="D9"/>
          <w:bottom w:val="single" w:sz="2" w:space="1" w:color="D9D9D9" w:themeColor="background1" w:themeShade="D9"/>
          <w:right w:val="single" w:sz="2" w:space="4" w:color="D9D9D9" w:themeColor="background1" w:themeShade="D9"/>
        </w:pBdr>
        <w:rPr>
          <w:b/>
          <w:sz w:val="22"/>
          <w:szCs w:val="22"/>
        </w:rPr>
      </w:pPr>
      <w:r>
        <w:rPr>
          <w:b/>
          <w:noProof/>
          <w:sz w:val="22"/>
          <w:szCs w:val="22"/>
        </w:rPr>
        <w:drawing>
          <wp:inline distT="0" distB="0" distL="0" distR="0" wp14:anchorId="781C0EA7" wp14:editId="664794CA">
            <wp:extent cx="6265628" cy="3136199"/>
            <wp:effectExtent l="0" t="0" r="190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68701" cy="3187791"/>
                    </a:xfrm>
                    <a:prstGeom prst="rect">
                      <a:avLst/>
                    </a:prstGeom>
                    <a:noFill/>
                  </pic:spPr>
                </pic:pic>
              </a:graphicData>
            </a:graphic>
          </wp:inline>
        </w:drawing>
      </w:r>
    </w:p>
    <w:p w14:paraId="403A4252" w14:textId="77777777" w:rsidR="0010129F" w:rsidRDefault="001D034E" w:rsidP="00DE4BF2">
      <w:pPr>
        <w:spacing w:after="120"/>
        <w:rPr>
          <w:b/>
          <w:sz w:val="22"/>
          <w:szCs w:val="22"/>
        </w:rPr>
      </w:pPr>
      <w:r>
        <w:rPr>
          <w:b/>
          <w:sz w:val="22"/>
          <w:szCs w:val="22"/>
        </w:rPr>
        <w:lastRenderedPageBreak/>
        <w:t xml:space="preserve">Smart working, didattica a distanza e confinamenti: cambia il </w:t>
      </w:r>
      <w:r w:rsidR="00C67D3B" w:rsidRPr="001D034E">
        <w:rPr>
          <w:b/>
          <w:sz w:val="22"/>
          <w:szCs w:val="22"/>
        </w:rPr>
        <w:t>profilo orario</w:t>
      </w:r>
      <w:r w:rsidR="0089600F" w:rsidRPr="001D034E">
        <w:rPr>
          <w:b/>
          <w:sz w:val="22"/>
          <w:szCs w:val="22"/>
        </w:rPr>
        <w:t xml:space="preserve"> dell’incidentalità</w:t>
      </w:r>
    </w:p>
    <w:p w14:paraId="611A7A0A" w14:textId="13F4DD87" w:rsidR="0027482E" w:rsidRPr="008D1C8C" w:rsidRDefault="001F4101">
      <w:pPr>
        <w:spacing w:after="120"/>
        <w:jc w:val="both"/>
        <w:rPr>
          <w:sz w:val="20"/>
        </w:rPr>
      </w:pPr>
      <w:r>
        <w:rPr>
          <w:sz w:val="20"/>
        </w:rPr>
        <w:t>Oltre che</w:t>
      </w:r>
      <w:r w:rsidR="005029B0">
        <w:rPr>
          <w:sz w:val="20"/>
        </w:rPr>
        <w:t xml:space="preserve"> da una ripresa della mobilità, </w:t>
      </w:r>
      <w:r>
        <w:rPr>
          <w:sz w:val="20"/>
        </w:rPr>
        <w:t>l’anno passato è stato</w:t>
      </w:r>
      <w:r w:rsidR="005029B0">
        <w:rPr>
          <w:sz w:val="20"/>
        </w:rPr>
        <w:t xml:space="preserve"> cara</w:t>
      </w:r>
      <w:r w:rsidR="00A41761">
        <w:rPr>
          <w:sz w:val="20"/>
        </w:rPr>
        <w:t xml:space="preserve">tterizzato da un susseguirsi di </w:t>
      </w:r>
      <w:r w:rsidR="005029B0">
        <w:rPr>
          <w:sz w:val="20"/>
        </w:rPr>
        <w:t xml:space="preserve">misure di contenimento della pandemia, soprattutto nei primi mesi dell’anno, in particolare </w:t>
      </w:r>
      <w:r w:rsidR="005029B0" w:rsidRPr="005029B0">
        <w:rPr>
          <w:i/>
          <w:sz w:val="20"/>
        </w:rPr>
        <w:t>lockdown</w:t>
      </w:r>
      <w:r w:rsidR="005029B0">
        <w:rPr>
          <w:sz w:val="20"/>
        </w:rPr>
        <w:t xml:space="preserve"> leggeri,</w:t>
      </w:r>
      <w:r w:rsidR="00244B6A">
        <w:rPr>
          <w:sz w:val="20"/>
        </w:rPr>
        <w:t xml:space="preserve"> coprifuoco,</w:t>
      </w:r>
      <w:r w:rsidR="005029B0">
        <w:rPr>
          <w:sz w:val="20"/>
        </w:rPr>
        <w:t xml:space="preserve"> attuazione della didattica a distanza nelle scuole di ogni ordine e grado e </w:t>
      </w:r>
      <w:r w:rsidR="005029B0" w:rsidRPr="005029B0">
        <w:rPr>
          <w:i/>
          <w:sz w:val="20"/>
        </w:rPr>
        <w:t>smart working</w:t>
      </w:r>
      <w:r w:rsidR="005029B0">
        <w:rPr>
          <w:sz w:val="20"/>
        </w:rPr>
        <w:t xml:space="preserve"> emergenziale.  </w:t>
      </w:r>
      <w:r>
        <w:rPr>
          <w:sz w:val="20"/>
        </w:rPr>
        <w:t xml:space="preserve">Ne risulta un </w:t>
      </w:r>
      <w:r w:rsidR="00244B6A">
        <w:rPr>
          <w:sz w:val="20"/>
        </w:rPr>
        <w:t xml:space="preserve">profilo </w:t>
      </w:r>
      <w:r w:rsidR="00496548">
        <w:rPr>
          <w:sz w:val="20"/>
        </w:rPr>
        <w:t xml:space="preserve">orario </w:t>
      </w:r>
      <w:r w:rsidR="00244B6A">
        <w:rPr>
          <w:sz w:val="20"/>
        </w:rPr>
        <w:t xml:space="preserve">dell’incidentalità </w:t>
      </w:r>
      <w:r w:rsidR="00496548">
        <w:rPr>
          <w:sz w:val="20"/>
        </w:rPr>
        <w:t>parzialmente</w:t>
      </w:r>
      <w:r w:rsidR="00244B6A">
        <w:rPr>
          <w:sz w:val="20"/>
        </w:rPr>
        <w:t xml:space="preserve"> modificato rispetto </w:t>
      </w:r>
      <w:r w:rsidR="00496548">
        <w:rPr>
          <w:sz w:val="20"/>
        </w:rPr>
        <w:t>alla situazione</w:t>
      </w:r>
      <w:r w:rsidR="00244B6A">
        <w:rPr>
          <w:sz w:val="20"/>
        </w:rPr>
        <w:t xml:space="preserve"> pre-pa</w:t>
      </w:r>
      <w:r w:rsidR="00A41761">
        <w:rPr>
          <w:sz w:val="20"/>
        </w:rPr>
        <w:t>ndemia</w:t>
      </w:r>
      <w:r w:rsidR="00496548">
        <w:rPr>
          <w:sz w:val="20"/>
        </w:rPr>
        <w:t>: si rileva ancora</w:t>
      </w:r>
      <w:r w:rsidR="00244B6A">
        <w:rPr>
          <w:sz w:val="20"/>
        </w:rPr>
        <w:t xml:space="preserve"> una concentrazione nelle prime ore della giornata</w:t>
      </w:r>
      <w:r w:rsidR="00112C3B">
        <w:rPr>
          <w:sz w:val="20"/>
        </w:rPr>
        <w:t xml:space="preserve">, intorno alle 8 e anche tra le 12 e le 14, </w:t>
      </w:r>
      <w:r w:rsidR="00244B6A">
        <w:rPr>
          <w:sz w:val="20"/>
        </w:rPr>
        <w:t>ma</w:t>
      </w:r>
      <w:r w:rsidR="00112C3B">
        <w:rPr>
          <w:sz w:val="20"/>
        </w:rPr>
        <w:t xml:space="preserve"> più </w:t>
      </w:r>
      <w:r w:rsidR="00496548">
        <w:rPr>
          <w:sz w:val="20"/>
        </w:rPr>
        <w:t>diluita, mentre</w:t>
      </w:r>
      <w:r w:rsidR="00112C3B">
        <w:rPr>
          <w:sz w:val="20"/>
        </w:rPr>
        <w:t xml:space="preserve"> rimane ben definito il picco</w:t>
      </w:r>
      <w:r w:rsidR="0027482E">
        <w:rPr>
          <w:sz w:val="20"/>
        </w:rPr>
        <w:t xml:space="preserve"> alle 18</w:t>
      </w:r>
      <w:r w:rsidR="001A74D1" w:rsidRPr="008D1C8C">
        <w:rPr>
          <w:sz w:val="20"/>
        </w:rPr>
        <w:t xml:space="preserve"> (Figura </w:t>
      </w:r>
      <w:r w:rsidR="00724E95">
        <w:rPr>
          <w:sz w:val="20"/>
        </w:rPr>
        <w:t>9</w:t>
      </w:r>
      <w:r w:rsidR="003C5E1A" w:rsidRPr="008D1C8C">
        <w:rPr>
          <w:sz w:val="20"/>
        </w:rPr>
        <w:t>).</w:t>
      </w:r>
      <w:r w:rsidR="00E41408">
        <w:rPr>
          <w:sz w:val="20"/>
        </w:rPr>
        <w:t xml:space="preserve"> </w:t>
      </w:r>
      <w:r w:rsidR="00112C3B">
        <w:rPr>
          <w:sz w:val="20"/>
        </w:rPr>
        <w:t xml:space="preserve">Da segnalare, a partire dal 2020, anche l’intensificazione del </w:t>
      </w:r>
      <w:r w:rsidR="0027482E">
        <w:rPr>
          <w:sz w:val="20"/>
        </w:rPr>
        <w:t>traffico dovuto a trasporto merci e logistica</w:t>
      </w:r>
      <w:r w:rsidR="00E82C54">
        <w:rPr>
          <w:sz w:val="20"/>
        </w:rPr>
        <w:t>,</w:t>
      </w:r>
      <w:r w:rsidR="0027482E">
        <w:rPr>
          <w:sz w:val="20"/>
        </w:rPr>
        <w:t xml:space="preserve"> a seguito dell’aumento consistente dell’e-commerce e </w:t>
      </w:r>
      <w:r w:rsidR="00E92B96">
        <w:rPr>
          <w:sz w:val="20"/>
        </w:rPr>
        <w:t>a una modifica n</w:t>
      </w:r>
      <w:r w:rsidR="00E82C54">
        <w:rPr>
          <w:sz w:val="20"/>
        </w:rPr>
        <w:t xml:space="preserve">egli orari </w:t>
      </w:r>
      <w:r w:rsidR="00E92B96">
        <w:rPr>
          <w:sz w:val="20"/>
        </w:rPr>
        <w:t>d</w:t>
      </w:r>
      <w:r w:rsidR="00777347">
        <w:rPr>
          <w:sz w:val="20"/>
        </w:rPr>
        <w:t>egli spostamenti</w:t>
      </w:r>
      <w:r w:rsidR="00E82C54">
        <w:rPr>
          <w:sz w:val="20"/>
        </w:rPr>
        <w:t xml:space="preserve"> </w:t>
      </w:r>
      <w:r w:rsidR="00777347">
        <w:rPr>
          <w:sz w:val="20"/>
        </w:rPr>
        <w:t xml:space="preserve">e delle abitudini </w:t>
      </w:r>
      <w:r w:rsidR="00E82C54">
        <w:rPr>
          <w:sz w:val="20"/>
        </w:rPr>
        <w:t xml:space="preserve">per chi </w:t>
      </w:r>
      <w:r w:rsidR="00777347">
        <w:rPr>
          <w:sz w:val="20"/>
        </w:rPr>
        <w:t>ha usufruito di tempi di lavoro più flessibili.</w:t>
      </w:r>
    </w:p>
    <w:p w14:paraId="4FC8BB6E" w14:textId="238AE5C1" w:rsidR="00A173B5" w:rsidRPr="00AB2239" w:rsidRDefault="00A173B5" w:rsidP="00F877FE">
      <w:pPr>
        <w:spacing w:after="120"/>
        <w:jc w:val="both"/>
        <w:rPr>
          <w:bCs/>
          <w:sz w:val="20"/>
        </w:rPr>
      </w:pPr>
      <w:r w:rsidRPr="008D1C8C">
        <w:rPr>
          <w:bCs/>
          <w:sz w:val="20"/>
        </w:rPr>
        <w:t>Per tenere conto</w:t>
      </w:r>
      <w:r w:rsidR="003C5E1A" w:rsidRPr="008D1C8C">
        <w:rPr>
          <w:bCs/>
          <w:sz w:val="20"/>
        </w:rPr>
        <w:t xml:space="preserve">, </w:t>
      </w:r>
      <w:r w:rsidR="00777347">
        <w:rPr>
          <w:bCs/>
          <w:sz w:val="20"/>
        </w:rPr>
        <w:t>infine,</w:t>
      </w:r>
      <w:r w:rsidRPr="008D1C8C">
        <w:rPr>
          <w:bCs/>
          <w:sz w:val="20"/>
        </w:rPr>
        <w:t xml:space="preserve"> delle reali condizioni di luce e di buio e del </w:t>
      </w:r>
      <w:r w:rsidR="00056CB1" w:rsidRPr="008D1C8C">
        <w:rPr>
          <w:bCs/>
          <w:sz w:val="20"/>
        </w:rPr>
        <w:t xml:space="preserve">loro </w:t>
      </w:r>
      <w:r w:rsidRPr="008D1C8C">
        <w:rPr>
          <w:bCs/>
          <w:sz w:val="20"/>
        </w:rPr>
        <w:t xml:space="preserve">legame </w:t>
      </w:r>
      <w:r w:rsidR="00056CB1" w:rsidRPr="008D1C8C">
        <w:rPr>
          <w:bCs/>
          <w:sz w:val="20"/>
        </w:rPr>
        <w:t>con gli</w:t>
      </w:r>
      <w:r w:rsidR="00056CB1" w:rsidRPr="00AB2239">
        <w:rPr>
          <w:bCs/>
          <w:sz w:val="20"/>
        </w:rPr>
        <w:t xml:space="preserve"> incidenti stradali</w:t>
      </w:r>
      <w:r w:rsidRPr="00AB2239">
        <w:rPr>
          <w:bCs/>
          <w:sz w:val="20"/>
        </w:rPr>
        <w:t xml:space="preserve">, </w:t>
      </w:r>
      <w:r w:rsidR="00496548">
        <w:rPr>
          <w:bCs/>
          <w:sz w:val="20"/>
        </w:rPr>
        <w:t>anche quest’anno son</w:t>
      </w:r>
      <w:r w:rsidRPr="00AB2239">
        <w:rPr>
          <w:bCs/>
          <w:sz w:val="20"/>
        </w:rPr>
        <w:t>o stati considera</w:t>
      </w:r>
      <w:r w:rsidR="00914519" w:rsidRPr="00AB2239">
        <w:rPr>
          <w:bCs/>
          <w:sz w:val="20"/>
        </w:rPr>
        <w:t>ti</w:t>
      </w:r>
      <w:r w:rsidR="00EE5D2C">
        <w:rPr>
          <w:bCs/>
          <w:sz w:val="20"/>
        </w:rPr>
        <w:t xml:space="preserve"> </w:t>
      </w:r>
      <w:r w:rsidRPr="00AB2239">
        <w:rPr>
          <w:bCs/>
          <w:sz w:val="20"/>
        </w:rPr>
        <w:t>gli orari di alba e tramonto nelle province italiane, rilevati con cadenze periodiche di 15 giorni durante l’anno. Il calcolo ha condotto alla definizione d</w:t>
      </w:r>
      <w:r w:rsidR="002D488F" w:rsidRPr="00AB2239">
        <w:rPr>
          <w:bCs/>
          <w:sz w:val="20"/>
        </w:rPr>
        <w:t xml:space="preserve">el </w:t>
      </w:r>
      <w:r w:rsidRPr="00AB2239">
        <w:rPr>
          <w:bCs/>
          <w:sz w:val="20"/>
        </w:rPr>
        <w:t>numero di ore di luce e di buio e ha consentito di classificare gli incidenti per questa nuova variabile.</w:t>
      </w:r>
    </w:p>
    <w:p w14:paraId="62CB5715" w14:textId="50CAA710" w:rsidR="0096120F" w:rsidRPr="00AB2239" w:rsidRDefault="00A173B5" w:rsidP="0058777F">
      <w:pPr>
        <w:spacing w:after="80"/>
        <w:jc w:val="both"/>
        <w:rPr>
          <w:bCs/>
          <w:sz w:val="20"/>
        </w:rPr>
      </w:pPr>
      <w:r w:rsidRPr="00AB2239">
        <w:rPr>
          <w:bCs/>
          <w:sz w:val="20"/>
        </w:rPr>
        <w:t>Dal confronto tra le distribuzioni degli incidenti stradali per mese, nel periodo di buio, compreso tra tramonto e alba, e quello notturno</w:t>
      </w:r>
      <w:r w:rsidR="00AB2239" w:rsidRPr="00AB2239">
        <w:rPr>
          <w:bCs/>
          <w:sz w:val="20"/>
        </w:rPr>
        <w:t xml:space="preserve"> convenzionale</w:t>
      </w:r>
      <w:r w:rsidRPr="00AB2239">
        <w:rPr>
          <w:bCs/>
          <w:sz w:val="20"/>
        </w:rPr>
        <w:t>, tra le 22 e le 6 del mattino, si osservano consistenti differenze nelle percentuali mensili, soprattutto per i mesi invernali e autunnali, quando il sole tramonta già nelle or</w:t>
      </w:r>
      <w:r w:rsidR="00AB2239">
        <w:rPr>
          <w:bCs/>
          <w:sz w:val="20"/>
        </w:rPr>
        <w:t>e del pomeriggio</w:t>
      </w:r>
      <w:r w:rsidR="00DA6073">
        <w:rPr>
          <w:bCs/>
          <w:sz w:val="20"/>
        </w:rPr>
        <w:t xml:space="preserve">, ma anche interessanti risultati legati </w:t>
      </w:r>
      <w:r w:rsidR="00E92B96">
        <w:rPr>
          <w:bCs/>
          <w:sz w:val="20"/>
        </w:rPr>
        <w:t xml:space="preserve">ai periodi di restrizioni alla circolazione </w:t>
      </w:r>
      <w:r w:rsidR="00DA6073">
        <w:rPr>
          <w:bCs/>
          <w:sz w:val="20"/>
        </w:rPr>
        <w:t>dopo le 22</w:t>
      </w:r>
      <w:r w:rsidR="00FA7315">
        <w:rPr>
          <w:bCs/>
          <w:sz w:val="20"/>
        </w:rPr>
        <w:t>, con riduzione dell’incidentalità in queste ore notturne</w:t>
      </w:r>
      <w:r w:rsidR="00DA6073">
        <w:rPr>
          <w:bCs/>
          <w:sz w:val="20"/>
        </w:rPr>
        <w:t xml:space="preserve"> </w:t>
      </w:r>
      <w:r w:rsidR="00AB2239" w:rsidRPr="00AB2239">
        <w:rPr>
          <w:bCs/>
          <w:sz w:val="20"/>
        </w:rPr>
        <w:t xml:space="preserve">(Figura </w:t>
      </w:r>
      <w:r w:rsidR="00724E95">
        <w:rPr>
          <w:bCs/>
          <w:sz w:val="20"/>
        </w:rPr>
        <w:t>10</w:t>
      </w:r>
      <w:r w:rsidR="00AB2239" w:rsidRPr="00AB2239">
        <w:rPr>
          <w:bCs/>
          <w:sz w:val="20"/>
        </w:rPr>
        <w:t>)</w:t>
      </w:r>
      <w:r w:rsidR="00AB2239">
        <w:rPr>
          <w:bCs/>
          <w:sz w:val="20"/>
        </w:rPr>
        <w:t>.</w:t>
      </w:r>
    </w:p>
    <w:p w14:paraId="2DD89E97" w14:textId="229CD802" w:rsidR="008F09F6" w:rsidRDefault="00A173B5" w:rsidP="008218DC">
      <w:pPr>
        <w:jc w:val="both"/>
        <w:rPr>
          <w:bCs/>
          <w:sz w:val="20"/>
        </w:rPr>
      </w:pPr>
      <w:r w:rsidRPr="00E41408">
        <w:rPr>
          <w:bCs/>
          <w:sz w:val="20"/>
        </w:rPr>
        <w:t>Quantificare gli incidenti stradali che avvengono in condizioni di buio</w:t>
      </w:r>
      <w:r w:rsidR="004E1E78">
        <w:rPr>
          <w:bCs/>
          <w:sz w:val="20"/>
        </w:rPr>
        <w:t xml:space="preserve">, anche in una situazione </w:t>
      </w:r>
      <w:r w:rsidR="00552A19">
        <w:rPr>
          <w:bCs/>
          <w:sz w:val="20"/>
        </w:rPr>
        <w:t xml:space="preserve">peculiare come </w:t>
      </w:r>
      <w:r w:rsidR="008D1A4E">
        <w:rPr>
          <w:bCs/>
          <w:sz w:val="20"/>
        </w:rPr>
        <w:t xml:space="preserve">quelle </w:t>
      </w:r>
      <w:r w:rsidR="00552A19">
        <w:rPr>
          <w:bCs/>
          <w:sz w:val="20"/>
        </w:rPr>
        <w:t>del 2020</w:t>
      </w:r>
      <w:r w:rsidR="005E7682">
        <w:rPr>
          <w:bCs/>
          <w:sz w:val="20"/>
        </w:rPr>
        <w:t xml:space="preserve"> e del 2021</w:t>
      </w:r>
      <w:r w:rsidR="00552A19">
        <w:rPr>
          <w:bCs/>
          <w:sz w:val="20"/>
        </w:rPr>
        <w:t xml:space="preserve">, consente di individuare </w:t>
      </w:r>
      <w:r w:rsidR="004E1E78">
        <w:rPr>
          <w:bCs/>
          <w:sz w:val="20"/>
        </w:rPr>
        <w:t>i</w:t>
      </w:r>
      <w:r w:rsidRPr="00E41408">
        <w:rPr>
          <w:bCs/>
          <w:sz w:val="20"/>
        </w:rPr>
        <w:t xml:space="preserve"> legami </w:t>
      </w:r>
      <w:r w:rsidR="00785B42">
        <w:rPr>
          <w:bCs/>
          <w:sz w:val="20"/>
        </w:rPr>
        <w:t>dell’incidentalità stradale</w:t>
      </w:r>
      <w:r w:rsidRPr="00E41408">
        <w:rPr>
          <w:bCs/>
          <w:sz w:val="20"/>
        </w:rPr>
        <w:t xml:space="preserve"> con la scarsa visibilità</w:t>
      </w:r>
      <w:r w:rsidR="00704FA0" w:rsidRPr="00E41408">
        <w:rPr>
          <w:bCs/>
          <w:sz w:val="20"/>
        </w:rPr>
        <w:t xml:space="preserve"> </w:t>
      </w:r>
      <w:r w:rsidR="00501DF1" w:rsidRPr="00E41408">
        <w:rPr>
          <w:bCs/>
          <w:sz w:val="20"/>
        </w:rPr>
        <w:t xml:space="preserve">o illuminazione </w:t>
      </w:r>
      <w:r w:rsidR="0096120F" w:rsidRPr="00E41408">
        <w:rPr>
          <w:bCs/>
          <w:sz w:val="20"/>
        </w:rPr>
        <w:t xml:space="preserve">rilevata </w:t>
      </w:r>
      <w:r w:rsidR="00704FA0" w:rsidRPr="00E41408">
        <w:rPr>
          <w:bCs/>
          <w:sz w:val="20"/>
        </w:rPr>
        <w:t>sulla rete stradale</w:t>
      </w:r>
      <w:r w:rsidRPr="00E41408">
        <w:rPr>
          <w:bCs/>
          <w:sz w:val="20"/>
        </w:rPr>
        <w:t>.</w:t>
      </w:r>
      <w:r w:rsidR="00D07C89" w:rsidRPr="004E1E78">
        <w:rPr>
          <w:bCs/>
          <w:sz w:val="20"/>
        </w:rPr>
        <w:t xml:space="preserve"> </w:t>
      </w:r>
      <w:r w:rsidR="00D07C89" w:rsidRPr="00EA7FA0">
        <w:rPr>
          <w:bCs/>
          <w:sz w:val="20"/>
        </w:rPr>
        <w:t xml:space="preserve">L’indice di mortalità </w:t>
      </w:r>
      <w:r w:rsidR="005B0EED" w:rsidRPr="00EA7FA0">
        <w:rPr>
          <w:bCs/>
          <w:sz w:val="20"/>
        </w:rPr>
        <w:t xml:space="preserve">(morti su 100 incidenti) </w:t>
      </w:r>
      <w:r w:rsidR="00D07C89" w:rsidRPr="00EA7FA0">
        <w:rPr>
          <w:bCs/>
          <w:sz w:val="20"/>
        </w:rPr>
        <w:t>risulta</w:t>
      </w:r>
      <w:r w:rsidR="00C83E21" w:rsidRPr="00EA7FA0">
        <w:rPr>
          <w:bCs/>
          <w:sz w:val="20"/>
        </w:rPr>
        <w:t xml:space="preserve"> infatti</w:t>
      </w:r>
      <w:r w:rsidR="00D07C89" w:rsidRPr="00EA7FA0">
        <w:rPr>
          <w:bCs/>
          <w:sz w:val="20"/>
        </w:rPr>
        <w:t xml:space="preserve"> più el</w:t>
      </w:r>
      <w:r w:rsidR="008F09F6" w:rsidRPr="00EA7FA0">
        <w:rPr>
          <w:bCs/>
          <w:sz w:val="20"/>
        </w:rPr>
        <w:t>e</w:t>
      </w:r>
      <w:r w:rsidR="00D07C89" w:rsidRPr="00EA7FA0">
        <w:rPr>
          <w:bCs/>
          <w:sz w:val="20"/>
        </w:rPr>
        <w:t>vato nelle ore f</w:t>
      </w:r>
      <w:r w:rsidR="00FC6BF5" w:rsidRPr="00EA7FA0">
        <w:rPr>
          <w:bCs/>
          <w:sz w:val="20"/>
        </w:rPr>
        <w:t>ra tramonto e alba</w:t>
      </w:r>
      <w:r w:rsidR="00C30D59" w:rsidRPr="00EA7FA0">
        <w:rPr>
          <w:bCs/>
          <w:sz w:val="20"/>
        </w:rPr>
        <w:t xml:space="preserve"> </w:t>
      </w:r>
      <w:r w:rsidR="00704FA0" w:rsidRPr="00EA7FA0">
        <w:rPr>
          <w:bCs/>
          <w:sz w:val="20"/>
        </w:rPr>
        <w:t xml:space="preserve">rispetto al periodo convenzionalmente </w:t>
      </w:r>
      <w:r w:rsidR="009040FF" w:rsidRPr="00EA7FA0">
        <w:rPr>
          <w:bCs/>
          <w:sz w:val="20"/>
        </w:rPr>
        <w:t xml:space="preserve">definito </w:t>
      </w:r>
      <w:r w:rsidR="00704FA0" w:rsidRPr="00EA7FA0">
        <w:rPr>
          <w:bCs/>
          <w:sz w:val="20"/>
        </w:rPr>
        <w:t>notturno</w:t>
      </w:r>
      <w:r w:rsidRPr="00EA7FA0">
        <w:rPr>
          <w:bCs/>
          <w:sz w:val="20"/>
        </w:rPr>
        <w:t xml:space="preserve"> (tra le 22</w:t>
      </w:r>
      <w:r w:rsidR="00704FA0" w:rsidRPr="00EA7FA0">
        <w:rPr>
          <w:bCs/>
          <w:sz w:val="20"/>
        </w:rPr>
        <w:t xml:space="preserve"> </w:t>
      </w:r>
      <w:r w:rsidRPr="00EA7FA0">
        <w:rPr>
          <w:bCs/>
          <w:sz w:val="20"/>
        </w:rPr>
        <w:t>e le 6)</w:t>
      </w:r>
      <w:r w:rsidR="00EA7FA0" w:rsidRPr="00EA7FA0">
        <w:rPr>
          <w:bCs/>
          <w:sz w:val="20"/>
        </w:rPr>
        <w:t>, soprattutto</w:t>
      </w:r>
      <w:r w:rsidR="008F09F6" w:rsidRPr="00EA7FA0">
        <w:rPr>
          <w:bCs/>
          <w:sz w:val="20"/>
        </w:rPr>
        <w:t xml:space="preserve"> per gli incidenti con pedoni, in parti</w:t>
      </w:r>
      <w:r w:rsidR="00C83E21" w:rsidRPr="00EA7FA0">
        <w:rPr>
          <w:bCs/>
          <w:sz w:val="20"/>
        </w:rPr>
        <w:t>colare sulle strade extraurbane</w:t>
      </w:r>
      <w:r w:rsidR="00EA7FA0" w:rsidRPr="00EA7FA0">
        <w:rPr>
          <w:bCs/>
          <w:sz w:val="20"/>
        </w:rPr>
        <w:t xml:space="preserve"> ad aprile, luglio</w:t>
      </w:r>
      <w:r w:rsidR="00A41761">
        <w:rPr>
          <w:bCs/>
          <w:sz w:val="20"/>
        </w:rPr>
        <w:t>,</w:t>
      </w:r>
      <w:r w:rsidR="00EA7FA0" w:rsidRPr="00EA7FA0">
        <w:rPr>
          <w:bCs/>
          <w:sz w:val="20"/>
        </w:rPr>
        <w:t xml:space="preserve"> agosto e novembre.</w:t>
      </w:r>
    </w:p>
    <w:p w14:paraId="27B52B64" w14:textId="512DB0E7" w:rsidR="00496548" w:rsidRDefault="00496548" w:rsidP="008218DC">
      <w:pPr>
        <w:jc w:val="both"/>
        <w:rPr>
          <w:bCs/>
          <w:sz w:val="20"/>
        </w:rPr>
      </w:pPr>
    </w:p>
    <w:p w14:paraId="60E85E3D" w14:textId="77777777" w:rsidR="00496548" w:rsidRDefault="00496548" w:rsidP="008218DC">
      <w:pPr>
        <w:jc w:val="both"/>
        <w:rPr>
          <w:bCs/>
          <w:sz w:val="20"/>
        </w:rPr>
      </w:pPr>
    </w:p>
    <w:tbl>
      <w:tblPr>
        <w:tblStyle w:val="Grigliatabella"/>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5028"/>
      </w:tblGrid>
      <w:tr w:rsidR="00037A78" w:rsidRPr="00B94A2D" w14:paraId="6BDEF7F5" w14:textId="77777777" w:rsidTr="00C67880">
        <w:trPr>
          <w:trHeight w:val="487"/>
        </w:trPr>
        <w:tc>
          <w:tcPr>
            <w:tcW w:w="4818" w:type="dxa"/>
            <w:tcBorders>
              <w:bottom w:val="single" w:sz="2" w:space="0" w:color="D9D9D9" w:themeColor="background1" w:themeShade="D9"/>
            </w:tcBorders>
            <w:shd w:val="clear" w:color="auto" w:fill="auto"/>
          </w:tcPr>
          <w:p w14:paraId="07992D15" w14:textId="23672F36" w:rsidR="00037A78" w:rsidRPr="00E92A67" w:rsidRDefault="00037A78" w:rsidP="00724E95">
            <w:pPr>
              <w:pStyle w:val="xl23"/>
              <w:tabs>
                <w:tab w:val="left" w:pos="0"/>
              </w:tabs>
              <w:spacing w:before="0" w:beforeAutospacing="0" w:after="40" w:afterAutospacing="0"/>
              <w:jc w:val="both"/>
              <w:rPr>
                <w:rFonts w:ascii="Arial Narrow" w:hAnsi="Arial Narrow" w:cs="Arial"/>
                <w:caps/>
                <w:color w:val="808080"/>
                <w:sz w:val="20"/>
                <w:szCs w:val="20"/>
              </w:rPr>
            </w:pPr>
            <w:r w:rsidRPr="00E92A67">
              <w:rPr>
                <w:rFonts w:ascii="Arial Narrow" w:hAnsi="Arial Narrow" w:cs="Arial"/>
                <w:caps/>
                <w:color w:val="808080"/>
                <w:sz w:val="20"/>
                <w:szCs w:val="20"/>
              </w:rPr>
              <w:t xml:space="preserve">FIGURA </w:t>
            </w:r>
            <w:r w:rsidR="00724E95">
              <w:rPr>
                <w:rFonts w:ascii="Arial Narrow" w:hAnsi="Arial Narrow" w:cs="Arial"/>
                <w:caps/>
                <w:color w:val="808080"/>
                <w:sz w:val="20"/>
                <w:szCs w:val="20"/>
              </w:rPr>
              <w:t>9</w:t>
            </w:r>
            <w:r w:rsidRPr="003B283B">
              <w:rPr>
                <w:rFonts w:ascii="Arial Narrow" w:hAnsi="Arial Narrow" w:cs="Arial"/>
                <w:caps/>
                <w:color w:val="808080"/>
                <w:sz w:val="20"/>
                <w:szCs w:val="20"/>
              </w:rPr>
              <w:t xml:space="preserve">. </w:t>
            </w:r>
            <w:r w:rsidR="00AC6CDB">
              <w:rPr>
                <w:rFonts w:ascii="Arial Narrow" w:hAnsi="Arial Narrow" w:cs="Arial"/>
                <w:caps/>
                <w:color w:val="808080"/>
                <w:sz w:val="20"/>
                <w:szCs w:val="20"/>
              </w:rPr>
              <w:t xml:space="preserve">incidenti stradali </w:t>
            </w:r>
            <w:r w:rsidRPr="003B283B">
              <w:rPr>
                <w:rFonts w:ascii="Arial Narrow" w:hAnsi="Arial Narrow" w:cs="Arial"/>
                <w:caps/>
                <w:color w:val="808080"/>
                <w:sz w:val="20"/>
                <w:szCs w:val="20"/>
              </w:rPr>
              <w:t>per ora</w:t>
            </w:r>
            <w:r w:rsidR="004E1E78">
              <w:rPr>
                <w:rFonts w:ascii="Arial Narrow" w:hAnsi="Arial Narrow" w:cs="Arial"/>
                <w:caps/>
                <w:color w:val="808080"/>
                <w:sz w:val="20"/>
                <w:szCs w:val="20"/>
              </w:rPr>
              <w:t xml:space="preserve"> del giorno. </w:t>
            </w:r>
            <w:r w:rsidR="00E41408">
              <w:rPr>
                <w:rFonts w:ascii="Arial Narrow" w:eastAsia="Times New Roman" w:hAnsi="Arial Narrow" w:cs="Arial"/>
                <w:b w:val="0"/>
                <w:bCs w:val="0"/>
                <w:sz w:val="19"/>
                <w:szCs w:val="19"/>
              </w:rPr>
              <w:t xml:space="preserve"> </w:t>
            </w:r>
            <w:r w:rsidR="00E22711">
              <w:rPr>
                <w:rFonts w:ascii="Arial Narrow" w:eastAsia="Times New Roman" w:hAnsi="Arial Narrow" w:cs="Arial"/>
                <w:b w:val="0"/>
                <w:bCs w:val="0"/>
                <w:sz w:val="19"/>
                <w:szCs w:val="19"/>
              </w:rPr>
              <w:t>Anni 2019,</w:t>
            </w:r>
            <w:r w:rsidR="00E41408">
              <w:rPr>
                <w:rFonts w:ascii="Arial Narrow" w:eastAsia="Times New Roman" w:hAnsi="Arial Narrow" w:cs="Arial"/>
                <w:b w:val="0"/>
                <w:bCs w:val="0"/>
                <w:sz w:val="19"/>
                <w:szCs w:val="19"/>
              </w:rPr>
              <w:t xml:space="preserve"> </w:t>
            </w:r>
            <w:r w:rsidR="00DB3F4F">
              <w:rPr>
                <w:rFonts w:ascii="Arial Narrow" w:eastAsia="Times New Roman" w:hAnsi="Arial Narrow" w:cs="Arial"/>
                <w:b w:val="0"/>
                <w:bCs w:val="0"/>
                <w:sz w:val="19"/>
                <w:szCs w:val="19"/>
              </w:rPr>
              <w:t>2020</w:t>
            </w:r>
            <w:r w:rsidR="00E22711">
              <w:rPr>
                <w:rFonts w:ascii="Arial Narrow" w:eastAsia="Times New Roman" w:hAnsi="Arial Narrow" w:cs="Arial"/>
                <w:b w:val="0"/>
                <w:bCs w:val="0"/>
                <w:sz w:val="19"/>
                <w:szCs w:val="19"/>
              </w:rPr>
              <w:t xml:space="preserve"> e 2021</w:t>
            </w:r>
            <w:r w:rsidRPr="003B283B">
              <w:rPr>
                <w:rFonts w:ascii="Arial Narrow" w:hAnsi="Arial Narrow" w:cs="Arial"/>
                <w:caps/>
                <w:color w:val="808080"/>
                <w:sz w:val="20"/>
                <w:szCs w:val="20"/>
              </w:rPr>
              <w:t xml:space="preserve"> </w:t>
            </w:r>
            <w:r w:rsidR="00E4555E" w:rsidRPr="003B283B">
              <w:rPr>
                <w:rFonts w:ascii="Arial Narrow" w:hAnsi="Arial Narrow" w:cs="Arial"/>
                <w:b w:val="0"/>
                <w:sz w:val="19"/>
                <w:szCs w:val="19"/>
              </w:rPr>
              <w:t>v</w:t>
            </w:r>
            <w:r w:rsidRPr="003B283B">
              <w:rPr>
                <w:rFonts w:ascii="Arial Narrow" w:hAnsi="Arial Narrow" w:cs="Arial"/>
                <w:b w:val="0"/>
                <w:sz w:val="19"/>
                <w:szCs w:val="19"/>
              </w:rPr>
              <w:t>alori percentuali</w:t>
            </w:r>
            <w:r w:rsidR="004D0547" w:rsidRPr="003B283B">
              <w:rPr>
                <w:rFonts w:ascii="Arial Narrow" w:hAnsi="Arial Narrow" w:cs="Arial"/>
                <w:b w:val="0"/>
                <w:sz w:val="19"/>
                <w:szCs w:val="19"/>
              </w:rPr>
              <w:t xml:space="preserve"> (a)</w:t>
            </w:r>
          </w:p>
        </w:tc>
        <w:tc>
          <w:tcPr>
            <w:tcW w:w="5028" w:type="dxa"/>
            <w:tcBorders>
              <w:bottom w:val="single" w:sz="2" w:space="0" w:color="D9D9D9" w:themeColor="background1" w:themeShade="D9"/>
            </w:tcBorders>
          </w:tcPr>
          <w:p w14:paraId="1A633B19" w14:textId="587221E5" w:rsidR="00037A78" w:rsidRPr="00E92A67" w:rsidRDefault="00037A78" w:rsidP="00724E95">
            <w:pPr>
              <w:pStyle w:val="xl23"/>
              <w:tabs>
                <w:tab w:val="left" w:pos="0"/>
              </w:tabs>
              <w:spacing w:before="0" w:beforeAutospacing="0" w:after="40" w:afterAutospacing="0"/>
              <w:jc w:val="both"/>
              <w:rPr>
                <w:rFonts w:ascii="Arial Narrow" w:hAnsi="Arial Narrow" w:cs="Arial"/>
                <w:caps/>
                <w:color w:val="808080"/>
                <w:sz w:val="20"/>
                <w:szCs w:val="20"/>
              </w:rPr>
            </w:pPr>
            <w:r w:rsidRPr="003B283B">
              <w:rPr>
                <w:rFonts w:ascii="Arial Narrow" w:hAnsi="Arial Narrow" w:cs="Arial"/>
                <w:caps/>
                <w:color w:val="808080"/>
                <w:sz w:val="20"/>
                <w:szCs w:val="20"/>
              </w:rPr>
              <w:t xml:space="preserve">FIGURA </w:t>
            </w:r>
            <w:r w:rsidR="00724E95">
              <w:rPr>
                <w:rFonts w:ascii="Arial Narrow" w:hAnsi="Arial Narrow" w:cs="Arial"/>
                <w:caps/>
                <w:color w:val="808080"/>
                <w:sz w:val="20"/>
                <w:szCs w:val="20"/>
              </w:rPr>
              <w:t>10</w:t>
            </w:r>
            <w:r w:rsidRPr="003B283B">
              <w:rPr>
                <w:rFonts w:ascii="Arial Narrow" w:hAnsi="Arial Narrow" w:cs="Arial"/>
                <w:caps/>
                <w:color w:val="808080"/>
                <w:sz w:val="20"/>
                <w:szCs w:val="20"/>
              </w:rPr>
              <w:t xml:space="preserve">. Incidenti stradali per mese e periodo del giorno. </w:t>
            </w:r>
            <w:r w:rsidR="00AD1E40">
              <w:rPr>
                <w:rFonts w:ascii="Arial Narrow" w:eastAsia="Times New Roman" w:hAnsi="Arial Narrow" w:cs="Arial"/>
                <w:b w:val="0"/>
                <w:bCs w:val="0"/>
                <w:sz w:val="19"/>
                <w:szCs w:val="19"/>
              </w:rPr>
              <w:t>Anni 2021</w:t>
            </w:r>
            <w:r w:rsidR="00DB3F4F">
              <w:rPr>
                <w:rFonts w:ascii="Arial Narrow" w:eastAsia="Times New Roman" w:hAnsi="Arial Narrow" w:cs="Arial"/>
                <w:b w:val="0"/>
                <w:bCs w:val="0"/>
                <w:sz w:val="19"/>
                <w:szCs w:val="19"/>
              </w:rPr>
              <w:t xml:space="preserve"> e</w:t>
            </w:r>
            <w:r w:rsidR="00AD1E40">
              <w:rPr>
                <w:rFonts w:ascii="Arial Narrow" w:eastAsia="Times New Roman" w:hAnsi="Arial Narrow" w:cs="Arial"/>
                <w:b w:val="0"/>
                <w:bCs w:val="0"/>
                <w:sz w:val="19"/>
                <w:szCs w:val="19"/>
              </w:rPr>
              <w:t xml:space="preserve"> 2020</w:t>
            </w:r>
            <w:r w:rsidR="00E4555E" w:rsidRPr="003B283B">
              <w:rPr>
                <w:rFonts w:ascii="Arial Narrow" w:eastAsia="Times New Roman" w:hAnsi="Arial Narrow" w:cs="Arial"/>
                <w:b w:val="0"/>
                <w:bCs w:val="0"/>
                <w:sz w:val="19"/>
                <w:szCs w:val="19"/>
              </w:rPr>
              <w:t>,</w:t>
            </w:r>
            <w:r w:rsidRPr="003B283B">
              <w:rPr>
                <w:rFonts w:ascii="Arial Narrow" w:hAnsi="Arial Narrow" w:cs="Arial"/>
                <w:caps/>
                <w:color w:val="808080"/>
                <w:sz w:val="20"/>
                <w:szCs w:val="20"/>
              </w:rPr>
              <w:t xml:space="preserve"> </w:t>
            </w:r>
            <w:r w:rsidR="00E4555E" w:rsidRPr="003B283B">
              <w:rPr>
                <w:rFonts w:ascii="Arial Narrow" w:hAnsi="Arial Narrow" w:cs="Arial"/>
                <w:b w:val="0"/>
                <w:sz w:val="19"/>
                <w:szCs w:val="19"/>
              </w:rPr>
              <w:t>v</w:t>
            </w:r>
            <w:r w:rsidRPr="003B283B">
              <w:rPr>
                <w:rFonts w:ascii="Arial Narrow" w:hAnsi="Arial Narrow" w:cs="Arial"/>
                <w:b w:val="0"/>
                <w:sz w:val="19"/>
                <w:szCs w:val="19"/>
              </w:rPr>
              <w:t>alori percentuali</w:t>
            </w:r>
            <w:r w:rsidR="00C0559D" w:rsidRPr="003B283B">
              <w:rPr>
                <w:rFonts w:ascii="Arial Narrow" w:hAnsi="Arial Narrow" w:cs="Arial"/>
                <w:b w:val="0"/>
                <w:sz w:val="19"/>
                <w:szCs w:val="19"/>
              </w:rPr>
              <w:t xml:space="preserve"> (b)</w:t>
            </w:r>
          </w:p>
        </w:tc>
      </w:tr>
      <w:tr w:rsidR="004D0547" w14:paraId="6B8CF2A9" w14:textId="77777777" w:rsidTr="008C5D3F">
        <w:tblPrEx>
          <w:tblCellMar>
            <w:left w:w="70" w:type="dxa"/>
            <w:right w:w="70" w:type="dxa"/>
          </w:tblCellMar>
        </w:tblPrEx>
        <w:trPr>
          <w:trHeight w:val="3069"/>
        </w:trPr>
        <w:tc>
          <w:tcPr>
            <w:tcW w:w="481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63DB75F3" w14:textId="4436A29E" w:rsidR="004D0547" w:rsidRPr="00193B25" w:rsidRDefault="009A043A" w:rsidP="00AC6CDB">
            <w:pPr>
              <w:pStyle w:val="xl23"/>
              <w:tabs>
                <w:tab w:val="left" w:pos="0"/>
              </w:tabs>
              <w:spacing w:before="0" w:beforeAutospacing="0" w:after="0" w:afterAutospacing="0"/>
              <w:jc w:val="both"/>
              <w:rPr>
                <w:rFonts w:ascii="Arial Narrow" w:hAnsi="Arial Narrow" w:cs="Arial"/>
                <w:caps/>
                <w:color w:val="808080"/>
                <w:sz w:val="20"/>
                <w:szCs w:val="20"/>
              </w:rPr>
            </w:pPr>
            <w:r>
              <w:rPr>
                <w:noProof/>
              </w:rPr>
              <w:drawing>
                <wp:inline distT="0" distB="0" distL="0" distR="0" wp14:anchorId="29F9345A" wp14:editId="54BE5DA9">
                  <wp:extent cx="2914650" cy="1933575"/>
                  <wp:effectExtent l="0" t="0" r="0" b="0"/>
                  <wp:docPr id="13" name="Grafico 13">
                    <a:extLst xmlns:a="http://schemas.openxmlformats.org/drawingml/2006/main">
                      <a:ext uri="{FF2B5EF4-FFF2-40B4-BE49-F238E27FC236}">
                        <a16:creationId xmlns:a16="http://schemas.microsoft.com/office/drawing/2014/main" id="{00000000-0008-0000-0E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0431E">
              <w:rPr>
                <w:rFonts w:ascii="Arial Narrow" w:hAnsi="Arial Narrow" w:cs="Arial"/>
                <w:caps/>
                <w:color w:val="808080"/>
                <w:sz w:val="20"/>
                <w:szCs w:val="20"/>
              </w:rPr>
              <w:t xml:space="preserve">  </w:t>
            </w:r>
          </w:p>
        </w:tc>
        <w:tc>
          <w:tcPr>
            <w:tcW w:w="502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548E688" w14:textId="77777777" w:rsidR="004D0547" w:rsidRPr="00DE143C" w:rsidRDefault="004D0547" w:rsidP="00B64FE0">
            <w:pPr>
              <w:pStyle w:val="xl23"/>
              <w:tabs>
                <w:tab w:val="left" w:pos="0"/>
              </w:tabs>
              <w:spacing w:before="0" w:beforeAutospacing="0" w:after="0" w:afterAutospacing="0"/>
              <w:jc w:val="both"/>
              <w:rPr>
                <w:b w:val="0"/>
                <w:i/>
                <w:noProof/>
                <w:sz w:val="4"/>
                <w:szCs w:val="4"/>
              </w:rPr>
            </w:pPr>
          </w:p>
          <w:p w14:paraId="08C0E7E5" w14:textId="41D5B987" w:rsidR="004D0547" w:rsidRPr="00DE143C" w:rsidRDefault="00FE1548" w:rsidP="00777D45">
            <w:pPr>
              <w:pStyle w:val="xl23"/>
              <w:tabs>
                <w:tab w:val="left" w:pos="0"/>
              </w:tabs>
              <w:spacing w:before="0" w:beforeAutospacing="0" w:after="0" w:afterAutospacing="0"/>
              <w:jc w:val="both"/>
              <w:rPr>
                <w:rFonts w:ascii="Arial Narrow" w:hAnsi="Arial Narrow" w:cs="Arial"/>
                <w:i/>
                <w:caps/>
                <w:color w:val="808080"/>
                <w:sz w:val="20"/>
                <w:szCs w:val="20"/>
              </w:rPr>
            </w:pPr>
            <w:r>
              <w:rPr>
                <w:noProof/>
              </w:rPr>
              <w:drawing>
                <wp:inline distT="0" distB="0" distL="0" distR="0" wp14:anchorId="3F3B4CA8" wp14:editId="3CEFBD29">
                  <wp:extent cx="3103880" cy="1847850"/>
                  <wp:effectExtent l="0" t="0" r="127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19463F9F" w14:textId="77777777" w:rsidR="004D0547" w:rsidRPr="004D0547" w:rsidRDefault="004D0547" w:rsidP="00EE20E2">
      <w:pPr>
        <w:pStyle w:val="Paragrafoelenco"/>
        <w:numPr>
          <w:ilvl w:val="0"/>
          <w:numId w:val="11"/>
        </w:numPr>
        <w:spacing w:before="60"/>
        <w:ind w:left="284" w:hanging="284"/>
        <w:rPr>
          <w:rFonts w:ascii="Arial Narrow" w:hAnsi="Arial Narrow"/>
          <w:sz w:val="15"/>
          <w:szCs w:val="15"/>
        </w:rPr>
      </w:pPr>
      <w:r w:rsidRPr="004D0547">
        <w:rPr>
          <w:rFonts w:ascii="Arial Narrow" w:hAnsi="Arial Narrow"/>
          <w:sz w:val="15"/>
          <w:szCs w:val="15"/>
        </w:rPr>
        <w:t>Ora arrotondata (cfr. Nota metodologica).</w:t>
      </w:r>
      <w:r w:rsidR="00C0559D">
        <w:rPr>
          <w:rFonts w:ascii="Arial Narrow" w:hAnsi="Arial Narrow"/>
          <w:sz w:val="15"/>
          <w:szCs w:val="15"/>
        </w:rPr>
        <w:t xml:space="preserve"> (b) Periodo convenzionalmente definito notturno tra le ore 22,01 e le 6,00.</w:t>
      </w:r>
    </w:p>
    <w:p w14:paraId="370384EA" w14:textId="77777777" w:rsidR="00AD4377" w:rsidRDefault="00AD4377" w:rsidP="00AA3D8A">
      <w:pPr>
        <w:rPr>
          <w:b/>
          <w:sz w:val="22"/>
          <w:szCs w:val="22"/>
        </w:rPr>
      </w:pPr>
    </w:p>
    <w:p w14:paraId="1D0EC9CB" w14:textId="77777777" w:rsidR="0017733A" w:rsidRDefault="0017733A" w:rsidP="00AA3D8A">
      <w:pPr>
        <w:rPr>
          <w:b/>
          <w:sz w:val="22"/>
          <w:szCs w:val="22"/>
        </w:rPr>
      </w:pPr>
    </w:p>
    <w:p w14:paraId="5B6040D8" w14:textId="77777777" w:rsidR="00AE50EE" w:rsidRPr="003C135F" w:rsidRDefault="003C135F" w:rsidP="00F3598D">
      <w:pPr>
        <w:spacing w:after="120"/>
        <w:rPr>
          <w:b/>
          <w:noProof/>
        </w:rPr>
      </w:pPr>
      <w:r w:rsidRPr="003C135F">
        <w:rPr>
          <w:b/>
          <w:sz w:val="22"/>
          <w:szCs w:val="22"/>
        </w:rPr>
        <w:t>Incidenti, vittime e feriti ancora sotto i livelli pre-pandemia per tutti gli ambiti stradali</w:t>
      </w:r>
    </w:p>
    <w:p w14:paraId="1E1FCE6E" w14:textId="3A85E6D9" w:rsidR="003C7A87" w:rsidRDefault="009C18AF" w:rsidP="00313378">
      <w:pPr>
        <w:pStyle w:val="Testonotaapidipagina"/>
        <w:spacing w:after="120"/>
        <w:jc w:val="both"/>
        <w:rPr>
          <w:rFonts w:ascii="Arial" w:hAnsi="Arial" w:cs="Arial"/>
        </w:rPr>
      </w:pPr>
      <w:r w:rsidRPr="003C135F">
        <w:rPr>
          <w:rFonts w:ascii="Arial" w:hAnsi="Arial" w:cs="Arial"/>
        </w:rPr>
        <w:t>Gli incidenti stradali</w:t>
      </w:r>
      <w:r w:rsidR="00D72215">
        <w:rPr>
          <w:rFonts w:ascii="Arial" w:hAnsi="Arial" w:cs="Arial"/>
        </w:rPr>
        <w:t xml:space="preserve"> aumentano drasticamente</w:t>
      </w:r>
      <w:r w:rsidR="00BF3B9A" w:rsidRPr="003C135F">
        <w:rPr>
          <w:rFonts w:ascii="Arial" w:hAnsi="Arial" w:cs="Arial"/>
        </w:rPr>
        <w:t>,</w:t>
      </w:r>
      <w:r w:rsidR="00D72215">
        <w:rPr>
          <w:rFonts w:ascii="Arial" w:hAnsi="Arial" w:cs="Arial"/>
        </w:rPr>
        <w:t xml:space="preserve"> come atteso,</w:t>
      </w:r>
      <w:r w:rsidR="00BF3B9A" w:rsidRPr="003C135F">
        <w:rPr>
          <w:rFonts w:ascii="Arial" w:hAnsi="Arial" w:cs="Arial"/>
        </w:rPr>
        <w:t xml:space="preserve"> nel 20</w:t>
      </w:r>
      <w:r w:rsidR="00D72215">
        <w:rPr>
          <w:rFonts w:ascii="Arial" w:hAnsi="Arial" w:cs="Arial"/>
        </w:rPr>
        <w:t>21</w:t>
      </w:r>
      <w:r w:rsidR="00BF3B9A" w:rsidRPr="003C135F">
        <w:rPr>
          <w:rFonts w:ascii="Arial" w:hAnsi="Arial" w:cs="Arial"/>
        </w:rPr>
        <w:t>,</w:t>
      </w:r>
      <w:r w:rsidRPr="003C135F">
        <w:rPr>
          <w:rFonts w:ascii="Arial" w:hAnsi="Arial" w:cs="Arial"/>
        </w:rPr>
        <w:t xml:space="preserve"> </w:t>
      </w:r>
      <w:r w:rsidR="00FE2D0C" w:rsidRPr="003C135F">
        <w:rPr>
          <w:rFonts w:ascii="Arial" w:hAnsi="Arial" w:cs="Arial"/>
        </w:rPr>
        <w:t>su tutti gli ambiti stradali</w:t>
      </w:r>
      <w:r w:rsidR="00D72215">
        <w:rPr>
          <w:rFonts w:ascii="Arial" w:hAnsi="Arial" w:cs="Arial"/>
        </w:rPr>
        <w:t xml:space="preserve">, rispetto al 2020, ma rimangono ancora ben sotto i livelli </w:t>
      </w:r>
      <w:r w:rsidR="00496548">
        <w:rPr>
          <w:rFonts w:ascii="Arial" w:hAnsi="Arial" w:cs="Arial"/>
        </w:rPr>
        <w:t>pre-</w:t>
      </w:r>
      <w:r w:rsidR="00D72215">
        <w:rPr>
          <w:rFonts w:ascii="Arial" w:hAnsi="Arial" w:cs="Arial"/>
        </w:rPr>
        <w:t>pandemia</w:t>
      </w:r>
      <w:r w:rsidR="00FE2D0C" w:rsidRPr="003C135F">
        <w:rPr>
          <w:rFonts w:ascii="Arial" w:hAnsi="Arial" w:cs="Arial"/>
        </w:rPr>
        <w:t xml:space="preserve">. </w:t>
      </w:r>
      <w:r w:rsidR="003C7A87">
        <w:rPr>
          <w:rFonts w:ascii="Arial" w:hAnsi="Arial" w:cs="Arial"/>
        </w:rPr>
        <w:t>S</w:t>
      </w:r>
      <w:r w:rsidR="005D49B3" w:rsidRPr="003C135F">
        <w:rPr>
          <w:rFonts w:ascii="Arial" w:hAnsi="Arial" w:cs="Arial"/>
        </w:rPr>
        <w:t>u</w:t>
      </w:r>
      <w:r w:rsidR="00BF3B9A" w:rsidRPr="003C135F">
        <w:rPr>
          <w:rFonts w:ascii="Arial" w:hAnsi="Arial" w:cs="Arial"/>
        </w:rPr>
        <w:t>lle autostrade</w:t>
      </w:r>
      <w:r w:rsidR="00072BAF" w:rsidRPr="003C135F">
        <w:rPr>
          <w:rFonts w:ascii="Arial" w:hAnsi="Arial" w:cs="Arial"/>
        </w:rPr>
        <w:t xml:space="preserve"> </w:t>
      </w:r>
      <w:r w:rsidR="003C7A87">
        <w:rPr>
          <w:rFonts w:ascii="Arial" w:hAnsi="Arial" w:cs="Arial"/>
        </w:rPr>
        <w:t xml:space="preserve">si registra </w:t>
      </w:r>
      <w:r w:rsidR="00D72215">
        <w:rPr>
          <w:rFonts w:ascii="Arial" w:hAnsi="Arial" w:cs="Arial"/>
        </w:rPr>
        <w:t>+40,0</w:t>
      </w:r>
      <w:r w:rsidR="00BF3B9A" w:rsidRPr="003C135F">
        <w:rPr>
          <w:rFonts w:ascii="Arial" w:hAnsi="Arial" w:cs="Arial"/>
        </w:rPr>
        <w:t>%</w:t>
      </w:r>
      <w:r w:rsidR="003C7A87">
        <w:rPr>
          <w:rFonts w:ascii="Arial" w:hAnsi="Arial" w:cs="Arial"/>
        </w:rPr>
        <w:t xml:space="preserve"> per </w:t>
      </w:r>
      <w:r w:rsidR="00D72215">
        <w:rPr>
          <w:rFonts w:ascii="Arial" w:hAnsi="Arial" w:cs="Arial"/>
        </w:rPr>
        <w:t xml:space="preserve">gli incidenti e +26,2% </w:t>
      </w:r>
      <w:r w:rsidR="003C7A87">
        <w:rPr>
          <w:rFonts w:ascii="Arial" w:hAnsi="Arial" w:cs="Arial"/>
        </w:rPr>
        <w:t xml:space="preserve">per </w:t>
      </w:r>
      <w:r w:rsidR="00D72215">
        <w:rPr>
          <w:rFonts w:ascii="Arial" w:hAnsi="Arial" w:cs="Arial"/>
        </w:rPr>
        <w:t>le vittime</w:t>
      </w:r>
      <w:r w:rsidR="00964C03">
        <w:rPr>
          <w:rFonts w:ascii="Arial" w:hAnsi="Arial" w:cs="Arial"/>
        </w:rPr>
        <w:t>;</w:t>
      </w:r>
      <w:r w:rsidR="00D72215">
        <w:rPr>
          <w:rFonts w:ascii="Arial" w:hAnsi="Arial" w:cs="Arial"/>
        </w:rPr>
        <w:t xml:space="preserve"> sulle strade</w:t>
      </w:r>
      <w:r w:rsidR="00B17C40">
        <w:rPr>
          <w:rFonts w:ascii="Arial" w:hAnsi="Arial" w:cs="Arial"/>
        </w:rPr>
        <w:t xml:space="preserve"> urbane +28,0% e +19,1%</w:t>
      </w:r>
      <w:r w:rsidR="003C7A87">
        <w:rPr>
          <w:rFonts w:ascii="Arial" w:hAnsi="Arial" w:cs="Arial"/>
        </w:rPr>
        <w:t>, s</w:t>
      </w:r>
      <w:r w:rsidR="00B17C40">
        <w:rPr>
          <w:rFonts w:ascii="Arial" w:hAnsi="Arial" w:cs="Arial"/>
        </w:rPr>
        <w:t>ulle strade extraurbane</w:t>
      </w:r>
      <w:r w:rsidR="00964C03">
        <w:rPr>
          <w:rFonts w:ascii="Arial" w:hAnsi="Arial" w:cs="Arial"/>
        </w:rPr>
        <w:t xml:space="preserve"> </w:t>
      </w:r>
      <w:r w:rsidR="003C7A87">
        <w:rPr>
          <w:rFonts w:ascii="Arial" w:hAnsi="Arial" w:cs="Arial"/>
        </w:rPr>
        <w:t>+</w:t>
      </w:r>
      <w:r w:rsidR="00B17C40">
        <w:rPr>
          <w:rFonts w:ascii="Arial" w:hAnsi="Arial" w:cs="Arial"/>
        </w:rPr>
        <w:t xml:space="preserve">27,2% </w:t>
      </w:r>
      <w:r w:rsidR="00964C03">
        <w:rPr>
          <w:rFonts w:ascii="Arial" w:hAnsi="Arial" w:cs="Arial"/>
        </w:rPr>
        <w:t xml:space="preserve">per i sinistri e </w:t>
      </w:r>
      <w:r w:rsidR="003C7A87">
        <w:rPr>
          <w:rFonts w:ascii="Arial" w:hAnsi="Arial" w:cs="Arial"/>
        </w:rPr>
        <w:t>+</w:t>
      </w:r>
      <w:r w:rsidR="00B17C40">
        <w:rPr>
          <w:rFonts w:ascii="Arial" w:hAnsi="Arial" w:cs="Arial"/>
        </w:rPr>
        <w:t>19,8%</w:t>
      </w:r>
      <w:r w:rsidR="00D72215">
        <w:rPr>
          <w:rFonts w:ascii="Arial" w:hAnsi="Arial" w:cs="Arial"/>
        </w:rPr>
        <w:t xml:space="preserve"> </w:t>
      </w:r>
      <w:r w:rsidR="00964C03">
        <w:rPr>
          <w:rFonts w:ascii="Arial" w:hAnsi="Arial" w:cs="Arial"/>
        </w:rPr>
        <w:t xml:space="preserve">per </w:t>
      </w:r>
      <w:r w:rsidR="003C7A87">
        <w:rPr>
          <w:rFonts w:ascii="Arial" w:hAnsi="Arial" w:cs="Arial"/>
        </w:rPr>
        <w:t>i decessi</w:t>
      </w:r>
      <w:r w:rsidR="00B17C40">
        <w:rPr>
          <w:rFonts w:ascii="Arial" w:hAnsi="Arial" w:cs="Arial"/>
        </w:rPr>
        <w:t xml:space="preserve">. </w:t>
      </w:r>
    </w:p>
    <w:p w14:paraId="16A47EFB" w14:textId="49727193" w:rsidR="00BF3B9A" w:rsidRPr="003C135F" w:rsidRDefault="00B17C40" w:rsidP="00313378">
      <w:pPr>
        <w:pStyle w:val="Testonotaapidipagina"/>
        <w:spacing w:after="120"/>
        <w:jc w:val="both"/>
        <w:rPr>
          <w:rFonts w:ascii="Arial" w:hAnsi="Arial" w:cs="Arial"/>
        </w:rPr>
      </w:pPr>
      <w:r>
        <w:rPr>
          <w:rFonts w:ascii="Arial" w:hAnsi="Arial" w:cs="Arial"/>
        </w:rPr>
        <w:t>Nel confronto con il 2019,</w:t>
      </w:r>
      <w:r w:rsidR="00964C03">
        <w:rPr>
          <w:rFonts w:ascii="Arial" w:hAnsi="Arial" w:cs="Arial"/>
        </w:rPr>
        <w:t xml:space="preserve"> </w:t>
      </w:r>
      <w:r>
        <w:rPr>
          <w:rFonts w:ascii="Arial" w:hAnsi="Arial" w:cs="Arial"/>
        </w:rPr>
        <w:t>anno fissato com</w:t>
      </w:r>
      <w:r w:rsidRPr="00B17C40">
        <w:rPr>
          <w:rFonts w:ascii="Arial" w:hAnsi="Arial" w:cs="Arial"/>
        </w:rPr>
        <w:t>e</w:t>
      </w:r>
      <w:r w:rsidRPr="00B17C40">
        <w:rPr>
          <w:rFonts w:ascii="Arial" w:hAnsi="Arial" w:cs="Arial"/>
          <w:i/>
        </w:rPr>
        <w:t xml:space="preserve"> benchmark</w:t>
      </w:r>
      <w:r>
        <w:rPr>
          <w:rFonts w:ascii="Arial" w:hAnsi="Arial" w:cs="Arial"/>
        </w:rPr>
        <w:t xml:space="preserve"> per il decennio sulla sicurezza stradale 2021-2030, </w:t>
      </w:r>
      <w:r w:rsidR="003C7A87">
        <w:rPr>
          <w:rFonts w:ascii="Arial" w:hAnsi="Arial" w:cs="Arial"/>
        </w:rPr>
        <w:t>i</w:t>
      </w:r>
      <w:r w:rsidR="002B0091">
        <w:rPr>
          <w:rFonts w:ascii="Arial" w:hAnsi="Arial" w:cs="Arial"/>
        </w:rPr>
        <w:t xml:space="preserve"> </w:t>
      </w:r>
      <w:r w:rsidR="00302890">
        <w:rPr>
          <w:rFonts w:ascii="Arial" w:hAnsi="Arial" w:cs="Arial"/>
        </w:rPr>
        <w:t xml:space="preserve">valori </w:t>
      </w:r>
      <w:r w:rsidR="003C7A87">
        <w:rPr>
          <w:rFonts w:ascii="Arial" w:hAnsi="Arial" w:cs="Arial"/>
        </w:rPr>
        <w:t xml:space="preserve">sono </w:t>
      </w:r>
      <w:r>
        <w:rPr>
          <w:rFonts w:ascii="Arial" w:hAnsi="Arial" w:cs="Arial"/>
        </w:rPr>
        <w:t xml:space="preserve">ancora </w:t>
      </w:r>
      <w:r w:rsidR="00964C03">
        <w:rPr>
          <w:rFonts w:ascii="Arial" w:hAnsi="Arial" w:cs="Arial"/>
        </w:rPr>
        <w:t xml:space="preserve">tutti </w:t>
      </w:r>
      <w:r>
        <w:rPr>
          <w:rFonts w:ascii="Arial" w:hAnsi="Arial" w:cs="Arial"/>
        </w:rPr>
        <w:t>in diminuzione</w:t>
      </w:r>
      <w:r w:rsidR="003C7A87">
        <w:rPr>
          <w:rFonts w:ascii="Arial" w:hAnsi="Arial" w:cs="Arial"/>
        </w:rPr>
        <w:t>:</w:t>
      </w:r>
      <w:r>
        <w:rPr>
          <w:rFonts w:ascii="Arial" w:hAnsi="Arial" w:cs="Arial"/>
        </w:rPr>
        <w:t xml:space="preserve"> nel complesso -11,8% d</w:t>
      </w:r>
      <w:r w:rsidR="00964C03">
        <w:rPr>
          <w:rFonts w:ascii="Arial" w:hAnsi="Arial" w:cs="Arial"/>
        </w:rPr>
        <w:t>i incidenti e -9,4% di morti</w:t>
      </w:r>
      <w:r w:rsidR="003C7A87">
        <w:rPr>
          <w:rFonts w:ascii="Arial" w:hAnsi="Arial" w:cs="Arial"/>
        </w:rPr>
        <w:t xml:space="preserve"> ma si arriva a -15,9% e -20,6% sulle autostrade</w:t>
      </w:r>
      <w:r w:rsidR="00964C03">
        <w:rPr>
          <w:rFonts w:ascii="Arial" w:hAnsi="Arial" w:cs="Arial"/>
        </w:rPr>
        <w:t>.</w:t>
      </w:r>
      <w:r>
        <w:rPr>
          <w:rFonts w:ascii="Arial" w:hAnsi="Arial" w:cs="Arial"/>
        </w:rPr>
        <w:t xml:space="preserve"> </w:t>
      </w:r>
      <w:r w:rsidR="007163E4">
        <w:rPr>
          <w:rFonts w:ascii="Arial" w:hAnsi="Arial" w:cs="Arial"/>
        </w:rPr>
        <w:t>La distribuzione percentuale mostra c</w:t>
      </w:r>
      <w:r w:rsidR="003C7A87">
        <w:rPr>
          <w:rFonts w:ascii="Arial" w:hAnsi="Arial" w:cs="Arial"/>
        </w:rPr>
        <w:t>h</w:t>
      </w:r>
      <w:r w:rsidR="007163E4">
        <w:rPr>
          <w:rFonts w:ascii="Arial" w:hAnsi="Arial" w:cs="Arial"/>
        </w:rPr>
        <w:t>e gli incidenti avveng</w:t>
      </w:r>
      <w:r w:rsidR="003C7A87">
        <w:rPr>
          <w:rFonts w:ascii="Arial" w:hAnsi="Arial" w:cs="Arial"/>
        </w:rPr>
        <w:t>o</w:t>
      </w:r>
      <w:r w:rsidR="007163E4">
        <w:rPr>
          <w:rFonts w:ascii="Arial" w:hAnsi="Arial" w:cs="Arial"/>
        </w:rPr>
        <w:t>no con maggior frequenza sulle strade urbane (73,1%)</w:t>
      </w:r>
      <w:r w:rsidR="003C7A87">
        <w:rPr>
          <w:rFonts w:ascii="Arial" w:hAnsi="Arial" w:cs="Arial"/>
        </w:rPr>
        <w:t xml:space="preserve"> mentre il maggior numero di vittime si concentra </w:t>
      </w:r>
      <w:r w:rsidR="007163E4">
        <w:rPr>
          <w:rFonts w:ascii="Arial" w:hAnsi="Arial" w:cs="Arial"/>
        </w:rPr>
        <w:t>sulle strade extraurbane (47,5%). Sulle autostrade</w:t>
      </w:r>
      <w:r w:rsidR="003C7A87">
        <w:rPr>
          <w:rFonts w:ascii="Arial" w:hAnsi="Arial" w:cs="Arial"/>
        </w:rPr>
        <w:t xml:space="preserve"> si registrano</w:t>
      </w:r>
      <w:r w:rsidR="007163E4">
        <w:rPr>
          <w:rFonts w:ascii="Arial" w:hAnsi="Arial" w:cs="Arial"/>
        </w:rPr>
        <w:t xml:space="preserve"> il 5% degli incidenti e l’8,6% dei deceduti.</w:t>
      </w:r>
      <w:r>
        <w:rPr>
          <w:rFonts w:ascii="Arial" w:hAnsi="Arial" w:cs="Arial"/>
        </w:rPr>
        <w:t xml:space="preserve"> </w:t>
      </w:r>
      <w:r w:rsidR="00980EFC" w:rsidRPr="003C135F">
        <w:rPr>
          <w:rFonts w:ascii="Arial" w:hAnsi="Arial" w:cs="Arial"/>
        </w:rPr>
        <w:t>(Prospetto 4</w:t>
      </w:r>
      <w:r w:rsidR="00BF3B9A" w:rsidRPr="003C135F">
        <w:rPr>
          <w:rFonts w:ascii="Arial" w:hAnsi="Arial" w:cs="Arial"/>
        </w:rPr>
        <w:t xml:space="preserve"> e Figura </w:t>
      </w:r>
      <w:r w:rsidR="00724E95">
        <w:rPr>
          <w:rFonts w:ascii="Arial" w:hAnsi="Arial" w:cs="Arial"/>
        </w:rPr>
        <w:t>11</w:t>
      </w:r>
      <w:r w:rsidR="00BF3B9A" w:rsidRPr="003C135F">
        <w:rPr>
          <w:rFonts w:ascii="Arial" w:hAnsi="Arial" w:cs="Arial"/>
        </w:rPr>
        <w:t xml:space="preserve">). </w:t>
      </w:r>
    </w:p>
    <w:p w14:paraId="3FA814DD" w14:textId="3D0622BC" w:rsidR="00A54C6D" w:rsidRDefault="00D527EC" w:rsidP="00A54C6D">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ind w:right="-34" w:firstLine="0"/>
      </w:pPr>
      <w:r w:rsidRPr="003C135F">
        <w:t>L’indice di mortalità</w:t>
      </w:r>
      <w:r w:rsidR="005C5393" w:rsidRPr="003C135F">
        <w:t xml:space="preserve"> </w:t>
      </w:r>
      <w:r w:rsidR="003C7A87">
        <w:t>diminuisce</w:t>
      </w:r>
      <w:r w:rsidR="003C7A87" w:rsidRPr="003C135F">
        <w:t xml:space="preserve"> </w:t>
      </w:r>
      <w:r w:rsidR="003C7A87">
        <w:t>per</w:t>
      </w:r>
      <w:r w:rsidR="003C7A87" w:rsidRPr="003C135F">
        <w:t xml:space="preserve"> </w:t>
      </w:r>
      <w:r w:rsidR="005C5393" w:rsidRPr="003C135F">
        <w:t>tutti gli ambiti stradali</w:t>
      </w:r>
      <w:r w:rsidR="00647C5A">
        <w:t>. R</w:t>
      </w:r>
      <w:r w:rsidR="003C7A87">
        <w:t xml:space="preserve">esta </w:t>
      </w:r>
      <w:r w:rsidRPr="003C135F">
        <w:t>più elevato sulle strade extraurbane</w:t>
      </w:r>
      <w:r w:rsidR="006E7A00" w:rsidRPr="003C135F">
        <w:t>,</w:t>
      </w:r>
      <w:r w:rsidR="004754C3" w:rsidRPr="003C135F">
        <w:t xml:space="preserve"> </w:t>
      </w:r>
      <w:r w:rsidR="00647C5A">
        <w:t xml:space="preserve">con </w:t>
      </w:r>
      <w:r w:rsidRPr="003C135F">
        <w:t>4</w:t>
      </w:r>
      <w:r w:rsidR="00E23FD5" w:rsidRPr="003C135F">
        <w:t>,</w:t>
      </w:r>
      <w:r w:rsidR="00964C03">
        <w:t>1</w:t>
      </w:r>
      <w:r w:rsidR="00E23FD5" w:rsidRPr="003C135F">
        <w:t xml:space="preserve"> </w:t>
      </w:r>
      <w:r w:rsidRPr="003C135F">
        <w:t>decessi ogni 100 incidenti</w:t>
      </w:r>
      <w:r w:rsidR="006E7A00" w:rsidRPr="003C135F">
        <w:t>,</w:t>
      </w:r>
      <w:r w:rsidR="004754C3" w:rsidRPr="003C135F">
        <w:t xml:space="preserve"> </w:t>
      </w:r>
      <w:r w:rsidRPr="003C135F">
        <w:t xml:space="preserve">si attesta a </w:t>
      </w:r>
      <w:r w:rsidR="006E7A00" w:rsidRPr="003C135F">
        <w:t>3,</w:t>
      </w:r>
      <w:r w:rsidR="00964C03">
        <w:t>2</w:t>
      </w:r>
      <w:r w:rsidRPr="003C135F">
        <w:t xml:space="preserve"> sull</w:t>
      </w:r>
      <w:r w:rsidR="006E7A00" w:rsidRPr="003C135F">
        <w:t>e autostrade mentre è pari a 1,</w:t>
      </w:r>
      <w:r w:rsidR="00964C03">
        <w:t>1</w:t>
      </w:r>
      <w:r w:rsidR="00E23FD5" w:rsidRPr="003C135F">
        <w:t xml:space="preserve"> </w:t>
      </w:r>
      <w:r w:rsidRPr="003C135F">
        <w:t>sulle strade urbane</w:t>
      </w:r>
      <w:r w:rsidR="00CB1280" w:rsidRPr="003C135F">
        <w:t xml:space="preserve"> </w:t>
      </w:r>
      <w:r w:rsidR="003869D4" w:rsidRPr="003C135F">
        <w:t>(</w:t>
      </w:r>
      <w:r w:rsidR="00CB1280" w:rsidRPr="003C135F">
        <w:t xml:space="preserve">rispettivamente </w:t>
      </w:r>
      <w:r w:rsidR="006E7A00" w:rsidRPr="003C135F">
        <w:t>4,</w:t>
      </w:r>
      <w:r w:rsidR="00964C03">
        <w:t>4</w:t>
      </w:r>
      <w:r w:rsidR="003869D4" w:rsidRPr="003C135F">
        <w:t>;</w:t>
      </w:r>
      <w:r w:rsidR="00F65359" w:rsidRPr="003C135F">
        <w:t xml:space="preserve"> </w:t>
      </w:r>
      <w:r w:rsidR="006E7A00" w:rsidRPr="003C135F">
        <w:t>3,</w:t>
      </w:r>
      <w:r w:rsidR="00964C03">
        <w:t>6</w:t>
      </w:r>
      <w:r w:rsidR="00F65359" w:rsidRPr="003C135F">
        <w:t xml:space="preserve"> e 1,</w:t>
      </w:r>
      <w:r w:rsidR="00964C03">
        <w:t>2</w:t>
      </w:r>
      <w:r w:rsidR="00F65359" w:rsidRPr="003C135F">
        <w:t xml:space="preserve"> nel 20</w:t>
      </w:r>
      <w:r w:rsidR="00964C03">
        <w:t>20</w:t>
      </w:r>
      <w:r w:rsidR="003869D4" w:rsidRPr="003C135F">
        <w:t>)</w:t>
      </w:r>
      <w:r w:rsidR="00F65359" w:rsidRPr="003C135F">
        <w:t>.</w:t>
      </w:r>
      <w:r w:rsidRPr="003C135F">
        <w:t xml:space="preserve"> </w:t>
      </w:r>
      <w:r w:rsidR="00C9209D" w:rsidRPr="003C135F">
        <w:t>La media nazionale</w:t>
      </w:r>
      <w:r w:rsidR="00AB69F6" w:rsidRPr="003C135F">
        <w:t xml:space="preserve">, </w:t>
      </w:r>
      <w:r w:rsidR="003B748C" w:rsidRPr="003C135F">
        <w:t xml:space="preserve">praticamente invariata dal 2010 </w:t>
      </w:r>
      <w:r w:rsidR="00785B42" w:rsidRPr="003C135F">
        <w:t>salvo</w:t>
      </w:r>
      <w:r w:rsidR="003B748C" w:rsidRPr="003C135F">
        <w:t xml:space="preserve"> oscillazioni</w:t>
      </w:r>
      <w:r w:rsidR="00335B97" w:rsidRPr="003C135F">
        <w:t xml:space="preserve"> non significative</w:t>
      </w:r>
      <w:r w:rsidR="003B748C" w:rsidRPr="003C135F">
        <w:t>,</w:t>
      </w:r>
      <w:r w:rsidR="00C9209D" w:rsidRPr="003C135F">
        <w:t xml:space="preserve"> è </w:t>
      </w:r>
      <w:r w:rsidR="003B748C" w:rsidRPr="003C135F">
        <w:t>pari a</w:t>
      </w:r>
      <w:r w:rsidR="00C9209D" w:rsidRPr="003C135F">
        <w:t xml:space="preserve"> </w:t>
      </w:r>
      <w:r w:rsidR="00964C03">
        <w:t>1,9</w:t>
      </w:r>
      <w:r w:rsidR="003B748C" w:rsidRPr="003C135F">
        <w:t>.</w:t>
      </w:r>
      <w:r w:rsidR="003B748C" w:rsidDel="003B748C">
        <w:t xml:space="preserve"> </w:t>
      </w:r>
    </w:p>
    <w:p w14:paraId="2A8324A8" w14:textId="77777777" w:rsidR="00820461" w:rsidRDefault="00820461" w:rsidP="00A54C6D">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ind w:right="-34" w:firstLine="0"/>
      </w:pPr>
    </w:p>
    <w:p w14:paraId="2E35262C" w14:textId="77777777" w:rsidR="006B39FE" w:rsidRDefault="006B39FE" w:rsidP="00CA4594">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ind w:right="-34" w:firstLine="0"/>
        <w:rPr>
          <w:rFonts w:ascii="Arial Narrow" w:hAnsi="Arial Narrow"/>
          <w:b/>
          <w:caps/>
          <w:color w:val="808080"/>
        </w:rPr>
      </w:pPr>
    </w:p>
    <w:p w14:paraId="48062F30" w14:textId="77777777" w:rsidR="00CA4594" w:rsidRDefault="005F6F48" w:rsidP="00CA4594">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ind w:right="-34" w:firstLine="0"/>
        <w:rPr>
          <w:rFonts w:ascii="Arial Narrow" w:hAnsi="Arial Narrow"/>
          <w:b/>
          <w:caps/>
          <w:color w:val="808080"/>
        </w:rPr>
      </w:pPr>
      <w:r w:rsidRPr="007B6A23">
        <w:rPr>
          <w:rFonts w:ascii="Arial Narrow" w:hAnsi="Arial Narrow"/>
          <w:b/>
          <w:caps/>
          <w:color w:val="808080"/>
        </w:rPr>
        <w:t xml:space="preserve">Prospetto </w:t>
      </w:r>
      <w:r w:rsidR="0081434A" w:rsidRPr="007B6A23">
        <w:rPr>
          <w:rFonts w:ascii="Arial Narrow" w:hAnsi="Arial Narrow"/>
          <w:b/>
          <w:caps/>
          <w:color w:val="808080"/>
        </w:rPr>
        <w:t>4</w:t>
      </w:r>
      <w:r w:rsidR="00A80EF2" w:rsidRPr="007B6A23">
        <w:rPr>
          <w:rFonts w:ascii="Arial Narrow" w:hAnsi="Arial Narrow"/>
          <w:b/>
          <w:caps/>
          <w:color w:val="808080"/>
        </w:rPr>
        <w:t xml:space="preserve">. </w:t>
      </w:r>
      <w:r w:rsidR="009511D4" w:rsidRPr="007B6A23">
        <w:rPr>
          <w:rFonts w:ascii="Arial Narrow" w:hAnsi="Arial Narrow"/>
          <w:b/>
          <w:caps/>
          <w:color w:val="808080"/>
        </w:rPr>
        <w:t>I</w:t>
      </w:r>
      <w:r w:rsidR="0043727E" w:rsidRPr="007B6A23">
        <w:rPr>
          <w:rFonts w:ascii="Arial Narrow" w:hAnsi="Arial Narrow"/>
          <w:b/>
          <w:caps/>
          <w:color w:val="808080"/>
        </w:rPr>
        <w:t xml:space="preserve">ncidenti stradali con lesioni a persone </w:t>
      </w:r>
      <w:r w:rsidR="00ED1291" w:rsidRPr="007B6A23">
        <w:rPr>
          <w:rFonts w:ascii="Arial Narrow" w:hAnsi="Arial Narrow"/>
          <w:b/>
          <w:caps/>
          <w:color w:val="808080"/>
        </w:rPr>
        <w:t>secon</w:t>
      </w:r>
      <w:r w:rsidR="007E1E9C" w:rsidRPr="007B6A23">
        <w:rPr>
          <w:rFonts w:ascii="Arial Narrow" w:hAnsi="Arial Narrow"/>
          <w:b/>
          <w:caps/>
          <w:color w:val="808080"/>
        </w:rPr>
        <w:t xml:space="preserve">do </w:t>
      </w:r>
      <w:r w:rsidR="002A0E36" w:rsidRPr="007B6A23">
        <w:rPr>
          <w:rFonts w:ascii="Arial Narrow" w:hAnsi="Arial Narrow"/>
          <w:b/>
          <w:caps/>
          <w:color w:val="808080"/>
        </w:rPr>
        <w:t>la categoria della strada</w:t>
      </w:r>
      <w:r w:rsidR="00417C7C" w:rsidRPr="007B6A23">
        <w:rPr>
          <w:rFonts w:ascii="Arial Narrow" w:hAnsi="Arial Narrow"/>
          <w:b/>
          <w:caps/>
          <w:color w:val="808080"/>
        </w:rPr>
        <w:t xml:space="preserve">. </w:t>
      </w:r>
    </w:p>
    <w:p w14:paraId="304D3009" w14:textId="77777777" w:rsidR="00560F6F" w:rsidRPr="00A9541D" w:rsidRDefault="007E1E9C" w:rsidP="00567C85">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spacing w:after="120"/>
        <w:ind w:right="-34" w:firstLine="0"/>
        <w:rPr>
          <w:rFonts w:ascii="Arial Narrow" w:hAnsi="Arial Narrow"/>
          <w:sz w:val="19"/>
          <w:szCs w:val="19"/>
        </w:rPr>
      </w:pPr>
      <w:r w:rsidRPr="007B6A23">
        <w:rPr>
          <w:rFonts w:ascii="Arial Narrow" w:hAnsi="Arial Narrow"/>
          <w:sz w:val="19"/>
          <w:szCs w:val="19"/>
        </w:rPr>
        <w:t>Ann</w:t>
      </w:r>
      <w:r w:rsidR="00AA7710" w:rsidRPr="007B6A23">
        <w:rPr>
          <w:rFonts w:ascii="Arial Narrow" w:hAnsi="Arial Narrow"/>
          <w:sz w:val="19"/>
          <w:szCs w:val="19"/>
        </w:rPr>
        <w:t>i</w:t>
      </w:r>
      <w:r w:rsidRPr="007B6A23">
        <w:rPr>
          <w:rFonts w:ascii="Arial Narrow" w:hAnsi="Arial Narrow"/>
          <w:sz w:val="19"/>
          <w:szCs w:val="19"/>
        </w:rPr>
        <w:t xml:space="preserve"> </w:t>
      </w:r>
      <w:r w:rsidR="001F3926">
        <w:rPr>
          <w:rFonts w:ascii="Arial Narrow" w:hAnsi="Arial Narrow"/>
          <w:sz w:val="19"/>
          <w:szCs w:val="19"/>
        </w:rPr>
        <w:t>2021</w:t>
      </w:r>
      <w:r w:rsidR="0078775F" w:rsidRPr="007B6A23">
        <w:rPr>
          <w:rFonts w:ascii="Arial Narrow" w:hAnsi="Arial Narrow"/>
          <w:sz w:val="19"/>
          <w:szCs w:val="19"/>
        </w:rPr>
        <w:t>,</w:t>
      </w:r>
      <w:r w:rsidR="001F3926">
        <w:rPr>
          <w:rFonts w:ascii="Arial Narrow" w:hAnsi="Arial Narrow"/>
          <w:sz w:val="19"/>
          <w:szCs w:val="19"/>
        </w:rPr>
        <w:t xml:space="preserve"> 2020 e</w:t>
      </w:r>
      <w:r w:rsidR="0078775F" w:rsidRPr="007B6A23">
        <w:rPr>
          <w:rFonts w:ascii="Arial Narrow" w:hAnsi="Arial Narrow"/>
          <w:sz w:val="19"/>
          <w:szCs w:val="19"/>
        </w:rPr>
        <w:t xml:space="preserve"> </w:t>
      </w:r>
      <w:r w:rsidRPr="007B6A23">
        <w:rPr>
          <w:rFonts w:ascii="Arial Narrow" w:hAnsi="Arial Narrow"/>
          <w:sz w:val="19"/>
          <w:szCs w:val="19"/>
        </w:rPr>
        <w:t>20</w:t>
      </w:r>
      <w:r w:rsidR="006E645F" w:rsidRPr="007B6A23">
        <w:rPr>
          <w:rFonts w:ascii="Arial Narrow" w:hAnsi="Arial Narrow"/>
          <w:sz w:val="19"/>
          <w:szCs w:val="19"/>
        </w:rPr>
        <w:t>1</w:t>
      </w:r>
      <w:r w:rsidR="007B6A23" w:rsidRPr="007B6A23">
        <w:rPr>
          <w:rFonts w:ascii="Arial Narrow" w:hAnsi="Arial Narrow"/>
          <w:sz w:val="19"/>
          <w:szCs w:val="19"/>
        </w:rPr>
        <w:t>9</w:t>
      </w:r>
      <w:r w:rsidR="00E4555E" w:rsidRPr="007B6A23">
        <w:rPr>
          <w:rFonts w:ascii="Arial Narrow" w:hAnsi="Arial Narrow"/>
          <w:sz w:val="19"/>
          <w:szCs w:val="19"/>
        </w:rPr>
        <w:t>,</w:t>
      </w:r>
      <w:r w:rsidR="007E456D" w:rsidRPr="007B6A23">
        <w:rPr>
          <w:rFonts w:ascii="Arial Narrow" w:hAnsi="Arial Narrow"/>
          <w:sz w:val="19"/>
          <w:szCs w:val="19"/>
        </w:rPr>
        <w:t xml:space="preserve"> </w:t>
      </w:r>
      <w:r w:rsidR="00E4555E" w:rsidRPr="007B6A23">
        <w:rPr>
          <w:rFonts w:ascii="Arial Narrow" w:hAnsi="Arial Narrow"/>
          <w:sz w:val="19"/>
          <w:szCs w:val="19"/>
        </w:rPr>
        <w:t>v</w:t>
      </w:r>
      <w:r w:rsidR="00B3048F" w:rsidRPr="007B6A23">
        <w:rPr>
          <w:rFonts w:ascii="Arial Narrow" w:hAnsi="Arial Narrow"/>
          <w:iCs/>
          <w:sz w:val="19"/>
          <w:szCs w:val="19"/>
        </w:rPr>
        <w:t>alori</w:t>
      </w:r>
      <w:r w:rsidR="00B3048F" w:rsidRPr="007B6A23">
        <w:rPr>
          <w:rFonts w:ascii="Arial Narrow" w:hAnsi="Arial Narrow"/>
          <w:sz w:val="19"/>
          <w:szCs w:val="19"/>
        </w:rPr>
        <w:t xml:space="preserve"> assoluti</w:t>
      </w:r>
      <w:r w:rsidR="00AF4DC3" w:rsidRPr="007B6A23">
        <w:rPr>
          <w:rFonts w:ascii="Arial Narrow" w:hAnsi="Arial Narrow"/>
          <w:sz w:val="19"/>
          <w:szCs w:val="19"/>
        </w:rPr>
        <w:t xml:space="preserve"> </w:t>
      </w:r>
      <w:r w:rsidR="00813EED" w:rsidRPr="007B6A23">
        <w:rPr>
          <w:rFonts w:ascii="Arial Narrow" w:hAnsi="Arial Narrow"/>
          <w:sz w:val="19"/>
          <w:szCs w:val="19"/>
        </w:rPr>
        <w:t xml:space="preserve">e </w:t>
      </w:r>
      <w:r w:rsidR="00AF4DC3" w:rsidRPr="007B6A23">
        <w:rPr>
          <w:rFonts w:ascii="Arial Narrow" w:hAnsi="Arial Narrow"/>
          <w:sz w:val="19"/>
          <w:szCs w:val="19"/>
        </w:rPr>
        <w:t>variazion</w:t>
      </w:r>
      <w:r w:rsidR="00813EED" w:rsidRPr="007B6A23">
        <w:rPr>
          <w:rFonts w:ascii="Arial Narrow" w:hAnsi="Arial Narrow"/>
          <w:sz w:val="19"/>
          <w:szCs w:val="19"/>
        </w:rPr>
        <w:t>i</w:t>
      </w:r>
      <w:r w:rsidR="00AF4DC3" w:rsidRPr="007B6A23">
        <w:rPr>
          <w:rFonts w:ascii="Arial Narrow" w:hAnsi="Arial Narrow"/>
          <w:sz w:val="19"/>
          <w:szCs w:val="19"/>
        </w:rPr>
        <w:t xml:space="preserve"> percentual</w:t>
      </w:r>
      <w:r w:rsidR="00813EED" w:rsidRPr="007B6A23">
        <w:rPr>
          <w:rFonts w:ascii="Arial Narrow" w:hAnsi="Arial Narrow"/>
          <w:sz w:val="19"/>
          <w:szCs w:val="19"/>
        </w:rPr>
        <w:t>i</w:t>
      </w:r>
      <w:r w:rsidR="007B6A23" w:rsidRPr="007B6A23">
        <w:rPr>
          <w:rFonts w:ascii="Arial Narrow" w:hAnsi="Arial Narrow"/>
          <w:sz w:val="19"/>
          <w:szCs w:val="19"/>
        </w:rPr>
        <w:t xml:space="preserve"> 202</w:t>
      </w:r>
      <w:r w:rsidR="001F3926">
        <w:rPr>
          <w:rFonts w:ascii="Arial Narrow" w:hAnsi="Arial Narrow"/>
          <w:sz w:val="19"/>
          <w:szCs w:val="19"/>
        </w:rPr>
        <w:t>1/2020 e 2021/201</w:t>
      </w:r>
      <w:r w:rsidR="007B6A23" w:rsidRPr="007B6A23">
        <w:rPr>
          <w:rFonts w:ascii="Arial Narrow" w:hAnsi="Arial Narrow"/>
          <w:sz w:val="19"/>
          <w:szCs w:val="19"/>
        </w:rPr>
        <w:t>9</w:t>
      </w:r>
    </w:p>
    <w:tbl>
      <w:tblPr>
        <w:tblW w:w="9869"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03"/>
        <w:gridCol w:w="661"/>
        <w:gridCol w:w="661"/>
        <w:gridCol w:w="743"/>
        <w:gridCol w:w="515"/>
        <w:gridCol w:w="515"/>
        <w:gridCol w:w="515"/>
        <w:gridCol w:w="684"/>
        <w:gridCol w:w="679"/>
        <w:gridCol w:w="679"/>
        <w:gridCol w:w="653"/>
        <w:gridCol w:w="654"/>
        <w:gridCol w:w="653"/>
        <w:gridCol w:w="654"/>
      </w:tblGrid>
      <w:tr w:rsidR="00FA52FE" w14:paraId="20E7FFE2" w14:textId="77777777" w:rsidTr="00FA52FE">
        <w:trPr>
          <w:trHeight w:val="255"/>
        </w:trPr>
        <w:tc>
          <w:tcPr>
            <w:tcW w:w="1603" w:type="dxa"/>
            <w:vAlign w:val="center"/>
          </w:tcPr>
          <w:p w14:paraId="1C389CD1" w14:textId="77777777" w:rsidR="00FA52FE" w:rsidRPr="002B4CA3" w:rsidRDefault="00FA52FE" w:rsidP="00F76C09">
            <w:pPr>
              <w:spacing w:before="40" w:after="20"/>
              <w:rPr>
                <w:rFonts w:ascii="Arial Narrow" w:hAnsi="Arial Narrow"/>
                <w:b/>
                <w:sz w:val="18"/>
                <w:szCs w:val="18"/>
              </w:rPr>
            </w:pPr>
            <w:r>
              <w:rPr>
                <w:rFonts w:ascii="Arial Narrow" w:hAnsi="Arial Narrow"/>
                <w:b/>
                <w:sz w:val="18"/>
                <w:szCs w:val="18"/>
              </w:rPr>
              <w:t>CATEGORIA DELLA STRADA</w:t>
            </w:r>
          </w:p>
        </w:tc>
        <w:tc>
          <w:tcPr>
            <w:tcW w:w="661" w:type="dxa"/>
            <w:shd w:val="clear" w:color="auto" w:fill="auto"/>
            <w:vAlign w:val="center"/>
          </w:tcPr>
          <w:p w14:paraId="42E4C5B5"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Incidenti</w:t>
            </w:r>
          </w:p>
          <w:p w14:paraId="5D818B0B"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2021</w:t>
            </w:r>
          </w:p>
        </w:tc>
        <w:tc>
          <w:tcPr>
            <w:tcW w:w="661" w:type="dxa"/>
            <w:shd w:val="clear" w:color="auto" w:fill="D9D9D9" w:themeFill="background1" w:themeFillShade="D9"/>
            <w:vAlign w:val="center"/>
          </w:tcPr>
          <w:p w14:paraId="4DBFFA1D"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Incidenti</w:t>
            </w:r>
          </w:p>
          <w:p w14:paraId="58EB118F"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2020</w:t>
            </w:r>
          </w:p>
        </w:tc>
        <w:tc>
          <w:tcPr>
            <w:tcW w:w="743" w:type="dxa"/>
            <w:shd w:val="clear" w:color="auto" w:fill="auto"/>
            <w:vAlign w:val="center"/>
          </w:tcPr>
          <w:p w14:paraId="4D0D91C9"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Incidenti</w:t>
            </w:r>
          </w:p>
          <w:p w14:paraId="1C9EA902"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2019</w:t>
            </w:r>
          </w:p>
        </w:tc>
        <w:tc>
          <w:tcPr>
            <w:tcW w:w="515" w:type="dxa"/>
            <w:shd w:val="clear" w:color="auto" w:fill="D9D9D9" w:themeFill="background1" w:themeFillShade="D9"/>
            <w:vAlign w:val="center"/>
          </w:tcPr>
          <w:p w14:paraId="0DC6752A" w14:textId="77777777" w:rsidR="00FA52FE" w:rsidRDefault="00FA52FE" w:rsidP="00F76C09">
            <w:pPr>
              <w:spacing w:before="40" w:after="20"/>
              <w:jc w:val="center"/>
              <w:rPr>
                <w:rFonts w:ascii="Arial Narrow" w:hAnsi="Arial Narrow"/>
                <w:b/>
                <w:sz w:val="18"/>
                <w:szCs w:val="18"/>
              </w:rPr>
            </w:pPr>
            <w:r>
              <w:rPr>
                <w:rFonts w:ascii="Arial Narrow" w:hAnsi="Arial Narrow"/>
                <w:b/>
                <w:sz w:val="18"/>
                <w:szCs w:val="18"/>
              </w:rPr>
              <w:t>Morti</w:t>
            </w:r>
          </w:p>
          <w:p w14:paraId="11899205"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2021</w:t>
            </w:r>
          </w:p>
        </w:tc>
        <w:tc>
          <w:tcPr>
            <w:tcW w:w="515" w:type="dxa"/>
            <w:tcBorders>
              <w:bottom w:val="single" w:sz="4" w:space="0" w:color="auto"/>
            </w:tcBorders>
            <w:shd w:val="clear" w:color="auto" w:fill="auto"/>
            <w:vAlign w:val="center"/>
          </w:tcPr>
          <w:p w14:paraId="65B38169"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Morti</w:t>
            </w:r>
          </w:p>
          <w:p w14:paraId="327890CE"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2020</w:t>
            </w:r>
          </w:p>
        </w:tc>
        <w:tc>
          <w:tcPr>
            <w:tcW w:w="515" w:type="dxa"/>
            <w:tcBorders>
              <w:bottom w:val="single" w:sz="4" w:space="0" w:color="auto"/>
            </w:tcBorders>
            <w:shd w:val="clear" w:color="auto" w:fill="D9D9D9" w:themeFill="background1" w:themeFillShade="D9"/>
            <w:vAlign w:val="center"/>
          </w:tcPr>
          <w:p w14:paraId="56580BBF"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Morti</w:t>
            </w:r>
          </w:p>
          <w:p w14:paraId="0AC78139"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2019</w:t>
            </w:r>
          </w:p>
        </w:tc>
        <w:tc>
          <w:tcPr>
            <w:tcW w:w="684" w:type="dxa"/>
            <w:tcBorders>
              <w:bottom w:val="single" w:sz="4" w:space="0" w:color="auto"/>
            </w:tcBorders>
            <w:shd w:val="clear" w:color="auto" w:fill="auto"/>
            <w:vAlign w:val="center"/>
          </w:tcPr>
          <w:p w14:paraId="22B50B3A"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Feriti</w:t>
            </w:r>
          </w:p>
          <w:p w14:paraId="167C674C"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2021</w:t>
            </w:r>
          </w:p>
        </w:tc>
        <w:tc>
          <w:tcPr>
            <w:tcW w:w="679" w:type="dxa"/>
            <w:tcBorders>
              <w:bottom w:val="single" w:sz="4" w:space="0" w:color="auto"/>
            </w:tcBorders>
            <w:shd w:val="clear" w:color="auto" w:fill="D9D9D9" w:themeFill="background1" w:themeFillShade="D9"/>
            <w:vAlign w:val="center"/>
          </w:tcPr>
          <w:p w14:paraId="3D937D11"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Feriti</w:t>
            </w:r>
          </w:p>
          <w:p w14:paraId="5E31C054"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2020</w:t>
            </w:r>
          </w:p>
        </w:tc>
        <w:tc>
          <w:tcPr>
            <w:tcW w:w="679" w:type="dxa"/>
            <w:tcBorders>
              <w:bottom w:val="single" w:sz="4" w:space="0" w:color="auto"/>
            </w:tcBorders>
            <w:shd w:val="clear" w:color="auto" w:fill="auto"/>
            <w:vAlign w:val="center"/>
          </w:tcPr>
          <w:p w14:paraId="35AC3779" w14:textId="77777777" w:rsidR="00FA52FE" w:rsidRDefault="00FA52FE" w:rsidP="00F76C09">
            <w:pPr>
              <w:spacing w:before="40" w:after="20"/>
              <w:jc w:val="center"/>
              <w:rPr>
                <w:rFonts w:ascii="Arial Narrow" w:hAnsi="Arial Narrow"/>
                <w:b/>
                <w:sz w:val="18"/>
                <w:szCs w:val="18"/>
              </w:rPr>
            </w:pPr>
            <w:r w:rsidRPr="002B4CA3">
              <w:rPr>
                <w:rFonts w:ascii="Arial Narrow" w:hAnsi="Arial Narrow"/>
                <w:b/>
                <w:sz w:val="18"/>
                <w:szCs w:val="18"/>
              </w:rPr>
              <w:t>Feriti</w:t>
            </w:r>
          </w:p>
          <w:p w14:paraId="2AD8F872"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2019</w:t>
            </w:r>
          </w:p>
        </w:tc>
        <w:tc>
          <w:tcPr>
            <w:tcW w:w="653" w:type="dxa"/>
            <w:tcBorders>
              <w:bottom w:val="single" w:sz="4" w:space="0" w:color="auto"/>
            </w:tcBorders>
            <w:shd w:val="clear" w:color="auto" w:fill="auto"/>
            <w:vAlign w:val="center"/>
          </w:tcPr>
          <w:p w14:paraId="60BFFEEF" w14:textId="77777777" w:rsidR="00FA52FE" w:rsidRPr="002B4CA3" w:rsidRDefault="00FA52FE" w:rsidP="00F76C09">
            <w:pPr>
              <w:spacing w:before="40" w:after="20"/>
              <w:jc w:val="center"/>
              <w:rPr>
                <w:rFonts w:ascii="Arial Narrow" w:hAnsi="Arial Narrow"/>
                <w:b/>
                <w:sz w:val="18"/>
                <w:szCs w:val="18"/>
              </w:rPr>
            </w:pPr>
            <w:r>
              <w:rPr>
                <w:rFonts w:ascii="Arial Narrow" w:hAnsi="Arial Narrow"/>
                <w:b/>
                <w:sz w:val="18"/>
                <w:szCs w:val="18"/>
              </w:rPr>
              <w:t>Var.%</w:t>
            </w:r>
            <w:r w:rsidRPr="002B4CA3">
              <w:rPr>
                <w:rFonts w:ascii="Arial Narrow" w:hAnsi="Arial Narrow"/>
                <w:b/>
                <w:sz w:val="18"/>
                <w:szCs w:val="18"/>
              </w:rPr>
              <w:t xml:space="preserve"> </w:t>
            </w:r>
            <w:r>
              <w:rPr>
                <w:rFonts w:ascii="Arial Narrow" w:hAnsi="Arial Narrow"/>
                <w:b/>
                <w:sz w:val="18"/>
                <w:szCs w:val="18"/>
              </w:rPr>
              <w:t>i</w:t>
            </w:r>
            <w:r w:rsidRPr="002B4CA3">
              <w:rPr>
                <w:rFonts w:ascii="Arial Narrow" w:hAnsi="Arial Narrow"/>
                <w:b/>
                <w:sz w:val="18"/>
                <w:szCs w:val="18"/>
              </w:rPr>
              <w:t xml:space="preserve">ncidenti </w:t>
            </w:r>
            <w:r>
              <w:rPr>
                <w:rFonts w:ascii="Arial Narrow" w:hAnsi="Arial Narrow"/>
                <w:b/>
                <w:sz w:val="16"/>
                <w:szCs w:val="16"/>
              </w:rPr>
              <w:t>2021</w:t>
            </w:r>
            <w:r w:rsidRPr="00E87115">
              <w:rPr>
                <w:rFonts w:ascii="Arial Narrow" w:hAnsi="Arial Narrow"/>
                <w:b/>
                <w:sz w:val="16"/>
                <w:szCs w:val="16"/>
              </w:rPr>
              <w:t>/20</w:t>
            </w:r>
            <w:r>
              <w:rPr>
                <w:rFonts w:ascii="Arial Narrow" w:hAnsi="Arial Narrow"/>
                <w:b/>
                <w:sz w:val="16"/>
                <w:szCs w:val="16"/>
              </w:rPr>
              <w:t>20</w:t>
            </w:r>
          </w:p>
        </w:tc>
        <w:tc>
          <w:tcPr>
            <w:tcW w:w="654" w:type="dxa"/>
            <w:tcBorders>
              <w:bottom w:val="single" w:sz="4" w:space="0" w:color="auto"/>
            </w:tcBorders>
            <w:shd w:val="clear" w:color="auto" w:fill="D9D9D9" w:themeFill="background1" w:themeFillShade="D9"/>
            <w:vAlign w:val="center"/>
          </w:tcPr>
          <w:p w14:paraId="40A408A4" w14:textId="77777777" w:rsidR="00FA52FE" w:rsidRDefault="00FA52FE" w:rsidP="00F76C09">
            <w:pPr>
              <w:spacing w:before="40" w:after="20"/>
              <w:jc w:val="center"/>
              <w:rPr>
                <w:rFonts w:ascii="Arial Narrow" w:hAnsi="Arial Narrow"/>
                <w:b/>
                <w:sz w:val="18"/>
                <w:szCs w:val="18"/>
              </w:rPr>
            </w:pPr>
            <w:r>
              <w:rPr>
                <w:rFonts w:ascii="Arial Narrow" w:hAnsi="Arial Narrow"/>
                <w:b/>
                <w:sz w:val="18"/>
                <w:szCs w:val="18"/>
              </w:rPr>
              <w:t>Var.%</w:t>
            </w:r>
            <w:r w:rsidRPr="002B4CA3">
              <w:rPr>
                <w:rFonts w:ascii="Arial Narrow" w:hAnsi="Arial Narrow"/>
                <w:b/>
                <w:sz w:val="18"/>
                <w:szCs w:val="18"/>
              </w:rPr>
              <w:t xml:space="preserve"> </w:t>
            </w:r>
            <w:r>
              <w:rPr>
                <w:rFonts w:ascii="Arial Narrow" w:hAnsi="Arial Narrow"/>
                <w:b/>
                <w:sz w:val="18"/>
                <w:szCs w:val="18"/>
              </w:rPr>
              <w:t>morti</w:t>
            </w:r>
            <w:r w:rsidRPr="002B4CA3">
              <w:rPr>
                <w:rFonts w:ascii="Arial Narrow" w:hAnsi="Arial Narrow"/>
                <w:b/>
                <w:sz w:val="18"/>
                <w:szCs w:val="18"/>
              </w:rPr>
              <w:t xml:space="preserve"> </w:t>
            </w:r>
            <w:r>
              <w:rPr>
                <w:rFonts w:ascii="Arial Narrow" w:hAnsi="Arial Narrow"/>
                <w:b/>
                <w:sz w:val="16"/>
                <w:szCs w:val="16"/>
              </w:rPr>
              <w:t>2021</w:t>
            </w:r>
            <w:r w:rsidRPr="00E87115">
              <w:rPr>
                <w:rFonts w:ascii="Arial Narrow" w:hAnsi="Arial Narrow"/>
                <w:b/>
                <w:sz w:val="16"/>
                <w:szCs w:val="16"/>
              </w:rPr>
              <w:t>/20</w:t>
            </w:r>
            <w:r>
              <w:rPr>
                <w:rFonts w:ascii="Arial Narrow" w:hAnsi="Arial Narrow"/>
                <w:b/>
                <w:sz w:val="16"/>
                <w:szCs w:val="16"/>
              </w:rPr>
              <w:t>20</w:t>
            </w:r>
          </w:p>
        </w:tc>
        <w:tc>
          <w:tcPr>
            <w:tcW w:w="653" w:type="dxa"/>
            <w:tcBorders>
              <w:bottom w:val="single" w:sz="4" w:space="0" w:color="auto"/>
            </w:tcBorders>
            <w:vAlign w:val="center"/>
          </w:tcPr>
          <w:p w14:paraId="6FEC520B" w14:textId="77777777" w:rsidR="00FA52FE" w:rsidRDefault="00FA52FE" w:rsidP="00F76C09">
            <w:pPr>
              <w:spacing w:before="40" w:after="20"/>
              <w:jc w:val="center"/>
              <w:rPr>
                <w:rFonts w:ascii="Arial Narrow" w:hAnsi="Arial Narrow"/>
                <w:b/>
                <w:sz w:val="18"/>
                <w:szCs w:val="18"/>
              </w:rPr>
            </w:pPr>
            <w:r>
              <w:rPr>
                <w:rFonts w:ascii="Arial Narrow" w:hAnsi="Arial Narrow"/>
                <w:b/>
                <w:sz w:val="18"/>
                <w:szCs w:val="18"/>
              </w:rPr>
              <w:t>Var.%</w:t>
            </w:r>
            <w:r w:rsidRPr="002B4CA3">
              <w:rPr>
                <w:rFonts w:ascii="Arial Narrow" w:hAnsi="Arial Narrow"/>
                <w:b/>
                <w:sz w:val="18"/>
                <w:szCs w:val="18"/>
              </w:rPr>
              <w:t xml:space="preserve"> </w:t>
            </w:r>
            <w:r>
              <w:rPr>
                <w:rFonts w:ascii="Arial Narrow" w:hAnsi="Arial Narrow"/>
                <w:b/>
                <w:sz w:val="18"/>
                <w:szCs w:val="18"/>
              </w:rPr>
              <w:t>incidenti</w:t>
            </w:r>
            <w:r w:rsidRPr="002B4CA3">
              <w:rPr>
                <w:rFonts w:ascii="Arial Narrow" w:hAnsi="Arial Narrow"/>
                <w:b/>
                <w:sz w:val="18"/>
                <w:szCs w:val="18"/>
              </w:rPr>
              <w:t xml:space="preserve"> </w:t>
            </w:r>
            <w:r>
              <w:rPr>
                <w:rFonts w:ascii="Arial Narrow" w:hAnsi="Arial Narrow"/>
                <w:b/>
                <w:sz w:val="16"/>
                <w:szCs w:val="16"/>
              </w:rPr>
              <w:t>2021</w:t>
            </w:r>
            <w:r w:rsidRPr="00E87115">
              <w:rPr>
                <w:rFonts w:ascii="Arial Narrow" w:hAnsi="Arial Narrow"/>
                <w:b/>
                <w:sz w:val="16"/>
                <w:szCs w:val="16"/>
              </w:rPr>
              <w:t>/201</w:t>
            </w:r>
            <w:r>
              <w:rPr>
                <w:rFonts w:ascii="Arial Narrow" w:hAnsi="Arial Narrow"/>
                <w:b/>
                <w:sz w:val="16"/>
                <w:szCs w:val="16"/>
              </w:rPr>
              <w:t>9</w:t>
            </w:r>
          </w:p>
        </w:tc>
        <w:tc>
          <w:tcPr>
            <w:tcW w:w="654" w:type="dxa"/>
            <w:tcBorders>
              <w:bottom w:val="single" w:sz="4" w:space="0" w:color="auto"/>
            </w:tcBorders>
            <w:shd w:val="clear" w:color="auto" w:fill="D9D9D9" w:themeFill="background1" w:themeFillShade="D9"/>
          </w:tcPr>
          <w:p w14:paraId="5814615D" w14:textId="77777777" w:rsidR="00FA52FE" w:rsidRDefault="00FA52FE" w:rsidP="00F76C09">
            <w:pPr>
              <w:spacing w:before="40" w:after="20"/>
              <w:jc w:val="center"/>
              <w:rPr>
                <w:rFonts w:ascii="Arial Narrow" w:hAnsi="Arial Narrow"/>
                <w:b/>
                <w:sz w:val="18"/>
                <w:szCs w:val="18"/>
              </w:rPr>
            </w:pPr>
            <w:r>
              <w:rPr>
                <w:rFonts w:ascii="Arial Narrow" w:hAnsi="Arial Narrow"/>
                <w:b/>
                <w:sz w:val="18"/>
                <w:szCs w:val="18"/>
              </w:rPr>
              <w:t>Var.%</w:t>
            </w:r>
            <w:r w:rsidRPr="002B4CA3">
              <w:rPr>
                <w:rFonts w:ascii="Arial Narrow" w:hAnsi="Arial Narrow"/>
                <w:b/>
                <w:sz w:val="18"/>
                <w:szCs w:val="18"/>
              </w:rPr>
              <w:t xml:space="preserve"> </w:t>
            </w:r>
            <w:r>
              <w:rPr>
                <w:rFonts w:ascii="Arial Narrow" w:hAnsi="Arial Narrow"/>
                <w:b/>
                <w:sz w:val="18"/>
                <w:szCs w:val="18"/>
              </w:rPr>
              <w:t>morti</w:t>
            </w:r>
            <w:r w:rsidRPr="002B4CA3">
              <w:rPr>
                <w:rFonts w:ascii="Arial Narrow" w:hAnsi="Arial Narrow"/>
                <w:b/>
                <w:sz w:val="18"/>
                <w:szCs w:val="18"/>
              </w:rPr>
              <w:t xml:space="preserve"> </w:t>
            </w:r>
            <w:r>
              <w:rPr>
                <w:rFonts w:ascii="Arial Narrow" w:hAnsi="Arial Narrow"/>
                <w:b/>
                <w:sz w:val="16"/>
                <w:szCs w:val="16"/>
              </w:rPr>
              <w:t>2021</w:t>
            </w:r>
            <w:r w:rsidRPr="00E87115">
              <w:rPr>
                <w:rFonts w:ascii="Arial Narrow" w:hAnsi="Arial Narrow"/>
                <w:b/>
                <w:sz w:val="16"/>
                <w:szCs w:val="16"/>
              </w:rPr>
              <w:t>/201</w:t>
            </w:r>
            <w:r>
              <w:rPr>
                <w:rFonts w:ascii="Arial Narrow" w:hAnsi="Arial Narrow"/>
                <w:b/>
                <w:sz w:val="16"/>
                <w:szCs w:val="16"/>
              </w:rPr>
              <w:t>9</w:t>
            </w:r>
          </w:p>
        </w:tc>
      </w:tr>
      <w:tr w:rsidR="004B2C5D" w14:paraId="6B374A3D" w14:textId="77777777" w:rsidTr="004C468E">
        <w:trPr>
          <w:trHeight w:hRule="exact" w:val="255"/>
        </w:trPr>
        <w:tc>
          <w:tcPr>
            <w:tcW w:w="1603" w:type="dxa"/>
            <w:vAlign w:val="center"/>
          </w:tcPr>
          <w:p w14:paraId="7F50456F" w14:textId="77777777" w:rsidR="004B2C5D" w:rsidRPr="002B4CA3" w:rsidRDefault="004B2C5D" w:rsidP="00F76C09">
            <w:pPr>
              <w:spacing w:before="40" w:after="20"/>
              <w:rPr>
                <w:rFonts w:ascii="Arial Narrow" w:hAnsi="Arial Narrow"/>
                <w:sz w:val="18"/>
                <w:szCs w:val="18"/>
              </w:rPr>
            </w:pPr>
            <w:r w:rsidRPr="002B4CA3">
              <w:rPr>
                <w:rFonts w:ascii="Arial Narrow" w:hAnsi="Arial Narrow"/>
                <w:sz w:val="18"/>
                <w:szCs w:val="18"/>
              </w:rPr>
              <w:t>Strade urbane</w:t>
            </w:r>
            <w:r>
              <w:rPr>
                <w:rFonts w:ascii="Arial Narrow" w:hAnsi="Arial Narrow"/>
                <w:sz w:val="18"/>
                <w:szCs w:val="18"/>
              </w:rPr>
              <w:t xml:space="preserve"> (a)</w:t>
            </w:r>
          </w:p>
        </w:tc>
        <w:tc>
          <w:tcPr>
            <w:tcW w:w="661" w:type="dxa"/>
            <w:shd w:val="clear" w:color="auto" w:fill="auto"/>
            <w:vAlign w:val="center"/>
          </w:tcPr>
          <w:p w14:paraId="4584A657" w14:textId="77777777" w:rsidR="004B2C5D" w:rsidRPr="00611506"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110</w:t>
            </w:r>
            <w:r>
              <w:rPr>
                <w:rFonts w:ascii="Arial Narrow" w:hAnsi="Arial Narrow"/>
                <w:color w:val="000000"/>
                <w:sz w:val="18"/>
                <w:szCs w:val="18"/>
              </w:rPr>
              <w:t>.</w:t>
            </w:r>
            <w:r w:rsidRPr="004B2C5D">
              <w:rPr>
                <w:rFonts w:ascii="Arial Narrow" w:hAnsi="Arial Narrow"/>
                <w:color w:val="000000"/>
                <w:sz w:val="18"/>
                <w:szCs w:val="18"/>
              </w:rPr>
              <w:t>952</w:t>
            </w:r>
          </w:p>
        </w:tc>
        <w:tc>
          <w:tcPr>
            <w:tcW w:w="661" w:type="dxa"/>
            <w:shd w:val="clear" w:color="auto" w:fill="D9D9D9" w:themeFill="background1" w:themeFillShade="D9"/>
            <w:vAlign w:val="center"/>
          </w:tcPr>
          <w:p w14:paraId="0CEE2A8E"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86.682</w:t>
            </w:r>
          </w:p>
        </w:tc>
        <w:tc>
          <w:tcPr>
            <w:tcW w:w="743" w:type="dxa"/>
            <w:shd w:val="clear" w:color="auto" w:fill="auto"/>
            <w:vAlign w:val="center"/>
          </w:tcPr>
          <w:p w14:paraId="27E33FFC"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127.000</w:t>
            </w:r>
          </w:p>
        </w:tc>
        <w:tc>
          <w:tcPr>
            <w:tcW w:w="515" w:type="dxa"/>
            <w:shd w:val="clear" w:color="auto" w:fill="D9D9D9" w:themeFill="background1" w:themeFillShade="D9"/>
            <w:vAlign w:val="center"/>
          </w:tcPr>
          <w:p w14:paraId="541A7B71" w14:textId="77777777" w:rsidR="004B2C5D" w:rsidRPr="00611506"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1.264</w:t>
            </w:r>
          </w:p>
        </w:tc>
        <w:tc>
          <w:tcPr>
            <w:tcW w:w="515" w:type="dxa"/>
            <w:shd w:val="clear" w:color="auto" w:fill="auto"/>
            <w:vAlign w:val="center"/>
          </w:tcPr>
          <w:p w14:paraId="16FE702D"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1.061</w:t>
            </w:r>
          </w:p>
        </w:tc>
        <w:tc>
          <w:tcPr>
            <w:tcW w:w="515" w:type="dxa"/>
            <w:shd w:val="clear" w:color="auto" w:fill="D9D9D9" w:themeFill="background1" w:themeFillShade="D9"/>
            <w:vAlign w:val="center"/>
          </w:tcPr>
          <w:p w14:paraId="3A2224D2"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1.331</w:t>
            </w:r>
          </w:p>
        </w:tc>
        <w:tc>
          <w:tcPr>
            <w:tcW w:w="684" w:type="dxa"/>
            <w:shd w:val="clear" w:color="auto" w:fill="auto"/>
            <w:vAlign w:val="center"/>
          </w:tcPr>
          <w:p w14:paraId="4AEB6827" w14:textId="77777777" w:rsidR="004B2C5D" w:rsidRPr="0016442A"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142.729</w:t>
            </w:r>
          </w:p>
        </w:tc>
        <w:tc>
          <w:tcPr>
            <w:tcW w:w="679" w:type="dxa"/>
            <w:shd w:val="clear" w:color="auto" w:fill="D9D9D9" w:themeFill="background1" w:themeFillShade="D9"/>
            <w:vAlign w:val="center"/>
          </w:tcPr>
          <w:p w14:paraId="44076E2B"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111.532</w:t>
            </w:r>
          </w:p>
        </w:tc>
        <w:tc>
          <w:tcPr>
            <w:tcW w:w="679" w:type="dxa"/>
            <w:shd w:val="clear" w:color="auto" w:fill="auto"/>
            <w:vAlign w:val="center"/>
          </w:tcPr>
          <w:p w14:paraId="6C1A44D4"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168.794</w:t>
            </w:r>
          </w:p>
        </w:tc>
        <w:tc>
          <w:tcPr>
            <w:tcW w:w="653" w:type="dxa"/>
            <w:shd w:val="clear" w:color="auto" w:fill="auto"/>
            <w:vAlign w:val="center"/>
          </w:tcPr>
          <w:p w14:paraId="46CF77B8" w14:textId="77777777" w:rsidR="004B2C5D" w:rsidRPr="004B2C5D" w:rsidRDefault="00D72215"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w:t>
            </w:r>
            <w:r w:rsidR="004B2C5D" w:rsidRPr="004B2C5D">
              <w:rPr>
                <w:rFonts w:ascii="Arial Narrow" w:hAnsi="Arial Narrow"/>
                <w:color w:val="000000"/>
                <w:sz w:val="18"/>
                <w:szCs w:val="18"/>
              </w:rPr>
              <w:t>28,0</w:t>
            </w:r>
          </w:p>
        </w:tc>
        <w:tc>
          <w:tcPr>
            <w:tcW w:w="654" w:type="dxa"/>
            <w:shd w:val="clear" w:color="auto" w:fill="D9D9D9" w:themeFill="background1" w:themeFillShade="D9"/>
            <w:vAlign w:val="center"/>
          </w:tcPr>
          <w:p w14:paraId="2030ADAE" w14:textId="77777777" w:rsidR="004B2C5D" w:rsidRPr="004B2C5D" w:rsidRDefault="00D72215"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w:t>
            </w:r>
            <w:r w:rsidR="004B2C5D" w:rsidRPr="004B2C5D">
              <w:rPr>
                <w:rFonts w:ascii="Arial Narrow" w:hAnsi="Arial Narrow"/>
                <w:color w:val="000000"/>
                <w:sz w:val="18"/>
                <w:szCs w:val="18"/>
              </w:rPr>
              <w:t>19,1</w:t>
            </w:r>
          </w:p>
        </w:tc>
        <w:tc>
          <w:tcPr>
            <w:tcW w:w="653" w:type="dxa"/>
            <w:vAlign w:val="center"/>
          </w:tcPr>
          <w:p w14:paraId="0683ABE7" w14:textId="77777777" w:rsidR="004B2C5D" w:rsidRPr="004B2C5D"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-12,6</w:t>
            </w:r>
          </w:p>
        </w:tc>
        <w:tc>
          <w:tcPr>
            <w:tcW w:w="654" w:type="dxa"/>
            <w:shd w:val="clear" w:color="auto" w:fill="D9D9D9" w:themeFill="background1" w:themeFillShade="D9"/>
            <w:vAlign w:val="center"/>
          </w:tcPr>
          <w:p w14:paraId="04667F88" w14:textId="77777777" w:rsidR="004B2C5D" w:rsidRPr="004B2C5D"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-5,0</w:t>
            </w:r>
          </w:p>
        </w:tc>
      </w:tr>
      <w:tr w:rsidR="004B2C5D" w14:paraId="4D11726F" w14:textId="77777777" w:rsidTr="004C468E">
        <w:trPr>
          <w:trHeight w:hRule="exact" w:val="255"/>
        </w:trPr>
        <w:tc>
          <w:tcPr>
            <w:tcW w:w="1603" w:type="dxa"/>
            <w:vAlign w:val="center"/>
          </w:tcPr>
          <w:p w14:paraId="4327EB17" w14:textId="77777777" w:rsidR="004B2C5D" w:rsidRPr="002B4CA3" w:rsidRDefault="004B2C5D" w:rsidP="00F76C09">
            <w:pPr>
              <w:spacing w:before="40" w:after="20"/>
              <w:rPr>
                <w:rFonts w:ascii="Arial Narrow" w:hAnsi="Arial Narrow"/>
                <w:sz w:val="18"/>
                <w:szCs w:val="18"/>
              </w:rPr>
            </w:pPr>
            <w:r w:rsidRPr="002B4CA3">
              <w:rPr>
                <w:rFonts w:ascii="Arial Narrow" w:hAnsi="Arial Narrow"/>
                <w:sz w:val="18"/>
                <w:szCs w:val="18"/>
              </w:rPr>
              <w:t xml:space="preserve">Autostrade e raccordi </w:t>
            </w:r>
          </w:p>
        </w:tc>
        <w:tc>
          <w:tcPr>
            <w:tcW w:w="661" w:type="dxa"/>
            <w:shd w:val="clear" w:color="auto" w:fill="auto"/>
            <w:vAlign w:val="center"/>
          </w:tcPr>
          <w:p w14:paraId="6D729E9B" w14:textId="77777777" w:rsidR="004B2C5D" w:rsidRPr="00611506"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7631</w:t>
            </w:r>
          </w:p>
        </w:tc>
        <w:tc>
          <w:tcPr>
            <w:tcW w:w="661" w:type="dxa"/>
            <w:shd w:val="clear" w:color="auto" w:fill="D9D9D9" w:themeFill="background1" w:themeFillShade="D9"/>
            <w:vAlign w:val="center"/>
          </w:tcPr>
          <w:p w14:paraId="613B8490"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5.451</w:t>
            </w:r>
          </w:p>
        </w:tc>
        <w:tc>
          <w:tcPr>
            <w:tcW w:w="743" w:type="dxa"/>
            <w:shd w:val="clear" w:color="auto" w:fill="auto"/>
            <w:vAlign w:val="center"/>
          </w:tcPr>
          <w:p w14:paraId="435963A6"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9.076</w:t>
            </w:r>
          </w:p>
        </w:tc>
        <w:tc>
          <w:tcPr>
            <w:tcW w:w="515" w:type="dxa"/>
            <w:shd w:val="clear" w:color="auto" w:fill="D9D9D9" w:themeFill="background1" w:themeFillShade="D9"/>
            <w:vAlign w:val="center"/>
          </w:tcPr>
          <w:p w14:paraId="5750C141" w14:textId="77777777" w:rsidR="004B2C5D" w:rsidRPr="00611506"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246</w:t>
            </w:r>
          </w:p>
        </w:tc>
        <w:tc>
          <w:tcPr>
            <w:tcW w:w="515" w:type="dxa"/>
            <w:shd w:val="clear" w:color="auto" w:fill="auto"/>
            <w:vAlign w:val="center"/>
          </w:tcPr>
          <w:p w14:paraId="5012AE4F"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195</w:t>
            </w:r>
          </w:p>
        </w:tc>
        <w:tc>
          <w:tcPr>
            <w:tcW w:w="515" w:type="dxa"/>
            <w:shd w:val="clear" w:color="auto" w:fill="D9D9D9" w:themeFill="background1" w:themeFillShade="D9"/>
            <w:vAlign w:val="center"/>
          </w:tcPr>
          <w:p w14:paraId="77B5E26A"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310</w:t>
            </w:r>
          </w:p>
        </w:tc>
        <w:tc>
          <w:tcPr>
            <w:tcW w:w="684" w:type="dxa"/>
            <w:shd w:val="clear" w:color="auto" w:fill="auto"/>
            <w:vAlign w:val="center"/>
          </w:tcPr>
          <w:p w14:paraId="17BBF4EC" w14:textId="77777777" w:rsidR="004B2C5D" w:rsidRPr="0016442A"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12.023</w:t>
            </w:r>
          </w:p>
        </w:tc>
        <w:tc>
          <w:tcPr>
            <w:tcW w:w="679" w:type="dxa"/>
            <w:shd w:val="clear" w:color="auto" w:fill="D9D9D9" w:themeFill="background1" w:themeFillShade="D9"/>
            <w:vAlign w:val="center"/>
          </w:tcPr>
          <w:p w14:paraId="20AFB151"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8.465</w:t>
            </w:r>
          </w:p>
        </w:tc>
        <w:tc>
          <w:tcPr>
            <w:tcW w:w="679" w:type="dxa"/>
            <w:shd w:val="clear" w:color="auto" w:fill="auto"/>
            <w:vAlign w:val="center"/>
          </w:tcPr>
          <w:p w14:paraId="0F323104"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15.009</w:t>
            </w:r>
          </w:p>
        </w:tc>
        <w:tc>
          <w:tcPr>
            <w:tcW w:w="653" w:type="dxa"/>
            <w:shd w:val="clear" w:color="auto" w:fill="auto"/>
            <w:vAlign w:val="center"/>
          </w:tcPr>
          <w:p w14:paraId="138F2FF6" w14:textId="77777777" w:rsidR="004B2C5D" w:rsidRPr="004B2C5D" w:rsidRDefault="00D72215"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w:t>
            </w:r>
            <w:r w:rsidR="004B2C5D" w:rsidRPr="004B2C5D">
              <w:rPr>
                <w:rFonts w:ascii="Arial Narrow" w:hAnsi="Arial Narrow"/>
                <w:color w:val="000000"/>
                <w:sz w:val="18"/>
                <w:szCs w:val="18"/>
              </w:rPr>
              <w:t>40,0</w:t>
            </w:r>
          </w:p>
        </w:tc>
        <w:tc>
          <w:tcPr>
            <w:tcW w:w="654" w:type="dxa"/>
            <w:shd w:val="clear" w:color="auto" w:fill="D9D9D9" w:themeFill="background1" w:themeFillShade="D9"/>
            <w:vAlign w:val="center"/>
          </w:tcPr>
          <w:p w14:paraId="772FAB1C" w14:textId="77777777" w:rsidR="004B2C5D" w:rsidRPr="004B2C5D" w:rsidRDefault="00D72215"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w:t>
            </w:r>
            <w:r w:rsidR="004B2C5D" w:rsidRPr="004B2C5D">
              <w:rPr>
                <w:rFonts w:ascii="Arial Narrow" w:hAnsi="Arial Narrow"/>
                <w:color w:val="000000"/>
                <w:sz w:val="18"/>
                <w:szCs w:val="18"/>
              </w:rPr>
              <w:t>26,2</w:t>
            </w:r>
          </w:p>
        </w:tc>
        <w:tc>
          <w:tcPr>
            <w:tcW w:w="653" w:type="dxa"/>
            <w:vAlign w:val="center"/>
          </w:tcPr>
          <w:p w14:paraId="7AC43A98" w14:textId="77777777" w:rsidR="004B2C5D" w:rsidRPr="004B2C5D"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-15,9</w:t>
            </w:r>
          </w:p>
        </w:tc>
        <w:tc>
          <w:tcPr>
            <w:tcW w:w="654" w:type="dxa"/>
            <w:shd w:val="clear" w:color="auto" w:fill="D9D9D9" w:themeFill="background1" w:themeFillShade="D9"/>
            <w:vAlign w:val="center"/>
          </w:tcPr>
          <w:p w14:paraId="5508C8F0" w14:textId="77777777" w:rsidR="004B2C5D" w:rsidRPr="004B2C5D"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-20,6</w:t>
            </w:r>
          </w:p>
        </w:tc>
      </w:tr>
      <w:tr w:rsidR="004B2C5D" w14:paraId="63D7178E" w14:textId="77777777" w:rsidTr="004C468E">
        <w:trPr>
          <w:trHeight w:hRule="exact" w:val="255"/>
        </w:trPr>
        <w:tc>
          <w:tcPr>
            <w:tcW w:w="1603" w:type="dxa"/>
            <w:vAlign w:val="center"/>
          </w:tcPr>
          <w:p w14:paraId="315FDE99" w14:textId="77777777" w:rsidR="004B2C5D" w:rsidRPr="002B4CA3" w:rsidRDefault="004B2C5D" w:rsidP="00F76C09">
            <w:pPr>
              <w:spacing w:before="40" w:after="20"/>
              <w:rPr>
                <w:rFonts w:ascii="Arial Narrow" w:hAnsi="Arial Narrow"/>
                <w:sz w:val="18"/>
                <w:szCs w:val="18"/>
              </w:rPr>
            </w:pPr>
            <w:r>
              <w:rPr>
                <w:rFonts w:ascii="Arial Narrow" w:hAnsi="Arial Narrow"/>
                <w:sz w:val="18"/>
                <w:szCs w:val="18"/>
              </w:rPr>
              <w:t>Strade extraurbane (a</w:t>
            </w:r>
            <w:r w:rsidRPr="002B4CA3">
              <w:rPr>
                <w:rFonts w:ascii="Arial Narrow" w:hAnsi="Arial Narrow"/>
                <w:sz w:val="18"/>
                <w:szCs w:val="18"/>
              </w:rPr>
              <w:t>)</w:t>
            </w:r>
          </w:p>
        </w:tc>
        <w:tc>
          <w:tcPr>
            <w:tcW w:w="661" w:type="dxa"/>
            <w:shd w:val="clear" w:color="auto" w:fill="auto"/>
            <w:vAlign w:val="center"/>
          </w:tcPr>
          <w:p w14:paraId="45EB57FE" w14:textId="77777777" w:rsidR="004B2C5D" w:rsidRPr="00611506"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33</w:t>
            </w:r>
            <w:r>
              <w:rPr>
                <w:rFonts w:ascii="Arial Narrow" w:hAnsi="Arial Narrow"/>
                <w:color w:val="000000"/>
                <w:sz w:val="18"/>
                <w:szCs w:val="18"/>
              </w:rPr>
              <w:t>.</w:t>
            </w:r>
            <w:r w:rsidRPr="004B2C5D">
              <w:rPr>
                <w:rFonts w:ascii="Arial Narrow" w:hAnsi="Arial Narrow"/>
                <w:color w:val="000000"/>
                <w:sz w:val="18"/>
                <w:szCs w:val="18"/>
              </w:rPr>
              <w:t>292</w:t>
            </w:r>
          </w:p>
        </w:tc>
        <w:tc>
          <w:tcPr>
            <w:tcW w:w="661" w:type="dxa"/>
            <w:shd w:val="clear" w:color="auto" w:fill="D9D9D9" w:themeFill="background1" w:themeFillShade="D9"/>
            <w:vAlign w:val="center"/>
          </w:tcPr>
          <w:p w14:paraId="709B7EE4"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26.165</w:t>
            </w:r>
          </w:p>
        </w:tc>
        <w:tc>
          <w:tcPr>
            <w:tcW w:w="743" w:type="dxa"/>
            <w:shd w:val="clear" w:color="auto" w:fill="auto"/>
            <w:vAlign w:val="center"/>
          </w:tcPr>
          <w:p w14:paraId="185FE5F2"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36.107</w:t>
            </w:r>
          </w:p>
        </w:tc>
        <w:tc>
          <w:tcPr>
            <w:tcW w:w="515" w:type="dxa"/>
            <w:shd w:val="clear" w:color="auto" w:fill="D9D9D9" w:themeFill="background1" w:themeFillShade="D9"/>
            <w:vAlign w:val="center"/>
          </w:tcPr>
          <w:p w14:paraId="320524CB" w14:textId="77777777" w:rsidR="004B2C5D" w:rsidRPr="00611506"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1.365</w:t>
            </w:r>
          </w:p>
        </w:tc>
        <w:tc>
          <w:tcPr>
            <w:tcW w:w="515" w:type="dxa"/>
            <w:shd w:val="clear" w:color="auto" w:fill="auto"/>
            <w:vAlign w:val="center"/>
          </w:tcPr>
          <w:p w14:paraId="0A615C36"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1.139</w:t>
            </w:r>
          </w:p>
        </w:tc>
        <w:tc>
          <w:tcPr>
            <w:tcW w:w="515" w:type="dxa"/>
            <w:shd w:val="clear" w:color="auto" w:fill="D9D9D9" w:themeFill="background1" w:themeFillShade="D9"/>
            <w:vAlign w:val="center"/>
          </w:tcPr>
          <w:p w14:paraId="541B3CA3"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1.532</w:t>
            </w:r>
          </w:p>
        </w:tc>
        <w:tc>
          <w:tcPr>
            <w:tcW w:w="684" w:type="dxa"/>
            <w:shd w:val="clear" w:color="auto" w:fill="auto"/>
            <w:vAlign w:val="center"/>
          </w:tcPr>
          <w:p w14:paraId="33F21BD2" w14:textId="77777777" w:rsidR="004B2C5D" w:rsidRPr="0016442A"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49.976</w:t>
            </w:r>
          </w:p>
        </w:tc>
        <w:tc>
          <w:tcPr>
            <w:tcW w:w="679" w:type="dxa"/>
            <w:shd w:val="clear" w:color="auto" w:fill="D9D9D9" w:themeFill="background1" w:themeFillShade="D9"/>
            <w:vAlign w:val="center"/>
          </w:tcPr>
          <w:p w14:paraId="6A2222A0" w14:textId="77777777" w:rsidR="004B2C5D" w:rsidRPr="0016442A" w:rsidRDefault="004B2C5D" w:rsidP="00F76C09">
            <w:pPr>
              <w:spacing w:before="40" w:after="20"/>
              <w:ind w:right="113"/>
              <w:jc w:val="right"/>
              <w:rPr>
                <w:rFonts w:ascii="Arial Narrow" w:hAnsi="Arial Narrow"/>
                <w:color w:val="000000"/>
                <w:sz w:val="18"/>
                <w:szCs w:val="18"/>
              </w:rPr>
            </w:pPr>
            <w:r w:rsidRPr="00611506">
              <w:rPr>
                <w:rFonts w:ascii="Arial Narrow" w:hAnsi="Arial Narrow"/>
                <w:color w:val="000000"/>
                <w:sz w:val="18"/>
                <w:szCs w:val="18"/>
              </w:rPr>
              <w:t>39.251</w:t>
            </w:r>
          </w:p>
        </w:tc>
        <w:tc>
          <w:tcPr>
            <w:tcW w:w="679" w:type="dxa"/>
            <w:shd w:val="clear" w:color="auto" w:fill="auto"/>
            <w:vAlign w:val="center"/>
          </w:tcPr>
          <w:p w14:paraId="3A973E13" w14:textId="77777777" w:rsidR="004B2C5D" w:rsidRPr="0016442A" w:rsidRDefault="004B2C5D"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57.581</w:t>
            </w:r>
          </w:p>
        </w:tc>
        <w:tc>
          <w:tcPr>
            <w:tcW w:w="653" w:type="dxa"/>
            <w:shd w:val="clear" w:color="auto" w:fill="auto"/>
            <w:vAlign w:val="center"/>
          </w:tcPr>
          <w:p w14:paraId="57353299" w14:textId="77777777" w:rsidR="004B2C5D" w:rsidRPr="004B2C5D" w:rsidRDefault="00D72215"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w:t>
            </w:r>
            <w:r w:rsidR="004B2C5D" w:rsidRPr="004B2C5D">
              <w:rPr>
                <w:rFonts w:ascii="Arial Narrow" w:hAnsi="Arial Narrow"/>
                <w:color w:val="000000"/>
                <w:sz w:val="18"/>
                <w:szCs w:val="18"/>
              </w:rPr>
              <w:t>27,2</w:t>
            </w:r>
          </w:p>
        </w:tc>
        <w:tc>
          <w:tcPr>
            <w:tcW w:w="654" w:type="dxa"/>
            <w:shd w:val="clear" w:color="auto" w:fill="D9D9D9" w:themeFill="background1" w:themeFillShade="D9"/>
            <w:vAlign w:val="center"/>
          </w:tcPr>
          <w:p w14:paraId="2EE2ED4D" w14:textId="77777777" w:rsidR="004B2C5D" w:rsidRPr="004B2C5D" w:rsidRDefault="00D72215" w:rsidP="00F76C09">
            <w:pPr>
              <w:spacing w:before="40" w:after="20"/>
              <w:ind w:right="113"/>
              <w:jc w:val="right"/>
              <w:rPr>
                <w:rFonts w:ascii="Arial Narrow" w:hAnsi="Arial Narrow"/>
                <w:color w:val="000000"/>
                <w:sz w:val="18"/>
                <w:szCs w:val="18"/>
              </w:rPr>
            </w:pPr>
            <w:r>
              <w:rPr>
                <w:rFonts w:ascii="Arial Narrow" w:hAnsi="Arial Narrow"/>
                <w:color w:val="000000"/>
                <w:sz w:val="18"/>
                <w:szCs w:val="18"/>
              </w:rPr>
              <w:t>+</w:t>
            </w:r>
            <w:r w:rsidR="004B2C5D" w:rsidRPr="004B2C5D">
              <w:rPr>
                <w:rFonts w:ascii="Arial Narrow" w:hAnsi="Arial Narrow"/>
                <w:color w:val="000000"/>
                <w:sz w:val="18"/>
                <w:szCs w:val="18"/>
              </w:rPr>
              <w:t>19,8</w:t>
            </w:r>
          </w:p>
        </w:tc>
        <w:tc>
          <w:tcPr>
            <w:tcW w:w="653" w:type="dxa"/>
            <w:vAlign w:val="center"/>
          </w:tcPr>
          <w:p w14:paraId="52B67505" w14:textId="77777777" w:rsidR="004B2C5D" w:rsidRPr="004B2C5D"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-7,8</w:t>
            </w:r>
          </w:p>
        </w:tc>
        <w:tc>
          <w:tcPr>
            <w:tcW w:w="654" w:type="dxa"/>
            <w:shd w:val="clear" w:color="auto" w:fill="D9D9D9" w:themeFill="background1" w:themeFillShade="D9"/>
            <w:vAlign w:val="center"/>
          </w:tcPr>
          <w:p w14:paraId="3CB416AF" w14:textId="77777777" w:rsidR="004B2C5D" w:rsidRPr="004B2C5D" w:rsidRDefault="004B2C5D" w:rsidP="00F76C09">
            <w:pPr>
              <w:spacing w:before="40" w:after="20"/>
              <w:ind w:right="113"/>
              <w:jc w:val="right"/>
              <w:rPr>
                <w:rFonts w:ascii="Arial Narrow" w:hAnsi="Arial Narrow"/>
                <w:color w:val="000000"/>
                <w:sz w:val="18"/>
                <w:szCs w:val="18"/>
              </w:rPr>
            </w:pPr>
            <w:r w:rsidRPr="004B2C5D">
              <w:rPr>
                <w:rFonts w:ascii="Arial Narrow" w:hAnsi="Arial Narrow"/>
                <w:color w:val="000000"/>
                <w:sz w:val="18"/>
                <w:szCs w:val="18"/>
              </w:rPr>
              <w:t>-10,9</w:t>
            </w:r>
          </w:p>
        </w:tc>
      </w:tr>
      <w:tr w:rsidR="004B2C5D" w:rsidRPr="000637AD" w14:paraId="7610181A" w14:textId="77777777" w:rsidTr="004C468E">
        <w:trPr>
          <w:trHeight w:hRule="exact" w:val="255"/>
        </w:trPr>
        <w:tc>
          <w:tcPr>
            <w:tcW w:w="1603" w:type="dxa"/>
            <w:shd w:val="clear" w:color="auto" w:fill="00527F"/>
            <w:vAlign w:val="center"/>
          </w:tcPr>
          <w:p w14:paraId="4DAF9693" w14:textId="77777777" w:rsidR="004B2C5D" w:rsidRPr="000637AD" w:rsidRDefault="004B2C5D" w:rsidP="00F76C09">
            <w:pPr>
              <w:spacing w:before="40" w:after="20"/>
              <w:ind w:left="142"/>
              <w:rPr>
                <w:rFonts w:ascii="Arial Narrow" w:hAnsi="Arial Narrow"/>
                <w:b/>
                <w:bCs/>
                <w:color w:val="FFFFFF" w:themeColor="background1"/>
                <w:sz w:val="18"/>
                <w:szCs w:val="18"/>
              </w:rPr>
            </w:pPr>
            <w:r w:rsidRPr="000637AD">
              <w:rPr>
                <w:rFonts w:ascii="Arial Narrow" w:hAnsi="Arial Narrow"/>
                <w:b/>
                <w:bCs/>
                <w:color w:val="FFFFFF" w:themeColor="background1"/>
                <w:sz w:val="18"/>
                <w:szCs w:val="18"/>
              </w:rPr>
              <w:t>Totale</w:t>
            </w:r>
          </w:p>
        </w:tc>
        <w:tc>
          <w:tcPr>
            <w:tcW w:w="661" w:type="dxa"/>
            <w:shd w:val="clear" w:color="auto" w:fill="00527F"/>
            <w:vAlign w:val="center"/>
          </w:tcPr>
          <w:p w14:paraId="64306622" w14:textId="77777777" w:rsidR="004B2C5D" w:rsidRPr="004B2C5D" w:rsidRDefault="004B2C5D" w:rsidP="00F76C09">
            <w:pPr>
              <w:spacing w:before="40" w:after="20"/>
              <w:ind w:right="113"/>
              <w:jc w:val="right"/>
              <w:rPr>
                <w:rFonts w:ascii="Arial Narrow" w:hAnsi="Arial Narrow"/>
                <w:b/>
                <w:color w:val="000000"/>
                <w:sz w:val="18"/>
                <w:szCs w:val="18"/>
              </w:rPr>
            </w:pPr>
            <w:r w:rsidRPr="004B2C5D">
              <w:rPr>
                <w:rFonts w:ascii="Arial Narrow" w:hAnsi="Arial Narrow"/>
                <w:b/>
                <w:color w:val="FFFFFF" w:themeColor="background1"/>
                <w:sz w:val="18"/>
                <w:szCs w:val="18"/>
              </w:rPr>
              <w:t>151</w:t>
            </w:r>
            <w:r>
              <w:rPr>
                <w:rFonts w:ascii="Arial Narrow" w:hAnsi="Arial Narrow"/>
                <w:b/>
                <w:color w:val="FFFFFF" w:themeColor="background1"/>
                <w:sz w:val="18"/>
                <w:szCs w:val="18"/>
              </w:rPr>
              <w:t>.</w:t>
            </w:r>
            <w:r w:rsidRPr="004B2C5D">
              <w:rPr>
                <w:rFonts w:ascii="Arial Narrow" w:hAnsi="Arial Narrow"/>
                <w:b/>
                <w:color w:val="FFFFFF" w:themeColor="background1"/>
                <w:sz w:val="18"/>
                <w:szCs w:val="18"/>
              </w:rPr>
              <w:t>875</w:t>
            </w:r>
          </w:p>
        </w:tc>
        <w:tc>
          <w:tcPr>
            <w:tcW w:w="661" w:type="dxa"/>
            <w:shd w:val="clear" w:color="auto" w:fill="00527F"/>
            <w:vAlign w:val="center"/>
          </w:tcPr>
          <w:p w14:paraId="2FCB134C" w14:textId="77777777" w:rsidR="004B2C5D" w:rsidRPr="00611506" w:rsidRDefault="004B2C5D" w:rsidP="00F76C09">
            <w:pPr>
              <w:spacing w:before="40" w:after="20"/>
              <w:ind w:right="113"/>
              <w:jc w:val="right"/>
              <w:rPr>
                <w:rFonts w:ascii="Arial Narrow" w:hAnsi="Arial Narrow"/>
                <w:b/>
                <w:color w:val="000000"/>
                <w:sz w:val="18"/>
                <w:szCs w:val="18"/>
              </w:rPr>
            </w:pPr>
            <w:r w:rsidRPr="00611506">
              <w:rPr>
                <w:rFonts w:ascii="Arial Narrow" w:hAnsi="Arial Narrow"/>
                <w:b/>
                <w:color w:val="FFFFFF" w:themeColor="background1"/>
                <w:sz w:val="18"/>
                <w:szCs w:val="18"/>
              </w:rPr>
              <w:t>118.298</w:t>
            </w:r>
          </w:p>
        </w:tc>
        <w:tc>
          <w:tcPr>
            <w:tcW w:w="743" w:type="dxa"/>
            <w:shd w:val="clear" w:color="auto" w:fill="00527F"/>
            <w:vAlign w:val="center"/>
          </w:tcPr>
          <w:p w14:paraId="1CB0287F" w14:textId="77777777" w:rsidR="004B2C5D" w:rsidRPr="0016442A" w:rsidRDefault="004B2C5D" w:rsidP="00F76C09">
            <w:pPr>
              <w:spacing w:before="40" w:after="20"/>
              <w:ind w:right="113"/>
              <w:jc w:val="right"/>
              <w:rPr>
                <w:rFonts w:ascii="Arial Narrow" w:hAnsi="Arial Narrow"/>
                <w:b/>
                <w:color w:val="FFFFFF" w:themeColor="background1"/>
                <w:sz w:val="18"/>
                <w:szCs w:val="18"/>
              </w:rPr>
            </w:pPr>
            <w:r>
              <w:rPr>
                <w:rFonts w:ascii="Arial Narrow" w:hAnsi="Arial Narrow"/>
                <w:b/>
                <w:color w:val="FFFFFF" w:themeColor="background1"/>
                <w:sz w:val="18"/>
                <w:szCs w:val="18"/>
              </w:rPr>
              <w:t>172.183</w:t>
            </w:r>
          </w:p>
        </w:tc>
        <w:tc>
          <w:tcPr>
            <w:tcW w:w="515" w:type="dxa"/>
            <w:shd w:val="clear" w:color="auto" w:fill="00527F"/>
            <w:vAlign w:val="center"/>
          </w:tcPr>
          <w:p w14:paraId="2D0E5A78" w14:textId="77777777" w:rsidR="004B2C5D" w:rsidRPr="004B2C5D" w:rsidRDefault="004B2C5D" w:rsidP="00F76C09">
            <w:pPr>
              <w:spacing w:before="40" w:after="20"/>
              <w:ind w:right="113"/>
              <w:jc w:val="right"/>
              <w:rPr>
                <w:rFonts w:ascii="Arial Narrow" w:hAnsi="Arial Narrow"/>
                <w:b/>
                <w:color w:val="000000"/>
                <w:sz w:val="18"/>
                <w:szCs w:val="18"/>
              </w:rPr>
            </w:pPr>
            <w:r w:rsidRPr="004B2C5D">
              <w:rPr>
                <w:rFonts w:ascii="Arial Narrow" w:hAnsi="Arial Narrow"/>
                <w:b/>
                <w:color w:val="FFFFFF" w:themeColor="background1"/>
                <w:sz w:val="18"/>
                <w:szCs w:val="18"/>
              </w:rPr>
              <w:t>2.875</w:t>
            </w:r>
          </w:p>
        </w:tc>
        <w:tc>
          <w:tcPr>
            <w:tcW w:w="515" w:type="dxa"/>
            <w:shd w:val="clear" w:color="auto" w:fill="00527F"/>
            <w:vAlign w:val="center"/>
          </w:tcPr>
          <w:p w14:paraId="1AB16844" w14:textId="77777777" w:rsidR="004B2C5D" w:rsidRPr="00611506" w:rsidRDefault="004B2C5D" w:rsidP="00F76C09">
            <w:pPr>
              <w:spacing w:before="40" w:after="20"/>
              <w:ind w:right="113"/>
              <w:jc w:val="right"/>
              <w:rPr>
                <w:rFonts w:ascii="Arial Narrow" w:hAnsi="Arial Narrow"/>
                <w:b/>
                <w:color w:val="FFFFFF" w:themeColor="background1"/>
                <w:sz w:val="18"/>
                <w:szCs w:val="18"/>
              </w:rPr>
            </w:pPr>
            <w:r w:rsidRPr="00611506">
              <w:rPr>
                <w:rFonts w:ascii="Arial Narrow" w:hAnsi="Arial Narrow"/>
                <w:b/>
                <w:color w:val="FFFFFF" w:themeColor="background1"/>
                <w:sz w:val="18"/>
                <w:szCs w:val="18"/>
              </w:rPr>
              <w:t>2.395</w:t>
            </w:r>
          </w:p>
        </w:tc>
        <w:tc>
          <w:tcPr>
            <w:tcW w:w="515" w:type="dxa"/>
            <w:shd w:val="clear" w:color="auto" w:fill="00527F"/>
            <w:vAlign w:val="center"/>
          </w:tcPr>
          <w:p w14:paraId="22F9B4CC" w14:textId="77777777" w:rsidR="004B2C5D" w:rsidRPr="0016442A" w:rsidRDefault="004B2C5D" w:rsidP="00F76C09">
            <w:pPr>
              <w:spacing w:before="40" w:after="20"/>
              <w:ind w:right="113"/>
              <w:jc w:val="right"/>
              <w:rPr>
                <w:rFonts w:ascii="Arial Narrow" w:hAnsi="Arial Narrow"/>
                <w:b/>
                <w:color w:val="FFFFFF" w:themeColor="background1"/>
                <w:sz w:val="18"/>
                <w:szCs w:val="18"/>
              </w:rPr>
            </w:pPr>
            <w:r>
              <w:rPr>
                <w:rFonts w:ascii="Arial Narrow" w:hAnsi="Arial Narrow"/>
                <w:b/>
                <w:color w:val="FFFFFF" w:themeColor="background1"/>
                <w:sz w:val="18"/>
                <w:szCs w:val="18"/>
              </w:rPr>
              <w:t>3.173</w:t>
            </w:r>
          </w:p>
        </w:tc>
        <w:tc>
          <w:tcPr>
            <w:tcW w:w="684" w:type="dxa"/>
            <w:shd w:val="clear" w:color="auto" w:fill="00527F"/>
            <w:vAlign w:val="center"/>
          </w:tcPr>
          <w:p w14:paraId="6099C382" w14:textId="77777777" w:rsidR="004B2C5D" w:rsidRPr="004B2C5D" w:rsidRDefault="004B2C5D" w:rsidP="00F76C09">
            <w:pPr>
              <w:spacing w:before="40" w:after="20"/>
              <w:ind w:right="113"/>
              <w:jc w:val="right"/>
              <w:rPr>
                <w:rFonts w:ascii="Arial Narrow" w:hAnsi="Arial Narrow"/>
                <w:b/>
                <w:color w:val="000000"/>
                <w:sz w:val="18"/>
                <w:szCs w:val="18"/>
              </w:rPr>
            </w:pPr>
            <w:r w:rsidRPr="004B2C5D">
              <w:rPr>
                <w:rFonts w:ascii="Arial Narrow" w:hAnsi="Arial Narrow"/>
                <w:b/>
                <w:color w:val="FFFFFF" w:themeColor="background1"/>
                <w:sz w:val="18"/>
                <w:szCs w:val="18"/>
              </w:rPr>
              <w:t>204.728</w:t>
            </w:r>
          </w:p>
        </w:tc>
        <w:tc>
          <w:tcPr>
            <w:tcW w:w="679" w:type="dxa"/>
            <w:shd w:val="clear" w:color="auto" w:fill="00527F"/>
            <w:vAlign w:val="center"/>
          </w:tcPr>
          <w:p w14:paraId="05EE446C" w14:textId="77777777" w:rsidR="004B2C5D" w:rsidRPr="0016442A" w:rsidRDefault="004B2C5D" w:rsidP="00F76C09">
            <w:pPr>
              <w:spacing w:before="40" w:after="20"/>
              <w:ind w:right="113"/>
              <w:jc w:val="right"/>
              <w:rPr>
                <w:rFonts w:ascii="Arial Narrow" w:hAnsi="Arial Narrow"/>
                <w:b/>
                <w:color w:val="FFFFFF" w:themeColor="background1"/>
                <w:sz w:val="18"/>
                <w:szCs w:val="18"/>
              </w:rPr>
            </w:pPr>
            <w:r w:rsidRPr="00611506">
              <w:rPr>
                <w:rFonts w:ascii="Arial Narrow" w:hAnsi="Arial Narrow"/>
                <w:b/>
                <w:color w:val="FFFFFF" w:themeColor="background1"/>
                <w:sz w:val="18"/>
                <w:szCs w:val="18"/>
              </w:rPr>
              <w:t>159.248</w:t>
            </w:r>
          </w:p>
        </w:tc>
        <w:tc>
          <w:tcPr>
            <w:tcW w:w="679" w:type="dxa"/>
            <w:shd w:val="clear" w:color="auto" w:fill="00527F"/>
            <w:vAlign w:val="center"/>
          </w:tcPr>
          <w:p w14:paraId="20C38FD2" w14:textId="77777777" w:rsidR="004B2C5D" w:rsidRPr="0016442A" w:rsidRDefault="004B2C5D" w:rsidP="00F76C09">
            <w:pPr>
              <w:spacing w:before="40" w:after="20"/>
              <w:ind w:right="113"/>
              <w:jc w:val="right"/>
              <w:rPr>
                <w:rFonts w:ascii="Arial Narrow" w:hAnsi="Arial Narrow"/>
                <w:b/>
                <w:color w:val="FFFFFF" w:themeColor="background1"/>
                <w:sz w:val="18"/>
                <w:szCs w:val="18"/>
              </w:rPr>
            </w:pPr>
            <w:r>
              <w:rPr>
                <w:rFonts w:ascii="Arial Narrow" w:hAnsi="Arial Narrow"/>
                <w:b/>
                <w:color w:val="FFFFFF" w:themeColor="background1"/>
                <w:sz w:val="18"/>
                <w:szCs w:val="18"/>
              </w:rPr>
              <w:t>241.384</w:t>
            </w:r>
          </w:p>
        </w:tc>
        <w:tc>
          <w:tcPr>
            <w:tcW w:w="653" w:type="dxa"/>
            <w:shd w:val="clear" w:color="auto" w:fill="00527F"/>
            <w:vAlign w:val="center"/>
          </w:tcPr>
          <w:p w14:paraId="097121B1" w14:textId="77777777" w:rsidR="004B2C5D" w:rsidRPr="004B2C5D" w:rsidRDefault="00D72215" w:rsidP="00F76C09">
            <w:pPr>
              <w:spacing w:before="40" w:after="20"/>
              <w:ind w:right="113"/>
              <w:jc w:val="right"/>
              <w:rPr>
                <w:rFonts w:ascii="Arial Narrow" w:hAnsi="Arial Narrow"/>
                <w:b/>
                <w:color w:val="FFFFFF" w:themeColor="background1"/>
                <w:sz w:val="18"/>
                <w:szCs w:val="18"/>
              </w:rPr>
            </w:pPr>
            <w:r>
              <w:rPr>
                <w:rFonts w:ascii="Arial Narrow" w:hAnsi="Arial Narrow"/>
                <w:b/>
                <w:color w:val="FFFFFF" w:themeColor="background1"/>
                <w:sz w:val="18"/>
                <w:szCs w:val="18"/>
              </w:rPr>
              <w:t>+</w:t>
            </w:r>
            <w:r w:rsidR="004B2C5D" w:rsidRPr="004B2C5D">
              <w:rPr>
                <w:rFonts w:ascii="Arial Narrow" w:hAnsi="Arial Narrow"/>
                <w:b/>
                <w:color w:val="FFFFFF" w:themeColor="background1"/>
                <w:sz w:val="18"/>
                <w:szCs w:val="18"/>
              </w:rPr>
              <w:t>28,4</w:t>
            </w:r>
          </w:p>
        </w:tc>
        <w:tc>
          <w:tcPr>
            <w:tcW w:w="654" w:type="dxa"/>
            <w:shd w:val="clear" w:color="auto" w:fill="00527F"/>
            <w:vAlign w:val="center"/>
          </w:tcPr>
          <w:p w14:paraId="542631D5" w14:textId="77777777" w:rsidR="004B2C5D" w:rsidRPr="004B2C5D" w:rsidRDefault="00D72215" w:rsidP="00F76C09">
            <w:pPr>
              <w:spacing w:before="40" w:after="20"/>
              <w:ind w:right="113"/>
              <w:jc w:val="right"/>
              <w:rPr>
                <w:rFonts w:ascii="Arial Narrow" w:hAnsi="Arial Narrow"/>
                <w:b/>
                <w:color w:val="FFFFFF" w:themeColor="background1"/>
                <w:sz w:val="18"/>
                <w:szCs w:val="18"/>
              </w:rPr>
            </w:pPr>
            <w:r>
              <w:rPr>
                <w:rFonts w:ascii="Arial Narrow" w:hAnsi="Arial Narrow"/>
                <w:b/>
                <w:color w:val="FFFFFF" w:themeColor="background1"/>
                <w:sz w:val="18"/>
                <w:szCs w:val="18"/>
              </w:rPr>
              <w:t>+</w:t>
            </w:r>
            <w:r w:rsidR="004B2C5D" w:rsidRPr="004B2C5D">
              <w:rPr>
                <w:rFonts w:ascii="Arial Narrow" w:hAnsi="Arial Narrow"/>
                <w:b/>
                <w:color w:val="FFFFFF" w:themeColor="background1"/>
                <w:sz w:val="18"/>
                <w:szCs w:val="18"/>
              </w:rPr>
              <w:t>20,0</w:t>
            </w:r>
          </w:p>
        </w:tc>
        <w:tc>
          <w:tcPr>
            <w:tcW w:w="653" w:type="dxa"/>
            <w:shd w:val="clear" w:color="auto" w:fill="00527F"/>
            <w:vAlign w:val="center"/>
          </w:tcPr>
          <w:p w14:paraId="58528A80" w14:textId="77777777" w:rsidR="004B2C5D" w:rsidRPr="004B2C5D" w:rsidRDefault="004B2C5D" w:rsidP="00F76C09">
            <w:pPr>
              <w:spacing w:before="40" w:after="20"/>
              <w:ind w:right="113"/>
              <w:jc w:val="right"/>
              <w:rPr>
                <w:rFonts w:ascii="Arial Narrow" w:hAnsi="Arial Narrow"/>
                <w:b/>
                <w:color w:val="FFFFFF" w:themeColor="background1"/>
                <w:sz w:val="18"/>
                <w:szCs w:val="18"/>
              </w:rPr>
            </w:pPr>
            <w:r w:rsidRPr="004B2C5D">
              <w:rPr>
                <w:rFonts w:ascii="Arial Narrow" w:hAnsi="Arial Narrow"/>
                <w:b/>
                <w:color w:val="FFFFFF" w:themeColor="background1"/>
                <w:sz w:val="18"/>
                <w:szCs w:val="18"/>
              </w:rPr>
              <w:t>-11,8</w:t>
            </w:r>
          </w:p>
        </w:tc>
        <w:tc>
          <w:tcPr>
            <w:tcW w:w="654" w:type="dxa"/>
            <w:shd w:val="clear" w:color="auto" w:fill="00527F"/>
            <w:vAlign w:val="center"/>
          </w:tcPr>
          <w:p w14:paraId="71982D55" w14:textId="77777777" w:rsidR="004B2C5D" w:rsidRPr="004B2C5D" w:rsidRDefault="004B2C5D" w:rsidP="00F76C09">
            <w:pPr>
              <w:spacing w:before="40" w:after="20"/>
              <w:ind w:right="113"/>
              <w:jc w:val="right"/>
              <w:rPr>
                <w:rFonts w:ascii="Arial Narrow" w:hAnsi="Arial Narrow"/>
                <w:b/>
                <w:color w:val="FFFFFF" w:themeColor="background1"/>
                <w:sz w:val="18"/>
                <w:szCs w:val="18"/>
              </w:rPr>
            </w:pPr>
            <w:r w:rsidRPr="004B2C5D">
              <w:rPr>
                <w:rFonts w:ascii="Arial Narrow" w:hAnsi="Arial Narrow"/>
                <w:b/>
                <w:color w:val="FFFFFF" w:themeColor="background1"/>
                <w:sz w:val="18"/>
                <w:szCs w:val="18"/>
              </w:rPr>
              <w:t>-9,4</w:t>
            </w:r>
          </w:p>
        </w:tc>
      </w:tr>
    </w:tbl>
    <w:p w14:paraId="627991F5" w14:textId="77777777" w:rsidR="009511D4" w:rsidRPr="000637AD" w:rsidRDefault="009511D4" w:rsidP="009511D4">
      <w:pPr>
        <w:pStyle w:val="Rientrocorpodeltesto3"/>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6378"/>
          <w:tab w:val="clear" w:pos="7092"/>
          <w:tab w:val="clear" w:pos="7800"/>
        </w:tabs>
        <w:ind w:firstLine="0"/>
        <w:rPr>
          <w:rFonts w:ascii="Times New Roman" w:hAnsi="Times New Roman"/>
          <w:b/>
          <w:color w:val="FFFFFF" w:themeColor="background1"/>
          <w:sz w:val="4"/>
          <w:szCs w:val="4"/>
        </w:rPr>
      </w:pPr>
    </w:p>
    <w:p w14:paraId="6CE14F39" w14:textId="77777777" w:rsidR="00611506" w:rsidRDefault="00500916" w:rsidP="00675C06">
      <w:pPr>
        <w:pStyle w:val="Rientrocorpodeltesto3"/>
        <w:numPr>
          <w:ilvl w:val="0"/>
          <w:numId w:val="2"/>
        </w:numPr>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6378"/>
          <w:tab w:val="clear" w:pos="7092"/>
          <w:tab w:val="clear" w:pos="7800"/>
          <w:tab w:val="left" w:pos="142"/>
          <w:tab w:val="left" w:pos="284"/>
        </w:tabs>
        <w:ind w:left="0" w:firstLine="0"/>
        <w:rPr>
          <w:rFonts w:ascii="Arial Narrow" w:hAnsi="Arial Narrow" w:cs="Arial"/>
          <w:sz w:val="15"/>
          <w:szCs w:val="15"/>
        </w:rPr>
      </w:pPr>
      <w:r w:rsidRPr="00F4099C">
        <w:rPr>
          <w:rFonts w:ascii="Arial Narrow" w:hAnsi="Arial Narrow" w:cs="Arial"/>
          <w:sz w:val="15"/>
          <w:szCs w:val="15"/>
        </w:rPr>
        <w:t>Sono incluse nella categoria “Strade urbane” anche le Provinciali, Statal</w:t>
      </w:r>
      <w:r w:rsidR="004E3FB1" w:rsidRPr="00F4099C">
        <w:rPr>
          <w:rFonts w:ascii="Arial Narrow" w:hAnsi="Arial Narrow" w:cs="Arial"/>
          <w:sz w:val="15"/>
          <w:szCs w:val="15"/>
        </w:rPr>
        <w:t>i e Regionali</w:t>
      </w:r>
      <w:r w:rsidRPr="00F4099C">
        <w:rPr>
          <w:rFonts w:ascii="Arial Narrow" w:hAnsi="Arial Narrow" w:cs="Arial"/>
          <w:sz w:val="15"/>
          <w:szCs w:val="15"/>
        </w:rPr>
        <w:t xml:space="preserve"> entro l’abitato. </w:t>
      </w:r>
      <w:r w:rsidR="00EE0E92" w:rsidRPr="00F4099C">
        <w:rPr>
          <w:rFonts w:ascii="Arial Narrow" w:hAnsi="Arial Narrow" w:cs="Arial"/>
          <w:sz w:val="15"/>
          <w:szCs w:val="15"/>
        </w:rPr>
        <w:t>Sono incluse</w:t>
      </w:r>
      <w:r w:rsidR="009F6592" w:rsidRPr="00F4099C">
        <w:rPr>
          <w:rFonts w:ascii="Arial Narrow" w:hAnsi="Arial Narrow" w:cs="Arial"/>
          <w:sz w:val="15"/>
          <w:szCs w:val="15"/>
        </w:rPr>
        <w:t xml:space="preserve"> nella categoria </w:t>
      </w:r>
      <w:r w:rsidR="009516CC" w:rsidRPr="00F4099C">
        <w:rPr>
          <w:rFonts w:ascii="Arial Narrow" w:hAnsi="Arial Narrow" w:cs="Arial"/>
          <w:sz w:val="15"/>
          <w:szCs w:val="15"/>
        </w:rPr>
        <w:t>“</w:t>
      </w:r>
      <w:r w:rsidR="00701581">
        <w:rPr>
          <w:rFonts w:ascii="Arial Narrow" w:hAnsi="Arial Narrow" w:cs="Arial"/>
          <w:sz w:val="15"/>
          <w:szCs w:val="15"/>
        </w:rPr>
        <w:t>Strade extraurbane</w:t>
      </w:r>
      <w:r w:rsidR="009516CC" w:rsidRPr="00F4099C">
        <w:rPr>
          <w:rFonts w:ascii="Arial Narrow" w:hAnsi="Arial Narrow" w:cs="Arial"/>
          <w:sz w:val="15"/>
          <w:szCs w:val="15"/>
        </w:rPr>
        <w:t>”</w:t>
      </w:r>
      <w:r w:rsidR="009F6592" w:rsidRPr="00F4099C">
        <w:rPr>
          <w:rFonts w:ascii="Arial Narrow" w:hAnsi="Arial Narrow" w:cs="Arial"/>
          <w:sz w:val="15"/>
          <w:szCs w:val="15"/>
        </w:rPr>
        <w:t>,</w:t>
      </w:r>
      <w:r w:rsidR="000502D9">
        <w:rPr>
          <w:rFonts w:ascii="Arial Narrow" w:hAnsi="Arial Narrow" w:cs="Arial"/>
          <w:sz w:val="15"/>
          <w:szCs w:val="15"/>
        </w:rPr>
        <w:t xml:space="preserve"> </w:t>
      </w:r>
      <w:r w:rsidR="009516CC" w:rsidRPr="00F4099C">
        <w:rPr>
          <w:rFonts w:ascii="Arial Narrow" w:hAnsi="Arial Narrow" w:cs="Arial"/>
          <w:sz w:val="15"/>
          <w:szCs w:val="15"/>
        </w:rPr>
        <w:t xml:space="preserve">le </w:t>
      </w:r>
      <w:r w:rsidR="00AF4DC3" w:rsidRPr="00F4099C">
        <w:rPr>
          <w:rFonts w:ascii="Arial Narrow" w:hAnsi="Arial Narrow" w:cs="Arial"/>
          <w:sz w:val="15"/>
          <w:szCs w:val="15"/>
        </w:rPr>
        <w:t>s</w:t>
      </w:r>
      <w:r w:rsidR="009516CC" w:rsidRPr="00F4099C">
        <w:rPr>
          <w:rFonts w:ascii="Arial Narrow" w:hAnsi="Arial Narrow" w:cs="Arial"/>
          <w:sz w:val="15"/>
          <w:szCs w:val="15"/>
        </w:rPr>
        <w:t xml:space="preserve">trade Statali, </w:t>
      </w:r>
      <w:r w:rsidR="002E5933" w:rsidRPr="00F4099C">
        <w:rPr>
          <w:rFonts w:ascii="Arial Narrow" w:hAnsi="Arial Narrow" w:cs="Arial"/>
          <w:sz w:val="15"/>
          <w:szCs w:val="15"/>
        </w:rPr>
        <w:t xml:space="preserve">Regionali e </w:t>
      </w:r>
      <w:r w:rsidR="009516CC" w:rsidRPr="00F4099C">
        <w:rPr>
          <w:rFonts w:ascii="Arial Narrow" w:hAnsi="Arial Narrow" w:cs="Arial"/>
          <w:sz w:val="15"/>
          <w:szCs w:val="15"/>
        </w:rPr>
        <w:t>Provinciali</w:t>
      </w:r>
      <w:r w:rsidR="002E5933" w:rsidRPr="00F4099C">
        <w:rPr>
          <w:rFonts w:ascii="Arial Narrow" w:hAnsi="Arial Narrow" w:cs="Arial"/>
          <w:sz w:val="15"/>
          <w:szCs w:val="15"/>
        </w:rPr>
        <w:t xml:space="preserve"> fuori dall’abitato e </w:t>
      </w:r>
      <w:r w:rsidR="009516CC" w:rsidRPr="00F4099C">
        <w:rPr>
          <w:rFonts w:ascii="Arial Narrow" w:hAnsi="Arial Narrow" w:cs="Arial"/>
          <w:sz w:val="15"/>
          <w:szCs w:val="15"/>
        </w:rPr>
        <w:t>Comunali extraurbane</w:t>
      </w:r>
      <w:r w:rsidR="002E5933" w:rsidRPr="00F4099C">
        <w:rPr>
          <w:rFonts w:ascii="Arial Narrow" w:hAnsi="Arial Narrow" w:cs="Arial"/>
          <w:sz w:val="15"/>
          <w:szCs w:val="15"/>
        </w:rPr>
        <w:t>.</w:t>
      </w:r>
      <w:r w:rsidR="009516CC" w:rsidRPr="00F4099C">
        <w:rPr>
          <w:rFonts w:ascii="Arial Narrow" w:hAnsi="Arial Narrow" w:cs="Arial"/>
          <w:sz w:val="15"/>
          <w:szCs w:val="15"/>
        </w:rPr>
        <w:t xml:space="preserve"> </w:t>
      </w:r>
    </w:p>
    <w:p w14:paraId="051A9F9B" w14:textId="0E43876D" w:rsidR="00DD5402" w:rsidRDefault="00DD5402" w:rsidP="00DD5402">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ind w:right="-34" w:firstLine="0"/>
        <w:rPr>
          <w:rFonts w:ascii="Arial Narrow" w:hAnsi="Arial Narrow"/>
          <w:b/>
          <w:bCs/>
          <w:caps/>
          <w:color w:val="808080"/>
        </w:rPr>
      </w:pPr>
    </w:p>
    <w:p w14:paraId="43EB2881" w14:textId="77777777" w:rsidR="00675C06" w:rsidRDefault="00675C06" w:rsidP="00DD5402">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ind w:right="-34" w:firstLine="0"/>
        <w:rPr>
          <w:rFonts w:ascii="Arial Narrow" w:hAnsi="Arial Narrow"/>
          <w:b/>
          <w:bCs/>
          <w:caps/>
          <w:color w:val="808080"/>
        </w:rPr>
      </w:pPr>
    </w:p>
    <w:p w14:paraId="1B03DBAB" w14:textId="7E0EF447" w:rsidR="006B236A" w:rsidRDefault="00DD5402" w:rsidP="008A388C">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spacing w:after="120"/>
        <w:ind w:right="-34" w:firstLine="0"/>
        <w:rPr>
          <w:rFonts w:ascii="Arial Narrow" w:hAnsi="Arial Narrow"/>
          <w:sz w:val="19"/>
          <w:szCs w:val="19"/>
        </w:rPr>
      </w:pPr>
      <w:r>
        <w:rPr>
          <w:rFonts w:ascii="Arial Narrow" w:hAnsi="Arial Narrow"/>
          <w:b/>
          <w:bCs/>
          <w:caps/>
          <w:color w:val="808080"/>
        </w:rPr>
        <w:t>Fi</w:t>
      </w:r>
      <w:r w:rsidR="00611506" w:rsidRPr="00C46AFB">
        <w:rPr>
          <w:rFonts w:ascii="Arial Narrow" w:hAnsi="Arial Narrow"/>
          <w:b/>
          <w:bCs/>
          <w:caps/>
          <w:color w:val="808080"/>
        </w:rPr>
        <w:t xml:space="preserve">GURA </w:t>
      </w:r>
      <w:r w:rsidR="00724E95">
        <w:rPr>
          <w:rFonts w:ascii="Arial Narrow" w:hAnsi="Arial Narrow"/>
          <w:b/>
          <w:bCs/>
          <w:caps/>
          <w:color w:val="808080"/>
        </w:rPr>
        <w:t>11</w:t>
      </w:r>
      <w:r w:rsidR="00611506">
        <w:rPr>
          <w:rFonts w:ascii="Arial Narrow" w:hAnsi="Arial Narrow"/>
          <w:b/>
          <w:bCs/>
          <w:caps/>
          <w:color w:val="808080"/>
        </w:rPr>
        <w:t xml:space="preserve">. Incidenti stradali, </w:t>
      </w:r>
      <w:r w:rsidR="00611506" w:rsidRPr="00C46AFB">
        <w:rPr>
          <w:rFonts w:ascii="Arial Narrow" w:hAnsi="Arial Narrow"/>
          <w:b/>
          <w:bCs/>
          <w:caps/>
          <w:color w:val="808080"/>
        </w:rPr>
        <w:t>morti</w:t>
      </w:r>
      <w:r w:rsidR="00611506">
        <w:rPr>
          <w:rFonts w:ascii="Arial Narrow" w:hAnsi="Arial Narrow"/>
          <w:b/>
          <w:bCs/>
          <w:caps/>
          <w:color w:val="808080"/>
        </w:rPr>
        <w:t xml:space="preserve"> E FERITI</w:t>
      </w:r>
      <w:r w:rsidR="00611506" w:rsidRPr="00C46AFB">
        <w:rPr>
          <w:rFonts w:ascii="Arial Narrow" w:hAnsi="Arial Narrow"/>
          <w:b/>
          <w:bCs/>
          <w:caps/>
          <w:color w:val="808080"/>
        </w:rPr>
        <w:t xml:space="preserve"> per categoria di strada </w:t>
      </w:r>
      <w:r w:rsidR="00611506" w:rsidRPr="00314A1C">
        <w:rPr>
          <w:rFonts w:ascii="Arial Narrow" w:hAnsi="Arial Narrow"/>
          <w:sz w:val="19"/>
          <w:szCs w:val="19"/>
        </w:rPr>
        <w:t>(a).</w:t>
      </w:r>
      <w:r w:rsidR="00611506">
        <w:rPr>
          <w:rFonts w:ascii="Arial Narrow" w:hAnsi="Arial Narrow"/>
          <w:sz w:val="19"/>
          <w:szCs w:val="19"/>
        </w:rPr>
        <w:t xml:space="preserve"> Anno 202</w:t>
      </w:r>
      <w:r w:rsidR="007A2931">
        <w:rPr>
          <w:rFonts w:ascii="Arial Narrow" w:hAnsi="Arial Narrow"/>
          <w:sz w:val="19"/>
          <w:szCs w:val="19"/>
        </w:rPr>
        <w:t>1</w:t>
      </w:r>
      <w:r w:rsidR="00611506">
        <w:rPr>
          <w:rFonts w:ascii="Arial Narrow" w:hAnsi="Arial Narrow"/>
          <w:sz w:val="19"/>
          <w:szCs w:val="19"/>
        </w:rPr>
        <w:t>, v</w:t>
      </w:r>
      <w:r w:rsidR="00611506" w:rsidRPr="00314A1C">
        <w:rPr>
          <w:rFonts w:ascii="Arial Narrow" w:hAnsi="Arial Narrow"/>
          <w:sz w:val="19"/>
          <w:szCs w:val="19"/>
        </w:rPr>
        <w:t>alori percentuali</w:t>
      </w:r>
    </w:p>
    <w:tbl>
      <w:tblPr>
        <w:tblStyle w:val="Grigliatabella"/>
        <w:tblW w:w="0" w:type="auto"/>
        <w:tblInd w:w="28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835"/>
        <w:gridCol w:w="2693"/>
        <w:gridCol w:w="3740"/>
      </w:tblGrid>
      <w:tr w:rsidR="00DD5402" w14:paraId="58629B1F" w14:textId="77777777" w:rsidTr="002B0091">
        <w:trPr>
          <w:trHeight w:val="2638"/>
        </w:trPr>
        <w:tc>
          <w:tcPr>
            <w:tcW w:w="2835" w:type="dxa"/>
          </w:tcPr>
          <w:p w14:paraId="33DDD358" w14:textId="3E69858A" w:rsidR="00215525" w:rsidRPr="00302890" w:rsidRDefault="00302890" w:rsidP="00215525">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spacing w:after="120"/>
              <w:ind w:right="-34" w:firstLine="0"/>
              <w:rPr>
                <w:rFonts w:ascii="Arial Narrow" w:hAnsi="Arial Narrow"/>
                <w:color w:val="1F497D" w:themeColor="text2"/>
                <w:sz w:val="19"/>
                <w:szCs w:val="19"/>
              </w:rPr>
            </w:pPr>
            <w:r>
              <w:rPr>
                <w:noProof/>
                <w:color w:val="1F497D" w:themeColor="text2"/>
              </w:rPr>
              <mc:AlternateContent>
                <mc:Choice Requires="wps">
                  <w:drawing>
                    <wp:anchor distT="0" distB="0" distL="114300" distR="114300" simplePos="0" relativeHeight="251659264" behindDoc="0" locked="0" layoutInCell="1" allowOverlap="1" wp14:anchorId="7134D23A" wp14:editId="02A97971">
                      <wp:simplePos x="0" y="0"/>
                      <wp:positionH relativeFrom="column">
                        <wp:posOffset>546735</wp:posOffset>
                      </wp:positionH>
                      <wp:positionV relativeFrom="paragraph">
                        <wp:posOffset>640080</wp:posOffset>
                      </wp:positionV>
                      <wp:extent cx="612251" cy="342900"/>
                      <wp:effectExtent l="0" t="0" r="0" b="0"/>
                      <wp:wrapNone/>
                      <wp:docPr id="54" name="Casella di testo 54"/>
                      <wp:cNvGraphicFramePr/>
                      <a:graphic xmlns:a="http://schemas.openxmlformats.org/drawingml/2006/main">
                        <a:graphicData uri="http://schemas.microsoft.com/office/word/2010/wordprocessingShape">
                          <wps:wsp>
                            <wps:cNvSpPr txBox="1"/>
                            <wps:spPr>
                              <a:xfrm>
                                <a:off x="0" y="0"/>
                                <a:ext cx="6122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88338" w14:textId="654A02F8" w:rsidR="002B0091" w:rsidRPr="00302890" w:rsidRDefault="002B0091" w:rsidP="00302890">
                                  <w:pPr>
                                    <w:jc w:val="center"/>
                                    <w:rPr>
                                      <w:b/>
                                      <w:sz w:val="16"/>
                                      <w:szCs w:val="16"/>
                                    </w:rPr>
                                  </w:pPr>
                                  <w:r w:rsidRPr="00302890">
                                    <w:rPr>
                                      <w:b/>
                                      <w:sz w:val="16"/>
                                      <w:szCs w:val="16"/>
                                    </w:rPr>
                                    <w:t>Incidenti stradali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4D23A" id="Casella di testo 54" o:spid="_x0000_s1028" type="#_x0000_t202" style="position:absolute;left:0;text-align:left;margin-left:43.05pt;margin-top:50.4pt;width:4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uBawIAAEMFAAAOAAAAZHJzL2Uyb0RvYy54bWysVN9v0zAQfkfif7D8ztJm3WDV0ql0GkKa&#10;tokO7dl17DbC8Rn72qT89ZydpK0GL0O8JGffd7+/8/VNWxu2Uz5UYAs+PhtxpqyEsrLrgn9/vvvw&#10;ibOAwpbCgFUF36vAb2bv3103bqpy2IAplWfkxIZp4wq+QXTTLAtyo2oRzsApS0oNvhZIR7/OSi8a&#10;8l6bLB+NLrMGfOk8SBUC3d52Sj5L/rVWEh+1DgqZKTjlhunr03cVv9nsWkzXXrhNJfs0xD9kUYvK&#10;UtCDq1uBgm199YerupIeAmg8k1BnoHUlVaqBqhmPXlWz3AinUi3UnOAObQr/z6182C3dk2fYfoaW&#10;Bhgb0rgwDXQZ62m1r+OfMmWkpxbuD21TLTJJl5fjPL8YcyZJdT7Jr0aprdnR2PmAXxTULAoF9zSV&#10;1Cyxuw9IAQk6QGIsC3eVMWkyxrKGApxfjJLBQUMWxkasSjPu3RwTTxLujYoYY78pzaoy5R8vErvU&#10;wni2E8QLIaWymEpPfgkdUZqSeIthjz9m9Rbjro4hMlg8GNeVBZ+qf5V2+WNIWXd4auRJ3VHEdtVS&#10;4QXPh7muoNzTuD10mxCcvKtoKPci4JPwRH2aMK0zPtJHG6DmQy9xtgH/62/3EU+MJC1nDa1SwcPP&#10;rfCKM/PVElevxpNJ3L10mFx8zOngTzWrU43d1gugqRChKLskRjyaQdQe6hfa+nmMSiphJcUuOA7i&#10;ArsFp1dDqvk8gWjbnMB7u3Qyuo5DipR7bl+Edz0vkQj9AMPSiekrenbYaGlhvkXQVeJu7HPX1b7/&#10;tKmJ0v2rEp+C03NCHd++2W8AAAD//wMAUEsDBBQABgAIAAAAIQCI4xx94AAAAAoBAAAPAAAAZHJz&#10;L2Rvd25yZXYueG1sTI/NTsMwEITvSLyDtUjcqN2IVFaIU1WRKiQEh5ZeuDnxNonwT4jdNvD0bE9w&#10;290ZzX5Trmdn2RmnOASvYLkQwNC3wQy+U3B43z5IYDFpb7QNHhV8Y4R1dXtT6sKEi9/heZ86RiE+&#10;FlpBn9JYcB7bHp2OizCiJ+0YJqcTrVPHzaQvFO4sz4RYcacHTx96PWLdY/u5PzkFL/X2Te+azMkf&#10;Wz+/Hjfj1+EjV+r+bt48AUs4pz8zXPEJHSpiasLJm8isArlakpPuQlCFq0FmObCGhvxRAq9K/r9C&#10;9QsAAP//AwBQSwECLQAUAAYACAAAACEAtoM4kv4AAADhAQAAEwAAAAAAAAAAAAAAAAAAAAAAW0Nv&#10;bnRlbnRfVHlwZXNdLnhtbFBLAQItABQABgAIAAAAIQA4/SH/1gAAAJQBAAALAAAAAAAAAAAAAAAA&#10;AC8BAABfcmVscy8ucmVsc1BLAQItABQABgAIAAAAIQAvRiuBawIAAEMFAAAOAAAAAAAAAAAAAAAA&#10;AC4CAABkcnMvZTJvRG9jLnhtbFBLAQItABQABgAIAAAAIQCI4xx94AAAAAoBAAAPAAAAAAAAAAAA&#10;AAAAAMUEAABkcnMvZG93bnJldi54bWxQSwUGAAAAAAQABADzAAAA0gUAAAAA&#10;" filled="f" stroked="f" strokeweight=".5pt">
                      <v:textbox>
                        <w:txbxContent>
                          <w:p w14:paraId="36888338" w14:textId="654A02F8" w:rsidR="002B0091" w:rsidRPr="00302890" w:rsidRDefault="002B0091" w:rsidP="00302890">
                            <w:pPr>
                              <w:jc w:val="center"/>
                              <w:rPr>
                                <w:b/>
                                <w:sz w:val="16"/>
                                <w:szCs w:val="16"/>
                              </w:rPr>
                            </w:pPr>
                            <w:r w:rsidRPr="00302890">
                              <w:rPr>
                                <w:b/>
                                <w:sz w:val="16"/>
                                <w:szCs w:val="16"/>
                              </w:rPr>
                              <w:t>Incidenti stradali</w:t>
                            </w:r>
                          </w:p>
                        </w:txbxContent>
                      </v:textbox>
                    </v:shape>
                  </w:pict>
                </mc:Fallback>
              </mc:AlternateContent>
            </w:r>
            <w:r w:rsidR="00EF6516" w:rsidRPr="00302890">
              <w:rPr>
                <w:noProof/>
                <w:color w:val="1F497D" w:themeColor="text2"/>
              </w:rPr>
              <w:drawing>
                <wp:inline distT="0" distB="0" distL="0" distR="0" wp14:anchorId="0F54CE65" wp14:editId="1C501834">
                  <wp:extent cx="1619250" cy="1581150"/>
                  <wp:effectExtent l="0" t="0" r="0" b="0"/>
                  <wp:docPr id="20" name="Grafico 20">
                    <a:extLst xmlns:a="http://schemas.openxmlformats.org/drawingml/2006/main">
                      <a:ext uri="{FF2B5EF4-FFF2-40B4-BE49-F238E27FC236}">
                        <a16:creationId xmlns:a16="http://schemas.microsoft.com/office/drawing/2014/main" id="{00000000-0008-0000-1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693" w:type="dxa"/>
          </w:tcPr>
          <w:p w14:paraId="6001B30E" w14:textId="24D63FC6" w:rsidR="00215525" w:rsidRPr="00302890" w:rsidRDefault="00EF6516" w:rsidP="00215525">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spacing w:after="120"/>
              <w:ind w:right="-34" w:firstLine="0"/>
              <w:rPr>
                <w:rFonts w:ascii="Arial Narrow" w:hAnsi="Arial Narrow"/>
                <w:b/>
                <w:sz w:val="19"/>
                <w:szCs w:val="19"/>
              </w:rPr>
            </w:pPr>
            <w:r w:rsidRPr="00302890">
              <w:rPr>
                <w:b/>
                <w:noProof/>
              </w:rPr>
              <w:drawing>
                <wp:inline distT="0" distB="0" distL="0" distR="0" wp14:anchorId="4A5960E7" wp14:editId="4D60ABD2">
                  <wp:extent cx="1590675" cy="1600200"/>
                  <wp:effectExtent l="0" t="0" r="0" b="0"/>
                  <wp:docPr id="22" name="Grafico 22">
                    <a:extLst xmlns:a="http://schemas.openxmlformats.org/drawingml/2006/main">
                      <a:ext uri="{FF2B5EF4-FFF2-40B4-BE49-F238E27FC236}">
                        <a16:creationId xmlns:a16="http://schemas.microsoft.com/office/drawing/2014/main" id="{00000000-0008-0000-1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740" w:type="dxa"/>
          </w:tcPr>
          <w:p w14:paraId="3C3F02FE" w14:textId="1039E82A" w:rsidR="00215525" w:rsidRPr="00302890" w:rsidRDefault="00EF6516" w:rsidP="00215525">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7092"/>
                <w:tab w:val="left" w:pos="6096"/>
                <w:tab w:val="left" w:pos="6237"/>
                <w:tab w:val="left" w:pos="7938"/>
                <w:tab w:val="left" w:pos="9356"/>
              </w:tabs>
              <w:spacing w:after="120"/>
              <w:ind w:right="-34" w:firstLine="0"/>
              <w:rPr>
                <w:rFonts w:ascii="Arial Narrow" w:hAnsi="Arial Narrow"/>
                <w:sz w:val="16"/>
                <w:szCs w:val="16"/>
              </w:rPr>
            </w:pPr>
            <w:r w:rsidRPr="00302890">
              <w:rPr>
                <w:noProof/>
                <w:sz w:val="16"/>
                <w:szCs w:val="16"/>
              </w:rPr>
              <w:drawing>
                <wp:inline distT="0" distB="0" distL="0" distR="0" wp14:anchorId="188C3FEB" wp14:editId="3448659C">
                  <wp:extent cx="2295525" cy="1581150"/>
                  <wp:effectExtent l="0" t="0" r="0" b="0"/>
                  <wp:docPr id="23" name="Grafico 23">
                    <a:extLst xmlns:a="http://schemas.openxmlformats.org/drawingml/2006/main">
                      <a:ext uri="{FF2B5EF4-FFF2-40B4-BE49-F238E27FC236}">
                        <a16:creationId xmlns:a16="http://schemas.microsoft.com/office/drawing/2014/main" id="{00000000-0008-0000-1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1662B2AA" w14:textId="77777777" w:rsidR="00DD5402" w:rsidRDefault="00DD5402" w:rsidP="00215525">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7092"/>
          <w:tab w:val="clear" w:pos="7800"/>
          <w:tab w:val="left" w:pos="5954"/>
          <w:tab w:val="left" w:pos="6096"/>
          <w:tab w:val="left" w:pos="6237"/>
        </w:tabs>
        <w:spacing w:after="120"/>
        <w:ind w:right="-34" w:firstLine="0"/>
      </w:pPr>
    </w:p>
    <w:p w14:paraId="176218AD" w14:textId="77777777" w:rsidR="0050583B" w:rsidRPr="00126E44" w:rsidRDefault="004754C3" w:rsidP="00215525">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7092"/>
          <w:tab w:val="clear" w:pos="7800"/>
          <w:tab w:val="left" w:pos="5954"/>
          <w:tab w:val="left" w:pos="6096"/>
          <w:tab w:val="left" w:pos="6237"/>
        </w:tabs>
        <w:spacing w:after="120"/>
        <w:ind w:right="-34" w:firstLine="0"/>
      </w:pPr>
      <w:r w:rsidRPr="00126E44">
        <w:t xml:space="preserve">Nel complesso, la </w:t>
      </w:r>
      <w:r w:rsidR="005B22DC" w:rsidRPr="00126E44">
        <w:t>maggior parte degli incidenti stradali</w:t>
      </w:r>
      <w:r w:rsidR="00C92894" w:rsidRPr="00126E44">
        <w:t xml:space="preserve"> </w:t>
      </w:r>
      <w:r w:rsidR="005B22DC" w:rsidRPr="00126E44">
        <w:t xml:space="preserve">avviene </w:t>
      </w:r>
      <w:r w:rsidR="000B773C" w:rsidRPr="00126E44">
        <w:t>tra veicoli in marcia</w:t>
      </w:r>
      <w:r w:rsidR="00F0741A" w:rsidRPr="00126E44">
        <w:t xml:space="preserve"> </w:t>
      </w:r>
      <w:r w:rsidR="007913C9" w:rsidRPr="00126E44">
        <w:t>(</w:t>
      </w:r>
      <w:r w:rsidR="00D81659">
        <w:t>67,5</w:t>
      </w:r>
      <w:r w:rsidR="00F0741A" w:rsidRPr="002C1DD0">
        <w:t>%)</w:t>
      </w:r>
      <w:r w:rsidR="0050583B" w:rsidRPr="002C1DD0">
        <w:t xml:space="preserve">. Il </w:t>
      </w:r>
      <w:r w:rsidR="00547B1B" w:rsidRPr="002C1DD0">
        <w:t>91,</w:t>
      </w:r>
      <w:r w:rsidR="002C1DD0" w:rsidRPr="002C1DD0">
        <w:t>2</w:t>
      </w:r>
      <w:r w:rsidR="0050583B" w:rsidRPr="002C1DD0">
        <w:t xml:space="preserve">% coinvolge </w:t>
      </w:r>
      <w:r w:rsidR="00072BAF" w:rsidRPr="002C1DD0">
        <w:t xml:space="preserve">due </w:t>
      </w:r>
      <w:r w:rsidR="0050583B" w:rsidRPr="002C1DD0">
        <w:t>veicoli</w:t>
      </w:r>
      <w:r w:rsidR="00547B1B" w:rsidRPr="002C1DD0">
        <w:t>, il 6,</w:t>
      </w:r>
      <w:r w:rsidR="002C1DD0" w:rsidRPr="002C1DD0">
        <w:t>7</w:t>
      </w:r>
      <w:r w:rsidR="0050583B" w:rsidRPr="002C1DD0">
        <w:t xml:space="preserve">% </w:t>
      </w:r>
      <w:r w:rsidR="00072BAF" w:rsidRPr="002C1DD0">
        <w:t xml:space="preserve">tre </w:t>
      </w:r>
      <w:r w:rsidR="0050583B" w:rsidRPr="002C1DD0">
        <w:t xml:space="preserve">veicoli e </w:t>
      </w:r>
      <w:r w:rsidR="002C1DD0" w:rsidRPr="002C1DD0">
        <w:t>il 2,1</w:t>
      </w:r>
      <w:r w:rsidR="0050583B" w:rsidRPr="002C1DD0">
        <w:t xml:space="preserve">% </w:t>
      </w:r>
      <w:r w:rsidR="00072BAF" w:rsidRPr="002C1DD0">
        <w:t xml:space="preserve">quattro </w:t>
      </w:r>
      <w:r w:rsidR="0050583B" w:rsidRPr="002C1DD0">
        <w:t>e più veicoli.</w:t>
      </w:r>
      <w:r w:rsidR="00072BAF" w:rsidRPr="002C1DD0">
        <w:t xml:space="preserve"> </w:t>
      </w:r>
      <w:r w:rsidR="00E30B7B" w:rsidRPr="002C1DD0">
        <w:t xml:space="preserve">Gli incidenti a veicolo isolato, esclusi gli investimenti di pedone, rappresentano il </w:t>
      </w:r>
      <w:r w:rsidR="0050583B" w:rsidRPr="002C1DD0">
        <w:t>2</w:t>
      </w:r>
      <w:r w:rsidR="0002467B" w:rsidRPr="002C1DD0">
        <w:t>2,</w:t>
      </w:r>
      <w:r w:rsidR="00D81659" w:rsidRPr="002C1DD0">
        <w:t>2</w:t>
      </w:r>
      <w:r w:rsidR="00E30B7B" w:rsidRPr="002C1DD0">
        <w:t>%. Gli investimenti di pedone sono</w:t>
      </w:r>
      <w:r w:rsidR="0050583B" w:rsidRPr="002C1DD0">
        <w:t>, invece,</w:t>
      </w:r>
      <w:r w:rsidR="00E30B7B" w:rsidRPr="002C1DD0">
        <w:t xml:space="preserve"> </w:t>
      </w:r>
      <w:r w:rsidR="00A66FEF" w:rsidRPr="002C1DD0">
        <w:t xml:space="preserve">il </w:t>
      </w:r>
      <w:r w:rsidR="0050583B" w:rsidRPr="002C1DD0">
        <w:t>1</w:t>
      </w:r>
      <w:r w:rsidR="0002467B" w:rsidRPr="002C1DD0">
        <w:t>0,</w:t>
      </w:r>
      <w:r w:rsidR="00D81659" w:rsidRPr="002C1DD0">
        <w:t>3</w:t>
      </w:r>
      <w:r w:rsidR="00E30B7B" w:rsidRPr="002C1DD0">
        <w:t>%</w:t>
      </w:r>
      <w:r w:rsidR="0050583B" w:rsidRPr="002C1DD0">
        <w:t xml:space="preserve"> del totale</w:t>
      </w:r>
      <w:r w:rsidR="00E30B7B" w:rsidRPr="00126E44">
        <w:t xml:space="preserve">. </w:t>
      </w:r>
    </w:p>
    <w:p w14:paraId="295964EA" w14:textId="2F6F5712" w:rsidR="00E30B7B" w:rsidRDefault="0050583B" w:rsidP="008A388C">
      <w:pPr>
        <w:pStyle w:val="Rientrocorpodeltesto3"/>
        <w:widowControl/>
        <w:tabs>
          <w:tab w:val="clear" w:pos="-1416"/>
          <w:tab w:val="clear" w:pos="-708"/>
          <w:tab w:val="clear" w:pos="0"/>
          <w:tab w:val="clear" w:pos="708"/>
          <w:tab w:val="clear" w:pos="1416"/>
          <w:tab w:val="clear" w:pos="2124"/>
          <w:tab w:val="clear" w:pos="2838"/>
          <w:tab w:val="clear" w:pos="3546"/>
          <w:tab w:val="clear" w:pos="4254"/>
          <w:tab w:val="clear" w:pos="4962"/>
          <w:tab w:val="clear" w:pos="7092"/>
          <w:tab w:val="clear" w:pos="7800"/>
          <w:tab w:val="left" w:pos="5954"/>
          <w:tab w:val="left" w:pos="6096"/>
          <w:tab w:val="left" w:pos="6237"/>
        </w:tabs>
        <w:ind w:right="-34" w:firstLine="0"/>
      </w:pPr>
      <w:r w:rsidRPr="00126E44">
        <w:t>G</w:t>
      </w:r>
      <w:r w:rsidR="00E30B7B" w:rsidRPr="00126E44">
        <w:t>li incidenti si verificano lungo un rettilineo nel</w:t>
      </w:r>
      <w:r w:rsidR="00A51999" w:rsidRPr="00126E44">
        <w:t xml:space="preserve"> </w:t>
      </w:r>
      <w:r w:rsidR="00D81659">
        <w:t>46</w:t>
      </w:r>
      <w:r w:rsidR="00E30B7B" w:rsidRPr="00126E44">
        <w:t xml:space="preserve">% dei casi sulle strade urbane e nel </w:t>
      </w:r>
      <w:r w:rsidR="0002467B" w:rsidRPr="00126E44">
        <w:t>5</w:t>
      </w:r>
      <w:r w:rsidR="00D81659">
        <w:t>6</w:t>
      </w:r>
      <w:r w:rsidR="0002467B" w:rsidRPr="00126E44">
        <w:t>,</w:t>
      </w:r>
      <w:r w:rsidR="00D81659">
        <w:t>4</w:t>
      </w:r>
      <w:r w:rsidR="00E30B7B" w:rsidRPr="00126E44">
        <w:t xml:space="preserve">% sulle extraurbane. In ambito urbano gli incidenti che </w:t>
      </w:r>
      <w:r w:rsidR="00647C5A">
        <w:t>avvengono</w:t>
      </w:r>
      <w:r w:rsidR="00E30B7B" w:rsidRPr="00126E44">
        <w:t xml:space="preserve"> in corrispondenza degli incroci rappresentano il 4</w:t>
      </w:r>
      <w:r w:rsidR="00A51999" w:rsidRPr="00126E44">
        <w:t>0</w:t>
      </w:r>
      <w:r w:rsidR="00E30B7B" w:rsidRPr="00126E44">
        <w:t>,</w:t>
      </w:r>
      <w:r w:rsidR="00D81659">
        <w:t>0</w:t>
      </w:r>
      <w:r w:rsidR="00E30B7B" w:rsidRPr="00126E44">
        <w:t xml:space="preserve">% del totale, in curva il </w:t>
      </w:r>
      <w:r w:rsidR="0002467B" w:rsidRPr="00126E44">
        <w:t>7,</w:t>
      </w:r>
      <w:r w:rsidR="00D81659">
        <w:t>3</w:t>
      </w:r>
      <w:r w:rsidR="00E30B7B" w:rsidRPr="00126E44">
        <w:t xml:space="preserve">% e nei pressi di una rotatoria il </w:t>
      </w:r>
      <w:r w:rsidR="0002467B" w:rsidRPr="00126E44">
        <w:t>5,2</w:t>
      </w:r>
      <w:r w:rsidR="00E30B7B" w:rsidRPr="00126E44">
        <w:t xml:space="preserve">%. Lungo le strade extraurbane, oltre all’alta percentuale di sinistri su rettilineo, il </w:t>
      </w:r>
      <w:r w:rsidR="00D81659">
        <w:t>22,9</w:t>
      </w:r>
      <w:r w:rsidR="00E30B7B" w:rsidRPr="00126E44">
        <w:t>% degli incidenti si verifica in curva e il 1</w:t>
      </w:r>
      <w:r w:rsidR="00A51999" w:rsidRPr="00126E44">
        <w:t>5,</w:t>
      </w:r>
      <w:r w:rsidR="00D81659">
        <w:t>1</w:t>
      </w:r>
      <w:r w:rsidR="00E30B7B" w:rsidRPr="00126E44">
        <w:t>% in corrispondenza di un incrocio.</w:t>
      </w:r>
      <w:r w:rsidR="00E30B7B" w:rsidRPr="00F0741A">
        <w:t xml:space="preserve"> </w:t>
      </w:r>
    </w:p>
    <w:p w14:paraId="65812418" w14:textId="77777777" w:rsidR="00AF6575" w:rsidRDefault="00AF6575" w:rsidP="00215525">
      <w:pPr>
        <w:spacing w:after="120"/>
        <w:jc w:val="both"/>
        <w:rPr>
          <w:b/>
          <w:bCs/>
          <w:sz w:val="22"/>
          <w:szCs w:val="22"/>
        </w:rPr>
      </w:pPr>
    </w:p>
    <w:p w14:paraId="2652AAAD" w14:textId="77777777" w:rsidR="003B0EA7" w:rsidRPr="004B0D5E" w:rsidRDefault="007664EC" w:rsidP="00CA4594">
      <w:pPr>
        <w:spacing w:after="120"/>
        <w:jc w:val="both"/>
        <w:rPr>
          <w:b/>
          <w:bCs/>
          <w:sz w:val="22"/>
          <w:szCs w:val="22"/>
        </w:rPr>
      </w:pPr>
      <w:r w:rsidRPr="004B0D5E">
        <w:rPr>
          <w:b/>
          <w:bCs/>
          <w:sz w:val="22"/>
          <w:szCs w:val="22"/>
        </w:rPr>
        <w:t>D</w:t>
      </w:r>
      <w:r w:rsidR="009D7BFC" w:rsidRPr="004B0D5E">
        <w:rPr>
          <w:b/>
          <w:bCs/>
          <w:sz w:val="22"/>
          <w:szCs w:val="22"/>
        </w:rPr>
        <w:t xml:space="preserve">istrazione </w:t>
      </w:r>
      <w:r w:rsidRPr="004B0D5E">
        <w:rPr>
          <w:b/>
          <w:bCs/>
          <w:sz w:val="22"/>
          <w:szCs w:val="22"/>
        </w:rPr>
        <w:t xml:space="preserve">alla guida sempre </w:t>
      </w:r>
      <w:r w:rsidR="009D7BFC" w:rsidRPr="004B0D5E">
        <w:rPr>
          <w:b/>
          <w:bCs/>
          <w:sz w:val="22"/>
          <w:szCs w:val="22"/>
        </w:rPr>
        <w:t>p</w:t>
      </w:r>
      <w:r w:rsidR="003B0EA7" w:rsidRPr="004B0D5E">
        <w:rPr>
          <w:b/>
          <w:bCs/>
          <w:sz w:val="22"/>
          <w:szCs w:val="22"/>
        </w:rPr>
        <w:t>rim</w:t>
      </w:r>
      <w:r w:rsidR="009D7BFC" w:rsidRPr="004B0D5E">
        <w:rPr>
          <w:b/>
          <w:bCs/>
          <w:sz w:val="22"/>
          <w:szCs w:val="22"/>
        </w:rPr>
        <w:t>a causa</w:t>
      </w:r>
      <w:r w:rsidR="003B0EA7" w:rsidRPr="004B0D5E">
        <w:rPr>
          <w:b/>
          <w:bCs/>
          <w:sz w:val="22"/>
          <w:szCs w:val="22"/>
        </w:rPr>
        <w:t xml:space="preserve"> di incidente</w:t>
      </w:r>
      <w:r w:rsidR="00130CF0" w:rsidRPr="004B0D5E">
        <w:rPr>
          <w:b/>
          <w:bCs/>
          <w:sz w:val="22"/>
          <w:szCs w:val="22"/>
        </w:rPr>
        <w:t xml:space="preserve"> </w:t>
      </w:r>
    </w:p>
    <w:p w14:paraId="36F905B0" w14:textId="77777777" w:rsidR="00CA7607" w:rsidRDefault="00670AD4" w:rsidP="00CA7607">
      <w:pPr>
        <w:spacing w:after="120"/>
        <w:jc w:val="both"/>
        <w:rPr>
          <w:sz w:val="20"/>
        </w:rPr>
      </w:pPr>
      <w:r w:rsidRPr="00CB4481">
        <w:rPr>
          <w:sz w:val="20"/>
        </w:rPr>
        <w:t xml:space="preserve">Tra </w:t>
      </w:r>
      <w:r w:rsidR="00354FD2" w:rsidRPr="00CB4481">
        <w:rPr>
          <w:sz w:val="20"/>
        </w:rPr>
        <w:t xml:space="preserve">i comportamenti errati </w:t>
      </w:r>
      <w:r w:rsidRPr="00CB4481">
        <w:rPr>
          <w:sz w:val="20"/>
        </w:rPr>
        <w:t xml:space="preserve">alla </w:t>
      </w:r>
      <w:r w:rsidR="00354FD2" w:rsidRPr="00CB4481">
        <w:rPr>
          <w:sz w:val="20"/>
        </w:rPr>
        <w:t>guida</w:t>
      </w:r>
      <w:r w:rsidR="00AA49D5" w:rsidRPr="00CB4481">
        <w:rPr>
          <w:sz w:val="20"/>
        </w:rPr>
        <w:t xml:space="preserve"> (escluso il gruppo residuale delle cause di natura imprecisata)</w:t>
      </w:r>
      <w:r w:rsidR="008A59FA" w:rsidRPr="00CB4481">
        <w:rPr>
          <w:sz w:val="20"/>
        </w:rPr>
        <w:t xml:space="preserve">, </w:t>
      </w:r>
      <w:r w:rsidR="00AA49D5" w:rsidRPr="00CB4481">
        <w:rPr>
          <w:sz w:val="20"/>
        </w:rPr>
        <w:t>i più frequenti si confermano la distrazione, il mancato rispetto della precedenza e la velocità troppo elevata</w:t>
      </w:r>
      <w:r w:rsidR="008A59FA" w:rsidRPr="00CB4481">
        <w:rPr>
          <w:sz w:val="20"/>
        </w:rPr>
        <w:t xml:space="preserve">. </w:t>
      </w:r>
      <w:r w:rsidR="00354FD2" w:rsidRPr="00CB4481">
        <w:rPr>
          <w:sz w:val="20"/>
        </w:rPr>
        <w:t xml:space="preserve">I tre gruppi costituiscono complessivamente il </w:t>
      </w:r>
      <w:r w:rsidR="00326A91">
        <w:rPr>
          <w:sz w:val="20"/>
        </w:rPr>
        <w:t>39,7</w:t>
      </w:r>
      <w:r w:rsidR="00354FD2" w:rsidRPr="00CB4481">
        <w:rPr>
          <w:sz w:val="20"/>
        </w:rPr>
        <w:t>% dei casi</w:t>
      </w:r>
      <w:r w:rsidR="006D7ACB" w:rsidRPr="00CB4481">
        <w:rPr>
          <w:sz w:val="20"/>
        </w:rPr>
        <w:t xml:space="preserve"> (</w:t>
      </w:r>
      <w:r w:rsidR="00326A91">
        <w:rPr>
          <w:sz w:val="20"/>
        </w:rPr>
        <w:t>78.477</w:t>
      </w:r>
      <w:r w:rsidR="006D7ACB" w:rsidRPr="00CB4481">
        <w:rPr>
          <w:sz w:val="20"/>
        </w:rPr>
        <w:t>)</w:t>
      </w:r>
      <w:r w:rsidR="00354FD2" w:rsidRPr="00CB4481">
        <w:rPr>
          <w:sz w:val="20"/>
        </w:rPr>
        <w:t xml:space="preserve">. Si precisa che la rilevazione condotta dall’Istat include solo le circostanze accertate o presunte per i conducenti dei primi due veicoli coinvolti nell’incidente. Gli incidenti che coinvolgono tre o più veicoli </w:t>
      </w:r>
      <w:r w:rsidR="00602922" w:rsidRPr="00CB4481">
        <w:rPr>
          <w:sz w:val="20"/>
        </w:rPr>
        <w:t>sono</w:t>
      </w:r>
      <w:r w:rsidR="00612045" w:rsidRPr="00CB4481">
        <w:rPr>
          <w:sz w:val="20"/>
        </w:rPr>
        <w:t>, nel 20</w:t>
      </w:r>
      <w:r w:rsidR="000C594A" w:rsidRPr="00CB4481">
        <w:rPr>
          <w:sz w:val="20"/>
        </w:rPr>
        <w:t>2</w:t>
      </w:r>
      <w:r w:rsidR="00326A91">
        <w:rPr>
          <w:sz w:val="20"/>
        </w:rPr>
        <w:t>1</w:t>
      </w:r>
      <w:r w:rsidR="009120AD">
        <w:rPr>
          <w:sz w:val="20"/>
        </w:rPr>
        <w:t>, l’8,8</w:t>
      </w:r>
      <w:r w:rsidR="0061178A">
        <w:rPr>
          <w:sz w:val="20"/>
        </w:rPr>
        <w:t xml:space="preserve">% del totale </w:t>
      </w:r>
      <w:r w:rsidR="0061178A" w:rsidRPr="009120AD">
        <w:rPr>
          <w:sz w:val="20"/>
        </w:rPr>
        <w:t>(Prospetto 5)</w:t>
      </w:r>
      <w:r w:rsidR="0061178A">
        <w:rPr>
          <w:sz w:val="20"/>
        </w:rPr>
        <w:t>.</w:t>
      </w:r>
      <w:r w:rsidR="00354FD2" w:rsidRPr="00CB4481">
        <w:rPr>
          <w:sz w:val="20"/>
        </w:rPr>
        <w:t xml:space="preserve"> </w:t>
      </w:r>
    </w:p>
    <w:p w14:paraId="0A5BF80C" w14:textId="1815D296" w:rsidR="00CA7607" w:rsidRPr="009120AD" w:rsidRDefault="00CA7607" w:rsidP="00CA7607">
      <w:pPr>
        <w:spacing w:after="120"/>
        <w:jc w:val="both"/>
        <w:rPr>
          <w:sz w:val="20"/>
        </w:rPr>
      </w:pPr>
      <w:r w:rsidRPr="009120AD">
        <w:rPr>
          <w:sz w:val="20"/>
        </w:rPr>
        <w:t>Tra le altre cause più rilevanti,</w:t>
      </w:r>
      <w:r>
        <w:rPr>
          <w:sz w:val="20"/>
        </w:rPr>
        <w:t xml:space="preserve"> la manovra irregolare (15.534</w:t>
      </w:r>
      <w:r w:rsidRPr="009120AD">
        <w:rPr>
          <w:sz w:val="20"/>
        </w:rPr>
        <w:t>), la mancanza della distanza di sicurezza (</w:t>
      </w:r>
      <w:r>
        <w:rPr>
          <w:sz w:val="20"/>
        </w:rPr>
        <w:t>14.081</w:t>
      </w:r>
      <w:r w:rsidRPr="009120AD">
        <w:rPr>
          <w:sz w:val="20"/>
        </w:rPr>
        <w:t xml:space="preserve"> casi), la man</w:t>
      </w:r>
      <w:r>
        <w:rPr>
          <w:sz w:val="20"/>
        </w:rPr>
        <w:t>canza di precedenza al pedone (5</w:t>
      </w:r>
      <w:r w:rsidRPr="009120AD">
        <w:rPr>
          <w:sz w:val="20"/>
        </w:rPr>
        <w:t>.</w:t>
      </w:r>
      <w:r>
        <w:rPr>
          <w:sz w:val="20"/>
        </w:rPr>
        <w:t>954</w:t>
      </w:r>
      <w:r w:rsidRPr="009120AD">
        <w:rPr>
          <w:sz w:val="20"/>
        </w:rPr>
        <w:t>) e il comportamento scorretto del pedone (</w:t>
      </w:r>
      <w:r>
        <w:rPr>
          <w:sz w:val="20"/>
        </w:rPr>
        <w:t>5.402</w:t>
      </w:r>
      <w:r w:rsidRPr="009120AD">
        <w:rPr>
          <w:sz w:val="20"/>
        </w:rPr>
        <w:t xml:space="preserve">) rappresentano rispettivamente </w:t>
      </w:r>
      <w:r w:rsidR="00647C5A">
        <w:rPr>
          <w:sz w:val="20"/>
        </w:rPr>
        <w:t xml:space="preserve">il </w:t>
      </w:r>
      <w:r>
        <w:rPr>
          <w:sz w:val="20"/>
        </w:rPr>
        <w:t>7,9%, il 7,1</w:t>
      </w:r>
      <w:r w:rsidRPr="009120AD">
        <w:rPr>
          <w:sz w:val="20"/>
        </w:rPr>
        <w:t xml:space="preserve">%, il </w:t>
      </w:r>
      <w:r>
        <w:rPr>
          <w:sz w:val="20"/>
        </w:rPr>
        <w:t>3,0</w:t>
      </w:r>
      <w:r w:rsidRPr="009120AD">
        <w:rPr>
          <w:sz w:val="20"/>
        </w:rPr>
        <w:t xml:space="preserve">% e il </w:t>
      </w:r>
      <w:r>
        <w:rPr>
          <w:sz w:val="20"/>
        </w:rPr>
        <w:t>2,7</w:t>
      </w:r>
      <w:r w:rsidRPr="009120AD">
        <w:rPr>
          <w:sz w:val="20"/>
        </w:rPr>
        <w:t>% delle cause di incidente. Con riferimento alla categoria della strada, la prima causa di incidente sulle strade urbane è il mancato rispetto delle regole d</w:t>
      </w:r>
      <w:r>
        <w:rPr>
          <w:sz w:val="20"/>
        </w:rPr>
        <w:t>i precedenza o semaforiche (17,1</w:t>
      </w:r>
      <w:r w:rsidRPr="009120AD">
        <w:rPr>
          <w:sz w:val="20"/>
        </w:rPr>
        <w:t>%) e la guida distratta (13</w:t>
      </w:r>
      <w:r>
        <w:rPr>
          <w:sz w:val="20"/>
        </w:rPr>
        <w:t>,4</w:t>
      </w:r>
      <w:r w:rsidRPr="009120AD">
        <w:rPr>
          <w:sz w:val="20"/>
        </w:rPr>
        <w:t>%), sulle strade extraurbane è la guida distratta o andamento indeciso (20,</w:t>
      </w:r>
      <w:r>
        <w:rPr>
          <w:sz w:val="20"/>
        </w:rPr>
        <w:t>8</w:t>
      </w:r>
      <w:r w:rsidR="00647C5A">
        <w:rPr>
          <w:sz w:val="20"/>
        </w:rPr>
        <w:t>%</w:t>
      </w:r>
      <w:r w:rsidRPr="009120AD">
        <w:rPr>
          <w:sz w:val="20"/>
        </w:rPr>
        <w:t>) e la velocità (13,</w:t>
      </w:r>
      <w:r>
        <w:rPr>
          <w:sz w:val="20"/>
        </w:rPr>
        <w:t>8</w:t>
      </w:r>
      <w:r w:rsidR="00647C5A">
        <w:rPr>
          <w:sz w:val="20"/>
        </w:rPr>
        <w:t>%</w:t>
      </w:r>
      <w:r w:rsidRPr="009120AD">
        <w:rPr>
          <w:sz w:val="20"/>
        </w:rPr>
        <w:t>)</w:t>
      </w:r>
      <w:r>
        <w:rPr>
          <w:sz w:val="20"/>
        </w:rPr>
        <w:t xml:space="preserve"> </w:t>
      </w:r>
      <w:r w:rsidRPr="009120AD">
        <w:rPr>
          <w:sz w:val="20"/>
        </w:rPr>
        <w:t>(Prospetto 5).</w:t>
      </w:r>
    </w:p>
    <w:p w14:paraId="26C3965F" w14:textId="77777777" w:rsidR="00DD5402" w:rsidRDefault="00DD5402" w:rsidP="00E92A67">
      <w:pPr>
        <w:rPr>
          <w:rFonts w:ascii="Arial Narrow" w:hAnsi="Arial Narrow"/>
          <w:b/>
          <w:caps/>
          <w:color w:val="808080"/>
          <w:sz w:val="20"/>
        </w:rPr>
      </w:pPr>
    </w:p>
    <w:p w14:paraId="5CB61024" w14:textId="77777777" w:rsidR="008C5D3F" w:rsidRDefault="008C5D3F" w:rsidP="00E92A67">
      <w:pPr>
        <w:rPr>
          <w:rFonts w:ascii="Arial Narrow" w:hAnsi="Arial Narrow"/>
          <w:b/>
          <w:caps/>
          <w:color w:val="808080"/>
          <w:sz w:val="20"/>
        </w:rPr>
      </w:pPr>
    </w:p>
    <w:p w14:paraId="4F960DF1" w14:textId="77777777" w:rsidR="008C5D3F" w:rsidRDefault="008C5D3F" w:rsidP="00E92A67">
      <w:pPr>
        <w:rPr>
          <w:rFonts w:ascii="Arial Narrow" w:hAnsi="Arial Narrow"/>
          <w:b/>
          <w:caps/>
          <w:color w:val="808080"/>
          <w:sz w:val="20"/>
        </w:rPr>
      </w:pPr>
    </w:p>
    <w:p w14:paraId="4AA1C0B9" w14:textId="77777777" w:rsidR="008C5D3F" w:rsidRDefault="008C5D3F" w:rsidP="00E92A67">
      <w:pPr>
        <w:rPr>
          <w:rFonts w:ascii="Arial Narrow" w:hAnsi="Arial Narrow"/>
          <w:b/>
          <w:caps/>
          <w:color w:val="808080"/>
          <w:sz w:val="20"/>
        </w:rPr>
      </w:pPr>
    </w:p>
    <w:p w14:paraId="3A6B61CF" w14:textId="77777777" w:rsidR="008C5D3F" w:rsidRDefault="008C5D3F" w:rsidP="00E92A67">
      <w:pPr>
        <w:rPr>
          <w:rFonts w:ascii="Arial Narrow" w:hAnsi="Arial Narrow"/>
          <w:b/>
          <w:caps/>
          <w:color w:val="808080"/>
          <w:sz w:val="20"/>
        </w:rPr>
      </w:pPr>
    </w:p>
    <w:p w14:paraId="44940B8E" w14:textId="77777777" w:rsidR="008C5D3F" w:rsidRDefault="008C5D3F" w:rsidP="00E92A67">
      <w:pPr>
        <w:rPr>
          <w:rFonts w:ascii="Arial Narrow" w:hAnsi="Arial Narrow"/>
          <w:b/>
          <w:caps/>
          <w:color w:val="808080"/>
          <w:sz w:val="20"/>
        </w:rPr>
      </w:pPr>
    </w:p>
    <w:p w14:paraId="7E8C19C1" w14:textId="77777777" w:rsidR="008C5D3F" w:rsidRDefault="008C5D3F" w:rsidP="00E92A67">
      <w:pPr>
        <w:rPr>
          <w:rFonts w:ascii="Arial Narrow" w:hAnsi="Arial Narrow"/>
          <w:b/>
          <w:caps/>
          <w:color w:val="808080"/>
          <w:sz w:val="20"/>
        </w:rPr>
      </w:pPr>
    </w:p>
    <w:p w14:paraId="5FC4F2C7" w14:textId="77777777" w:rsidR="008C5D3F" w:rsidRDefault="008C5D3F" w:rsidP="00E92A67">
      <w:pPr>
        <w:rPr>
          <w:rFonts w:ascii="Arial Narrow" w:hAnsi="Arial Narrow"/>
          <w:b/>
          <w:caps/>
          <w:color w:val="808080"/>
          <w:sz w:val="20"/>
        </w:rPr>
      </w:pPr>
    </w:p>
    <w:p w14:paraId="21A2AB44" w14:textId="77777777" w:rsidR="008C5D3F" w:rsidRDefault="008C5D3F" w:rsidP="00E92A67">
      <w:pPr>
        <w:rPr>
          <w:rFonts w:ascii="Arial Narrow" w:hAnsi="Arial Narrow"/>
          <w:b/>
          <w:caps/>
          <w:color w:val="808080"/>
          <w:sz w:val="20"/>
        </w:rPr>
      </w:pPr>
    </w:p>
    <w:p w14:paraId="750671DF" w14:textId="77777777" w:rsidR="00AA5AF9" w:rsidRDefault="00AA5AF9" w:rsidP="00E92A67">
      <w:pPr>
        <w:rPr>
          <w:rFonts w:ascii="Arial Narrow" w:hAnsi="Arial Narrow"/>
          <w:b/>
          <w:caps/>
          <w:color w:val="808080"/>
          <w:sz w:val="20"/>
        </w:rPr>
      </w:pPr>
    </w:p>
    <w:p w14:paraId="7891038D" w14:textId="77777777" w:rsidR="008C5D3F" w:rsidRDefault="008C5D3F" w:rsidP="00E92A67">
      <w:pPr>
        <w:rPr>
          <w:rFonts w:ascii="Arial Narrow" w:hAnsi="Arial Narrow"/>
          <w:b/>
          <w:caps/>
          <w:color w:val="808080"/>
          <w:sz w:val="20"/>
        </w:rPr>
      </w:pPr>
    </w:p>
    <w:p w14:paraId="60759620" w14:textId="77777777" w:rsidR="00675C39" w:rsidRPr="00983EE4" w:rsidRDefault="00675C39" w:rsidP="00E92A67">
      <w:pPr>
        <w:rPr>
          <w:rFonts w:ascii="Arial Narrow" w:hAnsi="Arial Narrow"/>
          <w:b/>
          <w:caps/>
          <w:color w:val="808080"/>
          <w:sz w:val="20"/>
        </w:rPr>
      </w:pPr>
      <w:r w:rsidRPr="00983EE4">
        <w:rPr>
          <w:rFonts w:ascii="Arial Narrow" w:hAnsi="Arial Narrow"/>
          <w:b/>
          <w:caps/>
          <w:color w:val="808080"/>
          <w:sz w:val="20"/>
        </w:rPr>
        <w:lastRenderedPageBreak/>
        <w:t xml:space="preserve">Prospetto </w:t>
      </w:r>
      <w:r w:rsidR="001114C4">
        <w:rPr>
          <w:rFonts w:ascii="Arial Narrow" w:hAnsi="Arial Narrow"/>
          <w:b/>
          <w:caps/>
          <w:color w:val="808080"/>
          <w:sz w:val="20"/>
        </w:rPr>
        <w:t>5</w:t>
      </w:r>
      <w:r w:rsidRPr="00983EE4">
        <w:rPr>
          <w:rFonts w:ascii="Arial Narrow" w:hAnsi="Arial Narrow"/>
          <w:b/>
          <w:caps/>
          <w:color w:val="808080"/>
          <w:sz w:val="20"/>
        </w:rPr>
        <w:t>. Cause accertate o presunte di incidente per categoria della strada</w:t>
      </w:r>
      <w:r w:rsidRPr="00983EE4">
        <w:rPr>
          <w:rStyle w:val="Rimandonotaapidipagina"/>
          <w:sz w:val="20"/>
        </w:rPr>
        <w:footnoteReference w:id="10"/>
      </w:r>
    </w:p>
    <w:p w14:paraId="1A0D324D" w14:textId="2F4923E2" w:rsidR="00675C39" w:rsidRPr="003B766D" w:rsidRDefault="00675C39" w:rsidP="00CA7607">
      <w:pPr>
        <w:spacing w:after="120"/>
        <w:rPr>
          <w:rFonts w:ascii="Arial Narrow" w:hAnsi="Arial Narrow"/>
          <w:sz w:val="19"/>
          <w:szCs w:val="19"/>
        </w:rPr>
      </w:pPr>
      <w:r w:rsidRPr="00983EE4">
        <w:rPr>
          <w:rFonts w:ascii="Arial Narrow" w:hAnsi="Arial Narrow"/>
          <w:sz w:val="19"/>
          <w:szCs w:val="19"/>
        </w:rPr>
        <w:t>Anno 20</w:t>
      </w:r>
      <w:r w:rsidR="002E10F9">
        <w:rPr>
          <w:rFonts w:ascii="Arial Narrow" w:hAnsi="Arial Narrow"/>
          <w:sz w:val="19"/>
          <w:szCs w:val="19"/>
        </w:rPr>
        <w:t>21</w:t>
      </w:r>
      <w:r w:rsidRPr="00983EE4">
        <w:rPr>
          <w:rFonts w:ascii="Arial Narrow" w:hAnsi="Arial Narrow"/>
          <w:sz w:val="19"/>
          <w:szCs w:val="19"/>
        </w:rPr>
        <w:t>, valori assoluti</w:t>
      </w:r>
      <w:r w:rsidR="008A388C">
        <w:rPr>
          <w:rFonts w:ascii="Arial Narrow" w:hAnsi="Arial Narrow"/>
          <w:sz w:val="19"/>
          <w:szCs w:val="19"/>
        </w:rPr>
        <w:t xml:space="preserve"> (V.A.)</w:t>
      </w:r>
      <w:r w:rsidRPr="00983EE4">
        <w:rPr>
          <w:rFonts w:ascii="Arial Narrow" w:hAnsi="Arial Narrow"/>
          <w:sz w:val="19"/>
          <w:szCs w:val="19"/>
        </w:rPr>
        <w:t xml:space="preserve"> e composizione </w:t>
      </w:r>
      <w:r w:rsidRPr="003B766D">
        <w:rPr>
          <w:rFonts w:ascii="Arial Narrow" w:hAnsi="Arial Narrow"/>
          <w:sz w:val="19"/>
          <w:szCs w:val="19"/>
        </w:rPr>
        <w:t>percentuale (a)</w:t>
      </w:r>
    </w:p>
    <w:tbl>
      <w:tblPr>
        <w:tblW w:w="9851"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890"/>
        <w:gridCol w:w="826"/>
        <w:gridCol w:w="827"/>
        <w:gridCol w:w="827"/>
        <w:gridCol w:w="827"/>
        <w:gridCol w:w="827"/>
        <w:gridCol w:w="827"/>
      </w:tblGrid>
      <w:tr w:rsidR="00675C39" w:rsidRPr="003D5C4E" w14:paraId="728AEDB8" w14:textId="77777777" w:rsidTr="007125C7">
        <w:trPr>
          <w:trHeight w:val="255"/>
        </w:trPr>
        <w:tc>
          <w:tcPr>
            <w:tcW w:w="4890" w:type="dxa"/>
            <w:vMerge w:val="restart"/>
            <w:shd w:val="clear" w:color="auto" w:fill="auto"/>
            <w:noWrap/>
            <w:vAlign w:val="center"/>
          </w:tcPr>
          <w:p w14:paraId="074F844D" w14:textId="77777777" w:rsidR="00675C39" w:rsidRPr="004B7930" w:rsidRDefault="00675C39" w:rsidP="00F76C09">
            <w:pPr>
              <w:spacing w:before="40" w:after="20"/>
              <w:rPr>
                <w:rFonts w:ascii="Arial Narrow" w:hAnsi="Arial Narrow"/>
                <w:sz w:val="18"/>
                <w:szCs w:val="18"/>
              </w:rPr>
            </w:pPr>
            <w:bookmarkStart w:id="3" w:name="OLE_LINK5"/>
            <w:r w:rsidRPr="004B7930">
              <w:rPr>
                <w:rFonts w:ascii="Arial Narrow" w:hAnsi="Arial Narrow"/>
                <w:b/>
                <w:bCs/>
                <w:sz w:val="18"/>
                <w:szCs w:val="18"/>
              </w:rPr>
              <w:t>DESCRIZIONE CAUSE</w:t>
            </w:r>
          </w:p>
        </w:tc>
        <w:tc>
          <w:tcPr>
            <w:tcW w:w="1653" w:type="dxa"/>
            <w:gridSpan w:val="2"/>
            <w:shd w:val="clear" w:color="auto" w:fill="D9D9D9" w:themeFill="background1" w:themeFillShade="D9"/>
            <w:noWrap/>
            <w:vAlign w:val="center"/>
          </w:tcPr>
          <w:p w14:paraId="109326A9" w14:textId="77777777" w:rsidR="00675C39" w:rsidRPr="0001656F" w:rsidRDefault="00675C39" w:rsidP="00F76C09">
            <w:pPr>
              <w:spacing w:before="40" w:after="20"/>
              <w:jc w:val="center"/>
              <w:rPr>
                <w:rFonts w:ascii="Arial Narrow" w:hAnsi="Arial Narrow"/>
                <w:b/>
                <w:bCs/>
                <w:sz w:val="18"/>
                <w:szCs w:val="18"/>
              </w:rPr>
            </w:pPr>
            <w:r w:rsidRPr="0001656F">
              <w:rPr>
                <w:rFonts w:ascii="Arial Narrow" w:hAnsi="Arial Narrow"/>
                <w:b/>
                <w:bCs/>
                <w:sz w:val="18"/>
                <w:szCs w:val="18"/>
              </w:rPr>
              <w:t>Strade urbane</w:t>
            </w:r>
          </w:p>
        </w:tc>
        <w:tc>
          <w:tcPr>
            <w:tcW w:w="1654" w:type="dxa"/>
            <w:gridSpan w:val="2"/>
            <w:shd w:val="clear" w:color="auto" w:fill="auto"/>
            <w:noWrap/>
            <w:vAlign w:val="center"/>
          </w:tcPr>
          <w:p w14:paraId="783EED12" w14:textId="77777777" w:rsidR="00675C39" w:rsidRPr="0001656F" w:rsidRDefault="00675C39" w:rsidP="00F76C09">
            <w:pPr>
              <w:spacing w:before="40" w:after="20"/>
              <w:jc w:val="center"/>
              <w:rPr>
                <w:rFonts w:ascii="Arial Narrow" w:hAnsi="Arial Narrow"/>
                <w:b/>
                <w:bCs/>
                <w:sz w:val="18"/>
                <w:szCs w:val="18"/>
              </w:rPr>
            </w:pPr>
            <w:r w:rsidRPr="0001656F">
              <w:rPr>
                <w:rFonts w:ascii="Arial Narrow" w:hAnsi="Arial Narrow"/>
                <w:b/>
                <w:bCs/>
                <w:sz w:val="18"/>
                <w:szCs w:val="18"/>
              </w:rPr>
              <w:t>Strade extraurbane</w:t>
            </w:r>
          </w:p>
        </w:tc>
        <w:tc>
          <w:tcPr>
            <w:tcW w:w="1654" w:type="dxa"/>
            <w:gridSpan w:val="2"/>
            <w:shd w:val="clear" w:color="auto" w:fill="D9D9D9" w:themeFill="background1" w:themeFillShade="D9"/>
            <w:vAlign w:val="center"/>
          </w:tcPr>
          <w:p w14:paraId="2119B6EA" w14:textId="77777777" w:rsidR="00675C39" w:rsidRPr="0001656F" w:rsidRDefault="00675C39" w:rsidP="00F76C09">
            <w:pPr>
              <w:spacing w:before="40" w:after="20"/>
              <w:jc w:val="center"/>
              <w:rPr>
                <w:rFonts w:ascii="Arial Narrow" w:hAnsi="Arial Narrow"/>
                <w:b/>
                <w:bCs/>
                <w:sz w:val="18"/>
                <w:szCs w:val="18"/>
              </w:rPr>
            </w:pPr>
            <w:r w:rsidRPr="0001656F">
              <w:rPr>
                <w:rFonts w:ascii="Arial Narrow" w:hAnsi="Arial Narrow"/>
                <w:b/>
                <w:bCs/>
                <w:sz w:val="18"/>
                <w:szCs w:val="18"/>
              </w:rPr>
              <w:t>Totale</w:t>
            </w:r>
          </w:p>
        </w:tc>
      </w:tr>
      <w:tr w:rsidR="00675C39" w:rsidRPr="003D5C4E" w14:paraId="3152CA49" w14:textId="77777777" w:rsidTr="008A388C">
        <w:trPr>
          <w:trHeight w:val="171"/>
        </w:trPr>
        <w:tc>
          <w:tcPr>
            <w:tcW w:w="4890" w:type="dxa"/>
            <w:vMerge/>
            <w:shd w:val="clear" w:color="auto" w:fill="auto"/>
            <w:noWrap/>
            <w:vAlign w:val="center"/>
          </w:tcPr>
          <w:p w14:paraId="56CEAD52" w14:textId="77777777" w:rsidR="00675C39" w:rsidRPr="004B7930" w:rsidRDefault="00675C39" w:rsidP="00F76C09">
            <w:pPr>
              <w:spacing w:before="40" w:after="20"/>
              <w:rPr>
                <w:rFonts w:ascii="Arial Narrow" w:hAnsi="Arial Narrow"/>
                <w:b/>
                <w:bCs/>
                <w:sz w:val="18"/>
                <w:szCs w:val="18"/>
              </w:rPr>
            </w:pPr>
          </w:p>
        </w:tc>
        <w:tc>
          <w:tcPr>
            <w:tcW w:w="826" w:type="dxa"/>
            <w:shd w:val="clear" w:color="auto" w:fill="auto"/>
            <w:vAlign w:val="bottom"/>
          </w:tcPr>
          <w:p w14:paraId="51DBF7D5" w14:textId="7BE81E11" w:rsidR="00675C39" w:rsidRPr="0001656F" w:rsidRDefault="008A388C" w:rsidP="00F76C09">
            <w:pPr>
              <w:spacing w:before="40" w:after="20"/>
              <w:jc w:val="center"/>
              <w:rPr>
                <w:rFonts w:ascii="Arial Narrow" w:hAnsi="Arial Narrow"/>
                <w:bCs/>
                <w:sz w:val="18"/>
                <w:szCs w:val="18"/>
              </w:rPr>
            </w:pPr>
            <w:r>
              <w:rPr>
                <w:rFonts w:ascii="Arial Narrow" w:hAnsi="Arial Narrow"/>
                <w:bCs/>
                <w:sz w:val="18"/>
                <w:szCs w:val="18"/>
              </w:rPr>
              <w:t>V.A.</w:t>
            </w:r>
          </w:p>
        </w:tc>
        <w:tc>
          <w:tcPr>
            <w:tcW w:w="827" w:type="dxa"/>
            <w:shd w:val="clear" w:color="auto" w:fill="auto"/>
            <w:vAlign w:val="bottom"/>
          </w:tcPr>
          <w:p w14:paraId="7EBF866F" w14:textId="77777777" w:rsidR="00675C39" w:rsidRPr="0001656F" w:rsidRDefault="00675C39" w:rsidP="00F76C09">
            <w:pPr>
              <w:spacing w:before="40" w:after="20"/>
              <w:jc w:val="center"/>
              <w:rPr>
                <w:rFonts w:ascii="Arial Narrow" w:hAnsi="Arial Narrow"/>
                <w:bCs/>
                <w:sz w:val="18"/>
                <w:szCs w:val="18"/>
              </w:rPr>
            </w:pPr>
            <w:r w:rsidRPr="0001656F">
              <w:rPr>
                <w:rFonts w:ascii="Arial Narrow" w:hAnsi="Arial Narrow"/>
                <w:bCs/>
                <w:sz w:val="18"/>
                <w:szCs w:val="18"/>
              </w:rPr>
              <w:t>%</w:t>
            </w:r>
          </w:p>
        </w:tc>
        <w:tc>
          <w:tcPr>
            <w:tcW w:w="827" w:type="dxa"/>
            <w:shd w:val="clear" w:color="auto" w:fill="auto"/>
            <w:vAlign w:val="bottom"/>
          </w:tcPr>
          <w:p w14:paraId="14954B49" w14:textId="2BC67C64" w:rsidR="00675C39" w:rsidRPr="0001656F" w:rsidRDefault="008A388C" w:rsidP="00F76C09">
            <w:pPr>
              <w:spacing w:before="40" w:after="20"/>
              <w:jc w:val="center"/>
              <w:rPr>
                <w:rFonts w:ascii="Arial Narrow" w:hAnsi="Arial Narrow"/>
                <w:bCs/>
                <w:sz w:val="18"/>
                <w:szCs w:val="18"/>
              </w:rPr>
            </w:pPr>
            <w:r>
              <w:rPr>
                <w:rFonts w:ascii="Arial Narrow" w:hAnsi="Arial Narrow"/>
                <w:bCs/>
                <w:sz w:val="18"/>
                <w:szCs w:val="18"/>
              </w:rPr>
              <w:t>V.A.</w:t>
            </w:r>
          </w:p>
        </w:tc>
        <w:tc>
          <w:tcPr>
            <w:tcW w:w="827" w:type="dxa"/>
            <w:shd w:val="clear" w:color="auto" w:fill="auto"/>
            <w:vAlign w:val="bottom"/>
          </w:tcPr>
          <w:p w14:paraId="3E75E5D8" w14:textId="77777777" w:rsidR="00675C39" w:rsidRPr="0001656F" w:rsidRDefault="00675C39" w:rsidP="00F76C09">
            <w:pPr>
              <w:spacing w:before="40" w:after="20"/>
              <w:jc w:val="center"/>
              <w:rPr>
                <w:rFonts w:ascii="Arial Narrow" w:hAnsi="Arial Narrow"/>
                <w:b/>
                <w:bCs/>
                <w:sz w:val="18"/>
                <w:szCs w:val="18"/>
              </w:rPr>
            </w:pPr>
            <w:r w:rsidRPr="0001656F">
              <w:rPr>
                <w:rFonts w:ascii="Arial Narrow" w:hAnsi="Arial Narrow"/>
                <w:bCs/>
                <w:sz w:val="18"/>
                <w:szCs w:val="18"/>
              </w:rPr>
              <w:t>%</w:t>
            </w:r>
          </w:p>
        </w:tc>
        <w:tc>
          <w:tcPr>
            <w:tcW w:w="827" w:type="dxa"/>
            <w:shd w:val="clear" w:color="auto" w:fill="auto"/>
            <w:vAlign w:val="bottom"/>
          </w:tcPr>
          <w:p w14:paraId="4BFF5D65" w14:textId="028B1AF8" w:rsidR="00675C39" w:rsidRPr="0001656F" w:rsidRDefault="008A388C" w:rsidP="00F76C09">
            <w:pPr>
              <w:spacing w:before="40" w:after="20"/>
              <w:jc w:val="center"/>
              <w:rPr>
                <w:rFonts w:ascii="Arial Narrow" w:hAnsi="Arial Narrow"/>
                <w:bCs/>
                <w:sz w:val="18"/>
                <w:szCs w:val="18"/>
              </w:rPr>
            </w:pPr>
            <w:r>
              <w:rPr>
                <w:rFonts w:ascii="Arial Narrow" w:hAnsi="Arial Narrow"/>
                <w:bCs/>
                <w:sz w:val="18"/>
                <w:szCs w:val="18"/>
              </w:rPr>
              <w:t>V.A.</w:t>
            </w:r>
          </w:p>
        </w:tc>
        <w:tc>
          <w:tcPr>
            <w:tcW w:w="827" w:type="dxa"/>
            <w:shd w:val="clear" w:color="auto" w:fill="auto"/>
            <w:vAlign w:val="bottom"/>
          </w:tcPr>
          <w:p w14:paraId="1EAEC1F0" w14:textId="77777777" w:rsidR="00675C39" w:rsidRPr="0001656F" w:rsidRDefault="00675C39" w:rsidP="00F76C09">
            <w:pPr>
              <w:spacing w:before="40" w:after="20"/>
              <w:jc w:val="center"/>
              <w:rPr>
                <w:rFonts w:ascii="Arial Narrow" w:hAnsi="Arial Narrow"/>
                <w:bCs/>
                <w:sz w:val="18"/>
                <w:szCs w:val="18"/>
              </w:rPr>
            </w:pPr>
            <w:r w:rsidRPr="0001656F">
              <w:rPr>
                <w:rFonts w:ascii="Arial Narrow" w:hAnsi="Arial Narrow"/>
                <w:bCs/>
                <w:sz w:val="18"/>
                <w:szCs w:val="18"/>
              </w:rPr>
              <w:t>%</w:t>
            </w:r>
          </w:p>
        </w:tc>
      </w:tr>
      <w:tr w:rsidR="00456A50" w:rsidRPr="00FF0E65" w14:paraId="26F7D1AB" w14:textId="77777777" w:rsidTr="00DD5402">
        <w:trPr>
          <w:trHeight w:hRule="exact" w:val="255"/>
        </w:trPr>
        <w:tc>
          <w:tcPr>
            <w:tcW w:w="4890" w:type="dxa"/>
            <w:shd w:val="clear" w:color="auto" w:fill="auto"/>
            <w:noWrap/>
            <w:vAlign w:val="bottom"/>
          </w:tcPr>
          <w:p w14:paraId="502731E7" w14:textId="77777777" w:rsidR="00456A50" w:rsidRPr="0043447B" w:rsidRDefault="00456A50" w:rsidP="00F76C09">
            <w:pPr>
              <w:spacing w:before="40" w:after="20"/>
              <w:rPr>
                <w:rFonts w:ascii="Arial Narrow" w:hAnsi="Arial Narrow" w:cs="Times New Roman"/>
                <w:b/>
                <w:sz w:val="18"/>
                <w:szCs w:val="18"/>
              </w:rPr>
            </w:pPr>
            <w:bookmarkStart w:id="4" w:name="OLE_LINK2"/>
            <w:r w:rsidRPr="0043447B">
              <w:rPr>
                <w:rFonts w:ascii="Arial Narrow" w:hAnsi="Arial Narrow" w:cs="Times New Roman"/>
                <w:b/>
                <w:sz w:val="18"/>
                <w:szCs w:val="18"/>
              </w:rPr>
              <w:t>Procedeva con guida distratta o andamento indeciso</w:t>
            </w:r>
          </w:p>
        </w:tc>
        <w:tc>
          <w:tcPr>
            <w:tcW w:w="826" w:type="dxa"/>
            <w:shd w:val="clear" w:color="auto" w:fill="D9D9D9" w:themeFill="background1" w:themeFillShade="D9"/>
            <w:noWrap/>
            <w:vAlign w:val="bottom"/>
          </w:tcPr>
          <w:p w14:paraId="0AB24D87"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19.204</w:t>
            </w:r>
          </w:p>
        </w:tc>
        <w:tc>
          <w:tcPr>
            <w:tcW w:w="827" w:type="dxa"/>
            <w:shd w:val="clear" w:color="auto" w:fill="auto"/>
            <w:noWrap/>
            <w:vAlign w:val="bottom"/>
          </w:tcPr>
          <w:p w14:paraId="7554E904"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13,4</w:t>
            </w:r>
          </w:p>
        </w:tc>
        <w:tc>
          <w:tcPr>
            <w:tcW w:w="827" w:type="dxa"/>
            <w:shd w:val="clear" w:color="auto" w:fill="D9D9D9" w:themeFill="background1" w:themeFillShade="D9"/>
            <w:vAlign w:val="bottom"/>
          </w:tcPr>
          <w:p w14:paraId="557C2867"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11.274</w:t>
            </w:r>
          </w:p>
        </w:tc>
        <w:tc>
          <w:tcPr>
            <w:tcW w:w="827" w:type="dxa"/>
            <w:vAlign w:val="bottom"/>
          </w:tcPr>
          <w:p w14:paraId="1726CB44"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20,8</w:t>
            </w:r>
          </w:p>
        </w:tc>
        <w:tc>
          <w:tcPr>
            <w:tcW w:w="827" w:type="dxa"/>
            <w:shd w:val="clear" w:color="auto" w:fill="D9D9D9" w:themeFill="background1" w:themeFillShade="D9"/>
            <w:noWrap/>
            <w:vAlign w:val="bottom"/>
          </w:tcPr>
          <w:p w14:paraId="4650ACFF"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30.478</w:t>
            </w:r>
          </w:p>
        </w:tc>
        <w:tc>
          <w:tcPr>
            <w:tcW w:w="827" w:type="dxa"/>
            <w:shd w:val="clear" w:color="auto" w:fill="auto"/>
            <w:noWrap/>
            <w:vAlign w:val="bottom"/>
          </w:tcPr>
          <w:p w14:paraId="20097C72"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15,4</w:t>
            </w:r>
          </w:p>
        </w:tc>
      </w:tr>
      <w:tr w:rsidR="00456A50" w:rsidRPr="00FF0E65" w14:paraId="0177D88E" w14:textId="77777777" w:rsidTr="00DD5402">
        <w:trPr>
          <w:trHeight w:hRule="exact" w:val="255"/>
        </w:trPr>
        <w:tc>
          <w:tcPr>
            <w:tcW w:w="4890" w:type="dxa"/>
            <w:shd w:val="clear" w:color="auto" w:fill="auto"/>
            <w:noWrap/>
            <w:vAlign w:val="bottom"/>
          </w:tcPr>
          <w:p w14:paraId="0C336611" w14:textId="77777777" w:rsidR="00456A50" w:rsidRPr="0043447B" w:rsidRDefault="00456A50" w:rsidP="00F76C09">
            <w:pPr>
              <w:spacing w:before="40" w:after="20"/>
              <w:rPr>
                <w:rFonts w:ascii="Arial Narrow" w:hAnsi="Arial Narrow" w:cs="Times New Roman"/>
                <w:b/>
                <w:sz w:val="18"/>
                <w:szCs w:val="18"/>
              </w:rPr>
            </w:pPr>
            <w:r w:rsidRPr="0043447B">
              <w:rPr>
                <w:rFonts w:ascii="Arial Narrow" w:hAnsi="Arial Narrow" w:cs="Times New Roman"/>
                <w:b/>
                <w:sz w:val="18"/>
                <w:szCs w:val="18"/>
              </w:rPr>
              <w:t xml:space="preserve">Procedeva senza rispettare </w:t>
            </w:r>
            <w:r>
              <w:rPr>
                <w:rFonts w:ascii="Arial Narrow" w:hAnsi="Arial Narrow" w:cs="Times New Roman"/>
                <w:b/>
                <w:sz w:val="18"/>
                <w:szCs w:val="18"/>
              </w:rPr>
              <w:t xml:space="preserve">la </w:t>
            </w:r>
            <w:r w:rsidRPr="0043447B">
              <w:rPr>
                <w:rFonts w:ascii="Arial Narrow" w:hAnsi="Arial Narrow" w:cs="Times New Roman"/>
                <w:b/>
                <w:sz w:val="18"/>
                <w:szCs w:val="18"/>
              </w:rPr>
              <w:t>precedenza o il semaforo</w:t>
            </w:r>
          </w:p>
        </w:tc>
        <w:tc>
          <w:tcPr>
            <w:tcW w:w="826" w:type="dxa"/>
            <w:shd w:val="clear" w:color="auto" w:fill="D9D9D9" w:themeFill="background1" w:themeFillShade="D9"/>
            <w:noWrap/>
            <w:vAlign w:val="bottom"/>
          </w:tcPr>
          <w:p w14:paraId="2ADF3E98"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24.608</w:t>
            </w:r>
          </w:p>
        </w:tc>
        <w:tc>
          <w:tcPr>
            <w:tcW w:w="827" w:type="dxa"/>
            <w:shd w:val="clear" w:color="auto" w:fill="auto"/>
            <w:noWrap/>
            <w:vAlign w:val="bottom"/>
          </w:tcPr>
          <w:p w14:paraId="51710B55"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17,1</w:t>
            </w:r>
          </w:p>
        </w:tc>
        <w:tc>
          <w:tcPr>
            <w:tcW w:w="827" w:type="dxa"/>
            <w:shd w:val="clear" w:color="auto" w:fill="D9D9D9" w:themeFill="background1" w:themeFillShade="D9"/>
            <w:vAlign w:val="bottom"/>
          </w:tcPr>
          <w:p w14:paraId="78CCABF8"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3.685</w:t>
            </w:r>
          </w:p>
        </w:tc>
        <w:tc>
          <w:tcPr>
            <w:tcW w:w="827" w:type="dxa"/>
            <w:vAlign w:val="bottom"/>
          </w:tcPr>
          <w:p w14:paraId="5EEE3F1B"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6,8</w:t>
            </w:r>
          </w:p>
        </w:tc>
        <w:tc>
          <w:tcPr>
            <w:tcW w:w="827" w:type="dxa"/>
            <w:shd w:val="clear" w:color="auto" w:fill="D9D9D9" w:themeFill="background1" w:themeFillShade="D9"/>
            <w:noWrap/>
            <w:vAlign w:val="bottom"/>
          </w:tcPr>
          <w:p w14:paraId="74F7CBF1"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28.293</w:t>
            </w:r>
          </w:p>
        </w:tc>
        <w:tc>
          <w:tcPr>
            <w:tcW w:w="827" w:type="dxa"/>
            <w:shd w:val="clear" w:color="auto" w:fill="auto"/>
            <w:noWrap/>
            <w:vAlign w:val="bottom"/>
          </w:tcPr>
          <w:p w14:paraId="6157D449"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14,3</w:t>
            </w:r>
          </w:p>
        </w:tc>
      </w:tr>
      <w:tr w:rsidR="00456A50" w:rsidRPr="00FF0E65" w14:paraId="19C1C34A" w14:textId="77777777" w:rsidTr="00DD5402">
        <w:trPr>
          <w:trHeight w:hRule="exact" w:val="255"/>
        </w:trPr>
        <w:tc>
          <w:tcPr>
            <w:tcW w:w="4890" w:type="dxa"/>
            <w:shd w:val="clear" w:color="auto" w:fill="auto"/>
            <w:noWrap/>
            <w:vAlign w:val="bottom"/>
          </w:tcPr>
          <w:p w14:paraId="6DBB5F81" w14:textId="77777777" w:rsidR="00456A50" w:rsidRPr="00736FB7" w:rsidRDefault="00456A50" w:rsidP="00F76C09">
            <w:pPr>
              <w:spacing w:before="40" w:after="20"/>
              <w:rPr>
                <w:rFonts w:ascii="Arial Narrow" w:hAnsi="Arial Narrow" w:cs="Times New Roman"/>
                <w:i/>
                <w:iCs/>
                <w:sz w:val="18"/>
                <w:szCs w:val="18"/>
              </w:rPr>
            </w:pPr>
            <w:r w:rsidRPr="00736FB7">
              <w:rPr>
                <w:rFonts w:ascii="Arial Narrow" w:hAnsi="Arial Narrow" w:cs="Times New Roman"/>
                <w:i/>
                <w:iCs/>
                <w:sz w:val="18"/>
                <w:szCs w:val="18"/>
              </w:rPr>
              <w:t xml:space="preserve"> - procedeva senza rispettare lo stop</w:t>
            </w:r>
          </w:p>
        </w:tc>
        <w:tc>
          <w:tcPr>
            <w:tcW w:w="826" w:type="dxa"/>
            <w:shd w:val="clear" w:color="auto" w:fill="D9D9D9" w:themeFill="background1" w:themeFillShade="D9"/>
            <w:noWrap/>
            <w:vAlign w:val="bottom"/>
          </w:tcPr>
          <w:p w14:paraId="484BC03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8.456</w:t>
            </w:r>
          </w:p>
        </w:tc>
        <w:tc>
          <w:tcPr>
            <w:tcW w:w="827" w:type="dxa"/>
            <w:shd w:val="clear" w:color="auto" w:fill="auto"/>
            <w:noWrap/>
            <w:vAlign w:val="bottom"/>
          </w:tcPr>
          <w:p w14:paraId="1D1ACA97"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5,9</w:t>
            </w:r>
          </w:p>
        </w:tc>
        <w:tc>
          <w:tcPr>
            <w:tcW w:w="827" w:type="dxa"/>
            <w:shd w:val="clear" w:color="auto" w:fill="D9D9D9" w:themeFill="background1" w:themeFillShade="D9"/>
            <w:vAlign w:val="bottom"/>
          </w:tcPr>
          <w:p w14:paraId="27DAC1F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1.538</w:t>
            </w:r>
          </w:p>
        </w:tc>
        <w:tc>
          <w:tcPr>
            <w:tcW w:w="827" w:type="dxa"/>
            <w:vAlign w:val="bottom"/>
          </w:tcPr>
          <w:p w14:paraId="0E4F388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2,8</w:t>
            </w:r>
          </w:p>
        </w:tc>
        <w:tc>
          <w:tcPr>
            <w:tcW w:w="827" w:type="dxa"/>
            <w:shd w:val="clear" w:color="auto" w:fill="D9D9D9" w:themeFill="background1" w:themeFillShade="D9"/>
            <w:noWrap/>
            <w:vAlign w:val="bottom"/>
          </w:tcPr>
          <w:p w14:paraId="103793A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9.994</w:t>
            </w:r>
          </w:p>
        </w:tc>
        <w:tc>
          <w:tcPr>
            <w:tcW w:w="827" w:type="dxa"/>
            <w:shd w:val="clear" w:color="auto" w:fill="auto"/>
            <w:noWrap/>
            <w:vAlign w:val="bottom"/>
          </w:tcPr>
          <w:p w14:paraId="3F28C2B1"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5,1</w:t>
            </w:r>
          </w:p>
        </w:tc>
      </w:tr>
      <w:tr w:rsidR="00456A50" w:rsidRPr="00FF0E65" w14:paraId="4B1FF69E" w14:textId="77777777" w:rsidTr="00DD5402">
        <w:trPr>
          <w:trHeight w:hRule="exact" w:val="255"/>
        </w:trPr>
        <w:tc>
          <w:tcPr>
            <w:tcW w:w="4890" w:type="dxa"/>
            <w:shd w:val="clear" w:color="auto" w:fill="auto"/>
            <w:noWrap/>
            <w:vAlign w:val="bottom"/>
          </w:tcPr>
          <w:p w14:paraId="396DB032" w14:textId="77777777" w:rsidR="00456A50" w:rsidRPr="00736FB7" w:rsidRDefault="00456A50" w:rsidP="00F76C09">
            <w:pPr>
              <w:spacing w:before="40" w:after="20"/>
              <w:rPr>
                <w:rFonts w:ascii="Arial Narrow" w:hAnsi="Arial Narrow" w:cs="Times New Roman"/>
                <w:i/>
                <w:iCs/>
                <w:sz w:val="18"/>
                <w:szCs w:val="18"/>
              </w:rPr>
            </w:pPr>
            <w:r w:rsidRPr="00736FB7">
              <w:rPr>
                <w:rFonts w:ascii="Arial Narrow" w:hAnsi="Arial Narrow" w:cs="Times New Roman"/>
                <w:i/>
                <w:iCs/>
                <w:sz w:val="18"/>
                <w:szCs w:val="18"/>
              </w:rPr>
              <w:t xml:space="preserve"> - procedeva senza dare la precedenza al veicolo proveniente da destra</w:t>
            </w:r>
          </w:p>
        </w:tc>
        <w:tc>
          <w:tcPr>
            <w:tcW w:w="826" w:type="dxa"/>
            <w:shd w:val="clear" w:color="auto" w:fill="D9D9D9" w:themeFill="background1" w:themeFillShade="D9"/>
            <w:noWrap/>
            <w:vAlign w:val="bottom"/>
          </w:tcPr>
          <w:p w14:paraId="400D3E7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6.201</w:t>
            </w:r>
          </w:p>
        </w:tc>
        <w:tc>
          <w:tcPr>
            <w:tcW w:w="827" w:type="dxa"/>
            <w:shd w:val="clear" w:color="auto" w:fill="auto"/>
            <w:noWrap/>
            <w:vAlign w:val="bottom"/>
          </w:tcPr>
          <w:p w14:paraId="57231075"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4,3</w:t>
            </w:r>
          </w:p>
        </w:tc>
        <w:tc>
          <w:tcPr>
            <w:tcW w:w="827" w:type="dxa"/>
            <w:shd w:val="clear" w:color="auto" w:fill="D9D9D9" w:themeFill="background1" w:themeFillShade="D9"/>
            <w:vAlign w:val="bottom"/>
          </w:tcPr>
          <w:p w14:paraId="773B4A8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870</w:t>
            </w:r>
          </w:p>
        </w:tc>
        <w:tc>
          <w:tcPr>
            <w:tcW w:w="827" w:type="dxa"/>
            <w:vAlign w:val="bottom"/>
          </w:tcPr>
          <w:p w14:paraId="38A7A1DE"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1,6</w:t>
            </w:r>
          </w:p>
        </w:tc>
        <w:tc>
          <w:tcPr>
            <w:tcW w:w="827" w:type="dxa"/>
            <w:shd w:val="clear" w:color="auto" w:fill="D9D9D9" w:themeFill="background1" w:themeFillShade="D9"/>
            <w:noWrap/>
            <w:vAlign w:val="bottom"/>
          </w:tcPr>
          <w:p w14:paraId="11F9A6B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7.071</w:t>
            </w:r>
          </w:p>
        </w:tc>
        <w:tc>
          <w:tcPr>
            <w:tcW w:w="827" w:type="dxa"/>
            <w:shd w:val="clear" w:color="auto" w:fill="auto"/>
            <w:noWrap/>
            <w:vAlign w:val="bottom"/>
          </w:tcPr>
          <w:p w14:paraId="317E08A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3,6</w:t>
            </w:r>
          </w:p>
        </w:tc>
      </w:tr>
      <w:tr w:rsidR="00456A50" w:rsidRPr="00FF0E65" w14:paraId="446E0D47" w14:textId="77777777" w:rsidTr="00DD5402">
        <w:trPr>
          <w:trHeight w:hRule="exact" w:val="255"/>
        </w:trPr>
        <w:tc>
          <w:tcPr>
            <w:tcW w:w="4890" w:type="dxa"/>
            <w:shd w:val="clear" w:color="auto" w:fill="auto"/>
            <w:noWrap/>
            <w:vAlign w:val="bottom"/>
          </w:tcPr>
          <w:p w14:paraId="2444EB75" w14:textId="77777777" w:rsidR="00456A50" w:rsidRPr="00736FB7" w:rsidRDefault="00456A50" w:rsidP="00F76C09">
            <w:pPr>
              <w:spacing w:before="40" w:after="20"/>
              <w:rPr>
                <w:rFonts w:ascii="Arial Narrow" w:hAnsi="Arial Narrow" w:cs="Times New Roman"/>
                <w:i/>
                <w:iCs/>
                <w:sz w:val="18"/>
                <w:szCs w:val="18"/>
              </w:rPr>
            </w:pPr>
            <w:r w:rsidRPr="00736FB7">
              <w:rPr>
                <w:rFonts w:ascii="Arial Narrow" w:hAnsi="Arial Narrow" w:cs="Times New Roman"/>
                <w:i/>
                <w:iCs/>
                <w:sz w:val="18"/>
                <w:szCs w:val="18"/>
              </w:rPr>
              <w:t xml:space="preserve"> - procedeva senza rispettare il segnale di dare precedenza</w:t>
            </w:r>
          </w:p>
        </w:tc>
        <w:tc>
          <w:tcPr>
            <w:tcW w:w="826" w:type="dxa"/>
            <w:shd w:val="clear" w:color="auto" w:fill="D9D9D9" w:themeFill="background1" w:themeFillShade="D9"/>
            <w:noWrap/>
            <w:vAlign w:val="bottom"/>
          </w:tcPr>
          <w:p w14:paraId="0309BC1A"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8.386</w:t>
            </w:r>
          </w:p>
        </w:tc>
        <w:tc>
          <w:tcPr>
            <w:tcW w:w="827" w:type="dxa"/>
            <w:shd w:val="clear" w:color="auto" w:fill="auto"/>
            <w:noWrap/>
            <w:vAlign w:val="bottom"/>
          </w:tcPr>
          <w:p w14:paraId="2781E7B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5,8</w:t>
            </w:r>
          </w:p>
        </w:tc>
        <w:tc>
          <w:tcPr>
            <w:tcW w:w="827" w:type="dxa"/>
            <w:shd w:val="clear" w:color="auto" w:fill="D9D9D9" w:themeFill="background1" w:themeFillShade="D9"/>
            <w:vAlign w:val="bottom"/>
          </w:tcPr>
          <w:p w14:paraId="3DA25EA0"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1.159</w:t>
            </w:r>
          </w:p>
        </w:tc>
        <w:tc>
          <w:tcPr>
            <w:tcW w:w="827" w:type="dxa"/>
            <w:vAlign w:val="bottom"/>
          </w:tcPr>
          <w:p w14:paraId="1914EB2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2,1</w:t>
            </w:r>
          </w:p>
        </w:tc>
        <w:tc>
          <w:tcPr>
            <w:tcW w:w="827" w:type="dxa"/>
            <w:shd w:val="clear" w:color="auto" w:fill="D9D9D9" w:themeFill="background1" w:themeFillShade="D9"/>
            <w:noWrap/>
            <w:vAlign w:val="bottom"/>
          </w:tcPr>
          <w:p w14:paraId="528D240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9.545</w:t>
            </w:r>
          </w:p>
        </w:tc>
        <w:tc>
          <w:tcPr>
            <w:tcW w:w="827" w:type="dxa"/>
            <w:shd w:val="clear" w:color="auto" w:fill="auto"/>
            <w:noWrap/>
            <w:vAlign w:val="bottom"/>
          </w:tcPr>
          <w:p w14:paraId="0BAB4476"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4,8</w:t>
            </w:r>
          </w:p>
        </w:tc>
      </w:tr>
      <w:tr w:rsidR="00456A50" w:rsidRPr="00FF0E65" w14:paraId="42D0743B" w14:textId="77777777" w:rsidTr="00DD5402">
        <w:trPr>
          <w:trHeight w:hRule="exact" w:val="255"/>
        </w:trPr>
        <w:tc>
          <w:tcPr>
            <w:tcW w:w="4890" w:type="dxa"/>
            <w:shd w:val="clear" w:color="auto" w:fill="auto"/>
            <w:noWrap/>
            <w:vAlign w:val="bottom"/>
          </w:tcPr>
          <w:p w14:paraId="4D002F4A" w14:textId="77777777" w:rsidR="00456A50" w:rsidRPr="00736FB7" w:rsidRDefault="00456A50" w:rsidP="00F76C09">
            <w:pPr>
              <w:spacing w:before="40" w:after="20"/>
              <w:rPr>
                <w:rFonts w:ascii="Arial Narrow" w:hAnsi="Arial Narrow" w:cs="Times New Roman"/>
                <w:i/>
                <w:iCs/>
                <w:sz w:val="18"/>
                <w:szCs w:val="18"/>
              </w:rPr>
            </w:pPr>
            <w:r w:rsidRPr="00736FB7">
              <w:rPr>
                <w:rFonts w:ascii="Arial Narrow" w:hAnsi="Arial Narrow" w:cs="Times New Roman"/>
                <w:i/>
                <w:iCs/>
                <w:sz w:val="18"/>
                <w:szCs w:val="18"/>
              </w:rPr>
              <w:t xml:space="preserve"> - procedeva senza rispettare le segnalazioni semaforiche o dell'agente</w:t>
            </w:r>
          </w:p>
        </w:tc>
        <w:tc>
          <w:tcPr>
            <w:tcW w:w="826" w:type="dxa"/>
            <w:shd w:val="clear" w:color="auto" w:fill="D9D9D9" w:themeFill="background1" w:themeFillShade="D9"/>
            <w:noWrap/>
            <w:vAlign w:val="bottom"/>
          </w:tcPr>
          <w:p w14:paraId="1B230333"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1.565</w:t>
            </w:r>
          </w:p>
        </w:tc>
        <w:tc>
          <w:tcPr>
            <w:tcW w:w="827" w:type="dxa"/>
            <w:shd w:val="clear" w:color="auto" w:fill="auto"/>
            <w:noWrap/>
            <w:vAlign w:val="bottom"/>
          </w:tcPr>
          <w:p w14:paraId="293E82C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w:t>
            </w:r>
          </w:p>
        </w:tc>
        <w:tc>
          <w:tcPr>
            <w:tcW w:w="827" w:type="dxa"/>
            <w:shd w:val="clear" w:color="auto" w:fill="D9D9D9" w:themeFill="background1" w:themeFillShade="D9"/>
            <w:vAlign w:val="bottom"/>
          </w:tcPr>
          <w:p w14:paraId="5E2C28E4"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118</w:t>
            </w:r>
          </w:p>
        </w:tc>
        <w:tc>
          <w:tcPr>
            <w:tcW w:w="827" w:type="dxa"/>
            <w:vAlign w:val="bottom"/>
          </w:tcPr>
          <w:p w14:paraId="5F29A4C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0,2</w:t>
            </w:r>
          </w:p>
        </w:tc>
        <w:tc>
          <w:tcPr>
            <w:tcW w:w="827" w:type="dxa"/>
            <w:shd w:val="clear" w:color="auto" w:fill="D9D9D9" w:themeFill="background1" w:themeFillShade="D9"/>
            <w:noWrap/>
            <w:vAlign w:val="bottom"/>
          </w:tcPr>
          <w:p w14:paraId="5BA3E426"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1.683</w:t>
            </w:r>
          </w:p>
        </w:tc>
        <w:tc>
          <w:tcPr>
            <w:tcW w:w="827" w:type="dxa"/>
            <w:shd w:val="clear" w:color="auto" w:fill="auto"/>
            <w:noWrap/>
            <w:vAlign w:val="bottom"/>
          </w:tcPr>
          <w:p w14:paraId="39746EEE"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0,9</w:t>
            </w:r>
          </w:p>
        </w:tc>
      </w:tr>
      <w:tr w:rsidR="00456A50" w:rsidRPr="00FF0E65" w14:paraId="7CB8F139" w14:textId="77777777" w:rsidTr="00DD5402">
        <w:trPr>
          <w:trHeight w:hRule="exact" w:val="255"/>
        </w:trPr>
        <w:tc>
          <w:tcPr>
            <w:tcW w:w="4890" w:type="dxa"/>
            <w:shd w:val="clear" w:color="auto" w:fill="auto"/>
            <w:noWrap/>
            <w:vAlign w:val="bottom"/>
          </w:tcPr>
          <w:p w14:paraId="5207D81E" w14:textId="77777777" w:rsidR="00456A50" w:rsidRPr="0043447B" w:rsidRDefault="00456A50" w:rsidP="00F76C09">
            <w:pPr>
              <w:spacing w:before="40" w:after="20"/>
              <w:rPr>
                <w:rFonts w:ascii="Arial Narrow" w:hAnsi="Arial Narrow" w:cs="Times New Roman"/>
                <w:b/>
                <w:sz w:val="18"/>
                <w:szCs w:val="18"/>
              </w:rPr>
            </w:pPr>
            <w:r w:rsidRPr="0043447B">
              <w:rPr>
                <w:rFonts w:ascii="Arial Narrow" w:hAnsi="Arial Narrow" w:cs="Times New Roman"/>
                <w:b/>
                <w:sz w:val="18"/>
                <w:szCs w:val="18"/>
              </w:rPr>
              <w:t>Procedeva con velocità troppo elevata</w:t>
            </w:r>
          </w:p>
        </w:tc>
        <w:tc>
          <w:tcPr>
            <w:tcW w:w="826" w:type="dxa"/>
            <w:shd w:val="clear" w:color="auto" w:fill="D9D9D9" w:themeFill="background1" w:themeFillShade="D9"/>
            <w:noWrap/>
            <w:vAlign w:val="bottom"/>
          </w:tcPr>
          <w:p w14:paraId="11FAEB31"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12.249</w:t>
            </w:r>
          </w:p>
        </w:tc>
        <w:tc>
          <w:tcPr>
            <w:tcW w:w="827" w:type="dxa"/>
            <w:shd w:val="clear" w:color="auto" w:fill="auto"/>
            <w:noWrap/>
            <w:vAlign w:val="bottom"/>
          </w:tcPr>
          <w:p w14:paraId="621D66AE"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8,5</w:t>
            </w:r>
          </w:p>
        </w:tc>
        <w:tc>
          <w:tcPr>
            <w:tcW w:w="827" w:type="dxa"/>
            <w:shd w:val="clear" w:color="auto" w:fill="D9D9D9" w:themeFill="background1" w:themeFillShade="D9"/>
            <w:vAlign w:val="bottom"/>
          </w:tcPr>
          <w:p w14:paraId="1CF8FDAD"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7.457</w:t>
            </w:r>
          </w:p>
        </w:tc>
        <w:tc>
          <w:tcPr>
            <w:tcW w:w="827" w:type="dxa"/>
            <w:vAlign w:val="bottom"/>
          </w:tcPr>
          <w:p w14:paraId="17288EDF"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13,8</w:t>
            </w:r>
          </w:p>
        </w:tc>
        <w:tc>
          <w:tcPr>
            <w:tcW w:w="827" w:type="dxa"/>
            <w:shd w:val="clear" w:color="auto" w:fill="D9D9D9" w:themeFill="background1" w:themeFillShade="D9"/>
            <w:noWrap/>
            <w:vAlign w:val="bottom"/>
          </w:tcPr>
          <w:p w14:paraId="09FDBD42"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19.706</w:t>
            </w:r>
          </w:p>
        </w:tc>
        <w:tc>
          <w:tcPr>
            <w:tcW w:w="827" w:type="dxa"/>
            <w:shd w:val="clear" w:color="auto" w:fill="auto"/>
            <w:noWrap/>
            <w:vAlign w:val="bottom"/>
          </w:tcPr>
          <w:p w14:paraId="665241F3"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10,0</w:t>
            </w:r>
          </w:p>
        </w:tc>
      </w:tr>
      <w:tr w:rsidR="00456A50" w:rsidRPr="00FF0E65" w14:paraId="3615B72F" w14:textId="77777777" w:rsidTr="00DD5402">
        <w:trPr>
          <w:trHeight w:hRule="exact" w:val="255"/>
        </w:trPr>
        <w:tc>
          <w:tcPr>
            <w:tcW w:w="4890" w:type="dxa"/>
            <w:shd w:val="clear" w:color="auto" w:fill="auto"/>
            <w:noWrap/>
            <w:vAlign w:val="bottom"/>
          </w:tcPr>
          <w:p w14:paraId="5E0B11C4" w14:textId="77777777" w:rsidR="00456A50" w:rsidRPr="00736FB7" w:rsidRDefault="00456A50" w:rsidP="00F76C09">
            <w:pPr>
              <w:spacing w:before="40" w:after="20"/>
              <w:rPr>
                <w:rFonts w:ascii="Arial Narrow" w:hAnsi="Arial Narrow" w:cs="Times New Roman"/>
                <w:i/>
                <w:iCs/>
                <w:sz w:val="18"/>
                <w:szCs w:val="18"/>
              </w:rPr>
            </w:pPr>
            <w:r w:rsidRPr="00736FB7">
              <w:rPr>
                <w:rFonts w:ascii="Arial Narrow" w:hAnsi="Arial Narrow" w:cs="Times New Roman"/>
                <w:i/>
                <w:iCs/>
                <w:sz w:val="18"/>
                <w:szCs w:val="18"/>
              </w:rPr>
              <w:t xml:space="preserve"> - procedeva con eccesso di velocità</w:t>
            </w:r>
          </w:p>
        </w:tc>
        <w:tc>
          <w:tcPr>
            <w:tcW w:w="826" w:type="dxa"/>
            <w:shd w:val="clear" w:color="auto" w:fill="D9D9D9" w:themeFill="background1" w:themeFillShade="D9"/>
            <w:noWrap/>
            <w:vAlign w:val="bottom"/>
          </w:tcPr>
          <w:p w14:paraId="69B561FE"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11.896</w:t>
            </w:r>
          </w:p>
        </w:tc>
        <w:tc>
          <w:tcPr>
            <w:tcW w:w="827" w:type="dxa"/>
            <w:shd w:val="clear" w:color="auto" w:fill="auto"/>
            <w:noWrap/>
            <w:vAlign w:val="bottom"/>
          </w:tcPr>
          <w:p w14:paraId="6E7D4CA6"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8,3</w:t>
            </w:r>
          </w:p>
        </w:tc>
        <w:tc>
          <w:tcPr>
            <w:tcW w:w="827" w:type="dxa"/>
            <w:shd w:val="clear" w:color="auto" w:fill="D9D9D9" w:themeFill="background1" w:themeFillShade="D9"/>
            <w:vAlign w:val="bottom"/>
          </w:tcPr>
          <w:p w14:paraId="57F2746A"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7.123</w:t>
            </w:r>
          </w:p>
        </w:tc>
        <w:tc>
          <w:tcPr>
            <w:tcW w:w="827" w:type="dxa"/>
            <w:vAlign w:val="bottom"/>
          </w:tcPr>
          <w:p w14:paraId="0B68E6F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13,2</w:t>
            </w:r>
          </w:p>
        </w:tc>
        <w:tc>
          <w:tcPr>
            <w:tcW w:w="827" w:type="dxa"/>
            <w:shd w:val="clear" w:color="auto" w:fill="D9D9D9" w:themeFill="background1" w:themeFillShade="D9"/>
            <w:noWrap/>
            <w:vAlign w:val="bottom"/>
          </w:tcPr>
          <w:p w14:paraId="52707C9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19.019</w:t>
            </w:r>
          </w:p>
        </w:tc>
        <w:tc>
          <w:tcPr>
            <w:tcW w:w="827" w:type="dxa"/>
            <w:shd w:val="clear" w:color="auto" w:fill="auto"/>
            <w:noWrap/>
            <w:vAlign w:val="bottom"/>
          </w:tcPr>
          <w:p w14:paraId="4069CE2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9,6</w:t>
            </w:r>
          </w:p>
        </w:tc>
      </w:tr>
      <w:tr w:rsidR="00456A50" w:rsidRPr="00FF0E65" w14:paraId="57BD9C50" w14:textId="77777777" w:rsidTr="00DD5402">
        <w:trPr>
          <w:trHeight w:hRule="exact" w:val="255"/>
        </w:trPr>
        <w:tc>
          <w:tcPr>
            <w:tcW w:w="4890" w:type="dxa"/>
            <w:shd w:val="clear" w:color="auto" w:fill="auto"/>
            <w:noWrap/>
            <w:vAlign w:val="bottom"/>
          </w:tcPr>
          <w:p w14:paraId="7A214ED4" w14:textId="77777777" w:rsidR="00456A50" w:rsidRPr="00736FB7" w:rsidRDefault="00456A50" w:rsidP="00F76C09">
            <w:pPr>
              <w:spacing w:before="40" w:after="20"/>
              <w:rPr>
                <w:rFonts w:ascii="Arial Narrow" w:hAnsi="Arial Narrow" w:cs="Times New Roman"/>
                <w:i/>
                <w:iCs/>
                <w:sz w:val="18"/>
                <w:szCs w:val="18"/>
              </w:rPr>
            </w:pPr>
            <w:r w:rsidRPr="00736FB7">
              <w:rPr>
                <w:rFonts w:ascii="Arial Narrow" w:hAnsi="Arial Narrow" w:cs="Times New Roman"/>
                <w:i/>
                <w:iCs/>
                <w:sz w:val="18"/>
                <w:szCs w:val="18"/>
              </w:rPr>
              <w:t xml:space="preserve"> - procedeva senza rispettare i limiti di velocità</w:t>
            </w:r>
          </w:p>
        </w:tc>
        <w:tc>
          <w:tcPr>
            <w:tcW w:w="826" w:type="dxa"/>
            <w:shd w:val="clear" w:color="auto" w:fill="D9D9D9" w:themeFill="background1" w:themeFillShade="D9"/>
            <w:noWrap/>
            <w:vAlign w:val="bottom"/>
          </w:tcPr>
          <w:p w14:paraId="6ADA032A"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353</w:t>
            </w:r>
          </w:p>
        </w:tc>
        <w:tc>
          <w:tcPr>
            <w:tcW w:w="827" w:type="dxa"/>
            <w:shd w:val="clear" w:color="auto" w:fill="auto"/>
            <w:noWrap/>
            <w:vAlign w:val="bottom"/>
          </w:tcPr>
          <w:p w14:paraId="48B84EAE"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0,2</w:t>
            </w:r>
          </w:p>
        </w:tc>
        <w:tc>
          <w:tcPr>
            <w:tcW w:w="827" w:type="dxa"/>
            <w:shd w:val="clear" w:color="auto" w:fill="D9D9D9" w:themeFill="background1" w:themeFillShade="D9"/>
            <w:vAlign w:val="bottom"/>
          </w:tcPr>
          <w:p w14:paraId="61AF3CC1"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334</w:t>
            </w:r>
          </w:p>
        </w:tc>
        <w:tc>
          <w:tcPr>
            <w:tcW w:w="827" w:type="dxa"/>
            <w:vAlign w:val="bottom"/>
          </w:tcPr>
          <w:p w14:paraId="1ABAA643"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0,6</w:t>
            </w:r>
          </w:p>
        </w:tc>
        <w:tc>
          <w:tcPr>
            <w:tcW w:w="827" w:type="dxa"/>
            <w:shd w:val="clear" w:color="auto" w:fill="D9D9D9" w:themeFill="background1" w:themeFillShade="D9"/>
            <w:noWrap/>
            <w:vAlign w:val="bottom"/>
          </w:tcPr>
          <w:p w14:paraId="05890C45"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687</w:t>
            </w:r>
          </w:p>
        </w:tc>
        <w:tc>
          <w:tcPr>
            <w:tcW w:w="827" w:type="dxa"/>
            <w:shd w:val="clear" w:color="auto" w:fill="auto"/>
            <w:noWrap/>
            <w:vAlign w:val="bottom"/>
          </w:tcPr>
          <w:p w14:paraId="75A861D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0,3</w:t>
            </w:r>
          </w:p>
        </w:tc>
      </w:tr>
      <w:tr w:rsidR="00456A50" w:rsidRPr="00FF0E65" w14:paraId="600D20E3" w14:textId="77777777" w:rsidTr="00DD5402">
        <w:trPr>
          <w:trHeight w:hRule="exact" w:val="255"/>
        </w:trPr>
        <w:tc>
          <w:tcPr>
            <w:tcW w:w="4890" w:type="dxa"/>
            <w:shd w:val="clear" w:color="auto" w:fill="auto"/>
            <w:noWrap/>
            <w:vAlign w:val="bottom"/>
          </w:tcPr>
          <w:p w14:paraId="20229FFA" w14:textId="77777777" w:rsidR="00456A50" w:rsidRPr="0043447B" w:rsidRDefault="00456A50" w:rsidP="00F76C09">
            <w:pPr>
              <w:spacing w:before="40" w:after="20"/>
              <w:rPr>
                <w:rFonts w:ascii="Arial Narrow" w:hAnsi="Arial Narrow" w:cs="Times New Roman"/>
                <w:sz w:val="18"/>
                <w:szCs w:val="18"/>
              </w:rPr>
            </w:pPr>
            <w:r w:rsidRPr="0043447B">
              <w:rPr>
                <w:rFonts w:ascii="Arial Narrow" w:hAnsi="Arial Narrow" w:cs="Times New Roman"/>
                <w:sz w:val="18"/>
                <w:szCs w:val="18"/>
              </w:rPr>
              <w:t>Procedeva senza mantenere la distanza di sicurezza</w:t>
            </w:r>
          </w:p>
        </w:tc>
        <w:tc>
          <w:tcPr>
            <w:tcW w:w="826" w:type="dxa"/>
            <w:shd w:val="clear" w:color="auto" w:fill="D9D9D9" w:themeFill="background1" w:themeFillShade="D9"/>
            <w:noWrap/>
            <w:vAlign w:val="bottom"/>
          </w:tcPr>
          <w:p w14:paraId="6B5FF76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8.135</w:t>
            </w:r>
          </w:p>
        </w:tc>
        <w:tc>
          <w:tcPr>
            <w:tcW w:w="827" w:type="dxa"/>
            <w:shd w:val="clear" w:color="auto" w:fill="auto"/>
            <w:noWrap/>
            <w:vAlign w:val="bottom"/>
          </w:tcPr>
          <w:p w14:paraId="5BA35CD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5,7</w:t>
            </w:r>
          </w:p>
        </w:tc>
        <w:tc>
          <w:tcPr>
            <w:tcW w:w="827" w:type="dxa"/>
            <w:shd w:val="clear" w:color="auto" w:fill="D9D9D9" w:themeFill="background1" w:themeFillShade="D9"/>
            <w:vAlign w:val="bottom"/>
          </w:tcPr>
          <w:p w14:paraId="252CD0D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5.946</w:t>
            </w:r>
          </w:p>
        </w:tc>
        <w:tc>
          <w:tcPr>
            <w:tcW w:w="827" w:type="dxa"/>
            <w:vAlign w:val="bottom"/>
          </w:tcPr>
          <w:p w14:paraId="43556954"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11,0</w:t>
            </w:r>
          </w:p>
        </w:tc>
        <w:tc>
          <w:tcPr>
            <w:tcW w:w="827" w:type="dxa"/>
            <w:shd w:val="clear" w:color="auto" w:fill="D9D9D9" w:themeFill="background1" w:themeFillShade="D9"/>
            <w:noWrap/>
            <w:vAlign w:val="bottom"/>
          </w:tcPr>
          <w:p w14:paraId="3EB69A73"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14.081</w:t>
            </w:r>
          </w:p>
        </w:tc>
        <w:tc>
          <w:tcPr>
            <w:tcW w:w="827" w:type="dxa"/>
            <w:shd w:val="clear" w:color="auto" w:fill="auto"/>
            <w:noWrap/>
            <w:vAlign w:val="bottom"/>
          </w:tcPr>
          <w:p w14:paraId="7E500CE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7,1</w:t>
            </w:r>
          </w:p>
        </w:tc>
      </w:tr>
      <w:tr w:rsidR="00456A50" w:rsidRPr="00FF0E65" w14:paraId="3834EAA7" w14:textId="77777777" w:rsidTr="00DD5402">
        <w:trPr>
          <w:trHeight w:hRule="exact" w:val="255"/>
        </w:trPr>
        <w:tc>
          <w:tcPr>
            <w:tcW w:w="4890" w:type="dxa"/>
            <w:shd w:val="clear" w:color="auto" w:fill="auto"/>
            <w:noWrap/>
            <w:vAlign w:val="bottom"/>
          </w:tcPr>
          <w:p w14:paraId="72B38C3D"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Manovrava irregolarmente</w:t>
            </w:r>
          </w:p>
        </w:tc>
        <w:tc>
          <w:tcPr>
            <w:tcW w:w="826" w:type="dxa"/>
            <w:shd w:val="clear" w:color="auto" w:fill="D9D9D9" w:themeFill="background1" w:themeFillShade="D9"/>
            <w:noWrap/>
            <w:vAlign w:val="bottom"/>
          </w:tcPr>
          <w:p w14:paraId="6D17EFF3"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11.734</w:t>
            </w:r>
          </w:p>
        </w:tc>
        <w:tc>
          <w:tcPr>
            <w:tcW w:w="827" w:type="dxa"/>
            <w:shd w:val="clear" w:color="auto" w:fill="auto"/>
            <w:noWrap/>
            <w:vAlign w:val="bottom"/>
          </w:tcPr>
          <w:p w14:paraId="4A5D3DC7"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8,2</w:t>
            </w:r>
          </w:p>
        </w:tc>
        <w:tc>
          <w:tcPr>
            <w:tcW w:w="827" w:type="dxa"/>
            <w:shd w:val="clear" w:color="auto" w:fill="D9D9D9" w:themeFill="background1" w:themeFillShade="D9"/>
            <w:vAlign w:val="bottom"/>
          </w:tcPr>
          <w:p w14:paraId="7617E8E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3.800</w:t>
            </w:r>
          </w:p>
        </w:tc>
        <w:tc>
          <w:tcPr>
            <w:tcW w:w="827" w:type="dxa"/>
            <w:vAlign w:val="bottom"/>
          </w:tcPr>
          <w:p w14:paraId="0E4F28E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7,0</w:t>
            </w:r>
          </w:p>
        </w:tc>
        <w:tc>
          <w:tcPr>
            <w:tcW w:w="827" w:type="dxa"/>
            <w:shd w:val="clear" w:color="auto" w:fill="D9D9D9" w:themeFill="background1" w:themeFillShade="D9"/>
            <w:noWrap/>
            <w:vAlign w:val="bottom"/>
          </w:tcPr>
          <w:p w14:paraId="0DE031DC"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15.534</w:t>
            </w:r>
          </w:p>
        </w:tc>
        <w:tc>
          <w:tcPr>
            <w:tcW w:w="827" w:type="dxa"/>
            <w:shd w:val="clear" w:color="auto" w:fill="auto"/>
            <w:noWrap/>
            <w:vAlign w:val="bottom"/>
          </w:tcPr>
          <w:p w14:paraId="6CE56A8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7,9</w:t>
            </w:r>
          </w:p>
        </w:tc>
      </w:tr>
      <w:tr w:rsidR="00456A50" w:rsidRPr="00FF0E65" w14:paraId="29C19774" w14:textId="77777777" w:rsidTr="00DD5402">
        <w:trPr>
          <w:trHeight w:hRule="exact" w:val="255"/>
        </w:trPr>
        <w:tc>
          <w:tcPr>
            <w:tcW w:w="4890" w:type="dxa"/>
            <w:shd w:val="clear" w:color="auto" w:fill="auto"/>
            <w:noWrap/>
            <w:vAlign w:val="bottom"/>
          </w:tcPr>
          <w:p w14:paraId="611ADD43"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Svoltava irregolarmente</w:t>
            </w:r>
          </w:p>
        </w:tc>
        <w:tc>
          <w:tcPr>
            <w:tcW w:w="826" w:type="dxa"/>
            <w:shd w:val="clear" w:color="auto" w:fill="D9D9D9" w:themeFill="background1" w:themeFillShade="D9"/>
            <w:noWrap/>
            <w:vAlign w:val="bottom"/>
          </w:tcPr>
          <w:p w14:paraId="5EA72FF3"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3.540</w:t>
            </w:r>
          </w:p>
        </w:tc>
        <w:tc>
          <w:tcPr>
            <w:tcW w:w="827" w:type="dxa"/>
            <w:shd w:val="clear" w:color="auto" w:fill="auto"/>
            <w:noWrap/>
            <w:vAlign w:val="bottom"/>
          </w:tcPr>
          <w:p w14:paraId="4EE76A9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2,5</w:t>
            </w:r>
          </w:p>
        </w:tc>
        <w:tc>
          <w:tcPr>
            <w:tcW w:w="827" w:type="dxa"/>
            <w:shd w:val="clear" w:color="auto" w:fill="D9D9D9" w:themeFill="background1" w:themeFillShade="D9"/>
            <w:vAlign w:val="bottom"/>
          </w:tcPr>
          <w:p w14:paraId="1EF149F3"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536</w:t>
            </w:r>
          </w:p>
        </w:tc>
        <w:tc>
          <w:tcPr>
            <w:tcW w:w="827" w:type="dxa"/>
            <w:vAlign w:val="bottom"/>
          </w:tcPr>
          <w:p w14:paraId="29AEA501"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1,0</w:t>
            </w:r>
          </w:p>
        </w:tc>
        <w:tc>
          <w:tcPr>
            <w:tcW w:w="827" w:type="dxa"/>
            <w:shd w:val="clear" w:color="auto" w:fill="D9D9D9" w:themeFill="background1" w:themeFillShade="D9"/>
            <w:noWrap/>
            <w:vAlign w:val="bottom"/>
          </w:tcPr>
          <w:p w14:paraId="2BFCD3E8"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4.076</w:t>
            </w:r>
          </w:p>
        </w:tc>
        <w:tc>
          <w:tcPr>
            <w:tcW w:w="827" w:type="dxa"/>
            <w:shd w:val="clear" w:color="auto" w:fill="auto"/>
            <w:noWrap/>
            <w:vAlign w:val="bottom"/>
          </w:tcPr>
          <w:p w14:paraId="1D5A3C2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2,1</w:t>
            </w:r>
          </w:p>
        </w:tc>
      </w:tr>
      <w:tr w:rsidR="00456A50" w:rsidRPr="00FF0E65" w14:paraId="76ABEA0B" w14:textId="77777777" w:rsidTr="00DD5402">
        <w:trPr>
          <w:trHeight w:hRule="exact" w:val="255"/>
        </w:trPr>
        <w:tc>
          <w:tcPr>
            <w:tcW w:w="4890" w:type="dxa"/>
            <w:shd w:val="clear" w:color="auto" w:fill="auto"/>
            <w:noWrap/>
            <w:vAlign w:val="bottom"/>
          </w:tcPr>
          <w:p w14:paraId="02DC1257"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Procedeva contromano</w:t>
            </w:r>
          </w:p>
        </w:tc>
        <w:tc>
          <w:tcPr>
            <w:tcW w:w="826" w:type="dxa"/>
            <w:shd w:val="clear" w:color="auto" w:fill="D9D9D9" w:themeFill="background1" w:themeFillShade="D9"/>
            <w:noWrap/>
            <w:vAlign w:val="bottom"/>
          </w:tcPr>
          <w:p w14:paraId="4FB834D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2.605</w:t>
            </w:r>
          </w:p>
        </w:tc>
        <w:tc>
          <w:tcPr>
            <w:tcW w:w="827" w:type="dxa"/>
            <w:shd w:val="clear" w:color="auto" w:fill="auto"/>
            <w:noWrap/>
            <w:vAlign w:val="bottom"/>
          </w:tcPr>
          <w:p w14:paraId="68D141BA"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1,8</w:t>
            </w:r>
          </w:p>
        </w:tc>
        <w:tc>
          <w:tcPr>
            <w:tcW w:w="827" w:type="dxa"/>
            <w:shd w:val="clear" w:color="auto" w:fill="D9D9D9" w:themeFill="background1" w:themeFillShade="D9"/>
            <w:vAlign w:val="bottom"/>
          </w:tcPr>
          <w:p w14:paraId="3ED370E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1.546</w:t>
            </w:r>
          </w:p>
        </w:tc>
        <w:tc>
          <w:tcPr>
            <w:tcW w:w="827" w:type="dxa"/>
            <w:vAlign w:val="bottom"/>
          </w:tcPr>
          <w:p w14:paraId="50A05E0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2,9</w:t>
            </w:r>
          </w:p>
        </w:tc>
        <w:tc>
          <w:tcPr>
            <w:tcW w:w="827" w:type="dxa"/>
            <w:shd w:val="clear" w:color="auto" w:fill="D9D9D9" w:themeFill="background1" w:themeFillShade="D9"/>
            <w:noWrap/>
            <w:vAlign w:val="bottom"/>
          </w:tcPr>
          <w:p w14:paraId="3344579C"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4.151</w:t>
            </w:r>
          </w:p>
        </w:tc>
        <w:tc>
          <w:tcPr>
            <w:tcW w:w="827" w:type="dxa"/>
            <w:shd w:val="clear" w:color="auto" w:fill="auto"/>
            <w:noWrap/>
            <w:vAlign w:val="bottom"/>
          </w:tcPr>
          <w:p w14:paraId="5FE1DB6E"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2,1</w:t>
            </w:r>
          </w:p>
        </w:tc>
      </w:tr>
      <w:tr w:rsidR="00456A50" w:rsidRPr="00FF0E65" w14:paraId="20DE7733" w14:textId="77777777" w:rsidTr="00DD5402">
        <w:trPr>
          <w:trHeight w:hRule="exact" w:val="255"/>
        </w:trPr>
        <w:tc>
          <w:tcPr>
            <w:tcW w:w="4890" w:type="dxa"/>
            <w:shd w:val="clear" w:color="auto" w:fill="auto"/>
            <w:noWrap/>
            <w:vAlign w:val="bottom"/>
          </w:tcPr>
          <w:p w14:paraId="3C3E9518"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Sorpassava irregolarmente</w:t>
            </w:r>
          </w:p>
        </w:tc>
        <w:tc>
          <w:tcPr>
            <w:tcW w:w="826" w:type="dxa"/>
            <w:shd w:val="clear" w:color="auto" w:fill="D9D9D9" w:themeFill="background1" w:themeFillShade="D9"/>
            <w:noWrap/>
            <w:vAlign w:val="bottom"/>
          </w:tcPr>
          <w:p w14:paraId="47EA7F2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2.584</w:t>
            </w:r>
          </w:p>
        </w:tc>
        <w:tc>
          <w:tcPr>
            <w:tcW w:w="827" w:type="dxa"/>
            <w:shd w:val="clear" w:color="auto" w:fill="auto"/>
            <w:noWrap/>
            <w:vAlign w:val="bottom"/>
          </w:tcPr>
          <w:p w14:paraId="0A1DC9C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1,8</w:t>
            </w:r>
          </w:p>
        </w:tc>
        <w:tc>
          <w:tcPr>
            <w:tcW w:w="827" w:type="dxa"/>
            <w:shd w:val="clear" w:color="auto" w:fill="D9D9D9" w:themeFill="background1" w:themeFillShade="D9"/>
            <w:vAlign w:val="bottom"/>
          </w:tcPr>
          <w:p w14:paraId="33D378E4"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1.395</w:t>
            </w:r>
          </w:p>
        </w:tc>
        <w:tc>
          <w:tcPr>
            <w:tcW w:w="827" w:type="dxa"/>
            <w:vAlign w:val="bottom"/>
          </w:tcPr>
          <w:p w14:paraId="52D19E3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2,6</w:t>
            </w:r>
          </w:p>
        </w:tc>
        <w:tc>
          <w:tcPr>
            <w:tcW w:w="827" w:type="dxa"/>
            <w:shd w:val="clear" w:color="auto" w:fill="D9D9D9" w:themeFill="background1" w:themeFillShade="D9"/>
            <w:noWrap/>
            <w:vAlign w:val="bottom"/>
          </w:tcPr>
          <w:p w14:paraId="4EB07B14"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3.979</w:t>
            </w:r>
          </w:p>
        </w:tc>
        <w:tc>
          <w:tcPr>
            <w:tcW w:w="827" w:type="dxa"/>
            <w:shd w:val="clear" w:color="auto" w:fill="auto"/>
            <w:noWrap/>
            <w:vAlign w:val="bottom"/>
          </w:tcPr>
          <w:p w14:paraId="636E7DD6"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2,0</w:t>
            </w:r>
          </w:p>
        </w:tc>
      </w:tr>
      <w:tr w:rsidR="00456A50" w:rsidRPr="00FF0E65" w14:paraId="1BAF64BB" w14:textId="77777777" w:rsidTr="00DD5402">
        <w:trPr>
          <w:trHeight w:hRule="exact" w:val="255"/>
        </w:trPr>
        <w:tc>
          <w:tcPr>
            <w:tcW w:w="4890" w:type="dxa"/>
            <w:shd w:val="clear" w:color="auto" w:fill="auto"/>
            <w:noWrap/>
            <w:vAlign w:val="bottom"/>
          </w:tcPr>
          <w:p w14:paraId="118FAE0E"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 xml:space="preserve">Ostacolo accidentale </w:t>
            </w:r>
          </w:p>
        </w:tc>
        <w:tc>
          <w:tcPr>
            <w:tcW w:w="826" w:type="dxa"/>
            <w:shd w:val="clear" w:color="auto" w:fill="D9D9D9" w:themeFill="background1" w:themeFillShade="D9"/>
            <w:noWrap/>
            <w:vAlign w:val="bottom"/>
          </w:tcPr>
          <w:p w14:paraId="5015105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2.420</w:t>
            </w:r>
          </w:p>
        </w:tc>
        <w:tc>
          <w:tcPr>
            <w:tcW w:w="827" w:type="dxa"/>
            <w:shd w:val="clear" w:color="auto" w:fill="auto"/>
            <w:noWrap/>
            <w:vAlign w:val="bottom"/>
          </w:tcPr>
          <w:p w14:paraId="53210830"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1,7</w:t>
            </w:r>
          </w:p>
        </w:tc>
        <w:tc>
          <w:tcPr>
            <w:tcW w:w="827" w:type="dxa"/>
            <w:shd w:val="clear" w:color="auto" w:fill="D9D9D9" w:themeFill="background1" w:themeFillShade="D9"/>
            <w:vAlign w:val="bottom"/>
          </w:tcPr>
          <w:p w14:paraId="3543FBD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2.019</w:t>
            </w:r>
          </w:p>
        </w:tc>
        <w:tc>
          <w:tcPr>
            <w:tcW w:w="827" w:type="dxa"/>
            <w:vAlign w:val="bottom"/>
          </w:tcPr>
          <w:p w14:paraId="0C206DBA"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3,7</w:t>
            </w:r>
          </w:p>
        </w:tc>
        <w:tc>
          <w:tcPr>
            <w:tcW w:w="827" w:type="dxa"/>
            <w:shd w:val="clear" w:color="auto" w:fill="D9D9D9" w:themeFill="background1" w:themeFillShade="D9"/>
            <w:noWrap/>
            <w:vAlign w:val="bottom"/>
          </w:tcPr>
          <w:p w14:paraId="531E2228"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4.439</w:t>
            </w:r>
          </w:p>
        </w:tc>
        <w:tc>
          <w:tcPr>
            <w:tcW w:w="827" w:type="dxa"/>
            <w:shd w:val="clear" w:color="auto" w:fill="auto"/>
            <w:noWrap/>
            <w:vAlign w:val="bottom"/>
          </w:tcPr>
          <w:p w14:paraId="46112B1A"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2,2</w:t>
            </w:r>
          </w:p>
        </w:tc>
      </w:tr>
      <w:tr w:rsidR="00456A50" w:rsidRPr="00FF0E65" w14:paraId="1C78DAF3" w14:textId="77777777" w:rsidTr="00DD5402">
        <w:trPr>
          <w:trHeight w:hRule="exact" w:val="255"/>
        </w:trPr>
        <w:tc>
          <w:tcPr>
            <w:tcW w:w="4890" w:type="dxa"/>
            <w:shd w:val="clear" w:color="auto" w:fill="auto"/>
            <w:noWrap/>
            <w:vAlign w:val="bottom"/>
          </w:tcPr>
          <w:p w14:paraId="32B81D12" w14:textId="77777777" w:rsidR="00456A50" w:rsidRPr="00736FB7" w:rsidRDefault="00456A50" w:rsidP="00F76C09">
            <w:pPr>
              <w:spacing w:before="40" w:after="20"/>
              <w:rPr>
                <w:rFonts w:ascii="Arial Narrow" w:hAnsi="Arial Narrow" w:cs="Times New Roman"/>
                <w:sz w:val="18"/>
                <w:szCs w:val="18"/>
              </w:rPr>
            </w:pPr>
            <w:r>
              <w:rPr>
                <w:rFonts w:ascii="Arial Narrow" w:hAnsi="Arial Narrow" w:cs="Times New Roman"/>
                <w:sz w:val="18"/>
                <w:szCs w:val="18"/>
              </w:rPr>
              <w:t>Animale domestico o selvatico urtato</w:t>
            </w:r>
          </w:p>
        </w:tc>
        <w:tc>
          <w:tcPr>
            <w:tcW w:w="826" w:type="dxa"/>
            <w:shd w:val="clear" w:color="auto" w:fill="D9D9D9" w:themeFill="background1" w:themeFillShade="D9"/>
            <w:noWrap/>
            <w:vAlign w:val="bottom"/>
          </w:tcPr>
          <w:p w14:paraId="5C400BC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181</w:t>
            </w:r>
          </w:p>
        </w:tc>
        <w:tc>
          <w:tcPr>
            <w:tcW w:w="827" w:type="dxa"/>
            <w:shd w:val="clear" w:color="auto" w:fill="auto"/>
            <w:noWrap/>
            <w:vAlign w:val="bottom"/>
          </w:tcPr>
          <w:p w14:paraId="20110C77"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0,1</w:t>
            </w:r>
          </w:p>
        </w:tc>
        <w:tc>
          <w:tcPr>
            <w:tcW w:w="827" w:type="dxa"/>
            <w:shd w:val="clear" w:color="auto" w:fill="D9D9D9" w:themeFill="background1" w:themeFillShade="D9"/>
            <w:vAlign w:val="bottom"/>
          </w:tcPr>
          <w:p w14:paraId="49180107"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296</w:t>
            </w:r>
          </w:p>
        </w:tc>
        <w:tc>
          <w:tcPr>
            <w:tcW w:w="827" w:type="dxa"/>
            <w:vAlign w:val="bottom"/>
          </w:tcPr>
          <w:p w14:paraId="38EC548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0,5</w:t>
            </w:r>
          </w:p>
        </w:tc>
        <w:tc>
          <w:tcPr>
            <w:tcW w:w="827" w:type="dxa"/>
            <w:shd w:val="clear" w:color="auto" w:fill="D9D9D9" w:themeFill="background1" w:themeFillShade="D9"/>
            <w:noWrap/>
            <w:vAlign w:val="bottom"/>
          </w:tcPr>
          <w:p w14:paraId="5D741AA8"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477</w:t>
            </w:r>
          </w:p>
        </w:tc>
        <w:tc>
          <w:tcPr>
            <w:tcW w:w="827" w:type="dxa"/>
            <w:shd w:val="clear" w:color="auto" w:fill="auto"/>
            <w:noWrap/>
            <w:vAlign w:val="bottom"/>
          </w:tcPr>
          <w:p w14:paraId="4A2F87C8"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0,2</w:t>
            </w:r>
          </w:p>
        </w:tc>
      </w:tr>
      <w:tr w:rsidR="00456A50" w:rsidRPr="00FF0E65" w14:paraId="76C1B42B" w14:textId="77777777" w:rsidTr="00DD5402">
        <w:trPr>
          <w:trHeight w:hRule="exact" w:val="255"/>
        </w:trPr>
        <w:tc>
          <w:tcPr>
            <w:tcW w:w="4890" w:type="dxa"/>
            <w:shd w:val="clear" w:color="auto" w:fill="auto"/>
            <w:noWrap/>
            <w:vAlign w:val="bottom"/>
          </w:tcPr>
          <w:p w14:paraId="63746734"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Veicolo fermo evitato</w:t>
            </w:r>
          </w:p>
        </w:tc>
        <w:tc>
          <w:tcPr>
            <w:tcW w:w="826" w:type="dxa"/>
            <w:shd w:val="clear" w:color="auto" w:fill="D9D9D9" w:themeFill="background1" w:themeFillShade="D9"/>
            <w:noWrap/>
            <w:vAlign w:val="bottom"/>
          </w:tcPr>
          <w:p w14:paraId="03A8284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632</w:t>
            </w:r>
          </w:p>
        </w:tc>
        <w:tc>
          <w:tcPr>
            <w:tcW w:w="827" w:type="dxa"/>
            <w:shd w:val="clear" w:color="auto" w:fill="auto"/>
            <w:noWrap/>
            <w:vAlign w:val="bottom"/>
          </w:tcPr>
          <w:p w14:paraId="651F202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0,4</w:t>
            </w:r>
          </w:p>
        </w:tc>
        <w:tc>
          <w:tcPr>
            <w:tcW w:w="827" w:type="dxa"/>
            <w:shd w:val="clear" w:color="auto" w:fill="D9D9D9" w:themeFill="background1" w:themeFillShade="D9"/>
            <w:vAlign w:val="bottom"/>
          </w:tcPr>
          <w:p w14:paraId="7622A1D5"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419</w:t>
            </w:r>
          </w:p>
        </w:tc>
        <w:tc>
          <w:tcPr>
            <w:tcW w:w="827" w:type="dxa"/>
            <w:vAlign w:val="bottom"/>
          </w:tcPr>
          <w:p w14:paraId="29A764C3"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0,8</w:t>
            </w:r>
          </w:p>
        </w:tc>
        <w:tc>
          <w:tcPr>
            <w:tcW w:w="827" w:type="dxa"/>
            <w:shd w:val="clear" w:color="auto" w:fill="D9D9D9" w:themeFill="background1" w:themeFillShade="D9"/>
            <w:noWrap/>
            <w:vAlign w:val="bottom"/>
          </w:tcPr>
          <w:p w14:paraId="15D15466"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1.051</w:t>
            </w:r>
          </w:p>
        </w:tc>
        <w:tc>
          <w:tcPr>
            <w:tcW w:w="827" w:type="dxa"/>
            <w:shd w:val="clear" w:color="auto" w:fill="auto"/>
            <w:noWrap/>
            <w:vAlign w:val="bottom"/>
          </w:tcPr>
          <w:p w14:paraId="1A9F9271"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0,5</w:t>
            </w:r>
          </w:p>
        </w:tc>
      </w:tr>
      <w:tr w:rsidR="00456A50" w:rsidRPr="00FF0E65" w14:paraId="0901236D" w14:textId="77777777" w:rsidTr="00DD5402">
        <w:trPr>
          <w:trHeight w:hRule="exact" w:val="255"/>
        </w:trPr>
        <w:tc>
          <w:tcPr>
            <w:tcW w:w="4890" w:type="dxa"/>
            <w:shd w:val="clear" w:color="auto" w:fill="auto"/>
            <w:noWrap/>
            <w:vAlign w:val="bottom"/>
          </w:tcPr>
          <w:p w14:paraId="0029BB87"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Non dava la precedenza al pedone sugli appositi attraversamenti</w:t>
            </w:r>
          </w:p>
        </w:tc>
        <w:tc>
          <w:tcPr>
            <w:tcW w:w="826" w:type="dxa"/>
            <w:shd w:val="clear" w:color="auto" w:fill="D9D9D9" w:themeFill="background1" w:themeFillShade="D9"/>
            <w:noWrap/>
            <w:vAlign w:val="bottom"/>
          </w:tcPr>
          <w:p w14:paraId="5C0BDEB7"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5.792</w:t>
            </w:r>
          </w:p>
        </w:tc>
        <w:tc>
          <w:tcPr>
            <w:tcW w:w="827" w:type="dxa"/>
            <w:shd w:val="clear" w:color="auto" w:fill="auto"/>
            <w:noWrap/>
            <w:vAlign w:val="bottom"/>
          </w:tcPr>
          <w:p w14:paraId="4E6C06EC"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4,0</w:t>
            </w:r>
          </w:p>
        </w:tc>
        <w:tc>
          <w:tcPr>
            <w:tcW w:w="827" w:type="dxa"/>
            <w:shd w:val="clear" w:color="auto" w:fill="D9D9D9" w:themeFill="background1" w:themeFillShade="D9"/>
            <w:vAlign w:val="bottom"/>
          </w:tcPr>
          <w:p w14:paraId="215257F0"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162</w:t>
            </w:r>
          </w:p>
        </w:tc>
        <w:tc>
          <w:tcPr>
            <w:tcW w:w="827" w:type="dxa"/>
            <w:vAlign w:val="bottom"/>
          </w:tcPr>
          <w:p w14:paraId="6F04619C"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0,3</w:t>
            </w:r>
          </w:p>
        </w:tc>
        <w:tc>
          <w:tcPr>
            <w:tcW w:w="827" w:type="dxa"/>
            <w:shd w:val="clear" w:color="auto" w:fill="D9D9D9" w:themeFill="background1" w:themeFillShade="D9"/>
            <w:noWrap/>
            <w:vAlign w:val="bottom"/>
          </w:tcPr>
          <w:p w14:paraId="16218C3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5.954</w:t>
            </w:r>
          </w:p>
        </w:tc>
        <w:tc>
          <w:tcPr>
            <w:tcW w:w="827" w:type="dxa"/>
            <w:shd w:val="clear" w:color="auto" w:fill="auto"/>
            <w:noWrap/>
            <w:vAlign w:val="bottom"/>
          </w:tcPr>
          <w:p w14:paraId="200C0AA5"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3,0</w:t>
            </w:r>
          </w:p>
        </w:tc>
      </w:tr>
      <w:tr w:rsidR="00456A50" w:rsidRPr="00FF0E65" w14:paraId="7B7087C9" w14:textId="77777777" w:rsidTr="00DD5402">
        <w:trPr>
          <w:trHeight w:hRule="exact" w:val="255"/>
        </w:trPr>
        <w:tc>
          <w:tcPr>
            <w:tcW w:w="4890" w:type="dxa"/>
            <w:shd w:val="clear" w:color="auto" w:fill="auto"/>
            <w:noWrap/>
            <w:vAlign w:val="bottom"/>
          </w:tcPr>
          <w:p w14:paraId="0BB8CB04"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Buche, ecc. evitato</w:t>
            </w:r>
            <w:r>
              <w:rPr>
                <w:rFonts w:ascii="Arial Narrow" w:hAnsi="Arial Narrow" w:cs="Times New Roman"/>
                <w:sz w:val="18"/>
                <w:szCs w:val="18"/>
              </w:rPr>
              <w:t xml:space="preserve"> o urtato</w:t>
            </w:r>
          </w:p>
        </w:tc>
        <w:tc>
          <w:tcPr>
            <w:tcW w:w="826" w:type="dxa"/>
            <w:shd w:val="clear" w:color="auto" w:fill="D9D9D9" w:themeFill="background1" w:themeFillShade="D9"/>
            <w:noWrap/>
            <w:vAlign w:val="bottom"/>
          </w:tcPr>
          <w:p w14:paraId="4B5117B1"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455</w:t>
            </w:r>
          </w:p>
        </w:tc>
        <w:tc>
          <w:tcPr>
            <w:tcW w:w="827" w:type="dxa"/>
            <w:shd w:val="clear" w:color="auto" w:fill="auto"/>
            <w:noWrap/>
            <w:vAlign w:val="bottom"/>
          </w:tcPr>
          <w:p w14:paraId="0106C6D5"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0,3</w:t>
            </w:r>
          </w:p>
        </w:tc>
        <w:tc>
          <w:tcPr>
            <w:tcW w:w="827" w:type="dxa"/>
            <w:shd w:val="clear" w:color="auto" w:fill="D9D9D9" w:themeFill="background1" w:themeFillShade="D9"/>
            <w:vAlign w:val="bottom"/>
          </w:tcPr>
          <w:p w14:paraId="7C06919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465</w:t>
            </w:r>
          </w:p>
        </w:tc>
        <w:tc>
          <w:tcPr>
            <w:tcW w:w="827" w:type="dxa"/>
            <w:vAlign w:val="bottom"/>
          </w:tcPr>
          <w:p w14:paraId="230B9716"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0,9</w:t>
            </w:r>
          </w:p>
        </w:tc>
        <w:tc>
          <w:tcPr>
            <w:tcW w:w="827" w:type="dxa"/>
            <w:shd w:val="clear" w:color="auto" w:fill="D9D9D9" w:themeFill="background1" w:themeFillShade="D9"/>
            <w:noWrap/>
            <w:vAlign w:val="bottom"/>
          </w:tcPr>
          <w:p w14:paraId="0EAFEE8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920</w:t>
            </w:r>
          </w:p>
        </w:tc>
        <w:tc>
          <w:tcPr>
            <w:tcW w:w="827" w:type="dxa"/>
            <w:shd w:val="clear" w:color="auto" w:fill="auto"/>
            <w:noWrap/>
            <w:vAlign w:val="bottom"/>
          </w:tcPr>
          <w:p w14:paraId="0E5F5C9C"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0,5</w:t>
            </w:r>
          </w:p>
        </w:tc>
      </w:tr>
      <w:tr w:rsidR="00456A50" w:rsidRPr="00FF0E65" w14:paraId="5824FBB3" w14:textId="77777777" w:rsidTr="00DD5402">
        <w:trPr>
          <w:trHeight w:hRule="exact" w:val="255"/>
        </w:trPr>
        <w:tc>
          <w:tcPr>
            <w:tcW w:w="4890" w:type="dxa"/>
            <w:shd w:val="clear" w:color="auto" w:fill="auto"/>
            <w:noWrap/>
            <w:vAlign w:val="bottom"/>
          </w:tcPr>
          <w:p w14:paraId="2716364A"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Circostanza imprecisata</w:t>
            </w:r>
          </w:p>
        </w:tc>
        <w:tc>
          <w:tcPr>
            <w:tcW w:w="826" w:type="dxa"/>
            <w:shd w:val="clear" w:color="auto" w:fill="D9D9D9" w:themeFill="background1" w:themeFillShade="D9"/>
            <w:noWrap/>
            <w:vAlign w:val="bottom"/>
          </w:tcPr>
          <w:p w14:paraId="1A2D698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28.364</w:t>
            </w:r>
          </w:p>
        </w:tc>
        <w:tc>
          <w:tcPr>
            <w:tcW w:w="827" w:type="dxa"/>
            <w:shd w:val="clear" w:color="auto" w:fill="auto"/>
            <w:noWrap/>
            <w:vAlign w:val="bottom"/>
          </w:tcPr>
          <w:p w14:paraId="5B376106"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19,8</w:t>
            </w:r>
          </w:p>
        </w:tc>
        <w:tc>
          <w:tcPr>
            <w:tcW w:w="827" w:type="dxa"/>
            <w:shd w:val="clear" w:color="auto" w:fill="D9D9D9" w:themeFill="background1" w:themeFillShade="D9"/>
            <w:vAlign w:val="bottom"/>
          </w:tcPr>
          <w:p w14:paraId="7692075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5.968</w:t>
            </w:r>
          </w:p>
        </w:tc>
        <w:tc>
          <w:tcPr>
            <w:tcW w:w="827" w:type="dxa"/>
            <w:vAlign w:val="bottom"/>
          </w:tcPr>
          <w:p w14:paraId="5B3128A4"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11,0</w:t>
            </w:r>
          </w:p>
        </w:tc>
        <w:tc>
          <w:tcPr>
            <w:tcW w:w="827" w:type="dxa"/>
            <w:shd w:val="clear" w:color="auto" w:fill="D9D9D9" w:themeFill="background1" w:themeFillShade="D9"/>
            <w:noWrap/>
            <w:vAlign w:val="bottom"/>
          </w:tcPr>
          <w:p w14:paraId="07F0FBB7"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34.332</w:t>
            </w:r>
          </w:p>
        </w:tc>
        <w:tc>
          <w:tcPr>
            <w:tcW w:w="827" w:type="dxa"/>
            <w:shd w:val="clear" w:color="auto" w:fill="auto"/>
            <w:noWrap/>
            <w:vAlign w:val="bottom"/>
          </w:tcPr>
          <w:p w14:paraId="42F550AE"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17,4</w:t>
            </w:r>
          </w:p>
        </w:tc>
      </w:tr>
      <w:tr w:rsidR="00456A50" w:rsidRPr="00FF0E65" w14:paraId="68CDB93D" w14:textId="77777777" w:rsidTr="00DD5402">
        <w:trPr>
          <w:trHeight w:hRule="exact" w:val="255"/>
        </w:trPr>
        <w:tc>
          <w:tcPr>
            <w:tcW w:w="4890" w:type="dxa"/>
            <w:shd w:val="clear" w:color="auto" w:fill="auto"/>
            <w:noWrap/>
            <w:vAlign w:val="bottom"/>
          </w:tcPr>
          <w:p w14:paraId="1DD8EFBA"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Veicolo fermo in posizione irregolare urtato</w:t>
            </w:r>
          </w:p>
        </w:tc>
        <w:tc>
          <w:tcPr>
            <w:tcW w:w="826" w:type="dxa"/>
            <w:shd w:val="clear" w:color="auto" w:fill="D9D9D9" w:themeFill="background1" w:themeFillShade="D9"/>
            <w:noWrap/>
            <w:vAlign w:val="bottom"/>
          </w:tcPr>
          <w:p w14:paraId="2671630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1.636</w:t>
            </w:r>
          </w:p>
        </w:tc>
        <w:tc>
          <w:tcPr>
            <w:tcW w:w="827" w:type="dxa"/>
            <w:shd w:val="clear" w:color="auto" w:fill="auto"/>
            <w:noWrap/>
            <w:vAlign w:val="bottom"/>
          </w:tcPr>
          <w:p w14:paraId="66F1B134"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1,1</w:t>
            </w:r>
          </w:p>
        </w:tc>
        <w:tc>
          <w:tcPr>
            <w:tcW w:w="827" w:type="dxa"/>
            <w:shd w:val="clear" w:color="auto" w:fill="D9D9D9" w:themeFill="background1" w:themeFillShade="D9"/>
            <w:vAlign w:val="bottom"/>
          </w:tcPr>
          <w:p w14:paraId="6127FCA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400</w:t>
            </w:r>
          </w:p>
        </w:tc>
        <w:tc>
          <w:tcPr>
            <w:tcW w:w="827" w:type="dxa"/>
            <w:vAlign w:val="bottom"/>
          </w:tcPr>
          <w:p w14:paraId="561511B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0,7</w:t>
            </w:r>
          </w:p>
        </w:tc>
        <w:tc>
          <w:tcPr>
            <w:tcW w:w="827" w:type="dxa"/>
            <w:shd w:val="clear" w:color="auto" w:fill="D9D9D9" w:themeFill="background1" w:themeFillShade="D9"/>
            <w:noWrap/>
            <w:vAlign w:val="bottom"/>
          </w:tcPr>
          <w:p w14:paraId="0155CBBD"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2.036</w:t>
            </w:r>
          </w:p>
        </w:tc>
        <w:tc>
          <w:tcPr>
            <w:tcW w:w="827" w:type="dxa"/>
            <w:shd w:val="clear" w:color="auto" w:fill="auto"/>
            <w:noWrap/>
            <w:vAlign w:val="bottom"/>
          </w:tcPr>
          <w:p w14:paraId="5375C9D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1,0</w:t>
            </w:r>
          </w:p>
        </w:tc>
      </w:tr>
      <w:tr w:rsidR="00456A50" w:rsidRPr="00FF0E65" w14:paraId="2F83E152" w14:textId="77777777" w:rsidTr="00DD5402">
        <w:trPr>
          <w:trHeight w:hRule="exact" w:val="255"/>
        </w:trPr>
        <w:tc>
          <w:tcPr>
            <w:tcW w:w="4890" w:type="dxa"/>
            <w:shd w:val="clear" w:color="auto" w:fill="auto"/>
            <w:noWrap/>
            <w:vAlign w:val="bottom"/>
          </w:tcPr>
          <w:p w14:paraId="374846EE"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Altre cause relative al comportamento nella circolazione</w:t>
            </w:r>
          </w:p>
        </w:tc>
        <w:tc>
          <w:tcPr>
            <w:tcW w:w="826" w:type="dxa"/>
            <w:shd w:val="clear" w:color="auto" w:fill="D9D9D9" w:themeFill="background1" w:themeFillShade="D9"/>
            <w:noWrap/>
            <w:vAlign w:val="bottom"/>
          </w:tcPr>
          <w:p w14:paraId="6AD5F645"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5.600</w:t>
            </w:r>
          </w:p>
        </w:tc>
        <w:tc>
          <w:tcPr>
            <w:tcW w:w="827" w:type="dxa"/>
            <w:shd w:val="clear" w:color="auto" w:fill="auto"/>
            <w:noWrap/>
            <w:vAlign w:val="bottom"/>
          </w:tcPr>
          <w:p w14:paraId="2D559ECB"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3,9</w:t>
            </w:r>
          </w:p>
        </w:tc>
        <w:tc>
          <w:tcPr>
            <w:tcW w:w="827" w:type="dxa"/>
            <w:shd w:val="clear" w:color="auto" w:fill="D9D9D9" w:themeFill="background1" w:themeFillShade="D9"/>
            <w:vAlign w:val="bottom"/>
          </w:tcPr>
          <w:p w14:paraId="48B9909C"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1.785</w:t>
            </w:r>
          </w:p>
        </w:tc>
        <w:tc>
          <w:tcPr>
            <w:tcW w:w="827" w:type="dxa"/>
            <w:vAlign w:val="bottom"/>
          </w:tcPr>
          <w:p w14:paraId="11ED99B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3,3</w:t>
            </w:r>
          </w:p>
        </w:tc>
        <w:tc>
          <w:tcPr>
            <w:tcW w:w="827" w:type="dxa"/>
            <w:shd w:val="clear" w:color="auto" w:fill="D9D9D9" w:themeFill="background1" w:themeFillShade="D9"/>
            <w:noWrap/>
            <w:vAlign w:val="bottom"/>
          </w:tcPr>
          <w:p w14:paraId="632F1B02"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7.385</w:t>
            </w:r>
          </w:p>
        </w:tc>
        <w:tc>
          <w:tcPr>
            <w:tcW w:w="827" w:type="dxa"/>
            <w:shd w:val="clear" w:color="auto" w:fill="auto"/>
            <w:noWrap/>
            <w:vAlign w:val="bottom"/>
          </w:tcPr>
          <w:p w14:paraId="212BFC8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3,7</w:t>
            </w:r>
          </w:p>
        </w:tc>
      </w:tr>
      <w:tr w:rsidR="00456A50" w:rsidRPr="00FF0E65" w14:paraId="4C9DDFAC" w14:textId="77777777" w:rsidTr="00DD5402">
        <w:trPr>
          <w:trHeight w:hRule="exact" w:val="255"/>
        </w:trPr>
        <w:tc>
          <w:tcPr>
            <w:tcW w:w="4890" w:type="dxa"/>
            <w:shd w:val="clear" w:color="auto" w:fill="auto"/>
            <w:vAlign w:val="bottom"/>
          </w:tcPr>
          <w:p w14:paraId="7167E08D" w14:textId="77777777" w:rsidR="00456A50" w:rsidRPr="00736FB7" w:rsidRDefault="00456A50" w:rsidP="00F76C09">
            <w:pPr>
              <w:spacing w:before="40" w:after="20"/>
              <w:rPr>
                <w:rFonts w:ascii="Arial Narrow" w:hAnsi="Arial Narrow" w:cs="Times New Roman"/>
                <w:sz w:val="18"/>
                <w:szCs w:val="18"/>
              </w:rPr>
            </w:pPr>
            <w:r w:rsidRPr="00736FB7">
              <w:rPr>
                <w:rFonts w:ascii="Arial Narrow" w:hAnsi="Arial Narrow" w:cs="Times New Roman"/>
                <w:sz w:val="18"/>
                <w:szCs w:val="18"/>
              </w:rPr>
              <w:t>Comportamento scorretto del pedone</w:t>
            </w:r>
          </w:p>
        </w:tc>
        <w:tc>
          <w:tcPr>
            <w:tcW w:w="826" w:type="dxa"/>
            <w:shd w:val="clear" w:color="auto" w:fill="D9D9D9" w:themeFill="background1" w:themeFillShade="D9"/>
            <w:noWrap/>
            <w:vAlign w:val="bottom"/>
          </w:tcPr>
          <w:p w14:paraId="391E724A"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4.887</w:t>
            </w:r>
          </w:p>
        </w:tc>
        <w:tc>
          <w:tcPr>
            <w:tcW w:w="827" w:type="dxa"/>
            <w:shd w:val="clear" w:color="auto" w:fill="auto"/>
            <w:noWrap/>
            <w:vAlign w:val="bottom"/>
          </w:tcPr>
          <w:p w14:paraId="60135E77"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3,4</w:t>
            </w:r>
          </w:p>
        </w:tc>
        <w:tc>
          <w:tcPr>
            <w:tcW w:w="827" w:type="dxa"/>
            <w:shd w:val="clear" w:color="auto" w:fill="D9D9D9" w:themeFill="background1" w:themeFillShade="D9"/>
            <w:vAlign w:val="bottom"/>
          </w:tcPr>
          <w:p w14:paraId="621BF66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515</w:t>
            </w:r>
          </w:p>
        </w:tc>
        <w:tc>
          <w:tcPr>
            <w:tcW w:w="827" w:type="dxa"/>
            <w:vAlign w:val="bottom"/>
          </w:tcPr>
          <w:p w14:paraId="65C90BA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1,0</w:t>
            </w:r>
          </w:p>
        </w:tc>
        <w:tc>
          <w:tcPr>
            <w:tcW w:w="827" w:type="dxa"/>
            <w:shd w:val="clear" w:color="auto" w:fill="D9D9D9" w:themeFill="background1" w:themeFillShade="D9"/>
            <w:noWrap/>
            <w:vAlign w:val="bottom"/>
          </w:tcPr>
          <w:p w14:paraId="6CD13359"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5.402</w:t>
            </w:r>
          </w:p>
        </w:tc>
        <w:tc>
          <w:tcPr>
            <w:tcW w:w="827" w:type="dxa"/>
            <w:shd w:val="clear" w:color="auto" w:fill="auto"/>
            <w:noWrap/>
            <w:vAlign w:val="bottom"/>
          </w:tcPr>
          <w:p w14:paraId="30ABDF2F" w14:textId="77777777" w:rsidR="00456A50" w:rsidRPr="00F010CB" w:rsidRDefault="00456A50" w:rsidP="00F76C09">
            <w:pPr>
              <w:spacing w:before="40" w:after="20"/>
              <w:jc w:val="right"/>
              <w:rPr>
                <w:rFonts w:ascii="Arial Narrow" w:hAnsi="Arial Narrow"/>
                <w:sz w:val="18"/>
                <w:szCs w:val="18"/>
              </w:rPr>
            </w:pPr>
            <w:r>
              <w:rPr>
                <w:rFonts w:ascii="Arial Narrow" w:hAnsi="Arial Narrow"/>
                <w:sz w:val="18"/>
                <w:szCs w:val="18"/>
              </w:rPr>
              <w:t>2,7</w:t>
            </w:r>
          </w:p>
        </w:tc>
      </w:tr>
      <w:tr w:rsidR="00456A50" w:rsidRPr="00FF0E65" w14:paraId="577650D3" w14:textId="77777777" w:rsidTr="00DD5402">
        <w:trPr>
          <w:trHeight w:hRule="exact" w:val="255"/>
        </w:trPr>
        <w:tc>
          <w:tcPr>
            <w:tcW w:w="4890" w:type="dxa"/>
            <w:shd w:val="clear" w:color="auto" w:fill="auto"/>
            <w:noWrap/>
            <w:vAlign w:val="bottom"/>
          </w:tcPr>
          <w:p w14:paraId="5F9A9BE7" w14:textId="77777777" w:rsidR="00456A50" w:rsidRPr="00736FB7" w:rsidRDefault="00456A50" w:rsidP="00F76C09">
            <w:pPr>
              <w:spacing w:before="40" w:after="20"/>
              <w:rPr>
                <w:rFonts w:ascii="Arial Narrow" w:hAnsi="Arial Narrow" w:cs="Times New Roman"/>
                <w:b/>
                <w:bCs/>
                <w:sz w:val="18"/>
                <w:szCs w:val="18"/>
              </w:rPr>
            </w:pPr>
            <w:r>
              <w:rPr>
                <w:rFonts w:ascii="Arial Narrow" w:hAnsi="Arial Narrow" w:cs="Times New Roman"/>
                <w:b/>
                <w:bCs/>
                <w:sz w:val="18"/>
                <w:szCs w:val="18"/>
              </w:rPr>
              <w:t xml:space="preserve">Totale </w:t>
            </w:r>
            <w:r w:rsidRPr="00736FB7">
              <w:rPr>
                <w:rFonts w:ascii="Arial Narrow" w:hAnsi="Arial Narrow" w:cs="Times New Roman"/>
                <w:b/>
                <w:bCs/>
                <w:sz w:val="18"/>
                <w:szCs w:val="18"/>
              </w:rPr>
              <w:t xml:space="preserve">comportamento scorretto del conducente e del pedone </w:t>
            </w:r>
          </w:p>
        </w:tc>
        <w:tc>
          <w:tcPr>
            <w:tcW w:w="826" w:type="dxa"/>
            <w:shd w:val="clear" w:color="auto" w:fill="D9D9D9" w:themeFill="background1" w:themeFillShade="D9"/>
            <w:noWrap/>
            <w:vAlign w:val="bottom"/>
          </w:tcPr>
          <w:p w14:paraId="495BE5A1"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134.626</w:t>
            </w:r>
          </w:p>
        </w:tc>
        <w:tc>
          <w:tcPr>
            <w:tcW w:w="827" w:type="dxa"/>
            <w:shd w:val="clear" w:color="auto" w:fill="auto"/>
            <w:noWrap/>
            <w:vAlign w:val="bottom"/>
          </w:tcPr>
          <w:p w14:paraId="65851CDD"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93,7</w:t>
            </w:r>
          </w:p>
        </w:tc>
        <w:tc>
          <w:tcPr>
            <w:tcW w:w="827" w:type="dxa"/>
            <w:shd w:val="clear" w:color="auto" w:fill="D9D9D9" w:themeFill="background1" w:themeFillShade="D9"/>
            <w:vAlign w:val="bottom"/>
          </w:tcPr>
          <w:p w14:paraId="3EB14026"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47.668</w:t>
            </w:r>
          </w:p>
        </w:tc>
        <w:tc>
          <w:tcPr>
            <w:tcW w:w="827" w:type="dxa"/>
            <w:vAlign w:val="bottom"/>
          </w:tcPr>
          <w:p w14:paraId="30F6C0EE"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88,1</w:t>
            </w:r>
          </w:p>
        </w:tc>
        <w:tc>
          <w:tcPr>
            <w:tcW w:w="827" w:type="dxa"/>
            <w:shd w:val="clear" w:color="auto" w:fill="D9D9D9" w:themeFill="background1" w:themeFillShade="D9"/>
            <w:noWrap/>
            <w:vAlign w:val="bottom"/>
          </w:tcPr>
          <w:p w14:paraId="05543D1C"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182.294</w:t>
            </w:r>
          </w:p>
        </w:tc>
        <w:tc>
          <w:tcPr>
            <w:tcW w:w="827" w:type="dxa"/>
            <w:shd w:val="clear" w:color="auto" w:fill="auto"/>
            <w:noWrap/>
            <w:vAlign w:val="bottom"/>
          </w:tcPr>
          <w:p w14:paraId="0BB91C10"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92,2</w:t>
            </w:r>
          </w:p>
        </w:tc>
      </w:tr>
      <w:tr w:rsidR="00456A50" w:rsidRPr="00FF0E65" w14:paraId="1EFA9102" w14:textId="77777777" w:rsidTr="00DD5402">
        <w:trPr>
          <w:trHeight w:hRule="exact" w:val="255"/>
        </w:trPr>
        <w:tc>
          <w:tcPr>
            <w:tcW w:w="4890" w:type="dxa"/>
            <w:shd w:val="clear" w:color="auto" w:fill="auto"/>
            <w:noWrap/>
            <w:vAlign w:val="bottom"/>
          </w:tcPr>
          <w:p w14:paraId="7107A5A3" w14:textId="77777777" w:rsidR="00456A50" w:rsidRPr="00736FB7" w:rsidRDefault="00456A50" w:rsidP="00F76C09">
            <w:pPr>
              <w:spacing w:before="40" w:after="20"/>
              <w:rPr>
                <w:rFonts w:ascii="Arial Narrow" w:hAnsi="Arial Narrow" w:cs="Times New Roman"/>
                <w:b/>
                <w:bCs/>
                <w:sz w:val="18"/>
                <w:szCs w:val="18"/>
              </w:rPr>
            </w:pPr>
            <w:r w:rsidRPr="00736FB7">
              <w:rPr>
                <w:rFonts w:ascii="Arial Narrow" w:hAnsi="Arial Narrow" w:cs="Times New Roman"/>
                <w:b/>
                <w:bCs/>
                <w:sz w:val="18"/>
                <w:szCs w:val="18"/>
              </w:rPr>
              <w:t>Altre cause</w:t>
            </w:r>
          </w:p>
        </w:tc>
        <w:tc>
          <w:tcPr>
            <w:tcW w:w="826" w:type="dxa"/>
            <w:shd w:val="clear" w:color="auto" w:fill="D9D9D9" w:themeFill="background1" w:themeFillShade="D9"/>
            <w:noWrap/>
            <w:vAlign w:val="bottom"/>
          </w:tcPr>
          <w:p w14:paraId="4D6A4923"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8.987</w:t>
            </w:r>
          </w:p>
        </w:tc>
        <w:tc>
          <w:tcPr>
            <w:tcW w:w="827" w:type="dxa"/>
            <w:shd w:val="clear" w:color="auto" w:fill="auto"/>
            <w:noWrap/>
            <w:vAlign w:val="bottom"/>
          </w:tcPr>
          <w:p w14:paraId="0184A55A"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6,3</w:t>
            </w:r>
          </w:p>
        </w:tc>
        <w:tc>
          <w:tcPr>
            <w:tcW w:w="827" w:type="dxa"/>
            <w:shd w:val="clear" w:color="auto" w:fill="D9D9D9" w:themeFill="background1" w:themeFillShade="D9"/>
            <w:vAlign w:val="bottom"/>
          </w:tcPr>
          <w:p w14:paraId="58C814CF"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6.463</w:t>
            </w:r>
          </w:p>
        </w:tc>
        <w:tc>
          <w:tcPr>
            <w:tcW w:w="827" w:type="dxa"/>
            <w:vAlign w:val="bottom"/>
          </w:tcPr>
          <w:p w14:paraId="0ED31C00"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11,9</w:t>
            </w:r>
          </w:p>
        </w:tc>
        <w:tc>
          <w:tcPr>
            <w:tcW w:w="827" w:type="dxa"/>
            <w:shd w:val="clear" w:color="auto" w:fill="D9D9D9" w:themeFill="background1" w:themeFillShade="D9"/>
            <w:noWrap/>
            <w:vAlign w:val="bottom"/>
          </w:tcPr>
          <w:p w14:paraId="53E5DFED"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15.450</w:t>
            </w:r>
          </w:p>
        </w:tc>
        <w:tc>
          <w:tcPr>
            <w:tcW w:w="827" w:type="dxa"/>
            <w:shd w:val="clear" w:color="auto" w:fill="auto"/>
            <w:noWrap/>
            <w:vAlign w:val="bottom"/>
          </w:tcPr>
          <w:p w14:paraId="34CC5C38" w14:textId="77777777" w:rsidR="00456A50" w:rsidRPr="00F010CB" w:rsidRDefault="00456A50" w:rsidP="00F76C09">
            <w:pPr>
              <w:spacing w:before="40" w:after="20"/>
              <w:jc w:val="right"/>
              <w:rPr>
                <w:rFonts w:ascii="Arial Narrow" w:hAnsi="Arial Narrow"/>
                <w:b/>
                <w:sz w:val="18"/>
                <w:szCs w:val="18"/>
              </w:rPr>
            </w:pPr>
            <w:r>
              <w:rPr>
                <w:rFonts w:ascii="Arial Narrow" w:hAnsi="Arial Narrow"/>
                <w:b/>
                <w:bCs/>
                <w:sz w:val="18"/>
                <w:szCs w:val="18"/>
              </w:rPr>
              <w:t>7,8</w:t>
            </w:r>
          </w:p>
        </w:tc>
      </w:tr>
      <w:tr w:rsidR="00456A50" w:rsidRPr="00FF0E65" w14:paraId="4AB0D7EA" w14:textId="77777777" w:rsidTr="00DD5402">
        <w:trPr>
          <w:trHeight w:hRule="exact" w:val="255"/>
        </w:trPr>
        <w:tc>
          <w:tcPr>
            <w:tcW w:w="4890" w:type="dxa"/>
            <w:shd w:val="clear" w:color="auto" w:fill="1F497D"/>
            <w:noWrap/>
            <w:vAlign w:val="bottom"/>
          </w:tcPr>
          <w:p w14:paraId="0D99CA34" w14:textId="77777777" w:rsidR="00456A50" w:rsidRPr="00A9541D" w:rsidRDefault="00456A50" w:rsidP="00F76C09">
            <w:pPr>
              <w:spacing w:before="40" w:after="20"/>
              <w:rPr>
                <w:rFonts w:ascii="Arial Narrow" w:hAnsi="Arial Narrow" w:cs="Times New Roman"/>
                <w:b/>
                <w:bCs/>
                <w:color w:val="FFFFFF"/>
                <w:sz w:val="18"/>
                <w:szCs w:val="18"/>
              </w:rPr>
            </w:pPr>
            <w:r w:rsidRPr="00A9541D">
              <w:rPr>
                <w:rFonts w:ascii="Arial Narrow" w:hAnsi="Arial Narrow" w:cs="Times New Roman"/>
                <w:b/>
                <w:bCs/>
                <w:color w:val="FFFFFF"/>
                <w:sz w:val="18"/>
                <w:szCs w:val="18"/>
              </w:rPr>
              <w:t>Totale cause</w:t>
            </w:r>
            <w:r>
              <w:rPr>
                <w:rFonts w:ascii="Arial Narrow" w:hAnsi="Arial Narrow" w:cs="Times New Roman"/>
                <w:b/>
                <w:bCs/>
                <w:color w:val="FFFFFF"/>
                <w:sz w:val="18"/>
                <w:szCs w:val="18"/>
              </w:rPr>
              <w:t xml:space="preserve"> </w:t>
            </w:r>
            <w:r w:rsidRPr="00F10C49">
              <w:rPr>
                <w:rFonts w:ascii="Arial Narrow" w:hAnsi="Arial Narrow" w:cs="Times New Roman"/>
                <w:bCs/>
                <w:color w:val="FFFFFF"/>
                <w:sz w:val="18"/>
                <w:szCs w:val="18"/>
              </w:rPr>
              <w:t>(b)</w:t>
            </w:r>
          </w:p>
        </w:tc>
        <w:tc>
          <w:tcPr>
            <w:tcW w:w="826" w:type="dxa"/>
            <w:shd w:val="clear" w:color="auto" w:fill="1F497D"/>
            <w:noWrap/>
            <w:vAlign w:val="bottom"/>
          </w:tcPr>
          <w:p w14:paraId="5FEEE383" w14:textId="77777777" w:rsidR="00456A50" w:rsidRPr="00F010CB" w:rsidRDefault="00456A50" w:rsidP="00F76C09">
            <w:pPr>
              <w:spacing w:before="40" w:after="20"/>
              <w:jc w:val="right"/>
              <w:rPr>
                <w:rFonts w:ascii="Arial Narrow" w:hAnsi="Arial Narrow"/>
                <w:b/>
                <w:color w:val="FFFFFF" w:themeColor="background1"/>
                <w:sz w:val="18"/>
                <w:szCs w:val="18"/>
              </w:rPr>
            </w:pPr>
            <w:r>
              <w:rPr>
                <w:rFonts w:ascii="Arial Narrow" w:hAnsi="Arial Narrow"/>
                <w:b/>
                <w:bCs/>
                <w:color w:val="FFFFFF"/>
                <w:sz w:val="18"/>
                <w:szCs w:val="18"/>
              </w:rPr>
              <w:t>143.613</w:t>
            </w:r>
          </w:p>
        </w:tc>
        <w:tc>
          <w:tcPr>
            <w:tcW w:w="827" w:type="dxa"/>
            <w:shd w:val="clear" w:color="auto" w:fill="1F497D"/>
            <w:noWrap/>
            <w:vAlign w:val="bottom"/>
          </w:tcPr>
          <w:p w14:paraId="6A9B0263" w14:textId="77777777" w:rsidR="00456A50" w:rsidRPr="00F010CB" w:rsidRDefault="00456A50" w:rsidP="00F76C09">
            <w:pPr>
              <w:spacing w:before="40" w:after="20"/>
              <w:jc w:val="right"/>
              <w:rPr>
                <w:rFonts w:ascii="Arial Narrow" w:hAnsi="Arial Narrow"/>
                <w:b/>
                <w:color w:val="FFFFFF" w:themeColor="background1"/>
                <w:sz w:val="18"/>
                <w:szCs w:val="18"/>
              </w:rPr>
            </w:pPr>
            <w:r>
              <w:rPr>
                <w:rFonts w:ascii="Arial Narrow" w:hAnsi="Arial Narrow"/>
                <w:b/>
                <w:bCs/>
                <w:color w:val="FFFFFF"/>
                <w:sz w:val="18"/>
                <w:szCs w:val="18"/>
              </w:rPr>
              <w:t>100,0</w:t>
            </w:r>
          </w:p>
        </w:tc>
        <w:tc>
          <w:tcPr>
            <w:tcW w:w="827" w:type="dxa"/>
            <w:shd w:val="clear" w:color="auto" w:fill="1F497D"/>
            <w:vAlign w:val="bottom"/>
          </w:tcPr>
          <w:p w14:paraId="57B77C16" w14:textId="77777777" w:rsidR="00456A50" w:rsidRPr="00F010CB" w:rsidRDefault="00456A50" w:rsidP="00F76C09">
            <w:pPr>
              <w:spacing w:before="40" w:after="20"/>
              <w:jc w:val="right"/>
              <w:rPr>
                <w:rFonts w:ascii="Arial Narrow" w:hAnsi="Arial Narrow"/>
                <w:b/>
                <w:color w:val="FFFFFF" w:themeColor="background1"/>
                <w:sz w:val="18"/>
                <w:szCs w:val="18"/>
              </w:rPr>
            </w:pPr>
            <w:r>
              <w:rPr>
                <w:rFonts w:ascii="Arial Narrow" w:hAnsi="Arial Narrow"/>
                <w:b/>
                <w:bCs/>
                <w:color w:val="FFFFFF"/>
                <w:sz w:val="18"/>
                <w:szCs w:val="18"/>
              </w:rPr>
              <w:t>54.131</w:t>
            </w:r>
          </w:p>
        </w:tc>
        <w:tc>
          <w:tcPr>
            <w:tcW w:w="827" w:type="dxa"/>
            <w:shd w:val="clear" w:color="auto" w:fill="1F497D"/>
            <w:vAlign w:val="bottom"/>
          </w:tcPr>
          <w:p w14:paraId="352035F4" w14:textId="77777777" w:rsidR="00456A50" w:rsidRPr="00F010CB" w:rsidRDefault="00456A50" w:rsidP="00F76C09">
            <w:pPr>
              <w:spacing w:before="40" w:after="20"/>
              <w:jc w:val="right"/>
              <w:rPr>
                <w:rFonts w:ascii="Arial Narrow" w:hAnsi="Arial Narrow"/>
                <w:b/>
                <w:color w:val="FFFFFF" w:themeColor="background1"/>
                <w:sz w:val="18"/>
                <w:szCs w:val="18"/>
              </w:rPr>
            </w:pPr>
            <w:r>
              <w:rPr>
                <w:rFonts w:ascii="Arial Narrow" w:hAnsi="Arial Narrow"/>
                <w:b/>
                <w:bCs/>
                <w:color w:val="FFFFFF"/>
                <w:sz w:val="18"/>
                <w:szCs w:val="18"/>
              </w:rPr>
              <w:t>100,0</w:t>
            </w:r>
          </w:p>
        </w:tc>
        <w:tc>
          <w:tcPr>
            <w:tcW w:w="827" w:type="dxa"/>
            <w:shd w:val="clear" w:color="auto" w:fill="1F497D"/>
            <w:noWrap/>
            <w:vAlign w:val="bottom"/>
          </w:tcPr>
          <w:p w14:paraId="2FC2A2F0" w14:textId="77777777" w:rsidR="00456A50" w:rsidRPr="00F010CB" w:rsidRDefault="00456A50" w:rsidP="00F76C09">
            <w:pPr>
              <w:spacing w:before="40" w:after="20"/>
              <w:jc w:val="right"/>
              <w:rPr>
                <w:rFonts w:ascii="Arial Narrow" w:hAnsi="Arial Narrow"/>
                <w:b/>
                <w:color w:val="FFFFFF" w:themeColor="background1"/>
                <w:sz w:val="18"/>
                <w:szCs w:val="18"/>
              </w:rPr>
            </w:pPr>
            <w:r>
              <w:rPr>
                <w:rFonts w:ascii="Arial Narrow" w:hAnsi="Arial Narrow"/>
                <w:b/>
                <w:bCs/>
                <w:color w:val="FFFFFF"/>
                <w:sz w:val="18"/>
                <w:szCs w:val="18"/>
              </w:rPr>
              <w:t>197.744</w:t>
            </w:r>
          </w:p>
        </w:tc>
        <w:tc>
          <w:tcPr>
            <w:tcW w:w="827" w:type="dxa"/>
            <w:shd w:val="clear" w:color="auto" w:fill="1F497D"/>
            <w:noWrap/>
            <w:vAlign w:val="bottom"/>
          </w:tcPr>
          <w:p w14:paraId="58F1AE19" w14:textId="77777777" w:rsidR="00456A50" w:rsidRPr="00F010CB" w:rsidRDefault="00456A50" w:rsidP="00F76C09">
            <w:pPr>
              <w:spacing w:before="40" w:after="20"/>
              <w:jc w:val="right"/>
              <w:rPr>
                <w:rFonts w:ascii="Arial Narrow" w:hAnsi="Arial Narrow"/>
                <w:b/>
                <w:color w:val="FFFFFF" w:themeColor="background1"/>
                <w:sz w:val="18"/>
                <w:szCs w:val="18"/>
              </w:rPr>
            </w:pPr>
            <w:r>
              <w:rPr>
                <w:rFonts w:ascii="Arial Narrow" w:hAnsi="Arial Narrow"/>
                <w:b/>
                <w:bCs/>
                <w:color w:val="FFFFFF"/>
                <w:sz w:val="18"/>
                <w:szCs w:val="18"/>
              </w:rPr>
              <w:t>100,0</w:t>
            </w:r>
          </w:p>
        </w:tc>
      </w:tr>
    </w:tbl>
    <w:bookmarkEnd w:id="3"/>
    <w:bookmarkEnd w:id="4"/>
    <w:p w14:paraId="7D57F5E2" w14:textId="77777777" w:rsidR="00675C39" w:rsidRDefault="00675C39" w:rsidP="008A388C">
      <w:pPr>
        <w:pStyle w:val="Titolo"/>
        <w:numPr>
          <w:ilvl w:val="0"/>
          <w:numId w:val="4"/>
        </w:numPr>
        <w:ind w:left="284" w:hanging="284"/>
        <w:jc w:val="both"/>
        <w:rPr>
          <w:rFonts w:ascii="Arial Narrow" w:hAnsi="Arial Narrow"/>
          <w:b w:val="0"/>
          <w:sz w:val="15"/>
          <w:szCs w:val="15"/>
        </w:rPr>
      </w:pPr>
      <w:r>
        <w:rPr>
          <w:rFonts w:ascii="Arial Narrow" w:hAnsi="Arial Narrow"/>
          <w:b w:val="0"/>
          <w:sz w:val="15"/>
          <w:szCs w:val="15"/>
        </w:rPr>
        <w:t>Sono incluse nel prospetto tutte le circostanze registrate per i primi due veicoli coinvolti. Per ogni veicolo possono essere indicate fino a tre tipologie di circostanze.</w:t>
      </w:r>
    </w:p>
    <w:p w14:paraId="3280E30D" w14:textId="77777777" w:rsidR="00675C39" w:rsidRDefault="00675C39" w:rsidP="008A388C">
      <w:pPr>
        <w:pStyle w:val="Titolo"/>
        <w:numPr>
          <w:ilvl w:val="0"/>
          <w:numId w:val="4"/>
        </w:numPr>
        <w:ind w:left="284" w:hanging="284"/>
        <w:jc w:val="both"/>
        <w:rPr>
          <w:rFonts w:ascii="Arial Narrow" w:hAnsi="Arial Narrow"/>
          <w:b w:val="0"/>
          <w:sz w:val="15"/>
          <w:szCs w:val="15"/>
        </w:rPr>
      </w:pPr>
      <w:r w:rsidRPr="003C6AE0">
        <w:rPr>
          <w:rFonts w:ascii="Arial Narrow" w:hAnsi="Arial Narrow"/>
          <w:b w:val="0"/>
          <w:sz w:val="15"/>
          <w:szCs w:val="15"/>
        </w:rPr>
        <w:t>Il totale cause è riferito al numero complessivo delle cause accertate o presunte, corrispondenti ai conducenti dei primi due veicoli coinvolti nell’incidente, comunicate dalle forze dell’ordine al momento del rilievo. Il dettaglio delle singole voci in tabella è riferito alle sole circostanze legate ad inconvenienti di circolazione.</w:t>
      </w:r>
    </w:p>
    <w:p w14:paraId="4F30603F" w14:textId="77777777" w:rsidR="00AA5AF9" w:rsidRDefault="00AA5AF9" w:rsidP="00DD5402">
      <w:pPr>
        <w:widowControl w:val="0"/>
        <w:spacing w:after="120"/>
        <w:jc w:val="both"/>
        <w:rPr>
          <w:sz w:val="20"/>
        </w:rPr>
      </w:pPr>
    </w:p>
    <w:p w14:paraId="546CC2A3" w14:textId="77777777" w:rsidR="00B869BD" w:rsidRDefault="00B869BD" w:rsidP="00DD5402">
      <w:pPr>
        <w:widowControl w:val="0"/>
        <w:spacing w:after="120"/>
        <w:jc w:val="both"/>
        <w:rPr>
          <w:sz w:val="20"/>
        </w:rPr>
      </w:pPr>
    </w:p>
    <w:p w14:paraId="3265F542" w14:textId="77777777" w:rsidR="00DD5402" w:rsidRPr="001860AA" w:rsidRDefault="00DD5402" w:rsidP="00DD5402">
      <w:pPr>
        <w:widowControl w:val="0"/>
        <w:spacing w:after="120"/>
        <w:jc w:val="both"/>
        <w:rPr>
          <w:sz w:val="20"/>
        </w:rPr>
      </w:pPr>
      <w:r w:rsidRPr="001860AA">
        <w:rPr>
          <w:sz w:val="20"/>
        </w:rPr>
        <w:t xml:space="preserve">L’informazione sugli incidenti stradali correlati ad alcol e droga, non sempre esaustiva dai dati della rilevazione corrente, è stata dedotta da altre fonti informative, quali </w:t>
      </w:r>
      <w:r>
        <w:rPr>
          <w:sz w:val="20"/>
        </w:rPr>
        <w:t>il</w:t>
      </w:r>
      <w:r w:rsidRPr="001860AA">
        <w:rPr>
          <w:sz w:val="20"/>
        </w:rPr>
        <w:t xml:space="preserve"> Comando Generale dell’Arma dei Carabinieri e il Servizio della Polizia Stradale del Ministero dell’</w:t>
      </w:r>
      <w:r>
        <w:rPr>
          <w:sz w:val="20"/>
        </w:rPr>
        <w:t>I</w:t>
      </w:r>
      <w:r w:rsidRPr="001860AA">
        <w:rPr>
          <w:sz w:val="20"/>
        </w:rPr>
        <w:t xml:space="preserve">nterno (i quali rilevano complessivamente circa un terzo degli incidenti stradali con lesioni) che hanno fornito i dati sulle sanzioni elevate in occasione di incidente stradale. </w:t>
      </w:r>
    </w:p>
    <w:p w14:paraId="0C7EBD2C" w14:textId="4DADDD7E" w:rsidR="00DD5402" w:rsidRPr="00FE4760" w:rsidRDefault="00DD5402" w:rsidP="00DD5402">
      <w:pPr>
        <w:widowControl w:val="0"/>
        <w:spacing w:after="120"/>
        <w:jc w:val="both"/>
        <w:rPr>
          <w:sz w:val="20"/>
        </w:rPr>
      </w:pPr>
      <w:r w:rsidRPr="00FE4760">
        <w:rPr>
          <w:sz w:val="20"/>
        </w:rPr>
        <w:t xml:space="preserve">Da tali fonti risulta che su un totale di </w:t>
      </w:r>
      <w:r w:rsidRPr="00FE4760">
        <w:rPr>
          <w:sz w:val="20"/>
          <w:shd w:val="clear" w:color="auto" w:fill="FFFFFF" w:themeFill="background1"/>
        </w:rPr>
        <w:t xml:space="preserve">52.459 </w:t>
      </w:r>
      <w:r w:rsidRPr="00FE4760">
        <w:rPr>
          <w:sz w:val="20"/>
        </w:rPr>
        <w:t xml:space="preserve">incidenti con lesioni osservati dai due Organi di rilevazione, sono stati 5.085 quelli con almeno uno dei conducenti dei veicoli coinvolti in stato di ebbrezza </w:t>
      </w:r>
      <w:r w:rsidRPr="00FE4760">
        <w:rPr>
          <w:sz w:val="20"/>
          <w:shd w:val="clear" w:color="auto" w:fill="FFFFFF" w:themeFill="background1"/>
        </w:rPr>
        <w:t>e 1.676</w:t>
      </w:r>
      <w:r w:rsidRPr="00FE4760">
        <w:rPr>
          <w:sz w:val="20"/>
        </w:rPr>
        <w:t xml:space="preserve"> quelli per i quali si è rilevato l’effetto di stupefacenti. Il 9,7% e il 3,</w:t>
      </w:r>
      <w:r w:rsidR="00094E5E">
        <w:rPr>
          <w:sz w:val="20"/>
        </w:rPr>
        <w:t>2</w:t>
      </w:r>
      <w:r w:rsidRPr="00FE4760">
        <w:rPr>
          <w:sz w:val="20"/>
        </w:rPr>
        <w:t>% degli incidenti rilevati da Carabinieri e Polizia Stradale nel complesso, è correlato quind</w:t>
      </w:r>
      <w:r>
        <w:rPr>
          <w:sz w:val="20"/>
        </w:rPr>
        <w:t>i</w:t>
      </w:r>
      <w:r w:rsidRPr="00FE4760">
        <w:rPr>
          <w:sz w:val="20"/>
        </w:rPr>
        <w:t xml:space="preserve"> ad alcol e droga, proporzioni in aumento </w:t>
      </w:r>
      <w:r w:rsidRPr="00094E5E">
        <w:rPr>
          <w:sz w:val="20"/>
        </w:rPr>
        <w:t>rispetto al 20</w:t>
      </w:r>
      <w:r w:rsidR="00094E5E">
        <w:rPr>
          <w:sz w:val="20"/>
        </w:rPr>
        <w:t>20</w:t>
      </w:r>
      <w:r w:rsidRPr="00FE4760">
        <w:rPr>
          <w:sz w:val="20"/>
        </w:rPr>
        <w:t>, per lo stato di ebbrezza alla guida</w:t>
      </w:r>
      <w:r w:rsidR="00094E5E">
        <w:rPr>
          <w:sz w:val="20"/>
        </w:rPr>
        <w:t xml:space="preserve"> e in lieve diminuzione per la droga </w:t>
      </w:r>
      <w:r w:rsidRPr="00FE4760">
        <w:rPr>
          <w:sz w:val="20"/>
        </w:rPr>
        <w:t>(9,2% e 3,5%)</w:t>
      </w:r>
      <w:r>
        <w:rPr>
          <w:sz w:val="20"/>
        </w:rPr>
        <w:t>.</w:t>
      </w:r>
      <w:r w:rsidR="00094E5E">
        <w:rPr>
          <w:sz w:val="20"/>
        </w:rPr>
        <w:t xml:space="preserve"> Le percentuali erano pari a 8,7 e 3,4 nel 2019.</w:t>
      </w:r>
    </w:p>
    <w:p w14:paraId="0245E0E9" w14:textId="5342E864" w:rsidR="00535E4E" w:rsidRDefault="00535E4E" w:rsidP="008A388C">
      <w:pPr>
        <w:widowControl w:val="0"/>
        <w:jc w:val="both"/>
        <w:rPr>
          <w:sz w:val="20"/>
        </w:rPr>
      </w:pPr>
      <w:r>
        <w:rPr>
          <w:sz w:val="20"/>
        </w:rPr>
        <w:t>Dai dati comunicati dalle Polizie Municipali o Locali</w:t>
      </w:r>
      <w:r w:rsidR="005E5AA8">
        <w:rPr>
          <w:sz w:val="20"/>
        </w:rPr>
        <w:t>, infine,</w:t>
      </w:r>
      <w:r>
        <w:rPr>
          <w:sz w:val="20"/>
        </w:rPr>
        <w:t xml:space="preserve"> risulta che il 36% delle sanzioni per guida in stato di ebbrezza e il 57% di quelle per guida sotto l’effetto di sostanze stupefacenti sono state elevate in occasione di incidente stradale. </w:t>
      </w:r>
    </w:p>
    <w:p w14:paraId="4B38CA4F" w14:textId="77777777" w:rsidR="008C5D3F" w:rsidRDefault="008C5D3F" w:rsidP="00CA7607">
      <w:pPr>
        <w:widowControl w:val="0"/>
        <w:spacing w:after="120"/>
        <w:jc w:val="both"/>
        <w:rPr>
          <w:sz w:val="20"/>
        </w:rPr>
      </w:pPr>
    </w:p>
    <w:p w14:paraId="134B6A0E" w14:textId="77777777" w:rsidR="00AA5AF9" w:rsidRDefault="00AA5AF9" w:rsidP="00CA7607">
      <w:pPr>
        <w:widowControl w:val="0"/>
        <w:spacing w:after="120"/>
        <w:jc w:val="both"/>
        <w:rPr>
          <w:sz w:val="20"/>
        </w:rPr>
      </w:pPr>
    </w:p>
    <w:p w14:paraId="432DF8BD" w14:textId="31FE46BC" w:rsidR="00AE1A61" w:rsidRDefault="00AE1A61" w:rsidP="00F877FE">
      <w:pPr>
        <w:spacing w:after="120"/>
        <w:jc w:val="both"/>
        <w:rPr>
          <w:sz w:val="20"/>
        </w:rPr>
      </w:pPr>
      <w:r>
        <w:rPr>
          <w:b/>
          <w:sz w:val="22"/>
          <w:szCs w:val="22"/>
        </w:rPr>
        <w:lastRenderedPageBreak/>
        <w:t>Eccesso di velocità e divieto di sosta i comportamenti più sanzionati</w:t>
      </w:r>
    </w:p>
    <w:p w14:paraId="333580D9" w14:textId="02EC7ABC" w:rsidR="00CA7607" w:rsidRDefault="00112632" w:rsidP="00F877FE">
      <w:pPr>
        <w:spacing w:after="120"/>
        <w:jc w:val="both"/>
        <w:rPr>
          <w:sz w:val="20"/>
        </w:rPr>
      </w:pPr>
      <w:r>
        <w:rPr>
          <w:sz w:val="20"/>
        </w:rPr>
        <w:t>Come di consueto per monitorare i comportamenti dei conducenti, non solo in occasione di incidente stradale, risulta utile analizzare i dati relativi alle sanzioni emesse dagli organi di Polizia per inosservanza dei principali articoli del Codice della Strada. Le sanzioni per violazioni alle Norme di comportamento</w:t>
      </w:r>
      <w:r>
        <w:rPr>
          <w:rStyle w:val="Rimandonotaapidipagina"/>
          <w:sz w:val="20"/>
        </w:rPr>
        <w:footnoteReference w:id="11"/>
      </w:r>
      <w:r>
        <w:rPr>
          <w:sz w:val="20"/>
        </w:rPr>
        <w:t xml:space="preserve"> elevate da Polizia stradale, Arma dei Carabinieri e Polizie locali dei Comuni capoluogo di provincia sono mediamente aumentate del 19% </w:t>
      </w:r>
      <w:r w:rsidR="00647C5A">
        <w:rPr>
          <w:sz w:val="20"/>
        </w:rPr>
        <w:t xml:space="preserve">nel 2021 </w:t>
      </w:r>
      <w:r>
        <w:rPr>
          <w:sz w:val="20"/>
        </w:rPr>
        <w:t xml:space="preserve">rispetto al 2020 e sono diminuite del 15% rispetto al 2019. </w:t>
      </w:r>
    </w:p>
    <w:p w14:paraId="6938FBA0" w14:textId="4A792F88" w:rsidR="00112632" w:rsidRDefault="00112632" w:rsidP="00F877FE">
      <w:pPr>
        <w:widowControl w:val="0"/>
        <w:spacing w:after="120"/>
        <w:jc w:val="both"/>
        <w:rPr>
          <w:sz w:val="20"/>
        </w:rPr>
      </w:pPr>
      <w:r>
        <w:rPr>
          <w:sz w:val="20"/>
        </w:rPr>
        <w:t>Anche in questo caso</w:t>
      </w:r>
      <w:r w:rsidR="00CA7607">
        <w:rPr>
          <w:sz w:val="20"/>
        </w:rPr>
        <w:t>,</w:t>
      </w:r>
      <w:r>
        <w:rPr>
          <w:sz w:val="20"/>
        </w:rPr>
        <w:t xml:space="preserve"> </w:t>
      </w:r>
      <w:r w:rsidR="00913191">
        <w:rPr>
          <w:sz w:val="20"/>
        </w:rPr>
        <w:t>il</w:t>
      </w:r>
      <w:r>
        <w:rPr>
          <w:sz w:val="20"/>
        </w:rPr>
        <w:t xml:space="preserve"> 2021 si colloca in posizione intermedia tra il 2020, </w:t>
      </w:r>
      <w:r w:rsidR="00913191">
        <w:rPr>
          <w:sz w:val="20"/>
        </w:rPr>
        <w:t xml:space="preserve">anno </w:t>
      </w:r>
      <w:r>
        <w:rPr>
          <w:sz w:val="20"/>
        </w:rPr>
        <w:t>in cui la mobilità è stata fortemente influenzata dalla pandemia</w:t>
      </w:r>
      <w:r w:rsidR="00647C5A">
        <w:rPr>
          <w:sz w:val="20"/>
        </w:rPr>
        <w:t>,</w:t>
      </w:r>
      <w:r>
        <w:rPr>
          <w:sz w:val="20"/>
        </w:rPr>
        <w:t xml:space="preserve"> e il 2019.</w:t>
      </w:r>
      <w:r w:rsidR="00647C5A">
        <w:rPr>
          <w:sz w:val="20"/>
        </w:rPr>
        <w:t xml:space="preserve"> </w:t>
      </w:r>
      <w:r>
        <w:rPr>
          <w:sz w:val="20"/>
        </w:rPr>
        <w:t xml:space="preserve">La guida troppo veloce è sempre il comportamento </w:t>
      </w:r>
      <w:r w:rsidR="008D1A4E">
        <w:rPr>
          <w:sz w:val="20"/>
        </w:rPr>
        <w:t xml:space="preserve">maggiormente </w:t>
      </w:r>
      <w:r>
        <w:rPr>
          <w:sz w:val="20"/>
        </w:rPr>
        <w:t>sanzionato, anche grazie al sempre più diffuso utilizzo di apparecchiature precise e automatiche (l’85% circa delle contravvenzioni emesse)</w:t>
      </w:r>
      <w:r w:rsidR="00647C5A">
        <w:rPr>
          <w:sz w:val="20"/>
        </w:rPr>
        <w:t xml:space="preserve"> e rappresenta </w:t>
      </w:r>
      <w:r>
        <w:rPr>
          <w:sz w:val="20"/>
        </w:rPr>
        <w:t>il 36% del totale</w:t>
      </w:r>
      <w:r w:rsidR="00647C5A">
        <w:rPr>
          <w:sz w:val="20"/>
        </w:rPr>
        <w:t>, valore simile a quello</w:t>
      </w:r>
      <w:r>
        <w:rPr>
          <w:sz w:val="20"/>
        </w:rPr>
        <w:t xml:space="preserve"> delle contravvenzioni </w:t>
      </w:r>
      <w:r w:rsidR="00647C5A">
        <w:rPr>
          <w:sz w:val="20"/>
        </w:rPr>
        <w:t xml:space="preserve">comminate </w:t>
      </w:r>
      <w:r>
        <w:rPr>
          <w:sz w:val="20"/>
        </w:rPr>
        <w:t>per</w:t>
      </w:r>
      <w:r w:rsidR="00B869BD">
        <w:rPr>
          <w:sz w:val="20"/>
        </w:rPr>
        <w:t xml:space="preserve"> disciplina della sosta (36,5%) (Prospetto 6).</w:t>
      </w:r>
    </w:p>
    <w:p w14:paraId="0DE91D78" w14:textId="77777777" w:rsidR="00AA5AF9" w:rsidRDefault="00AA5AF9" w:rsidP="007125C7">
      <w:pPr>
        <w:widowControl w:val="0"/>
        <w:jc w:val="both"/>
        <w:rPr>
          <w:sz w:val="20"/>
        </w:rPr>
      </w:pPr>
    </w:p>
    <w:p w14:paraId="6D069B94" w14:textId="77777777" w:rsidR="00174072" w:rsidRPr="00D062F5" w:rsidRDefault="00174072" w:rsidP="008127F7">
      <w:pPr>
        <w:spacing w:after="120"/>
        <w:rPr>
          <w:rFonts w:ascii="Arial Narrow" w:hAnsi="Arial Narrow"/>
          <w:sz w:val="19"/>
          <w:szCs w:val="19"/>
        </w:rPr>
      </w:pPr>
      <w:r w:rsidRPr="00D062F5">
        <w:rPr>
          <w:rFonts w:ascii="Arial Narrow" w:hAnsi="Arial Narrow"/>
          <w:b/>
          <w:caps/>
          <w:color w:val="808080"/>
          <w:sz w:val="20"/>
        </w:rPr>
        <w:t xml:space="preserve">Prospetto </w:t>
      </w:r>
      <w:r w:rsidR="001114C4">
        <w:rPr>
          <w:rFonts w:ascii="Arial Narrow" w:hAnsi="Arial Narrow"/>
          <w:b/>
          <w:caps/>
          <w:color w:val="808080"/>
          <w:sz w:val="20"/>
        </w:rPr>
        <w:t>6</w:t>
      </w:r>
      <w:r w:rsidRPr="00D062F5">
        <w:rPr>
          <w:rFonts w:ascii="Arial Narrow" w:hAnsi="Arial Narrow"/>
          <w:b/>
          <w:caps/>
          <w:color w:val="808080"/>
          <w:sz w:val="20"/>
        </w:rPr>
        <w:t xml:space="preserve">. Contravvenzioni elevate da Polizia Stradale, Carabinieri e Polizie LOCALI dei comuni capoluogo per violazioni sulLe norme di comportamento. </w:t>
      </w:r>
      <w:r w:rsidRPr="00D062F5">
        <w:rPr>
          <w:rFonts w:ascii="Arial Narrow" w:hAnsi="Arial Narrow"/>
          <w:sz w:val="19"/>
          <w:szCs w:val="19"/>
        </w:rPr>
        <w:t>Anno 20</w:t>
      </w:r>
      <w:r w:rsidR="00A20E99">
        <w:rPr>
          <w:rFonts w:ascii="Arial Narrow" w:hAnsi="Arial Narrow"/>
          <w:sz w:val="19"/>
          <w:szCs w:val="19"/>
        </w:rPr>
        <w:t>2</w:t>
      </w:r>
      <w:r w:rsidR="00046B0C">
        <w:rPr>
          <w:rFonts w:ascii="Arial Narrow" w:hAnsi="Arial Narrow"/>
          <w:sz w:val="19"/>
          <w:szCs w:val="19"/>
        </w:rPr>
        <w:t>1</w:t>
      </w:r>
      <w:r w:rsidRPr="00D062F5">
        <w:rPr>
          <w:rFonts w:ascii="Arial Narrow" w:hAnsi="Arial Narrow"/>
          <w:sz w:val="19"/>
          <w:szCs w:val="19"/>
        </w:rPr>
        <w:t>, valori assoluti</w:t>
      </w:r>
    </w:p>
    <w:tbl>
      <w:tblPr>
        <w:tblW w:w="9781"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366"/>
        <w:gridCol w:w="5297"/>
        <w:gridCol w:w="1134"/>
        <w:gridCol w:w="992"/>
        <w:gridCol w:w="992"/>
      </w:tblGrid>
      <w:tr w:rsidR="00174072" w:rsidRPr="00F506E7" w14:paraId="2C89170F" w14:textId="77777777" w:rsidTr="007125C7">
        <w:trPr>
          <w:trHeight w:val="255"/>
        </w:trPr>
        <w:tc>
          <w:tcPr>
            <w:tcW w:w="1366" w:type="dxa"/>
            <w:vMerge w:val="restart"/>
            <w:vAlign w:val="center"/>
          </w:tcPr>
          <w:p w14:paraId="318B7EB1" w14:textId="77777777" w:rsidR="00174072" w:rsidRPr="00F506E7" w:rsidRDefault="00174072" w:rsidP="00FC19B6">
            <w:pPr>
              <w:ind w:right="-111"/>
              <w:rPr>
                <w:rFonts w:ascii="Arial Narrow" w:hAnsi="Arial Narrow"/>
                <w:b/>
                <w:bCs/>
                <w:sz w:val="18"/>
                <w:szCs w:val="18"/>
              </w:rPr>
            </w:pPr>
            <w:r w:rsidRPr="00F506E7">
              <w:rPr>
                <w:rFonts w:ascii="Arial Narrow" w:hAnsi="Arial Narrow"/>
                <w:b/>
                <w:bCs/>
                <w:sz w:val="18"/>
                <w:szCs w:val="18"/>
              </w:rPr>
              <w:t xml:space="preserve">CODICE DELLA STRADA </w:t>
            </w:r>
            <w:r w:rsidRPr="001D6F78">
              <w:rPr>
                <w:rFonts w:ascii="Arial Narrow" w:hAnsi="Arial Narrow"/>
                <w:sz w:val="18"/>
                <w:szCs w:val="18"/>
                <w:vertAlign w:val="superscript"/>
              </w:rPr>
              <w:footnoteReference w:id="12"/>
            </w:r>
          </w:p>
        </w:tc>
        <w:tc>
          <w:tcPr>
            <w:tcW w:w="5297" w:type="dxa"/>
            <w:vMerge w:val="restart"/>
            <w:vAlign w:val="center"/>
          </w:tcPr>
          <w:p w14:paraId="4F8824F1" w14:textId="77777777" w:rsidR="00174072" w:rsidRPr="00F506E7" w:rsidRDefault="00174072" w:rsidP="00FC19B6">
            <w:pPr>
              <w:rPr>
                <w:rFonts w:ascii="Arial Narrow" w:hAnsi="Arial Narrow"/>
                <w:b/>
                <w:bCs/>
                <w:sz w:val="18"/>
                <w:szCs w:val="18"/>
              </w:rPr>
            </w:pPr>
            <w:r w:rsidRPr="00F506E7">
              <w:rPr>
                <w:rFonts w:ascii="Arial Narrow" w:hAnsi="Arial Narrow"/>
                <w:b/>
                <w:bCs/>
                <w:sz w:val="18"/>
                <w:szCs w:val="18"/>
              </w:rPr>
              <w:t xml:space="preserve">Descrizione della violazione </w:t>
            </w:r>
          </w:p>
          <w:p w14:paraId="34FE06D2" w14:textId="77777777" w:rsidR="00174072" w:rsidRPr="00F506E7" w:rsidRDefault="00174072" w:rsidP="00FC19B6">
            <w:pPr>
              <w:rPr>
                <w:rFonts w:ascii="Arial Narrow" w:hAnsi="Arial Narrow"/>
                <w:b/>
                <w:bCs/>
                <w:sz w:val="18"/>
                <w:szCs w:val="18"/>
              </w:rPr>
            </w:pPr>
            <w:r w:rsidRPr="00F506E7">
              <w:rPr>
                <w:rFonts w:ascii="Arial Narrow" w:hAnsi="Arial Narrow"/>
                <w:b/>
                <w:bCs/>
                <w:sz w:val="18"/>
                <w:szCs w:val="18"/>
              </w:rPr>
              <w:t>TITOLO V – Norme di comportamento</w:t>
            </w:r>
          </w:p>
        </w:tc>
        <w:tc>
          <w:tcPr>
            <w:tcW w:w="3118" w:type="dxa"/>
            <w:gridSpan w:val="3"/>
            <w:shd w:val="clear" w:color="auto" w:fill="D9D9D9" w:themeFill="background1" w:themeFillShade="D9"/>
            <w:vAlign w:val="center"/>
          </w:tcPr>
          <w:p w14:paraId="105874E4" w14:textId="77777777" w:rsidR="00174072" w:rsidRPr="00F506E7" w:rsidRDefault="00174072" w:rsidP="00FC19B6">
            <w:pPr>
              <w:autoSpaceDE w:val="0"/>
              <w:autoSpaceDN w:val="0"/>
              <w:adjustRightInd w:val="0"/>
              <w:jc w:val="center"/>
              <w:rPr>
                <w:rFonts w:ascii="Arial Narrow" w:hAnsi="Arial Narrow"/>
                <w:color w:val="000000"/>
                <w:sz w:val="18"/>
                <w:szCs w:val="18"/>
              </w:rPr>
            </w:pPr>
            <w:r w:rsidRPr="00F506E7">
              <w:rPr>
                <w:rFonts w:ascii="Arial Narrow" w:hAnsi="Arial Narrow"/>
                <w:b/>
                <w:bCs/>
                <w:sz w:val="18"/>
                <w:szCs w:val="18"/>
              </w:rPr>
              <w:t xml:space="preserve">Infrazioni rilevate </w:t>
            </w:r>
            <w:r w:rsidRPr="00F506E7">
              <w:rPr>
                <w:rFonts w:ascii="Arial Narrow" w:hAnsi="Arial Narrow"/>
                <w:bCs/>
                <w:sz w:val="18"/>
                <w:szCs w:val="18"/>
              </w:rPr>
              <w:t>(Valori assoluti)</w:t>
            </w:r>
          </w:p>
        </w:tc>
      </w:tr>
      <w:tr w:rsidR="00174072" w:rsidRPr="00F506E7" w14:paraId="25D98BA8" w14:textId="77777777" w:rsidTr="008C1162">
        <w:trPr>
          <w:trHeight w:val="255"/>
        </w:trPr>
        <w:tc>
          <w:tcPr>
            <w:tcW w:w="1366" w:type="dxa"/>
            <w:vMerge/>
            <w:vAlign w:val="center"/>
          </w:tcPr>
          <w:p w14:paraId="22467830" w14:textId="77777777" w:rsidR="00174072" w:rsidRPr="00F506E7" w:rsidRDefault="00174072" w:rsidP="00174072">
            <w:pPr>
              <w:rPr>
                <w:rFonts w:ascii="Arial Narrow" w:hAnsi="Arial Narrow"/>
                <w:b/>
                <w:bCs/>
                <w:sz w:val="18"/>
                <w:szCs w:val="18"/>
              </w:rPr>
            </w:pPr>
          </w:p>
        </w:tc>
        <w:tc>
          <w:tcPr>
            <w:tcW w:w="5297" w:type="dxa"/>
            <w:vMerge/>
            <w:vAlign w:val="center"/>
          </w:tcPr>
          <w:p w14:paraId="047D85D5" w14:textId="77777777" w:rsidR="00174072" w:rsidRPr="00F506E7" w:rsidRDefault="00174072" w:rsidP="00174072">
            <w:pPr>
              <w:rPr>
                <w:rFonts w:ascii="Arial Narrow" w:hAnsi="Arial Narrow"/>
                <w:b/>
                <w:bCs/>
                <w:sz w:val="18"/>
                <w:szCs w:val="18"/>
              </w:rPr>
            </w:pPr>
          </w:p>
        </w:tc>
        <w:tc>
          <w:tcPr>
            <w:tcW w:w="1134" w:type="dxa"/>
            <w:shd w:val="clear" w:color="auto" w:fill="auto"/>
            <w:vAlign w:val="center"/>
          </w:tcPr>
          <w:p w14:paraId="5E83FF4A" w14:textId="77777777" w:rsidR="00174072" w:rsidRPr="00F506E7" w:rsidRDefault="00174072" w:rsidP="00174072">
            <w:pPr>
              <w:autoSpaceDE w:val="0"/>
              <w:autoSpaceDN w:val="0"/>
              <w:adjustRightInd w:val="0"/>
              <w:jc w:val="center"/>
              <w:rPr>
                <w:rFonts w:ascii="Arial Narrow" w:hAnsi="Arial Narrow"/>
                <w:b/>
                <w:bCs/>
                <w:sz w:val="18"/>
                <w:szCs w:val="18"/>
              </w:rPr>
            </w:pPr>
            <w:r w:rsidRPr="00F506E7">
              <w:rPr>
                <w:rFonts w:ascii="Arial Narrow" w:hAnsi="Arial Narrow"/>
                <w:b/>
                <w:bCs/>
                <w:sz w:val="18"/>
                <w:szCs w:val="18"/>
              </w:rPr>
              <w:t xml:space="preserve">Polizia stradale </w:t>
            </w:r>
            <w:r w:rsidRPr="00F506E7">
              <w:rPr>
                <w:rFonts w:ascii="Arial Narrow" w:hAnsi="Arial Narrow"/>
                <w:bCs/>
                <w:sz w:val="18"/>
                <w:szCs w:val="18"/>
              </w:rPr>
              <w:t>(a)</w:t>
            </w:r>
          </w:p>
        </w:tc>
        <w:tc>
          <w:tcPr>
            <w:tcW w:w="992" w:type="dxa"/>
            <w:shd w:val="clear" w:color="auto" w:fill="auto"/>
            <w:vAlign w:val="center"/>
          </w:tcPr>
          <w:p w14:paraId="08E59B98" w14:textId="77777777" w:rsidR="00174072" w:rsidRPr="00F506E7" w:rsidRDefault="00174072" w:rsidP="00174072">
            <w:pPr>
              <w:autoSpaceDE w:val="0"/>
              <w:autoSpaceDN w:val="0"/>
              <w:adjustRightInd w:val="0"/>
              <w:jc w:val="center"/>
              <w:rPr>
                <w:rFonts w:ascii="Arial Narrow" w:hAnsi="Arial Narrow"/>
                <w:b/>
                <w:bCs/>
                <w:sz w:val="18"/>
                <w:szCs w:val="18"/>
              </w:rPr>
            </w:pPr>
            <w:r w:rsidRPr="00F506E7">
              <w:rPr>
                <w:rFonts w:ascii="Arial Narrow" w:hAnsi="Arial Narrow"/>
                <w:b/>
                <w:bCs/>
                <w:sz w:val="18"/>
                <w:szCs w:val="18"/>
              </w:rPr>
              <w:t>Carabinieri</w:t>
            </w:r>
          </w:p>
          <w:p w14:paraId="6B8EC44C" w14:textId="77777777" w:rsidR="00174072" w:rsidRPr="00F506E7" w:rsidRDefault="00174072" w:rsidP="00174072">
            <w:pPr>
              <w:autoSpaceDE w:val="0"/>
              <w:autoSpaceDN w:val="0"/>
              <w:adjustRightInd w:val="0"/>
              <w:jc w:val="center"/>
              <w:rPr>
                <w:rFonts w:ascii="Arial Narrow" w:hAnsi="Arial Narrow"/>
                <w:bCs/>
                <w:sz w:val="18"/>
                <w:szCs w:val="18"/>
              </w:rPr>
            </w:pPr>
            <w:r w:rsidRPr="00F506E7">
              <w:rPr>
                <w:rFonts w:ascii="Arial Narrow" w:hAnsi="Arial Narrow"/>
                <w:bCs/>
                <w:sz w:val="18"/>
                <w:szCs w:val="18"/>
              </w:rPr>
              <w:t>(b)</w:t>
            </w:r>
          </w:p>
        </w:tc>
        <w:tc>
          <w:tcPr>
            <w:tcW w:w="992" w:type="dxa"/>
            <w:shd w:val="clear" w:color="auto" w:fill="auto"/>
            <w:vAlign w:val="center"/>
          </w:tcPr>
          <w:p w14:paraId="5F0D8CA5" w14:textId="77777777" w:rsidR="00174072" w:rsidRPr="00F506E7" w:rsidRDefault="00174072" w:rsidP="00174072">
            <w:pPr>
              <w:autoSpaceDE w:val="0"/>
              <w:autoSpaceDN w:val="0"/>
              <w:adjustRightInd w:val="0"/>
              <w:jc w:val="center"/>
              <w:rPr>
                <w:rFonts w:ascii="Arial Narrow" w:hAnsi="Arial Narrow"/>
                <w:b/>
                <w:bCs/>
                <w:sz w:val="18"/>
                <w:szCs w:val="18"/>
              </w:rPr>
            </w:pPr>
            <w:r w:rsidRPr="00F506E7">
              <w:rPr>
                <w:rFonts w:ascii="Arial Narrow" w:hAnsi="Arial Narrow"/>
                <w:b/>
                <w:bCs/>
                <w:sz w:val="18"/>
                <w:szCs w:val="18"/>
              </w:rPr>
              <w:t xml:space="preserve">Polizia locale </w:t>
            </w:r>
            <w:r w:rsidRPr="00F506E7">
              <w:rPr>
                <w:rFonts w:ascii="Arial Narrow" w:hAnsi="Arial Narrow"/>
                <w:bCs/>
                <w:sz w:val="18"/>
                <w:szCs w:val="18"/>
              </w:rPr>
              <w:t>(c)</w:t>
            </w:r>
          </w:p>
        </w:tc>
      </w:tr>
      <w:tr w:rsidR="008C1162" w:rsidRPr="00F506E7" w14:paraId="55F0AC3C" w14:textId="77777777" w:rsidTr="008C1162">
        <w:trPr>
          <w:trHeight w:val="255"/>
        </w:trPr>
        <w:tc>
          <w:tcPr>
            <w:tcW w:w="1366" w:type="dxa"/>
            <w:vAlign w:val="center"/>
          </w:tcPr>
          <w:p w14:paraId="25CF6D39"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Art.141</w:t>
            </w:r>
          </w:p>
        </w:tc>
        <w:tc>
          <w:tcPr>
            <w:tcW w:w="5297" w:type="dxa"/>
            <w:vAlign w:val="center"/>
          </w:tcPr>
          <w:p w14:paraId="219DD83C"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Velocità non moderata (caratteristiche strada, meteorologiche e del traffico)</w:t>
            </w:r>
          </w:p>
        </w:tc>
        <w:tc>
          <w:tcPr>
            <w:tcW w:w="1134" w:type="dxa"/>
            <w:shd w:val="clear" w:color="auto" w:fill="D9D9D9" w:themeFill="background1" w:themeFillShade="D9"/>
            <w:vAlign w:val="center"/>
          </w:tcPr>
          <w:p w14:paraId="3F7D35F0"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42.167</w:t>
            </w:r>
          </w:p>
        </w:tc>
        <w:tc>
          <w:tcPr>
            <w:tcW w:w="992" w:type="dxa"/>
            <w:vAlign w:val="center"/>
          </w:tcPr>
          <w:p w14:paraId="418AFE3F"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27..402</w:t>
            </w:r>
          </w:p>
        </w:tc>
        <w:tc>
          <w:tcPr>
            <w:tcW w:w="992" w:type="dxa"/>
            <w:shd w:val="clear" w:color="auto" w:fill="D9D9D9" w:themeFill="background1" w:themeFillShade="D9"/>
            <w:vAlign w:val="bottom"/>
          </w:tcPr>
          <w:p w14:paraId="0C488A5C" w14:textId="03FD3EC6"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34.372</w:t>
            </w:r>
          </w:p>
        </w:tc>
      </w:tr>
      <w:tr w:rsidR="008C1162" w:rsidRPr="00F506E7" w14:paraId="7B590832" w14:textId="77777777" w:rsidTr="008C1162">
        <w:trPr>
          <w:trHeight w:val="255"/>
        </w:trPr>
        <w:tc>
          <w:tcPr>
            <w:tcW w:w="1366" w:type="dxa"/>
            <w:vAlign w:val="center"/>
          </w:tcPr>
          <w:p w14:paraId="0D0C5836"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Art.142</w:t>
            </w:r>
          </w:p>
        </w:tc>
        <w:tc>
          <w:tcPr>
            <w:tcW w:w="5297" w:type="dxa"/>
            <w:vAlign w:val="center"/>
          </w:tcPr>
          <w:p w14:paraId="2DA0BE00"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Superamento dei limiti di velocità</w:t>
            </w:r>
          </w:p>
        </w:tc>
        <w:tc>
          <w:tcPr>
            <w:tcW w:w="1134" w:type="dxa"/>
            <w:shd w:val="clear" w:color="auto" w:fill="D9D9D9" w:themeFill="background1" w:themeFillShade="D9"/>
            <w:vAlign w:val="center"/>
          </w:tcPr>
          <w:p w14:paraId="0AA5CA30"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502.961</w:t>
            </w:r>
          </w:p>
        </w:tc>
        <w:tc>
          <w:tcPr>
            <w:tcW w:w="992" w:type="dxa"/>
            <w:vAlign w:val="center"/>
          </w:tcPr>
          <w:p w14:paraId="154A5228"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516</w:t>
            </w:r>
          </w:p>
        </w:tc>
        <w:tc>
          <w:tcPr>
            <w:tcW w:w="992" w:type="dxa"/>
            <w:shd w:val="clear" w:color="auto" w:fill="D9D9D9" w:themeFill="background1" w:themeFillShade="D9"/>
            <w:vAlign w:val="center"/>
          </w:tcPr>
          <w:p w14:paraId="5F3E7D47" w14:textId="1C3CAF38"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1.911.213</w:t>
            </w:r>
          </w:p>
        </w:tc>
      </w:tr>
      <w:tr w:rsidR="008C1162" w:rsidRPr="00F506E7" w14:paraId="4EA12200" w14:textId="77777777" w:rsidTr="008C1162">
        <w:trPr>
          <w:trHeight w:val="255"/>
        </w:trPr>
        <w:tc>
          <w:tcPr>
            <w:tcW w:w="1366" w:type="dxa"/>
            <w:vAlign w:val="center"/>
          </w:tcPr>
          <w:p w14:paraId="219C6C96"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Art.143-144</w:t>
            </w:r>
          </w:p>
        </w:tc>
        <w:tc>
          <w:tcPr>
            <w:tcW w:w="5297" w:type="dxa"/>
            <w:vAlign w:val="center"/>
          </w:tcPr>
          <w:p w14:paraId="08FE8B3D"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Posizione dei veicoli sulla carreggiata, uso delle corsie, marcia in file parallele</w:t>
            </w:r>
          </w:p>
        </w:tc>
        <w:tc>
          <w:tcPr>
            <w:tcW w:w="1134" w:type="dxa"/>
            <w:shd w:val="clear" w:color="auto" w:fill="D9D9D9" w:themeFill="background1" w:themeFillShade="D9"/>
            <w:vAlign w:val="center"/>
          </w:tcPr>
          <w:p w14:paraId="28306759"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11.912</w:t>
            </w:r>
          </w:p>
        </w:tc>
        <w:tc>
          <w:tcPr>
            <w:tcW w:w="992" w:type="dxa"/>
            <w:vAlign w:val="center"/>
          </w:tcPr>
          <w:p w14:paraId="63F9800C"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11.984</w:t>
            </w:r>
          </w:p>
        </w:tc>
        <w:tc>
          <w:tcPr>
            <w:tcW w:w="992" w:type="dxa"/>
            <w:shd w:val="clear" w:color="auto" w:fill="D9D9D9" w:themeFill="background1" w:themeFillShade="D9"/>
            <w:vAlign w:val="center"/>
          </w:tcPr>
          <w:p w14:paraId="75B22778" w14:textId="1C7CD2F2"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13.591</w:t>
            </w:r>
          </w:p>
        </w:tc>
      </w:tr>
      <w:tr w:rsidR="008C1162" w:rsidRPr="00F506E7" w14:paraId="0447CB31" w14:textId="77777777" w:rsidTr="008C1162">
        <w:trPr>
          <w:trHeight w:val="255"/>
        </w:trPr>
        <w:tc>
          <w:tcPr>
            <w:tcW w:w="1366" w:type="dxa"/>
            <w:vAlign w:val="center"/>
          </w:tcPr>
          <w:p w14:paraId="16A23A23"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Art.145</w:t>
            </w:r>
          </w:p>
        </w:tc>
        <w:tc>
          <w:tcPr>
            <w:tcW w:w="5297" w:type="dxa"/>
            <w:vAlign w:val="center"/>
          </w:tcPr>
          <w:p w14:paraId="689D05E9"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Obblighi di precedenza</w:t>
            </w:r>
          </w:p>
        </w:tc>
        <w:tc>
          <w:tcPr>
            <w:tcW w:w="1134" w:type="dxa"/>
            <w:shd w:val="clear" w:color="auto" w:fill="D9D9D9" w:themeFill="background1" w:themeFillShade="D9"/>
            <w:vAlign w:val="center"/>
          </w:tcPr>
          <w:p w14:paraId="6AF8BA7F"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4.858</w:t>
            </w:r>
          </w:p>
        </w:tc>
        <w:tc>
          <w:tcPr>
            <w:tcW w:w="992" w:type="dxa"/>
            <w:vAlign w:val="center"/>
          </w:tcPr>
          <w:p w14:paraId="631787D4"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9.694</w:t>
            </w:r>
          </w:p>
        </w:tc>
        <w:tc>
          <w:tcPr>
            <w:tcW w:w="992" w:type="dxa"/>
            <w:shd w:val="clear" w:color="auto" w:fill="D9D9D9" w:themeFill="background1" w:themeFillShade="D9"/>
            <w:vAlign w:val="center"/>
          </w:tcPr>
          <w:p w14:paraId="18C2CD39" w14:textId="7823B6C0"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18.563</w:t>
            </w:r>
          </w:p>
        </w:tc>
      </w:tr>
      <w:tr w:rsidR="008C1162" w:rsidRPr="00F506E7" w14:paraId="59B98513" w14:textId="77777777" w:rsidTr="008C1162">
        <w:trPr>
          <w:trHeight w:val="255"/>
        </w:trPr>
        <w:tc>
          <w:tcPr>
            <w:tcW w:w="1366" w:type="dxa"/>
            <w:vAlign w:val="center"/>
          </w:tcPr>
          <w:p w14:paraId="514AD537"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Art.146</w:t>
            </w:r>
          </w:p>
        </w:tc>
        <w:tc>
          <w:tcPr>
            <w:tcW w:w="5297" w:type="dxa"/>
            <w:vAlign w:val="center"/>
          </w:tcPr>
          <w:p w14:paraId="3EE2849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Inosservanza della segnaletica orizzontale e semaforica</w:t>
            </w:r>
          </w:p>
        </w:tc>
        <w:tc>
          <w:tcPr>
            <w:tcW w:w="1134" w:type="dxa"/>
            <w:shd w:val="clear" w:color="auto" w:fill="D9D9D9" w:themeFill="background1" w:themeFillShade="D9"/>
            <w:vAlign w:val="center"/>
          </w:tcPr>
          <w:p w14:paraId="13052DA9"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29.023</w:t>
            </w:r>
          </w:p>
        </w:tc>
        <w:tc>
          <w:tcPr>
            <w:tcW w:w="992" w:type="dxa"/>
            <w:vAlign w:val="center"/>
          </w:tcPr>
          <w:p w14:paraId="48B56497"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18.264</w:t>
            </w:r>
          </w:p>
        </w:tc>
        <w:tc>
          <w:tcPr>
            <w:tcW w:w="992" w:type="dxa"/>
            <w:shd w:val="clear" w:color="auto" w:fill="D9D9D9" w:themeFill="background1" w:themeFillShade="D9"/>
            <w:vAlign w:val="center"/>
          </w:tcPr>
          <w:p w14:paraId="71E0D789" w14:textId="25ADF44A"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504.811</w:t>
            </w:r>
          </w:p>
        </w:tc>
      </w:tr>
      <w:tr w:rsidR="008C1162" w:rsidRPr="00F506E7" w14:paraId="73AD0EC4" w14:textId="77777777" w:rsidTr="008C1162">
        <w:trPr>
          <w:trHeight w:val="255"/>
        </w:trPr>
        <w:tc>
          <w:tcPr>
            <w:tcW w:w="1366" w:type="dxa"/>
            <w:vAlign w:val="center"/>
          </w:tcPr>
          <w:p w14:paraId="3D330FBB"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Art.148</w:t>
            </w:r>
          </w:p>
        </w:tc>
        <w:tc>
          <w:tcPr>
            <w:tcW w:w="5297" w:type="dxa"/>
            <w:vAlign w:val="center"/>
          </w:tcPr>
          <w:p w14:paraId="6AEF4D00"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Disciplina del sorpasso dei veicoli</w:t>
            </w:r>
          </w:p>
        </w:tc>
        <w:tc>
          <w:tcPr>
            <w:tcW w:w="1134" w:type="dxa"/>
            <w:shd w:val="clear" w:color="auto" w:fill="D9D9D9" w:themeFill="background1" w:themeFillShade="D9"/>
            <w:vAlign w:val="center"/>
          </w:tcPr>
          <w:p w14:paraId="7969F18E"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12.187</w:t>
            </w:r>
          </w:p>
        </w:tc>
        <w:tc>
          <w:tcPr>
            <w:tcW w:w="992" w:type="dxa"/>
            <w:vAlign w:val="center"/>
          </w:tcPr>
          <w:p w14:paraId="7064DED3"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17..426</w:t>
            </w:r>
          </w:p>
        </w:tc>
        <w:tc>
          <w:tcPr>
            <w:tcW w:w="992" w:type="dxa"/>
            <w:shd w:val="clear" w:color="auto" w:fill="D9D9D9" w:themeFill="background1" w:themeFillShade="D9"/>
            <w:vAlign w:val="center"/>
          </w:tcPr>
          <w:p w14:paraId="68C549CC" w14:textId="0C678F16"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4.209</w:t>
            </w:r>
          </w:p>
        </w:tc>
      </w:tr>
      <w:tr w:rsidR="008C1162" w:rsidRPr="00F506E7" w14:paraId="27FDBD74" w14:textId="77777777" w:rsidTr="008C1162">
        <w:trPr>
          <w:trHeight w:val="255"/>
        </w:trPr>
        <w:tc>
          <w:tcPr>
            <w:tcW w:w="1366" w:type="dxa"/>
            <w:vAlign w:val="center"/>
          </w:tcPr>
          <w:p w14:paraId="511C787A"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Art.149</w:t>
            </w:r>
          </w:p>
        </w:tc>
        <w:tc>
          <w:tcPr>
            <w:tcW w:w="5297" w:type="dxa"/>
            <w:vAlign w:val="center"/>
          </w:tcPr>
          <w:p w14:paraId="4C46C326"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Rispetto della distanza di sicurezza</w:t>
            </w:r>
          </w:p>
        </w:tc>
        <w:tc>
          <w:tcPr>
            <w:tcW w:w="1134" w:type="dxa"/>
            <w:shd w:val="clear" w:color="auto" w:fill="D9D9D9" w:themeFill="background1" w:themeFillShade="D9"/>
            <w:vAlign w:val="center"/>
          </w:tcPr>
          <w:p w14:paraId="51B9790C"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5.390</w:t>
            </w:r>
          </w:p>
        </w:tc>
        <w:tc>
          <w:tcPr>
            <w:tcW w:w="992" w:type="dxa"/>
            <w:vAlign w:val="center"/>
          </w:tcPr>
          <w:p w14:paraId="53659EF2"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3.073</w:t>
            </w:r>
          </w:p>
        </w:tc>
        <w:tc>
          <w:tcPr>
            <w:tcW w:w="992" w:type="dxa"/>
            <w:shd w:val="clear" w:color="auto" w:fill="D9D9D9" w:themeFill="background1" w:themeFillShade="D9"/>
            <w:vAlign w:val="center"/>
          </w:tcPr>
          <w:p w14:paraId="7C8F7EBB" w14:textId="3126A8BA"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3.804</w:t>
            </w:r>
          </w:p>
        </w:tc>
      </w:tr>
      <w:tr w:rsidR="008C1162" w:rsidRPr="00F506E7" w14:paraId="482A8C4C" w14:textId="77777777" w:rsidTr="008C1162">
        <w:trPr>
          <w:trHeight w:val="255"/>
        </w:trPr>
        <w:tc>
          <w:tcPr>
            <w:tcW w:w="1366" w:type="dxa"/>
            <w:vAlign w:val="center"/>
          </w:tcPr>
          <w:p w14:paraId="4C59C5CF"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Art.152-153</w:t>
            </w:r>
          </w:p>
        </w:tc>
        <w:tc>
          <w:tcPr>
            <w:tcW w:w="5297" w:type="dxa"/>
            <w:vAlign w:val="center"/>
          </w:tcPr>
          <w:p w14:paraId="2B0678A8"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Uso dei dispositivi di segnalazione visiva e di illuminazione</w:t>
            </w:r>
          </w:p>
        </w:tc>
        <w:tc>
          <w:tcPr>
            <w:tcW w:w="1134" w:type="dxa"/>
            <w:shd w:val="clear" w:color="auto" w:fill="D9D9D9" w:themeFill="background1" w:themeFillShade="D9"/>
            <w:vAlign w:val="center"/>
          </w:tcPr>
          <w:p w14:paraId="324F926F"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8.609</w:t>
            </w:r>
          </w:p>
        </w:tc>
        <w:tc>
          <w:tcPr>
            <w:tcW w:w="992" w:type="dxa"/>
            <w:vAlign w:val="center"/>
          </w:tcPr>
          <w:p w14:paraId="31B17827"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2.844</w:t>
            </w:r>
          </w:p>
        </w:tc>
        <w:tc>
          <w:tcPr>
            <w:tcW w:w="992" w:type="dxa"/>
            <w:shd w:val="clear" w:color="auto" w:fill="D9D9D9" w:themeFill="background1" w:themeFillShade="D9"/>
            <w:vAlign w:val="center"/>
          </w:tcPr>
          <w:p w14:paraId="005B431E" w14:textId="7AD44C70"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1.287</w:t>
            </w:r>
          </w:p>
        </w:tc>
      </w:tr>
      <w:tr w:rsidR="008C1162" w:rsidRPr="00F506E7" w14:paraId="5F433F7D" w14:textId="77777777" w:rsidTr="008C1162">
        <w:trPr>
          <w:trHeight w:val="255"/>
        </w:trPr>
        <w:tc>
          <w:tcPr>
            <w:tcW w:w="1366" w:type="dxa"/>
            <w:vAlign w:val="center"/>
          </w:tcPr>
          <w:p w14:paraId="23551482"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Art.154</w:t>
            </w:r>
          </w:p>
        </w:tc>
        <w:tc>
          <w:tcPr>
            <w:tcW w:w="5297" w:type="dxa"/>
            <w:vAlign w:val="center"/>
          </w:tcPr>
          <w:p w14:paraId="12007960"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Disciplina del cambio di direzione e di corsia</w:t>
            </w:r>
          </w:p>
        </w:tc>
        <w:tc>
          <w:tcPr>
            <w:tcW w:w="1134" w:type="dxa"/>
            <w:shd w:val="clear" w:color="auto" w:fill="D9D9D9" w:themeFill="background1" w:themeFillShade="D9"/>
            <w:vAlign w:val="center"/>
          </w:tcPr>
          <w:p w14:paraId="373D098E"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6.119</w:t>
            </w:r>
          </w:p>
        </w:tc>
        <w:tc>
          <w:tcPr>
            <w:tcW w:w="992" w:type="dxa"/>
            <w:vAlign w:val="center"/>
          </w:tcPr>
          <w:p w14:paraId="3BA45079"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3.448</w:t>
            </w:r>
          </w:p>
        </w:tc>
        <w:tc>
          <w:tcPr>
            <w:tcW w:w="992" w:type="dxa"/>
            <w:shd w:val="clear" w:color="auto" w:fill="D9D9D9" w:themeFill="background1" w:themeFillShade="D9"/>
            <w:vAlign w:val="center"/>
          </w:tcPr>
          <w:p w14:paraId="29AFFB2A" w14:textId="41039602"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19.951</w:t>
            </w:r>
          </w:p>
        </w:tc>
      </w:tr>
      <w:tr w:rsidR="008C1162" w:rsidRPr="00F506E7" w14:paraId="136D2437" w14:textId="77777777" w:rsidTr="008C1162">
        <w:trPr>
          <w:trHeight w:val="255"/>
        </w:trPr>
        <w:tc>
          <w:tcPr>
            <w:tcW w:w="1366" w:type="dxa"/>
            <w:vAlign w:val="center"/>
          </w:tcPr>
          <w:p w14:paraId="31E79852"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Art.155</w:t>
            </w:r>
          </w:p>
        </w:tc>
        <w:tc>
          <w:tcPr>
            <w:tcW w:w="5297" w:type="dxa"/>
            <w:vAlign w:val="center"/>
          </w:tcPr>
          <w:p w14:paraId="1CCB4993"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Limitazione dei rumori de silenziatori e degli apparati radio</w:t>
            </w:r>
          </w:p>
        </w:tc>
        <w:tc>
          <w:tcPr>
            <w:tcW w:w="1134" w:type="dxa"/>
            <w:shd w:val="clear" w:color="auto" w:fill="D9D9D9" w:themeFill="background1" w:themeFillShade="D9"/>
            <w:vAlign w:val="center"/>
          </w:tcPr>
          <w:p w14:paraId="3DD24054"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585</w:t>
            </w:r>
          </w:p>
        </w:tc>
        <w:tc>
          <w:tcPr>
            <w:tcW w:w="992" w:type="dxa"/>
            <w:vAlign w:val="center"/>
          </w:tcPr>
          <w:p w14:paraId="45FAABA2"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1.243</w:t>
            </w:r>
          </w:p>
        </w:tc>
        <w:tc>
          <w:tcPr>
            <w:tcW w:w="992" w:type="dxa"/>
            <w:shd w:val="clear" w:color="auto" w:fill="D9D9D9" w:themeFill="background1" w:themeFillShade="D9"/>
            <w:vAlign w:val="center"/>
          </w:tcPr>
          <w:p w14:paraId="3C974CE1" w14:textId="7C47956D"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630</w:t>
            </w:r>
          </w:p>
        </w:tc>
      </w:tr>
      <w:tr w:rsidR="008C1162" w:rsidRPr="00F506E7" w14:paraId="4B46E864" w14:textId="77777777" w:rsidTr="008C1162">
        <w:trPr>
          <w:trHeight w:val="255"/>
        </w:trPr>
        <w:tc>
          <w:tcPr>
            <w:tcW w:w="1366" w:type="dxa"/>
            <w:vAlign w:val="center"/>
          </w:tcPr>
          <w:p w14:paraId="5D13089A"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Art.157-158</w:t>
            </w:r>
          </w:p>
        </w:tc>
        <w:tc>
          <w:tcPr>
            <w:tcW w:w="5297" w:type="dxa"/>
            <w:vAlign w:val="center"/>
          </w:tcPr>
          <w:p w14:paraId="3E3DE5BF"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Disciplina dell'arresto, della fermata e della sosta fuori e dentro i centri abitati</w:t>
            </w:r>
          </w:p>
        </w:tc>
        <w:tc>
          <w:tcPr>
            <w:tcW w:w="1134" w:type="dxa"/>
            <w:shd w:val="clear" w:color="auto" w:fill="D9D9D9" w:themeFill="background1" w:themeFillShade="D9"/>
            <w:vAlign w:val="center"/>
          </w:tcPr>
          <w:p w14:paraId="67A39625"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12.994</w:t>
            </w:r>
          </w:p>
        </w:tc>
        <w:tc>
          <w:tcPr>
            <w:tcW w:w="992" w:type="dxa"/>
            <w:vAlign w:val="center"/>
          </w:tcPr>
          <w:p w14:paraId="09C3E768"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25.079</w:t>
            </w:r>
          </w:p>
        </w:tc>
        <w:tc>
          <w:tcPr>
            <w:tcW w:w="992" w:type="dxa"/>
            <w:shd w:val="clear" w:color="auto" w:fill="D9D9D9" w:themeFill="background1" w:themeFillShade="D9"/>
            <w:vAlign w:val="center"/>
          </w:tcPr>
          <w:p w14:paraId="3B912BB7" w14:textId="64C3A987"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2.520.926</w:t>
            </w:r>
          </w:p>
        </w:tc>
      </w:tr>
      <w:tr w:rsidR="008C1162" w:rsidRPr="00F506E7" w14:paraId="589773FE" w14:textId="77777777" w:rsidTr="008C1162">
        <w:trPr>
          <w:trHeight w:val="255"/>
        </w:trPr>
        <w:tc>
          <w:tcPr>
            <w:tcW w:w="1366" w:type="dxa"/>
            <w:vAlign w:val="center"/>
          </w:tcPr>
          <w:p w14:paraId="7A4E2728"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Art.161-162-165</w:t>
            </w:r>
          </w:p>
        </w:tc>
        <w:tc>
          <w:tcPr>
            <w:tcW w:w="5297" w:type="dxa"/>
            <w:vAlign w:val="center"/>
          </w:tcPr>
          <w:p w14:paraId="234119C7"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Ingombro della carreggiata, segnalazione e traino dei veicoli in avaria</w:t>
            </w:r>
          </w:p>
        </w:tc>
        <w:tc>
          <w:tcPr>
            <w:tcW w:w="1134" w:type="dxa"/>
            <w:shd w:val="clear" w:color="auto" w:fill="D9D9D9" w:themeFill="background1" w:themeFillShade="D9"/>
            <w:vAlign w:val="center"/>
          </w:tcPr>
          <w:p w14:paraId="13869EAB"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2.311</w:t>
            </w:r>
          </w:p>
        </w:tc>
        <w:tc>
          <w:tcPr>
            <w:tcW w:w="992" w:type="dxa"/>
            <w:vAlign w:val="center"/>
          </w:tcPr>
          <w:p w14:paraId="2E81C284"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460</w:t>
            </w:r>
          </w:p>
        </w:tc>
        <w:tc>
          <w:tcPr>
            <w:tcW w:w="992" w:type="dxa"/>
            <w:shd w:val="clear" w:color="auto" w:fill="D9D9D9" w:themeFill="background1" w:themeFillShade="D9"/>
            <w:vAlign w:val="center"/>
          </w:tcPr>
          <w:p w14:paraId="431004DD" w14:textId="0D130547"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327</w:t>
            </w:r>
          </w:p>
        </w:tc>
      </w:tr>
      <w:tr w:rsidR="008C1162" w:rsidRPr="00F506E7" w14:paraId="02996798" w14:textId="77777777" w:rsidTr="008C1162">
        <w:trPr>
          <w:trHeight w:val="255"/>
        </w:trPr>
        <w:tc>
          <w:tcPr>
            <w:tcW w:w="1366" w:type="dxa"/>
            <w:vAlign w:val="center"/>
          </w:tcPr>
          <w:p w14:paraId="4549ABB8"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Art.164</w:t>
            </w:r>
          </w:p>
        </w:tc>
        <w:tc>
          <w:tcPr>
            <w:tcW w:w="5297" w:type="dxa"/>
            <w:vAlign w:val="center"/>
          </w:tcPr>
          <w:p w14:paraId="364D808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Norme sulla sistemazione de</w:t>
            </w:r>
            <w:r>
              <w:rPr>
                <w:rFonts w:ascii="Arial Narrow" w:hAnsi="Arial Narrow"/>
                <w:color w:val="000000"/>
                <w:sz w:val="18"/>
                <w:szCs w:val="18"/>
              </w:rPr>
              <w:t>l</w:t>
            </w:r>
            <w:r w:rsidRPr="00F506E7">
              <w:rPr>
                <w:rFonts w:ascii="Arial Narrow" w:hAnsi="Arial Narrow"/>
                <w:color w:val="000000"/>
                <w:sz w:val="18"/>
                <w:szCs w:val="18"/>
              </w:rPr>
              <w:t xml:space="preserve"> carico sui veicoli</w:t>
            </w:r>
          </w:p>
        </w:tc>
        <w:tc>
          <w:tcPr>
            <w:tcW w:w="1134" w:type="dxa"/>
            <w:shd w:val="clear" w:color="auto" w:fill="D9D9D9" w:themeFill="background1" w:themeFillShade="D9"/>
            <w:vAlign w:val="center"/>
          </w:tcPr>
          <w:p w14:paraId="56483D84"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7.842</w:t>
            </w:r>
          </w:p>
        </w:tc>
        <w:tc>
          <w:tcPr>
            <w:tcW w:w="992" w:type="dxa"/>
            <w:vAlign w:val="center"/>
          </w:tcPr>
          <w:p w14:paraId="2C6CCA92"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824</w:t>
            </w:r>
          </w:p>
        </w:tc>
        <w:tc>
          <w:tcPr>
            <w:tcW w:w="992" w:type="dxa"/>
            <w:shd w:val="clear" w:color="auto" w:fill="D9D9D9" w:themeFill="background1" w:themeFillShade="D9"/>
            <w:vAlign w:val="center"/>
          </w:tcPr>
          <w:p w14:paraId="64A3FFCE" w14:textId="74830092"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1.382</w:t>
            </w:r>
          </w:p>
        </w:tc>
      </w:tr>
      <w:tr w:rsidR="008C1162" w:rsidRPr="00F506E7" w14:paraId="6A94F2D1" w14:textId="77777777" w:rsidTr="008C1162">
        <w:trPr>
          <w:trHeight w:val="255"/>
        </w:trPr>
        <w:tc>
          <w:tcPr>
            <w:tcW w:w="1366" w:type="dxa"/>
            <w:vAlign w:val="center"/>
          </w:tcPr>
          <w:p w14:paraId="5227D8F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Art.167</w:t>
            </w:r>
          </w:p>
        </w:tc>
        <w:tc>
          <w:tcPr>
            <w:tcW w:w="5297" w:type="dxa"/>
            <w:vAlign w:val="center"/>
          </w:tcPr>
          <w:p w14:paraId="5DBB0552"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Trasporto di cose e superamento limiti di peso del veicolo</w:t>
            </w:r>
          </w:p>
        </w:tc>
        <w:tc>
          <w:tcPr>
            <w:tcW w:w="1134" w:type="dxa"/>
            <w:shd w:val="clear" w:color="auto" w:fill="D9D9D9" w:themeFill="background1" w:themeFillShade="D9"/>
            <w:vAlign w:val="center"/>
          </w:tcPr>
          <w:p w14:paraId="6AC81538"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47.197</w:t>
            </w:r>
          </w:p>
        </w:tc>
        <w:tc>
          <w:tcPr>
            <w:tcW w:w="992" w:type="dxa"/>
            <w:vAlign w:val="center"/>
          </w:tcPr>
          <w:p w14:paraId="18E2FDE8"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138</w:t>
            </w:r>
          </w:p>
        </w:tc>
        <w:tc>
          <w:tcPr>
            <w:tcW w:w="992" w:type="dxa"/>
            <w:shd w:val="clear" w:color="auto" w:fill="D9D9D9" w:themeFill="background1" w:themeFillShade="D9"/>
            <w:vAlign w:val="center"/>
          </w:tcPr>
          <w:p w14:paraId="57336ACC" w14:textId="537C1671"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1.978</w:t>
            </w:r>
          </w:p>
        </w:tc>
      </w:tr>
      <w:tr w:rsidR="008C1162" w:rsidRPr="00F506E7" w14:paraId="1FD01F6C" w14:textId="77777777" w:rsidTr="008C1162">
        <w:trPr>
          <w:trHeight w:val="255"/>
        </w:trPr>
        <w:tc>
          <w:tcPr>
            <w:tcW w:w="1366" w:type="dxa"/>
            <w:vAlign w:val="center"/>
          </w:tcPr>
          <w:p w14:paraId="6F342C8A"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Art.168</w:t>
            </w:r>
          </w:p>
        </w:tc>
        <w:tc>
          <w:tcPr>
            <w:tcW w:w="5297" w:type="dxa"/>
            <w:vAlign w:val="center"/>
          </w:tcPr>
          <w:p w14:paraId="3F9DAA8F"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Norme sul trasporto di merci pericolose</w:t>
            </w:r>
          </w:p>
        </w:tc>
        <w:tc>
          <w:tcPr>
            <w:tcW w:w="1134" w:type="dxa"/>
            <w:shd w:val="clear" w:color="auto" w:fill="D9D9D9" w:themeFill="background1" w:themeFillShade="D9"/>
            <w:vAlign w:val="center"/>
          </w:tcPr>
          <w:p w14:paraId="1EA516AE"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7.233</w:t>
            </w:r>
          </w:p>
        </w:tc>
        <w:tc>
          <w:tcPr>
            <w:tcW w:w="992" w:type="dxa"/>
            <w:vAlign w:val="center"/>
          </w:tcPr>
          <w:p w14:paraId="3E63C5D0"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24</w:t>
            </w:r>
          </w:p>
        </w:tc>
        <w:tc>
          <w:tcPr>
            <w:tcW w:w="992" w:type="dxa"/>
            <w:shd w:val="clear" w:color="auto" w:fill="D9D9D9" w:themeFill="background1" w:themeFillShade="D9"/>
            <w:vAlign w:val="center"/>
          </w:tcPr>
          <w:p w14:paraId="14A883AC" w14:textId="765B67F8"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232</w:t>
            </w:r>
          </w:p>
        </w:tc>
      </w:tr>
      <w:tr w:rsidR="008C1162" w:rsidRPr="00F506E7" w14:paraId="775F8514" w14:textId="77777777" w:rsidTr="008C1162">
        <w:trPr>
          <w:trHeight w:val="255"/>
        </w:trPr>
        <w:tc>
          <w:tcPr>
            <w:tcW w:w="1366" w:type="dxa"/>
            <w:vAlign w:val="center"/>
          </w:tcPr>
          <w:p w14:paraId="0E52461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Art.169</w:t>
            </w:r>
          </w:p>
        </w:tc>
        <w:tc>
          <w:tcPr>
            <w:tcW w:w="5297" w:type="dxa"/>
            <w:vAlign w:val="center"/>
          </w:tcPr>
          <w:p w14:paraId="055750ED"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Trasporto di persone animali ed oggetti sui veicoli a motore</w:t>
            </w:r>
          </w:p>
        </w:tc>
        <w:tc>
          <w:tcPr>
            <w:tcW w:w="1134" w:type="dxa"/>
            <w:shd w:val="clear" w:color="auto" w:fill="D9D9D9" w:themeFill="background1" w:themeFillShade="D9"/>
            <w:vAlign w:val="center"/>
          </w:tcPr>
          <w:p w14:paraId="01C8378B"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6.228</w:t>
            </w:r>
          </w:p>
        </w:tc>
        <w:tc>
          <w:tcPr>
            <w:tcW w:w="992" w:type="dxa"/>
            <w:vAlign w:val="center"/>
          </w:tcPr>
          <w:p w14:paraId="79077FBF"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2.053</w:t>
            </w:r>
          </w:p>
        </w:tc>
        <w:tc>
          <w:tcPr>
            <w:tcW w:w="992" w:type="dxa"/>
            <w:shd w:val="clear" w:color="auto" w:fill="D9D9D9" w:themeFill="background1" w:themeFillShade="D9"/>
            <w:vAlign w:val="center"/>
          </w:tcPr>
          <w:p w14:paraId="2FBCC1B2" w14:textId="2C5FE432"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3.053</w:t>
            </w:r>
          </w:p>
        </w:tc>
      </w:tr>
      <w:tr w:rsidR="008C1162" w:rsidRPr="00F506E7" w14:paraId="1421F102" w14:textId="77777777" w:rsidTr="008C1162">
        <w:trPr>
          <w:trHeight w:val="255"/>
        </w:trPr>
        <w:tc>
          <w:tcPr>
            <w:tcW w:w="1366" w:type="dxa"/>
            <w:vAlign w:val="center"/>
          </w:tcPr>
          <w:p w14:paraId="2681520B"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Art.170</w:t>
            </w:r>
          </w:p>
        </w:tc>
        <w:tc>
          <w:tcPr>
            <w:tcW w:w="5297" w:type="dxa"/>
            <w:vAlign w:val="center"/>
          </w:tcPr>
          <w:p w14:paraId="4A353A8D"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Trasporto di persone e di oggetti sui veicoli a motore a due ruote</w:t>
            </w:r>
          </w:p>
        </w:tc>
        <w:tc>
          <w:tcPr>
            <w:tcW w:w="1134" w:type="dxa"/>
            <w:shd w:val="clear" w:color="auto" w:fill="D9D9D9" w:themeFill="background1" w:themeFillShade="D9"/>
            <w:vAlign w:val="center"/>
          </w:tcPr>
          <w:p w14:paraId="771402CB"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367</w:t>
            </w:r>
          </w:p>
        </w:tc>
        <w:tc>
          <w:tcPr>
            <w:tcW w:w="992" w:type="dxa"/>
            <w:vAlign w:val="center"/>
          </w:tcPr>
          <w:p w14:paraId="55BC2233"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1.174</w:t>
            </w:r>
          </w:p>
        </w:tc>
        <w:tc>
          <w:tcPr>
            <w:tcW w:w="992" w:type="dxa"/>
            <w:shd w:val="clear" w:color="auto" w:fill="D9D9D9" w:themeFill="background1" w:themeFillShade="D9"/>
            <w:vAlign w:val="center"/>
          </w:tcPr>
          <w:p w14:paraId="2D78F37E" w14:textId="30144E1B"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600</w:t>
            </w:r>
          </w:p>
        </w:tc>
      </w:tr>
      <w:tr w:rsidR="008C1162" w:rsidRPr="00F506E7" w14:paraId="476215B0" w14:textId="77777777" w:rsidTr="008C1162">
        <w:trPr>
          <w:trHeight w:val="255"/>
        </w:trPr>
        <w:tc>
          <w:tcPr>
            <w:tcW w:w="1366" w:type="dxa"/>
            <w:vAlign w:val="center"/>
          </w:tcPr>
          <w:p w14:paraId="75279118"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Art.171</w:t>
            </w:r>
          </w:p>
        </w:tc>
        <w:tc>
          <w:tcPr>
            <w:tcW w:w="5297" w:type="dxa"/>
            <w:vAlign w:val="center"/>
          </w:tcPr>
          <w:p w14:paraId="09F64ED7"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Uso del casco</w:t>
            </w:r>
          </w:p>
        </w:tc>
        <w:tc>
          <w:tcPr>
            <w:tcW w:w="1134" w:type="dxa"/>
            <w:shd w:val="clear" w:color="auto" w:fill="D9D9D9" w:themeFill="background1" w:themeFillShade="D9"/>
            <w:vAlign w:val="center"/>
          </w:tcPr>
          <w:p w14:paraId="493B512B"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2..884</w:t>
            </w:r>
          </w:p>
        </w:tc>
        <w:tc>
          <w:tcPr>
            <w:tcW w:w="992" w:type="dxa"/>
            <w:vAlign w:val="center"/>
          </w:tcPr>
          <w:p w14:paraId="03A5A7E8"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9.004</w:t>
            </w:r>
          </w:p>
        </w:tc>
        <w:tc>
          <w:tcPr>
            <w:tcW w:w="992" w:type="dxa"/>
            <w:shd w:val="clear" w:color="auto" w:fill="D9D9D9" w:themeFill="background1" w:themeFillShade="D9"/>
            <w:vAlign w:val="center"/>
          </w:tcPr>
          <w:p w14:paraId="05271520" w14:textId="5D561472"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44.077</w:t>
            </w:r>
          </w:p>
        </w:tc>
      </w:tr>
      <w:tr w:rsidR="008C1162" w:rsidRPr="00F506E7" w14:paraId="6FBAF550" w14:textId="77777777" w:rsidTr="008C1162">
        <w:trPr>
          <w:trHeight w:val="255"/>
        </w:trPr>
        <w:tc>
          <w:tcPr>
            <w:tcW w:w="1366" w:type="dxa"/>
            <w:vAlign w:val="center"/>
          </w:tcPr>
          <w:p w14:paraId="18E6C919"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Art.172</w:t>
            </w:r>
          </w:p>
        </w:tc>
        <w:tc>
          <w:tcPr>
            <w:tcW w:w="5297" w:type="dxa"/>
            <w:vAlign w:val="center"/>
          </w:tcPr>
          <w:p w14:paraId="68BD747C"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Uso delle cinture di sicurezza e dei sistemi di ritenuta dei bambini</w:t>
            </w:r>
          </w:p>
        </w:tc>
        <w:tc>
          <w:tcPr>
            <w:tcW w:w="1134" w:type="dxa"/>
            <w:shd w:val="clear" w:color="auto" w:fill="D9D9D9" w:themeFill="background1" w:themeFillShade="D9"/>
            <w:vAlign w:val="center"/>
          </w:tcPr>
          <w:p w14:paraId="472A9FEC"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75.577</w:t>
            </w:r>
          </w:p>
        </w:tc>
        <w:tc>
          <w:tcPr>
            <w:tcW w:w="992" w:type="dxa"/>
            <w:vAlign w:val="center"/>
          </w:tcPr>
          <w:p w14:paraId="494609A2"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85.780</w:t>
            </w:r>
          </w:p>
        </w:tc>
        <w:tc>
          <w:tcPr>
            <w:tcW w:w="992" w:type="dxa"/>
            <w:shd w:val="clear" w:color="auto" w:fill="D9D9D9" w:themeFill="background1" w:themeFillShade="D9"/>
            <w:vAlign w:val="center"/>
          </w:tcPr>
          <w:p w14:paraId="1EEC7115" w14:textId="2C0E6525"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32.504</w:t>
            </w:r>
          </w:p>
        </w:tc>
      </w:tr>
      <w:tr w:rsidR="008C1162" w:rsidRPr="00F506E7" w14:paraId="2371F7D0" w14:textId="77777777" w:rsidTr="008C1162">
        <w:trPr>
          <w:trHeight w:val="255"/>
        </w:trPr>
        <w:tc>
          <w:tcPr>
            <w:tcW w:w="1366" w:type="dxa"/>
            <w:vAlign w:val="center"/>
          </w:tcPr>
          <w:p w14:paraId="7261F139"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Art.173</w:t>
            </w:r>
          </w:p>
        </w:tc>
        <w:tc>
          <w:tcPr>
            <w:tcW w:w="5297" w:type="dxa"/>
            <w:vAlign w:val="center"/>
          </w:tcPr>
          <w:p w14:paraId="32701EF4"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Mancato uso di lenti o uso di radiotelefoni o cuffie</w:t>
            </w:r>
          </w:p>
        </w:tc>
        <w:tc>
          <w:tcPr>
            <w:tcW w:w="1134" w:type="dxa"/>
            <w:shd w:val="clear" w:color="auto" w:fill="D9D9D9" w:themeFill="background1" w:themeFillShade="D9"/>
            <w:vAlign w:val="center"/>
          </w:tcPr>
          <w:p w14:paraId="12604B3D"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44.469</w:t>
            </w:r>
          </w:p>
        </w:tc>
        <w:tc>
          <w:tcPr>
            <w:tcW w:w="992" w:type="dxa"/>
            <w:vAlign w:val="center"/>
          </w:tcPr>
          <w:p w14:paraId="13331969"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29.428</w:t>
            </w:r>
          </w:p>
        </w:tc>
        <w:tc>
          <w:tcPr>
            <w:tcW w:w="992" w:type="dxa"/>
            <w:shd w:val="clear" w:color="auto" w:fill="D9D9D9" w:themeFill="background1" w:themeFillShade="D9"/>
            <w:vAlign w:val="center"/>
          </w:tcPr>
          <w:p w14:paraId="2A62981A" w14:textId="39DA10EC"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65.536</w:t>
            </w:r>
          </w:p>
        </w:tc>
      </w:tr>
      <w:tr w:rsidR="008C1162" w:rsidRPr="00F506E7" w14:paraId="3D5DBF88" w14:textId="77777777" w:rsidTr="008C1162">
        <w:trPr>
          <w:trHeight w:val="255"/>
        </w:trPr>
        <w:tc>
          <w:tcPr>
            <w:tcW w:w="1366" w:type="dxa"/>
            <w:vAlign w:val="center"/>
          </w:tcPr>
          <w:p w14:paraId="663C9C49"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Art.174-178</w:t>
            </w:r>
          </w:p>
        </w:tc>
        <w:tc>
          <w:tcPr>
            <w:tcW w:w="5297" w:type="dxa"/>
            <w:vAlign w:val="center"/>
          </w:tcPr>
          <w:p w14:paraId="3E447F6D"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Rispetto dei tempi di guida e di riposo dei conducenti dei veicoli pesanti</w:t>
            </w:r>
          </w:p>
        </w:tc>
        <w:tc>
          <w:tcPr>
            <w:tcW w:w="1134" w:type="dxa"/>
            <w:shd w:val="clear" w:color="auto" w:fill="D9D9D9" w:themeFill="background1" w:themeFillShade="D9"/>
            <w:vAlign w:val="center"/>
          </w:tcPr>
          <w:p w14:paraId="64D94972"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48.177</w:t>
            </w:r>
          </w:p>
        </w:tc>
        <w:tc>
          <w:tcPr>
            <w:tcW w:w="992" w:type="dxa"/>
            <w:vAlign w:val="center"/>
          </w:tcPr>
          <w:p w14:paraId="7EE373E0"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183</w:t>
            </w:r>
          </w:p>
        </w:tc>
        <w:tc>
          <w:tcPr>
            <w:tcW w:w="992" w:type="dxa"/>
            <w:shd w:val="clear" w:color="auto" w:fill="D9D9D9" w:themeFill="background1" w:themeFillShade="D9"/>
            <w:vAlign w:val="center"/>
          </w:tcPr>
          <w:p w14:paraId="76E153EE" w14:textId="7C6774A0"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2.868</w:t>
            </w:r>
          </w:p>
        </w:tc>
      </w:tr>
      <w:tr w:rsidR="008C1162" w:rsidRPr="00F506E7" w14:paraId="3876FF1E" w14:textId="77777777" w:rsidTr="008C1162">
        <w:trPr>
          <w:trHeight w:val="255"/>
        </w:trPr>
        <w:tc>
          <w:tcPr>
            <w:tcW w:w="1366" w:type="dxa"/>
            <w:vAlign w:val="center"/>
          </w:tcPr>
          <w:p w14:paraId="508997CD"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Art.175-176</w:t>
            </w:r>
          </w:p>
        </w:tc>
        <w:tc>
          <w:tcPr>
            <w:tcW w:w="5297" w:type="dxa"/>
            <w:vAlign w:val="center"/>
          </w:tcPr>
          <w:p w14:paraId="499173AE"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Circolazione e comportamento sulle autostrade e strade extraurbane princ.</w:t>
            </w:r>
          </w:p>
        </w:tc>
        <w:tc>
          <w:tcPr>
            <w:tcW w:w="1134" w:type="dxa"/>
            <w:shd w:val="clear" w:color="auto" w:fill="D9D9D9" w:themeFill="background1" w:themeFillShade="D9"/>
            <w:vAlign w:val="center"/>
          </w:tcPr>
          <w:p w14:paraId="6C0FBCBD"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165.278</w:t>
            </w:r>
          </w:p>
        </w:tc>
        <w:tc>
          <w:tcPr>
            <w:tcW w:w="992" w:type="dxa"/>
            <w:vAlign w:val="center"/>
          </w:tcPr>
          <w:p w14:paraId="32C89965" w14:textId="77777777" w:rsidR="008C1162" w:rsidRPr="0010006A" w:rsidRDefault="008C1162" w:rsidP="008C1162">
            <w:pPr>
              <w:jc w:val="right"/>
              <w:rPr>
                <w:rFonts w:ascii="Arial Narrow" w:hAnsi="Arial Narrow"/>
                <w:color w:val="000000"/>
                <w:sz w:val="18"/>
                <w:szCs w:val="18"/>
              </w:rPr>
            </w:pPr>
            <w:r>
              <w:rPr>
                <w:rFonts w:ascii="Arial Narrow" w:hAnsi="Arial Narrow"/>
                <w:sz w:val="18"/>
                <w:szCs w:val="18"/>
                <w:lang w:eastAsia="en-US"/>
              </w:rPr>
              <w:t>223</w:t>
            </w:r>
          </w:p>
        </w:tc>
        <w:tc>
          <w:tcPr>
            <w:tcW w:w="992" w:type="dxa"/>
            <w:shd w:val="clear" w:color="auto" w:fill="D9D9D9" w:themeFill="background1" w:themeFillShade="D9"/>
            <w:vAlign w:val="center"/>
          </w:tcPr>
          <w:p w14:paraId="54B17F8C" w14:textId="0D06DF56"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64</w:t>
            </w:r>
          </w:p>
        </w:tc>
      </w:tr>
      <w:tr w:rsidR="008C1162" w:rsidRPr="00F506E7" w14:paraId="33FE61E9" w14:textId="77777777" w:rsidTr="008C1162">
        <w:trPr>
          <w:trHeight w:val="255"/>
        </w:trPr>
        <w:tc>
          <w:tcPr>
            <w:tcW w:w="1366" w:type="dxa"/>
            <w:vAlign w:val="center"/>
          </w:tcPr>
          <w:p w14:paraId="4825F2E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Art.179</w:t>
            </w:r>
          </w:p>
        </w:tc>
        <w:tc>
          <w:tcPr>
            <w:tcW w:w="5297" w:type="dxa"/>
            <w:vAlign w:val="center"/>
          </w:tcPr>
          <w:p w14:paraId="72E42297"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Installazione, alterazione, manomissione del cronotachigrafo</w:t>
            </w:r>
          </w:p>
        </w:tc>
        <w:tc>
          <w:tcPr>
            <w:tcW w:w="1134" w:type="dxa"/>
            <w:shd w:val="clear" w:color="auto" w:fill="D9D9D9" w:themeFill="background1" w:themeFillShade="D9"/>
            <w:vAlign w:val="center"/>
          </w:tcPr>
          <w:p w14:paraId="350FEE2C"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12.655</w:t>
            </w:r>
          </w:p>
        </w:tc>
        <w:tc>
          <w:tcPr>
            <w:tcW w:w="992" w:type="dxa"/>
            <w:vAlign w:val="center"/>
          </w:tcPr>
          <w:p w14:paraId="3F30D671"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158</w:t>
            </w:r>
          </w:p>
        </w:tc>
        <w:tc>
          <w:tcPr>
            <w:tcW w:w="992" w:type="dxa"/>
            <w:shd w:val="clear" w:color="auto" w:fill="D9D9D9" w:themeFill="background1" w:themeFillShade="D9"/>
            <w:vAlign w:val="center"/>
          </w:tcPr>
          <w:p w14:paraId="4F9F7954" w14:textId="6FC2825D"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1.676</w:t>
            </w:r>
          </w:p>
        </w:tc>
      </w:tr>
      <w:tr w:rsidR="008C1162" w:rsidRPr="00F506E7" w14:paraId="00915708" w14:textId="77777777" w:rsidTr="008C1162">
        <w:trPr>
          <w:trHeight w:val="255"/>
        </w:trPr>
        <w:tc>
          <w:tcPr>
            <w:tcW w:w="1366" w:type="dxa"/>
            <w:vAlign w:val="center"/>
          </w:tcPr>
          <w:p w14:paraId="40FEEBAE"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Art.180-181</w:t>
            </w:r>
          </w:p>
        </w:tc>
        <w:tc>
          <w:tcPr>
            <w:tcW w:w="5297" w:type="dxa"/>
            <w:vAlign w:val="center"/>
          </w:tcPr>
          <w:p w14:paraId="0EA4495B"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Possesso dei documenti della circolazione</w:t>
            </w:r>
          </w:p>
        </w:tc>
        <w:tc>
          <w:tcPr>
            <w:tcW w:w="1134" w:type="dxa"/>
            <w:shd w:val="clear" w:color="auto" w:fill="D9D9D9" w:themeFill="background1" w:themeFillShade="D9"/>
            <w:vAlign w:val="center"/>
          </w:tcPr>
          <w:p w14:paraId="4F9EE50D"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124.104</w:t>
            </w:r>
          </w:p>
        </w:tc>
        <w:tc>
          <w:tcPr>
            <w:tcW w:w="992" w:type="dxa"/>
            <w:vAlign w:val="center"/>
          </w:tcPr>
          <w:p w14:paraId="1DC5F805"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91.075</w:t>
            </w:r>
          </w:p>
        </w:tc>
        <w:tc>
          <w:tcPr>
            <w:tcW w:w="992" w:type="dxa"/>
            <w:shd w:val="clear" w:color="auto" w:fill="D9D9D9" w:themeFill="background1" w:themeFillShade="D9"/>
            <w:vAlign w:val="center"/>
          </w:tcPr>
          <w:p w14:paraId="4EC8988E" w14:textId="49C6107D"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108.158</w:t>
            </w:r>
          </w:p>
        </w:tc>
      </w:tr>
      <w:tr w:rsidR="008C1162" w:rsidRPr="00F506E7" w14:paraId="3A523DF9" w14:textId="77777777" w:rsidTr="008C1162">
        <w:trPr>
          <w:trHeight w:val="255"/>
        </w:trPr>
        <w:tc>
          <w:tcPr>
            <w:tcW w:w="1366" w:type="dxa"/>
            <w:vAlign w:val="center"/>
          </w:tcPr>
          <w:p w14:paraId="62C48068"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Art.182</w:t>
            </w:r>
          </w:p>
        </w:tc>
        <w:tc>
          <w:tcPr>
            <w:tcW w:w="5297" w:type="dxa"/>
            <w:vAlign w:val="center"/>
          </w:tcPr>
          <w:p w14:paraId="277EFFF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Norme di comportamento dei ciclisti</w:t>
            </w:r>
          </w:p>
        </w:tc>
        <w:tc>
          <w:tcPr>
            <w:tcW w:w="1134" w:type="dxa"/>
            <w:shd w:val="clear" w:color="auto" w:fill="D9D9D9" w:themeFill="background1" w:themeFillShade="D9"/>
            <w:vAlign w:val="center"/>
          </w:tcPr>
          <w:p w14:paraId="4E2E27B4"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147</w:t>
            </w:r>
          </w:p>
        </w:tc>
        <w:tc>
          <w:tcPr>
            <w:tcW w:w="992" w:type="dxa"/>
            <w:vAlign w:val="center"/>
          </w:tcPr>
          <w:p w14:paraId="5BB60C17"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415</w:t>
            </w:r>
          </w:p>
        </w:tc>
        <w:tc>
          <w:tcPr>
            <w:tcW w:w="992" w:type="dxa"/>
            <w:shd w:val="clear" w:color="auto" w:fill="D9D9D9" w:themeFill="background1" w:themeFillShade="D9"/>
            <w:vAlign w:val="center"/>
          </w:tcPr>
          <w:p w14:paraId="71FAB72D" w14:textId="3D282C9A"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1.201</w:t>
            </w:r>
          </w:p>
        </w:tc>
      </w:tr>
      <w:tr w:rsidR="008C1162" w:rsidRPr="00F506E7" w14:paraId="0088DAD8" w14:textId="77777777" w:rsidTr="008C1162">
        <w:trPr>
          <w:trHeight w:val="255"/>
        </w:trPr>
        <w:tc>
          <w:tcPr>
            <w:tcW w:w="1366" w:type="dxa"/>
            <w:vAlign w:val="center"/>
          </w:tcPr>
          <w:p w14:paraId="0020406B"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Art.186</w:t>
            </w:r>
          </w:p>
        </w:tc>
        <w:tc>
          <w:tcPr>
            <w:tcW w:w="5297" w:type="dxa"/>
            <w:vAlign w:val="center"/>
          </w:tcPr>
          <w:p w14:paraId="7053FCDE"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Guida in stato di ebbrezza alcolica</w:t>
            </w:r>
          </w:p>
        </w:tc>
        <w:tc>
          <w:tcPr>
            <w:tcW w:w="1134" w:type="dxa"/>
            <w:shd w:val="clear" w:color="auto" w:fill="D9D9D9" w:themeFill="background1" w:themeFillShade="D9"/>
            <w:vAlign w:val="center"/>
          </w:tcPr>
          <w:p w14:paraId="6118D319"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11.717</w:t>
            </w:r>
          </w:p>
        </w:tc>
        <w:tc>
          <w:tcPr>
            <w:tcW w:w="992" w:type="dxa"/>
            <w:vAlign w:val="center"/>
          </w:tcPr>
          <w:p w14:paraId="10675774"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13.932</w:t>
            </w:r>
          </w:p>
        </w:tc>
        <w:tc>
          <w:tcPr>
            <w:tcW w:w="992" w:type="dxa"/>
            <w:shd w:val="clear" w:color="auto" w:fill="D9D9D9" w:themeFill="background1" w:themeFillShade="D9"/>
            <w:vAlign w:val="center"/>
          </w:tcPr>
          <w:p w14:paraId="6792A9CC" w14:textId="4CFC7ABC"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5.373</w:t>
            </w:r>
          </w:p>
        </w:tc>
      </w:tr>
      <w:tr w:rsidR="008C1162" w:rsidRPr="00F506E7" w14:paraId="0F05D68C" w14:textId="77777777" w:rsidTr="008C1162">
        <w:trPr>
          <w:trHeight w:val="255"/>
        </w:trPr>
        <w:tc>
          <w:tcPr>
            <w:tcW w:w="1366" w:type="dxa"/>
            <w:vAlign w:val="center"/>
          </w:tcPr>
          <w:p w14:paraId="1D403AE1"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Art.187</w:t>
            </w:r>
          </w:p>
        </w:tc>
        <w:tc>
          <w:tcPr>
            <w:tcW w:w="5297" w:type="dxa"/>
            <w:vAlign w:val="center"/>
          </w:tcPr>
          <w:p w14:paraId="441F9C3C"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Guida sotto l'influenza di sostanze stupefacenti</w:t>
            </w:r>
          </w:p>
        </w:tc>
        <w:tc>
          <w:tcPr>
            <w:tcW w:w="1134" w:type="dxa"/>
            <w:shd w:val="clear" w:color="auto" w:fill="D9D9D9" w:themeFill="background1" w:themeFillShade="D9"/>
            <w:vAlign w:val="center"/>
          </w:tcPr>
          <w:p w14:paraId="0BB98E9E"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1.220</w:t>
            </w:r>
          </w:p>
        </w:tc>
        <w:tc>
          <w:tcPr>
            <w:tcW w:w="992" w:type="dxa"/>
            <w:vAlign w:val="center"/>
          </w:tcPr>
          <w:p w14:paraId="68A0F2E7"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2.303</w:t>
            </w:r>
          </w:p>
        </w:tc>
        <w:tc>
          <w:tcPr>
            <w:tcW w:w="992" w:type="dxa"/>
            <w:shd w:val="clear" w:color="auto" w:fill="D9D9D9" w:themeFill="background1" w:themeFillShade="D9"/>
            <w:vAlign w:val="center"/>
          </w:tcPr>
          <w:p w14:paraId="019367E8" w14:textId="6F309C9E"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766</w:t>
            </w:r>
          </w:p>
        </w:tc>
      </w:tr>
      <w:tr w:rsidR="008C1162" w:rsidRPr="00F506E7" w14:paraId="2F4EBF42" w14:textId="77777777" w:rsidTr="008C1162">
        <w:trPr>
          <w:trHeight w:val="255"/>
        </w:trPr>
        <w:tc>
          <w:tcPr>
            <w:tcW w:w="1366" w:type="dxa"/>
            <w:vAlign w:val="center"/>
          </w:tcPr>
          <w:p w14:paraId="6E04733A"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Art.189</w:t>
            </w:r>
          </w:p>
        </w:tc>
        <w:tc>
          <w:tcPr>
            <w:tcW w:w="5297" w:type="dxa"/>
            <w:vAlign w:val="center"/>
          </w:tcPr>
          <w:p w14:paraId="3BC5708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Comportamento dei conducenti in caso di incidente</w:t>
            </w:r>
          </w:p>
        </w:tc>
        <w:tc>
          <w:tcPr>
            <w:tcW w:w="1134" w:type="dxa"/>
            <w:shd w:val="clear" w:color="auto" w:fill="D9D9D9" w:themeFill="background1" w:themeFillShade="D9"/>
            <w:vAlign w:val="center"/>
          </w:tcPr>
          <w:p w14:paraId="207A6487"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1.956</w:t>
            </w:r>
          </w:p>
        </w:tc>
        <w:tc>
          <w:tcPr>
            <w:tcW w:w="992" w:type="dxa"/>
            <w:vAlign w:val="center"/>
          </w:tcPr>
          <w:p w14:paraId="126F4A17"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2.646</w:t>
            </w:r>
          </w:p>
        </w:tc>
        <w:tc>
          <w:tcPr>
            <w:tcW w:w="992" w:type="dxa"/>
            <w:shd w:val="clear" w:color="auto" w:fill="D9D9D9" w:themeFill="background1" w:themeFillShade="D9"/>
            <w:vAlign w:val="center"/>
          </w:tcPr>
          <w:p w14:paraId="527A0CED" w14:textId="78F4CEBB"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5.466</w:t>
            </w:r>
          </w:p>
        </w:tc>
      </w:tr>
      <w:tr w:rsidR="008C1162" w:rsidRPr="00F506E7" w14:paraId="3E077BBA" w14:textId="77777777" w:rsidTr="008C1162">
        <w:trPr>
          <w:trHeight w:val="255"/>
        </w:trPr>
        <w:tc>
          <w:tcPr>
            <w:tcW w:w="1366" w:type="dxa"/>
            <w:vAlign w:val="center"/>
          </w:tcPr>
          <w:p w14:paraId="7B0C14AD"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Art.190</w:t>
            </w:r>
          </w:p>
        </w:tc>
        <w:tc>
          <w:tcPr>
            <w:tcW w:w="5297" w:type="dxa"/>
            <w:vAlign w:val="center"/>
          </w:tcPr>
          <w:p w14:paraId="1982188D"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Comportamento dei pedoni</w:t>
            </w:r>
          </w:p>
        </w:tc>
        <w:tc>
          <w:tcPr>
            <w:tcW w:w="1134" w:type="dxa"/>
            <w:shd w:val="clear" w:color="auto" w:fill="D9D9D9" w:themeFill="background1" w:themeFillShade="D9"/>
            <w:vAlign w:val="center"/>
          </w:tcPr>
          <w:p w14:paraId="2EF49BAF"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185</w:t>
            </w:r>
          </w:p>
        </w:tc>
        <w:tc>
          <w:tcPr>
            <w:tcW w:w="992" w:type="dxa"/>
            <w:vAlign w:val="center"/>
          </w:tcPr>
          <w:p w14:paraId="790566D5"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339</w:t>
            </w:r>
          </w:p>
        </w:tc>
        <w:tc>
          <w:tcPr>
            <w:tcW w:w="992" w:type="dxa"/>
            <w:shd w:val="clear" w:color="auto" w:fill="D9D9D9" w:themeFill="background1" w:themeFillShade="D9"/>
            <w:vAlign w:val="center"/>
          </w:tcPr>
          <w:p w14:paraId="5F46E68C" w14:textId="77C40A0A"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2.470</w:t>
            </w:r>
          </w:p>
        </w:tc>
      </w:tr>
      <w:tr w:rsidR="008C1162" w:rsidRPr="00F506E7" w14:paraId="175BA319" w14:textId="77777777" w:rsidTr="008C1162">
        <w:trPr>
          <w:trHeight w:val="255"/>
        </w:trPr>
        <w:tc>
          <w:tcPr>
            <w:tcW w:w="1366" w:type="dxa"/>
            <w:vAlign w:val="center"/>
          </w:tcPr>
          <w:p w14:paraId="40225381"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Art.191</w:t>
            </w:r>
          </w:p>
        </w:tc>
        <w:tc>
          <w:tcPr>
            <w:tcW w:w="5297" w:type="dxa"/>
            <w:vAlign w:val="center"/>
          </w:tcPr>
          <w:p w14:paraId="7FEA59E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Comportamento dei conducenti verso i pedoni</w:t>
            </w:r>
          </w:p>
        </w:tc>
        <w:tc>
          <w:tcPr>
            <w:tcW w:w="1134" w:type="dxa"/>
            <w:shd w:val="clear" w:color="auto" w:fill="D9D9D9" w:themeFill="background1" w:themeFillShade="D9"/>
            <w:vAlign w:val="center"/>
          </w:tcPr>
          <w:p w14:paraId="5C87A4D2"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554</w:t>
            </w:r>
          </w:p>
        </w:tc>
        <w:tc>
          <w:tcPr>
            <w:tcW w:w="992" w:type="dxa"/>
            <w:vAlign w:val="center"/>
          </w:tcPr>
          <w:p w14:paraId="5ACAE53A"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1.041</w:t>
            </w:r>
          </w:p>
        </w:tc>
        <w:tc>
          <w:tcPr>
            <w:tcW w:w="992" w:type="dxa"/>
            <w:shd w:val="clear" w:color="auto" w:fill="D9D9D9" w:themeFill="background1" w:themeFillShade="D9"/>
            <w:vAlign w:val="center"/>
          </w:tcPr>
          <w:p w14:paraId="34C8D337" w14:textId="508A8136"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6.333</w:t>
            </w:r>
          </w:p>
        </w:tc>
      </w:tr>
      <w:tr w:rsidR="008C1162" w:rsidRPr="00F506E7" w14:paraId="727C6588" w14:textId="77777777" w:rsidTr="008C1162">
        <w:trPr>
          <w:trHeight w:val="255"/>
        </w:trPr>
        <w:tc>
          <w:tcPr>
            <w:tcW w:w="1366" w:type="dxa"/>
            <w:tcBorders>
              <w:bottom w:val="single" w:sz="4" w:space="0" w:color="auto"/>
            </w:tcBorders>
            <w:vAlign w:val="center"/>
          </w:tcPr>
          <w:p w14:paraId="318CBFD0"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Art.193</w:t>
            </w:r>
          </w:p>
        </w:tc>
        <w:tc>
          <w:tcPr>
            <w:tcW w:w="5297" w:type="dxa"/>
            <w:tcBorders>
              <w:bottom w:val="single" w:sz="4" w:space="0" w:color="auto"/>
            </w:tcBorders>
            <w:vAlign w:val="center"/>
          </w:tcPr>
          <w:p w14:paraId="7FA75E35" w14:textId="77777777" w:rsidR="008C1162" w:rsidRPr="00F506E7" w:rsidRDefault="008C1162" w:rsidP="008C1162">
            <w:pPr>
              <w:autoSpaceDE w:val="0"/>
              <w:autoSpaceDN w:val="0"/>
              <w:adjustRightInd w:val="0"/>
              <w:rPr>
                <w:rFonts w:ascii="Arial Narrow" w:hAnsi="Arial Narrow"/>
                <w:color w:val="000000"/>
                <w:sz w:val="18"/>
                <w:szCs w:val="18"/>
              </w:rPr>
            </w:pPr>
            <w:r w:rsidRPr="00F506E7">
              <w:rPr>
                <w:rFonts w:ascii="Arial Narrow" w:hAnsi="Arial Narrow"/>
                <w:color w:val="000000"/>
                <w:sz w:val="18"/>
                <w:szCs w:val="18"/>
              </w:rPr>
              <w:t>Obbligo di assicurazione</w:t>
            </w:r>
          </w:p>
        </w:tc>
        <w:tc>
          <w:tcPr>
            <w:tcW w:w="1134" w:type="dxa"/>
            <w:tcBorders>
              <w:bottom w:val="single" w:sz="4" w:space="0" w:color="auto"/>
            </w:tcBorders>
            <w:shd w:val="clear" w:color="auto" w:fill="D9D9D9" w:themeFill="background1" w:themeFillShade="D9"/>
            <w:vAlign w:val="center"/>
          </w:tcPr>
          <w:p w14:paraId="52D61AAD"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34.972</w:t>
            </w:r>
          </w:p>
        </w:tc>
        <w:tc>
          <w:tcPr>
            <w:tcW w:w="992" w:type="dxa"/>
            <w:tcBorders>
              <w:bottom w:val="single" w:sz="4" w:space="0" w:color="auto"/>
            </w:tcBorders>
            <w:vAlign w:val="center"/>
          </w:tcPr>
          <w:p w14:paraId="7ACA4FC3" w14:textId="77777777" w:rsidR="008C1162" w:rsidRPr="0010006A" w:rsidRDefault="008C1162" w:rsidP="008C1162">
            <w:pPr>
              <w:jc w:val="right"/>
              <w:rPr>
                <w:rFonts w:ascii="Arial Narrow" w:hAnsi="Arial Narrow"/>
                <w:color w:val="000000"/>
                <w:sz w:val="18"/>
                <w:szCs w:val="18"/>
              </w:rPr>
            </w:pPr>
            <w:r>
              <w:rPr>
                <w:rFonts w:ascii="Arial Narrow" w:hAnsi="Arial Narrow"/>
                <w:color w:val="000000"/>
                <w:sz w:val="18"/>
                <w:szCs w:val="18"/>
                <w:lang w:eastAsia="en-US"/>
              </w:rPr>
              <w:t>55.178</w:t>
            </w:r>
          </w:p>
        </w:tc>
        <w:tc>
          <w:tcPr>
            <w:tcW w:w="992" w:type="dxa"/>
            <w:tcBorders>
              <w:bottom w:val="single" w:sz="4" w:space="0" w:color="auto"/>
            </w:tcBorders>
            <w:shd w:val="clear" w:color="auto" w:fill="D9D9D9" w:themeFill="background1" w:themeFillShade="D9"/>
            <w:vAlign w:val="center"/>
          </w:tcPr>
          <w:p w14:paraId="3E62E1C7" w14:textId="49D8578C" w:rsidR="008C1162" w:rsidRPr="0010006A" w:rsidRDefault="008C1162" w:rsidP="008C1162">
            <w:pPr>
              <w:jc w:val="right"/>
              <w:rPr>
                <w:rFonts w:ascii="Arial Narrow" w:hAnsi="Arial Narrow"/>
                <w:color w:val="000000"/>
                <w:sz w:val="18"/>
                <w:szCs w:val="18"/>
                <w:lang w:eastAsia="en-US"/>
              </w:rPr>
            </w:pPr>
            <w:r w:rsidRPr="008C1162">
              <w:rPr>
                <w:rFonts w:ascii="Arial Narrow" w:hAnsi="Arial Narrow"/>
                <w:color w:val="000000"/>
                <w:sz w:val="18"/>
                <w:szCs w:val="18"/>
                <w:lang w:eastAsia="en-US"/>
              </w:rPr>
              <w:t>40.450</w:t>
            </w:r>
          </w:p>
        </w:tc>
      </w:tr>
      <w:tr w:rsidR="008C1162" w:rsidRPr="00F506E7" w14:paraId="21947B10" w14:textId="77777777" w:rsidTr="008C1162">
        <w:trPr>
          <w:trHeight w:val="255"/>
        </w:trPr>
        <w:tc>
          <w:tcPr>
            <w:tcW w:w="1366" w:type="dxa"/>
            <w:tcBorders>
              <w:bottom w:val="single" w:sz="4" w:space="0" w:color="auto"/>
            </w:tcBorders>
            <w:shd w:val="clear" w:color="auto" w:fill="00527F"/>
            <w:vAlign w:val="center"/>
          </w:tcPr>
          <w:p w14:paraId="2950153C" w14:textId="77777777" w:rsidR="008C1162" w:rsidRPr="00F506E7" w:rsidRDefault="008C1162" w:rsidP="008C1162">
            <w:pPr>
              <w:autoSpaceDE w:val="0"/>
              <w:autoSpaceDN w:val="0"/>
              <w:adjustRightInd w:val="0"/>
              <w:rPr>
                <w:rFonts w:ascii="Arial Narrow" w:hAnsi="Arial Narrow"/>
                <w:b/>
                <w:color w:val="FFFFFF"/>
                <w:sz w:val="18"/>
                <w:szCs w:val="18"/>
              </w:rPr>
            </w:pPr>
            <w:r w:rsidRPr="00F506E7">
              <w:rPr>
                <w:rFonts w:ascii="Arial Narrow" w:hAnsi="Arial Narrow"/>
                <w:b/>
                <w:color w:val="FFFFFF"/>
                <w:sz w:val="18"/>
                <w:szCs w:val="18"/>
              </w:rPr>
              <w:t>Totale</w:t>
            </w:r>
          </w:p>
        </w:tc>
        <w:tc>
          <w:tcPr>
            <w:tcW w:w="5297" w:type="dxa"/>
            <w:tcBorders>
              <w:bottom w:val="single" w:sz="4" w:space="0" w:color="auto"/>
            </w:tcBorders>
            <w:shd w:val="clear" w:color="auto" w:fill="00527F"/>
            <w:vAlign w:val="center"/>
          </w:tcPr>
          <w:p w14:paraId="004B57F9" w14:textId="77777777" w:rsidR="008C1162" w:rsidRPr="00F506E7" w:rsidRDefault="008C1162" w:rsidP="008C1162">
            <w:pPr>
              <w:autoSpaceDE w:val="0"/>
              <w:autoSpaceDN w:val="0"/>
              <w:adjustRightInd w:val="0"/>
              <w:rPr>
                <w:rFonts w:ascii="Arial Narrow" w:hAnsi="Arial Narrow"/>
                <w:b/>
                <w:color w:val="FFFFFF"/>
                <w:sz w:val="18"/>
                <w:szCs w:val="18"/>
              </w:rPr>
            </w:pPr>
            <w:r w:rsidRPr="00F506E7">
              <w:rPr>
                <w:rFonts w:ascii="Arial Narrow" w:hAnsi="Arial Narrow"/>
                <w:b/>
                <w:color w:val="FFFFFF"/>
                <w:sz w:val="18"/>
                <w:szCs w:val="18"/>
              </w:rPr>
              <w:t xml:space="preserve">Violazioni al </w:t>
            </w:r>
            <w:r>
              <w:rPr>
                <w:rFonts w:ascii="Arial Narrow" w:hAnsi="Arial Narrow"/>
                <w:b/>
                <w:color w:val="FFFFFF"/>
                <w:sz w:val="18"/>
                <w:szCs w:val="18"/>
              </w:rPr>
              <w:t>C</w:t>
            </w:r>
            <w:r w:rsidRPr="00F506E7">
              <w:rPr>
                <w:rFonts w:ascii="Arial Narrow" w:hAnsi="Arial Narrow"/>
                <w:b/>
                <w:color w:val="FFFFFF"/>
                <w:sz w:val="18"/>
                <w:szCs w:val="18"/>
              </w:rPr>
              <w:t>odice della strada: Titolo V - Norme di comportamento</w:t>
            </w:r>
          </w:p>
        </w:tc>
        <w:tc>
          <w:tcPr>
            <w:tcW w:w="1134" w:type="dxa"/>
            <w:tcBorders>
              <w:bottom w:val="single" w:sz="4" w:space="0" w:color="auto"/>
            </w:tcBorders>
            <w:shd w:val="clear" w:color="auto" w:fill="00527F"/>
            <w:vAlign w:val="center"/>
          </w:tcPr>
          <w:p w14:paraId="657A8F45" w14:textId="77777777" w:rsidR="008C1162" w:rsidRPr="0010006A" w:rsidRDefault="008C1162" w:rsidP="008C1162">
            <w:pPr>
              <w:jc w:val="right"/>
              <w:rPr>
                <w:rFonts w:ascii="Arial Narrow" w:hAnsi="Arial Narrow"/>
                <w:b/>
                <w:color w:val="FFFFFF"/>
                <w:sz w:val="18"/>
                <w:szCs w:val="18"/>
              </w:rPr>
            </w:pPr>
            <w:r>
              <w:rPr>
                <w:rFonts w:ascii="Arial Narrow" w:hAnsi="Arial Narrow"/>
                <w:b/>
                <w:color w:val="FFFFFF"/>
                <w:sz w:val="18"/>
                <w:szCs w:val="18"/>
                <w:lang w:eastAsia="en-US"/>
              </w:rPr>
              <w:t>1.231.878</w:t>
            </w:r>
          </w:p>
        </w:tc>
        <w:tc>
          <w:tcPr>
            <w:tcW w:w="992" w:type="dxa"/>
            <w:tcBorders>
              <w:bottom w:val="single" w:sz="4" w:space="0" w:color="auto"/>
            </w:tcBorders>
            <w:shd w:val="clear" w:color="auto" w:fill="00527F"/>
            <w:vAlign w:val="center"/>
          </w:tcPr>
          <w:p w14:paraId="29D74387" w14:textId="77777777" w:rsidR="008C1162" w:rsidRPr="0010006A" w:rsidRDefault="008C1162" w:rsidP="008C1162">
            <w:pPr>
              <w:jc w:val="right"/>
              <w:rPr>
                <w:rFonts w:ascii="Arial Narrow" w:hAnsi="Arial Narrow"/>
                <w:b/>
                <w:color w:val="FFFFFF"/>
                <w:sz w:val="18"/>
                <w:szCs w:val="18"/>
              </w:rPr>
            </w:pPr>
            <w:r>
              <w:rPr>
                <w:rFonts w:ascii="Arial Narrow" w:hAnsi="Arial Narrow"/>
                <w:b/>
                <w:color w:val="FFFFFF"/>
                <w:sz w:val="18"/>
                <w:szCs w:val="18"/>
                <w:lang w:eastAsia="en-US"/>
              </w:rPr>
              <w:t>417.351</w:t>
            </w:r>
          </w:p>
        </w:tc>
        <w:tc>
          <w:tcPr>
            <w:tcW w:w="992" w:type="dxa"/>
            <w:tcBorders>
              <w:bottom w:val="single" w:sz="4" w:space="0" w:color="auto"/>
            </w:tcBorders>
            <w:shd w:val="clear" w:color="auto" w:fill="00527F"/>
            <w:vAlign w:val="center"/>
          </w:tcPr>
          <w:p w14:paraId="424664C4" w14:textId="0BA3740C" w:rsidR="008C1162" w:rsidRPr="008C1162" w:rsidRDefault="008C1162" w:rsidP="008C1162">
            <w:pPr>
              <w:jc w:val="right"/>
              <w:rPr>
                <w:rFonts w:ascii="Arial Narrow" w:hAnsi="Arial Narrow"/>
                <w:b/>
                <w:color w:val="FFFFFF"/>
                <w:sz w:val="18"/>
                <w:szCs w:val="18"/>
                <w:lang w:eastAsia="en-US"/>
              </w:rPr>
            </w:pPr>
            <w:r w:rsidRPr="008C1162">
              <w:rPr>
                <w:rFonts w:ascii="Arial Narrow" w:hAnsi="Arial Narrow"/>
                <w:b/>
                <w:color w:val="FFFFFF"/>
                <w:sz w:val="18"/>
                <w:szCs w:val="18"/>
                <w:lang w:eastAsia="en-US"/>
              </w:rPr>
              <w:t>5.357.871</w:t>
            </w:r>
          </w:p>
        </w:tc>
      </w:tr>
    </w:tbl>
    <w:p w14:paraId="5841CFB4" w14:textId="77777777" w:rsidR="00E86C08" w:rsidRDefault="00174072" w:rsidP="00EE20E2">
      <w:pPr>
        <w:pStyle w:val="Paragrafoelenco"/>
        <w:numPr>
          <w:ilvl w:val="0"/>
          <w:numId w:val="8"/>
        </w:numPr>
        <w:tabs>
          <w:tab w:val="left" w:pos="0"/>
          <w:tab w:val="left" w:pos="142"/>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jc w:val="both"/>
        <w:rPr>
          <w:rFonts w:ascii="Arial Narrow" w:hAnsi="Arial Narrow"/>
          <w:sz w:val="15"/>
          <w:szCs w:val="15"/>
        </w:rPr>
      </w:pPr>
      <w:r w:rsidRPr="007125C7">
        <w:rPr>
          <w:rFonts w:ascii="Arial Narrow" w:hAnsi="Arial Narrow"/>
          <w:sz w:val="15"/>
          <w:szCs w:val="15"/>
        </w:rPr>
        <w:t xml:space="preserve">Fonte: Ministero dell'Interno - Servizio di Polizia Stradale; (b) Fonte: Comando generale Arma dei Carabinieri - Statistiche operative – Registro cronologico violazioni contestate; (c) </w:t>
      </w:r>
      <w:r w:rsidR="00545594" w:rsidRPr="007125C7">
        <w:rPr>
          <w:rFonts w:ascii="Arial Narrow" w:hAnsi="Arial Narrow"/>
          <w:sz w:val="15"/>
          <w:szCs w:val="15"/>
        </w:rPr>
        <w:tab/>
      </w:r>
      <w:r w:rsidRPr="007125C7">
        <w:rPr>
          <w:rFonts w:ascii="Arial Narrow" w:hAnsi="Arial Narrow"/>
          <w:sz w:val="15"/>
          <w:szCs w:val="15"/>
        </w:rPr>
        <w:t xml:space="preserve">Fonte: Rilevazione ACI presso i Comandi di Polizia locale dei Comuni capoluogo di </w:t>
      </w:r>
      <w:r w:rsidR="005C7FD8" w:rsidRPr="007125C7">
        <w:rPr>
          <w:rFonts w:ascii="Arial Narrow" w:hAnsi="Arial Narrow"/>
          <w:sz w:val="15"/>
          <w:szCs w:val="15"/>
        </w:rPr>
        <w:t>provincia (Capoluoghi al 1/1/202</w:t>
      </w:r>
      <w:r w:rsidR="00046B0C" w:rsidRPr="007125C7">
        <w:rPr>
          <w:rFonts w:ascii="Arial Narrow" w:hAnsi="Arial Narrow"/>
          <w:sz w:val="15"/>
          <w:szCs w:val="15"/>
        </w:rPr>
        <w:t>1</w:t>
      </w:r>
      <w:r w:rsidRPr="007125C7">
        <w:rPr>
          <w:rFonts w:ascii="Arial Narrow" w:hAnsi="Arial Narrow"/>
          <w:sz w:val="15"/>
          <w:szCs w:val="15"/>
        </w:rPr>
        <w:t>)</w:t>
      </w:r>
      <w:r w:rsidR="000D23CD" w:rsidRPr="007125C7">
        <w:rPr>
          <w:rFonts w:ascii="Arial Narrow" w:hAnsi="Arial Narrow"/>
          <w:sz w:val="15"/>
          <w:szCs w:val="15"/>
        </w:rPr>
        <w:t>, i dati della Polizia Locale di Roma Capitale sono stati stimati sulla base d</w:t>
      </w:r>
      <w:r w:rsidR="007125C7">
        <w:rPr>
          <w:rFonts w:ascii="Arial Narrow" w:hAnsi="Arial Narrow"/>
          <w:sz w:val="15"/>
          <w:szCs w:val="15"/>
        </w:rPr>
        <w:t>egli</w:t>
      </w:r>
      <w:r w:rsidR="000D23CD" w:rsidRPr="007125C7">
        <w:rPr>
          <w:rFonts w:ascii="Arial Narrow" w:hAnsi="Arial Narrow"/>
          <w:sz w:val="15"/>
          <w:szCs w:val="15"/>
        </w:rPr>
        <w:t xml:space="preserve"> anni precedenti, poiché i dati 2021 non pervenuti</w:t>
      </w:r>
      <w:r w:rsidRPr="007125C7">
        <w:rPr>
          <w:rFonts w:ascii="Arial Narrow" w:hAnsi="Arial Narrow"/>
          <w:sz w:val="15"/>
          <w:szCs w:val="15"/>
        </w:rPr>
        <w:t>.</w:t>
      </w:r>
      <w:r w:rsidR="00E86C08" w:rsidRPr="007125C7">
        <w:rPr>
          <w:rFonts w:ascii="Arial Narrow" w:hAnsi="Arial Narrow"/>
          <w:sz w:val="15"/>
          <w:szCs w:val="15"/>
        </w:rPr>
        <w:t xml:space="preserve"> </w:t>
      </w:r>
    </w:p>
    <w:p w14:paraId="1894E4E8" w14:textId="77777777" w:rsidR="008C5D3F" w:rsidRPr="007125C7" w:rsidRDefault="008C5D3F" w:rsidP="008C5D3F">
      <w:pPr>
        <w:pStyle w:val="Paragrafoelenco"/>
        <w:tabs>
          <w:tab w:val="left" w:pos="0"/>
          <w:tab w:val="left" w:pos="142"/>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both"/>
        <w:rPr>
          <w:rFonts w:ascii="Arial Narrow" w:hAnsi="Arial Narrow"/>
          <w:sz w:val="15"/>
          <w:szCs w:val="15"/>
        </w:rPr>
      </w:pPr>
    </w:p>
    <w:p w14:paraId="38CA6427" w14:textId="77777777" w:rsidR="00BE63B1" w:rsidRDefault="00BE63B1" w:rsidP="00BE63B1">
      <w:pPr>
        <w:rPr>
          <w:rFonts w:ascii="Arial Narrow" w:hAnsi="Arial Narrow"/>
          <w:sz w:val="15"/>
          <w:szCs w:val="15"/>
        </w:rPr>
      </w:pPr>
    </w:p>
    <w:p w14:paraId="4830A1D5" w14:textId="50A4FB62" w:rsidR="008C5D3F" w:rsidRDefault="00B869BD" w:rsidP="008C5D3F">
      <w:pPr>
        <w:widowControl w:val="0"/>
        <w:spacing w:after="120"/>
        <w:jc w:val="both"/>
        <w:rPr>
          <w:sz w:val="20"/>
        </w:rPr>
      </w:pPr>
      <w:r>
        <w:rPr>
          <w:sz w:val="20"/>
        </w:rPr>
        <w:t xml:space="preserve">Tra le altre, l’inosservanza della segnaletica orizzontale e semaforica rappresenta l’8% e risulta in crescita rispetto sia al 2020 che al 2019. In aumento anche le sanzioni per comportamento dei conducenti in caso di incidente (art.189). Diminuiscono invece sia le sanzioni per mancato uso delle cinture di sicurezza e dei sistemi di ritenuta per bambini, che rappresentano comunque il 2,7% del totale, sia quelle per mancato uso del casco. Rimane elevato il numero di sanzioni per uso improprio di dispositivi in auto, in particolare dello </w:t>
      </w:r>
      <w:r>
        <w:rPr>
          <w:i/>
          <w:sz w:val="20"/>
        </w:rPr>
        <w:t>smartphone</w:t>
      </w:r>
      <w:r>
        <w:rPr>
          <w:sz w:val="20"/>
        </w:rPr>
        <w:t xml:space="preserve">, pari al 96% di quelle elevate per art.173 del Codice della Strada. </w:t>
      </w:r>
      <w:r w:rsidR="008C5D3F">
        <w:rPr>
          <w:sz w:val="20"/>
        </w:rPr>
        <w:t>Alla maggiore diffusione dell’uso di biciclette corrisponde un aumento delle contravvenzioni per il comportamento dei ciclisti, soprattutto nei centri urbani. Le contravvenzioni, elevate per lo più dalla Polizia Municipale (68%), sono aumentate del 29% se confrontate con il 2020 e del 50% rispetto al 2019.</w:t>
      </w:r>
    </w:p>
    <w:p w14:paraId="0CBD346F" w14:textId="77777777" w:rsidR="008C5D3F" w:rsidRDefault="008C5D3F" w:rsidP="008C5D3F">
      <w:pPr>
        <w:widowControl w:val="0"/>
        <w:spacing w:after="120"/>
        <w:jc w:val="both"/>
        <w:rPr>
          <w:iCs/>
          <w:sz w:val="20"/>
        </w:rPr>
      </w:pPr>
      <w:r>
        <w:rPr>
          <w:sz w:val="20"/>
        </w:rPr>
        <w:t>Quanto alle sanzioni legate ai monopattini elettrici (inclusi tra i veicoli in circolazione dalla legge di conversione del decreto legge 121 del 2021), sono più di 300 quelle elevate dai corpi di Polizia Municipale dei Comuni di Bari, Palermo, Torino, Milano; seguono Padova, Pescara, Brescia e Monza con più di 100</w:t>
      </w:r>
      <w:r>
        <w:rPr>
          <w:rStyle w:val="Rimandonotaapidipagina"/>
          <w:sz w:val="20"/>
        </w:rPr>
        <w:footnoteReference w:id="13"/>
      </w:r>
      <w:r>
        <w:rPr>
          <w:sz w:val="20"/>
        </w:rPr>
        <w:t xml:space="preserve">. </w:t>
      </w:r>
      <w:r>
        <w:rPr>
          <w:iCs/>
          <w:sz w:val="20"/>
        </w:rPr>
        <w:t>Nel complesso nei Comuni capoluogo (esclusa Roma Capitale) sono state elevate 3.636 sanzioni a conducenti di monopattini.</w:t>
      </w:r>
    </w:p>
    <w:p w14:paraId="519147D0" w14:textId="77777777" w:rsidR="008C5D3F" w:rsidRDefault="008C5D3F" w:rsidP="008C5D3F">
      <w:pPr>
        <w:widowControl w:val="0"/>
        <w:spacing w:after="120"/>
        <w:jc w:val="both"/>
        <w:rPr>
          <w:sz w:val="20"/>
        </w:rPr>
      </w:pPr>
      <w:r>
        <w:rPr>
          <w:sz w:val="20"/>
        </w:rPr>
        <w:t>Per quanto riguarda il trasporto delle merci, rispetto al 2020 e al 2019 sono in aumento le sanzioni per mancato rispetto dei tempi di guida e di riposo dei conducenti dei veicoli pesanti e per alterazione o manomissione del cronotachigrafo.</w:t>
      </w:r>
    </w:p>
    <w:p w14:paraId="054EE9EA" w14:textId="4D7CC6F6" w:rsidR="008A388C" w:rsidRDefault="008C5D3F" w:rsidP="008C5D3F">
      <w:pPr>
        <w:jc w:val="both"/>
        <w:rPr>
          <w:sz w:val="20"/>
        </w:rPr>
      </w:pPr>
      <w:r>
        <w:rPr>
          <w:sz w:val="20"/>
        </w:rPr>
        <w:t xml:space="preserve">Per la guida in stato di ebbrezza o sotto l’effetto di sostanze stupefacenti, </w:t>
      </w:r>
      <w:r w:rsidRPr="007C1720">
        <w:rPr>
          <w:sz w:val="20"/>
        </w:rPr>
        <w:t>secondo i controlli effettuati dalle Polizie Municipali la percentuale di conducenti con stato alterato a causa di uso di droghe è risultata pari all’8,9% (17,3% nel 2020 e 6,9% nel 2019) mentre i positivi all’etilometro sono risultati il 7,3% (8,3% nel 2020 e 7,4% nel 2019). Si rilevano infine aumenti delle sanzioni pari al 19,8% e al 12% rispetto al 2020. Va però ricordato che fino al 20 giugno 2021 è stato in vigore il coprifuoco dalle 22 alle 5 del mattino.</w:t>
      </w:r>
    </w:p>
    <w:p w14:paraId="0BE11A86" w14:textId="77777777" w:rsidR="008C5D3F" w:rsidRDefault="008C5D3F" w:rsidP="008C5D3F">
      <w:pPr>
        <w:rPr>
          <w:sz w:val="20"/>
        </w:rPr>
      </w:pPr>
    </w:p>
    <w:p w14:paraId="55C34C10" w14:textId="77777777" w:rsidR="008C5D3F" w:rsidRDefault="008C5D3F" w:rsidP="008C5D3F">
      <w:pPr>
        <w:rPr>
          <w:b/>
          <w:sz w:val="22"/>
          <w:szCs w:val="22"/>
        </w:rPr>
      </w:pPr>
    </w:p>
    <w:p w14:paraId="4770F91F" w14:textId="0FC3B262" w:rsidR="00011135" w:rsidRPr="003C0F68" w:rsidRDefault="00011135" w:rsidP="00011135">
      <w:pPr>
        <w:spacing w:after="120"/>
        <w:rPr>
          <w:b/>
          <w:sz w:val="22"/>
          <w:szCs w:val="22"/>
        </w:rPr>
      </w:pPr>
      <w:r w:rsidRPr="003C0F68">
        <w:rPr>
          <w:b/>
          <w:sz w:val="22"/>
          <w:szCs w:val="22"/>
        </w:rPr>
        <w:t>Tasso di mortalità stradale</w:t>
      </w:r>
      <w:r>
        <w:rPr>
          <w:b/>
          <w:sz w:val="22"/>
          <w:szCs w:val="22"/>
        </w:rPr>
        <w:t xml:space="preserve">: </w:t>
      </w:r>
      <w:r w:rsidRPr="003C0F68">
        <w:rPr>
          <w:b/>
          <w:sz w:val="22"/>
          <w:szCs w:val="22"/>
        </w:rPr>
        <w:t>sopra la media nazionale</w:t>
      </w:r>
      <w:r>
        <w:rPr>
          <w:b/>
          <w:sz w:val="22"/>
          <w:szCs w:val="22"/>
        </w:rPr>
        <w:t xml:space="preserve"> in 1</w:t>
      </w:r>
      <w:r w:rsidR="006E0E38">
        <w:rPr>
          <w:b/>
          <w:sz w:val="22"/>
          <w:szCs w:val="22"/>
        </w:rPr>
        <w:t>2</w:t>
      </w:r>
      <w:r>
        <w:rPr>
          <w:b/>
          <w:sz w:val="22"/>
          <w:szCs w:val="22"/>
        </w:rPr>
        <w:t xml:space="preserve"> regioni</w:t>
      </w:r>
    </w:p>
    <w:p w14:paraId="5411E2A4" w14:textId="2D6F442C" w:rsidR="00011135" w:rsidRDefault="00011135" w:rsidP="006A18D3">
      <w:pPr>
        <w:widowControl w:val="0"/>
        <w:jc w:val="both"/>
        <w:rPr>
          <w:sz w:val="20"/>
        </w:rPr>
      </w:pPr>
      <w:r>
        <w:rPr>
          <w:sz w:val="20"/>
        </w:rPr>
        <w:t>N</w:t>
      </w:r>
      <w:r w:rsidR="006E0E38">
        <w:rPr>
          <w:sz w:val="20"/>
        </w:rPr>
        <w:t>el 2021</w:t>
      </w:r>
      <w:r>
        <w:rPr>
          <w:sz w:val="20"/>
        </w:rPr>
        <w:t>,</w:t>
      </w:r>
      <w:r w:rsidRPr="000C740B">
        <w:rPr>
          <w:sz w:val="20"/>
        </w:rPr>
        <w:t xml:space="preserve"> il numero di</w:t>
      </w:r>
      <w:r>
        <w:rPr>
          <w:sz w:val="20"/>
        </w:rPr>
        <w:t xml:space="preserve"> morti per 100mila abitanti</w:t>
      </w:r>
      <w:r w:rsidRPr="000C740B">
        <w:rPr>
          <w:sz w:val="20"/>
        </w:rPr>
        <w:t xml:space="preserve"> </w:t>
      </w:r>
      <w:r>
        <w:rPr>
          <w:sz w:val="20"/>
        </w:rPr>
        <w:t xml:space="preserve">risulta </w:t>
      </w:r>
      <w:r w:rsidRPr="000C740B">
        <w:rPr>
          <w:sz w:val="20"/>
        </w:rPr>
        <w:t>più el</w:t>
      </w:r>
      <w:r w:rsidR="006E0E38">
        <w:rPr>
          <w:sz w:val="20"/>
        </w:rPr>
        <w:t>evato della media nazionale (4,9</w:t>
      </w:r>
      <w:r w:rsidRPr="000C740B">
        <w:rPr>
          <w:sz w:val="20"/>
        </w:rPr>
        <w:t xml:space="preserve">) in </w:t>
      </w:r>
      <w:r>
        <w:rPr>
          <w:sz w:val="20"/>
        </w:rPr>
        <w:t xml:space="preserve">ben </w:t>
      </w:r>
      <w:r w:rsidRPr="000C740B">
        <w:rPr>
          <w:sz w:val="20"/>
        </w:rPr>
        <w:t>1</w:t>
      </w:r>
      <w:r w:rsidR="006E0E38">
        <w:rPr>
          <w:sz w:val="20"/>
        </w:rPr>
        <w:t>2 regioni</w:t>
      </w:r>
      <w:r w:rsidR="00AE1A61">
        <w:rPr>
          <w:sz w:val="20"/>
        </w:rPr>
        <w:t>,</w:t>
      </w:r>
      <w:r w:rsidR="006E0E38">
        <w:rPr>
          <w:sz w:val="20"/>
        </w:rPr>
        <w:t xml:space="preserve"> da 6,8</w:t>
      </w:r>
      <w:r w:rsidRPr="000C740B">
        <w:rPr>
          <w:sz w:val="20"/>
        </w:rPr>
        <w:t xml:space="preserve"> del </w:t>
      </w:r>
      <w:r w:rsidR="006E0E38">
        <w:rPr>
          <w:sz w:val="20"/>
        </w:rPr>
        <w:t>Friuli Venezia Giulia</w:t>
      </w:r>
      <w:r w:rsidRPr="000C740B">
        <w:rPr>
          <w:sz w:val="20"/>
        </w:rPr>
        <w:t xml:space="preserve"> a </w:t>
      </w:r>
      <w:r w:rsidR="006E0E38">
        <w:rPr>
          <w:sz w:val="20"/>
        </w:rPr>
        <w:t>5,0</w:t>
      </w:r>
      <w:r w:rsidRPr="000C740B">
        <w:rPr>
          <w:sz w:val="20"/>
        </w:rPr>
        <w:t xml:space="preserve"> d</w:t>
      </w:r>
      <w:r w:rsidR="006E0E38">
        <w:rPr>
          <w:sz w:val="20"/>
        </w:rPr>
        <w:t>el Lazio</w:t>
      </w:r>
      <w:r>
        <w:rPr>
          <w:sz w:val="20"/>
        </w:rPr>
        <w:t xml:space="preserve">. </w:t>
      </w:r>
      <w:r w:rsidR="00334390">
        <w:rPr>
          <w:sz w:val="20"/>
        </w:rPr>
        <w:t>Tuttavia, in linea con la strategia</w:t>
      </w:r>
      <w:r w:rsidR="00EF329A">
        <w:rPr>
          <w:sz w:val="20"/>
        </w:rPr>
        <w:t xml:space="preserve"> per la sicurezza stradale</w:t>
      </w:r>
      <w:r w:rsidR="00334390">
        <w:rPr>
          <w:sz w:val="20"/>
        </w:rPr>
        <w:t xml:space="preserve"> che</w:t>
      </w:r>
      <w:r w:rsidR="00EF329A">
        <w:rPr>
          <w:sz w:val="20"/>
        </w:rPr>
        <w:t xml:space="preserve"> pone come obiettivo il dimezzamento delle vittime entro il 2030, </w:t>
      </w:r>
      <w:r w:rsidR="00334390">
        <w:rPr>
          <w:sz w:val="20"/>
        </w:rPr>
        <w:t>il tasso di mortalità è sceso più della media nazionale nelle</w:t>
      </w:r>
      <w:r w:rsidR="006A18D3">
        <w:rPr>
          <w:sz w:val="20"/>
        </w:rPr>
        <w:t xml:space="preserve"> </w:t>
      </w:r>
      <w:r w:rsidR="006A18D3" w:rsidRPr="00EF329A">
        <w:rPr>
          <w:sz w:val="20"/>
        </w:rPr>
        <w:t xml:space="preserve">Marche, </w:t>
      </w:r>
      <w:r w:rsidR="00334390">
        <w:rPr>
          <w:sz w:val="20"/>
        </w:rPr>
        <w:t xml:space="preserve">in </w:t>
      </w:r>
      <w:r w:rsidR="006A18D3" w:rsidRPr="00EF329A">
        <w:rPr>
          <w:sz w:val="20"/>
        </w:rPr>
        <w:t>Veneto, Piemonte, Calabria Lombardia, Emilia-Romagna, Molise, Bolzano</w:t>
      </w:r>
      <w:r w:rsidR="006A18D3">
        <w:rPr>
          <w:sz w:val="20"/>
        </w:rPr>
        <w:t xml:space="preserve"> e</w:t>
      </w:r>
      <w:r w:rsidR="006A18D3" w:rsidRPr="00EF329A">
        <w:rPr>
          <w:sz w:val="20"/>
        </w:rPr>
        <w:t xml:space="preserve"> Valle d'Aosta</w:t>
      </w:r>
      <w:r w:rsidR="006A18D3">
        <w:rPr>
          <w:sz w:val="20"/>
        </w:rPr>
        <w:t xml:space="preserve"> </w:t>
      </w:r>
      <w:r w:rsidRPr="00E43A83">
        <w:rPr>
          <w:sz w:val="20"/>
        </w:rPr>
        <w:t xml:space="preserve">(Prospetto </w:t>
      </w:r>
      <w:r w:rsidR="00724E95">
        <w:rPr>
          <w:sz w:val="20"/>
        </w:rPr>
        <w:t>7</w:t>
      </w:r>
      <w:r w:rsidRPr="00E43A83">
        <w:rPr>
          <w:sz w:val="20"/>
        </w:rPr>
        <w:t>).</w:t>
      </w:r>
      <w:r>
        <w:rPr>
          <w:sz w:val="20"/>
        </w:rPr>
        <w:t xml:space="preserve"> </w:t>
      </w:r>
    </w:p>
    <w:p w14:paraId="428460A0" w14:textId="77777777" w:rsidR="008A388C" w:rsidRDefault="008A388C" w:rsidP="008127F7">
      <w:pPr>
        <w:widowControl w:val="0"/>
        <w:spacing w:after="120"/>
        <w:jc w:val="both"/>
        <w:rPr>
          <w:rFonts w:ascii="Arial Narrow" w:hAnsi="Arial Narrow"/>
          <w:b/>
          <w:caps/>
          <w:color w:val="808080"/>
          <w:sz w:val="20"/>
        </w:rPr>
      </w:pPr>
      <w:bookmarkStart w:id="5" w:name="OLE_LINK19"/>
    </w:p>
    <w:p w14:paraId="740F08F2" w14:textId="4921F816" w:rsidR="00011135" w:rsidRDefault="00724E95" w:rsidP="008127F7">
      <w:pPr>
        <w:widowControl w:val="0"/>
        <w:spacing w:after="120"/>
        <w:jc w:val="both"/>
        <w:rPr>
          <w:rFonts w:ascii="Arial Narrow" w:hAnsi="Arial Narrow"/>
          <w:b/>
          <w:sz w:val="8"/>
          <w:szCs w:val="8"/>
        </w:rPr>
      </w:pPr>
      <w:r>
        <w:rPr>
          <w:rFonts w:ascii="Arial Narrow" w:hAnsi="Arial Narrow"/>
          <w:b/>
          <w:caps/>
          <w:color w:val="808080"/>
          <w:sz w:val="20"/>
        </w:rPr>
        <w:t>pRospetto 7</w:t>
      </w:r>
      <w:r w:rsidR="00011135" w:rsidRPr="003A4291">
        <w:rPr>
          <w:rFonts w:ascii="Arial Narrow" w:hAnsi="Arial Narrow"/>
          <w:b/>
          <w:caps/>
          <w:color w:val="808080"/>
          <w:sz w:val="20"/>
        </w:rPr>
        <w:t>. Morti in incidenti stradali nelle regioni italiane.</w:t>
      </w:r>
      <w:r w:rsidR="00011135" w:rsidRPr="003A4291">
        <w:rPr>
          <w:rFonts w:ascii="Arial Narrow" w:hAnsi="Arial Narrow"/>
          <w:b/>
          <w:caps/>
          <w:color w:val="808080"/>
          <w:w w:val="90"/>
          <w:sz w:val="20"/>
        </w:rPr>
        <w:t xml:space="preserve"> </w:t>
      </w:r>
      <w:r w:rsidR="00B70BA7">
        <w:rPr>
          <w:rFonts w:ascii="Arial Narrow" w:hAnsi="Arial Narrow"/>
          <w:sz w:val="19"/>
          <w:szCs w:val="19"/>
        </w:rPr>
        <w:t xml:space="preserve">Anni </w:t>
      </w:r>
      <w:r w:rsidR="00011135" w:rsidRPr="003A4291">
        <w:rPr>
          <w:rFonts w:ascii="Arial Narrow" w:hAnsi="Arial Narrow"/>
          <w:sz w:val="19"/>
          <w:szCs w:val="19"/>
        </w:rPr>
        <w:t>2019</w:t>
      </w:r>
      <w:r w:rsidR="00B70BA7">
        <w:rPr>
          <w:rFonts w:ascii="Arial Narrow" w:hAnsi="Arial Narrow"/>
          <w:sz w:val="19"/>
          <w:szCs w:val="19"/>
        </w:rPr>
        <w:t>, 2020</w:t>
      </w:r>
      <w:r w:rsidR="00011135" w:rsidRPr="003A4291">
        <w:rPr>
          <w:rFonts w:ascii="Arial Narrow" w:hAnsi="Arial Narrow"/>
          <w:sz w:val="19"/>
          <w:szCs w:val="19"/>
        </w:rPr>
        <w:t xml:space="preserve"> e 202</w:t>
      </w:r>
      <w:r w:rsidR="00B70BA7">
        <w:rPr>
          <w:rFonts w:ascii="Arial Narrow" w:hAnsi="Arial Narrow"/>
          <w:sz w:val="19"/>
          <w:szCs w:val="19"/>
        </w:rPr>
        <w:t>1 (valori assoluti, percentuali, tassi)</w:t>
      </w:r>
    </w:p>
    <w:tbl>
      <w:tblPr>
        <w:tblW w:w="9923" w:type="dxa"/>
        <w:tblLayout w:type="fixed"/>
        <w:tblCellMar>
          <w:left w:w="70" w:type="dxa"/>
          <w:right w:w="70" w:type="dxa"/>
        </w:tblCellMar>
        <w:tblLook w:val="04A0" w:firstRow="1" w:lastRow="0" w:firstColumn="1" w:lastColumn="0" w:noHBand="0" w:noVBand="1"/>
      </w:tblPr>
      <w:tblGrid>
        <w:gridCol w:w="2055"/>
        <w:gridCol w:w="874"/>
        <w:gridCol w:w="874"/>
        <w:gridCol w:w="875"/>
        <w:gridCol w:w="1311"/>
        <w:gridCol w:w="1311"/>
        <w:gridCol w:w="1311"/>
        <w:gridCol w:w="1312"/>
      </w:tblGrid>
      <w:tr w:rsidR="00FA3CE9" w:rsidRPr="002837C3" w14:paraId="7C3A25E7" w14:textId="77777777" w:rsidTr="006852FB">
        <w:trPr>
          <w:trHeight w:hRule="exact" w:val="439"/>
        </w:trPr>
        <w:tc>
          <w:tcPr>
            <w:tcW w:w="2055" w:type="dxa"/>
            <w:vMerge w:val="restart"/>
            <w:tcBorders>
              <w:top w:val="single" w:sz="4" w:space="0" w:color="auto"/>
              <w:left w:val="nil"/>
              <w:bottom w:val="single" w:sz="4" w:space="0" w:color="000000"/>
              <w:right w:val="nil"/>
            </w:tcBorders>
            <w:shd w:val="clear" w:color="auto" w:fill="auto"/>
            <w:vAlign w:val="center"/>
            <w:hideMark/>
          </w:tcPr>
          <w:p w14:paraId="7FD723DF" w14:textId="77777777" w:rsidR="00FA3CE9" w:rsidRDefault="00FA3CE9" w:rsidP="00B20C7D">
            <w:pPr>
              <w:rPr>
                <w:rFonts w:ascii="Arial Narrow" w:hAnsi="Arial Narrow"/>
                <w:b/>
                <w:sz w:val="18"/>
                <w:szCs w:val="18"/>
              </w:rPr>
            </w:pPr>
            <w:bookmarkStart w:id="6" w:name="OLE_LINK4"/>
          </w:p>
          <w:p w14:paraId="7B881ADE" w14:textId="77777777" w:rsidR="00FA3CE9" w:rsidRPr="00DF7442" w:rsidRDefault="00FA3CE9" w:rsidP="00B20C7D">
            <w:pPr>
              <w:rPr>
                <w:rFonts w:ascii="Arial Narrow" w:hAnsi="Arial Narrow"/>
                <w:b/>
                <w:sz w:val="18"/>
                <w:szCs w:val="18"/>
              </w:rPr>
            </w:pPr>
            <w:r w:rsidRPr="00DF7442">
              <w:rPr>
                <w:rFonts w:ascii="Arial Narrow" w:hAnsi="Arial Narrow"/>
                <w:b/>
                <w:sz w:val="18"/>
                <w:szCs w:val="18"/>
              </w:rPr>
              <w:t>REGIONE DI EVENTO</w:t>
            </w:r>
          </w:p>
        </w:tc>
        <w:tc>
          <w:tcPr>
            <w:tcW w:w="2623" w:type="dxa"/>
            <w:gridSpan w:val="3"/>
            <w:tcBorders>
              <w:top w:val="single" w:sz="4" w:space="0" w:color="auto"/>
              <w:left w:val="nil"/>
              <w:bottom w:val="single" w:sz="4" w:space="0" w:color="auto"/>
            </w:tcBorders>
            <w:shd w:val="clear" w:color="auto" w:fill="D9D9D9" w:themeFill="background1" w:themeFillShade="D9"/>
            <w:vAlign w:val="center"/>
            <w:hideMark/>
          </w:tcPr>
          <w:p w14:paraId="2F7BB667" w14:textId="77777777" w:rsidR="00FA3CE9" w:rsidRPr="00DF7442" w:rsidRDefault="00FA3CE9" w:rsidP="00B20C7D">
            <w:pPr>
              <w:jc w:val="center"/>
              <w:rPr>
                <w:rFonts w:ascii="Arial Narrow" w:hAnsi="Arial Narrow"/>
                <w:i/>
                <w:sz w:val="18"/>
                <w:szCs w:val="18"/>
              </w:rPr>
            </w:pPr>
            <w:r w:rsidRPr="00DF7442">
              <w:rPr>
                <w:rFonts w:ascii="Arial Narrow" w:hAnsi="Arial Narrow"/>
                <w:b/>
                <w:sz w:val="18"/>
                <w:szCs w:val="18"/>
              </w:rPr>
              <w:t xml:space="preserve">Morti </w:t>
            </w:r>
            <w:r w:rsidRPr="00DF7442">
              <w:rPr>
                <w:rFonts w:ascii="Arial Narrow" w:hAnsi="Arial Narrow"/>
                <w:sz w:val="18"/>
                <w:szCs w:val="18"/>
              </w:rPr>
              <w:t>(Valori assoluti)</w:t>
            </w:r>
          </w:p>
        </w:tc>
        <w:tc>
          <w:tcPr>
            <w:tcW w:w="1311" w:type="dxa"/>
            <w:vMerge w:val="restart"/>
            <w:tcBorders>
              <w:top w:val="single" w:sz="4" w:space="0" w:color="auto"/>
            </w:tcBorders>
            <w:shd w:val="clear" w:color="auto" w:fill="auto"/>
            <w:vAlign w:val="center"/>
          </w:tcPr>
          <w:p w14:paraId="38115BB8" w14:textId="77777777" w:rsidR="00FA3CE9" w:rsidRPr="00DF7442" w:rsidRDefault="00FA3CE9" w:rsidP="00B20C7D">
            <w:pPr>
              <w:jc w:val="center"/>
              <w:rPr>
                <w:rFonts w:ascii="Arial Narrow" w:hAnsi="Arial Narrow" w:cs="Times New Roman"/>
                <w:b/>
                <w:bCs/>
                <w:sz w:val="18"/>
                <w:szCs w:val="18"/>
              </w:rPr>
            </w:pPr>
            <w:r>
              <w:rPr>
                <w:rFonts w:ascii="Arial Narrow" w:hAnsi="Arial Narrow"/>
                <w:b/>
                <w:sz w:val="18"/>
                <w:szCs w:val="18"/>
              </w:rPr>
              <w:t>Var. % 2021/202</w:t>
            </w:r>
            <w:r w:rsidRPr="00DF7442">
              <w:rPr>
                <w:rFonts w:ascii="Arial Narrow" w:hAnsi="Arial Narrow"/>
                <w:b/>
                <w:sz w:val="18"/>
                <w:szCs w:val="18"/>
              </w:rPr>
              <w:t>0</w:t>
            </w:r>
            <w:r w:rsidRPr="00DF7442">
              <w:rPr>
                <w:rFonts w:ascii="Arial Narrow" w:hAnsi="Arial Narrow"/>
                <w:i/>
                <w:iCs/>
                <w:sz w:val="18"/>
                <w:szCs w:val="18"/>
              </w:rPr>
              <w:t xml:space="preserve"> </w:t>
            </w:r>
            <w:r w:rsidRPr="00DF7442">
              <w:rPr>
                <w:rFonts w:ascii="Arial Narrow" w:hAnsi="Arial Narrow"/>
                <w:iCs/>
                <w:sz w:val="18"/>
                <w:szCs w:val="18"/>
              </w:rPr>
              <w:t>(a)</w:t>
            </w:r>
          </w:p>
        </w:tc>
        <w:tc>
          <w:tcPr>
            <w:tcW w:w="1311" w:type="dxa"/>
            <w:vMerge w:val="restart"/>
            <w:tcBorders>
              <w:top w:val="single" w:sz="4" w:space="0" w:color="auto"/>
            </w:tcBorders>
            <w:vAlign w:val="center"/>
          </w:tcPr>
          <w:p w14:paraId="0CF87491" w14:textId="77777777" w:rsidR="00FA3CE9" w:rsidRPr="00DF7442" w:rsidRDefault="00FA3CE9" w:rsidP="007F2D5C">
            <w:pPr>
              <w:jc w:val="center"/>
              <w:rPr>
                <w:rFonts w:ascii="Arial Narrow" w:hAnsi="Arial Narrow" w:cs="Times New Roman"/>
                <w:b/>
                <w:bCs/>
                <w:sz w:val="18"/>
                <w:szCs w:val="18"/>
              </w:rPr>
            </w:pPr>
            <w:r>
              <w:rPr>
                <w:rFonts w:ascii="Arial Narrow" w:hAnsi="Arial Narrow"/>
                <w:b/>
                <w:sz w:val="18"/>
                <w:szCs w:val="18"/>
              </w:rPr>
              <w:t>Var. % 2021/20</w:t>
            </w:r>
            <w:r w:rsidR="007F2D5C">
              <w:rPr>
                <w:rFonts w:ascii="Arial Narrow" w:hAnsi="Arial Narrow"/>
                <w:b/>
                <w:sz w:val="18"/>
                <w:szCs w:val="18"/>
              </w:rPr>
              <w:t>19</w:t>
            </w:r>
            <w:r w:rsidRPr="00DF7442">
              <w:rPr>
                <w:rFonts w:ascii="Arial Narrow" w:hAnsi="Arial Narrow"/>
                <w:i/>
                <w:iCs/>
                <w:sz w:val="18"/>
                <w:szCs w:val="18"/>
              </w:rPr>
              <w:t xml:space="preserve"> </w:t>
            </w:r>
            <w:r w:rsidRPr="00DF7442">
              <w:rPr>
                <w:rFonts w:ascii="Arial Narrow" w:hAnsi="Arial Narrow"/>
                <w:iCs/>
                <w:sz w:val="18"/>
                <w:szCs w:val="18"/>
              </w:rPr>
              <w:t>(a)</w:t>
            </w:r>
          </w:p>
        </w:tc>
        <w:tc>
          <w:tcPr>
            <w:tcW w:w="1311" w:type="dxa"/>
            <w:vMerge w:val="restart"/>
            <w:tcBorders>
              <w:top w:val="single" w:sz="4" w:space="0" w:color="auto"/>
            </w:tcBorders>
            <w:vAlign w:val="center"/>
          </w:tcPr>
          <w:p w14:paraId="329CA688" w14:textId="77777777" w:rsidR="00FA3CE9" w:rsidRPr="00DF7442" w:rsidRDefault="00FA3CE9" w:rsidP="00FA3CE9">
            <w:pPr>
              <w:jc w:val="center"/>
              <w:rPr>
                <w:rFonts w:ascii="Arial Narrow" w:hAnsi="Arial Narrow" w:cs="Times New Roman"/>
                <w:b/>
                <w:bCs/>
                <w:sz w:val="18"/>
                <w:szCs w:val="18"/>
              </w:rPr>
            </w:pPr>
            <w:r w:rsidRPr="00DF7442">
              <w:rPr>
                <w:rFonts w:ascii="Arial Narrow" w:hAnsi="Arial Narrow" w:cs="Times New Roman"/>
                <w:b/>
                <w:bCs/>
                <w:sz w:val="18"/>
                <w:szCs w:val="18"/>
              </w:rPr>
              <w:t xml:space="preserve">Tasso mortalità </w:t>
            </w:r>
          </w:p>
          <w:p w14:paraId="3EAD90AA" w14:textId="77777777" w:rsidR="00FA3CE9" w:rsidRPr="00DF7442" w:rsidRDefault="00FA3CE9" w:rsidP="00FA3CE9">
            <w:pPr>
              <w:jc w:val="center"/>
              <w:rPr>
                <w:rFonts w:ascii="Arial Narrow" w:hAnsi="Arial Narrow"/>
                <w:b/>
                <w:sz w:val="18"/>
                <w:szCs w:val="18"/>
              </w:rPr>
            </w:pPr>
            <w:r>
              <w:rPr>
                <w:rFonts w:ascii="Arial Narrow" w:hAnsi="Arial Narrow" w:cs="Times New Roman"/>
                <w:b/>
                <w:bCs/>
                <w:sz w:val="18"/>
                <w:szCs w:val="18"/>
              </w:rPr>
              <w:t>2021</w:t>
            </w:r>
            <w:r w:rsidRPr="00DF7442">
              <w:rPr>
                <w:rFonts w:ascii="Arial Narrow" w:hAnsi="Arial Narrow" w:cs="Times New Roman"/>
                <w:b/>
                <w:bCs/>
                <w:sz w:val="18"/>
                <w:szCs w:val="18"/>
              </w:rPr>
              <w:t xml:space="preserve"> </w:t>
            </w:r>
            <w:r w:rsidRPr="00DF7442">
              <w:rPr>
                <w:rFonts w:ascii="Arial Narrow" w:hAnsi="Arial Narrow" w:cs="Times New Roman"/>
                <w:bCs/>
                <w:sz w:val="18"/>
                <w:szCs w:val="18"/>
              </w:rPr>
              <w:t>(b)</w:t>
            </w:r>
          </w:p>
        </w:tc>
        <w:tc>
          <w:tcPr>
            <w:tcW w:w="1312" w:type="dxa"/>
            <w:vMerge w:val="restart"/>
            <w:tcBorders>
              <w:top w:val="single" w:sz="4" w:space="0" w:color="auto"/>
            </w:tcBorders>
            <w:vAlign w:val="center"/>
          </w:tcPr>
          <w:p w14:paraId="23939AC2" w14:textId="77777777" w:rsidR="00FA3CE9" w:rsidRPr="00DF7442" w:rsidRDefault="00FA3CE9" w:rsidP="00FA3CE9">
            <w:pPr>
              <w:jc w:val="center"/>
              <w:rPr>
                <w:rFonts w:ascii="Arial Narrow" w:hAnsi="Arial Narrow" w:cs="Times New Roman"/>
                <w:b/>
                <w:bCs/>
                <w:sz w:val="18"/>
                <w:szCs w:val="18"/>
              </w:rPr>
            </w:pPr>
            <w:r w:rsidRPr="00DF7442">
              <w:rPr>
                <w:rFonts w:ascii="Arial Narrow" w:hAnsi="Arial Narrow" w:cs="Times New Roman"/>
                <w:b/>
                <w:bCs/>
                <w:sz w:val="18"/>
                <w:szCs w:val="18"/>
              </w:rPr>
              <w:t>Tasso mortalità</w:t>
            </w:r>
          </w:p>
          <w:p w14:paraId="70A4C583" w14:textId="77777777" w:rsidR="00FA3CE9" w:rsidRPr="00DF7442" w:rsidRDefault="00FA3CE9" w:rsidP="00FA3CE9">
            <w:pPr>
              <w:jc w:val="center"/>
              <w:rPr>
                <w:rFonts w:ascii="Arial Narrow" w:hAnsi="Arial Narrow" w:cs="Times New Roman"/>
                <w:b/>
                <w:bCs/>
                <w:sz w:val="18"/>
                <w:szCs w:val="18"/>
              </w:rPr>
            </w:pPr>
            <w:r w:rsidRPr="00DF7442">
              <w:rPr>
                <w:rFonts w:ascii="Arial Narrow" w:hAnsi="Arial Narrow" w:cs="Times New Roman"/>
                <w:b/>
                <w:bCs/>
                <w:sz w:val="18"/>
                <w:szCs w:val="18"/>
              </w:rPr>
              <w:t xml:space="preserve">2020 </w:t>
            </w:r>
            <w:r w:rsidRPr="00DF7442">
              <w:rPr>
                <w:rFonts w:ascii="Arial Narrow" w:hAnsi="Arial Narrow" w:cs="Times New Roman"/>
                <w:bCs/>
                <w:sz w:val="18"/>
                <w:szCs w:val="18"/>
              </w:rPr>
              <w:t>(b)</w:t>
            </w:r>
          </w:p>
        </w:tc>
      </w:tr>
      <w:tr w:rsidR="00FA3CE9" w:rsidRPr="002837C3" w14:paraId="2A69DAC0" w14:textId="77777777" w:rsidTr="00AD5162">
        <w:trPr>
          <w:trHeight w:hRule="exact" w:val="289"/>
        </w:trPr>
        <w:tc>
          <w:tcPr>
            <w:tcW w:w="2055" w:type="dxa"/>
            <w:vMerge/>
            <w:tcBorders>
              <w:top w:val="single" w:sz="4" w:space="0" w:color="auto"/>
              <w:left w:val="nil"/>
              <w:bottom w:val="single" w:sz="4" w:space="0" w:color="auto"/>
              <w:right w:val="nil"/>
            </w:tcBorders>
            <w:vAlign w:val="center"/>
            <w:hideMark/>
          </w:tcPr>
          <w:p w14:paraId="5DCCFDBC" w14:textId="77777777" w:rsidR="00FA3CE9" w:rsidRPr="00DF7442" w:rsidRDefault="00FA3CE9" w:rsidP="00FA3CE9">
            <w:pPr>
              <w:spacing w:before="40" w:after="20"/>
              <w:rPr>
                <w:rFonts w:ascii="Arial Narrow" w:hAnsi="Arial Narrow"/>
                <w:sz w:val="18"/>
                <w:szCs w:val="18"/>
              </w:rPr>
            </w:pPr>
          </w:p>
        </w:tc>
        <w:tc>
          <w:tcPr>
            <w:tcW w:w="874" w:type="dxa"/>
            <w:tcBorders>
              <w:top w:val="nil"/>
              <w:left w:val="nil"/>
              <w:bottom w:val="single" w:sz="4" w:space="0" w:color="auto"/>
              <w:right w:val="nil"/>
            </w:tcBorders>
            <w:shd w:val="clear" w:color="auto" w:fill="auto"/>
            <w:noWrap/>
            <w:hideMark/>
          </w:tcPr>
          <w:p w14:paraId="1C2F0804" w14:textId="77777777" w:rsidR="00FA3CE9" w:rsidRPr="00DF7442" w:rsidRDefault="00FA3CE9" w:rsidP="00FA3CE9">
            <w:pPr>
              <w:spacing w:before="40" w:after="20"/>
              <w:jc w:val="center"/>
              <w:rPr>
                <w:rFonts w:ascii="Arial Narrow" w:hAnsi="Arial Narrow"/>
                <w:b/>
                <w:sz w:val="18"/>
                <w:szCs w:val="18"/>
              </w:rPr>
            </w:pPr>
            <w:r w:rsidRPr="00DF7442">
              <w:rPr>
                <w:rFonts w:ascii="Arial Narrow" w:hAnsi="Arial Narrow"/>
                <w:b/>
                <w:sz w:val="18"/>
                <w:szCs w:val="18"/>
              </w:rPr>
              <w:t>20</w:t>
            </w:r>
            <w:r>
              <w:rPr>
                <w:rFonts w:ascii="Arial Narrow" w:hAnsi="Arial Narrow"/>
                <w:b/>
                <w:sz w:val="18"/>
                <w:szCs w:val="18"/>
              </w:rPr>
              <w:t>21</w:t>
            </w:r>
          </w:p>
        </w:tc>
        <w:tc>
          <w:tcPr>
            <w:tcW w:w="874" w:type="dxa"/>
            <w:tcBorders>
              <w:top w:val="nil"/>
              <w:left w:val="nil"/>
              <w:bottom w:val="single" w:sz="4" w:space="0" w:color="auto"/>
              <w:right w:val="nil"/>
            </w:tcBorders>
            <w:shd w:val="clear" w:color="auto" w:fill="auto"/>
          </w:tcPr>
          <w:p w14:paraId="53533873" w14:textId="77777777" w:rsidR="00FA3CE9" w:rsidRPr="00DF7442" w:rsidRDefault="00FA3CE9" w:rsidP="00FA3CE9">
            <w:pPr>
              <w:spacing w:before="40" w:after="20"/>
              <w:jc w:val="center"/>
              <w:rPr>
                <w:rFonts w:ascii="Arial Narrow" w:hAnsi="Arial Narrow"/>
                <w:b/>
                <w:sz w:val="18"/>
                <w:szCs w:val="18"/>
              </w:rPr>
            </w:pPr>
            <w:r w:rsidRPr="00DF7442">
              <w:rPr>
                <w:rFonts w:ascii="Arial Narrow" w:hAnsi="Arial Narrow"/>
                <w:b/>
                <w:sz w:val="18"/>
                <w:szCs w:val="18"/>
              </w:rPr>
              <w:t xml:space="preserve">   2020</w:t>
            </w:r>
          </w:p>
        </w:tc>
        <w:tc>
          <w:tcPr>
            <w:tcW w:w="875" w:type="dxa"/>
            <w:tcBorders>
              <w:top w:val="nil"/>
              <w:left w:val="nil"/>
              <w:bottom w:val="single" w:sz="4" w:space="0" w:color="auto"/>
            </w:tcBorders>
            <w:shd w:val="clear" w:color="auto" w:fill="auto"/>
          </w:tcPr>
          <w:p w14:paraId="3AA97A0E" w14:textId="77777777" w:rsidR="00FA3CE9" w:rsidRPr="00DF7442" w:rsidRDefault="00FA3CE9" w:rsidP="00FA3CE9">
            <w:pPr>
              <w:spacing w:before="40" w:after="20"/>
              <w:ind w:right="170"/>
              <w:jc w:val="center"/>
              <w:rPr>
                <w:rFonts w:ascii="Arial Narrow" w:hAnsi="Arial Narrow"/>
                <w:b/>
                <w:sz w:val="18"/>
                <w:szCs w:val="18"/>
              </w:rPr>
            </w:pPr>
            <w:r w:rsidRPr="00DF7442">
              <w:rPr>
                <w:rFonts w:ascii="Arial Narrow" w:hAnsi="Arial Narrow"/>
                <w:b/>
                <w:sz w:val="18"/>
                <w:szCs w:val="18"/>
              </w:rPr>
              <w:t>2019</w:t>
            </w:r>
          </w:p>
        </w:tc>
        <w:tc>
          <w:tcPr>
            <w:tcW w:w="1311" w:type="dxa"/>
            <w:vMerge/>
            <w:tcBorders>
              <w:bottom w:val="single" w:sz="4" w:space="0" w:color="auto"/>
            </w:tcBorders>
            <w:vAlign w:val="center"/>
          </w:tcPr>
          <w:p w14:paraId="12BC429B" w14:textId="77777777" w:rsidR="00FA3CE9" w:rsidRPr="00DF7442" w:rsidRDefault="00FA3CE9" w:rsidP="00FA3CE9">
            <w:pPr>
              <w:spacing w:before="40" w:after="20"/>
              <w:jc w:val="center"/>
              <w:rPr>
                <w:rFonts w:ascii="Arial Narrow" w:hAnsi="Arial Narrow"/>
                <w:b/>
                <w:sz w:val="18"/>
                <w:szCs w:val="18"/>
              </w:rPr>
            </w:pPr>
          </w:p>
        </w:tc>
        <w:tc>
          <w:tcPr>
            <w:tcW w:w="1311" w:type="dxa"/>
            <w:vMerge/>
            <w:tcBorders>
              <w:bottom w:val="single" w:sz="4" w:space="0" w:color="auto"/>
            </w:tcBorders>
            <w:vAlign w:val="center"/>
          </w:tcPr>
          <w:p w14:paraId="5B53EDC7" w14:textId="77777777" w:rsidR="00FA3CE9" w:rsidRPr="00DF7442" w:rsidRDefault="00FA3CE9" w:rsidP="00FA3CE9">
            <w:pPr>
              <w:spacing w:before="40" w:after="20"/>
              <w:jc w:val="center"/>
              <w:rPr>
                <w:rFonts w:ascii="Arial Narrow" w:hAnsi="Arial Narrow"/>
                <w:b/>
                <w:sz w:val="18"/>
                <w:szCs w:val="18"/>
              </w:rPr>
            </w:pPr>
          </w:p>
        </w:tc>
        <w:tc>
          <w:tcPr>
            <w:tcW w:w="1311" w:type="dxa"/>
            <w:vMerge/>
            <w:tcBorders>
              <w:bottom w:val="single" w:sz="4" w:space="0" w:color="auto"/>
            </w:tcBorders>
            <w:vAlign w:val="center"/>
          </w:tcPr>
          <w:p w14:paraId="3DD5D159" w14:textId="77777777" w:rsidR="00FA3CE9" w:rsidRPr="00DF7442" w:rsidRDefault="00FA3CE9" w:rsidP="00FA3CE9">
            <w:pPr>
              <w:spacing w:before="40" w:after="20"/>
              <w:jc w:val="center"/>
              <w:rPr>
                <w:rFonts w:ascii="Arial Narrow" w:hAnsi="Arial Narrow"/>
                <w:b/>
                <w:sz w:val="18"/>
                <w:szCs w:val="18"/>
              </w:rPr>
            </w:pPr>
          </w:p>
        </w:tc>
        <w:tc>
          <w:tcPr>
            <w:tcW w:w="1312" w:type="dxa"/>
            <w:vMerge/>
            <w:tcBorders>
              <w:bottom w:val="single" w:sz="4" w:space="0" w:color="auto"/>
            </w:tcBorders>
            <w:vAlign w:val="center"/>
          </w:tcPr>
          <w:p w14:paraId="4ECD05F1" w14:textId="77777777" w:rsidR="00FA3CE9" w:rsidRPr="00DF7442" w:rsidRDefault="00FA3CE9" w:rsidP="00FA3CE9">
            <w:pPr>
              <w:spacing w:before="40" w:after="20"/>
              <w:jc w:val="center"/>
              <w:rPr>
                <w:rFonts w:ascii="Arial Narrow" w:hAnsi="Arial Narrow" w:cs="Times New Roman"/>
                <w:b/>
                <w:bCs/>
                <w:sz w:val="18"/>
                <w:szCs w:val="18"/>
              </w:rPr>
            </w:pPr>
          </w:p>
        </w:tc>
      </w:tr>
      <w:tr w:rsidR="00976CD0" w:rsidRPr="00B70BA7" w14:paraId="2F673DFB"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39F9B651"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Piemonte</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3BD40E9A"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192</w:t>
            </w:r>
          </w:p>
        </w:tc>
        <w:tc>
          <w:tcPr>
            <w:tcW w:w="874" w:type="dxa"/>
            <w:tcBorders>
              <w:top w:val="single" w:sz="4" w:space="0" w:color="auto"/>
              <w:left w:val="nil"/>
              <w:bottom w:val="single" w:sz="4" w:space="0" w:color="auto"/>
              <w:right w:val="nil"/>
            </w:tcBorders>
            <w:vAlign w:val="bottom"/>
          </w:tcPr>
          <w:p w14:paraId="5141073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182</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46BF41BE"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232</w:t>
            </w:r>
          </w:p>
        </w:tc>
        <w:tc>
          <w:tcPr>
            <w:tcW w:w="1311" w:type="dxa"/>
            <w:tcBorders>
              <w:top w:val="single" w:sz="4" w:space="0" w:color="auto"/>
              <w:left w:val="nil"/>
              <w:bottom w:val="single" w:sz="4" w:space="0" w:color="auto"/>
              <w:right w:val="nil"/>
            </w:tcBorders>
            <w:vAlign w:val="bottom"/>
          </w:tcPr>
          <w:p w14:paraId="3249F1A9" w14:textId="60D86068" w:rsidR="00976CD0" w:rsidRPr="00B70BA7" w:rsidRDefault="006E3CB9" w:rsidP="00976CD0">
            <w:pPr>
              <w:ind w:right="170"/>
              <w:jc w:val="right"/>
              <w:rPr>
                <w:rFonts w:ascii="Arial Narrow" w:hAnsi="Arial Narrow"/>
                <w:color w:val="000000"/>
                <w:sz w:val="18"/>
                <w:szCs w:val="18"/>
              </w:rPr>
            </w:pPr>
            <w:r>
              <w:rPr>
                <w:rFonts w:ascii="Arial Narrow" w:hAnsi="Arial Narrow"/>
                <w:color w:val="000000"/>
                <w:sz w:val="18"/>
                <w:szCs w:val="18"/>
              </w:rPr>
              <w:t>+</w:t>
            </w:r>
            <w:r w:rsidR="00976CD0" w:rsidRPr="00B70BA7">
              <w:rPr>
                <w:rFonts w:ascii="Arial Narrow" w:hAnsi="Arial Narrow"/>
                <w:color w:val="000000"/>
                <w:sz w:val="18"/>
                <w:szCs w:val="18"/>
              </w:rPr>
              <w:t>5,5</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59C8BFDA"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-17,2</w:t>
            </w:r>
          </w:p>
        </w:tc>
        <w:tc>
          <w:tcPr>
            <w:tcW w:w="1311" w:type="dxa"/>
            <w:tcBorders>
              <w:top w:val="single" w:sz="4" w:space="0" w:color="auto"/>
              <w:left w:val="nil"/>
              <w:bottom w:val="single" w:sz="4" w:space="0" w:color="auto"/>
              <w:right w:val="nil"/>
            </w:tcBorders>
            <w:vAlign w:val="bottom"/>
          </w:tcPr>
          <w:p w14:paraId="0574F7C6"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4,5</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735217C8"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4,2</w:t>
            </w:r>
          </w:p>
        </w:tc>
      </w:tr>
      <w:tr w:rsidR="00976CD0" w:rsidRPr="00B70BA7" w14:paraId="11281EBF"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tcPr>
          <w:p w14:paraId="26C1966F"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Valle d'Aosta/</w:t>
            </w:r>
            <w:r w:rsidRPr="00B70BA7">
              <w:rPr>
                <w:rFonts w:ascii="Arial Narrow" w:hAnsi="Arial Narrow"/>
                <w:i/>
                <w:sz w:val="18"/>
                <w:szCs w:val="18"/>
              </w:rPr>
              <w:t>Vallée d'Aoste</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6BB4E867"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w:t>
            </w:r>
          </w:p>
        </w:tc>
        <w:tc>
          <w:tcPr>
            <w:tcW w:w="874" w:type="dxa"/>
            <w:tcBorders>
              <w:top w:val="single" w:sz="4" w:space="0" w:color="auto"/>
              <w:left w:val="nil"/>
              <w:bottom w:val="single" w:sz="4" w:space="0" w:color="auto"/>
              <w:right w:val="nil"/>
            </w:tcBorders>
            <w:vAlign w:val="bottom"/>
          </w:tcPr>
          <w:p w14:paraId="1644AD95"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0</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63C3F1D6"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4</w:t>
            </w:r>
          </w:p>
        </w:tc>
        <w:tc>
          <w:tcPr>
            <w:tcW w:w="1311" w:type="dxa"/>
            <w:tcBorders>
              <w:top w:val="single" w:sz="4" w:space="0" w:color="auto"/>
              <w:left w:val="nil"/>
              <w:bottom w:val="single" w:sz="4" w:space="0" w:color="auto"/>
              <w:right w:val="nil"/>
            </w:tcBorders>
            <w:vAlign w:val="bottom"/>
          </w:tcPr>
          <w:p w14:paraId="6F218E3C"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755A786C"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-75,0</w:t>
            </w:r>
          </w:p>
        </w:tc>
        <w:tc>
          <w:tcPr>
            <w:tcW w:w="1311" w:type="dxa"/>
            <w:tcBorders>
              <w:top w:val="single" w:sz="4" w:space="0" w:color="auto"/>
              <w:left w:val="nil"/>
              <w:bottom w:val="single" w:sz="4" w:space="0" w:color="auto"/>
              <w:right w:val="nil"/>
            </w:tcBorders>
            <w:vAlign w:val="bottom"/>
          </w:tcPr>
          <w:p w14:paraId="2ACAC557"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0,8</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4001690E"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0,0</w:t>
            </w:r>
          </w:p>
        </w:tc>
      </w:tr>
      <w:tr w:rsidR="00976CD0" w:rsidRPr="00B70BA7" w14:paraId="673BF944"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4B304500"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Lombardia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15D3F302"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357</w:t>
            </w:r>
          </w:p>
        </w:tc>
        <w:tc>
          <w:tcPr>
            <w:tcW w:w="874" w:type="dxa"/>
            <w:tcBorders>
              <w:top w:val="single" w:sz="4" w:space="0" w:color="auto"/>
              <w:left w:val="nil"/>
              <w:bottom w:val="single" w:sz="4" w:space="0" w:color="auto"/>
              <w:right w:val="nil"/>
            </w:tcBorders>
            <w:vAlign w:val="bottom"/>
          </w:tcPr>
          <w:p w14:paraId="7F1E5DAD"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317</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4AFCC0C4"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438</w:t>
            </w:r>
          </w:p>
        </w:tc>
        <w:tc>
          <w:tcPr>
            <w:tcW w:w="1311" w:type="dxa"/>
            <w:tcBorders>
              <w:top w:val="single" w:sz="4" w:space="0" w:color="auto"/>
              <w:left w:val="nil"/>
              <w:bottom w:val="single" w:sz="4" w:space="0" w:color="auto"/>
              <w:right w:val="nil"/>
            </w:tcBorders>
            <w:vAlign w:val="bottom"/>
          </w:tcPr>
          <w:p w14:paraId="5D7BF00D"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+12,6</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76B4FC2F"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-18,5</w:t>
            </w:r>
          </w:p>
        </w:tc>
        <w:tc>
          <w:tcPr>
            <w:tcW w:w="1311" w:type="dxa"/>
            <w:tcBorders>
              <w:top w:val="single" w:sz="4" w:space="0" w:color="auto"/>
              <w:left w:val="nil"/>
              <w:bottom w:val="single" w:sz="4" w:space="0" w:color="auto"/>
              <w:right w:val="nil"/>
            </w:tcBorders>
            <w:vAlign w:val="bottom"/>
          </w:tcPr>
          <w:p w14:paraId="183B92A2"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3,6</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4075188F"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3,2</w:t>
            </w:r>
          </w:p>
        </w:tc>
      </w:tr>
      <w:tr w:rsidR="00976CD0" w:rsidRPr="00B70BA7" w14:paraId="2867E93A"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02D6A54F"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Bolzano/Bozen</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7F9087FC" w14:textId="77777777" w:rsidR="00976CD0" w:rsidRPr="00B70BA7" w:rsidRDefault="00976CD0" w:rsidP="00976CD0">
            <w:pPr>
              <w:ind w:right="170"/>
              <w:jc w:val="right"/>
              <w:rPr>
                <w:rFonts w:ascii="Arial Narrow" w:hAnsi="Arial Narrow"/>
                <w:iCs/>
                <w:color w:val="000000"/>
                <w:sz w:val="18"/>
                <w:szCs w:val="18"/>
              </w:rPr>
            </w:pPr>
            <w:r w:rsidRPr="00B70BA7">
              <w:rPr>
                <w:rFonts w:ascii="Arial Narrow" w:hAnsi="Arial Narrow"/>
                <w:color w:val="000000"/>
                <w:sz w:val="18"/>
                <w:szCs w:val="18"/>
              </w:rPr>
              <w:t>24</w:t>
            </w:r>
          </w:p>
        </w:tc>
        <w:tc>
          <w:tcPr>
            <w:tcW w:w="874" w:type="dxa"/>
            <w:tcBorders>
              <w:top w:val="single" w:sz="4" w:space="0" w:color="auto"/>
              <w:left w:val="nil"/>
              <w:bottom w:val="single" w:sz="4" w:space="0" w:color="auto"/>
              <w:right w:val="nil"/>
            </w:tcBorders>
            <w:vAlign w:val="bottom"/>
          </w:tcPr>
          <w:p w14:paraId="66BDC8E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31</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19D14E84"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46</w:t>
            </w:r>
          </w:p>
        </w:tc>
        <w:tc>
          <w:tcPr>
            <w:tcW w:w="1311" w:type="dxa"/>
            <w:tcBorders>
              <w:top w:val="single" w:sz="4" w:space="0" w:color="auto"/>
              <w:left w:val="nil"/>
              <w:bottom w:val="single" w:sz="4" w:space="0" w:color="auto"/>
              <w:right w:val="nil"/>
            </w:tcBorders>
            <w:vAlign w:val="bottom"/>
          </w:tcPr>
          <w:p w14:paraId="0DBDD674"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-22,6</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46D8D1F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-47,8</w:t>
            </w:r>
          </w:p>
        </w:tc>
        <w:tc>
          <w:tcPr>
            <w:tcW w:w="1311" w:type="dxa"/>
            <w:tcBorders>
              <w:top w:val="single" w:sz="4" w:space="0" w:color="auto"/>
              <w:left w:val="nil"/>
              <w:bottom w:val="single" w:sz="4" w:space="0" w:color="auto"/>
              <w:right w:val="nil"/>
            </w:tcBorders>
            <w:vAlign w:val="bottom"/>
          </w:tcPr>
          <w:p w14:paraId="06FBE8E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4,5</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09234056"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5,8</w:t>
            </w:r>
          </w:p>
        </w:tc>
      </w:tr>
      <w:tr w:rsidR="00976CD0" w:rsidRPr="00B70BA7" w14:paraId="654C95E4"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356B2293"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Trento</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6A1A2656" w14:textId="77777777" w:rsidR="00976CD0" w:rsidRPr="00B70BA7" w:rsidRDefault="00976CD0" w:rsidP="00976CD0">
            <w:pPr>
              <w:ind w:right="170"/>
              <w:jc w:val="right"/>
              <w:rPr>
                <w:rFonts w:ascii="Arial Narrow" w:hAnsi="Arial Narrow"/>
                <w:iCs/>
                <w:color w:val="000000"/>
                <w:sz w:val="18"/>
                <w:szCs w:val="18"/>
              </w:rPr>
            </w:pPr>
            <w:r w:rsidRPr="00B70BA7">
              <w:rPr>
                <w:rFonts w:ascii="Arial Narrow" w:hAnsi="Arial Narrow"/>
                <w:color w:val="000000"/>
                <w:sz w:val="18"/>
                <w:szCs w:val="18"/>
              </w:rPr>
              <w:t>25</w:t>
            </w:r>
          </w:p>
        </w:tc>
        <w:tc>
          <w:tcPr>
            <w:tcW w:w="874" w:type="dxa"/>
            <w:tcBorders>
              <w:top w:val="single" w:sz="4" w:space="0" w:color="auto"/>
              <w:left w:val="nil"/>
              <w:bottom w:val="single" w:sz="4" w:space="0" w:color="auto"/>
              <w:right w:val="nil"/>
            </w:tcBorders>
            <w:vAlign w:val="bottom"/>
          </w:tcPr>
          <w:p w14:paraId="083D8F4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25</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3CAE6F0F"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25</w:t>
            </w:r>
          </w:p>
        </w:tc>
        <w:tc>
          <w:tcPr>
            <w:tcW w:w="1311" w:type="dxa"/>
            <w:tcBorders>
              <w:top w:val="single" w:sz="4" w:space="0" w:color="auto"/>
              <w:left w:val="nil"/>
              <w:bottom w:val="single" w:sz="4" w:space="0" w:color="auto"/>
              <w:right w:val="nil"/>
            </w:tcBorders>
            <w:vAlign w:val="bottom"/>
          </w:tcPr>
          <w:p w14:paraId="0AE76B3E" w14:textId="2D53A306" w:rsidR="00976CD0" w:rsidRPr="00B70BA7" w:rsidRDefault="006E3CB9" w:rsidP="00976CD0">
            <w:pPr>
              <w:ind w:right="170"/>
              <w:jc w:val="right"/>
              <w:rPr>
                <w:rFonts w:ascii="Arial Narrow" w:hAnsi="Arial Narrow"/>
                <w:color w:val="000000"/>
                <w:sz w:val="18"/>
                <w:szCs w:val="18"/>
              </w:rPr>
            </w:pPr>
            <w:r>
              <w:rPr>
                <w:rFonts w:ascii="Arial Narrow" w:hAnsi="Arial Narrow"/>
                <w:color w:val="000000"/>
                <w:sz w:val="18"/>
                <w:szCs w:val="18"/>
              </w:rPr>
              <w:t>-</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6B09E65D" w14:textId="7ECAAE60" w:rsidR="00976CD0" w:rsidRPr="00B70BA7" w:rsidRDefault="006E3CB9" w:rsidP="00976CD0">
            <w:pPr>
              <w:ind w:right="170"/>
              <w:jc w:val="right"/>
              <w:rPr>
                <w:rFonts w:ascii="Arial Narrow" w:hAnsi="Arial Narrow"/>
                <w:color w:val="000000"/>
                <w:sz w:val="18"/>
                <w:szCs w:val="18"/>
              </w:rPr>
            </w:pPr>
            <w:r>
              <w:rPr>
                <w:rFonts w:ascii="Arial Narrow" w:hAnsi="Arial Narrow"/>
                <w:color w:val="000000"/>
                <w:sz w:val="18"/>
                <w:szCs w:val="18"/>
              </w:rPr>
              <w:t>-</w:t>
            </w:r>
          </w:p>
        </w:tc>
        <w:tc>
          <w:tcPr>
            <w:tcW w:w="1311" w:type="dxa"/>
            <w:tcBorders>
              <w:top w:val="single" w:sz="4" w:space="0" w:color="auto"/>
              <w:left w:val="nil"/>
              <w:bottom w:val="single" w:sz="4" w:space="0" w:color="auto"/>
              <w:right w:val="nil"/>
            </w:tcBorders>
            <w:vAlign w:val="bottom"/>
          </w:tcPr>
          <w:p w14:paraId="75D76A81"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4,6</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641DC648"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4,6</w:t>
            </w:r>
          </w:p>
        </w:tc>
      </w:tr>
      <w:tr w:rsidR="00976CD0" w:rsidRPr="00B70BA7" w14:paraId="700B8EE8"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461F2E95"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Veneto</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354AF367"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285</w:t>
            </w:r>
          </w:p>
        </w:tc>
        <w:tc>
          <w:tcPr>
            <w:tcW w:w="874" w:type="dxa"/>
            <w:tcBorders>
              <w:top w:val="single" w:sz="4" w:space="0" w:color="auto"/>
              <w:left w:val="nil"/>
              <w:bottom w:val="single" w:sz="4" w:space="0" w:color="auto"/>
              <w:right w:val="nil"/>
            </w:tcBorders>
            <w:vAlign w:val="bottom"/>
          </w:tcPr>
          <w:p w14:paraId="17689821"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229</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22A0D812"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336</w:t>
            </w:r>
          </w:p>
        </w:tc>
        <w:tc>
          <w:tcPr>
            <w:tcW w:w="1311" w:type="dxa"/>
            <w:tcBorders>
              <w:top w:val="single" w:sz="4" w:space="0" w:color="auto"/>
              <w:left w:val="nil"/>
              <w:bottom w:val="single" w:sz="4" w:space="0" w:color="auto"/>
              <w:right w:val="nil"/>
            </w:tcBorders>
            <w:vAlign w:val="bottom"/>
          </w:tcPr>
          <w:p w14:paraId="0F8DF93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+24,5</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549E822E"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-15,2</w:t>
            </w:r>
          </w:p>
        </w:tc>
        <w:tc>
          <w:tcPr>
            <w:tcW w:w="1311" w:type="dxa"/>
            <w:tcBorders>
              <w:top w:val="single" w:sz="4" w:space="0" w:color="auto"/>
              <w:left w:val="nil"/>
              <w:bottom w:val="single" w:sz="4" w:space="0" w:color="auto"/>
              <w:right w:val="nil"/>
            </w:tcBorders>
            <w:vAlign w:val="bottom"/>
          </w:tcPr>
          <w:p w14:paraId="5FF4F853"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5,9</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53E76B48"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4,7</w:t>
            </w:r>
          </w:p>
        </w:tc>
      </w:tr>
      <w:tr w:rsidR="00976CD0" w:rsidRPr="00B70BA7" w14:paraId="77EE3711"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06764DC0"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Friuli-Venezia Giulia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03916EC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82</w:t>
            </w:r>
          </w:p>
        </w:tc>
        <w:tc>
          <w:tcPr>
            <w:tcW w:w="874" w:type="dxa"/>
            <w:tcBorders>
              <w:top w:val="single" w:sz="4" w:space="0" w:color="auto"/>
              <w:left w:val="nil"/>
              <w:bottom w:val="single" w:sz="4" w:space="0" w:color="auto"/>
              <w:right w:val="nil"/>
            </w:tcBorders>
            <w:vAlign w:val="bottom"/>
          </w:tcPr>
          <w:p w14:paraId="7D53B2B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47</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0EFB0772"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72</w:t>
            </w:r>
          </w:p>
        </w:tc>
        <w:tc>
          <w:tcPr>
            <w:tcW w:w="1311" w:type="dxa"/>
            <w:tcBorders>
              <w:top w:val="single" w:sz="4" w:space="0" w:color="auto"/>
              <w:left w:val="nil"/>
              <w:bottom w:val="single" w:sz="4" w:space="0" w:color="auto"/>
              <w:right w:val="nil"/>
            </w:tcBorders>
            <w:vAlign w:val="bottom"/>
          </w:tcPr>
          <w:p w14:paraId="4F595D7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+74,5</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326412F3" w14:textId="5FCABCB3" w:rsidR="00976CD0" w:rsidRPr="00B70BA7" w:rsidRDefault="006E3CB9" w:rsidP="00976CD0">
            <w:pPr>
              <w:ind w:right="170"/>
              <w:jc w:val="right"/>
              <w:rPr>
                <w:rFonts w:ascii="Arial Narrow" w:hAnsi="Arial Narrow"/>
                <w:color w:val="000000"/>
                <w:sz w:val="18"/>
                <w:szCs w:val="18"/>
              </w:rPr>
            </w:pPr>
            <w:r>
              <w:rPr>
                <w:rFonts w:ascii="Arial Narrow" w:hAnsi="Arial Narrow"/>
                <w:color w:val="000000"/>
                <w:sz w:val="18"/>
                <w:szCs w:val="18"/>
              </w:rPr>
              <w:t>+</w:t>
            </w:r>
            <w:r w:rsidR="00976CD0" w:rsidRPr="00B70BA7">
              <w:rPr>
                <w:rFonts w:ascii="Arial Narrow" w:hAnsi="Arial Narrow"/>
                <w:color w:val="000000"/>
                <w:sz w:val="18"/>
                <w:szCs w:val="18"/>
              </w:rPr>
              <w:t>13,9</w:t>
            </w:r>
          </w:p>
        </w:tc>
        <w:tc>
          <w:tcPr>
            <w:tcW w:w="1311" w:type="dxa"/>
            <w:tcBorders>
              <w:top w:val="single" w:sz="4" w:space="0" w:color="auto"/>
              <w:left w:val="nil"/>
              <w:bottom w:val="single" w:sz="4" w:space="0" w:color="auto"/>
              <w:right w:val="nil"/>
            </w:tcBorders>
            <w:vAlign w:val="bottom"/>
          </w:tcPr>
          <w:p w14:paraId="4437B0E5"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6,8</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278A1902"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3,9</w:t>
            </w:r>
          </w:p>
        </w:tc>
      </w:tr>
      <w:tr w:rsidR="00976CD0" w:rsidRPr="00B70BA7" w14:paraId="6B06C72A"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08C3831C"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 xml:space="preserve">Liguria </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4F898D6E"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64</w:t>
            </w:r>
          </w:p>
        </w:tc>
        <w:tc>
          <w:tcPr>
            <w:tcW w:w="874" w:type="dxa"/>
            <w:tcBorders>
              <w:top w:val="single" w:sz="4" w:space="0" w:color="auto"/>
              <w:left w:val="nil"/>
              <w:bottom w:val="single" w:sz="4" w:space="0" w:color="auto"/>
              <w:right w:val="nil"/>
            </w:tcBorders>
            <w:vAlign w:val="bottom"/>
          </w:tcPr>
          <w:p w14:paraId="6B03A101"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59</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0544A0B9"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64</w:t>
            </w:r>
          </w:p>
        </w:tc>
        <w:tc>
          <w:tcPr>
            <w:tcW w:w="1311" w:type="dxa"/>
            <w:tcBorders>
              <w:top w:val="single" w:sz="4" w:space="0" w:color="auto"/>
              <w:left w:val="nil"/>
              <w:bottom w:val="single" w:sz="4" w:space="0" w:color="auto"/>
              <w:right w:val="nil"/>
            </w:tcBorders>
            <w:vAlign w:val="bottom"/>
          </w:tcPr>
          <w:p w14:paraId="34D68857"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+8,5</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25392EC0" w14:textId="3C4F498B" w:rsidR="00976CD0" w:rsidRPr="00B70BA7" w:rsidRDefault="006E3CB9" w:rsidP="00976CD0">
            <w:pPr>
              <w:ind w:right="170"/>
              <w:jc w:val="right"/>
              <w:rPr>
                <w:rFonts w:ascii="Arial Narrow" w:hAnsi="Arial Narrow"/>
                <w:color w:val="000000"/>
                <w:sz w:val="18"/>
                <w:szCs w:val="18"/>
              </w:rPr>
            </w:pPr>
            <w:r>
              <w:rPr>
                <w:rFonts w:ascii="Arial Narrow" w:hAnsi="Arial Narrow"/>
                <w:color w:val="000000"/>
                <w:sz w:val="18"/>
                <w:szCs w:val="18"/>
              </w:rPr>
              <w:t>-</w:t>
            </w:r>
          </w:p>
        </w:tc>
        <w:tc>
          <w:tcPr>
            <w:tcW w:w="1311" w:type="dxa"/>
            <w:tcBorders>
              <w:top w:val="single" w:sz="4" w:space="0" w:color="auto"/>
              <w:left w:val="nil"/>
              <w:bottom w:val="single" w:sz="4" w:space="0" w:color="auto"/>
              <w:right w:val="nil"/>
            </w:tcBorders>
            <w:vAlign w:val="bottom"/>
          </w:tcPr>
          <w:p w14:paraId="1DC3379F"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4,2</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65398741"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3,9</w:t>
            </w:r>
          </w:p>
        </w:tc>
      </w:tr>
      <w:tr w:rsidR="00976CD0" w:rsidRPr="00B70BA7" w14:paraId="2499884B"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7E138E70"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Emilia-Romagna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4F4C6C6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281</w:t>
            </w:r>
          </w:p>
        </w:tc>
        <w:tc>
          <w:tcPr>
            <w:tcW w:w="874" w:type="dxa"/>
            <w:tcBorders>
              <w:top w:val="single" w:sz="4" w:space="0" w:color="auto"/>
              <w:left w:val="nil"/>
              <w:bottom w:val="single" w:sz="4" w:space="0" w:color="auto"/>
              <w:right w:val="nil"/>
            </w:tcBorders>
            <w:vAlign w:val="bottom"/>
          </w:tcPr>
          <w:p w14:paraId="41E68B4C"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223</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447AB614"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352</w:t>
            </w:r>
          </w:p>
        </w:tc>
        <w:tc>
          <w:tcPr>
            <w:tcW w:w="1311" w:type="dxa"/>
            <w:tcBorders>
              <w:top w:val="single" w:sz="4" w:space="0" w:color="auto"/>
              <w:left w:val="nil"/>
              <w:bottom w:val="single" w:sz="4" w:space="0" w:color="auto"/>
              <w:right w:val="nil"/>
            </w:tcBorders>
            <w:vAlign w:val="bottom"/>
          </w:tcPr>
          <w:p w14:paraId="32A80471"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+26,0</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72BF4175"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-20,2</w:t>
            </w:r>
          </w:p>
        </w:tc>
        <w:tc>
          <w:tcPr>
            <w:tcW w:w="1311" w:type="dxa"/>
            <w:tcBorders>
              <w:top w:val="single" w:sz="4" w:space="0" w:color="auto"/>
              <w:left w:val="nil"/>
              <w:bottom w:val="single" w:sz="4" w:space="0" w:color="auto"/>
              <w:right w:val="nil"/>
            </w:tcBorders>
            <w:vAlign w:val="bottom"/>
          </w:tcPr>
          <w:p w14:paraId="2E3F209D"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6,3</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46D2EB4B"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5,0</w:t>
            </w:r>
          </w:p>
        </w:tc>
      </w:tr>
      <w:tr w:rsidR="00976CD0" w:rsidRPr="00B70BA7" w14:paraId="4B80D3AE"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310E7C3D"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Toscana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13C10595"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190</w:t>
            </w:r>
          </w:p>
        </w:tc>
        <w:tc>
          <w:tcPr>
            <w:tcW w:w="874" w:type="dxa"/>
            <w:tcBorders>
              <w:top w:val="single" w:sz="4" w:space="0" w:color="auto"/>
              <w:left w:val="nil"/>
              <w:bottom w:val="single" w:sz="4" w:space="0" w:color="auto"/>
              <w:right w:val="nil"/>
            </w:tcBorders>
            <w:vAlign w:val="bottom"/>
          </w:tcPr>
          <w:p w14:paraId="6EFFDB4D"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152</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688CFF53"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209</w:t>
            </w:r>
          </w:p>
        </w:tc>
        <w:tc>
          <w:tcPr>
            <w:tcW w:w="1311" w:type="dxa"/>
            <w:tcBorders>
              <w:top w:val="single" w:sz="4" w:space="0" w:color="auto"/>
              <w:left w:val="nil"/>
              <w:bottom w:val="single" w:sz="4" w:space="0" w:color="auto"/>
              <w:right w:val="nil"/>
            </w:tcBorders>
            <w:vAlign w:val="bottom"/>
          </w:tcPr>
          <w:p w14:paraId="042BF1CA"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+25,0</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24E795AC"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-9,1</w:t>
            </w:r>
          </w:p>
        </w:tc>
        <w:tc>
          <w:tcPr>
            <w:tcW w:w="1311" w:type="dxa"/>
            <w:tcBorders>
              <w:top w:val="single" w:sz="4" w:space="0" w:color="auto"/>
              <w:left w:val="nil"/>
              <w:bottom w:val="single" w:sz="4" w:space="0" w:color="auto"/>
              <w:right w:val="nil"/>
            </w:tcBorders>
            <w:vAlign w:val="bottom"/>
          </w:tcPr>
          <w:p w14:paraId="63659F4E"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5,2</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4C9D598A"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4,1</w:t>
            </w:r>
          </w:p>
        </w:tc>
      </w:tr>
      <w:tr w:rsidR="00976CD0" w:rsidRPr="00B70BA7" w14:paraId="5B3A074E"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28459E2B"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Umbria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11D196F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53</w:t>
            </w:r>
          </w:p>
        </w:tc>
        <w:tc>
          <w:tcPr>
            <w:tcW w:w="874" w:type="dxa"/>
            <w:tcBorders>
              <w:top w:val="single" w:sz="4" w:space="0" w:color="auto"/>
              <w:left w:val="nil"/>
              <w:bottom w:val="single" w:sz="4" w:space="0" w:color="auto"/>
              <w:right w:val="nil"/>
            </w:tcBorders>
            <w:vAlign w:val="bottom"/>
          </w:tcPr>
          <w:p w14:paraId="30983B52"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45</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5B28933A"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51</w:t>
            </w:r>
          </w:p>
        </w:tc>
        <w:tc>
          <w:tcPr>
            <w:tcW w:w="1311" w:type="dxa"/>
            <w:tcBorders>
              <w:top w:val="single" w:sz="4" w:space="0" w:color="auto"/>
              <w:left w:val="nil"/>
              <w:bottom w:val="single" w:sz="4" w:space="0" w:color="auto"/>
              <w:right w:val="nil"/>
            </w:tcBorders>
            <w:vAlign w:val="bottom"/>
          </w:tcPr>
          <w:p w14:paraId="3EA4FB2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+17,8</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5A42D96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+3,9</w:t>
            </w:r>
          </w:p>
        </w:tc>
        <w:tc>
          <w:tcPr>
            <w:tcW w:w="1311" w:type="dxa"/>
            <w:tcBorders>
              <w:top w:val="single" w:sz="4" w:space="0" w:color="auto"/>
              <w:left w:val="nil"/>
              <w:bottom w:val="single" w:sz="4" w:space="0" w:color="auto"/>
              <w:right w:val="nil"/>
            </w:tcBorders>
            <w:vAlign w:val="bottom"/>
          </w:tcPr>
          <w:p w14:paraId="519B625E"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6,1</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51198617"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5,2</w:t>
            </w:r>
          </w:p>
        </w:tc>
      </w:tr>
      <w:tr w:rsidR="00976CD0" w:rsidRPr="00B70BA7" w14:paraId="30E1F64A"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5C372B34"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Marche</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4B814AFF"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84</w:t>
            </w:r>
          </w:p>
        </w:tc>
        <w:tc>
          <w:tcPr>
            <w:tcW w:w="874" w:type="dxa"/>
            <w:tcBorders>
              <w:top w:val="single" w:sz="4" w:space="0" w:color="auto"/>
              <w:left w:val="nil"/>
              <w:bottom w:val="single" w:sz="4" w:space="0" w:color="auto"/>
              <w:right w:val="nil"/>
            </w:tcBorders>
            <w:vAlign w:val="bottom"/>
          </w:tcPr>
          <w:p w14:paraId="3A27021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69</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0586E919"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99</w:t>
            </w:r>
          </w:p>
        </w:tc>
        <w:tc>
          <w:tcPr>
            <w:tcW w:w="1311" w:type="dxa"/>
            <w:tcBorders>
              <w:top w:val="single" w:sz="4" w:space="0" w:color="auto"/>
              <w:left w:val="nil"/>
              <w:bottom w:val="single" w:sz="4" w:space="0" w:color="auto"/>
              <w:right w:val="nil"/>
            </w:tcBorders>
            <w:vAlign w:val="bottom"/>
          </w:tcPr>
          <w:p w14:paraId="23A909EC"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+21,7</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26EE7229"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-15,2</w:t>
            </w:r>
          </w:p>
        </w:tc>
        <w:tc>
          <w:tcPr>
            <w:tcW w:w="1311" w:type="dxa"/>
            <w:tcBorders>
              <w:top w:val="single" w:sz="4" w:space="0" w:color="auto"/>
              <w:left w:val="nil"/>
              <w:bottom w:val="single" w:sz="4" w:space="0" w:color="auto"/>
              <w:right w:val="nil"/>
            </w:tcBorders>
            <w:vAlign w:val="bottom"/>
          </w:tcPr>
          <w:p w14:paraId="249E570D"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5,6</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697E647D"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4,6</w:t>
            </w:r>
          </w:p>
        </w:tc>
      </w:tr>
      <w:tr w:rsidR="00976CD0" w:rsidRPr="00B70BA7" w14:paraId="441033B9"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67B2376B"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Lazio</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3B04E91A"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288</w:t>
            </w:r>
          </w:p>
        </w:tc>
        <w:tc>
          <w:tcPr>
            <w:tcW w:w="874" w:type="dxa"/>
            <w:tcBorders>
              <w:top w:val="single" w:sz="4" w:space="0" w:color="auto"/>
              <w:left w:val="nil"/>
              <w:bottom w:val="single" w:sz="4" w:space="0" w:color="auto"/>
              <w:right w:val="nil"/>
            </w:tcBorders>
            <w:vAlign w:val="bottom"/>
          </w:tcPr>
          <w:p w14:paraId="466F4D22"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261</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36EEDE27"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295</w:t>
            </w:r>
          </w:p>
        </w:tc>
        <w:tc>
          <w:tcPr>
            <w:tcW w:w="1311" w:type="dxa"/>
            <w:tcBorders>
              <w:top w:val="single" w:sz="4" w:space="0" w:color="auto"/>
              <w:left w:val="nil"/>
              <w:bottom w:val="single" w:sz="4" w:space="0" w:color="auto"/>
              <w:right w:val="nil"/>
            </w:tcBorders>
            <w:vAlign w:val="bottom"/>
          </w:tcPr>
          <w:p w14:paraId="04CD5EF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+10,3</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55C16A5F"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-2,4</w:t>
            </w:r>
          </w:p>
        </w:tc>
        <w:tc>
          <w:tcPr>
            <w:tcW w:w="1311" w:type="dxa"/>
            <w:tcBorders>
              <w:top w:val="single" w:sz="4" w:space="0" w:color="auto"/>
              <w:left w:val="nil"/>
              <w:bottom w:val="single" w:sz="4" w:space="0" w:color="auto"/>
              <w:right w:val="nil"/>
            </w:tcBorders>
            <w:vAlign w:val="bottom"/>
          </w:tcPr>
          <w:p w14:paraId="781A9846"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5,0</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2F50A67F"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4,5</w:t>
            </w:r>
          </w:p>
        </w:tc>
      </w:tr>
      <w:tr w:rsidR="00976CD0" w:rsidRPr="00B70BA7" w14:paraId="4259B1A0"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3C9D1507"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 xml:space="preserve">Abruzzo </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713C78B2"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80</w:t>
            </w:r>
          </w:p>
        </w:tc>
        <w:tc>
          <w:tcPr>
            <w:tcW w:w="874" w:type="dxa"/>
            <w:tcBorders>
              <w:top w:val="single" w:sz="4" w:space="0" w:color="auto"/>
              <w:left w:val="nil"/>
              <w:bottom w:val="single" w:sz="4" w:space="0" w:color="auto"/>
              <w:right w:val="nil"/>
            </w:tcBorders>
            <w:vAlign w:val="bottom"/>
          </w:tcPr>
          <w:p w14:paraId="37EF259F"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59</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6C832066"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78</w:t>
            </w:r>
          </w:p>
        </w:tc>
        <w:tc>
          <w:tcPr>
            <w:tcW w:w="1311" w:type="dxa"/>
            <w:tcBorders>
              <w:top w:val="single" w:sz="4" w:space="0" w:color="auto"/>
              <w:left w:val="nil"/>
              <w:bottom w:val="single" w:sz="4" w:space="0" w:color="auto"/>
              <w:right w:val="nil"/>
            </w:tcBorders>
            <w:vAlign w:val="bottom"/>
          </w:tcPr>
          <w:p w14:paraId="7D7EC883"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+35,6</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03DF3351"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+2,6</w:t>
            </w:r>
          </w:p>
        </w:tc>
        <w:tc>
          <w:tcPr>
            <w:tcW w:w="1311" w:type="dxa"/>
            <w:tcBorders>
              <w:top w:val="single" w:sz="4" w:space="0" w:color="auto"/>
              <w:left w:val="nil"/>
              <w:bottom w:val="single" w:sz="4" w:space="0" w:color="auto"/>
              <w:right w:val="nil"/>
            </w:tcBorders>
            <w:vAlign w:val="bottom"/>
          </w:tcPr>
          <w:p w14:paraId="24C0694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6,3</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049424F0"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4,6</w:t>
            </w:r>
          </w:p>
        </w:tc>
      </w:tr>
      <w:tr w:rsidR="00976CD0" w:rsidRPr="00B70BA7" w14:paraId="3D638DB6"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060027F0"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Molise</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4F08C96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15</w:t>
            </w:r>
          </w:p>
        </w:tc>
        <w:tc>
          <w:tcPr>
            <w:tcW w:w="874" w:type="dxa"/>
            <w:tcBorders>
              <w:top w:val="single" w:sz="4" w:space="0" w:color="auto"/>
              <w:left w:val="nil"/>
              <w:bottom w:val="single" w:sz="4" w:space="0" w:color="auto"/>
              <w:right w:val="nil"/>
            </w:tcBorders>
            <w:vAlign w:val="bottom"/>
          </w:tcPr>
          <w:p w14:paraId="1F2241A4"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25</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003CFB49"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28</w:t>
            </w:r>
          </w:p>
        </w:tc>
        <w:tc>
          <w:tcPr>
            <w:tcW w:w="1311" w:type="dxa"/>
            <w:tcBorders>
              <w:top w:val="single" w:sz="4" w:space="0" w:color="auto"/>
              <w:left w:val="nil"/>
              <w:bottom w:val="single" w:sz="4" w:space="0" w:color="auto"/>
              <w:right w:val="nil"/>
            </w:tcBorders>
            <w:vAlign w:val="bottom"/>
          </w:tcPr>
          <w:p w14:paraId="3E80D6A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-40,0</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6FB82BF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-46,4</w:t>
            </w:r>
          </w:p>
        </w:tc>
        <w:tc>
          <w:tcPr>
            <w:tcW w:w="1311" w:type="dxa"/>
            <w:tcBorders>
              <w:top w:val="single" w:sz="4" w:space="0" w:color="auto"/>
              <w:left w:val="nil"/>
              <w:bottom w:val="single" w:sz="4" w:space="0" w:color="auto"/>
              <w:right w:val="nil"/>
            </w:tcBorders>
            <w:vAlign w:val="bottom"/>
          </w:tcPr>
          <w:p w14:paraId="077BCD1F"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5,1</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3378D3D6"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8,4</w:t>
            </w:r>
          </w:p>
        </w:tc>
      </w:tr>
      <w:tr w:rsidR="00976CD0" w:rsidRPr="00B70BA7" w14:paraId="151D7488"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2F405835"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Campania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5284C1F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214</w:t>
            </w:r>
          </w:p>
        </w:tc>
        <w:tc>
          <w:tcPr>
            <w:tcW w:w="874" w:type="dxa"/>
            <w:tcBorders>
              <w:top w:val="single" w:sz="4" w:space="0" w:color="auto"/>
              <w:left w:val="nil"/>
              <w:bottom w:val="single" w:sz="4" w:space="0" w:color="auto"/>
              <w:right w:val="nil"/>
            </w:tcBorders>
            <w:vAlign w:val="bottom"/>
          </w:tcPr>
          <w:p w14:paraId="4A122355"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176</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34E23E5C"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223</w:t>
            </w:r>
          </w:p>
        </w:tc>
        <w:tc>
          <w:tcPr>
            <w:tcW w:w="1311" w:type="dxa"/>
            <w:tcBorders>
              <w:top w:val="single" w:sz="4" w:space="0" w:color="auto"/>
              <w:left w:val="nil"/>
              <w:bottom w:val="single" w:sz="4" w:space="0" w:color="auto"/>
              <w:right w:val="nil"/>
            </w:tcBorders>
            <w:vAlign w:val="bottom"/>
          </w:tcPr>
          <w:p w14:paraId="667F1806"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+21,6</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34C99EC2"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-4,0</w:t>
            </w:r>
          </w:p>
        </w:tc>
        <w:tc>
          <w:tcPr>
            <w:tcW w:w="1311" w:type="dxa"/>
            <w:tcBorders>
              <w:top w:val="single" w:sz="4" w:space="0" w:color="auto"/>
              <w:left w:val="nil"/>
              <w:bottom w:val="single" w:sz="4" w:space="0" w:color="auto"/>
              <w:right w:val="nil"/>
            </w:tcBorders>
            <w:vAlign w:val="bottom"/>
          </w:tcPr>
          <w:p w14:paraId="35DC46A1"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3,8</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5E8E5345"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3,1</w:t>
            </w:r>
          </w:p>
        </w:tc>
      </w:tr>
      <w:tr w:rsidR="00976CD0" w:rsidRPr="00B70BA7" w14:paraId="4F37F5EF"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260C3F8D"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Puglia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3EEEDC44"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203</w:t>
            </w:r>
          </w:p>
        </w:tc>
        <w:tc>
          <w:tcPr>
            <w:tcW w:w="874" w:type="dxa"/>
            <w:tcBorders>
              <w:top w:val="single" w:sz="4" w:space="0" w:color="auto"/>
              <w:left w:val="nil"/>
              <w:bottom w:val="single" w:sz="4" w:space="0" w:color="auto"/>
              <w:right w:val="nil"/>
            </w:tcBorders>
            <w:vAlign w:val="bottom"/>
          </w:tcPr>
          <w:p w14:paraId="6C84E096"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160</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40A8CA10"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207</w:t>
            </w:r>
          </w:p>
        </w:tc>
        <w:tc>
          <w:tcPr>
            <w:tcW w:w="1311" w:type="dxa"/>
            <w:tcBorders>
              <w:top w:val="single" w:sz="4" w:space="0" w:color="auto"/>
              <w:left w:val="nil"/>
              <w:bottom w:val="single" w:sz="4" w:space="0" w:color="auto"/>
              <w:right w:val="nil"/>
            </w:tcBorders>
            <w:vAlign w:val="bottom"/>
          </w:tcPr>
          <w:p w14:paraId="265C8D2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+26,9</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479EB8C6"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-1,9</w:t>
            </w:r>
          </w:p>
        </w:tc>
        <w:tc>
          <w:tcPr>
            <w:tcW w:w="1311" w:type="dxa"/>
            <w:tcBorders>
              <w:top w:val="single" w:sz="4" w:space="0" w:color="auto"/>
              <w:left w:val="nil"/>
              <w:bottom w:val="single" w:sz="4" w:space="0" w:color="auto"/>
              <w:right w:val="nil"/>
            </w:tcBorders>
            <w:vAlign w:val="bottom"/>
          </w:tcPr>
          <w:p w14:paraId="2F236DF4"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5,2</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7D3E044D"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4,1</w:t>
            </w:r>
          </w:p>
        </w:tc>
      </w:tr>
      <w:tr w:rsidR="00976CD0" w:rsidRPr="00B70BA7" w14:paraId="3F22E253"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30E2A452"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Basilicata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01C6B71C"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36</w:t>
            </w:r>
          </w:p>
        </w:tc>
        <w:tc>
          <w:tcPr>
            <w:tcW w:w="874" w:type="dxa"/>
            <w:tcBorders>
              <w:top w:val="single" w:sz="4" w:space="0" w:color="auto"/>
              <w:left w:val="nil"/>
              <w:bottom w:val="single" w:sz="4" w:space="0" w:color="auto"/>
              <w:right w:val="nil"/>
            </w:tcBorders>
            <w:vAlign w:val="bottom"/>
          </w:tcPr>
          <w:p w14:paraId="3F6B4E11"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18</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129EB20E"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29</w:t>
            </w:r>
          </w:p>
        </w:tc>
        <w:tc>
          <w:tcPr>
            <w:tcW w:w="1311" w:type="dxa"/>
            <w:tcBorders>
              <w:top w:val="single" w:sz="4" w:space="0" w:color="auto"/>
              <w:left w:val="nil"/>
              <w:bottom w:val="single" w:sz="4" w:space="0" w:color="auto"/>
              <w:right w:val="nil"/>
            </w:tcBorders>
            <w:vAlign w:val="bottom"/>
          </w:tcPr>
          <w:p w14:paraId="6D217F53"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+100,0</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391E94D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+24,1</w:t>
            </w:r>
          </w:p>
        </w:tc>
        <w:tc>
          <w:tcPr>
            <w:tcW w:w="1311" w:type="dxa"/>
            <w:tcBorders>
              <w:top w:val="single" w:sz="4" w:space="0" w:color="auto"/>
              <w:left w:val="nil"/>
              <w:bottom w:val="single" w:sz="4" w:space="0" w:color="auto"/>
              <w:right w:val="nil"/>
            </w:tcBorders>
            <w:vAlign w:val="bottom"/>
          </w:tcPr>
          <w:p w14:paraId="6541593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6,6</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17089403"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3,3</w:t>
            </w:r>
          </w:p>
        </w:tc>
      </w:tr>
      <w:tr w:rsidR="00976CD0" w:rsidRPr="00B70BA7" w14:paraId="1EFA192F"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38515C93"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Calabria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245945C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85</w:t>
            </w:r>
          </w:p>
        </w:tc>
        <w:tc>
          <w:tcPr>
            <w:tcW w:w="874" w:type="dxa"/>
            <w:tcBorders>
              <w:top w:val="single" w:sz="4" w:space="0" w:color="auto"/>
              <w:left w:val="nil"/>
              <w:bottom w:val="single" w:sz="4" w:space="0" w:color="auto"/>
              <w:right w:val="nil"/>
            </w:tcBorders>
            <w:vAlign w:val="bottom"/>
          </w:tcPr>
          <w:p w14:paraId="0FD5A222"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61</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11B99B7E"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104</w:t>
            </w:r>
          </w:p>
        </w:tc>
        <w:tc>
          <w:tcPr>
            <w:tcW w:w="1311" w:type="dxa"/>
            <w:tcBorders>
              <w:top w:val="single" w:sz="4" w:space="0" w:color="auto"/>
              <w:left w:val="nil"/>
              <w:bottom w:val="single" w:sz="4" w:space="0" w:color="auto"/>
              <w:right w:val="nil"/>
            </w:tcBorders>
            <w:vAlign w:val="bottom"/>
          </w:tcPr>
          <w:p w14:paraId="188ED98A"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+39,3</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3B3C2F6B"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-18,3</w:t>
            </w:r>
          </w:p>
        </w:tc>
        <w:tc>
          <w:tcPr>
            <w:tcW w:w="1311" w:type="dxa"/>
            <w:tcBorders>
              <w:top w:val="single" w:sz="4" w:space="0" w:color="auto"/>
              <w:left w:val="nil"/>
              <w:bottom w:val="single" w:sz="4" w:space="0" w:color="auto"/>
              <w:right w:val="nil"/>
            </w:tcBorders>
            <w:vAlign w:val="bottom"/>
          </w:tcPr>
          <w:p w14:paraId="0EF3DCC3"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4,6</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3C68E3DB"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3,2</w:t>
            </w:r>
          </w:p>
        </w:tc>
      </w:tr>
      <w:tr w:rsidR="00976CD0" w:rsidRPr="00B70BA7" w14:paraId="5A1CD5A0"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7BA4E4A1"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Sicilia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7FE3FC6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225</w:t>
            </w:r>
          </w:p>
        </w:tc>
        <w:tc>
          <w:tcPr>
            <w:tcW w:w="874" w:type="dxa"/>
            <w:tcBorders>
              <w:top w:val="single" w:sz="4" w:space="0" w:color="auto"/>
              <w:left w:val="nil"/>
              <w:bottom w:val="single" w:sz="4" w:space="0" w:color="auto"/>
              <w:right w:val="nil"/>
            </w:tcBorders>
            <w:vAlign w:val="bottom"/>
          </w:tcPr>
          <w:p w14:paraId="68570ECD"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161</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6EDFB366"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210</w:t>
            </w:r>
          </w:p>
        </w:tc>
        <w:tc>
          <w:tcPr>
            <w:tcW w:w="1311" w:type="dxa"/>
            <w:tcBorders>
              <w:top w:val="single" w:sz="4" w:space="0" w:color="auto"/>
              <w:left w:val="nil"/>
              <w:bottom w:val="single" w:sz="4" w:space="0" w:color="auto"/>
              <w:right w:val="nil"/>
            </w:tcBorders>
            <w:vAlign w:val="bottom"/>
          </w:tcPr>
          <w:p w14:paraId="16F24399"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+39,8</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6717FBA7"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+7,1</w:t>
            </w:r>
          </w:p>
        </w:tc>
        <w:tc>
          <w:tcPr>
            <w:tcW w:w="1311" w:type="dxa"/>
            <w:tcBorders>
              <w:top w:val="single" w:sz="4" w:space="0" w:color="auto"/>
              <w:left w:val="nil"/>
              <w:bottom w:val="single" w:sz="4" w:space="0" w:color="auto"/>
              <w:right w:val="nil"/>
            </w:tcBorders>
            <w:vAlign w:val="bottom"/>
          </w:tcPr>
          <w:p w14:paraId="1E1E22EA"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4,7</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052E3E68"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3,3</w:t>
            </w:r>
          </w:p>
        </w:tc>
      </w:tr>
      <w:tr w:rsidR="00976CD0" w:rsidRPr="00B70BA7" w14:paraId="3C8F9C50" w14:textId="77777777" w:rsidTr="006852FB">
        <w:trPr>
          <w:trHeight w:hRule="exact" w:val="227"/>
        </w:trPr>
        <w:tc>
          <w:tcPr>
            <w:tcW w:w="2055" w:type="dxa"/>
            <w:tcBorders>
              <w:top w:val="single" w:sz="4" w:space="0" w:color="auto"/>
              <w:left w:val="nil"/>
              <w:bottom w:val="single" w:sz="4" w:space="0" w:color="auto"/>
              <w:right w:val="nil"/>
            </w:tcBorders>
            <w:shd w:val="clear" w:color="auto" w:fill="auto"/>
            <w:noWrap/>
            <w:vAlign w:val="bottom"/>
            <w:hideMark/>
          </w:tcPr>
          <w:p w14:paraId="1F3C3DA8" w14:textId="77777777" w:rsidR="00976CD0" w:rsidRPr="00B70BA7" w:rsidRDefault="00976CD0" w:rsidP="00976CD0">
            <w:pPr>
              <w:rPr>
                <w:rFonts w:ascii="Arial Narrow" w:hAnsi="Arial Narrow"/>
                <w:sz w:val="18"/>
                <w:szCs w:val="18"/>
              </w:rPr>
            </w:pPr>
            <w:r w:rsidRPr="00B70BA7">
              <w:rPr>
                <w:rFonts w:ascii="Arial Narrow" w:hAnsi="Arial Narrow"/>
                <w:sz w:val="18"/>
                <w:szCs w:val="18"/>
              </w:rPr>
              <w:t>Sardegna</w:t>
            </w:r>
          </w:p>
        </w:tc>
        <w:tc>
          <w:tcPr>
            <w:tcW w:w="874" w:type="dxa"/>
            <w:tcBorders>
              <w:top w:val="single" w:sz="4" w:space="0" w:color="auto"/>
              <w:left w:val="nil"/>
              <w:bottom w:val="single" w:sz="4" w:space="0" w:color="auto"/>
              <w:right w:val="nil"/>
            </w:tcBorders>
            <w:shd w:val="clear" w:color="auto" w:fill="D9D9D9" w:themeFill="background1" w:themeFillShade="D9"/>
            <w:noWrap/>
            <w:vAlign w:val="bottom"/>
          </w:tcPr>
          <w:p w14:paraId="65162A66"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91</w:t>
            </w:r>
          </w:p>
        </w:tc>
        <w:tc>
          <w:tcPr>
            <w:tcW w:w="874" w:type="dxa"/>
            <w:tcBorders>
              <w:top w:val="single" w:sz="4" w:space="0" w:color="auto"/>
              <w:left w:val="nil"/>
              <w:bottom w:val="single" w:sz="4" w:space="0" w:color="auto"/>
              <w:right w:val="nil"/>
            </w:tcBorders>
            <w:vAlign w:val="bottom"/>
          </w:tcPr>
          <w:p w14:paraId="1E657920"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sz w:val="18"/>
                <w:szCs w:val="18"/>
              </w:rPr>
              <w:t>95</w:t>
            </w:r>
          </w:p>
        </w:tc>
        <w:tc>
          <w:tcPr>
            <w:tcW w:w="875" w:type="dxa"/>
            <w:tcBorders>
              <w:top w:val="single" w:sz="4" w:space="0" w:color="auto"/>
              <w:left w:val="nil"/>
              <w:bottom w:val="single" w:sz="4" w:space="0" w:color="auto"/>
              <w:right w:val="nil"/>
            </w:tcBorders>
            <w:shd w:val="clear" w:color="auto" w:fill="D9D9D9" w:themeFill="background1" w:themeFillShade="D9"/>
            <w:noWrap/>
            <w:vAlign w:val="bottom"/>
          </w:tcPr>
          <w:p w14:paraId="35E493F2" w14:textId="77777777" w:rsidR="00976CD0" w:rsidRPr="00B70BA7" w:rsidRDefault="00976CD0" w:rsidP="00976CD0">
            <w:pPr>
              <w:ind w:right="170"/>
              <w:jc w:val="right"/>
              <w:rPr>
                <w:rFonts w:ascii="Arial Narrow" w:hAnsi="Arial Narrow"/>
                <w:sz w:val="18"/>
                <w:szCs w:val="18"/>
              </w:rPr>
            </w:pPr>
            <w:r w:rsidRPr="00B70BA7">
              <w:rPr>
                <w:rFonts w:ascii="Arial Narrow" w:hAnsi="Arial Narrow"/>
                <w:sz w:val="18"/>
                <w:szCs w:val="18"/>
              </w:rPr>
              <w:t>71</w:t>
            </w:r>
          </w:p>
        </w:tc>
        <w:tc>
          <w:tcPr>
            <w:tcW w:w="1311" w:type="dxa"/>
            <w:tcBorders>
              <w:top w:val="single" w:sz="4" w:space="0" w:color="auto"/>
              <w:left w:val="nil"/>
              <w:bottom w:val="single" w:sz="4" w:space="0" w:color="auto"/>
              <w:right w:val="nil"/>
            </w:tcBorders>
            <w:vAlign w:val="bottom"/>
          </w:tcPr>
          <w:p w14:paraId="1D0C8428"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-4,2</w:t>
            </w:r>
          </w:p>
        </w:tc>
        <w:tc>
          <w:tcPr>
            <w:tcW w:w="1311" w:type="dxa"/>
            <w:tcBorders>
              <w:top w:val="single" w:sz="4" w:space="0" w:color="auto"/>
              <w:left w:val="nil"/>
              <w:bottom w:val="single" w:sz="4" w:space="0" w:color="auto"/>
              <w:right w:val="nil"/>
            </w:tcBorders>
            <w:shd w:val="clear" w:color="auto" w:fill="D9D9D9" w:themeFill="background1" w:themeFillShade="D9"/>
            <w:vAlign w:val="bottom"/>
          </w:tcPr>
          <w:p w14:paraId="0436B2D3"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+28,2</w:t>
            </w:r>
          </w:p>
        </w:tc>
        <w:tc>
          <w:tcPr>
            <w:tcW w:w="1311" w:type="dxa"/>
            <w:tcBorders>
              <w:top w:val="single" w:sz="4" w:space="0" w:color="auto"/>
              <w:left w:val="nil"/>
              <w:bottom w:val="single" w:sz="4" w:space="0" w:color="auto"/>
              <w:right w:val="nil"/>
            </w:tcBorders>
            <w:vAlign w:val="bottom"/>
          </w:tcPr>
          <w:p w14:paraId="4176F649" w14:textId="77777777" w:rsidR="00976CD0" w:rsidRPr="00B70BA7" w:rsidRDefault="00976CD0" w:rsidP="00976CD0">
            <w:pPr>
              <w:ind w:right="170"/>
              <w:jc w:val="right"/>
              <w:rPr>
                <w:rFonts w:ascii="Arial Narrow" w:hAnsi="Arial Narrow"/>
                <w:color w:val="000000"/>
                <w:sz w:val="18"/>
                <w:szCs w:val="18"/>
              </w:rPr>
            </w:pPr>
            <w:r w:rsidRPr="00B70BA7">
              <w:rPr>
                <w:rFonts w:ascii="Arial Narrow" w:hAnsi="Arial Narrow"/>
                <w:color w:val="000000"/>
                <w:sz w:val="18"/>
                <w:szCs w:val="18"/>
              </w:rPr>
              <w:t>5,7</w:t>
            </w:r>
          </w:p>
        </w:tc>
        <w:tc>
          <w:tcPr>
            <w:tcW w:w="1312" w:type="dxa"/>
            <w:tcBorders>
              <w:top w:val="single" w:sz="4" w:space="0" w:color="auto"/>
              <w:left w:val="nil"/>
              <w:bottom w:val="single" w:sz="4" w:space="0" w:color="auto"/>
              <w:right w:val="nil"/>
            </w:tcBorders>
            <w:shd w:val="clear" w:color="auto" w:fill="D9D9D9" w:themeFill="background1" w:themeFillShade="D9"/>
            <w:vAlign w:val="bottom"/>
          </w:tcPr>
          <w:p w14:paraId="0BD319C0" w14:textId="77777777" w:rsidR="00976CD0" w:rsidRPr="00B70BA7" w:rsidRDefault="00976CD0" w:rsidP="00976CD0">
            <w:pPr>
              <w:ind w:right="170"/>
              <w:jc w:val="right"/>
              <w:rPr>
                <w:rFonts w:ascii="Arial Narrow" w:hAnsi="Arial Narrow"/>
                <w:sz w:val="18"/>
                <w:szCs w:val="18"/>
              </w:rPr>
            </w:pPr>
            <w:r w:rsidRPr="00B70BA7">
              <w:rPr>
                <w:rFonts w:ascii="Arial Narrow" w:hAnsi="Arial Narrow"/>
                <w:color w:val="000000"/>
                <w:sz w:val="18"/>
                <w:szCs w:val="18"/>
              </w:rPr>
              <w:t>5,9</w:t>
            </w:r>
          </w:p>
        </w:tc>
      </w:tr>
      <w:tr w:rsidR="00976CD0" w:rsidRPr="00B70BA7" w14:paraId="7F262086" w14:textId="77777777" w:rsidTr="00B869BD">
        <w:trPr>
          <w:trHeight w:hRule="exact" w:val="227"/>
        </w:trPr>
        <w:tc>
          <w:tcPr>
            <w:tcW w:w="2055" w:type="dxa"/>
            <w:tcBorders>
              <w:top w:val="single" w:sz="4" w:space="0" w:color="auto"/>
              <w:left w:val="nil"/>
              <w:bottom w:val="single" w:sz="4" w:space="0" w:color="auto"/>
              <w:right w:val="nil"/>
            </w:tcBorders>
            <w:shd w:val="clear" w:color="auto" w:fill="00527F"/>
            <w:noWrap/>
            <w:vAlign w:val="bottom"/>
            <w:hideMark/>
          </w:tcPr>
          <w:p w14:paraId="6C6C806D" w14:textId="77777777" w:rsidR="00976CD0" w:rsidRPr="00B70BA7" w:rsidRDefault="00976CD0" w:rsidP="00976CD0">
            <w:pPr>
              <w:rPr>
                <w:rFonts w:ascii="Arial Narrow" w:hAnsi="Arial Narrow"/>
                <w:b/>
                <w:bCs/>
                <w:color w:val="FFFFFF"/>
                <w:sz w:val="18"/>
                <w:szCs w:val="18"/>
              </w:rPr>
            </w:pPr>
            <w:r w:rsidRPr="00B70BA7">
              <w:rPr>
                <w:rFonts w:ascii="Arial Narrow" w:hAnsi="Arial Narrow"/>
                <w:b/>
                <w:bCs/>
                <w:color w:val="FFFFFF"/>
                <w:sz w:val="18"/>
                <w:szCs w:val="18"/>
              </w:rPr>
              <w:t>Italia</w:t>
            </w:r>
          </w:p>
        </w:tc>
        <w:tc>
          <w:tcPr>
            <w:tcW w:w="874" w:type="dxa"/>
            <w:tcBorders>
              <w:top w:val="single" w:sz="4" w:space="0" w:color="auto"/>
              <w:left w:val="nil"/>
              <w:bottom w:val="single" w:sz="4" w:space="0" w:color="auto"/>
              <w:right w:val="nil"/>
            </w:tcBorders>
            <w:shd w:val="clear" w:color="auto" w:fill="00527F"/>
            <w:noWrap/>
            <w:vAlign w:val="bottom"/>
          </w:tcPr>
          <w:p w14:paraId="1987CDDC" w14:textId="77777777" w:rsidR="00976CD0" w:rsidRPr="00B70BA7" w:rsidRDefault="00976CD0" w:rsidP="00976CD0">
            <w:pPr>
              <w:ind w:right="170"/>
              <w:jc w:val="right"/>
              <w:rPr>
                <w:rFonts w:ascii="Arial Narrow" w:hAnsi="Arial Narrow"/>
                <w:b/>
                <w:bCs/>
                <w:color w:val="FFFFFF"/>
                <w:sz w:val="18"/>
                <w:szCs w:val="18"/>
              </w:rPr>
            </w:pPr>
            <w:r w:rsidRPr="00B70BA7">
              <w:rPr>
                <w:rFonts w:ascii="Arial Narrow" w:hAnsi="Arial Narrow"/>
                <w:b/>
                <w:color w:val="FFFFFF" w:themeColor="background1"/>
                <w:sz w:val="18"/>
                <w:szCs w:val="18"/>
              </w:rPr>
              <w:t>2.875</w:t>
            </w:r>
          </w:p>
        </w:tc>
        <w:tc>
          <w:tcPr>
            <w:tcW w:w="874" w:type="dxa"/>
            <w:tcBorders>
              <w:top w:val="single" w:sz="4" w:space="0" w:color="auto"/>
              <w:left w:val="nil"/>
              <w:bottom w:val="single" w:sz="4" w:space="0" w:color="auto"/>
              <w:right w:val="nil"/>
            </w:tcBorders>
            <w:shd w:val="clear" w:color="auto" w:fill="00527F"/>
            <w:vAlign w:val="bottom"/>
          </w:tcPr>
          <w:p w14:paraId="09F138EE" w14:textId="77777777" w:rsidR="00976CD0" w:rsidRPr="00B70BA7" w:rsidRDefault="00976CD0" w:rsidP="00976CD0">
            <w:pPr>
              <w:ind w:right="170"/>
              <w:jc w:val="right"/>
              <w:rPr>
                <w:rFonts w:ascii="Arial Narrow" w:hAnsi="Arial Narrow"/>
                <w:b/>
                <w:color w:val="FFFFFF" w:themeColor="background1"/>
                <w:sz w:val="18"/>
                <w:szCs w:val="18"/>
              </w:rPr>
            </w:pPr>
            <w:r w:rsidRPr="00B70BA7">
              <w:rPr>
                <w:rFonts w:ascii="Arial Narrow" w:hAnsi="Arial Narrow"/>
                <w:b/>
                <w:color w:val="FFFFFF" w:themeColor="background1"/>
                <w:sz w:val="18"/>
                <w:szCs w:val="18"/>
              </w:rPr>
              <w:t>2.395</w:t>
            </w:r>
          </w:p>
        </w:tc>
        <w:tc>
          <w:tcPr>
            <w:tcW w:w="875" w:type="dxa"/>
            <w:tcBorders>
              <w:top w:val="single" w:sz="4" w:space="0" w:color="auto"/>
              <w:left w:val="nil"/>
              <w:bottom w:val="single" w:sz="4" w:space="0" w:color="auto"/>
              <w:right w:val="nil"/>
            </w:tcBorders>
            <w:shd w:val="clear" w:color="auto" w:fill="00527F"/>
            <w:noWrap/>
            <w:vAlign w:val="bottom"/>
          </w:tcPr>
          <w:p w14:paraId="0621CB4C" w14:textId="77777777" w:rsidR="00976CD0" w:rsidRPr="00B70BA7" w:rsidRDefault="00976CD0" w:rsidP="00976CD0">
            <w:pPr>
              <w:ind w:right="170"/>
              <w:jc w:val="right"/>
              <w:rPr>
                <w:rFonts w:ascii="Arial Narrow" w:hAnsi="Arial Narrow"/>
                <w:b/>
                <w:color w:val="FFFFFF" w:themeColor="background1"/>
                <w:sz w:val="18"/>
                <w:szCs w:val="18"/>
              </w:rPr>
            </w:pPr>
            <w:r w:rsidRPr="00B70BA7">
              <w:rPr>
                <w:rFonts w:ascii="Arial Narrow" w:hAnsi="Arial Narrow"/>
                <w:b/>
                <w:color w:val="FFFFFF" w:themeColor="background1"/>
                <w:sz w:val="18"/>
                <w:szCs w:val="18"/>
              </w:rPr>
              <w:t>3.173</w:t>
            </w:r>
          </w:p>
        </w:tc>
        <w:tc>
          <w:tcPr>
            <w:tcW w:w="1311" w:type="dxa"/>
            <w:tcBorders>
              <w:top w:val="single" w:sz="4" w:space="0" w:color="auto"/>
              <w:left w:val="nil"/>
              <w:bottom w:val="single" w:sz="4" w:space="0" w:color="auto"/>
              <w:right w:val="nil"/>
            </w:tcBorders>
            <w:shd w:val="clear" w:color="auto" w:fill="00527F"/>
            <w:vAlign w:val="bottom"/>
          </w:tcPr>
          <w:p w14:paraId="5980C500" w14:textId="77777777" w:rsidR="00976CD0" w:rsidRPr="00B70BA7" w:rsidRDefault="00976CD0" w:rsidP="00976CD0">
            <w:pPr>
              <w:ind w:right="170"/>
              <w:jc w:val="right"/>
              <w:rPr>
                <w:rFonts w:ascii="Arial Narrow" w:hAnsi="Arial Narrow"/>
                <w:b/>
                <w:color w:val="FFFFFF" w:themeColor="background1"/>
                <w:sz w:val="18"/>
                <w:szCs w:val="18"/>
              </w:rPr>
            </w:pPr>
            <w:r w:rsidRPr="00B70BA7">
              <w:rPr>
                <w:rFonts w:ascii="Arial Narrow" w:hAnsi="Arial Narrow"/>
                <w:b/>
                <w:color w:val="FFFFFF" w:themeColor="background1"/>
                <w:sz w:val="18"/>
                <w:szCs w:val="18"/>
              </w:rPr>
              <w:t>+20,0</w:t>
            </w:r>
          </w:p>
        </w:tc>
        <w:tc>
          <w:tcPr>
            <w:tcW w:w="1311" w:type="dxa"/>
            <w:tcBorders>
              <w:top w:val="single" w:sz="4" w:space="0" w:color="auto"/>
              <w:left w:val="nil"/>
              <w:bottom w:val="single" w:sz="4" w:space="0" w:color="auto"/>
              <w:right w:val="nil"/>
            </w:tcBorders>
            <w:shd w:val="clear" w:color="auto" w:fill="00527F"/>
            <w:vAlign w:val="bottom"/>
          </w:tcPr>
          <w:p w14:paraId="3C127927" w14:textId="77777777" w:rsidR="00976CD0" w:rsidRPr="00B70BA7" w:rsidRDefault="00976CD0" w:rsidP="00976CD0">
            <w:pPr>
              <w:ind w:right="170"/>
              <w:jc w:val="right"/>
              <w:rPr>
                <w:rFonts w:ascii="Arial Narrow" w:hAnsi="Arial Narrow"/>
                <w:b/>
                <w:color w:val="FFFFFF" w:themeColor="background1"/>
                <w:sz w:val="18"/>
                <w:szCs w:val="18"/>
              </w:rPr>
            </w:pPr>
            <w:r w:rsidRPr="00B70BA7">
              <w:rPr>
                <w:rFonts w:ascii="Arial Narrow" w:hAnsi="Arial Narrow"/>
                <w:b/>
                <w:color w:val="FFFFFF" w:themeColor="background1"/>
                <w:sz w:val="18"/>
                <w:szCs w:val="18"/>
              </w:rPr>
              <w:t>-9,4</w:t>
            </w:r>
          </w:p>
        </w:tc>
        <w:tc>
          <w:tcPr>
            <w:tcW w:w="1311" w:type="dxa"/>
            <w:tcBorders>
              <w:top w:val="single" w:sz="4" w:space="0" w:color="auto"/>
              <w:left w:val="nil"/>
              <w:bottom w:val="single" w:sz="4" w:space="0" w:color="auto"/>
              <w:right w:val="nil"/>
            </w:tcBorders>
            <w:shd w:val="clear" w:color="auto" w:fill="00527F"/>
            <w:vAlign w:val="bottom"/>
          </w:tcPr>
          <w:p w14:paraId="2BBE9314" w14:textId="77777777" w:rsidR="00976CD0" w:rsidRPr="00B70BA7" w:rsidRDefault="00976CD0" w:rsidP="00976CD0">
            <w:pPr>
              <w:ind w:right="170"/>
              <w:jc w:val="right"/>
              <w:rPr>
                <w:rFonts w:ascii="Arial Narrow" w:hAnsi="Arial Narrow"/>
                <w:b/>
                <w:color w:val="000000"/>
                <w:sz w:val="18"/>
                <w:szCs w:val="18"/>
              </w:rPr>
            </w:pPr>
            <w:r w:rsidRPr="00B70BA7">
              <w:rPr>
                <w:rFonts w:ascii="Arial Narrow" w:hAnsi="Arial Narrow"/>
                <w:b/>
                <w:color w:val="FFFFFF" w:themeColor="background1"/>
                <w:sz w:val="18"/>
                <w:szCs w:val="18"/>
              </w:rPr>
              <w:t>4,9</w:t>
            </w:r>
          </w:p>
        </w:tc>
        <w:tc>
          <w:tcPr>
            <w:tcW w:w="1312" w:type="dxa"/>
            <w:tcBorders>
              <w:top w:val="single" w:sz="4" w:space="0" w:color="auto"/>
              <w:left w:val="nil"/>
              <w:bottom w:val="single" w:sz="4" w:space="0" w:color="auto"/>
              <w:right w:val="nil"/>
            </w:tcBorders>
            <w:shd w:val="clear" w:color="auto" w:fill="00527F"/>
            <w:vAlign w:val="bottom"/>
          </w:tcPr>
          <w:p w14:paraId="491D2BCD" w14:textId="77777777" w:rsidR="00976CD0" w:rsidRPr="00B70BA7" w:rsidRDefault="00976CD0" w:rsidP="00976CD0">
            <w:pPr>
              <w:ind w:right="170"/>
              <w:jc w:val="right"/>
              <w:rPr>
                <w:rFonts w:ascii="Arial Narrow" w:hAnsi="Arial Narrow"/>
                <w:b/>
                <w:color w:val="FFFFFF" w:themeColor="background1"/>
                <w:sz w:val="18"/>
                <w:szCs w:val="18"/>
              </w:rPr>
            </w:pPr>
            <w:r w:rsidRPr="00B70BA7">
              <w:rPr>
                <w:rFonts w:ascii="Arial Narrow" w:hAnsi="Arial Narrow"/>
                <w:b/>
                <w:bCs/>
                <w:color w:val="FFFFFF" w:themeColor="background1"/>
                <w:sz w:val="18"/>
                <w:szCs w:val="18"/>
              </w:rPr>
              <w:t>4,0</w:t>
            </w:r>
          </w:p>
        </w:tc>
      </w:tr>
    </w:tbl>
    <w:bookmarkEnd w:id="5"/>
    <w:bookmarkEnd w:id="6"/>
    <w:p w14:paraId="74BAB8B3" w14:textId="77777777" w:rsidR="00011135" w:rsidRPr="0012768C" w:rsidRDefault="00011135" w:rsidP="00B77A0E">
      <w:pPr>
        <w:pStyle w:val="Rientrocorpodeltesto3"/>
        <w:numPr>
          <w:ilvl w:val="0"/>
          <w:numId w:val="9"/>
        </w:numPr>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6378"/>
          <w:tab w:val="clear" w:pos="7092"/>
          <w:tab w:val="clear" w:pos="7800"/>
          <w:tab w:val="left" w:pos="284"/>
        </w:tabs>
        <w:spacing w:before="60"/>
        <w:ind w:left="0" w:firstLine="0"/>
        <w:rPr>
          <w:b/>
          <w:bCs/>
          <w:sz w:val="22"/>
          <w:szCs w:val="22"/>
        </w:rPr>
      </w:pPr>
      <w:r w:rsidRPr="0012768C">
        <w:rPr>
          <w:rFonts w:ascii="Arial Narrow" w:hAnsi="Arial Narrow"/>
          <w:sz w:val="15"/>
          <w:szCs w:val="15"/>
        </w:rPr>
        <w:t xml:space="preserve">La variazione percentuale è stata calcolata con la seguente </w:t>
      </w:r>
      <w:r w:rsidRPr="00F25397">
        <w:rPr>
          <w:rFonts w:ascii="Arial Narrow" w:hAnsi="Arial Narrow"/>
          <w:sz w:val="15"/>
          <w:szCs w:val="15"/>
        </w:rPr>
        <w:t xml:space="preserve">formula: </w:t>
      </w:r>
      <w:r w:rsidRPr="007D02C0">
        <w:rPr>
          <w:rFonts w:ascii="Arial Narrow" w:hAnsi="Arial Narrow"/>
          <w:i/>
          <w:iCs/>
          <w:sz w:val="15"/>
          <w:szCs w:val="15"/>
        </w:rPr>
        <w:t>(M</w:t>
      </w:r>
      <w:r w:rsidR="00B70BA7">
        <w:rPr>
          <w:rFonts w:ascii="Arial Narrow" w:hAnsi="Arial Narrow"/>
          <w:i/>
          <w:iCs/>
          <w:sz w:val="15"/>
          <w:szCs w:val="15"/>
          <w:vertAlign w:val="superscript"/>
        </w:rPr>
        <w:t>2021</w:t>
      </w:r>
      <w:r w:rsidRPr="007D02C0">
        <w:rPr>
          <w:rFonts w:ascii="Arial Narrow" w:hAnsi="Arial Narrow"/>
          <w:i/>
          <w:iCs/>
          <w:sz w:val="15"/>
          <w:szCs w:val="15"/>
        </w:rPr>
        <w:t>/M</w:t>
      </w:r>
      <w:r w:rsidR="00B70BA7">
        <w:rPr>
          <w:rFonts w:ascii="Arial Narrow" w:hAnsi="Arial Narrow"/>
          <w:i/>
          <w:iCs/>
          <w:sz w:val="15"/>
          <w:szCs w:val="15"/>
          <w:vertAlign w:val="superscript"/>
        </w:rPr>
        <w:t>2019 e 202</w:t>
      </w:r>
      <w:r w:rsidRPr="007D02C0">
        <w:rPr>
          <w:rFonts w:ascii="Arial Narrow" w:hAnsi="Arial Narrow"/>
          <w:i/>
          <w:iCs/>
          <w:sz w:val="15"/>
          <w:szCs w:val="15"/>
          <w:vertAlign w:val="superscript"/>
        </w:rPr>
        <w:t>0</w:t>
      </w:r>
      <w:r w:rsidRPr="007D02C0">
        <w:rPr>
          <w:rFonts w:ascii="Arial Narrow" w:hAnsi="Arial Narrow"/>
          <w:i/>
          <w:iCs/>
          <w:sz w:val="15"/>
          <w:szCs w:val="15"/>
        </w:rPr>
        <w:t>-1)*100</w:t>
      </w:r>
      <w:r w:rsidRPr="00A84BD7">
        <w:rPr>
          <w:rFonts w:ascii="Arial Narrow" w:hAnsi="Arial Narrow"/>
          <w:sz w:val="15"/>
          <w:szCs w:val="15"/>
        </w:rPr>
        <w:t xml:space="preserve"> </w:t>
      </w:r>
      <w:r w:rsidRPr="00F25397">
        <w:rPr>
          <w:rFonts w:ascii="Arial Narrow" w:hAnsi="Arial Narrow"/>
          <w:sz w:val="15"/>
          <w:szCs w:val="15"/>
        </w:rPr>
        <w:t>(b) Tasso</w:t>
      </w:r>
      <w:r w:rsidRPr="0012768C">
        <w:rPr>
          <w:rFonts w:ascii="Arial Narrow" w:hAnsi="Arial Narrow"/>
          <w:sz w:val="15"/>
          <w:szCs w:val="15"/>
        </w:rPr>
        <w:t xml:space="preserve"> per 100</w:t>
      </w:r>
      <w:r>
        <w:rPr>
          <w:rFonts w:ascii="Arial Narrow" w:hAnsi="Arial Narrow"/>
          <w:sz w:val="15"/>
          <w:szCs w:val="15"/>
        </w:rPr>
        <w:t>mila</w:t>
      </w:r>
      <w:r w:rsidRPr="0012768C">
        <w:rPr>
          <w:rFonts w:ascii="Arial Narrow" w:hAnsi="Arial Narrow"/>
          <w:sz w:val="15"/>
          <w:szCs w:val="15"/>
        </w:rPr>
        <w:t xml:space="preserve"> abitanti. </w:t>
      </w:r>
    </w:p>
    <w:p w14:paraId="2AA24490" w14:textId="5BDA5847" w:rsidR="00B77A0E" w:rsidRPr="00BA51BE" w:rsidRDefault="00334390" w:rsidP="00B77A0E">
      <w:pPr>
        <w:widowControl w:val="0"/>
        <w:spacing w:after="120"/>
        <w:jc w:val="both"/>
        <w:rPr>
          <w:b/>
          <w:bCs/>
          <w:sz w:val="22"/>
          <w:szCs w:val="22"/>
        </w:rPr>
      </w:pPr>
      <w:r>
        <w:rPr>
          <w:b/>
          <w:bCs/>
          <w:sz w:val="22"/>
          <w:szCs w:val="22"/>
        </w:rPr>
        <w:lastRenderedPageBreak/>
        <w:t>N</w:t>
      </w:r>
      <w:r w:rsidR="00B77A0E" w:rsidRPr="00473567">
        <w:rPr>
          <w:b/>
          <w:bCs/>
          <w:sz w:val="22"/>
          <w:szCs w:val="22"/>
        </w:rPr>
        <w:t>ei grandi comuni</w:t>
      </w:r>
      <w:r>
        <w:rPr>
          <w:b/>
          <w:bCs/>
          <w:sz w:val="22"/>
          <w:szCs w:val="22"/>
        </w:rPr>
        <w:t xml:space="preserve"> un quarto degli incidenti e più di un decimo delle vittime</w:t>
      </w:r>
    </w:p>
    <w:p w14:paraId="2E2D0202" w14:textId="35116402" w:rsidR="00B77A0E" w:rsidRDefault="00B77A0E" w:rsidP="00577D9C">
      <w:pPr>
        <w:widowControl w:val="0"/>
        <w:jc w:val="both"/>
        <w:rPr>
          <w:sz w:val="20"/>
        </w:rPr>
      </w:pPr>
      <w:r w:rsidRPr="00BA51BE">
        <w:rPr>
          <w:sz w:val="20"/>
        </w:rPr>
        <w:t>L’analisi dell’incidentalità stradale nei grandi comuni italiani consente di delineare importanti caratteristiche nelle principali realtà urbane e di individuare elementi utili per le politiche sulla sicurezza stradale locale. I grandi comuni selezionati, in ordine di posizione geografica, sono Torino, Milano, Verona, Venezia, Trieste, Genova, Bologna, Firenze, Roma, Napoli, Bari, Palermo, Messina, Catania. Gli incidenti stradali in tali aree rappresentano, nel 20</w:t>
      </w:r>
      <w:r>
        <w:rPr>
          <w:sz w:val="20"/>
        </w:rPr>
        <w:t>21</w:t>
      </w:r>
      <w:r w:rsidRPr="00BA51BE">
        <w:rPr>
          <w:sz w:val="20"/>
        </w:rPr>
        <w:t>, il 2</w:t>
      </w:r>
      <w:r>
        <w:rPr>
          <w:sz w:val="20"/>
        </w:rPr>
        <w:t>5</w:t>
      </w:r>
      <w:r w:rsidRPr="00BA51BE">
        <w:rPr>
          <w:sz w:val="20"/>
        </w:rPr>
        <w:t>,</w:t>
      </w:r>
      <w:r>
        <w:rPr>
          <w:sz w:val="20"/>
        </w:rPr>
        <w:t>4</w:t>
      </w:r>
      <w:r w:rsidRPr="00BA51BE">
        <w:rPr>
          <w:sz w:val="20"/>
        </w:rPr>
        <w:t>% del totale (</w:t>
      </w:r>
      <w:r>
        <w:rPr>
          <w:sz w:val="20"/>
        </w:rPr>
        <w:t>38.581</w:t>
      </w:r>
      <w:r w:rsidRPr="00BA51BE">
        <w:rPr>
          <w:sz w:val="20"/>
        </w:rPr>
        <w:t xml:space="preserve">), le vittime </w:t>
      </w:r>
      <w:r w:rsidR="00334390">
        <w:rPr>
          <w:sz w:val="20"/>
        </w:rPr>
        <w:t>l’</w:t>
      </w:r>
      <w:r>
        <w:rPr>
          <w:sz w:val="20"/>
        </w:rPr>
        <w:t>11,1%</w:t>
      </w:r>
      <w:r w:rsidRPr="00BA51BE">
        <w:rPr>
          <w:sz w:val="20"/>
        </w:rPr>
        <w:t xml:space="preserve"> (</w:t>
      </w:r>
      <w:r>
        <w:rPr>
          <w:sz w:val="20"/>
        </w:rPr>
        <w:t>319</w:t>
      </w:r>
      <w:r w:rsidRPr="00BA51BE">
        <w:rPr>
          <w:sz w:val="20"/>
        </w:rPr>
        <w:t>), la popolazione residente il 16%</w:t>
      </w:r>
      <w:r>
        <w:rPr>
          <w:sz w:val="20"/>
        </w:rPr>
        <w:t xml:space="preserve"> e </w:t>
      </w:r>
      <w:r w:rsidRPr="0095649A">
        <w:rPr>
          <w:sz w:val="20"/>
        </w:rPr>
        <w:t>il parco veicolare il</w:t>
      </w:r>
      <w:r>
        <w:rPr>
          <w:sz w:val="20"/>
        </w:rPr>
        <w:t xml:space="preserve"> 14,3</w:t>
      </w:r>
      <w:r w:rsidRPr="0095649A">
        <w:rPr>
          <w:sz w:val="20"/>
        </w:rPr>
        <w:t>% (7</w:t>
      </w:r>
      <w:r>
        <w:rPr>
          <w:sz w:val="20"/>
        </w:rPr>
        <w:t xml:space="preserve">.594.250 </w:t>
      </w:r>
      <w:r w:rsidRPr="00E43A83">
        <w:rPr>
          <w:sz w:val="20"/>
        </w:rPr>
        <w:t>veicoli)</w:t>
      </w:r>
      <w:r w:rsidR="00675C06" w:rsidRPr="00675C06">
        <w:rPr>
          <w:sz w:val="20"/>
        </w:rPr>
        <w:t xml:space="preserve"> </w:t>
      </w:r>
      <w:r w:rsidR="00675C06" w:rsidRPr="00E43A83">
        <w:rPr>
          <w:sz w:val="20"/>
        </w:rPr>
        <w:t xml:space="preserve">(Prospetto </w:t>
      </w:r>
      <w:r w:rsidR="00675C06">
        <w:rPr>
          <w:sz w:val="20"/>
        </w:rPr>
        <w:t>8)</w:t>
      </w:r>
      <w:r w:rsidRPr="00E43A83">
        <w:rPr>
          <w:sz w:val="20"/>
        </w:rPr>
        <w:t xml:space="preserve">. </w:t>
      </w:r>
    </w:p>
    <w:p w14:paraId="75130204" w14:textId="152D57A8" w:rsidR="00334390" w:rsidRPr="00CC398C" w:rsidRDefault="00334390" w:rsidP="00334390">
      <w:pPr>
        <w:widowControl w:val="0"/>
        <w:jc w:val="both"/>
        <w:rPr>
          <w:sz w:val="20"/>
        </w:rPr>
      </w:pPr>
      <w:r w:rsidRPr="00E43A83">
        <w:rPr>
          <w:sz w:val="20"/>
        </w:rPr>
        <w:t>Nel 20</w:t>
      </w:r>
      <w:r>
        <w:rPr>
          <w:sz w:val="20"/>
        </w:rPr>
        <w:t>21</w:t>
      </w:r>
      <w:r w:rsidRPr="00E43A83">
        <w:rPr>
          <w:sz w:val="20"/>
        </w:rPr>
        <w:t xml:space="preserve"> il numero di vittime nei grandi comuni è </w:t>
      </w:r>
      <w:r>
        <w:rPr>
          <w:sz w:val="20"/>
        </w:rPr>
        <w:t>aumentato</w:t>
      </w:r>
      <w:r w:rsidRPr="00E43A83">
        <w:rPr>
          <w:sz w:val="20"/>
        </w:rPr>
        <w:t xml:space="preserve"> </w:t>
      </w:r>
      <w:r>
        <w:rPr>
          <w:sz w:val="20"/>
        </w:rPr>
        <w:t>dell’11,8</w:t>
      </w:r>
      <w:r w:rsidRPr="00E43A83">
        <w:rPr>
          <w:sz w:val="20"/>
        </w:rPr>
        <w:t>%</w:t>
      </w:r>
      <w:r>
        <w:rPr>
          <w:sz w:val="20"/>
        </w:rPr>
        <w:t xml:space="preserve"> rispetto al 2020</w:t>
      </w:r>
      <w:r w:rsidRPr="00E43A83">
        <w:rPr>
          <w:sz w:val="20"/>
        </w:rPr>
        <w:t xml:space="preserve"> </w:t>
      </w:r>
      <w:r>
        <w:rPr>
          <w:sz w:val="20"/>
        </w:rPr>
        <w:t>(+20,0</w:t>
      </w:r>
      <w:r w:rsidRPr="00E43A83">
        <w:rPr>
          <w:sz w:val="20"/>
        </w:rPr>
        <w:t>%</w:t>
      </w:r>
      <w:r>
        <w:rPr>
          <w:sz w:val="20"/>
        </w:rPr>
        <w:t xml:space="preserve"> in Italia</w:t>
      </w:r>
      <w:r w:rsidRPr="00E43A83">
        <w:rPr>
          <w:sz w:val="20"/>
        </w:rPr>
        <w:t>)</w:t>
      </w:r>
      <w:r>
        <w:rPr>
          <w:sz w:val="20"/>
        </w:rPr>
        <w:t xml:space="preserve"> e diminuito del 9,1% r</w:t>
      </w:r>
      <w:r w:rsidRPr="00E43A83">
        <w:rPr>
          <w:sz w:val="20"/>
        </w:rPr>
        <w:t>ispetto al 20</w:t>
      </w:r>
      <w:r>
        <w:rPr>
          <w:sz w:val="20"/>
        </w:rPr>
        <w:t>19</w:t>
      </w:r>
      <w:r w:rsidRPr="00E43A83">
        <w:rPr>
          <w:sz w:val="20"/>
        </w:rPr>
        <w:t xml:space="preserve"> </w:t>
      </w:r>
      <w:r>
        <w:rPr>
          <w:sz w:val="20"/>
        </w:rPr>
        <w:t>l (-9,4</w:t>
      </w:r>
      <w:r w:rsidRPr="00E43A83">
        <w:rPr>
          <w:sz w:val="20"/>
        </w:rPr>
        <w:t xml:space="preserve">% in </w:t>
      </w:r>
      <w:r>
        <w:rPr>
          <w:sz w:val="20"/>
        </w:rPr>
        <w:t xml:space="preserve">media nazionale). </w:t>
      </w:r>
      <w:r w:rsidRPr="00E43A83">
        <w:rPr>
          <w:sz w:val="20"/>
        </w:rPr>
        <w:t xml:space="preserve">Il tasso di mortalità stradale </w:t>
      </w:r>
      <w:r>
        <w:rPr>
          <w:sz w:val="20"/>
        </w:rPr>
        <w:t>sale</w:t>
      </w:r>
      <w:r w:rsidRPr="00E43A83">
        <w:rPr>
          <w:sz w:val="20"/>
        </w:rPr>
        <w:t xml:space="preserve"> </w:t>
      </w:r>
      <w:r>
        <w:rPr>
          <w:sz w:val="20"/>
        </w:rPr>
        <w:t xml:space="preserve">a 3,4 </w:t>
      </w:r>
      <w:r w:rsidRPr="00E43A83">
        <w:rPr>
          <w:sz w:val="20"/>
        </w:rPr>
        <w:t>per 100mila abitanti</w:t>
      </w:r>
      <w:r w:rsidRPr="00011781">
        <w:rPr>
          <w:sz w:val="20"/>
        </w:rPr>
        <w:t xml:space="preserve"> </w:t>
      </w:r>
      <w:r>
        <w:rPr>
          <w:sz w:val="20"/>
        </w:rPr>
        <w:t>da 3,0 del 2020</w:t>
      </w:r>
      <w:r w:rsidRPr="00E43A83">
        <w:rPr>
          <w:sz w:val="20"/>
        </w:rPr>
        <w:t>, contro una media nazionale di 4,</w:t>
      </w:r>
      <w:r>
        <w:rPr>
          <w:sz w:val="20"/>
        </w:rPr>
        <w:t>9, e varia tra 1,6</w:t>
      </w:r>
      <w:r w:rsidRPr="00E43A83">
        <w:rPr>
          <w:sz w:val="20"/>
        </w:rPr>
        <w:t xml:space="preserve"> di </w:t>
      </w:r>
      <w:r>
        <w:rPr>
          <w:sz w:val="20"/>
        </w:rPr>
        <w:t>Venezia</w:t>
      </w:r>
      <w:r w:rsidRPr="00E43A83">
        <w:rPr>
          <w:sz w:val="20"/>
        </w:rPr>
        <w:t xml:space="preserve"> e </w:t>
      </w:r>
      <w:r>
        <w:rPr>
          <w:sz w:val="20"/>
        </w:rPr>
        <w:t>6,3</w:t>
      </w:r>
      <w:r w:rsidRPr="00E43A83">
        <w:rPr>
          <w:sz w:val="20"/>
        </w:rPr>
        <w:t xml:space="preserve"> di </w:t>
      </w:r>
      <w:r>
        <w:rPr>
          <w:sz w:val="20"/>
        </w:rPr>
        <w:t xml:space="preserve">Messina </w:t>
      </w:r>
    </w:p>
    <w:p w14:paraId="31A0CBBF" w14:textId="77777777" w:rsidR="00577D9C" w:rsidRPr="00E43A83" w:rsidRDefault="00577D9C" w:rsidP="00577D9C">
      <w:pPr>
        <w:widowControl w:val="0"/>
        <w:jc w:val="both"/>
        <w:rPr>
          <w:sz w:val="20"/>
        </w:rPr>
      </w:pPr>
    </w:p>
    <w:p w14:paraId="5B94B566" w14:textId="1DFE80B9" w:rsidR="00B77A0E" w:rsidRPr="00580D40" w:rsidRDefault="00B77A0E" w:rsidP="00B77A0E">
      <w:pPr>
        <w:rPr>
          <w:rFonts w:ascii="Arial Narrow" w:hAnsi="Arial Narrow" w:cs="Times New Roman"/>
          <w:b/>
          <w:bCs/>
          <w:caps/>
          <w:color w:val="808080"/>
          <w:sz w:val="20"/>
        </w:rPr>
      </w:pPr>
      <w:r w:rsidRPr="00580D40">
        <w:rPr>
          <w:rFonts w:ascii="Arial Narrow" w:hAnsi="Arial Narrow" w:cs="Times New Roman"/>
          <w:b/>
          <w:bCs/>
          <w:caps/>
          <w:color w:val="808080"/>
          <w:sz w:val="20"/>
        </w:rPr>
        <w:t xml:space="preserve">Prospetto </w:t>
      </w:r>
      <w:r w:rsidR="00724E95">
        <w:rPr>
          <w:rFonts w:ascii="Arial Narrow" w:hAnsi="Arial Narrow" w:cs="Times New Roman"/>
          <w:b/>
          <w:bCs/>
          <w:caps/>
          <w:color w:val="808080"/>
          <w:sz w:val="20"/>
        </w:rPr>
        <w:t>8</w:t>
      </w:r>
      <w:r w:rsidRPr="00580D40">
        <w:rPr>
          <w:rFonts w:ascii="Arial Narrow" w:hAnsi="Arial Narrow" w:cs="Times New Roman"/>
          <w:b/>
          <w:bCs/>
          <w:caps/>
          <w:color w:val="808080"/>
          <w:sz w:val="20"/>
        </w:rPr>
        <w:t>. Incidenti stradali e Vittime per categoria della strada nei grandi Comuni italiani.</w:t>
      </w:r>
    </w:p>
    <w:p w14:paraId="72FFF75F" w14:textId="77777777" w:rsidR="00B77A0E" w:rsidRDefault="00B77A0E" w:rsidP="008127F7">
      <w:pPr>
        <w:spacing w:after="120"/>
        <w:jc w:val="both"/>
        <w:rPr>
          <w:rFonts w:ascii="Arial Narrow" w:hAnsi="Arial Narrow"/>
          <w:sz w:val="19"/>
          <w:szCs w:val="19"/>
        </w:rPr>
      </w:pPr>
      <w:r w:rsidRPr="00580D40">
        <w:rPr>
          <w:rFonts w:ascii="Arial Narrow" w:hAnsi="Arial Narrow"/>
          <w:sz w:val="19"/>
          <w:szCs w:val="19"/>
        </w:rPr>
        <w:t>Anni 20</w:t>
      </w:r>
      <w:r>
        <w:rPr>
          <w:rFonts w:ascii="Arial Narrow" w:hAnsi="Arial Narrow"/>
          <w:sz w:val="19"/>
          <w:szCs w:val="19"/>
        </w:rPr>
        <w:t>21</w:t>
      </w:r>
      <w:r w:rsidRPr="00580D40">
        <w:rPr>
          <w:rFonts w:ascii="Arial Narrow" w:hAnsi="Arial Narrow"/>
          <w:sz w:val="19"/>
          <w:szCs w:val="19"/>
        </w:rPr>
        <w:t xml:space="preserve"> e </w:t>
      </w:r>
      <w:r w:rsidRPr="00580D40">
        <w:rPr>
          <w:rFonts w:ascii="Arial Narrow" w:hAnsi="Arial Narrow" w:cs="Times New Roman"/>
          <w:bCs/>
          <w:caps/>
          <w:sz w:val="19"/>
          <w:szCs w:val="19"/>
        </w:rPr>
        <w:t>20</w:t>
      </w:r>
      <w:r>
        <w:rPr>
          <w:rFonts w:ascii="Arial Narrow" w:hAnsi="Arial Narrow" w:cs="Times New Roman"/>
          <w:bCs/>
          <w:caps/>
          <w:sz w:val="19"/>
          <w:szCs w:val="19"/>
        </w:rPr>
        <w:t>20</w:t>
      </w:r>
      <w:r w:rsidRPr="00580D40">
        <w:rPr>
          <w:rFonts w:ascii="Arial Narrow" w:hAnsi="Arial Narrow"/>
          <w:sz w:val="19"/>
          <w:szCs w:val="19"/>
        </w:rPr>
        <w:t xml:space="preserve">, </w:t>
      </w:r>
      <w:r w:rsidRPr="00580D40">
        <w:rPr>
          <w:rFonts w:ascii="Arial Narrow" w:hAnsi="Arial Narrow"/>
          <w:iCs/>
          <w:sz w:val="19"/>
          <w:szCs w:val="19"/>
        </w:rPr>
        <w:t>valori</w:t>
      </w:r>
      <w:r w:rsidRPr="00580D40">
        <w:rPr>
          <w:rFonts w:ascii="Arial Narrow" w:hAnsi="Arial Narrow"/>
          <w:sz w:val="19"/>
          <w:szCs w:val="19"/>
        </w:rPr>
        <w:t xml:space="preserve"> assoluti, tasso di mortalità stradale per 100.000 abita</w:t>
      </w:r>
      <w:r>
        <w:rPr>
          <w:rFonts w:ascii="Arial Narrow" w:hAnsi="Arial Narrow"/>
          <w:sz w:val="19"/>
          <w:szCs w:val="19"/>
        </w:rPr>
        <w:t>nti, variazione percentuale 2021</w:t>
      </w:r>
      <w:r w:rsidRPr="00580D40">
        <w:rPr>
          <w:rFonts w:ascii="Arial Narrow" w:hAnsi="Arial Narrow"/>
          <w:sz w:val="19"/>
          <w:szCs w:val="19"/>
        </w:rPr>
        <w:t>/2</w:t>
      </w:r>
      <w:r>
        <w:rPr>
          <w:rFonts w:ascii="Arial Narrow" w:hAnsi="Arial Narrow"/>
          <w:sz w:val="19"/>
          <w:szCs w:val="19"/>
        </w:rPr>
        <w:t>019 e 2021/2020</w:t>
      </w:r>
    </w:p>
    <w:tbl>
      <w:tblPr>
        <w:tblW w:w="9923"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41"/>
        <w:gridCol w:w="785"/>
        <w:gridCol w:w="785"/>
        <w:gridCol w:w="617"/>
        <w:gridCol w:w="617"/>
        <w:gridCol w:w="785"/>
        <w:gridCol w:w="785"/>
        <w:gridCol w:w="673"/>
        <w:gridCol w:w="673"/>
        <w:gridCol w:w="840"/>
        <w:gridCol w:w="840"/>
        <w:gridCol w:w="841"/>
        <w:gridCol w:w="841"/>
      </w:tblGrid>
      <w:tr w:rsidR="00577D9C" w:rsidRPr="00DF7442" w14:paraId="795298F1" w14:textId="77777777" w:rsidTr="006852FB">
        <w:trPr>
          <w:trHeight w:val="255"/>
          <w:jc w:val="center"/>
        </w:trPr>
        <w:tc>
          <w:tcPr>
            <w:tcW w:w="851" w:type="dxa"/>
            <w:vMerge w:val="restart"/>
            <w:shd w:val="clear" w:color="auto" w:fill="auto"/>
            <w:vAlign w:val="center"/>
          </w:tcPr>
          <w:p w14:paraId="60C1F83D" w14:textId="77777777" w:rsidR="00B77A0E" w:rsidRPr="00DF7442" w:rsidRDefault="00B77A0E" w:rsidP="00236108">
            <w:pPr>
              <w:spacing w:before="40"/>
              <w:rPr>
                <w:rFonts w:ascii="Arial Narrow" w:hAnsi="Arial Narrow" w:cs="Times New Roman"/>
                <w:b/>
                <w:bCs/>
                <w:sz w:val="18"/>
                <w:szCs w:val="18"/>
              </w:rPr>
            </w:pPr>
            <w:r w:rsidRPr="00DF7442">
              <w:rPr>
                <w:rFonts w:ascii="Arial Narrow" w:hAnsi="Arial Narrow" w:cs="Times New Roman"/>
                <w:b/>
                <w:bCs/>
                <w:sz w:val="18"/>
                <w:szCs w:val="18"/>
              </w:rPr>
              <w:t>GRANDI COMUNI</w:t>
            </w:r>
          </w:p>
        </w:tc>
        <w:tc>
          <w:tcPr>
            <w:tcW w:w="624" w:type="dxa"/>
            <w:gridSpan w:val="4"/>
            <w:shd w:val="clear" w:color="auto" w:fill="D9D9D9" w:themeFill="background1" w:themeFillShade="D9"/>
            <w:vAlign w:val="center"/>
          </w:tcPr>
          <w:p w14:paraId="0C5D1866" w14:textId="77777777" w:rsidR="00B77A0E" w:rsidRPr="00DF7442" w:rsidRDefault="00B77A0E" w:rsidP="00236108">
            <w:pPr>
              <w:spacing w:before="40"/>
              <w:jc w:val="center"/>
              <w:rPr>
                <w:rFonts w:ascii="Arial Narrow" w:hAnsi="Arial Narrow" w:cs="Times New Roman"/>
                <w:b/>
                <w:bCs/>
                <w:sz w:val="18"/>
                <w:szCs w:val="18"/>
              </w:rPr>
            </w:pPr>
            <w:r w:rsidRPr="00DF7442">
              <w:rPr>
                <w:rFonts w:ascii="Arial Narrow" w:hAnsi="Arial Narrow" w:cs="Times New Roman"/>
                <w:b/>
                <w:bCs/>
                <w:sz w:val="18"/>
                <w:szCs w:val="18"/>
              </w:rPr>
              <w:t>Strade urbane</w:t>
            </w:r>
          </w:p>
        </w:tc>
        <w:tc>
          <w:tcPr>
            <w:tcW w:w="680" w:type="dxa"/>
            <w:gridSpan w:val="4"/>
            <w:tcBorders>
              <w:bottom w:val="single" w:sz="4" w:space="0" w:color="auto"/>
            </w:tcBorders>
            <w:shd w:val="clear" w:color="auto" w:fill="auto"/>
            <w:vAlign w:val="center"/>
          </w:tcPr>
          <w:p w14:paraId="6A7DCB88" w14:textId="77777777" w:rsidR="00B77A0E" w:rsidRPr="00DF7442" w:rsidRDefault="00B77A0E" w:rsidP="00236108">
            <w:pPr>
              <w:spacing w:before="40"/>
              <w:jc w:val="center"/>
              <w:rPr>
                <w:rFonts w:ascii="Arial Narrow" w:hAnsi="Arial Narrow" w:cs="Times New Roman"/>
                <w:b/>
                <w:bCs/>
                <w:sz w:val="18"/>
                <w:szCs w:val="18"/>
              </w:rPr>
            </w:pPr>
            <w:r w:rsidRPr="00DF7442">
              <w:rPr>
                <w:rFonts w:ascii="Arial Narrow" w:hAnsi="Arial Narrow" w:cs="Times New Roman"/>
                <w:b/>
                <w:bCs/>
                <w:sz w:val="18"/>
                <w:szCs w:val="18"/>
              </w:rPr>
              <w:t xml:space="preserve">Strade extraurbane </w:t>
            </w:r>
            <w:r w:rsidRPr="00DF7442">
              <w:rPr>
                <w:rFonts w:ascii="Arial Narrow" w:hAnsi="Arial Narrow" w:cs="Times New Roman"/>
                <w:bCs/>
                <w:i/>
                <w:sz w:val="18"/>
                <w:szCs w:val="18"/>
              </w:rPr>
              <w:t>(a)</w:t>
            </w:r>
          </w:p>
        </w:tc>
        <w:tc>
          <w:tcPr>
            <w:tcW w:w="850" w:type="dxa"/>
            <w:vMerge w:val="restart"/>
            <w:shd w:val="clear" w:color="auto" w:fill="D9D9D9" w:themeFill="background1" w:themeFillShade="D9"/>
            <w:vAlign w:val="center"/>
          </w:tcPr>
          <w:p w14:paraId="76F60F5F" w14:textId="77777777" w:rsidR="00B77A0E" w:rsidRPr="00DF7442" w:rsidRDefault="00B77A0E" w:rsidP="00236108">
            <w:pPr>
              <w:spacing w:before="40"/>
              <w:jc w:val="center"/>
              <w:rPr>
                <w:rFonts w:ascii="Arial Narrow" w:hAnsi="Arial Narrow" w:cs="Times New Roman"/>
                <w:b/>
                <w:bCs/>
                <w:sz w:val="18"/>
                <w:szCs w:val="18"/>
              </w:rPr>
            </w:pPr>
            <w:r w:rsidRPr="00AD5162">
              <w:rPr>
                <w:rFonts w:ascii="Arial Narrow" w:hAnsi="Arial Narrow" w:cs="Times New Roman"/>
                <w:b/>
                <w:bCs/>
                <w:sz w:val="18"/>
                <w:szCs w:val="18"/>
              </w:rPr>
              <w:t>Tasso di mortalità 2021</w:t>
            </w:r>
            <w:r w:rsidRPr="00DF7442">
              <w:rPr>
                <w:rFonts w:ascii="Arial Narrow" w:hAnsi="Arial Narrow" w:cs="Times New Roman"/>
                <w:b/>
                <w:bCs/>
                <w:sz w:val="18"/>
                <w:szCs w:val="18"/>
              </w:rPr>
              <w:t xml:space="preserve"> </w:t>
            </w:r>
            <w:r w:rsidRPr="00DF7442">
              <w:rPr>
                <w:rFonts w:ascii="Arial Narrow" w:hAnsi="Arial Narrow" w:cs="Times New Roman"/>
                <w:bCs/>
                <w:i/>
                <w:sz w:val="18"/>
                <w:szCs w:val="18"/>
              </w:rPr>
              <w:t>(b)</w:t>
            </w:r>
          </w:p>
        </w:tc>
        <w:tc>
          <w:tcPr>
            <w:tcW w:w="850" w:type="dxa"/>
            <w:vMerge w:val="restart"/>
            <w:vAlign w:val="center"/>
          </w:tcPr>
          <w:p w14:paraId="58B8B016"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 xml:space="preserve">Tasso di mortalità </w:t>
            </w:r>
          </w:p>
          <w:p w14:paraId="40483082"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20</w:t>
            </w:r>
            <w:r>
              <w:rPr>
                <w:rFonts w:ascii="Arial Narrow" w:hAnsi="Arial Narrow" w:cs="Times New Roman"/>
                <w:b/>
                <w:bCs/>
                <w:sz w:val="18"/>
                <w:szCs w:val="18"/>
              </w:rPr>
              <w:t>20</w:t>
            </w:r>
            <w:r w:rsidRPr="00DF7442">
              <w:rPr>
                <w:rFonts w:ascii="Arial Narrow" w:hAnsi="Arial Narrow" w:cs="Times New Roman"/>
                <w:b/>
                <w:bCs/>
                <w:sz w:val="18"/>
                <w:szCs w:val="18"/>
              </w:rPr>
              <w:t xml:space="preserve"> </w:t>
            </w:r>
            <w:r w:rsidRPr="00DF7442">
              <w:rPr>
                <w:rFonts w:ascii="Arial Narrow" w:hAnsi="Arial Narrow" w:cs="Times New Roman"/>
                <w:bCs/>
                <w:i/>
                <w:sz w:val="18"/>
                <w:szCs w:val="18"/>
              </w:rPr>
              <w:t>(b)</w:t>
            </w:r>
          </w:p>
        </w:tc>
        <w:tc>
          <w:tcPr>
            <w:tcW w:w="851" w:type="dxa"/>
            <w:vMerge w:val="restart"/>
            <w:shd w:val="clear" w:color="auto" w:fill="D9D9D9" w:themeFill="background1" w:themeFillShade="D9"/>
            <w:vAlign w:val="center"/>
          </w:tcPr>
          <w:p w14:paraId="2C79B003" w14:textId="77777777" w:rsidR="00B77A0E" w:rsidRPr="00E43A83" w:rsidRDefault="00B77A0E" w:rsidP="00236108">
            <w:pPr>
              <w:spacing w:before="40"/>
              <w:jc w:val="center"/>
              <w:rPr>
                <w:rFonts w:ascii="Arial Narrow" w:hAnsi="Arial Narrow" w:cs="Times New Roman"/>
                <w:b/>
                <w:bCs/>
                <w:sz w:val="18"/>
                <w:szCs w:val="18"/>
              </w:rPr>
            </w:pPr>
            <w:r w:rsidRPr="00E43A83">
              <w:rPr>
                <w:rFonts w:ascii="Arial Narrow" w:hAnsi="Arial Narrow" w:cs="Times New Roman"/>
                <w:b/>
                <w:bCs/>
                <w:sz w:val="18"/>
                <w:szCs w:val="18"/>
              </w:rPr>
              <w:t>Var % morti 202</w:t>
            </w:r>
            <w:r>
              <w:rPr>
                <w:rFonts w:ascii="Arial Narrow" w:hAnsi="Arial Narrow" w:cs="Times New Roman"/>
                <w:b/>
                <w:bCs/>
                <w:sz w:val="18"/>
                <w:szCs w:val="18"/>
              </w:rPr>
              <w:t>1</w:t>
            </w:r>
            <w:r w:rsidRPr="00E43A83">
              <w:rPr>
                <w:rFonts w:ascii="Arial Narrow" w:hAnsi="Arial Narrow" w:cs="Times New Roman"/>
                <w:b/>
                <w:bCs/>
                <w:sz w:val="18"/>
                <w:szCs w:val="18"/>
              </w:rPr>
              <w:t>/</w:t>
            </w:r>
            <w:r>
              <w:rPr>
                <w:rFonts w:ascii="Arial Narrow" w:hAnsi="Arial Narrow" w:cs="Times New Roman"/>
                <w:b/>
                <w:bCs/>
                <w:sz w:val="18"/>
                <w:szCs w:val="18"/>
              </w:rPr>
              <w:t>2020</w:t>
            </w:r>
            <w:r w:rsidRPr="00E43A83">
              <w:rPr>
                <w:rFonts w:ascii="Arial Narrow" w:hAnsi="Arial Narrow" w:cs="Times New Roman"/>
                <w:b/>
                <w:bCs/>
                <w:sz w:val="18"/>
                <w:szCs w:val="18"/>
              </w:rPr>
              <w:t xml:space="preserve"> </w:t>
            </w:r>
            <w:r w:rsidRPr="00E43A83">
              <w:rPr>
                <w:rFonts w:ascii="Arial Narrow" w:hAnsi="Arial Narrow" w:cs="Times New Roman"/>
                <w:bCs/>
                <w:i/>
                <w:sz w:val="18"/>
                <w:szCs w:val="18"/>
              </w:rPr>
              <w:t>(c)</w:t>
            </w:r>
          </w:p>
        </w:tc>
        <w:tc>
          <w:tcPr>
            <w:tcW w:w="851" w:type="dxa"/>
            <w:vMerge w:val="restart"/>
            <w:shd w:val="clear" w:color="auto" w:fill="auto"/>
            <w:vAlign w:val="center"/>
          </w:tcPr>
          <w:p w14:paraId="53623330" w14:textId="77777777" w:rsidR="00B77A0E" w:rsidRPr="00AD5162" w:rsidRDefault="00B77A0E" w:rsidP="00236108">
            <w:pPr>
              <w:spacing w:before="40"/>
              <w:jc w:val="center"/>
              <w:rPr>
                <w:rFonts w:ascii="Arial Narrow" w:hAnsi="Arial Narrow" w:cs="Times New Roman"/>
                <w:b/>
                <w:bCs/>
                <w:sz w:val="18"/>
                <w:szCs w:val="18"/>
              </w:rPr>
            </w:pPr>
            <w:r w:rsidRPr="00AD5162">
              <w:rPr>
                <w:rFonts w:ascii="Arial Narrow" w:hAnsi="Arial Narrow" w:cs="Times New Roman"/>
                <w:b/>
                <w:bCs/>
                <w:sz w:val="18"/>
                <w:szCs w:val="18"/>
              </w:rPr>
              <w:t xml:space="preserve">Var % morti 2021/2019 </w:t>
            </w:r>
            <w:r w:rsidRPr="00AD5162">
              <w:rPr>
                <w:rFonts w:ascii="Arial Narrow" w:hAnsi="Arial Narrow" w:cs="Times New Roman"/>
                <w:bCs/>
                <w:i/>
                <w:sz w:val="18"/>
                <w:szCs w:val="18"/>
              </w:rPr>
              <w:t>(c)</w:t>
            </w:r>
          </w:p>
        </w:tc>
      </w:tr>
      <w:tr w:rsidR="00577D9C" w:rsidRPr="00DF7442" w14:paraId="4531B401" w14:textId="77777777" w:rsidTr="006852FB">
        <w:trPr>
          <w:trHeight w:val="571"/>
          <w:jc w:val="center"/>
        </w:trPr>
        <w:tc>
          <w:tcPr>
            <w:tcW w:w="851" w:type="dxa"/>
            <w:vMerge/>
            <w:shd w:val="clear" w:color="auto" w:fill="auto"/>
            <w:vAlign w:val="center"/>
          </w:tcPr>
          <w:p w14:paraId="70C253F4" w14:textId="77777777" w:rsidR="00B77A0E" w:rsidRPr="00DF7442" w:rsidRDefault="00B77A0E" w:rsidP="00236108">
            <w:pPr>
              <w:spacing w:before="40"/>
              <w:rPr>
                <w:rFonts w:ascii="Arial Narrow" w:hAnsi="Arial Narrow" w:cs="Times New Roman"/>
                <w:b/>
                <w:bCs/>
                <w:sz w:val="18"/>
                <w:szCs w:val="18"/>
              </w:rPr>
            </w:pPr>
          </w:p>
        </w:tc>
        <w:tc>
          <w:tcPr>
            <w:tcW w:w="794" w:type="dxa"/>
            <w:shd w:val="clear" w:color="auto" w:fill="FFFFFF" w:themeFill="background1"/>
            <w:vAlign w:val="center"/>
          </w:tcPr>
          <w:p w14:paraId="6A1BA1F6"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Incidenti</w:t>
            </w:r>
          </w:p>
          <w:p w14:paraId="412150FB" w14:textId="77777777" w:rsidR="00B77A0E" w:rsidRPr="00DF7442" w:rsidRDefault="00B77A0E" w:rsidP="00236108">
            <w:pPr>
              <w:jc w:val="center"/>
              <w:rPr>
                <w:rFonts w:ascii="Arial Narrow" w:hAnsi="Arial Narrow" w:cs="Times New Roman"/>
                <w:b/>
                <w:bCs/>
                <w:sz w:val="18"/>
                <w:szCs w:val="18"/>
              </w:rPr>
            </w:pPr>
            <w:r>
              <w:rPr>
                <w:rFonts w:ascii="Arial Narrow" w:hAnsi="Arial Narrow" w:cs="Times New Roman"/>
                <w:b/>
                <w:bCs/>
                <w:sz w:val="18"/>
                <w:szCs w:val="18"/>
              </w:rPr>
              <w:t>2021</w:t>
            </w:r>
          </w:p>
        </w:tc>
        <w:tc>
          <w:tcPr>
            <w:tcW w:w="794" w:type="dxa"/>
            <w:shd w:val="clear" w:color="auto" w:fill="FFFFFF" w:themeFill="background1"/>
            <w:vAlign w:val="center"/>
          </w:tcPr>
          <w:p w14:paraId="362C7544"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Incidenti</w:t>
            </w:r>
          </w:p>
          <w:p w14:paraId="629B8180"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2020</w:t>
            </w:r>
          </w:p>
        </w:tc>
        <w:tc>
          <w:tcPr>
            <w:tcW w:w="624" w:type="dxa"/>
            <w:shd w:val="clear" w:color="auto" w:fill="FFFFFF" w:themeFill="background1"/>
            <w:vAlign w:val="center"/>
          </w:tcPr>
          <w:p w14:paraId="02C3F680"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Morti</w:t>
            </w:r>
          </w:p>
          <w:p w14:paraId="32D44EAA" w14:textId="77777777" w:rsidR="00B77A0E" w:rsidRPr="00DF7442" w:rsidRDefault="00B77A0E" w:rsidP="00236108">
            <w:pPr>
              <w:jc w:val="center"/>
              <w:rPr>
                <w:rFonts w:ascii="Arial Narrow" w:hAnsi="Arial Narrow" w:cs="Times New Roman"/>
                <w:b/>
                <w:bCs/>
                <w:sz w:val="18"/>
                <w:szCs w:val="18"/>
              </w:rPr>
            </w:pPr>
            <w:r>
              <w:rPr>
                <w:rFonts w:ascii="Arial Narrow" w:hAnsi="Arial Narrow" w:cs="Times New Roman"/>
                <w:b/>
                <w:bCs/>
                <w:sz w:val="18"/>
                <w:szCs w:val="18"/>
              </w:rPr>
              <w:t>2021</w:t>
            </w:r>
          </w:p>
        </w:tc>
        <w:tc>
          <w:tcPr>
            <w:tcW w:w="624" w:type="dxa"/>
            <w:shd w:val="clear" w:color="auto" w:fill="FFFFFF" w:themeFill="background1"/>
            <w:vAlign w:val="center"/>
          </w:tcPr>
          <w:p w14:paraId="15DA9226"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Morti</w:t>
            </w:r>
          </w:p>
          <w:p w14:paraId="7D2583BC"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2020</w:t>
            </w:r>
          </w:p>
        </w:tc>
        <w:tc>
          <w:tcPr>
            <w:tcW w:w="794" w:type="dxa"/>
            <w:shd w:val="clear" w:color="auto" w:fill="FFFFFF" w:themeFill="background1"/>
            <w:vAlign w:val="center"/>
          </w:tcPr>
          <w:p w14:paraId="233BAB86"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Incidenti</w:t>
            </w:r>
          </w:p>
          <w:p w14:paraId="433000A2" w14:textId="77777777" w:rsidR="00B77A0E" w:rsidRPr="00DF7442" w:rsidRDefault="00B77A0E" w:rsidP="00236108">
            <w:pPr>
              <w:jc w:val="center"/>
              <w:rPr>
                <w:rFonts w:ascii="Arial Narrow" w:hAnsi="Arial Narrow" w:cs="Times New Roman"/>
                <w:b/>
                <w:bCs/>
                <w:sz w:val="18"/>
                <w:szCs w:val="18"/>
              </w:rPr>
            </w:pPr>
            <w:r>
              <w:rPr>
                <w:rFonts w:ascii="Arial Narrow" w:hAnsi="Arial Narrow" w:cs="Times New Roman"/>
                <w:b/>
                <w:bCs/>
                <w:sz w:val="18"/>
                <w:szCs w:val="18"/>
              </w:rPr>
              <w:t>2021</w:t>
            </w:r>
          </w:p>
        </w:tc>
        <w:tc>
          <w:tcPr>
            <w:tcW w:w="794" w:type="dxa"/>
            <w:shd w:val="clear" w:color="auto" w:fill="FFFFFF" w:themeFill="background1"/>
            <w:vAlign w:val="center"/>
          </w:tcPr>
          <w:p w14:paraId="23950F3C"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Incidenti</w:t>
            </w:r>
          </w:p>
          <w:p w14:paraId="2876361B"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2020</w:t>
            </w:r>
          </w:p>
        </w:tc>
        <w:tc>
          <w:tcPr>
            <w:tcW w:w="680" w:type="dxa"/>
            <w:shd w:val="clear" w:color="auto" w:fill="FFFFFF" w:themeFill="background1"/>
            <w:vAlign w:val="center"/>
          </w:tcPr>
          <w:p w14:paraId="5A068452"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Morti</w:t>
            </w:r>
          </w:p>
          <w:p w14:paraId="470F27D0"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20</w:t>
            </w:r>
            <w:r>
              <w:rPr>
                <w:rFonts w:ascii="Arial Narrow" w:hAnsi="Arial Narrow" w:cs="Times New Roman"/>
                <w:b/>
                <w:bCs/>
                <w:sz w:val="18"/>
                <w:szCs w:val="18"/>
              </w:rPr>
              <w:t>21</w:t>
            </w:r>
          </w:p>
        </w:tc>
        <w:tc>
          <w:tcPr>
            <w:tcW w:w="680" w:type="dxa"/>
            <w:shd w:val="clear" w:color="auto" w:fill="auto"/>
            <w:vAlign w:val="center"/>
          </w:tcPr>
          <w:p w14:paraId="2B77313A"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Morti</w:t>
            </w:r>
          </w:p>
          <w:p w14:paraId="16A84FAC" w14:textId="77777777" w:rsidR="00B77A0E" w:rsidRPr="00DF7442" w:rsidRDefault="00B77A0E" w:rsidP="00236108">
            <w:pPr>
              <w:jc w:val="center"/>
              <w:rPr>
                <w:rFonts w:ascii="Arial Narrow" w:hAnsi="Arial Narrow" w:cs="Times New Roman"/>
                <w:b/>
                <w:bCs/>
                <w:sz w:val="18"/>
                <w:szCs w:val="18"/>
              </w:rPr>
            </w:pPr>
            <w:r w:rsidRPr="00DF7442">
              <w:rPr>
                <w:rFonts w:ascii="Arial Narrow" w:hAnsi="Arial Narrow" w:cs="Times New Roman"/>
                <w:b/>
                <w:bCs/>
                <w:sz w:val="18"/>
                <w:szCs w:val="18"/>
              </w:rPr>
              <w:t>2020</w:t>
            </w:r>
          </w:p>
        </w:tc>
        <w:tc>
          <w:tcPr>
            <w:tcW w:w="850" w:type="dxa"/>
            <w:vMerge/>
            <w:shd w:val="clear" w:color="auto" w:fill="D9D9D9" w:themeFill="background1" w:themeFillShade="D9"/>
            <w:vAlign w:val="center"/>
          </w:tcPr>
          <w:p w14:paraId="5205258B" w14:textId="77777777" w:rsidR="00B77A0E" w:rsidRPr="00DF7442" w:rsidRDefault="00B77A0E" w:rsidP="00236108">
            <w:pPr>
              <w:spacing w:before="40"/>
              <w:jc w:val="center"/>
              <w:rPr>
                <w:rFonts w:ascii="Arial Narrow" w:hAnsi="Arial Narrow" w:cs="Times New Roman"/>
                <w:b/>
                <w:bCs/>
                <w:sz w:val="18"/>
                <w:szCs w:val="18"/>
              </w:rPr>
            </w:pPr>
          </w:p>
        </w:tc>
        <w:tc>
          <w:tcPr>
            <w:tcW w:w="850" w:type="dxa"/>
            <w:vMerge/>
            <w:vAlign w:val="center"/>
          </w:tcPr>
          <w:p w14:paraId="2A7E17D8" w14:textId="77777777" w:rsidR="00B77A0E" w:rsidRPr="00DF7442" w:rsidRDefault="00B77A0E" w:rsidP="00236108">
            <w:pPr>
              <w:spacing w:before="40"/>
              <w:jc w:val="center"/>
              <w:rPr>
                <w:rFonts w:ascii="Arial Narrow" w:hAnsi="Arial Narrow" w:cs="Times New Roman"/>
                <w:b/>
                <w:bCs/>
                <w:sz w:val="18"/>
                <w:szCs w:val="18"/>
              </w:rPr>
            </w:pPr>
          </w:p>
        </w:tc>
        <w:tc>
          <w:tcPr>
            <w:tcW w:w="851" w:type="dxa"/>
            <w:vMerge/>
            <w:shd w:val="clear" w:color="auto" w:fill="D9D9D9" w:themeFill="background1" w:themeFillShade="D9"/>
            <w:vAlign w:val="center"/>
          </w:tcPr>
          <w:p w14:paraId="426584D9" w14:textId="77777777" w:rsidR="00B77A0E" w:rsidRPr="00E43A83" w:rsidRDefault="00B77A0E" w:rsidP="00236108">
            <w:pPr>
              <w:spacing w:before="40"/>
              <w:jc w:val="center"/>
              <w:rPr>
                <w:rFonts w:ascii="Arial Narrow" w:hAnsi="Arial Narrow" w:cs="Times New Roman"/>
                <w:b/>
                <w:bCs/>
                <w:sz w:val="18"/>
                <w:szCs w:val="18"/>
              </w:rPr>
            </w:pPr>
          </w:p>
        </w:tc>
        <w:tc>
          <w:tcPr>
            <w:tcW w:w="851" w:type="dxa"/>
            <w:vMerge/>
            <w:shd w:val="clear" w:color="auto" w:fill="auto"/>
            <w:vAlign w:val="center"/>
          </w:tcPr>
          <w:p w14:paraId="4BA64855" w14:textId="77777777" w:rsidR="00B77A0E" w:rsidRPr="00AD5162" w:rsidRDefault="00B77A0E" w:rsidP="00236108">
            <w:pPr>
              <w:spacing w:before="40"/>
              <w:jc w:val="center"/>
              <w:rPr>
                <w:rFonts w:ascii="Arial Narrow" w:hAnsi="Arial Narrow" w:cs="Times New Roman"/>
                <w:b/>
                <w:bCs/>
                <w:sz w:val="18"/>
                <w:szCs w:val="18"/>
              </w:rPr>
            </w:pPr>
          </w:p>
        </w:tc>
      </w:tr>
      <w:tr w:rsidR="00577D9C" w:rsidRPr="00DF7442" w14:paraId="30581DB6" w14:textId="77777777" w:rsidTr="006852FB">
        <w:trPr>
          <w:trHeight w:hRule="exact" w:val="255"/>
          <w:jc w:val="center"/>
        </w:trPr>
        <w:tc>
          <w:tcPr>
            <w:tcW w:w="851" w:type="dxa"/>
            <w:shd w:val="clear" w:color="auto" w:fill="auto"/>
            <w:noWrap/>
            <w:vAlign w:val="center"/>
          </w:tcPr>
          <w:p w14:paraId="1ED35D03"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Torino</w:t>
            </w:r>
          </w:p>
        </w:tc>
        <w:tc>
          <w:tcPr>
            <w:tcW w:w="794" w:type="dxa"/>
            <w:shd w:val="clear" w:color="auto" w:fill="D9D9D9" w:themeFill="background1" w:themeFillShade="D9"/>
            <w:vAlign w:val="center"/>
          </w:tcPr>
          <w:p w14:paraId="2DA3FCF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2.751</w:t>
            </w:r>
          </w:p>
        </w:tc>
        <w:tc>
          <w:tcPr>
            <w:tcW w:w="794" w:type="dxa"/>
            <w:vAlign w:val="center"/>
          </w:tcPr>
          <w:p w14:paraId="072CE83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2.059</w:t>
            </w:r>
          </w:p>
        </w:tc>
        <w:tc>
          <w:tcPr>
            <w:tcW w:w="624" w:type="dxa"/>
            <w:shd w:val="clear" w:color="auto" w:fill="D9D9D9" w:themeFill="background1" w:themeFillShade="D9"/>
            <w:noWrap/>
            <w:vAlign w:val="center"/>
          </w:tcPr>
          <w:p w14:paraId="60D4BD26"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15</w:t>
            </w:r>
          </w:p>
        </w:tc>
        <w:tc>
          <w:tcPr>
            <w:tcW w:w="624" w:type="dxa"/>
            <w:shd w:val="clear" w:color="auto" w:fill="auto"/>
            <w:vAlign w:val="center"/>
          </w:tcPr>
          <w:p w14:paraId="5C6945BA" w14:textId="77777777" w:rsidR="00B77A0E" w:rsidRPr="00696B04" w:rsidRDefault="00B77A0E" w:rsidP="00236108">
            <w:pPr>
              <w:jc w:val="right"/>
              <w:rPr>
                <w:rFonts w:ascii="Arial Narrow" w:hAnsi="Arial Narrow" w:cs="Times New Roman"/>
                <w:color w:val="000000"/>
                <w:sz w:val="18"/>
                <w:szCs w:val="18"/>
              </w:rPr>
            </w:pPr>
            <w:r w:rsidRPr="00696B04">
              <w:rPr>
                <w:rFonts w:ascii="Arial Narrow" w:hAnsi="Arial Narrow"/>
                <w:color w:val="000000"/>
                <w:sz w:val="18"/>
                <w:szCs w:val="18"/>
              </w:rPr>
              <w:t>14</w:t>
            </w:r>
          </w:p>
        </w:tc>
        <w:tc>
          <w:tcPr>
            <w:tcW w:w="794" w:type="dxa"/>
            <w:shd w:val="clear" w:color="auto" w:fill="D9D9D9" w:themeFill="background1" w:themeFillShade="D9"/>
            <w:vAlign w:val="center"/>
          </w:tcPr>
          <w:p w14:paraId="4DA4D220"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40</w:t>
            </w:r>
          </w:p>
        </w:tc>
        <w:tc>
          <w:tcPr>
            <w:tcW w:w="794" w:type="dxa"/>
            <w:shd w:val="clear" w:color="auto" w:fill="auto"/>
            <w:vAlign w:val="center"/>
          </w:tcPr>
          <w:p w14:paraId="471E027F" w14:textId="77777777" w:rsidR="00B77A0E" w:rsidRPr="00696B04" w:rsidRDefault="00B77A0E" w:rsidP="00236108">
            <w:pPr>
              <w:jc w:val="right"/>
              <w:rPr>
                <w:rFonts w:ascii="Arial Narrow" w:hAnsi="Arial Narrow" w:cs="Times New Roman"/>
                <w:color w:val="000000"/>
                <w:sz w:val="18"/>
                <w:szCs w:val="18"/>
              </w:rPr>
            </w:pPr>
            <w:r w:rsidRPr="00696B04">
              <w:rPr>
                <w:rFonts w:ascii="Arial Narrow" w:hAnsi="Arial Narrow"/>
                <w:color w:val="000000"/>
                <w:sz w:val="18"/>
                <w:szCs w:val="18"/>
              </w:rPr>
              <w:t>29</w:t>
            </w:r>
          </w:p>
        </w:tc>
        <w:tc>
          <w:tcPr>
            <w:tcW w:w="680" w:type="dxa"/>
            <w:shd w:val="clear" w:color="auto" w:fill="D9D9D9" w:themeFill="background1" w:themeFillShade="D9"/>
            <w:vAlign w:val="center"/>
          </w:tcPr>
          <w:p w14:paraId="6552990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680" w:type="dxa"/>
            <w:shd w:val="clear" w:color="auto" w:fill="auto"/>
            <w:vAlign w:val="center"/>
          </w:tcPr>
          <w:p w14:paraId="2CC67C8A"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850" w:type="dxa"/>
            <w:shd w:val="clear" w:color="auto" w:fill="D9D9D9" w:themeFill="background1" w:themeFillShade="D9"/>
            <w:vAlign w:val="center"/>
          </w:tcPr>
          <w:p w14:paraId="55A4746D"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1,8</w:t>
            </w:r>
          </w:p>
        </w:tc>
        <w:tc>
          <w:tcPr>
            <w:tcW w:w="850" w:type="dxa"/>
            <w:vAlign w:val="center"/>
          </w:tcPr>
          <w:p w14:paraId="21135F94"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1,6</w:t>
            </w:r>
          </w:p>
        </w:tc>
        <w:tc>
          <w:tcPr>
            <w:tcW w:w="851" w:type="dxa"/>
            <w:shd w:val="clear" w:color="auto" w:fill="D9D9D9" w:themeFill="background1" w:themeFillShade="D9"/>
            <w:vAlign w:val="center"/>
          </w:tcPr>
          <w:p w14:paraId="7F466C68"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7,1</w:t>
            </w:r>
          </w:p>
        </w:tc>
        <w:tc>
          <w:tcPr>
            <w:tcW w:w="851" w:type="dxa"/>
            <w:shd w:val="clear" w:color="auto" w:fill="auto"/>
            <w:vAlign w:val="center"/>
          </w:tcPr>
          <w:p w14:paraId="4BB9C219"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-42,3</w:t>
            </w:r>
          </w:p>
        </w:tc>
      </w:tr>
      <w:tr w:rsidR="00577D9C" w:rsidRPr="00DF7442" w14:paraId="3DDC7982" w14:textId="77777777" w:rsidTr="006852FB">
        <w:trPr>
          <w:trHeight w:hRule="exact" w:val="255"/>
          <w:jc w:val="center"/>
        </w:trPr>
        <w:tc>
          <w:tcPr>
            <w:tcW w:w="851" w:type="dxa"/>
            <w:shd w:val="clear" w:color="auto" w:fill="auto"/>
            <w:noWrap/>
            <w:vAlign w:val="center"/>
          </w:tcPr>
          <w:p w14:paraId="3F78A6C9"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Milano</w:t>
            </w:r>
          </w:p>
        </w:tc>
        <w:tc>
          <w:tcPr>
            <w:tcW w:w="794" w:type="dxa"/>
            <w:shd w:val="clear" w:color="auto" w:fill="D9D9D9" w:themeFill="background1" w:themeFillShade="D9"/>
            <w:vAlign w:val="center"/>
          </w:tcPr>
          <w:p w14:paraId="12A3346E"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7.231</w:t>
            </w:r>
          </w:p>
        </w:tc>
        <w:tc>
          <w:tcPr>
            <w:tcW w:w="794" w:type="dxa"/>
            <w:vAlign w:val="center"/>
          </w:tcPr>
          <w:p w14:paraId="1A1F176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4.726</w:t>
            </w:r>
          </w:p>
        </w:tc>
        <w:tc>
          <w:tcPr>
            <w:tcW w:w="624" w:type="dxa"/>
            <w:shd w:val="clear" w:color="auto" w:fill="D9D9D9" w:themeFill="background1" w:themeFillShade="D9"/>
            <w:noWrap/>
            <w:vAlign w:val="center"/>
          </w:tcPr>
          <w:p w14:paraId="35D1DA82"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31</w:t>
            </w:r>
          </w:p>
        </w:tc>
        <w:tc>
          <w:tcPr>
            <w:tcW w:w="624" w:type="dxa"/>
            <w:shd w:val="clear" w:color="auto" w:fill="auto"/>
            <w:vAlign w:val="center"/>
          </w:tcPr>
          <w:p w14:paraId="4EB86C0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26</w:t>
            </w:r>
          </w:p>
        </w:tc>
        <w:tc>
          <w:tcPr>
            <w:tcW w:w="794" w:type="dxa"/>
            <w:shd w:val="clear" w:color="auto" w:fill="D9D9D9" w:themeFill="background1" w:themeFillShade="D9"/>
            <w:vAlign w:val="center"/>
          </w:tcPr>
          <w:p w14:paraId="1414B78A"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233</w:t>
            </w:r>
          </w:p>
        </w:tc>
        <w:tc>
          <w:tcPr>
            <w:tcW w:w="794" w:type="dxa"/>
            <w:shd w:val="clear" w:color="auto" w:fill="auto"/>
            <w:vAlign w:val="center"/>
          </w:tcPr>
          <w:p w14:paraId="79D1D3B0"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130</w:t>
            </w:r>
          </w:p>
        </w:tc>
        <w:tc>
          <w:tcPr>
            <w:tcW w:w="680" w:type="dxa"/>
            <w:shd w:val="clear" w:color="auto" w:fill="D9D9D9" w:themeFill="background1" w:themeFillShade="D9"/>
            <w:vAlign w:val="center"/>
          </w:tcPr>
          <w:p w14:paraId="01B30DB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680" w:type="dxa"/>
            <w:shd w:val="clear" w:color="auto" w:fill="auto"/>
            <w:vAlign w:val="center"/>
          </w:tcPr>
          <w:p w14:paraId="4D22B672"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w:t>
            </w:r>
          </w:p>
        </w:tc>
        <w:tc>
          <w:tcPr>
            <w:tcW w:w="850" w:type="dxa"/>
            <w:shd w:val="clear" w:color="auto" w:fill="D9D9D9" w:themeFill="background1" w:themeFillShade="D9"/>
            <w:vAlign w:val="center"/>
          </w:tcPr>
          <w:p w14:paraId="47BE0264"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2,5</w:t>
            </w:r>
          </w:p>
        </w:tc>
        <w:tc>
          <w:tcPr>
            <w:tcW w:w="850" w:type="dxa"/>
            <w:vAlign w:val="center"/>
          </w:tcPr>
          <w:p w14:paraId="5F6E920A"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2,0</w:t>
            </w:r>
          </w:p>
        </w:tc>
        <w:tc>
          <w:tcPr>
            <w:tcW w:w="851" w:type="dxa"/>
            <w:shd w:val="clear" w:color="auto" w:fill="D9D9D9" w:themeFill="background1" w:themeFillShade="D9"/>
            <w:vAlign w:val="center"/>
          </w:tcPr>
          <w:p w14:paraId="2FE57010"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21,4</w:t>
            </w:r>
          </w:p>
        </w:tc>
        <w:tc>
          <w:tcPr>
            <w:tcW w:w="851" w:type="dxa"/>
            <w:shd w:val="clear" w:color="auto" w:fill="auto"/>
            <w:vAlign w:val="center"/>
          </w:tcPr>
          <w:p w14:paraId="1008D4E8" w14:textId="2DC6DD83" w:rsidR="00B77A0E" w:rsidRPr="00AD5162" w:rsidRDefault="00297FAF" w:rsidP="00236108">
            <w:pPr>
              <w:ind w:right="113"/>
              <w:jc w:val="right"/>
              <w:rPr>
                <w:rFonts w:ascii="Arial Narrow" w:hAnsi="Arial Narrow"/>
                <w:color w:val="000000"/>
                <w:sz w:val="18"/>
                <w:szCs w:val="18"/>
              </w:rPr>
            </w:pPr>
            <w:r w:rsidRPr="00AD5162">
              <w:rPr>
                <w:rFonts w:ascii="Arial Narrow" w:hAnsi="Arial Narrow"/>
                <w:color w:val="000000"/>
                <w:sz w:val="18"/>
                <w:szCs w:val="18"/>
              </w:rPr>
              <w:t>-</w:t>
            </w:r>
          </w:p>
        </w:tc>
      </w:tr>
      <w:tr w:rsidR="00577D9C" w:rsidRPr="00DF7442" w14:paraId="67DB834A" w14:textId="77777777" w:rsidTr="006852FB">
        <w:trPr>
          <w:trHeight w:hRule="exact" w:val="255"/>
          <w:jc w:val="center"/>
        </w:trPr>
        <w:tc>
          <w:tcPr>
            <w:tcW w:w="851" w:type="dxa"/>
            <w:shd w:val="clear" w:color="auto" w:fill="auto"/>
            <w:noWrap/>
            <w:vAlign w:val="center"/>
          </w:tcPr>
          <w:p w14:paraId="4E2E5707"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Verona</w:t>
            </w:r>
          </w:p>
        </w:tc>
        <w:tc>
          <w:tcPr>
            <w:tcW w:w="794" w:type="dxa"/>
            <w:shd w:val="clear" w:color="auto" w:fill="D9D9D9" w:themeFill="background1" w:themeFillShade="D9"/>
            <w:vAlign w:val="center"/>
          </w:tcPr>
          <w:p w14:paraId="62CD897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1.038</w:t>
            </w:r>
          </w:p>
        </w:tc>
        <w:tc>
          <w:tcPr>
            <w:tcW w:w="794" w:type="dxa"/>
            <w:vAlign w:val="center"/>
          </w:tcPr>
          <w:p w14:paraId="021FD04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796</w:t>
            </w:r>
          </w:p>
        </w:tc>
        <w:tc>
          <w:tcPr>
            <w:tcW w:w="624" w:type="dxa"/>
            <w:shd w:val="clear" w:color="auto" w:fill="D9D9D9" w:themeFill="background1" w:themeFillShade="D9"/>
            <w:noWrap/>
            <w:vAlign w:val="center"/>
          </w:tcPr>
          <w:p w14:paraId="19872903"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w:t>
            </w:r>
          </w:p>
        </w:tc>
        <w:tc>
          <w:tcPr>
            <w:tcW w:w="624" w:type="dxa"/>
            <w:shd w:val="clear" w:color="auto" w:fill="auto"/>
            <w:vAlign w:val="center"/>
          </w:tcPr>
          <w:p w14:paraId="713D286A"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5</w:t>
            </w:r>
          </w:p>
        </w:tc>
        <w:tc>
          <w:tcPr>
            <w:tcW w:w="794" w:type="dxa"/>
            <w:shd w:val="clear" w:color="auto" w:fill="D9D9D9" w:themeFill="background1" w:themeFillShade="D9"/>
            <w:vAlign w:val="center"/>
          </w:tcPr>
          <w:p w14:paraId="5244508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91</w:t>
            </w:r>
          </w:p>
        </w:tc>
        <w:tc>
          <w:tcPr>
            <w:tcW w:w="794" w:type="dxa"/>
            <w:shd w:val="clear" w:color="auto" w:fill="auto"/>
            <w:vAlign w:val="center"/>
          </w:tcPr>
          <w:p w14:paraId="21D36713"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72</w:t>
            </w:r>
          </w:p>
        </w:tc>
        <w:tc>
          <w:tcPr>
            <w:tcW w:w="680" w:type="dxa"/>
            <w:shd w:val="clear" w:color="auto" w:fill="D9D9D9" w:themeFill="background1" w:themeFillShade="D9"/>
            <w:vAlign w:val="center"/>
          </w:tcPr>
          <w:p w14:paraId="462617A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w:t>
            </w:r>
          </w:p>
        </w:tc>
        <w:tc>
          <w:tcPr>
            <w:tcW w:w="680" w:type="dxa"/>
            <w:shd w:val="clear" w:color="auto" w:fill="auto"/>
            <w:vAlign w:val="center"/>
          </w:tcPr>
          <w:p w14:paraId="3E66FE2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w:t>
            </w:r>
          </w:p>
        </w:tc>
        <w:tc>
          <w:tcPr>
            <w:tcW w:w="850" w:type="dxa"/>
            <w:shd w:val="clear" w:color="auto" w:fill="D9D9D9" w:themeFill="background1" w:themeFillShade="D9"/>
            <w:vAlign w:val="center"/>
          </w:tcPr>
          <w:p w14:paraId="1031ABEA"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3,5</w:t>
            </w:r>
          </w:p>
        </w:tc>
        <w:tc>
          <w:tcPr>
            <w:tcW w:w="850" w:type="dxa"/>
            <w:vAlign w:val="center"/>
          </w:tcPr>
          <w:p w14:paraId="5C9CDFE3"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2,7</w:t>
            </w:r>
          </w:p>
        </w:tc>
        <w:tc>
          <w:tcPr>
            <w:tcW w:w="851" w:type="dxa"/>
            <w:shd w:val="clear" w:color="auto" w:fill="D9D9D9" w:themeFill="background1" w:themeFillShade="D9"/>
            <w:vAlign w:val="center"/>
          </w:tcPr>
          <w:p w14:paraId="0945E3EE"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28,6</w:t>
            </w:r>
          </w:p>
        </w:tc>
        <w:tc>
          <w:tcPr>
            <w:tcW w:w="851" w:type="dxa"/>
            <w:shd w:val="clear" w:color="auto" w:fill="auto"/>
            <w:vAlign w:val="center"/>
          </w:tcPr>
          <w:p w14:paraId="5945DA7B"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-43,8</w:t>
            </w:r>
          </w:p>
        </w:tc>
      </w:tr>
      <w:tr w:rsidR="00577D9C" w:rsidRPr="00DF7442" w14:paraId="6FEE3C84" w14:textId="77777777" w:rsidTr="006852FB">
        <w:trPr>
          <w:trHeight w:hRule="exact" w:val="255"/>
          <w:jc w:val="center"/>
        </w:trPr>
        <w:tc>
          <w:tcPr>
            <w:tcW w:w="851" w:type="dxa"/>
            <w:shd w:val="clear" w:color="auto" w:fill="auto"/>
            <w:noWrap/>
            <w:vAlign w:val="center"/>
          </w:tcPr>
          <w:p w14:paraId="6B488938"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Venezia</w:t>
            </w:r>
          </w:p>
        </w:tc>
        <w:tc>
          <w:tcPr>
            <w:tcW w:w="794" w:type="dxa"/>
            <w:shd w:val="clear" w:color="auto" w:fill="D9D9D9" w:themeFill="background1" w:themeFillShade="D9"/>
            <w:vAlign w:val="center"/>
          </w:tcPr>
          <w:p w14:paraId="58C5134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438</w:t>
            </w:r>
          </w:p>
        </w:tc>
        <w:tc>
          <w:tcPr>
            <w:tcW w:w="794" w:type="dxa"/>
            <w:vAlign w:val="center"/>
          </w:tcPr>
          <w:p w14:paraId="1B81F818"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369</w:t>
            </w:r>
          </w:p>
        </w:tc>
        <w:tc>
          <w:tcPr>
            <w:tcW w:w="624" w:type="dxa"/>
            <w:shd w:val="clear" w:color="auto" w:fill="D9D9D9" w:themeFill="background1" w:themeFillShade="D9"/>
            <w:noWrap/>
            <w:vAlign w:val="center"/>
          </w:tcPr>
          <w:p w14:paraId="64176E02"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4</w:t>
            </w:r>
          </w:p>
        </w:tc>
        <w:tc>
          <w:tcPr>
            <w:tcW w:w="624" w:type="dxa"/>
            <w:shd w:val="clear" w:color="auto" w:fill="auto"/>
            <w:vAlign w:val="center"/>
          </w:tcPr>
          <w:p w14:paraId="71E432E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5</w:t>
            </w:r>
          </w:p>
        </w:tc>
        <w:tc>
          <w:tcPr>
            <w:tcW w:w="794" w:type="dxa"/>
            <w:shd w:val="clear" w:color="auto" w:fill="D9D9D9" w:themeFill="background1" w:themeFillShade="D9"/>
            <w:vAlign w:val="center"/>
          </w:tcPr>
          <w:p w14:paraId="5A8151C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152</w:t>
            </w:r>
          </w:p>
        </w:tc>
        <w:tc>
          <w:tcPr>
            <w:tcW w:w="794" w:type="dxa"/>
            <w:shd w:val="clear" w:color="auto" w:fill="auto"/>
            <w:vAlign w:val="center"/>
          </w:tcPr>
          <w:p w14:paraId="2E2C4B2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107</w:t>
            </w:r>
          </w:p>
        </w:tc>
        <w:tc>
          <w:tcPr>
            <w:tcW w:w="680" w:type="dxa"/>
            <w:shd w:val="clear" w:color="auto" w:fill="D9D9D9" w:themeFill="background1" w:themeFillShade="D9"/>
            <w:vAlign w:val="center"/>
          </w:tcPr>
          <w:p w14:paraId="744B6ED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680" w:type="dxa"/>
            <w:shd w:val="clear" w:color="auto" w:fill="auto"/>
            <w:vAlign w:val="center"/>
          </w:tcPr>
          <w:p w14:paraId="0CE8AC0A"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850" w:type="dxa"/>
            <w:shd w:val="clear" w:color="auto" w:fill="D9D9D9" w:themeFill="background1" w:themeFillShade="D9"/>
            <w:vAlign w:val="center"/>
          </w:tcPr>
          <w:p w14:paraId="551CC570"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1,6</w:t>
            </w:r>
          </w:p>
        </w:tc>
        <w:tc>
          <w:tcPr>
            <w:tcW w:w="850" w:type="dxa"/>
            <w:vAlign w:val="center"/>
          </w:tcPr>
          <w:p w14:paraId="4BCF304E"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3,1</w:t>
            </w:r>
          </w:p>
        </w:tc>
        <w:tc>
          <w:tcPr>
            <w:tcW w:w="851" w:type="dxa"/>
            <w:shd w:val="clear" w:color="auto" w:fill="D9D9D9" w:themeFill="background1" w:themeFillShade="D9"/>
            <w:vAlign w:val="center"/>
          </w:tcPr>
          <w:p w14:paraId="667CF946" w14:textId="77777777" w:rsidR="00B77A0E" w:rsidRPr="00FD7525" w:rsidRDefault="00B77A0E" w:rsidP="00236108">
            <w:pPr>
              <w:ind w:right="113"/>
              <w:jc w:val="right"/>
              <w:rPr>
                <w:rFonts w:ascii="Arial Narrow" w:hAnsi="Arial Narrow"/>
                <w:color w:val="000000"/>
                <w:sz w:val="18"/>
                <w:szCs w:val="18"/>
              </w:rPr>
            </w:pPr>
            <w:r w:rsidRPr="00FD7525">
              <w:rPr>
                <w:rFonts w:ascii="Arial Narrow" w:hAnsi="Arial Narrow"/>
                <w:color w:val="000000"/>
                <w:sz w:val="18"/>
                <w:szCs w:val="18"/>
              </w:rPr>
              <w:t>-50,0</w:t>
            </w:r>
          </w:p>
        </w:tc>
        <w:tc>
          <w:tcPr>
            <w:tcW w:w="851" w:type="dxa"/>
            <w:shd w:val="clear" w:color="auto" w:fill="auto"/>
            <w:vAlign w:val="center"/>
          </w:tcPr>
          <w:p w14:paraId="6373E392" w14:textId="6FE87D00" w:rsidR="00B77A0E" w:rsidRPr="00AD5162" w:rsidRDefault="00297FAF" w:rsidP="00236108">
            <w:pPr>
              <w:ind w:right="113"/>
              <w:jc w:val="right"/>
              <w:rPr>
                <w:rFonts w:ascii="Arial Narrow" w:hAnsi="Arial Narrow"/>
                <w:color w:val="000000"/>
                <w:sz w:val="18"/>
                <w:szCs w:val="18"/>
              </w:rPr>
            </w:pPr>
            <w:r w:rsidRPr="00AD5162">
              <w:rPr>
                <w:rFonts w:ascii="Arial Narrow" w:hAnsi="Arial Narrow"/>
                <w:color w:val="000000"/>
                <w:sz w:val="18"/>
                <w:szCs w:val="18"/>
              </w:rPr>
              <w:t>-</w:t>
            </w:r>
          </w:p>
        </w:tc>
      </w:tr>
      <w:tr w:rsidR="00577D9C" w:rsidRPr="00DF7442" w14:paraId="3C3811F3" w14:textId="77777777" w:rsidTr="006852FB">
        <w:trPr>
          <w:trHeight w:hRule="exact" w:val="255"/>
          <w:jc w:val="center"/>
        </w:trPr>
        <w:tc>
          <w:tcPr>
            <w:tcW w:w="851" w:type="dxa"/>
            <w:shd w:val="clear" w:color="auto" w:fill="auto"/>
            <w:noWrap/>
            <w:vAlign w:val="center"/>
          </w:tcPr>
          <w:p w14:paraId="2194840C"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Trieste</w:t>
            </w:r>
          </w:p>
        </w:tc>
        <w:tc>
          <w:tcPr>
            <w:tcW w:w="794" w:type="dxa"/>
            <w:shd w:val="clear" w:color="auto" w:fill="D9D9D9" w:themeFill="background1" w:themeFillShade="D9"/>
            <w:vAlign w:val="center"/>
          </w:tcPr>
          <w:p w14:paraId="599A9002"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764</w:t>
            </w:r>
          </w:p>
        </w:tc>
        <w:tc>
          <w:tcPr>
            <w:tcW w:w="794" w:type="dxa"/>
            <w:vAlign w:val="center"/>
          </w:tcPr>
          <w:p w14:paraId="199379CA"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569</w:t>
            </w:r>
          </w:p>
        </w:tc>
        <w:tc>
          <w:tcPr>
            <w:tcW w:w="624" w:type="dxa"/>
            <w:shd w:val="clear" w:color="auto" w:fill="D9D9D9" w:themeFill="background1" w:themeFillShade="D9"/>
            <w:noWrap/>
            <w:vAlign w:val="center"/>
          </w:tcPr>
          <w:p w14:paraId="49B404C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4</w:t>
            </w:r>
          </w:p>
        </w:tc>
        <w:tc>
          <w:tcPr>
            <w:tcW w:w="624" w:type="dxa"/>
            <w:shd w:val="clear" w:color="auto" w:fill="auto"/>
            <w:vAlign w:val="center"/>
          </w:tcPr>
          <w:p w14:paraId="1A287B06"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w:t>
            </w:r>
          </w:p>
        </w:tc>
        <w:tc>
          <w:tcPr>
            <w:tcW w:w="794" w:type="dxa"/>
            <w:shd w:val="clear" w:color="auto" w:fill="D9D9D9" w:themeFill="background1" w:themeFillShade="D9"/>
            <w:vAlign w:val="center"/>
          </w:tcPr>
          <w:p w14:paraId="1E044D27"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63</w:t>
            </w:r>
          </w:p>
        </w:tc>
        <w:tc>
          <w:tcPr>
            <w:tcW w:w="794" w:type="dxa"/>
            <w:shd w:val="clear" w:color="auto" w:fill="auto"/>
            <w:vAlign w:val="center"/>
          </w:tcPr>
          <w:p w14:paraId="26109EF2"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56</w:t>
            </w:r>
          </w:p>
        </w:tc>
        <w:tc>
          <w:tcPr>
            <w:tcW w:w="680" w:type="dxa"/>
            <w:shd w:val="clear" w:color="auto" w:fill="D9D9D9" w:themeFill="background1" w:themeFillShade="D9"/>
            <w:vAlign w:val="center"/>
          </w:tcPr>
          <w:p w14:paraId="66AE7238"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680" w:type="dxa"/>
            <w:shd w:val="clear" w:color="auto" w:fill="auto"/>
            <w:vAlign w:val="center"/>
          </w:tcPr>
          <w:p w14:paraId="4D60B30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w:t>
            </w:r>
          </w:p>
        </w:tc>
        <w:tc>
          <w:tcPr>
            <w:tcW w:w="850" w:type="dxa"/>
            <w:shd w:val="clear" w:color="auto" w:fill="D9D9D9" w:themeFill="background1" w:themeFillShade="D9"/>
            <w:vAlign w:val="center"/>
          </w:tcPr>
          <w:p w14:paraId="11C1B1FF"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2,0</w:t>
            </w:r>
          </w:p>
        </w:tc>
        <w:tc>
          <w:tcPr>
            <w:tcW w:w="850" w:type="dxa"/>
            <w:vAlign w:val="center"/>
          </w:tcPr>
          <w:p w14:paraId="4ED646EC"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1,5</w:t>
            </w:r>
          </w:p>
        </w:tc>
        <w:tc>
          <w:tcPr>
            <w:tcW w:w="851" w:type="dxa"/>
            <w:shd w:val="clear" w:color="auto" w:fill="D9D9D9" w:themeFill="background1" w:themeFillShade="D9"/>
            <w:vAlign w:val="center"/>
          </w:tcPr>
          <w:p w14:paraId="0D6BA9EC"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33,3</w:t>
            </w:r>
          </w:p>
        </w:tc>
        <w:tc>
          <w:tcPr>
            <w:tcW w:w="851" w:type="dxa"/>
            <w:shd w:val="clear" w:color="auto" w:fill="auto"/>
            <w:vAlign w:val="center"/>
          </w:tcPr>
          <w:p w14:paraId="76628292"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-50,0</w:t>
            </w:r>
          </w:p>
        </w:tc>
      </w:tr>
      <w:tr w:rsidR="00577D9C" w:rsidRPr="00DF7442" w14:paraId="2AEEE38B" w14:textId="77777777" w:rsidTr="006852FB">
        <w:trPr>
          <w:trHeight w:hRule="exact" w:val="255"/>
          <w:jc w:val="center"/>
        </w:trPr>
        <w:tc>
          <w:tcPr>
            <w:tcW w:w="851" w:type="dxa"/>
            <w:shd w:val="clear" w:color="auto" w:fill="auto"/>
            <w:noWrap/>
            <w:vAlign w:val="center"/>
          </w:tcPr>
          <w:p w14:paraId="4E157B4E"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 xml:space="preserve">Genova </w:t>
            </w:r>
          </w:p>
        </w:tc>
        <w:tc>
          <w:tcPr>
            <w:tcW w:w="794" w:type="dxa"/>
            <w:shd w:val="clear" w:color="auto" w:fill="D9D9D9" w:themeFill="background1" w:themeFillShade="D9"/>
            <w:vAlign w:val="center"/>
          </w:tcPr>
          <w:p w14:paraId="29284BF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3.375</w:t>
            </w:r>
          </w:p>
        </w:tc>
        <w:tc>
          <w:tcPr>
            <w:tcW w:w="794" w:type="dxa"/>
            <w:vAlign w:val="center"/>
          </w:tcPr>
          <w:p w14:paraId="09F7C490"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2.724</w:t>
            </w:r>
          </w:p>
        </w:tc>
        <w:tc>
          <w:tcPr>
            <w:tcW w:w="624" w:type="dxa"/>
            <w:shd w:val="clear" w:color="auto" w:fill="D9D9D9" w:themeFill="background1" w:themeFillShade="D9"/>
            <w:noWrap/>
            <w:vAlign w:val="center"/>
          </w:tcPr>
          <w:p w14:paraId="013C7CC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14</w:t>
            </w:r>
          </w:p>
        </w:tc>
        <w:tc>
          <w:tcPr>
            <w:tcW w:w="624" w:type="dxa"/>
            <w:shd w:val="clear" w:color="auto" w:fill="auto"/>
            <w:vAlign w:val="center"/>
          </w:tcPr>
          <w:p w14:paraId="088B2461"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23</w:t>
            </w:r>
          </w:p>
        </w:tc>
        <w:tc>
          <w:tcPr>
            <w:tcW w:w="794" w:type="dxa"/>
            <w:shd w:val="clear" w:color="auto" w:fill="D9D9D9" w:themeFill="background1" w:themeFillShade="D9"/>
            <w:vAlign w:val="center"/>
          </w:tcPr>
          <w:p w14:paraId="5CFF410E"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209</w:t>
            </w:r>
          </w:p>
        </w:tc>
        <w:tc>
          <w:tcPr>
            <w:tcW w:w="794" w:type="dxa"/>
            <w:shd w:val="clear" w:color="auto" w:fill="auto"/>
            <w:vAlign w:val="center"/>
          </w:tcPr>
          <w:p w14:paraId="476F94A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116</w:t>
            </w:r>
          </w:p>
        </w:tc>
        <w:tc>
          <w:tcPr>
            <w:tcW w:w="680" w:type="dxa"/>
            <w:shd w:val="clear" w:color="auto" w:fill="D9D9D9" w:themeFill="background1" w:themeFillShade="D9"/>
            <w:vAlign w:val="center"/>
          </w:tcPr>
          <w:p w14:paraId="1EA7D09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680" w:type="dxa"/>
            <w:shd w:val="clear" w:color="auto" w:fill="auto"/>
            <w:vAlign w:val="center"/>
          </w:tcPr>
          <w:p w14:paraId="26FA3AF3"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w:t>
            </w:r>
          </w:p>
        </w:tc>
        <w:tc>
          <w:tcPr>
            <w:tcW w:w="850" w:type="dxa"/>
            <w:shd w:val="clear" w:color="auto" w:fill="D9D9D9" w:themeFill="background1" w:themeFillShade="D9"/>
            <w:vAlign w:val="center"/>
          </w:tcPr>
          <w:p w14:paraId="68B44D0C"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2,5</w:t>
            </w:r>
          </w:p>
        </w:tc>
        <w:tc>
          <w:tcPr>
            <w:tcW w:w="850" w:type="dxa"/>
            <w:vAlign w:val="center"/>
          </w:tcPr>
          <w:p w14:paraId="67FCBE37"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4,3</w:t>
            </w:r>
          </w:p>
        </w:tc>
        <w:tc>
          <w:tcPr>
            <w:tcW w:w="851" w:type="dxa"/>
            <w:shd w:val="clear" w:color="auto" w:fill="D9D9D9" w:themeFill="background1" w:themeFillShade="D9"/>
            <w:vAlign w:val="center"/>
          </w:tcPr>
          <w:p w14:paraId="661A43A8" w14:textId="77777777" w:rsidR="00B77A0E" w:rsidRPr="00FD7525" w:rsidRDefault="00B77A0E" w:rsidP="00236108">
            <w:pPr>
              <w:ind w:right="113"/>
              <w:jc w:val="right"/>
              <w:rPr>
                <w:rFonts w:ascii="Arial Narrow" w:hAnsi="Arial Narrow"/>
                <w:color w:val="000000"/>
                <w:sz w:val="18"/>
                <w:szCs w:val="18"/>
              </w:rPr>
            </w:pPr>
            <w:r w:rsidRPr="00FD7525">
              <w:rPr>
                <w:rFonts w:ascii="Arial Narrow" w:hAnsi="Arial Narrow"/>
                <w:color w:val="000000"/>
                <w:sz w:val="18"/>
                <w:szCs w:val="18"/>
              </w:rPr>
              <w:t>-41,7</w:t>
            </w:r>
          </w:p>
        </w:tc>
        <w:tc>
          <w:tcPr>
            <w:tcW w:w="851" w:type="dxa"/>
            <w:shd w:val="clear" w:color="auto" w:fill="auto"/>
            <w:vAlign w:val="center"/>
          </w:tcPr>
          <w:p w14:paraId="18A271A7"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-39,1</w:t>
            </w:r>
          </w:p>
        </w:tc>
      </w:tr>
      <w:tr w:rsidR="00577D9C" w:rsidRPr="00DF7442" w14:paraId="43D6A048" w14:textId="77777777" w:rsidTr="006852FB">
        <w:trPr>
          <w:trHeight w:hRule="exact" w:val="255"/>
          <w:jc w:val="center"/>
        </w:trPr>
        <w:tc>
          <w:tcPr>
            <w:tcW w:w="851" w:type="dxa"/>
            <w:shd w:val="clear" w:color="auto" w:fill="auto"/>
            <w:noWrap/>
            <w:vAlign w:val="center"/>
          </w:tcPr>
          <w:p w14:paraId="299C171A"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 xml:space="preserve">Bologna </w:t>
            </w:r>
          </w:p>
        </w:tc>
        <w:tc>
          <w:tcPr>
            <w:tcW w:w="794" w:type="dxa"/>
            <w:shd w:val="clear" w:color="auto" w:fill="D9D9D9" w:themeFill="background1" w:themeFillShade="D9"/>
            <w:vAlign w:val="center"/>
          </w:tcPr>
          <w:p w14:paraId="642EFE7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1.757</w:t>
            </w:r>
          </w:p>
        </w:tc>
        <w:tc>
          <w:tcPr>
            <w:tcW w:w="794" w:type="dxa"/>
            <w:vAlign w:val="center"/>
          </w:tcPr>
          <w:p w14:paraId="79E5C42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1.172</w:t>
            </w:r>
          </w:p>
        </w:tc>
        <w:tc>
          <w:tcPr>
            <w:tcW w:w="624" w:type="dxa"/>
            <w:shd w:val="clear" w:color="auto" w:fill="D9D9D9" w:themeFill="background1" w:themeFillShade="D9"/>
            <w:noWrap/>
            <w:vAlign w:val="center"/>
          </w:tcPr>
          <w:p w14:paraId="7EA39FC0"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9</w:t>
            </w:r>
          </w:p>
        </w:tc>
        <w:tc>
          <w:tcPr>
            <w:tcW w:w="624" w:type="dxa"/>
            <w:shd w:val="clear" w:color="auto" w:fill="auto"/>
            <w:vAlign w:val="center"/>
          </w:tcPr>
          <w:p w14:paraId="66348BF3"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11</w:t>
            </w:r>
          </w:p>
        </w:tc>
        <w:tc>
          <w:tcPr>
            <w:tcW w:w="794" w:type="dxa"/>
            <w:shd w:val="clear" w:color="auto" w:fill="D9D9D9" w:themeFill="background1" w:themeFillShade="D9"/>
            <w:vAlign w:val="center"/>
          </w:tcPr>
          <w:p w14:paraId="08E9C538"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162</w:t>
            </w:r>
          </w:p>
        </w:tc>
        <w:tc>
          <w:tcPr>
            <w:tcW w:w="794" w:type="dxa"/>
            <w:shd w:val="clear" w:color="auto" w:fill="auto"/>
            <w:vAlign w:val="center"/>
          </w:tcPr>
          <w:p w14:paraId="0B3FA3F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146</w:t>
            </w:r>
          </w:p>
        </w:tc>
        <w:tc>
          <w:tcPr>
            <w:tcW w:w="680" w:type="dxa"/>
            <w:shd w:val="clear" w:color="auto" w:fill="D9D9D9" w:themeFill="background1" w:themeFillShade="D9"/>
            <w:vAlign w:val="center"/>
          </w:tcPr>
          <w:p w14:paraId="23817A5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680" w:type="dxa"/>
            <w:shd w:val="clear" w:color="auto" w:fill="auto"/>
            <w:vAlign w:val="center"/>
          </w:tcPr>
          <w:p w14:paraId="394040D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850" w:type="dxa"/>
            <w:shd w:val="clear" w:color="auto" w:fill="D9D9D9" w:themeFill="background1" w:themeFillShade="D9"/>
            <w:vAlign w:val="center"/>
          </w:tcPr>
          <w:p w14:paraId="71053A85"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3,1</w:t>
            </w:r>
          </w:p>
        </w:tc>
        <w:tc>
          <w:tcPr>
            <w:tcW w:w="850" w:type="dxa"/>
            <w:vAlign w:val="center"/>
          </w:tcPr>
          <w:p w14:paraId="70A2F128"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3,5</w:t>
            </w:r>
          </w:p>
        </w:tc>
        <w:tc>
          <w:tcPr>
            <w:tcW w:w="851" w:type="dxa"/>
            <w:shd w:val="clear" w:color="auto" w:fill="D9D9D9" w:themeFill="background1" w:themeFillShade="D9"/>
            <w:vAlign w:val="center"/>
          </w:tcPr>
          <w:p w14:paraId="360A7AA7" w14:textId="77777777" w:rsidR="00B77A0E" w:rsidRPr="00FD7525" w:rsidRDefault="00B77A0E" w:rsidP="00236108">
            <w:pPr>
              <w:ind w:right="113"/>
              <w:jc w:val="right"/>
              <w:rPr>
                <w:rFonts w:ascii="Arial Narrow" w:hAnsi="Arial Narrow"/>
                <w:color w:val="000000"/>
                <w:sz w:val="18"/>
                <w:szCs w:val="18"/>
              </w:rPr>
            </w:pPr>
            <w:r w:rsidRPr="00FD7525">
              <w:rPr>
                <w:rFonts w:ascii="Arial Narrow" w:hAnsi="Arial Narrow"/>
                <w:color w:val="000000"/>
                <w:sz w:val="18"/>
                <w:szCs w:val="18"/>
              </w:rPr>
              <w:t>-14,3</w:t>
            </w:r>
          </w:p>
        </w:tc>
        <w:tc>
          <w:tcPr>
            <w:tcW w:w="851" w:type="dxa"/>
            <w:shd w:val="clear" w:color="auto" w:fill="auto"/>
            <w:vAlign w:val="center"/>
          </w:tcPr>
          <w:p w14:paraId="4B101A88"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-33,3</w:t>
            </w:r>
          </w:p>
        </w:tc>
      </w:tr>
      <w:tr w:rsidR="00577D9C" w:rsidRPr="00DF7442" w14:paraId="7331EF62" w14:textId="77777777" w:rsidTr="006852FB">
        <w:trPr>
          <w:trHeight w:hRule="exact" w:val="255"/>
          <w:jc w:val="center"/>
        </w:trPr>
        <w:tc>
          <w:tcPr>
            <w:tcW w:w="851" w:type="dxa"/>
            <w:shd w:val="clear" w:color="auto" w:fill="auto"/>
            <w:noWrap/>
            <w:vAlign w:val="center"/>
          </w:tcPr>
          <w:p w14:paraId="1BCFD1EF"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Firenze</w:t>
            </w:r>
          </w:p>
        </w:tc>
        <w:tc>
          <w:tcPr>
            <w:tcW w:w="794" w:type="dxa"/>
            <w:shd w:val="clear" w:color="auto" w:fill="D9D9D9" w:themeFill="background1" w:themeFillShade="D9"/>
            <w:vAlign w:val="center"/>
          </w:tcPr>
          <w:p w14:paraId="0EB58742"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1.965</w:t>
            </w:r>
          </w:p>
        </w:tc>
        <w:tc>
          <w:tcPr>
            <w:tcW w:w="794" w:type="dxa"/>
            <w:vAlign w:val="center"/>
          </w:tcPr>
          <w:p w14:paraId="6512A2C0"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1.456</w:t>
            </w:r>
          </w:p>
        </w:tc>
        <w:tc>
          <w:tcPr>
            <w:tcW w:w="624" w:type="dxa"/>
            <w:shd w:val="clear" w:color="auto" w:fill="D9D9D9" w:themeFill="background1" w:themeFillShade="D9"/>
            <w:noWrap/>
            <w:vAlign w:val="center"/>
          </w:tcPr>
          <w:p w14:paraId="16FA8D4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13</w:t>
            </w:r>
          </w:p>
        </w:tc>
        <w:tc>
          <w:tcPr>
            <w:tcW w:w="624" w:type="dxa"/>
            <w:shd w:val="clear" w:color="auto" w:fill="auto"/>
            <w:vAlign w:val="center"/>
          </w:tcPr>
          <w:p w14:paraId="250B658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w:t>
            </w:r>
          </w:p>
        </w:tc>
        <w:tc>
          <w:tcPr>
            <w:tcW w:w="794" w:type="dxa"/>
            <w:shd w:val="clear" w:color="auto" w:fill="D9D9D9" w:themeFill="background1" w:themeFillShade="D9"/>
            <w:vAlign w:val="center"/>
          </w:tcPr>
          <w:p w14:paraId="414248A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63</w:t>
            </w:r>
          </w:p>
        </w:tc>
        <w:tc>
          <w:tcPr>
            <w:tcW w:w="794" w:type="dxa"/>
            <w:shd w:val="clear" w:color="auto" w:fill="auto"/>
            <w:vAlign w:val="center"/>
          </w:tcPr>
          <w:p w14:paraId="26EAF8E1"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37</w:t>
            </w:r>
          </w:p>
        </w:tc>
        <w:tc>
          <w:tcPr>
            <w:tcW w:w="680" w:type="dxa"/>
            <w:shd w:val="clear" w:color="auto" w:fill="D9D9D9" w:themeFill="background1" w:themeFillShade="D9"/>
            <w:vAlign w:val="center"/>
          </w:tcPr>
          <w:p w14:paraId="1F5A9606"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680" w:type="dxa"/>
            <w:shd w:val="clear" w:color="auto" w:fill="auto"/>
            <w:vAlign w:val="center"/>
          </w:tcPr>
          <w:p w14:paraId="713A2630"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850" w:type="dxa"/>
            <w:shd w:val="clear" w:color="auto" w:fill="D9D9D9" w:themeFill="background1" w:themeFillShade="D9"/>
            <w:vAlign w:val="center"/>
          </w:tcPr>
          <w:p w14:paraId="5ED8009D"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3,6</w:t>
            </w:r>
          </w:p>
        </w:tc>
        <w:tc>
          <w:tcPr>
            <w:tcW w:w="850" w:type="dxa"/>
            <w:vAlign w:val="center"/>
          </w:tcPr>
          <w:p w14:paraId="1F9C6692"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1,9</w:t>
            </w:r>
          </w:p>
        </w:tc>
        <w:tc>
          <w:tcPr>
            <w:tcW w:w="851" w:type="dxa"/>
            <w:shd w:val="clear" w:color="auto" w:fill="D9D9D9" w:themeFill="background1" w:themeFillShade="D9"/>
            <w:vAlign w:val="center"/>
          </w:tcPr>
          <w:p w14:paraId="4E17B938"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85,7</w:t>
            </w:r>
          </w:p>
        </w:tc>
        <w:tc>
          <w:tcPr>
            <w:tcW w:w="851" w:type="dxa"/>
            <w:shd w:val="clear" w:color="auto" w:fill="auto"/>
            <w:vAlign w:val="center"/>
          </w:tcPr>
          <w:p w14:paraId="7F296C70"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+116,7</w:t>
            </w:r>
          </w:p>
        </w:tc>
      </w:tr>
      <w:tr w:rsidR="00577D9C" w:rsidRPr="00DF7442" w14:paraId="026F56A6" w14:textId="77777777" w:rsidTr="006852FB">
        <w:trPr>
          <w:trHeight w:hRule="exact" w:val="255"/>
          <w:jc w:val="center"/>
        </w:trPr>
        <w:tc>
          <w:tcPr>
            <w:tcW w:w="851" w:type="dxa"/>
            <w:shd w:val="clear" w:color="auto" w:fill="auto"/>
            <w:noWrap/>
            <w:vAlign w:val="center"/>
          </w:tcPr>
          <w:p w14:paraId="5DB9759D"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Roma</w:t>
            </w:r>
          </w:p>
        </w:tc>
        <w:tc>
          <w:tcPr>
            <w:tcW w:w="794" w:type="dxa"/>
            <w:shd w:val="clear" w:color="auto" w:fill="D9D9D9" w:themeFill="background1" w:themeFillShade="D9"/>
            <w:vAlign w:val="center"/>
          </w:tcPr>
          <w:p w14:paraId="2EE20158"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9.891</w:t>
            </w:r>
          </w:p>
        </w:tc>
        <w:tc>
          <w:tcPr>
            <w:tcW w:w="794" w:type="dxa"/>
            <w:vAlign w:val="center"/>
          </w:tcPr>
          <w:p w14:paraId="2F5A69B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7.276</w:t>
            </w:r>
          </w:p>
        </w:tc>
        <w:tc>
          <w:tcPr>
            <w:tcW w:w="624" w:type="dxa"/>
            <w:shd w:val="clear" w:color="auto" w:fill="D9D9D9" w:themeFill="background1" w:themeFillShade="D9"/>
            <w:noWrap/>
            <w:vAlign w:val="center"/>
          </w:tcPr>
          <w:p w14:paraId="3A96FFD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100</w:t>
            </w:r>
          </w:p>
        </w:tc>
        <w:tc>
          <w:tcPr>
            <w:tcW w:w="624" w:type="dxa"/>
            <w:shd w:val="clear" w:color="auto" w:fill="auto"/>
            <w:vAlign w:val="center"/>
          </w:tcPr>
          <w:p w14:paraId="4DE13A23"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78</w:t>
            </w:r>
          </w:p>
        </w:tc>
        <w:tc>
          <w:tcPr>
            <w:tcW w:w="794" w:type="dxa"/>
            <w:shd w:val="clear" w:color="auto" w:fill="D9D9D9" w:themeFill="background1" w:themeFillShade="D9"/>
            <w:vAlign w:val="center"/>
          </w:tcPr>
          <w:p w14:paraId="54802D8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1.240</w:t>
            </w:r>
          </w:p>
        </w:tc>
        <w:tc>
          <w:tcPr>
            <w:tcW w:w="794" w:type="dxa"/>
            <w:shd w:val="clear" w:color="auto" w:fill="auto"/>
            <w:vAlign w:val="center"/>
          </w:tcPr>
          <w:p w14:paraId="54605615"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956</w:t>
            </w:r>
          </w:p>
        </w:tc>
        <w:tc>
          <w:tcPr>
            <w:tcW w:w="680" w:type="dxa"/>
            <w:shd w:val="clear" w:color="auto" w:fill="D9D9D9" w:themeFill="background1" w:themeFillShade="D9"/>
            <w:vAlign w:val="center"/>
          </w:tcPr>
          <w:p w14:paraId="0ED357F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21</w:t>
            </w:r>
          </w:p>
        </w:tc>
        <w:tc>
          <w:tcPr>
            <w:tcW w:w="680" w:type="dxa"/>
            <w:shd w:val="clear" w:color="auto" w:fill="auto"/>
            <w:vAlign w:val="center"/>
          </w:tcPr>
          <w:p w14:paraId="5CE3887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26</w:t>
            </w:r>
          </w:p>
        </w:tc>
        <w:tc>
          <w:tcPr>
            <w:tcW w:w="850" w:type="dxa"/>
            <w:shd w:val="clear" w:color="auto" w:fill="D9D9D9" w:themeFill="background1" w:themeFillShade="D9"/>
            <w:vAlign w:val="center"/>
          </w:tcPr>
          <w:p w14:paraId="1FF7D564"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4,4</w:t>
            </w:r>
          </w:p>
        </w:tc>
        <w:tc>
          <w:tcPr>
            <w:tcW w:w="850" w:type="dxa"/>
            <w:vAlign w:val="center"/>
          </w:tcPr>
          <w:p w14:paraId="01C216BA"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3,7</w:t>
            </w:r>
          </w:p>
        </w:tc>
        <w:tc>
          <w:tcPr>
            <w:tcW w:w="851" w:type="dxa"/>
            <w:shd w:val="clear" w:color="auto" w:fill="D9D9D9" w:themeFill="background1" w:themeFillShade="D9"/>
            <w:vAlign w:val="center"/>
          </w:tcPr>
          <w:p w14:paraId="0DEE964B"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16,3</w:t>
            </w:r>
          </w:p>
        </w:tc>
        <w:tc>
          <w:tcPr>
            <w:tcW w:w="851" w:type="dxa"/>
            <w:shd w:val="clear" w:color="auto" w:fill="auto"/>
            <w:vAlign w:val="center"/>
          </w:tcPr>
          <w:p w14:paraId="150881FC"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-7,6</w:t>
            </w:r>
          </w:p>
        </w:tc>
      </w:tr>
      <w:tr w:rsidR="00577D9C" w:rsidRPr="00DF7442" w14:paraId="70E0B643" w14:textId="77777777" w:rsidTr="006852FB">
        <w:trPr>
          <w:trHeight w:hRule="exact" w:val="255"/>
          <w:jc w:val="center"/>
        </w:trPr>
        <w:tc>
          <w:tcPr>
            <w:tcW w:w="851" w:type="dxa"/>
            <w:shd w:val="clear" w:color="auto" w:fill="auto"/>
            <w:noWrap/>
            <w:vAlign w:val="center"/>
          </w:tcPr>
          <w:p w14:paraId="045BD754"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Napoli</w:t>
            </w:r>
          </w:p>
        </w:tc>
        <w:tc>
          <w:tcPr>
            <w:tcW w:w="794" w:type="dxa"/>
            <w:shd w:val="clear" w:color="auto" w:fill="D9D9D9" w:themeFill="background1" w:themeFillShade="D9"/>
            <w:vAlign w:val="center"/>
          </w:tcPr>
          <w:p w14:paraId="52606DC2"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1.966</w:t>
            </w:r>
          </w:p>
        </w:tc>
        <w:tc>
          <w:tcPr>
            <w:tcW w:w="794" w:type="dxa"/>
            <w:vAlign w:val="center"/>
          </w:tcPr>
          <w:p w14:paraId="585F9DCE"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1.658</w:t>
            </w:r>
          </w:p>
        </w:tc>
        <w:tc>
          <w:tcPr>
            <w:tcW w:w="624" w:type="dxa"/>
            <w:shd w:val="clear" w:color="auto" w:fill="D9D9D9" w:themeFill="background1" w:themeFillShade="D9"/>
            <w:noWrap/>
            <w:vAlign w:val="center"/>
          </w:tcPr>
          <w:p w14:paraId="6735DFC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30</w:t>
            </w:r>
          </w:p>
        </w:tc>
        <w:tc>
          <w:tcPr>
            <w:tcW w:w="624" w:type="dxa"/>
            <w:shd w:val="clear" w:color="auto" w:fill="auto"/>
            <w:vAlign w:val="center"/>
          </w:tcPr>
          <w:p w14:paraId="18D7678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27</w:t>
            </w:r>
          </w:p>
        </w:tc>
        <w:tc>
          <w:tcPr>
            <w:tcW w:w="794" w:type="dxa"/>
            <w:shd w:val="clear" w:color="auto" w:fill="D9D9D9" w:themeFill="background1" w:themeFillShade="D9"/>
            <w:vAlign w:val="center"/>
          </w:tcPr>
          <w:p w14:paraId="1AAB9EC1"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195</w:t>
            </w:r>
          </w:p>
        </w:tc>
        <w:tc>
          <w:tcPr>
            <w:tcW w:w="794" w:type="dxa"/>
            <w:shd w:val="clear" w:color="auto" w:fill="auto"/>
            <w:vAlign w:val="center"/>
          </w:tcPr>
          <w:p w14:paraId="44F61D7E"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138</w:t>
            </w:r>
          </w:p>
        </w:tc>
        <w:tc>
          <w:tcPr>
            <w:tcW w:w="680" w:type="dxa"/>
            <w:shd w:val="clear" w:color="auto" w:fill="D9D9D9" w:themeFill="background1" w:themeFillShade="D9"/>
            <w:vAlign w:val="center"/>
          </w:tcPr>
          <w:p w14:paraId="30D63A46"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w:t>
            </w:r>
          </w:p>
        </w:tc>
        <w:tc>
          <w:tcPr>
            <w:tcW w:w="680" w:type="dxa"/>
            <w:shd w:val="clear" w:color="auto" w:fill="auto"/>
            <w:vAlign w:val="center"/>
          </w:tcPr>
          <w:p w14:paraId="25865E8E"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850" w:type="dxa"/>
            <w:shd w:val="clear" w:color="auto" w:fill="D9D9D9" w:themeFill="background1" w:themeFillShade="D9"/>
            <w:vAlign w:val="center"/>
          </w:tcPr>
          <w:p w14:paraId="2EE6403C"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3,4</w:t>
            </w:r>
          </w:p>
        </w:tc>
        <w:tc>
          <w:tcPr>
            <w:tcW w:w="850" w:type="dxa"/>
            <w:vAlign w:val="center"/>
          </w:tcPr>
          <w:p w14:paraId="523AFEAF"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3,2</w:t>
            </w:r>
          </w:p>
        </w:tc>
        <w:tc>
          <w:tcPr>
            <w:tcW w:w="851" w:type="dxa"/>
            <w:shd w:val="clear" w:color="auto" w:fill="D9D9D9" w:themeFill="background1" w:themeFillShade="D9"/>
            <w:vAlign w:val="center"/>
          </w:tcPr>
          <w:p w14:paraId="3C4964F4"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6,7</w:t>
            </w:r>
          </w:p>
        </w:tc>
        <w:tc>
          <w:tcPr>
            <w:tcW w:w="851" w:type="dxa"/>
            <w:shd w:val="clear" w:color="auto" w:fill="auto"/>
            <w:vAlign w:val="center"/>
          </w:tcPr>
          <w:p w14:paraId="66B2B543"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+45,5</w:t>
            </w:r>
          </w:p>
        </w:tc>
      </w:tr>
      <w:tr w:rsidR="00577D9C" w:rsidRPr="00DF7442" w14:paraId="50322437" w14:textId="77777777" w:rsidTr="006852FB">
        <w:trPr>
          <w:trHeight w:hRule="exact" w:val="255"/>
          <w:jc w:val="center"/>
        </w:trPr>
        <w:tc>
          <w:tcPr>
            <w:tcW w:w="851" w:type="dxa"/>
            <w:shd w:val="clear" w:color="auto" w:fill="auto"/>
            <w:noWrap/>
            <w:vAlign w:val="center"/>
          </w:tcPr>
          <w:p w14:paraId="77BD09E5"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Bari</w:t>
            </w:r>
          </w:p>
        </w:tc>
        <w:tc>
          <w:tcPr>
            <w:tcW w:w="794" w:type="dxa"/>
            <w:shd w:val="clear" w:color="auto" w:fill="D9D9D9" w:themeFill="background1" w:themeFillShade="D9"/>
            <w:vAlign w:val="center"/>
          </w:tcPr>
          <w:p w14:paraId="2A318337"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1.274</w:t>
            </w:r>
          </w:p>
        </w:tc>
        <w:tc>
          <w:tcPr>
            <w:tcW w:w="794" w:type="dxa"/>
            <w:vAlign w:val="center"/>
          </w:tcPr>
          <w:p w14:paraId="4883938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959</w:t>
            </w:r>
          </w:p>
        </w:tc>
        <w:tc>
          <w:tcPr>
            <w:tcW w:w="624" w:type="dxa"/>
            <w:shd w:val="clear" w:color="auto" w:fill="D9D9D9" w:themeFill="background1" w:themeFillShade="D9"/>
            <w:noWrap/>
            <w:vAlign w:val="center"/>
          </w:tcPr>
          <w:p w14:paraId="7AC02F08"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w:t>
            </w:r>
          </w:p>
        </w:tc>
        <w:tc>
          <w:tcPr>
            <w:tcW w:w="624" w:type="dxa"/>
            <w:shd w:val="clear" w:color="auto" w:fill="auto"/>
            <w:vAlign w:val="center"/>
          </w:tcPr>
          <w:p w14:paraId="39D9498E"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8</w:t>
            </w:r>
          </w:p>
        </w:tc>
        <w:tc>
          <w:tcPr>
            <w:tcW w:w="794" w:type="dxa"/>
            <w:shd w:val="clear" w:color="auto" w:fill="D9D9D9" w:themeFill="background1" w:themeFillShade="D9"/>
            <w:vAlign w:val="center"/>
          </w:tcPr>
          <w:p w14:paraId="5FE7ABF8"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174</w:t>
            </w:r>
          </w:p>
        </w:tc>
        <w:tc>
          <w:tcPr>
            <w:tcW w:w="794" w:type="dxa"/>
            <w:shd w:val="clear" w:color="auto" w:fill="auto"/>
            <w:vAlign w:val="center"/>
          </w:tcPr>
          <w:p w14:paraId="55BD2BB3"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134</w:t>
            </w:r>
          </w:p>
        </w:tc>
        <w:tc>
          <w:tcPr>
            <w:tcW w:w="680" w:type="dxa"/>
            <w:shd w:val="clear" w:color="auto" w:fill="D9D9D9" w:themeFill="background1" w:themeFillShade="D9"/>
            <w:vAlign w:val="center"/>
          </w:tcPr>
          <w:p w14:paraId="55424D5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4</w:t>
            </w:r>
          </w:p>
        </w:tc>
        <w:tc>
          <w:tcPr>
            <w:tcW w:w="680" w:type="dxa"/>
            <w:shd w:val="clear" w:color="auto" w:fill="auto"/>
            <w:vAlign w:val="center"/>
          </w:tcPr>
          <w:p w14:paraId="6B9ED2B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4</w:t>
            </w:r>
          </w:p>
        </w:tc>
        <w:tc>
          <w:tcPr>
            <w:tcW w:w="850" w:type="dxa"/>
            <w:shd w:val="clear" w:color="auto" w:fill="D9D9D9" w:themeFill="background1" w:themeFillShade="D9"/>
            <w:vAlign w:val="center"/>
          </w:tcPr>
          <w:p w14:paraId="470749FE"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3,5</w:t>
            </w:r>
          </w:p>
        </w:tc>
        <w:tc>
          <w:tcPr>
            <w:tcW w:w="850" w:type="dxa"/>
            <w:vAlign w:val="center"/>
          </w:tcPr>
          <w:p w14:paraId="7DAE6B10"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3,8</w:t>
            </w:r>
          </w:p>
        </w:tc>
        <w:tc>
          <w:tcPr>
            <w:tcW w:w="851" w:type="dxa"/>
            <w:shd w:val="clear" w:color="auto" w:fill="D9D9D9" w:themeFill="background1" w:themeFillShade="D9"/>
            <w:vAlign w:val="center"/>
          </w:tcPr>
          <w:p w14:paraId="274E4431" w14:textId="77777777" w:rsidR="00B77A0E" w:rsidRPr="00FD7525" w:rsidRDefault="00B77A0E" w:rsidP="00236108">
            <w:pPr>
              <w:ind w:right="113"/>
              <w:jc w:val="right"/>
              <w:rPr>
                <w:rFonts w:ascii="Arial Narrow" w:hAnsi="Arial Narrow"/>
                <w:color w:val="000000"/>
                <w:sz w:val="18"/>
                <w:szCs w:val="18"/>
              </w:rPr>
            </w:pPr>
            <w:r w:rsidRPr="00FD7525">
              <w:rPr>
                <w:rFonts w:ascii="Arial Narrow" w:hAnsi="Arial Narrow"/>
                <w:color w:val="000000"/>
                <w:sz w:val="18"/>
                <w:szCs w:val="18"/>
              </w:rPr>
              <w:t>-8,3</w:t>
            </w:r>
          </w:p>
        </w:tc>
        <w:tc>
          <w:tcPr>
            <w:tcW w:w="851" w:type="dxa"/>
            <w:shd w:val="clear" w:color="auto" w:fill="auto"/>
            <w:vAlign w:val="center"/>
          </w:tcPr>
          <w:p w14:paraId="009ADD8D"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-8,3</w:t>
            </w:r>
          </w:p>
        </w:tc>
      </w:tr>
      <w:tr w:rsidR="00577D9C" w:rsidRPr="00DF7442" w14:paraId="348C198B" w14:textId="77777777" w:rsidTr="006852FB">
        <w:trPr>
          <w:trHeight w:hRule="exact" w:val="255"/>
          <w:jc w:val="center"/>
        </w:trPr>
        <w:tc>
          <w:tcPr>
            <w:tcW w:w="851" w:type="dxa"/>
            <w:shd w:val="clear" w:color="auto" w:fill="auto"/>
            <w:noWrap/>
            <w:vAlign w:val="center"/>
          </w:tcPr>
          <w:p w14:paraId="2EA44273"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Palermo</w:t>
            </w:r>
          </w:p>
        </w:tc>
        <w:tc>
          <w:tcPr>
            <w:tcW w:w="794" w:type="dxa"/>
            <w:shd w:val="clear" w:color="auto" w:fill="D9D9D9" w:themeFill="background1" w:themeFillShade="D9"/>
            <w:vAlign w:val="center"/>
          </w:tcPr>
          <w:p w14:paraId="6E960D5E"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1.586</w:t>
            </w:r>
          </w:p>
        </w:tc>
        <w:tc>
          <w:tcPr>
            <w:tcW w:w="794" w:type="dxa"/>
            <w:vAlign w:val="center"/>
          </w:tcPr>
          <w:p w14:paraId="0D8BB5F4"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1.332</w:t>
            </w:r>
          </w:p>
        </w:tc>
        <w:tc>
          <w:tcPr>
            <w:tcW w:w="624" w:type="dxa"/>
            <w:shd w:val="clear" w:color="auto" w:fill="D9D9D9" w:themeFill="background1" w:themeFillShade="D9"/>
            <w:noWrap/>
            <w:vAlign w:val="center"/>
          </w:tcPr>
          <w:p w14:paraId="43D00D35"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19</w:t>
            </w:r>
          </w:p>
        </w:tc>
        <w:tc>
          <w:tcPr>
            <w:tcW w:w="624" w:type="dxa"/>
            <w:shd w:val="clear" w:color="auto" w:fill="auto"/>
            <w:vAlign w:val="center"/>
          </w:tcPr>
          <w:p w14:paraId="1F97939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18</w:t>
            </w:r>
          </w:p>
        </w:tc>
        <w:tc>
          <w:tcPr>
            <w:tcW w:w="794" w:type="dxa"/>
            <w:shd w:val="clear" w:color="auto" w:fill="D9D9D9" w:themeFill="background1" w:themeFillShade="D9"/>
            <w:vAlign w:val="center"/>
          </w:tcPr>
          <w:p w14:paraId="150663A0"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21</w:t>
            </w:r>
          </w:p>
        </w:tc>
        <w:tc>
          <w:tcPr>
            <w:tcW w:w="794" w:type="dxa"/>
            <w:shd w:val="clear" w:color="auto" w:fill="auto"/>
            <w:vAlign w:val="center"/>
          </w:tcPr>
          <w:p w14:paraId="31289B16"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27</w:t>
            </w:r>
          </w:p>
        </w:tc>
        <w:tc>
          <w:tcPr>
            <w:tcW w:w="680" w:type="dxa"/>
            <w:shd w:val="clear" w:color="auto" w:fill="D9D9D9" w:themeFill="background1" w:themeFillShade="D9"/>
            <w:vAlign w:val="center"/>
          </w:tcPr>
          <w:p w14:paraId="7DD26A0A"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0</w:t>
            </w:r>
          </w:p>
        </w:tc>
        <w:tc>
          <w:tcPr>
            <w:tcW w:w="680" w:type="dxa"/>
            <w:shd w:val="clear" w:color="auto" w:fill="auto"/>
            <w:vAlign w:val="center"/>
          </w:tcPr>
          <w:p w14:paraId="0C3AF3A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w:t>
            </w:r>
          </w:p>
        </w:tc>
        <w:tc>
          <w:tcPr>
            <w:tcW w:w="850" w:type="dxa"/>
            <w:shd w:val="clear" w:color="auto" w:fill="D9D9D9" w:themeFill="background1" w:themeFillShade="D9"/>
            <w:vAlign w:val="center"/>
          </w:tcPr>
          <w:p w14:paraId="4CA2F902"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3,0</w:t>
            </w:r>
          </w:p>
        </w:tc>
        <w:tc>
          <w:tcPr>
            <w:tcW w:w="850" w:type="dxa"/>
            <w:vAlign w:val="center"/>
          </w:tcPr>
          <w:p w14:paraId="23378E4E"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2,9</w:t>
            </w:r>
          </w:p>
        </w:tc>
        <w:tc>
          <w:tcPr>
            <w:tcW w:w="851" w:type="dxa"/>
            <w:shd w:val="clear" w:color="auto" w:fill="D9D9D9" w:themeFill="background1" w:themeFillShade="D9"/>
            <w:vAlign w:val="center"/>
          </w:tcPr>
          <w:p w14:paraId="255B123E" w14:textId="1DC1F2EF" w:rsidR="00B77A0E" w:rsidRPr="00FD7525" w:rsidRDefault="00297FAF" w:rsidP="00236108">
            <w:pPr>
              <w:ind w:right="113"/>
              <w:jc w:val="right"/>
              <w:rPr>
                <w:rFonts w:ascii="Arial Narrow" w:hAnsi="Arial Narrow"/>
                <w:color w:val="000000"/>
                <w:sz w:val="18"/>
                <w:szCs w:val="18"/>
              </w:rPr>
            </w:pPr>
            <w:r>
              <w:rPr>
                <w:rFonts w:ascii="Arial Narrow" w:hAnsi="Arial Narrow"/>
                <w:color w:val="000000"/>
                <w:sz w:val="18"/>
                <w:szCs w:val="18"/>
              </w:rPr>
              <w:t>-</w:t>
            </w:r>
          </w:p>
        </w:tc>
        <w:tc>
          <w:tcPr>
            <w:tcW w:w="851" w:type="dxa"/>
            <w:shd w:val="clear" w:color="auto" w:fill="auto"/>
            <w:vAlign w:val="center"/>
          </w:tcPr>
          <w:p w14:paraId="31D78813"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-26,9</w:t>
            </w:r>
          </w:p>
        </w:tc>
      </w:tr>
      <w:tr w:rsidR="00577D9C" w:rsidRPr="00DF7442" w14:paraId="01619983" w14:textId="77777777" w:rsidTr="006852FB">
        <w:trPr>
          <w:trHeight w:hRule="exact" w:val="255"/>
          <w:jc w:val="center"/>
        </w:trPr>
        <w:tc>
          <w:tcPr>
            <w:tcW w:w="851" w:type="dxa"/>
            <w:shd w:val="clear" w:color="auto" w:fill="auto"/>
            <w:noWrap/>
            <w:vAlign w:val="center"/>
          </w:tcPr>
          <w:p w14:paraId="7DBCBEC3"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Messina</w:t>
            </w:r>
          </w:p>
        </w:tc>
        <w:tc>
          <w:tcPr>
            <w:tcW w:w="794" w:type="dxa"/>
            <w:shd w:val="clear" w:color="auto" w:fill="D9D9D9" w:themeFill="background1" w:themeFillShade="D9"/>
            <w:vAlign w:val="center"/>
          </w:tcPr>
          <w:p w14:paraId="4CEF33C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602</w:t>
            </w:r>
          </w:p>
        </w:tc>
        <w:tc>
          <w:tcPr>
            <w:tcW w:w="794" w:type="dxa"/>
            <w:vAlign w:val="center"/>
          </w:tcPr>
          <w:p w14:paraId="0FA32E25"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528</w:t>
            </w:r>
          </w:p>
        </w:tc>
        <w:tc>
          <w:tcPr>
            <w:tcW w:w="624" w:type="dxa"/>
            <w:shd w:val="clear" w:color="auto" w:fill="D9D9D9" w:themeFill="background1" w:themeFillShade="D9"/>
            <w:noWrap/>
            <w:vAlign w:val="center"/>
          </w:tcPr>
          <w:p w14:paraId="022DFFC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8</w:t>
            </w:r>
          </w:p>
        </w:tc>
        <w:tc>
          <w:tcPr>
            <w:tcW w:w="624" w:type="dxa"/>
            <w:shd w:val="clear" w:color="auto" w:fill="auto"/>
            <w:vAlign w:val="center"/>
          </w:tcPr>
          <w:p w14:paraId="39BA7A4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794" w:type="dxa"/>
            <w:shd w:val="clear" w:color="auto" w:fill="D9D9D9" w:themeFill="background1" w:themeFillShade="D9"/>
            <w:vAlign w:val="center"/>
          </w:tcPr>
          <w:p w14:paraId="41F2528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135</w:t>
            </w:r>
          </w:p>
        </w:tc>
        <w:tc>
          <w:tcPr>
            <w:tcW w:w="794" w:type="dxa"/>
            <w:shd w:val="clear" w:color="auto" w:fill="auto"/>
            <w:vAlign w:val="center"/>
          </w:tcPr>
          <w:p w14:paraId="08552099"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96</w:t>
            </w:r>
          </w:p>
        </w:tc>
        <w:tc>
          <w:tcPr>
            <w:tcW w:w="680" w:type="dxa"/>
            <w:shd w:val="clear" w:color="auto" w:fill="D9D9D9" w:themeFill="background1" w:themeFillShade="D9"/>
            <w:vAlign w:val="center"/>
          </w:tcPr>
          <w:p w14:paraId="44D0445B"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6</w:t>
            </w:r>
          </w:p>
        </w:tc>
        <w:tc>
          <w:tcPr>
            <w:tcW w:w="680" w:type="dxa"/>
            <w:shd w:val="clear" w:color="auto" w:fill="auto"/>
            <w:vAlign w:val="center"/>
          </w:tcPr>
          <w:p w14:paraId="04DB286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850" w:type="dxa"/>
            <w:shd w:val="clear" w:color="auto" w:fill="D9D9D9" w:themeFill="background1" w:themeFillShade="D9"/>
            <w:vAlign w:val="center"/>
          </w:tcPr>
          <w:p w14:paraId="66AAE7D7"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6,3</w:t>
            </w:r>
          </w:p>
        </w:tc>
        <w:tc>
          <w:tcPr>
            <w:tcW w:w="850" w:type="dxa"/>
            <w:vAlign w:val="center"/>
          </w:tcPr>
          <w:p w14:paraId="458D01D1"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2,6</w:t>
            </w:r>
          </w:p>
        </w:tc>
        <w:tc>
          <w:tcPr>
            <w:tcW w:w="851" w:type="dxa"/>
            <w:shd w:val="clear" w:color="auto" w:fill="D9D9D9" w:themeFill="background1" w:themeFillShade="D9"/>
            <w:vAlign w:val="center"/>
          </w:tcPr>
          <w:p w14:paraId="4D8B792E"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133,3</w:t>
            </w:r>
          </w:p>
        </w:tc>
        <w:tc>
          <w:tcPr>
            <w:tcW w:w="851" w:type="dxa"/>
            <w:shd w:val="clear" w:color="auto" w:fill="auto"/>
            <w:vAlign w:val="center"/>
          </w:tcPr>
          <w:p w14:paraId="7AB4B3C6" w14:textId="77777777" w:rsidR="00B77A0E" w:rsidRPr="00AD5162" w:rsidRDefault="00B77A0E" w:rsidP="00236108">
            <w:pPr>
              <w:ind w:right="113"/>
              <w:jc w:val="right"/>
              <w:rPr>
                <w:rFonts w:ascii="Arial Narrow" w:hAnsi="Arial Narrow"/>
                <w:color w:val="000000"/>
                <w:sz w:val="18"/>
                <w:szCs w:val="18"/>
              </w:rPr>
            </w:pPr>
            <w:r w:rsidRPr="00AD5162">
              <w:rPr>
                <w:rFonts w:ascii="Arial Narrow" w:hAnsi="Arial Narrow"/>
                <w:color w:val="000000"/>
                <w:sz w:val="18"/>
                <w:szCs w:val="18"/>
              </w:rPr>
              <w:t>+40,0</w:t>
            </w:r>
          </w:p>
        </w:tc>
      </w:tr>
      <w:tr w:rsidR="00577D9C" w:rsidRPr="00DF7442" w14:paraId="354E8CBE" w14:textId="77777777" w:rsidTr="006852FB">
        <w:trPr>
          <w:trHeight w:hRule="exact" w:val="255"/>
          <w:jc w:val="center"/>
        </w:trPr>
        <w:tc>
          <w:tcPr>
            <w:tcW w:w="851" w:type="dxa"/>
            <w:tcBorders>
              <w:bottom w:val="single" w:sz="4" w:space="0" w:color="auto"/>
            </w:tcBorders>
            <w:shd w:val="clear" w:color="auto" w:fill="auto"/>
            <w:noWrap/>
            <w:vAlign w:val="center"/>
          </w:tcPr>
          <w:p w14:paraId="184ADD55" w14:textId="77777777" w:rsidR="00B77A0E" w:rsidRPr="00DF7442" w:rsidRDefault="00B77A0E" w:rsidP="00236108">
            <w:pPr>
              <w:spacing w:before="40"/>
              <w:ind w:right="113"/>
              <w:rPr>
                <w:rFonts w:ascii="Arial Narrow" w:hAnsi="Arial Narrow" w:cs="Times New Roman"/>
                <w:sz w:val="18"/>
                <w:szCs w:val="18"/>
              </w:rPr>
            </w:pPr>
            <w:r w:rsidRPr="00DF7442">
              <w:rPr>
                <w:rFonts w:ascii="Arial Narrow" w:hAnsi="Arial Narrow" w:cs="Times New Roman"/>
                <w:sz w:val="18"/>
                <w:szCs w:val="18"/>
              </w:rPr>
              <w:t>Catania</w:t>
            </w:r>
          </w:p>
        </w:tc>
        <w:tc>
          <w:tcPr>
            <w:tcW w:w="794" w:type="dxa"/>
            <w:tcBorders>
              <w:bottom w:val="single" w:sz="4" w:space="0" w:color="auto"/>
            </w:tcBorders>
            <w:shd w:val="clear" w:color="auto" w:fill="D9D9D9" w:themeFill="background1" w:themeFillShade="D9"/>
            <w:vAlign w:val="center"/>
          </w:tcPr>
          <w:p w14:paraId="0B19B5D6"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1.095</w:t>
            </w:r>
          </w:p>
        </w:tc>
        <w:tc>
          <w:tcPr>
            <w:tcW w:w="794" w:type="dxa"/>
            <w:tcBorders>
              <w:bottom w:val="single" w:sz="4" w:space="0" w:color="auto"/>
            </w:tcBorders>
            <w:vAlign w:val="center"/>
          </w:tcPr>
          <w:p w14:paraId="74619B4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898</w:t>
            </w:r>
          </w:p>
        </w:tc>
        <w:tc>
          <w:tcPr>
            <w:tcW w:w="624" w:type="dxa"/>
            <w:tcBorders>
              <w:bottom w:val="single" w:sz="4" w:space="0" w:color="auto"/>
            </w:tcBorders>
            <w:shd w:val="clear" w:color="auto" w:fill="D9D9D9" w:themeFill="background1" w:themeFillShade="D9"/>
            <w:noWrap/>
            <w:vAlign w:val="center"/>
          </w:tcPr>
          <w:p w14:paraId="5F900F9C"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14</w:t>
            </w:r>
          </w:p>
        </w:tc>
        <w:tc>
          <w:tcPr>
            <w:tcW w:w="624" w:type="dxa"/>
            <w:tcBorders>
              <w:bottom w:val="single" w:sz="4" w:space="0" w:color="auto"/>
            </w:tcBorders>
            <w:shd w:val="clear" w:color="auto" w:fill="auto"/>
            <w:vAlign w:val="center"/>
          </w:tcPr>
          <w:p w14:paraId="34B3B71A"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10</w:t>
            </w:r>
          </w:p>
        </w:tc>
        <w:tc>
          <w:tcPr>
            <w:tcW w:w="794" w:type="dxa"/>
            <w:tcBorders>
              <w:bottom w:val="single" w:sz="4" w:space="0" w:color="auto"/>
            </w:tcBorders>
            <w:shd w:val="clear" w:color="auto" w:fill="D9D9D9" w:themeFill="background1" w:themeFillShade="D9"/>
            <w:vAlign w:val="center"/>
          </w:tcPr>
          <w:p w14:paraId="6D843BB5"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70</w:t>
            </w:r>
          </w:p>
        </w:tc>
        <w:tc>
          <w:tcPr>
            <w:tcW w:w="794" w:type="dxa"/>
            <w:tcBorders>
              <w:bottom w:val="single" w:sz="4" w:space="0" w:color="auto"/>
            </w:tcBorders>
            <w:shd w:val="clear" w:color="auto" w:fill="auto"/>
            <w:vAlign w:val="center"/>
          </w:tcPr>
          <w:p w14:paraId="04F371BD"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69</w:t>
            </w:r>
          </w:p>
        </w:tc>
        <w:tc>
          <w:tcPr>
            <w:tcW w:w="680" w:type="dxa"/>
            <w:tcBorders>
              <w:bottom w:val="single" w:sz="4" w:space="0" w:color="auto"/>
            </w:tcBorders>
            <w:shd w:val="clear" w:color="auto" w:fill="D9D9D9" w:themeFill="background1" w:themeFillShade="D9"/>
            <w:vAlign w:val="center"/>
          </w:tcPr>
          <w:p w14:paraId="0A5F1131"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3</w:t>
            </w:r>
          </w:p>
        </w:tc>
        <w:tc>
          <w:tcPr>
            <w:tcW w:w="680" w:type="dxa"/>
            <w:tcBorders>
              <w:bottom w:val="single" w:sz="4" w:space="0" w:color="auto"/>
            </w:tcBorders>
            <w:shd w:val="clear" w:color="auto" w:fill="auto"/>
            <w:vAlign w:val="center"/>
          </w:tcPr>
          <w:p w14:paraId="7C233ABF" w14:textId="77777777" w:rsidR="00B77A0E" w:rsidRPr="00696B04" w:rsidRDefault="00B77A0E" w:rsidP="00236108">
            <w:pPr>
              <w:jc w:val="right"/>
              <w:rPr>
                <w:rFonts w:ascii="Arial Narrow" w:hAnsi="Arial Narrow"/>
                <w:color w:val="000000"/>
                <w:sz w:val="18"/>
                <w:szCs w:val="18"/>
              </w:rPr>
            </w:pPr>
            <w:r w:rsidRPr="00696B04">
              <w:rPr>
                <w:rFonts w:ascii="Arial Narrow" w:hAnsi="Arial Narrow"/>
                <w:color w:val="000000"/>
                <w:sz w:val="18"/>
                <w:szCs w:val="18"/>
              </w:rPr>
              <w:t>1</w:t>
            </w:r>
          </w:p>
        </w:tc>
        <w:tc>
          <w:tcPr>
            <w:tcW w:w="850" w:type="dxa"/>
            <w:tcBorders>
              <w:bottom w:val="single" w:sz="4" w:space="0" w:color="auto"/>
            </w:tcBorders>
            <w:shd w:val="clear" w:color="auto" w:fill="D9D9D9" w:themeFill="background1" w:themeFillShade="D9"/>
            <w:vAlign w:val="center"/>
          </w:tcPr>
          <w:p w14:paraId="6E91A932" w14:textId="77777777" w:rsidR="00B77A0E" w:rsidRPr="00696B04" w:rsidRDefault="00B77A0E" w:rsidP="00236108">
            <w:pPr>
              <w:ind w:right="113"/>
              <w:jc w:val="right"/>
              <w:rPr>
                <w:rFonts w:ascii="Arial Narrow" w:hAnsi="Arial Narrow"/>
                <w:color w:val="000000"/>
                <w:sz w:val="18"/>
                <w:szCs w:val="18"/>
              </w:rPr>
            </w:pPr>
            <w:r w:rsidRPr="00696B04">
              <w:rPr>
                <w:rFonts w:ascii="Arial Narrow" w:hAnsi="Arial Narrow"/>
                <w:color w:val="000000"/>
                <w:sz w:val="18"/>
                <w:szCs w:val="18"/>
              </w:rPr>
              <w:t>5,7</w:t>
            </w:r>
          </w:p>
        </w:tc>
        <w:tc>
          <w:tcPr>
            <w:tcW w:w="850" w:type="dxa"/>
            <w:tcBorders>
              <w:bottom w:val="single" w:sz="4" w:space="0" w:color="auto"/>
            </w:tcBorders>
            <w:vAlign w:val="center"/>
          </w:tcPr>
          <w:p w14:paraId="6514CE16" w14:textId="77777777" w:rsidR="00B77A0E" w:rsidRPr="00DF7442" w:rsidRDefault="00B77A0E" w:rsidP="00236108">
            <w:pPr>
              <w:ind w:right="113"/>
              <w:jc w:val="right"/>
              <w:rPr>
                <w:rFonts w:ascii="Arial Narrow" w:hAnsi="Arial Narrow"/>
                <w:color w:val="000000"/>
                <w:sz w:val="18"/>
                <w:szCs w:val="18"/>
              </w:rPr>
            </w:pPr>
            <w:r w:rsidRPr="00DF7442">
              <w:rPr>
                <w:rFonts w:ascii="Arial Narrow" w:hAnsi="Arial Narrow"/>
                <w:color w:val="000000"/>
                <w:sz w:val="18"/>
                <w:szCs w:val="18"/>
              </w:rPr>
              <w:t>3,7</w:t>
            </w:r>
          </w:p>
        </w:tc>
        <w:tc>
          <w:tcPr>
            <w:tcW w:w="851" w:type="dxa"/>
            <w:tcBorders>
              <w:bottom w:val="single" w:sz="4" w:space="0" w:color="auto"/>
            </w:tcBorders>
            <w:shd w:val="clear" w:color="auto" w:fill="D9D9D9" w:themeFill="background1" w:themeFillShade="D9"/>
            <w:vAlign w:val="center"/>
          </w:tcPr>
          <w:p w14:paraId="6A33039F" w14:textId="77777777" w:rsidR="00B77A0E" w:rsidRPr="00FD7525" w:rsidRDefault="00B77A0E" w:rsidP="00236108">
            <w:pPr>
              <w:ind w:right="113"/>
              <w:jc w:val="right"/>
              <w:rPr>
                <w:rFonts w:ascii="Arial Narrow" w:hAnsi="Arial Narrow"/>
                <w:color w:val="000000"/>
                <w:sz w:val="18"/>
                <w:szCs w:val="18"/>
              </w:rPr>
            </w:pPr>
            <w:r>
              <w:rPr>
                <w:rFonts w:ascii="Arial Narrow" w:hAnsi="Arial Narrow"/>
                <w:color w:val="000000"/>
                <w:sz w:val="18"/>
                <w:szCs w:val="18"/>
              </w:rPr>
              <w:t>+</w:t>
            </w:r>
            <w:r w:rsidRPr="00FD7525">
              <w:rPr>
                <w:rFonts w:ascii="Arial Narrow" w:hAnsi="Arial Narrow"/>
                <w:color w:val="000000"/>
                <w:sz w:val="18"/>
                <w:szCs w:val="18"/>
              </w:rPr>
              <w:t>54,5</w:t>
            </w:r>
          </w:p>
        </w:tc>
        <w:tc>
          <w:tcPr>
            <w:tcW w:w="851" w:type="dxa"/>
            <w:tcBorders>
              <w:bottom w:val="single" w:sz="4" w:space="0" w:color="auto"/>
            </w:tcBorders>
            <w:shd w:val="clear" w:color="auto" w:fill="auto"/>
            <w:vAlign w:val="center"/>
          </w:tcPr>
          <w:p w14:paraId="421EDE9A" w14:textId="37E807D6" w:rsidR="00B77A0E" w:rsidRPr="00AD5162" w:rsidRDefault="00297FAF" w:rsidP="00236108">
            <w:pPr>
              <w:ind w:right="113"/>
              <w:jc w:val="right"/>
              <w:rPr>
                <w:rFonts w:ascii="Arial Narrow" w:hAnsi="Arial Narrow"/>
                <w:color w:val="000000"/>
                <w:sz w:val="18"/>
                <w:szCs w:val="18"/>
              </w:rPr>
            </w:pPr>
            <w:r w:rsidRPr="00AD5162">
              <w:rPr>
                <w:rFonts w:ascii="Arial Narrow" w:hAnsi="Arial Narrow"/>
                <w:color w:val="000000"/>
                <w:sz w:val="18"/>
                <w:szCs w:val="18"/>
              </w:rPr>
              <w:t>+</w:t>
            </w:r>
            <w:r w:rsidR="00B77A0E" w:rsidRPr="00AD5162">
              <w:rPr>
                <w:rFonts w:ascii="Arial Narrow" w:hAnsi="Arial Narrow"/>
                <w:color w:val="000000"/>
                <w:sz w:val="18"/>
                <w:szCs w:val="18"/>
              </w:rPr>
              <w:t>13,3</w:t>
            </w:r>
          </w:p>
        </w:tc>
      </w:tr>
      <w:tr w:rsidR="00577D9C" w:rsidRPr="00DF7442" w14:paraId="1ECA6843" w14:textId="77777777" w:rsidTr="00AD5162">
        <w:trPr>
          <w:trHeight w:hRule="exact" w:val="255"/>
          <w:jc w:val="center"/>
        </w:trPr>
        <w:tc>
          <w:tcPr>
            <w:tcW w:w="851" w:type="dxa"/>
            <w:shd w:val="clear" w:color="auto" w:fill="005280"/>
            <w:noWrap/>
            <w:vAlign w:val="center"/>
          </w:tcPr>
          <w:p w14:paraId="217A23DA" w14:textId="77777777" w:rsidR="00B77A0E" w:rsidRPr="00DF7442" w:rsidRDefault="00B77A0E" w:rsidP="00236108">
            <w:pPr>
              <w:spacing w:before="40"/>
              <w:ind w:right="113"/>
              <w:rPr>
                <w:rFonts w:ascii="Arial Narrow" w:hAnsi="Arial Narrow" w:cs="Times New Roman"/>
                <w:b/>
                <w:bCs/>
                <w:color w:val="FFFFFF" w:themeColor="background1"/>
                <w:sz w:val="18"/>
                <w:szCs w:val="18"/>
              </w:rPr>
            </w:pPr>
            <w:r w:rsidRPr="00DF7442">
              <w:rPr>
                <w:rFonts w:ascii="Arial Narrow" w:hAnsi="Arial Narrow" w:cs="Times New Roman"/>
                <w:b/>
                <w:bCs/>
                <w:color w:val="FFFFFF" w:themeColor="background1"/>
                <w:sz w:val="18"/>
                <w:szCs w:val="18"/>
              </w:rPr>
              <w:t xml:space="preserve">Totale </w:t>
            </w:r>
          </w:p>
        </w:tc>
        <w:tc>
          <w:tcPr>
            <w:tcW w:w="794" w:type="dxa"/>
            <w:shd w:val="clear" w:color="auto" w:fill="005280"/>
            <w:vAlign w:val="center"/>
          </w:tcPr>
          <w:p w14:paraId="65BE18F7"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35.733</w:t>
            </w:r>
          </w:p>
        </w:tc>
        <w:tc>
          <w:tcPr>
            <w:tcW w:w="794" w:type="dxa"/>
            <w:shd w:val="clear" w:color="auto" w:fill="005280"/>
            <w:vAlign w:val="center"/>
          </w:tcPr>
          <w:p w14:paraId="48D0B377"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26.522</w:t>
            </w:r>
          </w:p>
        </w:tc>
        <w:tc>
          <w:tcPr>
            <w:tcW w:w="624" w:type="dxa"/>
            <w:shd w:val="clear" w:color="auto" w:fill="005280"/>
            <w:noWrap/>
            <w:vAlign w:val="center"/>
          </w:tcPr>
          <w:p w14:paraId="0981C01D"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275</w:t>
            </w:r>
          </w:p>
        </w:tc>
        <w:tc>
          <w:tcPr>
            <w:tcW w:w="624" w:type="dxa"/>
            <w:shd w:val="clear" w:color="auto" w:fill="005280"/>
            <w:vAlign w:val="center"/>
          </w:tcPr>
          <w:p w14:paraId="51B3D0E1"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237</w:t>
            </w:r>
          </w:p>
        </w:tc>
        <w:tc>
          <w:tcPr>
            <w:tcW w:w="794" w:type="dxa"/>
            <w:shd w:val="clear" w:color="auto" w:fill="005280"/>
            <w:vAlign w:val="center"/>
          </w:tcPr>
          <w:p w14:paraId="7A61385A"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2.848</w:t>
            </w:r>
          </w:p>
        </w:tc>
        <w:tc>
          <w:tcPr>
            <w:tcW w:w="794" w:type="dxa"/>
            <w:shd w:val="clear" w:color="auto" w:fill="005280"/>
            <w:vAlign w:val="center"/>
          </w:tcPr>
          <w:p w14:paraId="7EBBD51E"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2.113</w:t>
            </w:r>
          </w:p>
        </w:tc>
        <w:tc>
          <w:tcPr>
            <w:tcW w:w="680" w:type="dxa"/>
            <w:shd w:val="clear" w:color="auto" w:fill="005280"/>
            <w:vAlign w:val="center"/>
          </w:tcPr>
          <w:p w14:paraId="06EBECFE"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44</w:t>
            </w:r>
          </w:p>
        </w:tc>
        <w:tc>
          <w:tcPr>
            <w:tcW w:w="680" w:type="dxa"/>
            <w:shd w:val="clear" w:color="auto" w:fill="005280"/>
            <w:vAlign w:val="center"/>
          </w:tcPr>
          <w:p w14:paraId="23EF80F3" w14:textId="77777777" w:rsidR="00B77A0E" w:rsidRPr="00696B04" w:rsidRDefault="00B77A0E" w:rsidP="00236108">
            <w:pPr>
              <w:jc w:val="right"/>
              <w:rPr>
                <w:rFonts w:ascii="Arial Narrow" w:hAnsi="Arial Narrow"/>
                <w:b/>
                <w:color w:val="FFFFFF" w:themeColor="background1"/>
                <w:sz w:val="18"/>
                <w:szCs w:val="18"/>
              </w:rPr>
            </w:pPr>
            <w:r w:rsidRPr="00696B04">
              <w:rPr>
                <w:rFonts w:ascii="Arial Narrow" w:hAnsi="Arial Narrow"/>
                <w:b/>
                <w:color w:val="FFFFFF" w:themeColor="background1"/>
                <w:sz w:val="18"/>
                <w:szCs w:val="18"/>
              </w:rPr>
              <w:t>50</w:t>
            </w:r>
          </w:p>
        </w:tc>
        <w:tc>
          <w:tcPr>
            <w:tcW w:w="850" w:type="dxa"/>
            <w:shd w:val="clear" w:color="auto" w:fill="005280"/>
            <w:vAlign w:val="center"/>
          </w:tcPr>
          <w:p w14:paraId="3632B85B" w14:textId="77777777" w:rsidR="00B77A0E" w:rsidRPr="00696B04" w:rsidRDefault="00B77A0E" w:rsidP="00236108">
            <w:pPr>
              <w:ind w:right="113"/>
              <w:jc w:val="right"/>
              <w:rPr>
                <w:rFonts w:ascii="Arial Narrow" w:hAnsi="Arial Narrow"/>
                <w:b/>
                <w:color w:val="000000"/>
                <w:sz w:val="18"/>
                <w:szCs w:val="18"/>
              </w:rPr>
            </w:pPr>
            <w:r w:rsidRPr="00696B04">
              <w:rPr>
                <w:rFonts w:ascii="Arial Narrow" w:hAnsi="Arial Narrow"/>
                <w:b/>
                <w:color w:val="FFFFFF" w:themeColor="background1"/>
                <w:sz w:val="18"/>
                <w:szCs w:val="18"/>
              </w:rPr>
              <w:t>3,4</w:t>
            </w:r>
          </w:p>
        </w:tc>
        <w:tc>
          <w:tcPr>
            <w:tcW w:w="850" w:type="dxa"/>
            <w:shd w:val="clear" w:color="auto" w:fill="005280"/>
            <w:vAlign w:val="center"/>
          </w:tcPr>
          <w:p w14:paraId="52D738E0" w14:textId="77777777" w:rsidR="00B77A0E" w:rsidRPr="00DF7442" w:rsidRDefault="00B77A0E" w:rsidP="00236108">
            <w:pPr>
              <w:ind w:right="57"/>
              <w:jc w:val="center"/>
              <w:rPr>
                <w:rFonts w:ascii="Arial Narrow" w:hAnsi="Arial Narrow"/>
                <w:b/>
                <w:color w:val="FFFFFF" w:themeColor="background1"/>
                <w:sz w:val="18"/>
                <w:szCs w:val="18"/>
              </w:rPr>
            </w:pPr>
            <w:r w:rsidRPr="00DF7442">
              <w:rPr>
                <w:rFonts w:ascii="Arial Narrow" w:hAnsi="Arial Narrow"/>
                <w:b/>
                <w:color w:val="FFFFFF" w:themeColor="background1"/>
                <w:sz w:val="18"/>
                <w:szCs w:val="18"/>
              </w:rPr>
              <w:t xml:space="preserve">        3,0</w:t>
            </w:r>
          </w:p>
        </w:tc>
        <w:tc>
          <w:tcPr>
            <w:tcW w:w="851" w:type="dxa"/>
            <w:shd w:val="clear" w:color="auto" w:fill="005280"/>
            <w:vAlign w:val="center"/>
          </w:tcPr>
          <w:p w14:paraId="25ADBD99" w14:textId="77777777" w:rsidR="00B77A0E" w:rsidRPr="00FD7525" w:rsidRDefault="00B77A0E" w:rsidP="00236108">
            <w:pPr>
              <w:jc w:val="center"/>
              <w:rPr>
                <w:rFonts w:ascii="Arial Narrow" w:hAnsi="Arial Narrow"/>
                <w:b/>
                <w:color w:val="FFFFFF" w:themeColor="background1"/>
                <w:sz w:val="18"/>
                <w:szCs w:val="18"/>
              </w:rPr>
            </w:pPr>
            <w:r>
              <w:rPr>
                <w:rFonts w:ascii="Arial Narrow" w:hAnsi="Arial Narrow"/>
                <w:b/>
                <w:color w:val="FFFFFF" w:themeColor="background1"/>
                <w:sz w:val="18"/>
                <w:szCs w:val="18"/>
              </w:rPr>
              <w:t>+</w:t>
            </w:r>
            <w:r w:rsidRPr="00FD7525">
              <w:rPr>
                <w:rFonts w:ascii="Arial Narrow" w:hAnsi="Arial Narrow"/>
                <w:b/>
                <w:color w:val="FFFFFF" w:themeColor="background1"/>
                <w:sz w:val="18"/>
                <w:szCs w:val="18"/>
              </w:rPr>
              <w:t>11,1</w:t>
            </w:r>
          </w:p>
        </w:tc>
        <w:tc>
          <w:tcPr>
            <w:tcW w:w="851" w:type="dxa"/>
            <w:shd w:val="clear" w:color="auto" w:fill="005280"/>
            <w:vAlign w:val="center"/>
          </w:tcPr>
          <w:p w14:paraId="154F505B" w14:textId="77777777" w:rsidR="00B77A0E" w:rsidRPr="00FD7525" w:rsidRDefault="00B77A0E" w:rsidP="00236108">
            <w:pPr>
              <w:jc w:val="center"/>
              <w:rPr>
                <w:rFonts w:ascii="Arial Narrow" w:hAnsi="Arial Narrow"/>
                <w:b/>
                <w:color w:val="FFFFFF" w:themeColor="background1"/>
                <w:sz w:val="18"/>
                <w:szCs w:val="18"/>
              </w:rPr>
            </w:pPr>
            <w:r w:rsidRPr="00FD7525">
              <w:rPr>
                <w:rFonts w:ascii="Arial Narrow" w:hAnsi="Arial Narrow"/>
                <w:b/>
                <w:color w:val="FFFFFF" w:themeColor="background1"/>
                <w:sz w:val="18"/>
                <w:szCs w:val="18"/>
              </w:rPr>
              <w:t>-9,1</w:t>
            </w:r>
          </w:p>
        </w:tc>
      </w:tr>
    </w:tbl>
    <w:p w14:paraId="560E8477" w14:textId="77777777" w:rsidR="00B77A0E" w:rsidRDefault="00B77A0E" w:rsidP="00B869BD">
      <w:pPr>
        <w:pStyle w:val="Rientrocorpodeltesto3"/>
        <w:numPr>
          <w:ilvl w:val="0"/>
          <w:numId w:val="13"/>
        </w:numPr>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6378"/>
          <w:tab w:val="clear" w:pos="7092"/>
          <w:tab w:val="clear" w:pos="7800"/>
          <w:tab w:val="left" w:pos="284"/>
          <w:tab w:val="left" w:pos="426"/>
        </w:tabs>
        <w:spacing w:before="60"/>
        <w:ind w:left="0" w:firstLine="0"/>
        <w:rPr>
          <w:rFonts w:ascii="Arial Narrow" w:hAnsi="Arial Narrow"/>
          <w:sz w:val="15"/>
          <w:szCs w:val="15"/>
        </w:rPr>
      </w:pPr>
      <w:r w:rsidRPr="00C44283">
        <w:rPr>
          <w:rFonts w:ascii="Arial Narrow" w:hAnsi="Arial Narrow"/>
          <w:sz w:val="15"/>
          <w:szCs w:val="15"/>
        </w:rPr>
        <w:t xml:space="preserve">Sono incluse tra le strade extraurbane le strade Statali, Regionali e Provinciali fuori dall’abitato, Comunali extraurbane, Autostrade e raccordi. </w:t>
      </w:r>
      <w:r>
        <w:rPr>
          <w:rFonts w:ascii="Arial Narrow" w:hAnsi="Arial Narrow"/>
          <w:sz w:val="15"/>
          <w:szCs w:val="15"/>
        </w:rPr>
        <w:t>(b) Tasso per 100mila abitanti.</w:t>
      </w:r>
    </w:p>
    <w:p w14:paraId="23482A9B" w14:textId="34296751" w:rsidR="00482F67" w:rsidRPr="00B869BD" w:rsidRDefault="00B77A0E" w:rsidP="002B0091">
      <w:pPr>
        <w:pStyle w:val="Rientrocorpodeltesto3"/>
        <w:numPr>
          <w:ilvl w:val="0"/>
          <w:numId w:val="13"/>
        </w:numPr>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6378"/>
          <w:tab w:val="clear" w:pos="7092"/>
          <w:tab w:val="clear" w:pos="7800"/>
          <w:tab w:val="left" w:pos="284"/>
        </w:tabs>
        <w:ind w:left="0" w:firstLine="0"/>
        <w:rPr>
          <w:rFonts w:ascii="Arial Narrow" w:hAnsi="Arial Narrow"/>
          <w:sz w:val="15"/>
          <w:szCs w:val="15"/>
        </w:rPr>
      </w:pPr>
      <w:r w:rsidRPr="00B869BD">
        <w:rPr>
          <w:rFonts w:ascii="Arial Narrow" w:hAnsi="Arial Narrow"/>
          <w:sz w:val="15"/>
          <w:szCs w:val="15"/>
        </w:rPr>
        <w:t>La variazione percentuale è stata calcolata con la seguente formula:</w:t>
      </w:r>
      <w:r w:rsidRPr="00B869BD">
        <w:rPr>
          <w:rFonts w:ascii="Arial Narrow" w:hAnsi="Arial Narrow"/>
          <w:i/>
          <w:iCs/>
          <w:sz w:val="15"/>
          <w:szCs w:val="15"/>
        </w:rPr>
        <w:t xml:space="preserve"> (M</w:t>
      </w:r>
      <w:r w:rsidRPr="00B869BD">
        <w:rPr>
          <w:rFonts w:ascii="Arial Narrow" w:hAnsi="Arial Narrow"/>
          <w:i/>
          <w:iCs/>
          <w:sz w:val="15"/>
          <w:szCs w:val="15"/>
          <w:vertAlign w:val="superscript"/>
        </w:rPr>
        <w:t>2021</w:t>
      </w:r>
      <w:r w:rsidRPr="00B869BD">
        <w:rPr>
          <w:rFonts w:ascii="Arial Narrow" w:hAnsi="Arial Narrow"/>
          <w:i/>
          <w:iCs/>
          <w:sz w:val="15"/>
          <w:szCs w:val="15"/>
        </w:rPr>
        <w:t>/M</w:t>
      </w:r>
      <w:r w:rsidRPr="00B869BD">
        <w:rPr>
          <w:rFonts w:ascii="Arial Narrow" w:hAnsi="Arial Narrow"/>
          <w:i/>
          <w:iCs/>
          <w:sz w:val="15"/>
          <w:szCs w:val="15"/>
          <w:vertAlign w:val="superscript"/>
        </w:rPr>
        <w:t>2019 e 2020</w:t>
      </w:r>
      <w:r w:rsidRPr="00B869BD">
        <w:rPr>
          <w:rFonts w:ascii="Arial Narrow" w:hAnsi="Arial Narrow"/>
          <w:i/>
          <w:iCs/>
          <w:sz w:val="15"/>
          <w:szCs w:val="15"/>
        </w:rPr>
        <w:t xml:space="preserve">-1)*100. </w:t>
      </w:r>
      <w:r w:rsidRPr="00B869BD">
        <w:rPr>
          <w:rFonts w:ascii="Arial Narrow" w:hAnsi="Arial Narrow"/>
          <w:sz w:val="15"/>
          <w:szCs w:val="15"/>
        </w:rPr>
        <w:t xml:space="preserve">Le variazioni </w:t>
      </w:r>
      <w:r w:rsidR="00AD5162">
        <w:rPr>
          <w:rFonts w:ascii="Arial Narrow" w:hAnsi="Arial Narrow"/>
          <w:sz w:val="15"/>
          <w:szCs w:val="15"/>
        </w:rPr>
        <w:t>percentuali calcolate su valori più contenuti</w:t>
      </w:r>
      <w:r w:rsidRPr="00B869BD">
        <w:rPr>
          <w:rFonts w:ascii="Arial Narrow" w:hAnsi="Arial Narrow"/>
          <w:sz w:val="15"/>
          <w:szCs w:val="15"/>
        </w:rPr>
        <w:t xml:space="preserve"> presentano maggiori oscillazioni nel tempo e pertanto d</w:t>
      </w:r>
      <w:r w:rsidR="00F1788A" w:rsidRPr="00B869BD">
        <w:rPr>
          <w:rFonts w:ascii="Arial Narrow" w:hAnsi="Arial Narrow"/>
          <w:sz w:val="15"/>
          <w:szCs w:val="15"/>
        </w:rPr>
        <w:t>evono essere interpretate con la dovuta</w:t>
      </w:r>
      <w:r w:rsidRPr="00B869BD">
        <w:rPr>
          <w:rFonts w:ascii="Arial Narrow" w:hAnsi="Arial Narrow"/>
          <w:sz w:val="15"/>
          <w:szCs w:val="15"/>
        </w:rPr>
        <w:t xml:space="preserve"> cautel</w:t>
      </w:r>
      <w:r w:rsidR="00F1788A" w:rsidRPr="00B869BD">
        <w:rPr>
          <w:rFonts w:ascii="Arial Narrow" w:hAnsi="Arial Narrow"/>
          <w:sz w:val="15"/>
          <w:szCs w:val="15"/>
        </w:rPr>
        <w:t>a</w:t>
      </w:r>
      <w:r w:rsidRPr="00B869BD">
        <w:rPr>
          <w:rFonts w:ascii="Arial Narrow" w:hAnsi="Arial Narrow"/>
          <w:sz w:val="15"/>
          <w:szCs w:val="15"/>
        </w:rPr>
        <w:t>.</w:t>
      </w:r>
    </w:p>
    <w:p w14:paraId="72BCC236" w14:textId="77777777" w:rsidR="00B869BD" w:rsidRDefault="00B869BD" w:rsidP="00B869BD">
      <w:pPr>
        <w:rPr>
          <w:b/>
          <w:bCs/>
          <w:sz w:val="22"/>
          <w:szCs w:val="22"/>
        </w:rPr>
      </w:pPr>
    </w:p>
    <w:p w14:paraId="4E738A53" w14:textId="77777777" w:rsidR="00B869BD" w:rsidRDefault="00B869BD" w:rsidP="00F877FE">
      <w:pPr>
        <w:spacing w:after="120"/>
        <w:rPr>
          <w:b/>
          <w:bCs/>
          <w:sz w:val="22"/>
          <w:szCs w:val="22"/>
        </w:rPr>
      </w:pPr>
    </w:p>
    <w:p w14:paraId="3756CEDC" w14:textId="3E2D759E" w:rsidR="00482F67" w:rsidRDefault="00482F67" w:rsidP="00F877FE">
      <w:pPr>
        <w:spacing w:after="120"/>
        <w:rPr>
          <w:b/>
          <w:bCs/>
          <w:sz w:val="22"/>
          <w:szCs w:val="22"/>
        </w:rPr>
      </w:pPr>
      <w:r>
        <w:rPr>
          <w:b/>
          <w:bCs/>
          <w:sz w:val="22"/>
          <w:szCs w:val="22"/>
        </w:rPr>
        <w:t xml:space="preserve">Tra i </w:t>
      </w:r>
      <w:r w:rsidRPr="001F08B8">
        <w:rPr>
          <w:b/>
          <w:bCs/>
          <w:sz w:val="22"/>
          <w:szCs w:val="22"/>
        </w:rPr>
        <w:t>feriti gravi</w:t>
      </w:r>
      <w:r>
        <w:rPr>
          <w:b/>
          <w:bCs/>
          <w:sz w:val="22"/>
          <w:szCs w:val="22"/>
        </w:rPr>
        <w:t xml:space="preserve"> soprattutto giovani e anziani</w:t>
      </w:r>
    </w:p>
    <w:p w14:paraId="510ECBB0" w14:textId="7CFD8738" w:rsidR="00482F67" w:rsidRDefault="00482F67" w:rsidP="00F877FE">
      <w:pPr>
        <w:spacing w:after="120"/>
        <w:jc w:val="both"/>
        <w:rPr>
          <w:sz w:val="20"/>
        </w:rPr>
      </w:pPr>
      <w:r w:rsidRPr="00F877FE">
        <w:rPr>
          <w:sz w:val="20"/>
        </w:rPr>
        <w:t>A</w:t>
      </w:r>
      <w:r w:rsidRPr="001F08B8">
        <w:rPr>
          <w:sz w:val="20"/>
        </w:rPr>
        <w:t xml:space="preserve"> seguito degli obiettivi fissati, per rendere comparabili e armonizzati i dati forniti dai Paesi dell’Ue sono state emanate Linee Guida internazionali per la classificazione della gravità delle lesioni da incidente stradale. </w:t>
      </w:r>
      <w:r w:rsidR="00CD5555">
        <w:rPr>
          <w:sz w:val="20"/>
        </w:rPr>
        <w:t xml:space="preserve"> </w:t>
      </w:r>
      <w:r w:rsidRPr="001F08B8">
        <w:rPr>
          <w:sz w:val="20"/>
        </w:rPr>
        <w:t>Seguendo una delle strate</w:t>
      </w:r>
      <w:r>
        <w:rPr>
          <w:sz w:val="20"/>
        </w:rPr>
        <w:t>gie proposte dalla Commissione e</w:t>
      </w:r>
      <w:r w:rsidRPr="001F08B8">
        <w:rPr>
          <w:sz w:val="20"/>
        </w:rPr>
        <w:t xml:space="preserve">uropea per la produzione di statistiche armonizzate, l’Italia ha definito il numero dei feriti gravi in incidenti stradali a partire dalle informazioni presenti sulle Schede di Dimissione Ospedaliera (SDO), di titolarità del Ministero della Salute. </w:t>
      </w:r>
    </w:p>
    <w:p w14:paraId="6332CC54" w14:textId="696211E8" w:rsidR="00482F67" w:rsidRDefault="00482F67" w:rsidP="00482F67">
      <w:pPr>
        <w:pStyle w:val="NormaleWeb"/>
        <w:spacing w:before="0" w:beforeAutospacing="0" w:after="120" w:afterAutospacing="0"/>
        <w:jc w:val="both"/>
        <w:rPr>
          <w:rFonts w:ascii="Arial" w:hAnsi="Arial" w:cs="Arial"/>
          <w:sz w:val="20"/>
          <w:szCs w:val="20"/>
        </w:rPr>
      </w:pPr>
      <w:r w:rsidRPr="001F08B8">
        <w:rPr>
          <w:rFonts w:ascii="Arial" w:hAnsi="Arial" w:cs="Arial"/>
          <w:bCs/>
          <w:sz w:val="20"/>
          <w:szCs w:val="20"/>
        </w:rPr>
        <w:t>Il calcolo dei feriti gravi è stato effettuato</w:t>
      </w:r>
      <w:r w:rsidRPr="001F08B8">
        <w:rPr>
          <w:rFonts w:ascii="Arial" w:hAnsi="Arial" w:cs="Arial"/>
          <w:sz w:val="20"/>
          <w:szCs w:val="20"/>
          <w:lang w:eastAsia="en-GB"/>
        </w:rPr>
        <w:t xml:space="preserve"> </w:t>
      </w:r>
      <w:r w:rsidRPr="001F08B8">
        <w:rPr>
          <w:rFonts w:ascii="Arial" w:hAnsi="Arial" w:cs="Arial"/>
          <w:bCs/>
          <w:sz w:val="20"/>
        </w:rPr>
        <w:t>mediante</w:t>
      </w:r>
      <w:r w:rsidRPr="001F08B8">
        <w:rPr>
          <w:rFonts w:ascii="Arial" w:hAnsi="Arial" w:cs="Arial"/>
          <w:bCs/>
          <w:sz w:val="20"/>
          <w:szCs w:val="20"/>
        </w:rPr>
        <w:t xml:space="preserve"> </w:t>
      </w:r>
      <w:r w:rsidRPr="001F08B8">
        <w:rPr>
          <w:rFonts w:ascii="Arial" w:hAnsi="Arial" w:cs="Arial"/>
          <w:sz w:val="20"/>
          <w:szCs w:val="20"/>
        </w:rPr>
        <w:t>l’utilizzo dell’esistente scala dei traumi AIS (</w:t>
      </w:r>
      <w:r w:rsidRPr="001F08B8">
        <w:rPr>
          <w:rFonts w:ascii="Arial" w:hAnsi="Arial" w:cs="Arial"/>
          <w:i/>
          <w:sz w:val="20"/>
          <w:szCs w:val="20"/>
        </w:rPr>
        <w:t>Abbreviate Injury Scale</w:t>
      </w:r>
      <w:r w:rsidRPr="001F08B8">
        <w:rPr>
          <w:rFonts w:ascii="Arial" w:hAnsi="Arial" w:cs="Arial"/>
          <w:sz w:val="20"/>
          <w:szCs w:val="20"/>
        </w:rPr>
        <w:t>), in particolare della sua variante MAIS (</w:t>
      </w:r>
      <w:r w:rsidRPr="001F08B8">
        <w:rPr>
          <w:rFonts w:ascii="Arial" w:hAnsi="Arial" w:cs="Arial"/>
          <w:i/>
          <w:sz w:val="20"/>
          <w:szCs w:val="20"/>
        </w:rPr>
        <w:t>Maximum Abbreviate Injury Scale</w:t>
      </w:r>
      <w:r w:rsidRPr="001F08B8">
        <w:rPr>
          <w:rFonts w:ascii="Arial" w:hAnsi="Arial" w:cs="Arial"/>
          <w:sz w:val="20"/>
          <w:szCs w:val="20"/>
        </w:rPr>
        <w:t>)</w:t>
      </w:r>
      <w:r w:rsidRPr="001F08B8">
        <w:rPr>
          <w:rStyle w:val="Rimandonotaapidipagina"/>
          <w:rFonts w:ascii="Arial" w:hAnsi="Arial" w:cs="Arial"/>
          <w:sz w:val="20"/>
          <w:szCs w:val="20"/>
        </w:rPr>
        <w:footnoteReference w:id="14"/>
      </w:r>
      <w:r w:rsidRPr="001F08B8">
        <w:rPr>
          <w:rFonts w:ascii="Arial" w:hAnsi="Arial" w:cs="Arial"/>
          <w:sz w:val="20"/>
          <w:szCs w:val="20"/>
        </w:rPr>
        <w:t xml:space="preserve">. </w:t>
      </w:r>
      <w:r w:rsidRPr="00087B86">
        <w:rPr>
          <w:rFonts w:ascii="Arial" w:hAnsi="Arial" w:cs="Arial"/>
          <w:sz w:val="20"/>
          <w:szCs w:val="20"/>
        </w:rPr>
        <w:t>Il dimezzamento dei feriti gravi in incidenti stradali, con orizzonte temporale decennale, è stato posto formalmente come obiettivo nell’Agenda per la Sicurezza Stradale 2021-20</w:t>
      </w:r>
      <w:r w:rsidR="00CD5555">
        <w:rPr>
          <w:rFonts w:ascii="Arial" w:hAnsi="Arial" w:cs="Arial"/>
          <w:sz w:val="20"/>
          <w:szCs w:val="20"/>
        </w:rPr>
        <w:t>30, proposta dalla Commissione e</w:t>
      </w:r>
      <w:r w:rsidRPr="00087B86">
        <w:rPr>
          <w:rFonts w:ascii="Arial" w:hAnsi="Arial" w:cs="Arial"/>
          <w:sz w:val="20"/>
          <w:szCs w:val="20"/>
        </w:rPr>
        <w:t>uropea</w:t>
      </w:r>
      <w:r>
        <w:rPr>
          <w:rFonts w:ascii="Arial" w:hAnsi="Arial" w:cs="Arial"/>
          <w:sz w:val="20"/>
          <w:szCs w:val="20"/>
        </w:rPr>
        <w:t>.</w:t>
      </w:r>
      <w:r w:rsidRPr="00087B86">
        <w:rPr>
          <w:rFonts w:ascii="Arial" w:hAnsi="Arial" w:cs="Arial"/>
          <w:sz w:val="20"/>
          <w:szCs w:val="20"/>
        </w:rPr>
        <w:t xml:space="preserve"> </w:t>
      </w:r>
      <w:r>
        <w:rPr>
          <w:rFonts w:ascii="Arial" w:hAnsi="Arial" w:cs="Arial"/>
          <w:sz w:val="20"/>
          <w:szCs w:val="20"/>
        </w:rPr>
        <w:t>R</w:t>
      </w:r>
      <w:r w:rsidRPr="00087B86">
        <w:rPr>
          <w:rFonts w:ascii="Arial" w:hAnsi="Arial" w:cs="Arial"/>
          <w:sz w:val="20"/>
          <w:szCs w:val="20"/>
        </w:rPr>
        <w:t>isulta quindi sempre più importante produrre dati consolidati e armonizzati.</w:t>
      </w:r>
      <w:r>
        <w:rPr>
          <w:rFonts w:ascii="Arial" w:hAnsi="Arial" w:cs="Arial"/>
          <w:sz w:val="20"/>
          <w:szCs w:val="20"/>
        </w:rPr>
        <w:t xml:space="preserve"> </w:t>
      </w:r>
      <w:r w:rsidRPr="00087B86">
        <w:rPr>
          <w:rFonts w:ascii="Arial" w:hAnsi="Arial" w:cs="Arial"/>
          <w:sz w:val="20"/>
          <w:szCs w:val="20"/>
        </w:rPr>
        <w:t xml:space="preserve">Per implementare </w:t>
      </w:r>
      <w:r>
        <w:rPr>
          <w:rFonts w:ascii="Arial" w:hAnsi="Arial" w:cs="Arial"/>
          <w:sz w:val="20"/>
          <w:szCs w:val="20"/>
        </w:rPr>
        <w:t>le metodologie proposte</w:t>
      </w:r>
      <w:r w:rsidRPr="00087B86">
        <w:rPr>
          <w:rFonts w:ascii="Arial" w:hAnsi="Arial" w:cs="Arial"/>
          <w:sz w:val="20"/>
          <w:szCs w:val="20"/>
        </w:rPr>
        <w:t xml:space="preserve"> e </w:t>
      </w:r>
      <w:r>
        <w:rPr>
          <w:rFonts w:ascii="Arial" w:hAnsi="Arial" w:cs="Arial"/>
          <w:sz w:val="20"/>
          <w:szCs w:val="20"/>
        </w:rPr>
        <w:t>monitorare i</w:t>
      </w:r>
      <w:r w:rsidRPr="00087B86">
        <w:rPr>
          <w:rFonts w:ascii="Arial" w:hAnsi="Arial" w:cs="Arial"/>
          <w:sz w:val="20"/>
          <w:szCs w:val="20"/>
        </w:rPr>
        <w:t xml:space="preserve"> </w:t>
      </w:r>
      <w:r w:rsidRPr="00200565">
        <w:rPr>
          <w:rFonts w:ascii="Arial" w:hAnsi="Arial" w:cs="Arial"/>
          <w:i/>
          <w:sz w:val="20"/>
          <w:szCs w:val="20"/>
        </w:rPr>
        <w:t>target</w:t>
      </w:r>
      <w:r>
        <w:rPr>
          <w:rFonts w:ascii="Arial" w:hAnsi="Arial" w:cs="Arial"/>
          <w:sz w:val="20"/>
          <w:szCs w:val="20"/>
        </w:rPr>
        <w:t xml:space="preserve"> recentemente introdotti</w:t>
      </w:r>
      <w:r w:rsidRPr="00087B86">
        <w:rPr>
          <w:rFonts w:ascii="Arial" w:hAnsi="Arial" w:cs="Arial"/>
          <w:sz w:val="20"/>
          <w:szCs w:val="20"/>
        </w:rPr>
        <w:t xml:space="preserve"> per la sicur</w:t>
      </w:r>
      <w:r>
        <w:rPr>
          <w:rFonts w:ascii="Arial" w:hAnsi="Arial" w:cs="Arial"/>
          <w:sz w:val="20"/>
          <w:szCs w:val="20"/>
        </w:rPr>
        <w:t xml:space="preserve">ezza stradale sono stati aggiunti nel tempo anche nuovi livelli di dettaglio dei dati. </w:t>
      </w:r>
    </w:p>
    <w:p w14:paraId="2ED5A203" w14:textId="04714303" w:rsidR="00482F67" w:rsidRPr="005A697D" w:rsidRDefault="00482F67" w:rsidP="00482F67">
      <w:pPr>
        <w:pStyle w:val="NormaleWeb"/>
        <w:spacing w:before="0" w:beforeAutospacing="0" w:after="0" w:afterAutospacing="0"/>
        <w:jc w:val="both"/>
        <w:rPr>
          <w:rFonts w:ascii="Arial" w:hAnsi="Arial" w:cs="Arial"/>
          <w:sz w:val="20"/>
          <w:szCs w:val="20"/>
        </w:rPr>
      </w:pPr>
      <w:r>
        <w:rPr>
          <w:rFonts w:ascii="Arial" w:hAnsi="Arial" w:cs="Arial"/>
          <w:sz w:val="20"/>
          <w:szCs w:val="20"/>
        </w:rPr>
        <w:t xml:space="preserve">Il tasso di lesività grave, accanto al rapporto di gravità (feriti gravi/morti), riveste una particolare importanza nel monitoraggio della sicurezza stradale, tanto da essere incluso tra i </w:t>
      </w:r>
      <w:r w:rsidRPr="00B6640F">
        <w:rPr>
          <w:rFonts w:ascii="Arial" w:hAnsi="Arial" w:cs="Arial"/>
          <w:i/>
          <w:sz w:val="20"/>
          <w:szCs w:val="20"/>
        </w:rPr>
        <w:t>Sustainable Development Goals (SDGs)</w:t>
      </w:r>
      <w:r w:rsidRPr="00B6640F">
        <w:rPr>
          <w:rFonts w:ascii="Arial" w:hAnsi="Arial" w:cs="Arial"/>
          <w:sz w:val="20"/>
          <w:szCs w:val="20"/>
        </w:rPr>
        <w:t xml:space="preserve"> nel </w:t>
      </w:r>
      <w:r w:rsidRPr="00933220">
        <w:rPr>
          <w:rFonts w:ascii="Arial" w:hAnsi="Arial" w:cs="Arial"/>
          <w:i/>
          <w:sz w:val="20"/>
          <w:szCs w:val="20"/>
        </w:rPr>
        <w:t>Goal 3</w:t>
      </w:r>
      <w:r>
        <w:rPr>
          <w:rStyle w:val="Rimandonotaapidipagina"/>
          <w:rFonts w:ascii="Arial" w:hAnsi="Arial" w:cs="Arial"/>
          <w:i/>
          <w:sz w:val="20"/>
          <w:szCs w:val="20"/>
        </w:rPr>
        <w:footnoteReference w:id="15"/>
      </w:r>
      <w:r>
        <w:rPr>
          <w:rFonts w:ascii="Arial" w:hAnsi="Arial" w:cs="Arial"/>
          <w:sz w:val="20"/>
          <w:szCs w:val="20"/>
        </w:rPr>
        <w:t xml:space="preserve">. Livelli particolarmente elevati del tasso di lesività - molto superiori alla media calcolata per tutte le età </w:t>
      </w:r>
      <w:r>
        <w:rPr>
          <w:rFonts w:ascii="Arial" w:hAnsi="Arial" w:cs="Arial"/>
          <w:sz w:val="20"/>
          <w:szCs w:val="20"/>
        </w:rPr>
        <w:lastRenderedPageBreak/>
        <w:t>e costanti nel tempo – si rilevano per gli individui più anziani, nelle classi di età 70-79 e 80+, per gli ultrasessantenni e tra i giovani di 20-29 anni Prospetto 9)</w:t>
      </w:r>
      <w:r w:rsidRPr="005A697D">
        <w:rPr>
          <w:rFonts w:ascii="Arial" w:hAnsi="Arial" w:cs="Arial"/>
          <w:sz w:val="20"/>
          <w:szCs w:val="20"/>
        </w:rPr>
        <w:t>.</w:t>
      </w:r>
      <w:r>
        <w:rPr>
          <w:rFonts w:ascii="Arial" w:hAnsi="Arial" w:cs="Arial"/>
          <w:sz w:val="20"/>
          <w:szCs w:val="20"/>
        </w:rPr>
        <w:t xml:space="preserve"> Il rapporto di gravità è invece pari a 5,9</w:t>
      </w:r>
      <w:r w:rsidRPr="005A697D">
        <w:rPr>
          <w:rFonts w:ascii="Arial" w:hAnsi="Arial" w:cs="Arial"/>
          <w:sz w:val="20"/>
          <w:szCs w:val="20"/>
        </w:rPr>
        <w:t xml:space="preserve"> </w:t>
      </w:r>
      <w:r>
        <w:rPr>
          <w:rFonts w:ascii="Arial" w:hAnsi="Arial" w:cs="Arial"/>
          <w:sz w:val="20"/>
          <w:szCs w:val="20"/>
        </w:rPr>
        <w:t>nel 2020, da 5,5 nel 2019.</w:t>
      </w:r>
    </w:p>
    <w:p w14:paraId="5DBA32B9" w14:textId="77777777" w:rsidR="008C5D3F" w:rsidRDefault="008C5D3F" w:rsidP="00482F67">
      <w:pPr>
        <w:autoSpaceDE w:val="0"/>
        <w:autoSpaceDN w:val="0"/>
        <w:adjustRightInd w:val="0"/>
        <w:spacing w:after="120"/>
        <w:jc w:val="both"/>
        <w:rPr>
          <w:rFonts w:ascii="Arial Narrow" w:hAnsi="Arial Narrow"/>
          <w:b/>
          <w:caps/>
          <w:color w:val="808080"/>
          <w:sz w:val="20"/>
        </w:rPr>
      </w:pPr>
    </w:p>
    <w:p w14:paraId="5C081F17" w14:textId="080CC565" w:rsidR="00482F67" w:rsidRPr="007F1F16" w:rsidRDefault="00675C06" w:rsidP="00482F67">
      <w:pPr>
        <w:autoSpaceDE w:val="0"/>
        <w:autoSpaceDN w:val="0"/>
        <w:adjustRightInd w:val="0"/>
        <w:spacing w:after="120"/>
        <w:jc w:val="both"/>
        <w:rPr>
          <w:i/>
          <w:sz w:val="20"/>
        </w:rPr>
      </w:pPr>
      <w:r>
        <w:rPr>
          <w:rFonts w:ascii="Arial Narrow" w:hAnsi="Arial Narrow"/>
          <w:b/>
          <w:caps/>
          <w:color w:val="808080"/>
          <w:sz w:val="20"/>
        </w:rPr>
        <w:t>P</w:t>
      </w:r>
      <w:r w:rsidR="00482F67" w:rsidRPr="001F08B8">
        <w:rPr>
          <w:rFonts w:ascii="Arial Narrow" w:hAnsi="Arial Narrow"/>
          <w:b/>
          <w:caps/>
          <w:color w:val="808080"/>
          <w:sz w:val="20"/>
        </w:rPr>
        <w:t>ROSPETTO</w:t>
      </w:r>
      <w:r w:rsidR="00482F67">
        <w:rPr>
          <w:rFonts w:ascii="Arial Narrow" w:hAnsi="Arial Narrow"/>
          <w:b/>
          <w:caps/>
          <w:color w:val="808080"/>
          <w:sz w:val="20"/>
        </w:rPr>
        <w:t xml:space="preserve"> 9</w:t>
      </w:r>
      <w:r w:rsidR="00482F67" w:rsidRPr="001F08B8">
        <w:rPr>
          <w:rFonts w:ascii="Arial Narrow" w:hAnsi="Arial Narrow"/>
          <w:b/>
          <w:caps/>
          <w:color w:val="808080"/>
          <w:sz w:val="20"/>
        </w:rPr>
        <w:t xml:space="preserve">. Numero di feriti gravi in incidente stradale e </w:t>
      </w:r>
      <w:r w:rsidR="00482F67">
        <w:rPr>
          <w:rFonts w:ascii="Arial Narrow" w:hAnsi="Arial Narrow"/>
          <w:b/>
          <w:caps/>
          <w:color w:val="808080"/>
          <w:sz w:val="20"/>
        </w:rPr>
        <w:t>tasso di lesivit</w:t>
      </w:r>
      <w:r w:rsidR="00482F67" w:rsidRPr="00A9541D">
        <w:rPr>
          <w:rFonts w:ascii="Arial Narrow" w:hAnsi="Arial Narrow"/>
          <w:b/>
          <w:caps/>
          <w:color w:val="808080"/>
          <w:sz w:val="20"/>
        </w:rPr>
        <w:t>à</w:t>
      </w:r>
      <w:r w:rsidR="00482F67">
        <w:rPr>
          <w:rFonts w:ascii="Arial Narrow" w:hAnsi="Arial Narrow"/>
          <w:b/>
          <w:caps/>
          <w:color w:val="808080"/>
          <w:sz w:val="20"/>
        </w:rPr>
        <w:t xml:space="preserve"> grave</w:t>
      </w:r>
      <w:r w:rsidR="00482F67" w:rsidRPr="001F08B8">
        <w:rPr>
          <w:rFonts w:ascii="Arial Narrow" w:hAnsi="Arial Narrow"/>
          <w:b/>
          <w:caps/>
          <w:color w:val="808080"/>
          <w:sz w:val="20"/>
        </w:rPr>
        <w:t xml:space="preserve"> PER </w:t>
      </w:r>
      <w:r w:rsidR="00482F67">
        <w:rPr>
          <w:rFonts w:ascii="Arial Narrow" w:hAnsi="Arial Narrow"/>
          <w:b/>
          <w:caps/>
          <w:color w:val="808080"/>
          <w:sz w:val="20"/>
        </w:rPr>
        <w:t>etA’</w:t>
      </w:r>
      <w:r w:rsidR="00482F67" w:rsidRPr="001F08B8">
        <w:rPr>
          <w:rFonts w:ascii="Arial Narrow" w:hAnsi="Arial Narrow"/>
          <w:b/>
          <w:caps/>
          <w:color w:val="808080"/>
          <w:sz w:val="20"/>
        </w:rPr>
        <w:t xml:space="preserve"> </w:t>
      </w:r>
      <w:r w:rsidR="00482F67" w:rsidRPr="001F08B8">
        <w:rPr>
          <w:rFonts w:ascii="Arial Narrow" w:hAnsi="Arial Narrow"/>
          <w:sz w:val="19"/>
          <w:szCs w:val="19"/>
        </w:rPr>
        <w:t>(a)</w:t>
      </w:r>
      <w:r w:rsidR="00482F67" w:rsidRPr="001F08B8">
        <w:rPr>
          <w:rFonts w:ascii="Arial Narrow" w:hAnsi="Arial Narrow"/>
          <w:b/>
          <w:caps/>
          <w:sz w:val="19"/>
          <w:szCs w:val="19"/>
        </w:rPr>
        <w:t xml:space="preserve">. </w:t>
      </w:r>
      <w:r w:rsidR="00482F67" w:rsidRPr="001F08B8">
        <w:rPr>
          <w:rFonts w:ascii="Arial Narrow" w:hAnsi="Arial Narrow"/>
          <w:sz w:val="19"/>
          <w:szCs w:val="19"/>
        </w:rPr>
        <w:t xml:space="preserve">Anni </w:t>
      </w:r>
      <w:r w:rsidR="00482F67">
        <w:rPr>
          <w:rFonts w:ascii="Arial Narrow" w:hAnsi="Arial Narrow"/>
          <w:caps/>
          <w:sz w:val="19"/>
          <w:szCs w:val="19"/>
        </w:rPr>
        <w:t>2015</w:t>
      </w:r>
      <w:r w:rsidR="00482F67" w:rsidRPr="001F08B8">
        <w:rPr>
          <w:rFonts w:ascii="Arial Narrow" w:hAnsi="Arial Narrow"/>
          <w:caps/>
          <w:sz w:val="19"/>
          <w:szCs w:val="19"/>
        </w:rPr>
        <w:t>-2020</w:t>
      </w:r>
      <w:r w:rsidR="00482F67">
        <w:rPr>
          <w:rFonts w:ascii="Arial Narrow" w:hAnsi="Arial Narrow"/>
          <w:caps/>
          <w:sz w:val="19"/>
          <w:szCs w:val="19"/>
        </w:rPr>
        <w:t xml:space="preserve"> </w:t>
      </w:r>
      <w:r w:rsidR="00482F67" w:rsidRPr="007F1F16">
        <w:rPr>
          <w:rFonts w:ascii="Arial Narrow" w:hAnsi="Arial Narrow"/>
          <w:i/>
          <w:sz w:val="19"/>
          <w:szCs w:val="19"/>
        </w:rPr>
        <w:t>(valori assoluti e tassi per 100.00</w:t>
      </w:r>
      <w:r w:rsidR="00482F67">
        <w:rPr>
          <w:rFonts w:ascii="Arial Narrow" w:hAnsi="Arial Narrow"/>
          <w:i/>
          <w:sz w:val="19"/>
          <w:szCs w:val="19"/>
        </w:rPr>
        <w:t xml:space="preserve"> abitanti</w:t>
      </w:r>
      <w:r w:rsidR="00482F67" w:rsidRPr="007F1F16">
        <w:rPr>
          <w:rFonts w:ascii="Arial Narrow" w:hAnsi="Arial Narrow"/>
          <w:i/>
          <w:sz w:val="19"/>
          <w:szCs w:val="19"/>
        </w:rPr>
        <w:t>)</w:t>
      </w:r>
    </w:p>
    <w:tbl>
      <w:tblPr>
        <w:tblW w:w="9780" w:type="dxa"/>
        <w:tblInd w:w="55" w:type="dxa"/>
        <w:tblCellMar>
          <w:left w:w="70" w:type="dxa"/>
          <w:right w:w="70" w:type="dxa"/>
        </w:tblCellMar>
        <w:tblLook w:val="04A0" w:firstRow="1" w:lastRow="0" w:firstColumn="1" w:lastColumn="0" w:noHBand="0" w:noVBand="1"/>
      </w:tblPr>
      <w:tblGrid>
        <w:gridCol w:w="1221"/>
        <w:gridCol w:w="713"/>
        <w:gridCol w:w="713"/>
        <w:gridCol w:w="713"/>
        <w:gridCol w:w="714"/>
        <w:gridCol w:w="713"/>
        <w:gridCol w:w="713"/>
        <w:gridCol w:w="713"/>
        <w:gridCol w:w="714"/>
        <w:gridCol w:w="713"/>
        <w:gridCol w:w="713"/>
        <w:gridCol w:w="713"/>
        <w:gridCol w:w="714"/>
      </w:tblGrid>
      <w:tr w:rsidR="00482F67" w:rsidRPr="001F08B8" w14:paraId="0FB0F4C5" w14:textId="77777777" w:rsidTr="006852FB">
        <w:trPr>
          <w:trHeight w:val="255"/>
        </w:trPr>
        <w:tc>
          <w:tcPr>
            <w:tcW w:w="1221" w:type="dxa"/>
            <w:vMerge w:val="restart"/>
            <w:tcBorders>
              <w:top w:val="single" w:sz="4" w:space="0" w:color="auto"/>
              <w:left w:val="nil"/>
            </w:tcBorders>
            <w:vAlign w:val="center"/>
            <w:hideMark/>
          </w:tcPr>
          <w:p w14:paraId="3E9DA2D3" w14:textId="77777777" w:rsidR="00482F67" w:rsidRPr="001F08B8" w:rsidRDefault="00482F67" w:rsidP="00C56F46">
            <w:pPr>
              <w:rPr>
                <w:rFonts w:ascii="Arial Narrow" w:hAnsi="Arial Narrow" w:cs="Times New Roman"/>
                <w:b/>
                <w:bCs/>
                <w:color w:val="000000"/>
                <w:sz w:val="18"/>
                <w:szCs w:val="18"/>
              </w:rPr>
            </w:pPr>
            <w:r>
              <w:rPr>
                <w:rFonts w:ascii="Arial Narrow" w:hAnsi="Arial Narrow" w:cs="Times New Roman"/>
                <w:b/>
                <w:bCs/>
                <w:color w:val="000000"/>
                <w:sz w:val="18"/>
                <w:szCs w:val="18"/>
              </w:rPr>
              <w:t>ET</w:t>
            </w:r>
            <w:r w:rsidRPr="007F1F16">
              <w:rPr>
                <w:rFonts w:ascii="Arial Narrow" w:hAnsi="Arial Narrow" w:cs="Times New Roman"/>
                <w:b/>
                <w:bCs/>
                <w:color w:val="000000"/>
                <w:sz w:val="18"/>
                <w:szCs w:val="18"/>
              </w:rPr>
              <w:t>À</w:t>
            </w:r>
          </w:p>
        </w:tc>
        <w:tc>
          <w:tcPr>
            <w:tcW w:w="1426" w:type="dxa"/>
            <w:gridSpan w:val="2"/>
            <w:tcBorders>
              <w:top w:val="single" w:sz="4" w:space="0" w:color="auto"/>
              <w:bottom w:val="single" w:sz="4" w:space="0" w:color="auto"/>
            </w:tcBorders>
            <w:shd w:val="clear" w:color="auto" w:fill="auto"/>
            <w:vAlign w:val="center"/>
          </w:tcPr>
          <w:p w14:paraId="407C60F4" w14:textId="77777777" w:rsidR="00482F67" w:rsidRPr="001F08B8" w:rsidRDefault="00482F67" w:rsidP="00C56F46">
            <w:pPr>
              <w:ind w:left="-198" w:firstLine="198"/>
              <w:jc w:val="center"/>
              <w:rPr>
                <w:rFonts w:ascii="Arial Narrow" w:hAnsi="Arial Narrow" w:cs="Times New Roman"/>
                <w:b/>
                <w:bCs/>
                <w:color w:val="000000"/>
                <w:sz w:val="18"/>
                <w:szCs w:val="18"/>
              </w:rPr>
            </w:pPr>
            <w:r w:rsidRPr="001F08B8">
              <w:rPr>
                <w:rFonts w:ascii="Arial Narrow" w:hAnsi="Arial Narrow" w:cs="Times New Roman"/>
                <w:b/>
                <w:bCs/>
                <w:color w:val="000000"/>
                <w:sz w:val="18"/>
                <w:szCs w:val="18"/>
              </w:rPr>
              <w:t>Anno 201</w:t>
            </w:r>
            <w:r>
              <w:rPr>
                <w:rFonts w:ascii="Arial Narrow" w:hAnsi="Arial Narrow" w:cs="Times New Roman"/>
                <w:b/>
                <w:bCs/>
                <w:color w:val="000000"/>
                <w:sz w:val="18"/>
                <w:szCs w:val="18"/>
              </w:rPr>
              <w:t>5</w:t>
            </w:r>
          </w:p>
        </w:tc>
        <w:tc>
          <w:tcPr>
            <w:tcW w:w="1427" w:type="dxa"/>
            <w:gridSpan w:val="2"/>
            <w:tcBorders>
              <w:top w:val="single" w:sz="4" w:space="0" w:color="auto"/>
              <w:bottom w:val="single" w:sz="4" w:space="0" w:color="auto"/>
            </w:tcBorders>
            <w:shd w:val="clear" w:color="auto" w:fill="D9D9D9" w:themeFill="background1" w:themeFillShade="D9"/>
            <w:vAlign w:val="center"/>
          </w:tcPr>
          <w:p w14:paraId="7EA0447B" w14:textId="77777777" w:rsidR="00482F67" w:rsidRPr="001F08B8" w:rsidRDefault="00482F67" w:rsidP="00C56F46">
            <w:pPr>
              <w:ind w:left="-198" w:firstLine="198"/>
              <w:jc w:val="center"/>
              <w:rPr>
                <w:rFonts w:ascii="Arial Narrow" w:hAnsi="Arial Narrow" w:cs="Times New Roman"/>
                <w:b/>
                <w:bCs/>
                <w:color w:val="000000"/>
                <w:sz w:val="18"/>
                <w:szCs w:val="18"/>
              </w:rPr>
            </w:pPr>
            <w:r w:rsidRPr="001F08B8">
              <w:rPr>
                <w:rFonts w:ascii="Arial Narrow" w:hAnsi="Arial Narrow" w:cs="Times New Roman"/>
                <w:b/>
                <w:bCs/>
                <w:color w:val="000000"/>
                <w:sz w:val="18"/>
                <w:szCs w:val="18"/>
              </w:rPr>
              <w:t>Anno 2016</w:t>
            </w:r>
          </w:p>
        </w:tc>
        <w:tc>
          <w:tcPr>
            <w:tcW w:w="1426" w:type="dxa"/>
            <w:gridSpan w:val="2"/>
            <w:tcBorders>
              <w:top w:val="single" w:sz="4" w:space="0" w:color="auto"/>
              <w:bottom w:val="single" w:sz="4" w:space="0" w:color="auto"/>
            </w:tcBorders>
            <w:vAlign w:val="center"/>
          </w:tcPr>
          <w:p w14:paraId="65702CB3" w14:textId="77777777" w:rsidR="00482F67" w:rsidRPr="001F08B8" w:rsidRDefault="00482F67" w:rsidP="00C56F46">
            <w:pPr>
              <w:ind w:left="-198" w:firstLine="198"/>
              <w:jc w:val="center"/>
              <w:rPr>
                <w:rFonts w:ascii="Arial Narrow" w:hAnsi="Arial Narrow" w:cs="Times New Roman"/>
                <w:b/>
                <w:bCs/>
                <w:color w:val="000000"/>
                <w:sz w:val="18"/>
                <w:szCs w:val="18"/>
              </w:rPr>
            </w:pPr>
            <w:r w:rsidRPr="001F08B8">
              <w:rPr>
                <w:rFonts w:ascii="Arial Narrow" w:hAnsi="Arial Narrow" w:cs="Times New Roman"/>
                <w:b/>
                <w:bCs/>
                <w:color w:val="000000"/>
                <w:sz w:val="18"/>
                <w:szCs w:val="18"/>
              </w:rPr>
              <w:t>Anno 2017</w:t>
            </w:r>
          </w:p>
        </w:tc>
        <w:tc>
          <w:tcPr>
            <w:tcW w:w="1427" w:type="dxa"/>
            <w:gridSpan w:val="2"/>
            <w:tcBorders>
              <w:top w:val="single" w:sz="4" w:space="0" w:color="auto"/>
              <w:bottom w:val="single" w:sz="4" w:space="0" w:color="auto"/>
            </w:tcBorders>
            <w:shd w:val="clear" w:color="auto" w:fill="D9D9D9" w:themeFill="background1" w:themeFillShade="D9"/>
            <w:vAlign w:val="center"/>
          </w:tcPr>
          <w:p w14:paraId="1B6FBF59" w14:textId="77777777" w:rsidR="00482F67" w:rsidRPr="001F08B8" w:rsidRDefault="00482F67" w:rsidP="00C56F46">
            <w:pPr>
              <w:ind w:left="-198" w:firstLine="198"/>
              <w:jc w:val="center"/>
              <w:rPr>
                <w:rFonts w:ascii="Arial Narrow" w:hAnsi="Arial Narrow" w:cs="Times New Roman"/>
                <w:b/>
                <w:bCs/>
                <w:color w:val="000000"/>
                <w:sz w:val="18"/>
                <w:szCs w:val="18"/>
              </w:rPr>
            </w:pPr>
            <w:r w:rsidRPr="001F08B8">
              <w:rPr>
                <w:rFonts w:ascii="Arial Narrow" w:hAnsi="Arial Narrow" w:cs="Times New Roman"/>
                <w:b/>
                <w:bCs/>
                <w:color w:val="000000"/>
                <w:sz w:val="18"/>
                <w:szCs w:val="18"/>
              </w:rPr>
              <w:t>Anno 2018</w:t>
            </w:r>
          </w:p>
        </w:tc>
        <w:tc>
          <w:tcPr>
            <w:tcW w:w="1426" w:type="dxa"/>
            <w:gridSpan w:val="2"/>
            <w:tcBorders>
              <w:top w:val="single" w:sz="4" w:space="0" w:color="auto"/>
              <w:bottom w:val="single" w:sz="4" w:space="0" w:color="auto"/>
            </w:tcBorders>
            <w:shd w:val="clear" w:color="auto" w:fill="auto"/>
            <w:vAlign w:val="center"/>
          </w:tcPr>
          <w:p w14:paraId="290C7786" w14:textId="77777777" w:rsidR="00482F67" w:rsidRPr="001F08B8" w:rsidRDefault="00482F67" w:rsidP="00C56F46">
            <w:pPr>
              <w:ind w:left="-198" w:firstLine="198"/>
              <w:jc w:val="center"/>
              <w:rPr>
                <w:rFonts w:ascii="Arial Narrow" w:hAnsi="Arial Narrow" w:cs="Times New Roman"/>
                <w:b/>
                <w:bCs/>
                <w:color w:val="000000"/>
                <w:sz w:val="18"/>
                <w:szCs w:val="18"/>
              </w:rPr>
            </w:pPr>
            <w:r w:rsidRPr="001F08B8">
              <w:rPr>
                <w:rFonts w:ascii="Arial Narrow" w:hAnsi="Arial Narrow" w:cs="Times New Roman"/>
                <w:b/>
                <w:bCs/>
                <w:color w:val="000000"/>
                <w:sz w:val="18"/>
                <w:szCs w:val="18"/>
              </w:rPr>
              <w:t>Anno 2019</w:t>
            </w:r>
          </w:p>
        </w:tc>
        <w:tc>
          <w:tcPr>
            <w:tcW w:w="1427" w:type="dxa"/>
            <w:gridSpan w:val="2"/>
            <w:tcBorders>
              <w:top w:val="single" w:sz="4" w:space="0" w:color="auto"/>
              <w:bottom w:val="single" w:sz="4" w:space="0" w:color="auto"/>
            </w:tcBorders>
            <w:shd w:val="clear" w:color="auto" w:fill="D9D9D9" w:themeFill="background1" w:themeFillShade="D9"/>
            <w:vAlign w:val="center"/>
          </w:tcPr>
          <w:p w14:paraId="5E522060" w14:textId="77777777" w:rsidR="00482F67" w:rsidRPr="001F08B8" w:rsidRDefault="00482F67" w:rsidP="00C56F46">
            <w:pPr>
              <w:ind w:left="-198" w:firstLine="198"/>
              <w:jc w:val="center"/>
              <w:rPr>
                <w:rFonts w:ascii="Arial Narrow" w:hAnsi="Arial Narrow" w:cs="Times New Roman"/>
                <w:b/>
                <w:bCs/>
                <w:color w:val="000000"/>
                <w:sz w:val="18"/>
                <w:szCs w:val="18"/>
              </w:rPr>
            </w:pPr>
            <w:r w:rsidRPr="001F08B8">
              <w:rPr>
                <w:rFonts w:ascii="Arial Narrow" w:hAnsi="Arial Narrow" w:cs="Times New Roman"/>
                <w:b/>
                <w:bCs/>
                <w:color w:val="000000"/>
                <w:sz w:val="18"/>
                <w:szCs w:val="18"/>
              </w:rPr>
              <w:t>Anno 2020</w:t>
            </w:r>
          </w:p>
        </w:tc>
      </w:tr>
      <w:tr w:rsidR="00482F67" w:rsidRPr="001F08B8" w14:paraId="67EC2DC5" w14:textId="77777777" w:rsidTr="00C56F46">
        <w:trPr>
          <w:trHeight w:val="255"/>
        </w:trPr>
        <w:tc>
          <w:tcPr>
            <w:tcW w:w="1221" w:type="dxa"/>
            <w:vMerge/>
            <w:tcBorders>
              <w:left w:val="nil"/>
              <w:bottom w:val="single" w:sz="4" w:space="0" w:color="000000"/>
              <w:right w:val="nil"/>
            </w:tcBorders>
            <w:shd w:val="clear" w:color="auto" w:fill="auto"/>
            <w:vAlign w:val="center"/>
            <w:hideMark/>
          </w:tcPr>
          <w:p w14:paraId="12AAE0A4" w14:textId="77777777" w:rsidR="00482F67" w:rsidRPr="001F08B8" w:rsidRDefault="00482F67" w:rsidP="00C56F46">
            <w:pPr>
              <w:rPr>
                <w:rFonts w:ascii="Arial Narrow" w:hAnsi="Arial Narrow" w:cs="Times New Roman"/>
                <w:b/>
                <w:bCs/>
                <w:color w:val="000000"/>
                <w:sz w:val="18"/>
                <w:szCs w:val="18"/>
              </w:rPr>
            </w:pPr>
          </w:p>
        </w:tc>
        <w:tc>
          <w:tcPr>
            <w:tcW w:w="713" w:type="dxa"/>
            <w:tcBorders>
              <w:top w:val="single" w:sz="4" w:space="0" w:color="auto"/>
              <w:left w:val="nil"/>
              <w:bottom w:val="single" w:sz="4" w:space="0" w:color="000000"/>
              <w:right w:val="nil"/>
            </w:tcBorders>
            <w:vAlign w:val="center"/>
          </w:tcPr>
          <w:p w14:paraId="4078BA76"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Feriti gravi</w:t>
            </w:r>
          </w:p>
        </w:tc>
        <w:tc>
          <w:tcPr>
            <w:tcW w:w="713" w:type="dxa"/>
            <w:tcBorders>
              <w:top w:val="single" w:sz="4" w:space="0" w:color="auto"/>
              <w:left w:val="nil"/>
              <w:bottom w:val="single" w:sz="4" w:space="0" w:color="000000"/>
              <w:right w:val="nil"/>
            </w:tcBorders>
            <w:vAlign w:val="center"/>
          </w:tcPr>
          <w:p w14:paraId="72961442"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Tasso di lesività grave*</w:t>
            </w:r>
          </w:p>
        </w:tc>
        <w:tc>
          <w:tcPr>
            <w:tcW w:w="713" w:type="dxa"/>
            <w:tcBorders>
              <w:left w:val="nil"/>
              <w:bottom w:val="single" w:sz="4" w:space="0" w:color="000000"/>
              <w:right w:val="nil"/>
            </w:tcBorders>
            <w:shd w:val="clear" w:color="auto" w:fill="auto"/>
            <w:vAlign w:val="center"/>
          </w:tcPr>
          <w:p w14:paraId="02942E8D"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Feriti gravi</w:t>
            </w:r>
          </w:p>
        </w:tc>
        <w:tc>
          <w:tcPr>
            <w:tcW w:w="714" w:type="dxa"/>
            <w:tcBorders>
              <w:left w:val="nil"/>
              <w:bottom w:val="single" w:sz="4" w:space="0" w:color="000000"/>
              <w:right w:val="nil"/>
            </w:tcBorders>
            <w:shd w:val="clear" w:color="auto" w:fill="auto"/>
            <w:vAlign w:val="center"/>
          </w:tcPr>
          <w:p w14:paraId="09CA9365"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Tasso di lesività grave*</w:t>
            </w:r>
          </w:p>
        </w:tc>
        <w:tc>
          <w:tcPr>
            <w:tcW w:w="713" w:type="dxa"/>
            <w:tcBorders>
              <w:top w:val="single" w:sz="4" w:space="0" w:color="auto"/>
              <w:left w:val="nil"/>
              <w:bottom w:val="single" w:sz="4" w:space="0" w:color="000000"/>
              <w:right w:val="nil"/>
            </w:tcBorders>
            <w:shd w:val="clear" w:color="auto" w:fill="auto"/>
            <w:vAlign w:val="center"/>
          </w:tcPr>
          <w:p w14:paraId="3B8537B3"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Feriti gravi</w:t>
            </w:r>
          </w:p>
        </w:tc>
        <w:tc>
          <w:tcPr>
            <w:tcW w:w="713" w:type="dxa"/>
            <w:tcBorders>
              <w:top w:val="single" w:sz="4" w:space="0" w:color="auto"/>
              <w:left w:val="nil"/>
              <w:bottom w:val="single" w:sz="4" w:space="0" w:color="000000"/>
              <w:right w:val="nil"/>
            </w:tcBorders>
            <w:shd w:val="clear" w:color="auto" w:fill="auto"/>
            <w:vAlign w:val="center"/>
          </w:tcPr>
          <w:p w14:paraId="00B6ACBB"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Tasso di lesività grave*</w:t>
            </w:r>
          </w:p>
        </w:tc>
        <w:tc>
          <w:tcPr>
            <w:tcW w:w="713" w:type="dxa"/>
            <w:tcBorders>
              <w:top w:val="single" w:sz="4" w:space="0" w:color="auto"/>
              <w:left w:val="nil"/>
              <w:bottom w:val="single" w:sz="4" w:space="0" w:color="000000"/>
              <w:right w:val="nil"/>
            </w:tcBorders>
            <w:shd w:val="clear" w:color="auto" w:fill="auto"/>
            <w:vAlign w:val="center"/>
          </w:tcPr>
          <w:p w14:paraId="7B0D3CE6"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Feriti gravi</w:t>
            </w:r>
          </w:p>
        </w:tc>
        <w:tc>
          <w:tcPr>
            <w:tcW w:w="714" w:type="dxa"/>
            <w:tcBorders>
              <w:top w:val="single" w:sz="4" w:space="0" w:color="auto"/>
              <w:left w:val="nil"/>
              <w:bottom w:val="single" w:sz="4" w:space="0" w:color="000000"/>
              <w:right w:val="nil"/>
            </w:tcBorders>
            <w:shd w:val="clear" w:color="auto" w:fill="auto"/>
            <w:vAlign w:val="center"/>
          </w:tcPr>
          <w:p w14:paraId="45E641E3"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Tasso di lesività grave*</w:t>
            </w:r>
          </w:p>
        </w:tc>
        <w:tc>
          <w:tcPr>
            <w:tcW w:w="713" w:type="dxa"/>
            <w:tcBorders>
              <w:top w:val="single" w:sz="4" w:space="0" w:color="auto"/>
              <w:left w:val="nil"/>
              <w:bottom w:val="single" w:sz="4" w:space="0" w:color="000000"/>
              <w:right w:val="nil"/>
            </w:tcBorders>
            <w:vAlign w:val="center"/>
          </w:tcPr>
          <w:p w14:paraId="2D7A69EC"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Feriti gravi</w:t>
            </w:r>
          </w:p>
        </w:tc>
        <w:tc>
          <w:tcPr>
            <w:tcW w:w="713" w:type="dxa"/>
            <w:tcBorders>
              <w:top w:val="single" w:sz="4" w:space="0" w:color="auto"/>
              <w:left w:val="nil"/>
              <w:bottom w:val="single" w:sz="4" w:space="0" w:color="000000"/>
              <w:right w:val="nil"/>
            </w:tcBorders>
            <w:vAlign w:val="center"/>
          </w:tcPr>
          <w:p w14:paraId="4C3E4F03"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Tasso di lesività grave*</w:t>
            </w:r>
          </w:p>
        </w:tc>
        <w:tc>
          <w:tcPr>
            <w:tcW w:w="713" w:type="dxa"/>
            <w:tcBorders>
              <w:top w:val="single" w:sz="4" w:space="0" w:color="auto"/>
              <w:left w:val="nil"/>
              <w:bottom w:val="single" w:sz="4" w:space="0" w:color="000000"/>
              <w:right w:val="nil"/>
            </w:tcBorders>
            <w:vAlign w:val="center"/>
          </w:tcPr>
          <w:p w14:paraId="0D69FC7C"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Feriti gravi</w:t>
            </w:r>
          </w:p>
        </w:tc>
        <w:tc>
          <w:tcPr>
            <w:tcW w:w="714" w:type="dxa"/>
            <w:tcBorders>
              <w:top w:val="single" w:sz="4" w:space="0" w:color="auto"/>
              <w:left w:val="nil"/>
              <w:bottom w:val="single" w:sz="4" w:space="0" w:color="000000"/>
            </w:tcBorders>
            <w:vAlign w:val="center"/>
          </w:tcPr>
          <w:p w14:paraId="3607E515" w14:textId="77777777" w:rsidR="00482F67" w:rsidRPr="001F08B8" w:rsidRDefault="00482F67" w:rsidP="00C56F46">
            <w:pPr>
              <w:jc w:val="center"/>
              <w:rPr>
                <w:rFonts w:ascii="Arial Narrow" w:hAnsi="Arial Narrow" w:cs="Times New Roman"/>
                <w:bCs/>
                <w:color w:val="000000"/>
                <w:sz w:val="18"/>
                <w:szCs w:val="18"/>
              </w:rPr>
            </w:pPr>
            <w:r>
              <w:rPr>
                <w:rFonts w:ascii="Arial Narrow" w:hAnsi="Arial Narrow" w:cs="Times New Roman"/>
                <w:bCs/>
                <w:color w:val="000000"/>
                <w:sz w:val="18"/>
                <w:szCs w:val="18"/>
              </w:rPr>
              <w:t>Tasso di lesività grave*</w:t>
            </w:r>
          </w:p>
        </w:tc>
      </w:tr>
      <w:tr w:rsidR="00482F67" w:rsidRPr="007F1F16" w14:paraId="05A4E273"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6AA4C1EB" w14:textId="77777777" w:rsidR="00482F67" w:rsidRPr="00954806" w:rsidRDefault="00482F67" w:rsidP="00C56F46">
            <w:pPr>
              <w:ind w:right="113"/>
              <w:rPr>
                <w:rFonts w:ascii="Arial Narrow" w:hAnsi="Arial Narrow"/>
                <w:color w:val="000000"/>
                <w:sz w:val="18"/>
                <w:szCs w:val="18"/>
              </w:rPr>
            </w:pPr>
            <w:r>
              <w:rPr>
                <w:rFonts w:ascii="Arial Narrow" w:hAnsi="Arial Narrow"/>
                <w:color w:val="000000"/>
                <w:sz w:val="18"/>
                <w:szCs w:val="18"/>
              </w:rPr>
              <w:t>0-</w:t>
            </w:r>
            <w:r w:rsidRPr="00954806">
              <w:rPr>
                <w:rFonts w:ascii="Arial Narrow" w:hAnsi="Arial Narrow"/>
                <w:color w:val="000000"/>
                <w:sz w:val="18"/>
                <w:szCs w:val="18"/>
              </w:rPr>
              <w:t>19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DB04F07"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Times New Roman"/>
                <w:color w:val="000000"/>
                <w:sz w:val="18"/>
                <w:szCs w:val="18"/>
              </w:rPr>
              <w:t>1.565</w:t>
            </w:r>
          </w:p>
        </w:tc>
        <w:tc>
          <w:tcPr>
            <w:tcW w:w="713" w:type="dxa"/>
            <w:tcBorders>
              <w:top w:val="single" w:sz="4" w:space="0" w:color="000000"/>
              <w:left w:val="nil"/>
              <w:bottom w:val="single" w:sz="4" w:space="0" w:color="000000"/>
              <w:right w:val="nil"/>
            </w:tcBorders>
            <w:vAlign w:val="center"/>
          </w:tcPr>
          <w:p w14:paraId="7FD4A6A4"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14,1</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1C09DF63"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1.678</w:t>
            </w:r>
          </w:p>
        </w:tc>
        <w:tc>
          <w:tcPr>
            <w:tcW w:w="714" w:type="dxa"/>
            <w:tcBorders>
              <w:top w:val="single" w:sz="4" w:space="0" w:color="000000"/>
              <w:left w:val="nil"/>
              <w:bottom w:val="single" w:sz="4" w:space="0" w:color="000000"/>
              <w:right w:val="nil"/>
            </w:tcBorders>
            <w:vAlign w:val="center"/>
          </w:tcPr>
          <w:p w14:paraId="41CB8B8B"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15,2</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38B51E46"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1.669</w:t>
            </w:r>
          </w:p>
        </w:tc>
        <w:tc>
          <w:tcPr>
            <w:tcW w:w="713" w:type="dxa"/>
            <w:tcBorders>
              <w:top w:val="single" w:sz="4" w:space="0" w:color="000000"/>
              <w:left w:val="nil"/>
              <w:bottom w:val="single" w:sz="4" w:space="0" w:color="000000"/>
              <w:right w:val="nil"/>
            </w:tcBorders>
            <w:shd w:val="clear" w:color="auto" w:fill="auto"/>
            <w:vAlign w:val="center"/>
          </w:tcPr>
          <w:p w14:paraId="175747E9"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15,3</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0A6E7F61"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1.739</w:t>
            </w:r>
          </w:p>
        </w:tc>
        <w:tc>
          <w:tcPr>
            <w:tcW w:w="714" w:type="dxa"/>
            <w:tcBorders>
              <w:top w:val="single" w:sz="4" w:space="0" w:color="000000"/>
              <w:left w:val="nil"/>
              <w:bottom w:val="single" w:sz="4" w:space="0" w:color="000000"/>
              <w:right w:val="nil"/>
            </w:tcBorders>
            <w:shd w:val="clear" w:color="auto" w:fill="auto"/>
            <w:vAlign w:val="center"/>
          </w:tcPr>
          <w:p w14:paraId="4C195586"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16,1</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02F2D2BF"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1.734</w:t>
            </w:r>
          </w:p>
        </w:tc>
        <w:tc>
          <w:tcPr>
            <w:tcW w:w="713" w:type="dxa"/>
            <w:tcBorders>
              <w:top w:val="single" w:sz="4" w:space="0" w:color="000000"/>
              <w:left w:val="nil"/>
              <w:bottom w:val="single" w:sz="4" w:space="0" w:color="000000"/>
              <w:right w:val="nil"/>
            </w:tcBorders>
            <w:shd w:val="clear" w:color="auto" w:fill="auto"/>
            <w:vAlign w:val="center"/>
          </w:tcPr>
          <w:p w14:paraId="388B8D6E"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16,2</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5CBD7699"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1.351</w:t>
            </w:r>
          </w:p>
        </w:tc>
        <w:tc>
          <w:tcPr>
            <w:tcW w:w="714" w:type="dxa"/>
            <w:tcBorders>
              <w:top w:val="single" w:sz="4" w:space="0" w:color="000000"/>
              <w:left w:val="nil"/>
              <w:bottom w:val="single" w:sz="4" w:space="0" w:color="000000"/>
              <w:right w:val="nil"/>
            </w:tcBorders>
            <w:vAlign w:val="center"/>
          </w:tcPr>
          <w:p w14:paraId="6B7BC0EB"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12,8</w:t>
            </w:r>
          </w:p>
        </w:tc>
      </w:tr>
      <w:tr w:rsidR="00482F67" w:rsidRPr="007F1F16" w14:paraId="2F2D7BB4"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218FF89F" w14:textId="77777777" w:rsidR="00482F67" w:rsidRPr="00954806" w:rsidRDefault="00482F67" w:rsidP="00C56F46">
            <w:pPr>
              <w:ind w:right="113"/>
              <w:rPr>
                <w:rFonts w:ascii="Arial Narrow" w:hAnsi="Arial Narrow"/>
                <w:color w:val="000000"/>
                <w:sz w:val="18"/>
                <w:szCs w:val="18"/>
              </w:rPr>
            </w:pPr>
            <w:r w:rsidRPr="00954806">
              <w:rPr>
                <w:rFonts w:ascii="Arial Narrow" w:hAnsi="Arial Narrow"/>
                <w:color w:val="000000"/>
                <w:sz w:val="18"/>
                <w:szCs w:val="18"/>
              </w:rPr>
              <w:t>20-29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2B41B0FF"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olor w:val="000000"/>
                <w:sz w:val="18"/>
                <w:szCs w:val="18"/>
              </w:rPr>
              <w:t>1.801</w:t>
            </w:r>
          </w:p>
        </w:tc>
        <w:tc>
          <w:tcPr>
            <w:tcW w:w="713" w:type="dxa"/>
            <w:tcBorders>
              <w:top w:val="single" w:sz="4" w:space="0" w:color="000000"/>
              <w:left w:val="nil"/>
              <w:bottom w:val="single" w:sz="4" w:space="0" w:color="000000"/>
              <w:right w:val="nil"/>
            </w:tcBorders>
            <w:vAlign w:val="center"/>
          </w:tcPr>
          <w:p w14:paraId="122FFA2F"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28,8</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559DA4DB"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2.017</w:t>
            </w:r>
          </w:p>
        </w:tc>
        <w:tc>
          <w:tcPr>
            <w:tcW w:w="714" w:type="dxa"/>
            <w:tcBorders>
              <w:top w:val="single" w:sz="4" w:space="0" w:color="000000"/>
              <w:left w:val="nil"/>
              <w:bottom w:val="single" w:sz="4" w:space="0" w:color="000000"/>
              <w:right w:val="nil"/>
            </w:tcBorders>
            <w:vAlign w:val="center"/>
          </w:tcPr>
          <w:p w14:paraId="1BCA3FDA"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32,5</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39003CF4"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1.888</w:t>
            </w:r>
          </w:p>
        </w:tc>
        <w:tc>
          <w:tcPr>
            <w:tcW w:w="713" w:type="dxa"/>
            <w:tcBorders>
              <w:top w:val="single" w:sz="4" w:space="0" w:color="000000"/>
              <w:left w:val="nil"/>
              <w:bottom w:val="single" w:sz="4" w:space="0" w:color="000000"/>
              <w:right w:val="nil"/>
            </w:tcBorders>
            <w:shd w:val="clear" w:color="auto" w:fill="auto"/>
            <w:vAlign w:val="center"/>
          </w:tcPr>
          <w:p w14:paraId="592F1D4D"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30,5</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7F8409CE"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1.997</w:t>
            </w:r>
          </w:p>
        </w:tc>
        <w:tc>
          <w:tcPr>
            <w:tcW w:w="714" w:type="dxa"/>
            <w:tcBorders>
              <w:top w:val="single" w:sz="4" w:space="0" w:color="000000"/>
              <w:left w:val="nil"/>
              <w:bottom w:val="single" w:sz="4" w:space="0" w:color="000000"/>
              <w:right w:val="nil"/>
            </w:tcBorders>
            <w:shd w:val="clear" w:color="auto" w:fill="auto"/>
            <w:vAlign w:val="center"/>
          </w:tcPr>
          <w:p w14:paraId="07792730"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32,4</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DE11FF3"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1.798</w:t>
            </w:r>
          </w:p>
        </w:tc>
        <w:tc>
          <w:tcPr>
            <w:tcW w:w="713" w:type="dxa"/>
            <w:tcBorders>
              <w:top w:val="single" w:sz="4" w:space="0" w:color="000000"/>
              <w:left w:val="nil"/>
              <w:bottom w:val="single" w:sz="4" w:space="0" w:color="000000"/>
              <w:right w:val="nil"/>
            </w:tcBorders>
            <w:shd w:val="clear" w:color="auto" w:fill="auto"/>
            <w:vAlign w:val="center"/>
          </w:tcPr>
          <w:p w14:paraId="50937A01"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29,4</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4BC5234"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1.401</w:t>
            </w:r>
          </w:p>
        </w:tc>
        <w:tc>
          <w:tcPr>
            <w:tcW w:w="714" w:type="dxa"/>
            <w:tcBorders>
              <w:top w:val="single" w:sz="4" w:space="0" w:color="000000"/>
              <w:left w:val="nil"/>
              <w:bottom w:val="single" w:sz="4" w:space="0" w:color="000000"/>
              <w:right w:val="nil"/>
            </w:tcBorders>
            <w:vAlign w:val="center"/>
          </w:tcPr>
          <w:p w14:paraId="07AA6691"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23,2</w:t>
            </w:r>
          </w:p>
        </w:tc>
      </w:tr>
      <w:tr w:rsidR="00482F67" w:rsidRPr="007F1F16" w14:paraId="1F43989F"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7EEF769D" w14:textId="77777777" w:rsidR="00482F67" w:rsidRPr="00954806" w:rsidRDefault="00482F67" w:rsidP="00C56F46">
            <w:pPr>
              <w:ind w:right="113"/>
              <w:rPr>
                <w:rFonts w:ascii="Arial Narrow" w:hAnsi="Arial Narrow"/>
                <w:color w:val="000000"/>
                <w:sz w:val="18"/>
                <w:szCs w:val="18"/>
              </w:rPr>
            </w:pPr>
            <w:r w:rsidRPr="00954806">
              <w:rPr>
                <w:rFonts w:ascii="Arial Narrow" w:hAnsi="Arial Narrow"/>
                <w:color w:val="000000"/>
                <w:sz w:val="18"/>
                <w:szCs w:val="18"/>
              </w:rPr>
              <w:t>30-39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3A65727"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olor w:val="000000"/>
                <w:sz w:val="18"/>
                <w:szCs w:val="18"/>
              </w:rPr>
              <w:t>1.627</w:t>
            </w:r>
          </w:p>
        </w:tc>
        <w:tc>
          <w:tcPr>
            <w:tcW w:w="713" w:type="dxa"/>
            <w:tcBorders>
              <w:top w:val="single" w:sz="4" w:space="0" w:color="000000"/>
              <w:left w:val="nil"/>
              <w:bottom w:val="single" w:sz="4" w:space="0" w:color="000000"/>
              <w:right w:val="nil"/>
            </w:tcBorders>
            <w:vAlign w:val="center"/>
          </w:tcPr>
          <w:p w14:paraId="5F6A3F38"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21,4</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0A082F33"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1.627</w:t>
            </w:r>
          </w:p>
        </w:tc>
        <w:tc>
          <w:tcPr>
            <w:tcW w:w="714" w:type="dxa"/>
            <w:tcBorders>
              <w:top w:val="single" w:sz="4" w:space="0" w:color="000000"/>
              <w:left w:val="nil"/>
              <w:bottom w:val="single" w:sz="4" w:space="0" w:color="000000"/>
              <w:right w:val="nil"/>
            </w:tcBorders>
            <w:vAlign w:val="center"/>
          </w:tcPr>
          <w:p w14:paraId="7707618F"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22,0</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7136A754"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1.574</w:t>
            </w:r>
          </w:p>
        </w:tc>
        <w:tc>
          <w:tcPr>
            <w:tcW w:w="713" w:type="dxa"/>
            <w:tcBorders>
              <w:top w:val="single" w:sz="4" w:space="0" w:color="000000"/>
              <w:left w:val="nil"/>
              <w:bottom w:val="single" w:sz="4" w:space="0" w:color="000000"/>
              <w:right w:val="nil"/>
            </w:tcBorders>
            <w:shd w:val="clear" w:color="auto" w:fill="auto"/>
            <w:vAlign w:val="center"/>
          </w:tcPr>
          <w:p w14:paraId="58BE2F6F"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21,9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132EA126"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1.614</w:t>
            </w:r>
          </w:p>
        </w:tc>
        <w:tc>
          <w:tcPr>
            <w:tcW w:w="714" w:type="dxa"/>
            <w:tcBorders>
              <w:top w:val="single" w:sz="4" w:space="0" w:color="000000"/>
              <w:left w:val="nil"/>
              <w:bottom w:val="single" w:sz="4" w:space="0" w:color="000000"/>
              <w:right w:val="nil"/>
            </w:tcBorders>
            <w:shd w:val="clear" w:color="auto" w:fill="auto"/>
            <w:vAlign w:val="center"/>
          </w:tcPr>
          <w:p w14:paraId="7EE8F0E3"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22,9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96E3C9C"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1.463</w:t>
            </w:r>
          </w:p>
        </w:tc>
        <w:tc>
          <w:tcPr>
            <w:tcW w:w="713" w:type="dxa"/>
            <w:tcBorders>
              <w:top w:val="single" w:sz="4" w:space="0" w:color="000000"/>
              <w:left w:val="nil"/>
              <w:bottom w:val="single" w:sz="4" w:space="0" w:color="000000"/>
              <w:right w:val="nil"/>
            </w:tcBorders>
            <w:shd w:val="clear" w:color="auto" w:fill="auto"/>
            <w:vAlign w:val="center"/>
          </w:tcPr>
          <w:p w14:paraId="25180829"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21,2</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25FDDE6B"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1.193</w:t>
            </w:r>
          </w:p>
        </w:tc>
        <w:tc>
          <w:tcPr>
            <w:tcW w:w="714" w:type="dxa"/>
            <w:tcBorders>
              <w:top w:val="single" w:sz="4" w:space="0" w:color="000000"/>
              <w:left w:val="nil"/>
              <w:bottom w:val="single" w:sz="4" w:space="0" w:color="000000"/>
              <w:right w:val="nil"/>
            </w:tcBorders>
            <w:vAlign w:val="center"/>
          </w:tcPr>
          <w:p w14:paraId="174A7A54"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17,6</w:t>
            </w:r>
          </w:p>
        </w:tc>
      </w:tr>
      <w:tr w:rsidR="00482F67" w:rsidRPr="007F1F16" w14:paraId="1165A323"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7F42D6C3" w14:textId="77777777" w:rsidR="00482F67" w:rsidRPr="00954806" w:rsidRDefault="00482F67" w:rsidP="00C56F46">
            <w:pPr>
              <w:ind w:right="113"/>
              <w:rPr>
                <w:rFonts w:ascii="Arial Narrow" w:hAnsi="Arial Narrow"/>
                <w:color w:val="000000"/>
                <w:sz w:val="18"/>
                <w:szCs w:val="18"/>
              </w:rPr>
            </w:pPr>
            <w:r w:rsidRPr="00954806">
              <w:rPr>
                <w:rFonts w:ascii="Arial Narrow" w:hAnsi="Arial Narrow"/>
                <w:color w:val="000000"/>
                <w:sz w:val="18"/>
                <w:szCs w:val="18"/>
              </w:rPr>
              <w:t>40-49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235F039"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olor w:val="000000"/>
                <w:sz w:val="18"/>
                <w:szCs w:val="18"/>
              </w:rPr>
              <w:t>2.176</w:t>
            </w:r>
          </w:p>
        </w:tc>
        <w:tc>
          <w:tcPr>
            <w:tcW w:w="713" w:type="dxa"/>
            <w:tcBorders>
              <w:top w:val="single" w:sz="4" w:space="0" w:color="000000"/>
              <w:left w:val="nil"/>
              <w:bottom w:val="single" w:sz="4" w:space="0" w:color="000000"/>
              <w:right w:val="nil"/>
            </w:tcBorders>
            <w:vAlign w:val="center"/>
          </w:tcPr>
          <w:p w14:paraId="2A4D9E70"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22,5</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7EC3FF75"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2.238</w:t>
            </w:r>
          </w:p>
        </w:tc>
        <w:tc>
          <w:tcPr>
            <w:tcW w:w="714" w:type="dxa"/>
            <w:tcBorders>
              <w:top w:val="single" w:sz="4" w:space="0" w:color="000000"/>
              <w:left w:val="nil"/>
              <w:bottom w:val="single" w:sz="4" w:space="0" w:color="000000"/>
              <w:right w:val="nil"/>
            </w:tcBorders>
            <w:vAlign w:val="center"/>
          </w:tcPr>
          <w:p w14:paraId="402C245D"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23,4</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787BDD2C"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2.300</w:t>
            </w:r>
          </w:p>
        </w:tc>
        <w:tc>
          <w:tcPr>
            <w:tcW w:w="713" w:type="dxa"/>
            <w:tcBorders>
              <w:top w:val="single" w:sz="4" w:space="0" w:color="000000"/>
              <w:left w:val="nil"/>
              <w:bottom w:val="single" w:sz="4" w:space="0" w:color="000000"/>
              <w:right w:val="nil"/>
            </w:tcBorders>
            <w:shd w:val="clear" w:color="auto" w:fill="auto"/>
            <w:vAlign w:val="center"/>
          </w:tcPr>
          <w:p w14:paraId="42E0D593"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24,5</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66E3428"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2.367</w:t>
            </w:r>
          </w:p>
        </w:tc>
        <w:tc>
          <w:tcPr>
            <w:tcW w:w="714" w:type="dxa"/>
            <w:tcBorders>
              <w:top w:val="single" w:sz="4" w:space="0" w:color="000000"/>
              <w:left w:val="nil"/>
              <w:bottom w:val="single" w:sz="4" w:space="0" w:color="000000"/>
              <w:right w:val="nil"/>
            </w:tcBorders>
            <w:shd w:val="clear" w:color="auto" w:fill="auto"/>
            <w:vAlign w:val="center"/>
          </w:tcPr>
          <w:p w14:paraId="0CD3AE83"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25,6</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2FDA921C"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2.181</w:t>
            </w:r>
          </w:p>
        </w:tc>
        <w:tc>
          <w:tcPr>
            <w:tcW w:w="713" w:type="dxa"/>
            <w:tcBorders>
              <w:top w:val="single" w:sz="4" w:space="0" w:color="000000"/>
              <w:left w:val="nil"/>
              <w:bottom w:val="single" w:sz="4" w:space="0" w:color="000000"/>
              <w:right w:val="nil"/>
            </w:tcBorders>
            <w:shd w:val="clear" w:color="auto" w:fill="auto"/>
            <w:vAlign w:val="center"/>
          </w:tcPr>
          <w:p w14:paraId="6F2410B0"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24,1</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55A12BF1"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1.807</w:t>
            </w:r>
          </w:p>
        </w:tc>
        <w:tc>
          <w:tcPr>
            <w:tcW w:w="714" w:type="dxa"/>
            <w:tcBorders>
              <w:top w:val="single" w:sz="4" w:space="0" w:color="000000"/>
              <w:left w:val="nil"/>
              <w:bottom w:val="single" w:sz="4" w:space="0" w:color="000000"/>
              <w:right w:val="nil"/>
            </w:tcBorders>
            <w:vAlign w:val="center"/>
          </w:tcPr>
          <w:p w14:paraId="231FAE12"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20,5</w:t>
            </w:r>
          </w:p>
        </w:tc>
      </w:tr>
      <w:tr w:rsidR="00482F67" w:rsidRPr="007F1F16" w14:paraId="728FD875"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03302AD8" w14:textId="77777777" w:rsidR="00482F67" w:rsidRPr="00954806" w:rsidRDefault="00482F67" w:rsidP="00C56F46">
            <w:pPr>
              <w:ind w:right="113"/>
              <w:rPr>
                <w:rFonts w:ascii="Arial Narrow" w:hAnsi="Arial Narrow"/>
                <w:color w:val="000000"/>
                <w:sz w:val="18"/>
                <w:szCs w:val="18"/>
              </w:rPr>
            </w:pPr>
            <w:r w:rsidRPr="00954806">
              <w:rPr>
                <w:rFonts w:ascii="Arial Narrow" w:hAnsi="Arial Narrow"/>
                <w:color w:val="000000"/>
                <w:sz w:val="18"/>
                <w:szCs w:val="18"/>
              </w:rPr>
              <w:t>50-59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69E84BA0"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olor w:val="000000"/>
                <w:sz w:val="18"/>
                <w:szCs w:val="18"/>
              </w:rPr>
              <w:t>2.279</w:t>
            </w:r>
          </w:p>
        </w:tc>
        <w:tc>
          <w:tcPr>
            <w:tcW w:w="713" w:type="dxa"/>
            <w:tcBorders>
              <w:top w:val="single" w:sz="4" w:space="0" w:color="000000"/>
              <w:left w:val="nil"/>
              <w:bottom w:val="single" w:sz="4" w:space="0" w:color="000000"/>
              <w:right w:val="nil"/>
            </w:tcBorders>
            <w:vAlign w:val="center"/>
          </w:tcPr>
          <w:p w14:paraId="0FAA2AF2"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26,2</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0E3E4D06"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2.634</w:t>
            </w:r>
          </w:p>
        </w:tc>
        <w:tc>
          <w:tcPr>
            <w:tcW w:w="714" w:type="dxa"/>
            <w:tcBorders>
              <w:top w:val="single" w:sz="4" w:space="0" w:color="000000"/>
              <w:left w:val="nil"/>
              <w:bottom w:val="single" w:sz="4" w:space="0" w:color="000000"/>
              <w:right w:val="nil"/>
            </w:tcBorders>
            <w:vAlign w:val="center"/>
          </w:tcPr>
          <w:p w14:paraId="071DA11F"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29,7</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16BACFBF"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2.682</w:t>
            </w:r>
          </w:p>
        </w:tc>
        <w:tc>
          <w:tcPr>
            <w:tcW w:w="713" w:type="dxa"/>
            <w:tcBorders>
              <w:top w:val="single" w:sz="4" w:space="0" w:color="000000"/>
              <w:left w:val="nil"/>
              <w:bottom w:val="single" w:sz="4" w:space="0" w:color="000000"/>
              <w:right w:val="nil"/>
            </w:tcBorders>
            <w:shd w:val="clear" w:color="auto" w:fill="auto"/>
            <w:vAlign w:val="center"/>
          </w:tcPr>
          <w:p w14:paraId="17C08FAE"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29,6</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5154D004"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2.900</w:t>
            </w:r>
          </w:p>
        </w:tc>
        <w:tc>
          <w:tcPr>
            <w:tcW w:w="714" w:type="dxa"/>
            <w:tcBorders>
              <w:top w:val="single" w:sz="4" w:space="0" w:color="000000"/>
              <w:left w:val="nil"/>
              <w:bottom w:val="single" w:sz="4" w:space="0" w:color="000000"/>
              <w:right w:val="nil"/>
            </w:tcBorders>
            <w:shd w:val="clear" w:color="auto" w:fill="auto"/>
            <w:vAlign w:val="center"/>
          </w:tcPr>
          <w:p w14:paraId="3DBD0012"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31,5</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16B88B7B"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2.893</w:t>
            </w:r>
          </w:p>
        </w:tc>
        <w:tc>
          <w:tcPr>
            <w:tcW w:w="713" w:type="dxa"/>
            <w:tcBorders>
              <w:top w:val="single" w:sz="4" w:space="0" w:color="000000"/>
              <w:left w:val="nil"/>
              <w:bottom w:val="single" w:sz="4" w:space="0" w:color="000000"/>
              <w:right w:val="nil"/>
            </w:tcBorders>
            <w:shd w:val="clear" w:color="auto" w:fill="auto"/>
            <w:vAlign w:val="center"/>
          </w:tcPr>
          <w:p w14:paraId="40CBB876"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30,9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62706B58"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2.397</w:t>
            </w:r>
          </w:p>
        </w:tc>
        <w:tc>
          <w:tcPr>
            <w:tcW w:w="714" w:type="dxa"/>
            <w:tcBorders>
              <w:top w:val="single" w:sz="4" w:space="0" w:color="000000"/>
              <w:left w:val="nil"/>
              <w:bottom w:val="single" w:sz="4" w:space="0" w:color="000000"/>
              <w:right w:val="nil"/>
            </w:tcBorders>
            <w:vAlign w:val="center"/>
          </w:tcPr>
          <w:p w14:paraId="0DD2FF11"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25,4</w:t>
            </w:r>
          </w:p>
        </w:tc>
      </w:tr>
      <w:tr w:rsidR="00482F67" w:rsidRPr="007F1F16" w14:paraId="241EB5EE"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137003EE" w14:textId="77777777" w:rsidR="00482F67" w:rsidRPr="00954806" w:rsidRDefault="00482F67" w:rsidP="00C56F46">
            <w:pPr>
              <w:ind w:right="113"/>
              <w:rPr>
                <w:rFonts w:ascii="Arial Narrow" w:hAnsi="Arial Narrow"/>
                <w:color w:val="000000"/>
                <w:sz w:val="18"/>
                <w:szCs w:val="18"/>
              </w:rPr>
            </w:pPr>
            <w:r w:rsidRPr="00954806">
              <w:rPr>
                <w:rFonts w:ascii="Arial Narrow" w:hAnsi="Arial Narrow"/>
                <w:color w:val="000000"/>
                <w:sz w:val="18"/>
                <w:szCs w:val="18"/>
              </w:rPr>
              <w:t>60-69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B538C04"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olor w:val="000000"/>
                <w:sz w:val="18"/>
                <w:szCs w:val="18"/>
              </w:rPr>
              <w:t>1.982</w:t>
            </w:r>
          </w:p>
        </w:tc>
        <w:tc>
          <w:tcPr>
            <w:tcW w:w="713" w:type="dxa"/>
            <w:tcBorders>
              <w:top w:val="single" w:sz="4" w:space="0" w:color="000000"/>
              <w:left w:val="nil"/>
              <w:bottom w:val="single" w:sz="4" w:space="0" w:color="000000"/>
              <w:right w:val="nil"/>
            </w:tcBorders>
            <w:vAlign w:val="center"/>
          </w:tcPr>
          <w:p w14:paraId="5F2F4507"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27,4</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3377F3A3"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2.279</w:t>
            </w:r>
          </w:p>
        </w:tc>
        <w:tc>
          <w:tcPr>
            <w:tcW w:w="714" w:type="dxa"/>
            <w:tcBorders>
              <w:top w:val="single" w:sz="4" w:space="0" w:color="000000"/>
              <w:left w:val="nil"/>
              <w:bottom w:val="single" w:sz="4" w:space="0" w:color="000000"/>
              <w:right w:val="nil"/>
            </w:tcBorders>
            <w:vAlign w:val="center"/>
          </w:tcPr>
          <w:p w14:paraId="1BCA82BE"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31,3</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43067449"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2.326</w:t>
            </w:r>
          </w:p>
        </w:tc>
        <w:tc>
          <w:tcPr>
            <w:tcW w:w="713" w:type="dxa"/>
            <w:tcBorders>
              <w:top w:val="single" w:sz="4" w:space="0" w:color="000000"/>
              <w:left w:val="nil"/>
              <w:bottom w:val="single" w:sz="4" w:space="0" w:color="000000"/>
              <w:right w:val="nil"/>
            </w:tcBorders>
            <w:shd w:val="clear" w:color="auto" w:fill="auto"/>
            <w:vAlign w:val="center"/>
          </w:tcPr>
          <w:p w14:paraId="69A7F660"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31,9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6BA3A341"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2.493</w:t>
            </w:r>
          </w:p>
        </w:tc>
        <w:tc>
          <w:tcPr>
            <w:tcW w:w="714" w:type="dxa"/>
            <w:tcBorders>
              <w:top w:val="single" w:sz="4" w:space="0" w:color="000000"/>
              <w:left w:val="nil"/>
              <w:bottom w:val="single" w:sz="4" w:space="0" w:color="000000"/>
              <w:right w:val="nil"/>
            </w:tcBorders>
            <w:shd w:val="clear" w:color="auto" w:fill="auto"/>
            <w:vAlign w:val="center"/>
          </w:tcPr>
          <w:p w14:paraId="7FBAE168"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34,2</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3F664918"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2.436</w:t>
            </w:r>
          </w:p>
        </w:tc>
        <w:tc>
          <w:tcPr>
            <w:tcW w:w="713" w:type="dxa"/>
            <w:tcBorders>
              <w:top w:val="single" w:sz="4" w:space="0" w:color="000000"/>
              <w:left w:val="nil"/>
              <w:bottom w:val="single" w:sz="4" w:space="0" w:color="000000"/>
              <w:right w:val="nil"/>
            </w:tcBorders>
            <w:shd w:val="clear" w:color="auto" w:fill="auto"/>
            <w:vAlign w:val="center"/>
          </w:tcPr>
          <w:p w14:paraId="520EF05D"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33,3</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2228070A"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2.012</w:t>
            </w:r>
          </w:p>
        </w:tc>
        <w:tc>
          <w:tcPr>
            <w:tcW w:w="714" w:type="dxa"/>
            <w:tcBorders>
              <w:top w:val="single" w:sz="4" w:space="0" w:color="000000"/>
              <w:left w:val="nil"/>
              <w:bottom w:val="single" w:sz="4" w:space="0" w:color="000000"/>
              <w:right w:val="nil"/>
            </w:tcBorders>
            <w:vAlign w:val="center"/>
          </w:tcPr>
          <w:p w14:paraId="74A2C9A5"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27,2</w:t>
            </w:r>
          </w:p>
        </w:tc>
      </w:tr>
      <w:tr w:rsidR="00482F67" w:rsidRPr="007F1F16" w14:paraId="1AAF35D7"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49363005" w14:textId="77777777" w:rsidR="00482F67" w:rsidRPr="00954806" w:rsidRDefault="00482F67" w:rsidP="00C56F46">
            <w:pPr>
              <w:ind w:right="113"/>
              <w:rPr>
                <w:rFonts w:ascii="Arial Narrow" w:hAnsi="Arial Narrow"/>
                <w:color w:val="000000"/>
                <w:sz w:val="18"/>
                <w:szCs w:val="18"/>
              </w:rPr>
            </w:pPr>
            <w:r w:rsidRPr="00954806">
              <w:rPr>
                <w:rFonts w:ascii="Arial Narrow" w:hAnsi="Arial Narrow"/>
                <w:color w:val="000000"/>
                <w:sz w:val="18"/>
                <w:szCs w:val="18"/>
              </w:rPr>
              <w:t>70-79</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3EDD1160"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olor w:val="000000"/>
                <w:sz w:val="18"/>
                <w:szCs w:val="18"/>
              </w:rPr>
              <w:t>2.352</w:t>
            </w:r>
          </w:p>
        </w:tc>
        <w:tc>
          <w:tcPr>
            <w:tcW w:w="713" w:type="dxa"/>
            <w:tcBorders>
              <w:top w:val="single" w:sz="4" w:space="0" w:color="000000"/>
              <w:left w:val="nil"/>
              <w:bottom w:val="single" w:sz="4" w:space="0" w:color="000000"/>
              <w:right w:val="nil"/>
            </w:tcBorders>
            <w:vAlign w:val="center"/>
          </w:tcPr>
          <w:p w14:paraId="41F05662"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41,6</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3C2EC485"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2.509</w:t>
            </w:r>
          </w:p>
        </w:tc>
        <w:tc>
          <w:tcPr>
            <w:tcW w:w="714" w:type="dxa"/>
            <w:tcBorders>
              <w:top w:val="single" w:sz="4" w:space="0" w:color="000000"/>
              <w:left w:val="nil"/>
              <w:bottom w:val="single" w:sz="4" w:space="0" w:color="000000"/>
              <w:right w:val="nil"/>
            </w:tcBorders>
            <w:vAlign w:val="center"/>
          </w:tcPr>
          <w:p w14:paraId="6935F0C4"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44,1</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55626FDC"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2.510</w:t>
            </w:r>
          </w:p>
        </w:tc>
        <w:tc>
          <w:tcPr>
            <w:tcW w:w="713" w:type="dxa"/>
            <w:tcBorders>
              <w:top w:val="single" w:sz="4" w:space="0" w:color="000000"/>
              <w:left w:val="nil"/>
              <w:bottom w:val="single" w:sz="4" w:space="0" w:color="000000"/>
              <w:right w:val="nil"/>
            </w:tcBorders>
            <w:shd w:val="clear" w:color="auto" w:fill="auto"/>
            <w:vAlign w:val="center"/>
          </w:tcPr>
          <w:p w14:paraId="3C6A30E6"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43,2</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50E2C98F"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2.834</w:t>
            </w:r>
          </w:p>
        </w:tc>
        <w:tc>
          <w:tcPr>
            <w:tcW w:w="714" w:type="dxa"/>
            <w:tcBorders>
              <w:top w:val="single" w:sz="4" w:space="0" w:color="000000"/>
              <w:left w:val="nil"/>
              <w:bottom w:val="single" w:sz="4" w:space="0" w:color="000000"/>
              <w:right w:val="nil"/>
            </w:tcBorders>
            <w:shd w:val="clear" w:color="auto" w:fill="auto"/>
            <w:vAlign w:val="center"/>
          </w:tcPr>
          <w:p w14:paraId="275B6345"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48,1</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77FC0C41"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2.630</w:t>
            </w:r>
          </w:p>
        </w:tc>
        <w:tc>
          <w:tcPr>
            <w:tcW w:w="713" w:type="dxa"/>
            <w:tcBorders>
              <w:top w:val="single" w:sz="4" w:space="0" w:color="000000"/>
              <w:left w:val="nil"/>
              <w:bottom w:val="single" w:sz="4" w:space="0" w:color="000000"/>
              <w:right w:val="nil"/>
            </w:tcBorders>
            <w:shd w:val="clear" w:color="auto" w:fill="auto"/>
            <w:vAlign w:val="center"/>
          </w:tcPr>
          <w:p w14:paraId="1B6F10AD"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44,2</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0EDF8874"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2.087</w:t>
            </w:r>
          </w:p>
        </w:tc>
        <w:tc>
          <w:tcPr>
            <w:tcW w:w="714" w:type="dxa"/>
            <w:tcBorders>
              <w:top w:val="single" w:sz="4" w:space="0" w:color="000000"/>
              <w:left w:val="nil"/>
              <w:bottom w:val="single" w:sz="4" w:space="0" w:color="000000"/>
              <w:right w:val="nil"/>
            </w:tcBorders>
            <w:vAlign w:val="center"/>
          </w:tcPr>
          <w:p w14:paraId="3082882F"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34,9</w:t>
            </w:r>
          </w:p>
        </w:tc>
      </w:tr>
      <w:tr w:rsidR="00482F67" w:rsidRPr="007F1F16" w14:paraId="3B04D7C9" w14:textId="77777777" w:rsidTr="006852FB">
        <w:trPr>
          <w:trHeight w:hRule="exact" w:val="255"/>
        </w:trPr>
        <w:tc>
          <w:tcPr>
            <w:tcW w:w="1221" w:type="dxa"/>
            <w:tcBorders>
              <w:top w:val="single" w:sz="4" w:space="0" w:color="000000"/>
              <w:left w:val="nil"/>
              <w:bottom w:val="single" w:sz="4" w:space="0" w:color="000000"/>
              <w:right w:val="nil"/>
            </w:tcBorders>
            <w:shd w:val="clear" w:color="auto" w:fill="auto"/>
            <w:vAlign w:val="center"/>
          </w:tcPr>
          <w:p w14:paraId="4EB12683" w14:textId="77777777" w:rsidR="00482F67" w:rsidRPr="00954806" w:rsidRDefault="00482F67" w:rsidP="00C56F46">
            <w:pPr>
              <w:ind w:right="113"/>
              <w:rPr>
                <w:rFonts w:ascii="Arial Narrow" w:hAnsi="Arial Narrow"/>
                <w:color w:val="000000"/>
                <w:sz w:val="18"/>
                <w:szCs w:val="18"/>
              </w:rPr>
            </w:pPr>
            <w:r w:rsidRPr="00954806">
              <w:rPr>
                <w:rFonts w:ascii="Arial Narrow" w:hAnsi="Arial Narrow"/>
                <w:color w:val="000000"/>
                <w:sz w:val="18"/>
                <w:szCs w:val="18"/>
              </w:rPr>
              <w:t>80+</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7D1F4C46"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olor w:val="000000"/>
                <w:sz w:val="18"/>
                <w:szCs w:val="18"/>
              </w:rPr>
              <w:t>2.119</w:t>
            </w:r>
          </w:p>
        </w:tc>
        <w:tc>
          <w:tcPr>
            <w:tcW w:w="713" w:type="dxa"/>
            <w:tcBorders>
              <w:top w:val="single" w:sz="4" w:space="0" w:color="000000"/>
              <w:left w:val="nil"/>
              <w:bottom w:val="single" w:sz="4" w:space="0" w:color="000000"/>
              <w:right w:val="nil"/>
            </w:tcBorders>
            <w:vAlign w:val="center"/>
          </w:tcPr>
          <w:p w14:paraId="34BE0DB8"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53,1</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7A212215"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2.342</w:t>
            </w:r>
          </w:p>
        </w:tc>
        <w:tc>
          <w:tcPr>
            <w:tcW w:w="714" w:type="dxa"/>
            <w:tcBorders>
              <w:top w:val="single" w:sz="4" w:space="0" w:color="000000"/>
              <w:left w:val="nil"/>
              <w:bottom w:val="single" w:sz="4" w:space="0" w:color="000000"/>
              <w:right w:val="nil"/>
            </w:tcBorders>
            <w:vAlign w:val="center"/>
          </w:tcPr>
          <w:p w14:paraId="64258274"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57,6</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0E0A7BAD"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2.360</w:t>
            </w:r>
          </w:p>
        </w:tc>
        <w:tc>
          <w:tcPr>
            <w:tcW w:w="713" w:type="dxa"/>
            <w:tcBorders>
              <w:top w:val="single" w:sz="4" w:space="0" w:color="000000"/>
              <w:left w:val="nil"/>
              <w:bottom w:val="single" w:sz="4" w:space="0" w:color="000000"/>
              <w:right w:val="nil"/>
            </w:tcBorders>
            <w:shd w:val="clear" w:color="auto" w:fill="auto"/>
            <w:vAlign w:val="center"/>
          </w:tcPr>
          <w:p w14:paraId="43376607"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57,0</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3F51EDA4"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2.670</w:t>
            </w:r>
          </w:p>
        </w:tc>
        <w:tc>
          <w:tcPr>
            <w:tcW w:w="714" w:type="dxa"/>
            <w:tcBorders>
              <w:top w:val="single" w:sz="4" w:space="0" w:color="000000"/>
              <w:left w:val="nil"/>
              <w:bottom w:val="single" w:sz="4" w:space="0" w:color="000000"/>
              <w:right w:val="nil"/>
            </w:tcBorders>
            <w:shd w:val="clear" w:color="auto" w:fill="auto"/>
            <w:vAlign w:val="center"/>
          </w:tcPr>
          <w:p w14:paraId="451670EA"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63,0</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08F68DAA"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2.465</w:t>
            </w:r>
          </w:p>
        </w:tc>
        <w:tc>
          <w:tcPr>
            <w:tcW w:w="713" w:type="dxa"/>
            <w:tcBorders>
              <w:top w:val="single" w:sz="4" w:space="0" w:color="000000"/>
              <w:left w:val="nil"/>
              <w:bottom w:val="single" w:sz="4" w:space="0" w:color="000000"/>
              <w:right w:val="nil"/>
            </w:tcBorders>
            <w:shd w:val="clear" w:color="auto" w:fill="auto"/>
            <w:vAlign w:val="center"/>
          </w:tcPr>
          <w:p w14:paraId="75A55F43"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56,6</w:t>
            </w:r>
          </w:p>
        </w:tc>
        <w:tc>
          <w:tcPr>
            <w:tcW w:w="713" w:type="dxa"/>
            <w:tcBorders>
              <w:top w:val="single" w:sz="4" w:space="0" w:color="000000"/>
              <w:left w:val="nil"/>
              <w:bottom w:val="single" w:sz="4" w:space="0" w:color="000000"/>
              <w:right w:val="nil"/>
            </w:tcBorders>
            <w:shd w:val="clear" w:color="auto" w:fill="D9D9D9" w:themeFill="background1" w:themeFillShade="D9"/>
            <w:vAlign w:val="center"/>
          </w:tcPr>
          <w:p w14:paraId="6444897E" w14:textId="77777777" w:rsidR="00482F67" w:rsidRPr="007F1F16" w:rsidRDefault="00482F67" w:rsidP="00C56F46">
            <w:pPr>
              <w:ind w:right="113"/>
              <w:jc w:val="right"/>
              <w:rPr>
                <w:rFonts w:ascii="Arial Narrow" w:hAnsi="Arial Narrow"/>
                <w:color w:val="000000"/>
                <w:sz w:val="18"/>
                <w:szCs w:val="18"/>
              </w:rPr>
            </w:pPr>
            <w:r w:rsidRPr="007F1F16">
              <w:rPr>
                <w:rFonts w:ascii="Arial Narrow" w:hAnsi="Arial Narrow"/>
                <w:color w:val="000000"/>
                <w:sz w:val="18"/>
                <w:szCs w:val="18"/>
              </w:rPr>
              <w:t>1.854</w:t>
            </w:r>
          </w:p>
        </w:tc>
        <w:tc>
          <w:tcPr>
            <w:tcW w:w="714" w:type="dxa"/>
            <w:tcBorders>
              <w:top w:val="single" w:sz="4" w:space="0" w:color="000000"/>
              <w:left w:val="nil"/>
              <w:bottom w:val="single" w:sz="4" w:space="0" w:color="000000"/>
              <w:right w:val="nil"/>
            </w:tcBorders>
            <w:vAlign w:val="center"/>
          </w:tcPr>
          <w:p w14:paraId="345BA63A" w14:textId="77777777" w:rsidR="00482F67" w:rsidRPr="007F1F16" w:rsidRDefault="00482F67" w:rsidP="00C56F46">
            <w:pPr>
              <w:ind w:right="113"/>
              <w:jc w:val="right"/>
              <w:rPr>
                <w:rFonts w:ascii="Arial Narrow" w:hAnsi="Arial Narrow" w:cs="Times New Roman"/>
                <w:color w:val="000000"/>
                <w:sz w:val="18"/>
                <w:szCs w:val="18"/>
              </w:rPr>
            </w:pPr>
            <w:r w:rsidRPr="007F1F16">
              <w:rPr>
                <w:rFonts w:ascii="Arial Narrow" w:hAnsi="Arial Narrow" w:cs="Calibri"/>
                <w:color w:val="000000"/>
                <w:sz w:val="18"/>
                <w:szCs w:val="18"/>
              </w:rPr>
              <w:t>41,7</w:t>
            </w:r>
          </w:p>
        </w:tc>
      </w:tr>
      <w:tr w:rsidR="00482F67" w:rsidRPr="007F1F16" w14:paraId="3B766F19" w14:textId="77777777" w:rsidTr="00AD5162">
        <w:trPr>
          <w:trHeight w:hRule="exact" w:val="255"/>
        </w:trPr>
        <w:tc>
          <w:tcPr>
            <w:tcW w:w="1221" w:type="dxa"/>
            <w:tcBorders>
              <w:top w:val="single" w:sz="4" w:space="0" w:color="000000"/>
              <w:left w:val="nil"/>
              <w:right w:val="nil"/>
            </w:tcBorders>
            <w:shd w:val="clear" w:color="auto" w:fill="00527F"/>
            <w:vAlign w:val="center"/>
            <w:hideMark/>
          </w:tcPr>
          <w:p w14:paraId="43D71642" w14:textId="77777777" w:rsidR="00482F67" w:rsidRPr="001F08B8" w:rsidRDefault="00482F67" w:rsidP="00C56F46">
            <w:pPr>
              <w:rPr>
                <w:rFonts w:ascii="Arial Narrow" w:hAnsi="Arial Narrow"/>
                <w:b/>
                <w:bCs/>
                <w:color w:val="FFFFFF"/>
                <w:sz w:val="18"/>
                <w:szCs w:val="18"/>
              </w:rPr>
            </w:pPr>
            <w:r w:rsidRPr="001F08B8">
              <w:rPr>
                <w:rFonts w:ascii="Arial Narrow" w:hAnsi="Arial Narrow"/>
                <w:b/>
                <w:bCs/>
                <w:color w:val="FFFFFF"/>
                <w:sz w:val="18"/>
                <w:szCs w:val="18"/>
              </w:rPr>
              <w:t>Totale Italia</w:t>
            </w:r>
          </w:p>
        </w:tc>
        <w:tc>
          <w:tcPr>
            <w:tcW w:w="713" w:type="dxa"/>
            <w:tcBorders>
              <w:top w:val="single" w:sz="4" w:space="0" w:color="000000"/>
              <w:left w:val="nil"/>
              <w:right w:val="nil"/>
            </w:tcBorders>
            <w:shd w:val="clear" w:color="auto" w:fill="00527F"/>
            <w:vAlign w:val="center"/>
          </w:tcPr>
          <w:p w14:paraId="2D7DAC75"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b/>
                <w:bCs/>
                <w:color w:val="FFFFFF" w:themeColor="background1"/>
                <w:sz w:val="18"/>
                <w:szCs w:val="18"/>
              </w:rPr>
              <w:t>15.901</w:t>
            </w:r>
          </w:p>
        </w:tc>
        <w:tc>
          <w:tcPr>
            <w:tcW w:w="713" w:type="dxa"/>
            <w:tcBorders>
              <w:top w:val="single" w:sz="4" w:space="0" w:color="000000"/>
              <w:left w:val="nil"/>
              <w:right w:val="nil"/>
            </w:tcBorders>
            <w:shd w:val="clear" w:color="auto" w:fill="00527F"/>
            <w:vAlign w:val="center"/>
          </w:tcPr>
          <w:p w14:paraId="494DCD1C"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cs="Calibri"/>
                <w:b/>
                <w:color w:val="FFFFFF" w:themeColor="background1"/>
                <w:sz w:val="18"/>
                <w:szCs w:val="18"/>
              </w:rPr>
              <w:t>26,4</w:t>
            </w:r>
          </w:p>
        </w:tc>
        <w:tc>
          <w:tcPr>
            <w:tcW w:w="713" w:type="dxa"/>
            <w:tcBorders>
              <w:top w:val="single" w:sz="4" w:space="0" w:color="000000"/>
              <w:left w:val="nil"/>
              <w:right w:val="nil"/>
            </w:tcBorders>
            <w:shd w:val="clear" w:color="auto" w:fill="00527F"/>
            <w:vAlign w:val="center"/>
          </w:tcPr>
          <w:p w14:paraId="48C28563"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b/>
                <w:bCs/>
                <w:color w:val="FFFFFF" w:themeColor="background1"/>
                <w:sz w:val="18"/>
                <w:szCs w:val="18"/>
              </w:rPr>
              <w:t>17.324</w:t>
            </w:r>
          </w:p>
        </w:tc>
        <w:tc>
          <w:tcPr>
            <w:tcW w:w="714" w:type="dxa"/>
            <w:tcBorders>
              <w:top w:val="single" w:sz="4" w:space="0" w:color="000000"/>
              <w:left w:val="nil"/>
              <w:right w:val="nil"/>
            </w:tcBorders>
            <w:shd w:val="clear" w:color="auto" w:fill="00527F"/>
            <w:vAlign w:val="center"/>
          </w:tcPr>
          <w:p w14:paraId="6983F51D"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cs="Calibri"/>
                <w:b/>
                <w:color w:val="FFFFFF" w:themeColor="background1"/>
                <w:sz w:val="18"/>
                <w:szCs w:val="18"/>
              </w:rPr>
              <w:t>28,8</w:t>
            </w:r>
          </w:p>
        </w:tc>
        <w:tc>
          <w:tcPr>
            <w:tcW w:w="713" w:type="dxa"/>
            <w:tcBorders>
              <w:top w:val="single" w:sz="4" w:space="0" w:color="000000"/>
              <w:left w:val="nil"/>
              <w:right w:val="nil"/>
            </w:tcBorders>
            <w:shd w:val="clear" w:color="auto" w:fill="00527F"/>
            <w:vAlign w:val="center"/>
          </w:tcPr>
          <w:p w14:paraId="065F44B0"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b/>
                <w:bCs/>
                <w:color w:val="FFFFFF" w:themeColor="background1"/>
                <w:sz w:val="18"/>
                <w:szCs w:val="18"/>
              </w:rPr>
              <w:t>17.309</w:t>
            </w:r>
          </w:p>
        </w:tc>
        <w:tc>
          <w:tcPr>
            <w:tcW w:w="713" w:type="dxa"/>
            <w:tcBorders>
              <w:top w:val="single" w:sz="4" w:space="0" w:color="000000"/>
              <w:left w:val="nil"/>
              <w:right w:val="nil"/>
            </w:tcBorders>
            <w:shd w:val="clear" w:color="auto" w:fill="00527F"/>
            <w:vAlign w:val="center"/>
          </w:tcPr>
          <w:p w14:paraId="0FDABDAD"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cs="Calibri"/>
                <w:b/>
                <w:color w:val="FFFFFF" w:themeColor="background1"/>
                <w:sz w:val="18"/>
                <w:szCs w:val="18"/>
              </w:rPr>
              <w:t>28,8</w:t>
            </w:r>
          </w:p>
        </w:tc>
        <w:tc>
          <w:tcPr>
            <w:tcW w:w="713" w:type="dxa"/>
            <w:tcBorders>
              <w:top w:val="single" w:sz="4" w:space="0" w:color="000000"/>
              <w:left w:val="nil"/>
              <w:right w:val="nil"/>
            </w:tcBorders>
            <w:shd w:val="clear" w:color="auto" w:fill="00527F"/>
            <w:vAlign w:val="center"/>
          </w:tcPr>
          <w:p w14:paraId="55AB4FFE"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b/>
                <w:bCs/>
                <w:color w:val="FFFFFF" w:themeColor="background1"/>
                <w:sz w:val="18"/>
                <w:szCs w:val="18"/>
              </w:rPr>
              <w:t>18.614</w:t>
            </w:r>
          </w:p>
        </w:tc>
        <w:tc>
          <w:tcPr>
            <w:tcW w:w="714" w:type="dxa"/>
            <w:tcBorders>
              <w:top w:val="single" w:sz="4" w:space="0" w:color="000000"/>
              <w:left w:val="nil"/>
              <w:right w:val="nil"/>
            </w:tcBorders>
            <w:shd w:val="clear" w:color="auto" w:fill="00527F"/>
            <w:vAlign w:val="center"/>
          </w:tcPr>
          <w:p w14:paraId="28289B51"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cs="Calibri"/>
                <w:b/>
                <w:color w:val="FFFFFF" w:themeColor="background1"/>
                <w:sz w:val="18"/>
                <w:szCs w:val="18"/>
              </w:rPr>
              <w:t>31,1</w:t>
            </w:r>
          </w:p>
        </w:tc>
        <w:tc>
          <w:tcPr>
            <w:tcW w:w="713" w:type="dxa"/>
            <w:tcBorders>
              <w:top w:val="single" w:sz="4" w:space="0" w:color="000000"/>
              <w:left w:val="nil"/>
              <w:right w:val="nil"/>
            </w:tcBorders>
            <w:shd w:val="clear" w:color="auto" w:fill="00527F"/>
            <w:vAlign w:val="center"/>
          </w:tcPr>
          <w:p w14:paraId="38DB3650"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b/>
                <w:bCs/>
                <w:color w:val="FFFFFF" w:themeColor="background1"/>
                <w:sz w:val="18"/>
                <w:szCs w:val="18"/>
              </w:rPr>
              <w:t>17.600</w:t>
            </w:r>
          </w:p>
        </w:tc>
        <w:tc>
          <w:tcPr>
            <w:tcW w:w="713" w:type="dxa"/>
            <w:tcBorders>
              <w:top w:val="single" w:sz="4" w:space="0" w:color="000000"/>
              <w:left w:val="nil"/>
              <w:right w:val="nil"/>
            </w:tcBorders>
            <w:shd w:val="clear" w:color="auto" w:fill="00527F"/>
            <w:vAlign w:val="center"/>
          </w:tcPr>
          <w:p w14:paraId="4CBF6444" w14:textId="77777777" w:rsidR="00482F67" w:rsidRPr="007F1F16" w:rsidRDefault="00482F67" w:rsidP="00C56F46">
            <w:pPr>
              <w:ind w:right="113"/>
              <w:jc w:val="right"/>
              <w:rPr>
                <w:rFonts w:ascii="Arial Narrow" w:hAnsi="Arial Narrow"/>
                <w:b/>
                <w:bCs/>
                <w:color w:val="FFFFFF" w:themeColor="background1"/>
                <w:sz w:val="18"/>
                <w:szCs w:val="18"/>
              </w:rPr>
            </w:pPr>
            <w:r w:rsidRPr="007F1F16">
              <w:rPr>
                <w:rFonts w:ascii="Arial Narrow" w:hAnsi="Arial Narrow" w:cs="Calibri"/>
                <w:b/>
                <w:color w:val="FFFFFF" w:themeColor="background1"/>
                <w:sz w:val="18"/>
                <w:szCs w:val="18"/>
              </w:rPr>
              <w:t>29,5</w:t>
            </w:r>
          </w:p>
        </w:tc>
        <w:tc>
          <w:tcPr>
            <w:tcW w:w="713" w:type="dxa"/>
            <w:tcBorders>
              <w:top w:val="single" w:sz="4" w:space="0" w:color="000000"/>
              <w:left w:val="nil"/>
              <w:right w:val="nil"/>
            </w:tcBorders>
            <w:shd w:val="clear" w:color="auto" w:fill="00527F"/>
            <w:vAlign w:val="center"/>
          </w:tcPr>
          <w:p w14:paraId="6576704C" w14:textId="77777777" w:rsidR="00482F67" w:rsidRPr="007F1F16" w:rsidRDefault="00482F67" w:rsidP="00C56F46">
            <w:pPr>
              <w:ind w:right="113"/>
              <w:jc w:val="right"/>
              <w:rPr>
                <w:rFonts w:ascii="Arial Narrow" w:hAnsi="Arial Narrow" w:cs="Times New Roman"/>
                <w:b/>
                <w:color w:val="FFFFFF" w:themeColor="background1"/>
                <w:sz w:val="18"/>
                <w:szCs w:val="18"/>
              </w:rPr>
            </w:pPr>
            <w:r w:rsidRPr="007F1F16">
              <w:rPr>
                <w:rFonts w:ascii="Arial Narrow" w:hAnsi="Arial Narrow"/>
                <w:b/>
                <w:bCs/>
                <w:color w:val="FFFFFF" w:themeColor="background1"/>
                <w:sz w:val="18"/>
                <w:szCs w:val="18"/>
              </w:rPr>
              <w:t>14.102</w:t>
            </w:r>
          </w:p>
        </w:tc>
        <w:tc>
          <w:tcPr>
            <w:tcW w:w="714" w:type="dxa"/>
            <w:tcBorders>
              <w:top w:val="single" w:sz="4" w:space="0" w:color="000000"/>
              <w:left w:val="nil"/>
              <w:right w:val="nil"/>
            </w:tcBorders>
            <w:shd w:val="clear" w:color="auto" w:fill="00527F"/>
            <w:vAlign w:val="center"/>
          </w:tcPr>
          <w:p w14:paraId="0BBF0D85" w14:textId="77777777" w:rsidR="00482F67" w:rsidRPr="007F1F16" w:rsidRDefault="00482F67" w:rsidP="00C56F46">
            <w:pPr>
              <w:ind w:right="113"/>
              <w:jc w:val="right"/>
              <w:rPr>
                <w:rFonts w:ascii="Arial Narrow" w:hAnsi="Arial Narrow" w:cs="Times New Roman"/>
                <w:b/>
                <w:color w:val="FFFFFF" w:themeColor="background1"/>
                <w:sz w:val="18"/>
                <w:szCs w:val="18"/>
              </w:rPr>
            </w:pPr>
            <w:r w:rsidRPr="007F1F16">
              <w:rPr>
                <w:rFonts w:ascii="Arial Narrow" w:hAnsi="Arial Narrow" w:cs="Calibri"/>
                <w:b/>
                <w:color w:val="FFFFFF" w:themeColor="background1"/>
                <w:sz w:val="18"/>
                <w:szCs w:val="18"/>
              </w:rPr>
              <w:t>23,7</w:t>
            </w:r>
          </w:p>
        </w:tc>
      </w:tr>
    </w:tbl>
    <w:p w14:paraId="4990EC5F" w14:textId="77777777" w:rsidR="00482F67" w:rsidRPr="001F08B8" w:rsidRDefault="00482F67" w:rsidP="00482F67">
      <w:pPr>
        <w:spacing w:before="40"/>
        <w:jc w:val="both"/>
        <w:rPr>
          <w:rFonts w:ascii="Arial Narrow" w:hAnsi="Arial Narrow"/>
          <w:sz w:val="15"/>
          <w:szCs w:val="15"/>
        </w:rPr>
      </w:pPr>
      <w:r w:rsidRPr="001F08B8">
        <w:rPr>
          <w:rFonts w:ascii="Arial Narrow" w:hAnsi="Arial Narrow" w:cs="Times New Roman"/>
          <w:b/>
          <w:iCs/>
          <w:sz w:val="15"/>
          <w:szCs w:val="15"/>
        </w:rPr>
        <w:t>*</w:t>
      </w:r>
      <w:r w:rsidRPr="001F08B8">
        <w:rPr>
          <w:rFonts w:ascii="Arial Narrow" w:hAnsi="Arial Narrow"/>
          <w:sz w:val="15"/>
          <w:szCs w:val="15"/>
        </w:rPr>
        <w:t xml:space="preserve"> Fonte: Ministero della Salute, Direzione Generale della Programmazione Sanitaria-Ufficio 6 - Istat – </w:t>
      </w:r>
      <w:r>
        <w:rPr>
          <w:rFonts w:ascii="Arial Narrow" w:hAnsi="Arial Narrow"/>
          <w:sz w:val="15"/>
          <w:szCs w:val="15"/>
        </w:rPr>
        <w:t>Popolazione media italiana residente ricostruita a</w:t>
      </w:r>
      <w:r w:rsidRPr="00200565">
        <w:rPr>
          <w:rFonts w:ascii="Arial Narrow" w:hAnsi="Arial Narrow"/>
          <w:sz w:val="15"/>
          <w:szCs w:val="15"/>
        </w:rPr>
        <w:t xml:space="preserve"> seguito della diffusione dei dati di popolazione del censimento permanente riferiti al 31 dicembre 2018</w:t>
      </w:r>
      <w:r>
        <w:rPr>
          <w:rFonts w:ascii="Arial Narrow" w:hAnsi="Arial Narrow"/>
          <w:sz w:val="15"/>
          <w:szCs w:val="15"/>
        </w:rPr>
        <w:t xml:space="preserve"> (anni 2015-2020).</w:t>
      </w:r>
    </w:p>
    <w:p w14:paraId="57C8CDA1" w14:textId="77777777" w:rsidR="00482F67" w:rsidRDefault="00482F67" w:rsidP="00482F67">
      <w:pPr>
        <w:jc w:val="both"/>
        <w:rPr>
          <w:rFonts w:ascii="Arial Narrow" w:hAnsi="Arial Narrow"/>
          <w:sz w:val="15"/>
          <w:szCs w:val="15"/>
        </w:rPr>
      </w:pPr>
      <w:r w:rsidRPr="001F08B8">
        <w:rPr>
          <w:rFonts w:ascii="Arial Narrow" w:hAnsi="Arial Narrow"/>
          <w:sz w:val="15"/>
          <w:szCs w:val="15"/>
        </w:rPr>
        <w:t>(a) I casi riconducibili a lesioni in incidente stradale sono stati isolati utilizzando le informazioni congiunte tra il codice ICD-9-CM riferito alle lesioni, assegnato per le diagnosi principali e/o secondarie, l’informazione sulla modalità della causa accidentale e il codice della causa esterna (ICD-9-CM E), attribuito solo nel caso di ammissione ospedaliera a seguito di traumatismo o avvelenamento. È stato considerato solo il prim</w:t>
      </w:r>
      <w:r>
        <w:rPr>
          <w:rFonts w:ascii="Arial Narrow" w:hAnsi="Arial Narrow"/>
          <w:sz w:val="15"/>
          <w:szCs w:val="15"/>
        </w:rPr>
        <w:t xml:space="preserve">o ricovero di ciascun soggetto. </w:t>
      </w:r>
      <w:r w:rsidRPr="001F08B8">
        <w:rPr>
          <w:rFonts w:ascii="Arial Narrow" w:hAnsi="Arial Narrow"/>
          <w:sz w:val="15"/>
          <w:szCs w:val="15"/>
        </w:rPr>
        <w:t>Gli individui deceduti entro 30 giorni dal ricovero sono stati esclusi dalla selezione.</w:t>
      </w:r>
    </w:p>
    <w:p w14:paraId="78A01A8B" w14:textId="77777777" w:rsidR="000E6070" w:rsidRDefault="000E6070">
      <w:pPr>
        <w:rPr>
          <w:b/>
          <w:szCs w:val="24"/>
        </w:rPr>
      </w:pPr>
      <w:r>
        <w:rPr>
          <w:b/>
          <w:szCs w:val="24"/>
        </w:rPr>
        <w:br w:type="page"/>
      </w:r>
    </w:p>
    <w:p w14:paraId="31274174" w14:textId="77777777" w:rsidR="00C01EA0" w:rsidRPr="0033580A" w:rsidRDefault="006A18D3" w:rsidP="0033580A">
      <w:pPr>
        <w:widowControl w:val="0"/>
        <w:spacing w:after="120"/>
        <w:jc w:val="both"/>
        <w:rPr>
          <w:b/>
          <w:sz w:val="22"/>
          <w:szCs w:val="22"/>
        </w:rPr>
      </w:pPr>
      <w:r>
        <w:rPr>
          <w:b/>
          <w:szCs w:val="24"/>
        </w:rPr>
        <w:lastRenderedPageBreak/>
        <w:t>Gl</w:t>
      </w:r>
      <w:r w:rsidR="00B87C57" w:rsidRPr="0033580A">
        <w:rPr>
          <w:b/>
          <w:szCs w:val="24"/>
        </w:rPr>
        <w:t>ossario</w:t>
      </w:r>
    </w:p>
    <w:p w14:paraId="4A06DBD4" w14:textId="77777777" w:rsidR="00AC2B2E" w:rsidRPr="005B5B75" w:rsidRDefault="00AC2B2E" w:rsidP="0033580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b/>
          <w:sz w:val="20"/>
        </w:rPr>
      </w:pPr>
      <w:r w:rsidRPr="0033580A">
        <w:rPr>
          <w:rFonts w:cs="Times New Roman"/>
          <w:b/>
          <w:sz w:val="20"/>
        </w:rPr>
        <w:t xml:space="preserve">Autoarticolato: </w:t>
      </w:r>
      <w:r w:rsidRPr="0033580A">
        <w:rPr>
          <w:rFonts w:cs="Times New Roman"/>
          <w:sz w:val="20"/>
        </w:rPr>
        <w:t>Il complesso di veicoli formato da un trattore e da un semirimorchio.</w:t>
      </w:r>
    </w:p>
    <w:p w14:paraId="042C21F2" w14:textId="77777777" w:rsidR="00B87C57" w:rsidRPr="005B5B75" w:rsidRDefault="00B87C57" w:rsidP="0033580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b/>
          <w:sz w:val="20"/>
        </w:rPr>
      </w:pPr>
      <w:r w:rsidRPr="005B5B75">
        <w:rPr>
          <w:b/>
          <w:sz w:val="20"/>
        </w:rPr>
        <w:t>Autobus</w:t>
      </w:r>
      <w:r>
        <w:rPr>
          <w:b/>
          <w:sz w:val="20"/>
        </w:rPr>
        <w:t xml:space="preserve">: </w:t>
      </w:r>
      <w:r w:rsidRPr="005B5B75">
        <w:rPr>
          <w:rFonts w:cs="Times New Roman"/>
          <w:sz w:val="20"/>
        </w:rPr>
        <w:t>Veicolo destinato al trasporto di persone equipaggiati con più di nove posti compreso</w:t>
      </w:r>
      <w:r>
        <w:rPr>
          <w:rFonts w:cs="Times New Roman"/>
          <w:sz w:val="20"/>
        </w:rPr>
        <w:t xml:space="preserve"> i</w:t>
      </w:r>
      <w:r w:rsidRPr="005B5B75">
        <w:rPr>
          <w:rFonts w:cs="Times New Roman"/>
          <w:sz w:val="20"/>
        </w:rPr>
        <w:t>l conducente.</w:t>
      </w:r>
    </w:p>
    <w:p w14:paraId="2C1EF0CB" w14:textId="77777777" w:rsidR="00AC2B2E" w:rsidRDefault="00AC2B2E" w:rsidP="0033580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color w:val="000000"/>
          <w:sz w:val="20"/>
        </w:rPr>
      </w:pPr>
      <w:r w:rsidRPr="00AC2B2E">
        <w:rPr>
          <w:b/>
          <w:color w:val="000000"/>
          <w:sz w:val="20"/>
        </w:rPr>
        <w:t xml:space="preserve">Autostrada: </w:t>
      </w:r>
      <w:r>
        <w:rPr>
          <w:color w:val="000000"/>
          <w:sz w:val="20"/>
        </w:rPr>
        <w:t xml:space="preserve">strada extraurbana o urbana a carreggiate indipendenti o separate da spartitraffico invalicabile, ciascuna con almeno due corsie di marcia, eventuale banchina pavimentata a sinistra e corsia di emergenza o banchina pavimentata a destra, priva di intersezioni a raso e di accessi privati, dotata di recinzione e di sistemi di assistenza all'utente lungo l'intero tracciato, riservata alla circolazione di talune categorie di veicoli a motore e contraddistinta da appositi segnali di inizio e fine. </w:t>
      </w:r>
    </w:p>
    <w:p w14:paraId="3A087835" w14:textId="77777777" w:rsidR="00B87C57" w:rsidRPr="005B5B75" w:rsidRDefault="00B87C5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b/>
          <w:sz w:val="20"/>
        </w:rPr>
      </w:pPr>
      <w:r w:rsidRPr="005B5B75">
        <w:rPr>
          <w:rFonts w:cs="Times New Roman"/>
          <w:b/>
          <w:sz w:val="20"/>
        </w:rPr>
        <w:t>CARE database</w:t>
      </w:r>
      <w:r>
        <w:rPr>
          <w:rFonts w:cs="Times New Roman"/>
          <w:b/>
          <w:sz w:val="20"/>
        </w:rPr>
        <w:t xml:space="preserve">: </w:t>
      </w:r>
      <w:r w:rsidRPr="009966B8">
        <w:rPr>
          <w:rFonts w:cs="Times New Roman"/>
          <w:i/>
          <w:sz w:val="20"/>
        </w:rPr>
        <w:t>Community Road Accident</w:t>
      </w:r>
      <w:r w:rsidR="00C00293" w:rsidRPr="009966B8">
        <w:rPr>
          <w:rFonts w:cs="Times New Roman"/>
          <w:i/>
          <w:sz w:val="20"/>
        </w:rPr>
        <w:t>s</w:t>
      </w:r>
      <w:r w:rsidRPr="009966B8">
        <w:rPr>
          <w:rFonts w:cs="Times New Roman"/>
          <w:i/>
          <w:sz w:val="20"/>
        </w:rPr>
        <w:t xml:space="preserve"> Database</w:t>
      </w:r>
      <w:r w:rsidRPr="005B5B75">
        <w:rPr>
          <w:rFonts w:cs="Times New Roman"/>
          <w:sz w:val="20"/>
        </w:rPr>
        <w:t>: banca di dati comunitaria sugli incidenti stradali con lesioni a persone (Direttiva 93/704/CE)</w:t>
      </w:r>
    </w:p>
    <w:p w14:paraId="71F868A3" w14:textId="77777777" w:rsidR="001C440F" w:rsidRDefault="00B87C5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sz w:val="20"/>
        </w:rPr>
      </w:pPr>
      <w:r w:rsidRPr="005B5B75">
        <w:rPr>
          <w:rFonts w:cs="Times New Roman"/>
          <w:b/>
          <w:sz w:val="20"/>
        </w:rPr>
        <w:t>Bicicletta</w:t>
      </w:r>
      <w:r w:rsidR="001B7328">
        <w:rPr>
          <w:rFonts w:cs="Times New Roman"/>
          <w:b/>
          <w:sz w:val="20"/>
        </w:rPr>
        <w:t xml:space="preserve"> (o velocipede)</w:t>
      </w:r>
      <w:r>
        <w:rPr>
          <w:rFonts w:cs="Times New Roman"/>
          <w:b/>
          <w:sz w:val="20"/>
        </w:rPr>
        <w:t xml:space="preserve">: </w:t>
      </w:r>
      <w:r w:rsidRPr="005B5B75">
        <w:rPr>
          <w:rFonts w:cs="Times New Roman"/>
          <w:sz w:val="20"/>
        </w:rPr>
        <w:t>Veicolo con due o più ruote funzionante a propulsione esclusivamente muscolare, per mezzo di pedali o di analoghi dispositivi, azionato dalle persone che si trovano sul ve</w:t>
      </w:r>
      <w:r>
        <w:rPr>
          <w:rFonts w:cs="Times New Roman"/>
          <w:sz w:val="20"/>
        </w:rPr>
        <w:t>icolo</w:t>
      </w:r>
      <w:r w:rsidR="001C440F">
        <w:rPr>
          <w:rFonts w:cs="Times New Roman"/>
          <w:sz w:val="20"/>
        </w:rPr>
        <w:t>.</w:t>
      </w:r>
    </w:p>
    <w:p w14:paraId="61D317D2" w14:textId="77777777" w:rsidR="00454FEE" w:rsidRPr="00454FEE" w:rsidRDefault="00454FEE" w:rsidP="00454FE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sz w:val="20"/>
        </w:rPr>
      </w:pPr>
      <w:r w:rsidRPr="00454FEE">
        <w:rPr>
          <w:rFonts w:cs="Times New Roman"/>
          <w:b/>
          <w:sz w:val="20"/>
        </w:rPr>
        <w:t>Monopattino elettrico:</w:t>
      </w:r>
      <w:r>
        <w:rPr>
          <w:rFonts w:cs="Times New Roman"/>
          <w:b/>
          <w:sz w:val="20"/>
        </w:rPr>
        <w:t xml:space="preserve"> </w:t>
      </w:r>
      <w:r w:rsidR="0030333A">
        <w:rPr>
          <w:rFonts w:cs="Times New Roman"/>
          <w:sz w:val="20"/>
        </w:rPr>
        <w:t>equiparato</w:t>
      </w:r>
      <w:r w:rsidRPr="00454FEE">
        <w:rPr>
          <w:rFonts w:cs="Times New Roman"/>
          <w:sz w:val="20"/>
        </w:rPr>
        <w:t xml:space="preserve"> a velociped</w:t>
      </w:r>
      <w:r w:rsidR="0030333A">
        <w:rPr>
          <w:rFonts w:cs="Times New Roman"/>
          <w:sz w:val="20"/>
        </w:rPr>
        <w:t>e</w:t>
      </w:r>
      <w:r w:rsidRPr="00454FEE">
        <w:rPr>
          <w:rFonts w:cs="Times New Roman"/>
          <w:sz w:val="20"/>
        </w:rPr>
        <w:t>,</w:t>
      </w:r>
      <w:r w:rsidR="0030333A">
        <w:rPr>
          <w:rFonts w:cs="Times New Roman"/>
          <w:sz w:val="20"/>
        </w:rPr>
        <w:t xml:space="preserve"> veicolo con</w:t>
      </w:r>
      <w:r w:rsidRPr="00454FEE">
        <w:rPr>
          <w:rFonts w:cs="Times New Roman"/>
          <w:sz w:val="20"/>
        </w:rPr>
        <w:t xml:space="preserve"> potenza massima 500 W e con limiti di velocità 6 km/h o 30 km/h al variare delle aree dove circolano (comma 75 della Legge di bilancio 2020</w:t>
      </w:r>
      <w:r>
        <w:rPr>
          <w:rFonts w:cs="Times New Roman"/>
          <w:sz w:val="20"/>
        </w:rPr>
        <w:t xml:space="preserve"> DL </w:t>
      </w:r>
      <w:r>
        <w:rPr>
          <w:rStyle w:val="e24kjd"/>
          <w:color w:val="222222"/>
          <w:sz w:val="21"/>
          <w:szCs w:val="21"/>
        </w:rPr>
        <w:t>160/2019</w:t>
      </w:r>
      <w:r w:rsidRPr="00454FEE">
        <w:rPr>
          <w:rFonts w:cs="Times New Roman"/>
          <w:sz w:val="20"/>
        </w:rPr>
        <w:t>).</w:t>
      </w:r>
    </w:p>
    <w:p w14:paraId="7A45AEA0" w14:textId="77777777" w:rsidR="00B87C57" w:rsidRPr="005B5B75" w:rsidRDefault="00B87C5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b/>
          <w:sz w:val="20"/>
        </w:rPr>
      </w:pPr>
      <w:r w:rsidRPr="005B5B75">
        <w:rPr>
          <w:rFonts w:cs="Times New Roman"/>
          <w:b/>
          <w:sz w:val="20"/>
        </w:rPr>
        <w:t>Ciclomotore</w:t>
      </w:r>
      <w:r>
        <w:rPr>
          <w:rFonts w:cs="Times New Roman"/>
          <w:b/>
          <w:sz w:val="20"/>
        </w:rPr>
        <w:t xml:space="preserve">: </w:t>
      </w:r>
      <w:r w:rsidRPr="005B5B75">
        <w:rPr>
          <w:rFonts w:cs="Times New Roman"/>
          <w:sz w:val="20"/>
        </w:rPr>
        <w:t>Il veicolo a motore a due o tre ruote, di cilindrata inferiore o uguale a 50 cc, se termico, e con capacità di sviluppare su strada orizzontale una velocità fino a 45 km/h.</w:t>
      </w:r>
    </w:p>
    <w:p w14:paraId="5E491A12" w14:textId="77777777" w:rsidR="00B87C57" w:rsidRDefault="00B87C5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sz w:val="20"/>
        </w:rPr>
      </w:pPr>
      <w:r w:rsidRPr="005B5B75">
        <w:rPr>
          <w:b/>
          <w:sz w:val="20"/>
        </w:rPr>
        <w:t>Feriti</w:t>
      </w:r>
      <w:r>
        <w:rPr>
          <w:b/>
          <w:sz w:val="20"/>
        </w:rPr>
        <w:t xml:space="preserve">: </w:t>
      </w:r>
      <w:r w:rsidR="001C440F" w:rsidRPr="001C440F">
        <w:rPr>
          <w:sz w:val="20"/>
        </w:rPr>
        <w:t>Individui coinvol</w:t>
      </w:r>
      <w:r w:rsidR="001C440F">
        <w:rPr>
          <w:sz w:val="20"/>
        </w:rPr>
        <w:t>ti in incidenti stradali che hanno subito lesioni</w:t>
      </w:r>
      <w:r>
        <w:rPr>
          <w:sz w:val="20"/>
        </w:rPr>
        <w:t>.</w:t>
      </w:r>
    </w:p>
    <w:p w14:paraId="357A1EC0" w14:textId="77777777" w:rsidR="001C440F" w:rsidRPr="001C440F" w:rsidRDefault="008D7693" w:rsidP="00C515B8">
      <w:pPr>
        <w:pStyle w:val="Testonotaapidipagina"/>
        <w:spacing w:after="120"/>
        <w:jc w:val="both"/>
        <w:rPr>
          <w:rFonts w:ascii="Arial" w:hAnsi="Arial" w:cs="Arial"/>
        </w:rPr>
      </w:pPr>
      <w:r w:rsidRPr="001C440F">
        <w:rPr>
          <w:rFonts w:ascii="Arial" w:hAnsi="Arial" w:cs="Arial"/>
          <w:b/>
        </w:rPr>
        <w:t>Feriti gravi:</w:t>
      </w:r>
      <w:r w:rsidRPr="001C440F">
        <w:rPr>
          <w:b/>
        </w:rPr>
        <w:t xml:space="preserve"> </w:t>
      </w:r>
      <w:r w:rsidR="001C440F" w:rsidRPr="001C440F">
        <w:rPr>
          <w:rFonts w:ascii="Arial" w:hAnsi="Arial" w:cs="Arial"/>
        </w:rPr>
        <w:t>Il ferito grave si identifica con un livello MAIS3+</w:t>
      </w:r>
      <w:r w:rsidR="001C440F">
        <w:rPr>
          <w:rFonts w:ascii="Arial" w:hAnsi="Arial" w:cs="Arial"/>
        </w:rPr>
        <w:t xml:space="preserve"> (Scala</w:t>
      </w:r>
      <w:r w:rsidR="001C440F" w:rsidRPr="001C440F">
        <w:rPr>
          <w:rFonts w:ascii="Arial" w:hAnsi="Arial" w:cs="Arial"/>
        </w:rPr>
        <w:t xml:space="preserve"> dei traumi “</w:t>
      </w:r>
      <w:r w:rsidR="001C440F" w:rsidRPr="009966B8">
        <w:rPr>
          <w:rFonts w:ascii="Arial" w:hAnsi="Arial" w:cs="Arial"/>
          <w:i/>
        </w:rPr>
        <w:t>Maximum Abbreviated Injury Scale</w:t>
      </w:r>
      <w:r w:rsidR="001C440F">
        <w:rPr>
          <w:rFonts w:ascii="Arial" w:hAnsi="Arial" w:cs="Arial"/>
        </w:rPr>
        <w:t>”</w:t>
      </w:r>
      <w:r w:rsidR="00D00F80">
        <w:rPr>
          <w:rFonts w:ascii="Arial" w:hAnsi="Arial" w:cs="Arial"/>
        </w:rPr>
        <w:t xml:space="preserve"> </w:t>
      </w:r>
      <w:r w:rsidR="001C440F">
        <w:rPr>
          <w:rFonts w:ascii="Arial" w:hAnsi="Arial" w:cs="Arial"/>
        </w:rPr>
        <w:t>MAIS)</w:t>
      </w:r>
      <w:r w:rsidR="001C440F" w:rsidRPr="001C440F">
        <w:rPr>
          <w:rFonts w:ascii="Arial" w:hAnsi="Arial" w:cs="Arial"/>
        </w:rPr>
        <w:t>.</w:t>
      </w:r>
      <w:r w:rsidR="00D00F80">
        <w:rPr>
          <w:rFonts w:ascii="Arial" w:hAnsi="Arial" w:cs="Arial"/>
        </w:rPr>
        <w:t xml:space="preserve"> </w:t>
      </w:r>
      <w:r w:rsidR="00D00F80" w:rsidRPr="00D00F80">
        <w:rPr>
          <w:rFonts w:ascii="Arial" w:hAnsi="Arial" w:cs="Arial"/>
        </w:rPr>
        <w:t>Il livello di gravità viene misurato mediante una scala ordinale a 6 livelli. Le lesioni gravi sono individuate con il punteggio uguale o superiore a 3</w:t>
      </w:r>
      <w:r w:rsidR="00D00F80">
        <w:rPr>
          <w:rFonts w:ascii="Arial" w:hAnsi="Arial" w:cs="Arial"/>
        </w:rPr>
        <w:t>.</w:t>
      </w:r>
    </w:p>
    <w:p w14:paraId="28FA690B" w14:textId="77777777" w:rsidR="008D7693" w:rsidRDefault="00B87C5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sz w:val="20"/>
        </w:rPr>
      </w:pPr>
      <w:r w:rsidRPr="005B5B75">
        <w:rPr>
          <w:b/>
          <w:sz w:val="20"/>
        </w:rPr>
        <w:t>Incidente stradale</w:t>
      </w:r>
      <w:r>
        <w:rPr>
          <w:b/>
          <w:sz w:val="20"/>
        </w:rPr>
        <w:t xml:space="preserve">: </w:t>
      </w:r>
      <w:r w:rsidRPr="0045780D">
        <w:rPr>
          <w:sz w:val="20"/>
        </w:rPr>
        <w:t>L</w:t>
      </w:r>
      <w:r w:rsidRPr="005B5B75">
        <w:rPr>
          <w:sz w:val="20"/>
        </w:rPr>
        <w:t>a Convenzione di Vienna del 1968 definisce l’incidente stradale come il fatto verificatosi nelle vie o piazze aperte alla circolazione nel qual</w:t>
      </w:r>
      <w:r w:rsidR="008D7693">
        <w:rPr>
          <w:sz w:val="20"/>
        </w:rPr>
        <w:t xml:space="preserve">e risultano coinvolti veicoli </w:t>
      </w:r>
      <w:r w:rsidRPr="005B5B75">
        <w:rPr>
          <w:sz w:val="20"/>
        </w:rPr>
        <w:t xml:space="preserve">fermi o in movimento e dal quale siano derivate lesioni a persone. </w:t>
      </w:r>
    </w:p>
    <w:p w14:paraId="299C94CD" w14:textId="77777777" w:rsidR="00B87C57" w:rsidRPr="005B5B75" w:rsidRDefault="00B87C57" w:rsidP="00BF0CD5">
      <w:pPr>
        <w:rPr>
          <w:rFonts w:cs="Times New Roman"/>
          <w:b/>
          <w:sz w:val="20"/>
        </w:rPr>
      </w:pPr>
      <w:r w:rsidRPr="005B5B75">
        <w:rPr>
          <w:b/>
          <w:sz w:val="20"/>
        </w:rPr>
        <w:t>Morti</w:t>
      </w:r>
      <w:r>
        <w:rPr>
          <w:b/>
          <w:sz w:val="20"/>
        </w:rPr>
        <w:t xml:space="preserve">: </w:t>
      </w:r>
      <w:r w:rsidRPr="005B5B75">
        <w:rPr>
          <w:sz w:val="20"/>
        </w:rPr>
        <w:t xml:space="preserve">Sono definiti come il numero di persone decedute sul colpo o entro il trentesimo giorno a partire da quello in cui si </w:t>
      </w:r>
      <w:r w:rsidR="00B96FB7">
        <w:rPr>
          <w:sz w:val="20"/>
        </w:rPr>
        <w:t>è</w:t>
      </w:r>
      <w:r w:rsidR="00B96FB7" w:rsidRPr="005B5B75">
        <w:rPr>
          <w:sz w:val="20"/>
        </w:rPr>
        <w:t xml:space="preserve"> </w:t>
      </w:r>
      <w:r w:rsidRPr="005B5B75">
        <w:rPr>
          <w:sz w:val="20"/>
        </w:rPr>
        <w:t>verificato l’incidente. Tale definizione è stata adottata a decorrere dal 1° gennaio 1999 mentre nel passato (fino al 31 dicembre 1998) erano considerati solo i decessi avvenuti entro sette giorni dal momento del sinistro stradale.</w:t>
      </w:r>
    </w:p>
    <w:p w14:paraId="77055316" w14:textId="77777777" w:rsidR="00B87C57" w:rsidRDefault="00B87C5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sz w:val="20"/>
        </w:rPr>
      </w:pPr>
      <w:r w:rsidRPr="005B5B75">
        <w:rPr>
          <w:rFonts w:cs="Times New Roman"/>
          <w:b/>
          <w:sz w:val="20"/>
        </w:rPr>
        <w:t>Motociclo</w:t>
      </w:r>
      <w:r>
        <w:rPr>
          <w:rFonts w:cs="Times New Roman"/>
          <w:b/>
          <w:sz w:val="20"/>
        </w:rPr>
        <w:t xml:space="preserve">: </w:t>
      </w:r>
      <w:r w:rsidRPr="005B5B75">
        <w:rPr>
          <w:sz w:val="20"/>
        </w:rPr>
        <w:t>Il veicolo a motore a due ruote di cilindrata superiore a 50 cc, destinato al trasporto di persone, in numero non superiore a due compreso il conducente.</w:t>
      </w:r>
    </w:p>
    <w:p w14:paraId="2251724C" w14:textId="77777777" w:rsidR="00C121A7" w:rsidRPr="005B5B75" w:rsidRDefault="00C121A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b/>
          <w:sz w:val="20"/>
        </w:rPr>
      </w:pPr>
      <w:r>
        <w:rPr>
          <w:b/>
          <w:sz w:val="20"/>
        </w:rPr>
        <w:t>R</w:t>
      </w:r>
      <w:r w:rsidRPr="00C121A7">
        <w:rPr>
          <w:b/>
          <w:sz w:val="20"/>
        </w:rPr>
        <w:t>apporto tra feriti gravi e morti in incidente stradale</w:t>
      </w:r>
      <w:r>
        <w:rPr>
          <w:b/>
          <w:sz w:val="20"/>
        </w:rPr>
        <w:t xml:space="preserve">: </w:t>
      </w:r>
      <w:r w:rsidRPr="00C121A7">
        <w:rPr>
          <w:sz w:val="20"/>
        </w:rPr>
        <w:t>indicatore utilizzato per</w:t>
      </w:r>
      <w:r w:rsidRPr="00277256">
        <w:rPr>
          <w:sz w:val="20"/>
        </w:rPr>
        <w:t xml:space="preserve"> misura</w:t>
      </w:r>
      <w:r>
        <w:rPr>
          <w:sz w:val="20"/>
        </w:rPr>
        <w:t>re</w:t>
      </w:r>
      <w:r w:rsidRPr="00277256">
        <w:rPr>
          <w:sz w:val="20"/>
        </w:rPr>
        <w:t xml:space="preserve"> il numero di feriti gravi </w:t>
      </w:r>
      <w:r w:rsidR="00D00F80">
        <w:rPr>
          <w:sz w:val="20"/>
        </w:rPr>
        <w:t xml:space="preserve">per </w:t>
      </w:r>
      <w:r w:rsidRPr="00277256">
        <w:rPr>
          <w:sz w:val="20"/>
        </w:rPr>
        <w:t>ogni decesso avvenuto per incidente stradale</w:t>
      </w:r>
      <w:r>
        <w:rPr>
          <w:sz w:val="20"/>
        </w:rPr>
        <w:t>.</w:t>
      </w:r>
    </w:p>
    <w:p w14:paraId="299A9877" w14:textId="77777777" w:rsidR="00EC51D6" w:rsidRDefault="00B87C57" w:rsidP="00C515B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sz w:val="20"/>
        </w:rPr>
      </w:pPr>
      <w:r w:rsidRPr="005B5B75">
        <w:rPr>
          <w:b/>
          <w:sz w:val="20"/>
        </w:rPr>
        <w:t>Rete stradale</w:t>
      </w:r>
      <w:r>
        <w:rPr>
          <w:b/>
          <w:sz w:val="20"/>
        </w:rPr>
        <w:t xml:space="preserve">: </w:t>
      </w:r>
      <w:r w:rsidRPr="005B5B75">
        <w:rPr>
          <w:sz w:val="20"/>
        </w:rPr>
        <w:t>L’insieme di tronchi e nodi di vie di comunicazione essenzialmente destinate alla circolazione delle persone, degli animali e dei veicoli terrestri a guida libera</w:t>
      </w:r>
      <w:r>
        <w:rPr>
          <w:sz w:val="20"/>
        </w:rPr>
        <w:t>.</w:t>
      </w:r>
    </w:p>
    <w:p w14:paraId="2AD7D251" w14:textId="77777777" w:rsidR="00AC2B2E" w:rsidRDefault="00AC2B2E" w:rsidP="00AC2B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color w:val="000000"/>
          <w:sz w:val="20"/>
        </w:rPr>
      </w:pPr>
      <w:r w:rsidRPr="00AC2B2E">
        <w:rPr>
          <w:b/>
          <w:color w:val="000000"/>
          <w:sz w:val="20"/>
        </w:rPr>
        <w:t xml:space="preserve">Strada extraurbana principale: </w:t>
      </w:r>
      <w:r>
        <w:rPr>
          <w:color w:val="000000"/>
          <w:sz w:val="20"/>
        </w:rPr>
        <w:t>strada a carreggiate indipendenti o separate da spartitraffico invalicabile, ciascuna con almeno due corsie di marcia e banchina pavimentata a destra, priva di intersezioni a raso, con accessi alle proprietà laterali coordinati, contraddistinta dagli appositi segnali di inizio e fine, riservata alla circolazione di talune categorie di veicoli a motore.</w:t>
      </w:r>
    </w:p>
    <w:p w14:paraId="34AC3309" w14:textId="77777777" w:rsidR="00AC2B2E" w:rsidRDefault="00AC2B2E" w:rsidP="00AC2B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color w:val="000000"/>
          <w:sz w:val="20"/>
        </w:rPr>
      </w:pPr>
      <w:r w:rsidRPr="00AC2B2E">
        <w:rPr>
          <w:b/>
          <w:color w:val="000000"/>
          <w:sz w:val="20"/>
        </w:rPr>
        <w:t>Strada extraurbana secondaria:</w:t>
      </w:r>
      <w:r>
        <w:rPr>
          <w:color w:val="000000"/>
          <w:sz w:val="20"/>
        </w:rPr>
        <w:t xml:space="preserve"> strada ad unica carreggiata con almeno una corsia per senso di marcia e banchine. </w:t>
      </w:r>
    </w:p>
    <w:p w14:paraId="4D2EB04B" w14:textId="77777777" w:rsidR="00AC2B2E" w:rsidRDefault="00AC2B2E" w:rsidP="00AC2B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color w:val="000000"/>
          <w:sz w:val="20"/>
        </w:rPr>
      </w:pPr>
      <w:r w:rsidRPr="00AC2B2E">
        <w:rPr>
          <w:b/>
          <w:color w:val="000000"/>
          <w:sz w:val="20"/>
        </w:rPr>
        <w:t>Strada urbana di scorrimento:</w:t>
      </w:r>
      <w:r>
        <w:rPr>
          <w:color w:val="000000"/>
          <w:sz w:val="20"/>
        </w:rPr>
        <w:t xml:space="preserve"> strada a carreggiate indipendenti o separate da spartitraffico, ciascuna con almeno due corsie di marcia, e una eventuale corsia riservata ai mezzi pubblici, banchina pavimentata a destra e marciapiedi, con le eventuali int</w:t>
      </w:r>
      <w:r w:rsidR="001339B6">
        <w:rPr>
          <w:color w:val="000000"/>
          <w:sz w:val="20"/>
        </w:rPr>
        <w:t>ersezioni a raso semaforizzate.</w:t>
      </w:r>
    </w:p>
    <w:p w14:paraId="132E06CA" w14:textId="77777777" w:rsidR="00AC2B2E" w:rsidRDefault="00AC2B2E" w:rsidP="00AC2B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ascii="Arial Narrow" w:hAnsi="Arial Narrow"/>
          <w:sz w:val="15"/>
          <w:szCs w:val="15"/>
        </w:rPr>
      </w:pPr>
      <w:r w:rsidRPr="00AC2B2E">
        <w:rPr>
          <w:b/>
          <w:color w:val="000000"/>
          <w:sz w:val="20"/>
        </w:rPr>
        <w:t xml:space="preserve">Strada urbana di quartiere: </w:t>
      </w:r>
      <w:r>
        <w:rPr>
          <w:color w:val="000000"/>
          <w:sz w:val="20"/>
        </w:rPr>
        <w:t>strada ad unica carreggiata con almeno due corsie, banchine pavimentate e marciapiedi; per la sosta sono previste aree attrezzate con apposita corsia di manovra, esterna alla carreggiata.</w:t>
      </w:r>
    </w:p>
    <w:p w14:paraId="67C7292E" w14:textId="77777777" w:rsidR="00D00F80" w:rsidRPr="005B5B75" w:rsidRDefault="00D00F80" w:rsidP="00D00F8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sz w:val="20"/>
        </w:rPr>
      </w:pPr>
      <w:r>
        <w:rPr>
          <w:rFonts w:cs="Times New Roman"/>
          <w:b/>
          <w:sz w:val="20"/>
        </w:rPr>
        <w:t xml:space="preserve">Tasso di mortalità stradale: </w:t>
      </w:r>
      <w:r>
        <w:rPr>
          <w:sz w:val="20"/>
        </w:rPr>
        <w:t>M</w:t>
      </w:r>
      <w:r w:rsidRPr="002F75E7">
        <w:rPr>
          <w:sz w:val="20"/>
        </w:rPr>
        <w:t>orti</w:t>
      </w:r>
      <w:r>
        <w:rPr>
          <w:sz w:val="20"/>
        </w:rPr>
        <w:t xml:space="preserve"> per incidente stradale rapportati alla </w:t>
      </w:r>
      <w:r w:rsidRPr="002F75E7">
        <w:rPr>
          <w:sz w:val="20"/>
        </w:rPr>
        <w:t>popolazione media residente</w:t>
      </w:r>
      <w:r>
        <w:rPr>
          <w:sz w:val="20"/>
        </w:rPr>
        <w:t xml:space="preserve"> </w:t>
      </w:r>
      <w:r w:rsidRPr="002F75E7">
        <w:rPr>
          <w:sz w:val="20"/>
        </w:rPr>
        <w:t>(per 1.000.000</w:t>
      </w:r>
      <w:r>
        <w:rPr>
          <w:sz w:val="20"/>
        </w:rPr>
        <w:t xml:space="preserve"> o 100</w:t>
      </w:r>
      <w:r w:rsidR="00855D55">
        <w:rPr>
          <w:sz w:val="20"/>
        </w:rPr>
        <w:t>mila</w:t>
      </w:r>
      <w:r w:rsidRPr="002F75E7">
        <w:rPr>
          <w:sz w:val="20"/>
        </w:rPr>
        <w:t>)</w:t>
      </w:r>
      <w:r>
        <w:rPr>
          <w:sz w:val="20"/>
        </w:rPr>
        <w:t>.</w:t>
      </w:r>
    </w:p>
    <w:p w14:paraId="5E83B395" w14:textId="77777777" w:rsidR="00BA3A41" w:rsidRDefault="00B87C57" w:rsidP="00AC2B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sz w:val="20"/>
        </w:rPr>
      </w:pPr>
      <w:r w:rsidRPr="005B5B75">
        <w:rPr>
          <w:rFonts w:cs="Times New Roman"/>
          <w:b/>
          <w:sz w:val="20"/>
        </w:rPr>
        <w:t>Veicolo</w:t>
      </w:r>
      <w:r>
        <w:rPr>
          <w:rFonts w:cs="Times New Roman"/>
          <w:b/>
          <w:sz w:val="20"/>
        </w:rPr>
        <w:t xml:space="preserve">: </w:t>
      </w:r>
      <w:r w:rsidRPr="005B5B75">
        <w:rPr>
          <w:rFonts w:cs="Times New Roman"/>
          <w:sz w:val="20"/>
        </w:rPr>
        <w:t>La macchina di qualsiasi specie, circolante per strada, guidata dall’uomo o trainata da altri mezzi. Non rientrano nella definizione di veicolo quelle per uso di bambini o di invalidi</w:t>
      </w:r>
      <w:r w:rsidR="00BA3A41">
        <w:rPr>
          <w:rFonts w:cs="Times New Roman"/>
          <w:sz w:val="20"/>
        </w:rPr>
        <w:t>.</w:t>
      </w:r>
    </w:p>
    <w:p w14:paraId="7D8D4E37" w14:textId="77777777" w:rsidR="00E27DAC" w:rsidRDefault="00B87C57" w:rsidP="00BB025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jc w:val="both"/>
        <w:outlineLvl w:val="0"/>
        <w:rPr>
          <w:rFonts w:cs="Times New Roman"/>
          <w:b/>
          <w:sz w:val="20"/>
        </w:rPr>
      </w:pPr>
      <w:r w:rsidRPr="00F53CD7">
        <w:rPr>
          <w:rFonts w:cs="Times New Roman"/>
          <w:b/>
          <w:sz w:val="20"/>
        </w:rPr>
        <w:t>Variazione percentuale</w:t>
      </w:r>
      <w:r>
        <w:rPr>
          <w:rFonts w:cs="Times New Roman"/>
          <w:b/>
          <w:sz w:val="20"/>
        </w:rPr>
        <w:t xml:space="preserve">: </w:t>
      </w:r>
      <w:r w:rsidRPr="00F53CD7">
        <w:rPr>
          <w:rFonts w:cs="Times New Roman"/>
          <w:sz w:val="20"/>
        </w:rPr>
        <w:t>La variazione</w:t>
      </w:r>
      <w:r>
        <w:rPr>
          <w:rFonts w:cs="Times New Roman"/>
          <w:sz w:val="20"/>
        </w:rPr>
        <w:t xml:space="preserve"> percentuale</w:t>
      </w:r>
      <w:r w:rsidRPr="00F53CD7">
        <w:rPr>
          <w:rFonts w:cs="Times New Roman"/>
          <w:sz w:val="20"/>
        </w:rPr>
        <w:t xml:space="preserve"> tra due dati </w:t>
      </w:r>
      <w:r>
        <w:rPr>
          <w:rFonts w:cs="Times New Roman"/>
          <w:sz w:val="20"/>
        </w:rPr>
        <w:t xml:space="preserve">è </w:t>
      </w:r>
      <w:r w:rsidRPr="00F53CD7">
        <w:rPr>
          <w:rFonts w:cs="Times New Roman"/>
          <w:sz w:val="20"/>
        </w:rPr>
        <w:t xml:space="preserve">calcolata come la differenza fra un dato al tempo t </w:t>
      </w:r>
      <w:r>
        <w:rPr>
          <w:rFonts w:cs="Times New Roman"/>
          <w:sz w:val="20"/>
        </w:rPr>
        <w:t>e</w:t>
      </w:r>
      <w:r w:rsidRPr="00F53CD7">
        <w:rPr>
          <w:rFonts w:cs="Times New Roman"/>
          <w:sz w:val="20"/>
        </w:rPr>
        <w:t xml:space="preserve"> il dato al tempo t-1 (o t-x), rapportata al dato al tempo t-1</w:t>
      </w:r>
      <w:r>
        <w:rPr>
          <w:rFonts w:cs="Times New Roman"/>
          <w:sz w:val="20"/>
        </w:rPr>
        <w:t xml:space="preserve"> </w:t>
      </w:r>
      <w:r w:rsidRPr="00F53CD7">
        <w:rPr>
          <w:rFonts w:cs="Times New Roman"/>
          <w:sz w:val="20"/>
        </w:rPr>
        <w:t>(o t-x)</w:t>
      </w:r>
      <w:r>
        <w:rPr>
          <w:rFonts w:cs="Times New Roman"/>
          <w:sz w:val="20"/>
        </w:rPr>
        <w:t>,</w:t>
      </w:r>
      <w:r w:rsidRPr="00F53CD7">
        <w:rPr>
          <w:rFonts w:cs="Times New Roman"/>
          <w:sz w:val="20"/>
        </w:rPr>
        <w:t xml:space="preserve"> moltiplicata per 100</w:t>
      </w:r>
      <w:r>
        <w:rPr>
          <w:rFonts w:cs="Times New Roman"/>
          <w:sz w:val="20"/>
        </w:rPr>
        <w:t>.</w:t>
      </w:r>
      <w:r w:rsidR="00D00F80" w:rsidRPr="00D00F80">
        <w:rPr>
          <w:rFonts w:cs="Times New Roman"/>
          <w:b/>
          <w:sz w:val="20"/>
        </w:rPr>
        <w:t xml:space="preserve"> </w:t>
      </w:r>
    </w:p>
    <w:p w14:paraId="30FE942F" w14:textId="77777777" w:rsidR="00E27DAC" w:rsidRPr="00595BC1" w:rsidRDefault="00E27DAC" w:rsidP="00F52AE6">
      <w:pPr>
        <w:tabs>
          <w:tab w:val="left" w:pos="-1134"/>
          <w:tab w:val="left" w:pos="-568"/>
          <w:tab w:val="left" w:pos="709"/>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rPr>
          <w:b/>
          <w:sz w:val="28"/>
          <w:szCs w:val="28"/>
        </w:rPr>
      </w:pPr>
      <w:r>
        <w:rPr>
          <w:rFonts w:cs="Times New Roman"/>
          <w:b/>
          <w:sz w:val="20"/>
        </w:rPr>
        <w:br w:type="page"/>
      </w:r>
      <w:r w:rsidRPr="00595BC1">
        <w:rPr>
          <w:b/>
          <w:sz w:val="28"/>
          <w:szCs w:val="28"/>
        </w:rPr>
        <w:lastRenderedPageBreak/>
        <w:t>Nota metodologica</w:t>
      </w:r>
    </w:p>
    <w:p w14:paraId="3187A0D2" w14:textId="77777777" w:rsidR="00E27DAC" w:rsidRPr="00CD2E34" w:rsidRDefault="00E27DAC" w:rsidP="00F52AE6">
      <w:pPr>
        <w:tabs>
          <w:tab w:val="left" w:pos="-1134"/>
          <w:tab w:val="left" w:pos="-568"/>
          <w:tab w:val="left" w:pos="709"/>
          <w:tab w:val="left" w:pos="1130"/>
          <w:tab w:val="left" w:pos="1696"/>
          <w:tab w:val="left" w:pos="2262"/>
          <w:tab w:val="left" w:pos="2828"/>
          <w:tab w:val="left" w:pos="3394"/>
          <w:tab w:val="left" w:pos="3960"/>
          <w:tab w:val="left" w:pos="4526"/>
          <w:tab w:val="left" w:pos="5092"/>
          <w:tab w:val="left" w:pos="5658"/>
          <w:tab w:val="left" w:pos="6224"/>
          <w:tab w:val="left" w:pos="6790"/>
          <w:tab w:val="left" w:pos="7922"/>
          <w:tab w:val="left" w:pos="8488"/>
          <w:tab w:val="left" w:pos="9054"/>
          <w:tab w:val="left" w:pos="9620"/>
        </w:tabs>
        <w:spacing w:after="120"/>
        <w:rPr>
          <w:b/>
          <w:sz w:val="28"/>
          <w:szCs w:val="28"/>
        </w:rPr>
      </w:pPr>
      <w:r w:rsidRPr="00CD2E34">
        <w:rPr>
          <w:b/>
          <w:sz w:val="28"/>
          <w:szCs w:val="28"/>
        </w:rPr>
        <w:t>Rilevazione degli incidenti stradali con lesioni a persone</w:t>
      </w:r>
    </w:p>
    <w:p w14:paraId="3B3178A6" w14:textId="77777777" w:rsidR="00E27DAC" w:rsidRDefault="00E27DAC" w:rsidP="00F52AE6">
      <w:pPr>
        <w:pStyle w:val="Rientrocorpodeltesto"/>
        <w:spacing w:after="120"/>
        <w:ind w:firstLine="0"/>
        <w:rPr>
          <w:b/>
          <w:bCs/>
          <w:sz w:val="22"/>
          <w:szCs w:val="22"/>
        </w:rPr>
      </w:pPr>
    </w:p>
    <w:p w14:paraId="73EE4268" w14:textId="77777777" w:rsidR="00E27DAC" w:rsidRPr="00636D6C" w:rsidRDefault="00E27DAC" w:rsidP="00F52AE6">
      <w:pPr>
        <w:pStyle w:val="Rientrocorpodeltesto"/>
        <w:spacing w:after="120"/>
        <w:ind w:firstLine="0"/>
        <w:rPr>
          <w:b/>
          <w:bCs/>
          <w:sz w:val="22"/>
          <w:szCs w:val="22"/>
        </w:rPr>
      </w:pPr>
      <w:r w:rsidRPr="00636D6C">
        <w:rPr>
          <w:b/>
          <w:bCs/>
          <w:sz w:val="22"/>
          <w:szCs w:val="22"/>
        </w:rPr>
        <w:t xml:space="preserve">Introduzione </w:t>
      </w:r>
    </w:p>
    <w:p w14:paraId="16768246" w14:textId="77777777" w:rsidR="00E27DAC" w:rsidRPr="00DB67B0" w:rsidRDefault="00E27DAC" w:rsidP="00F52AE6">
      <w:pPr>
        <w:pStyle w:val="Corpodeltesto2"/>
        <w:spacing w:after="120"/>
      </w:pPr>
      <w:r w:rsidRPr="00DB67B0">
        <w:t>L’informazione statistica sull’incidentalità</w:t>
      </w:r>
      <w:r>
        <w:t xml:space="preserve"> stradale</w:t>
      </w:r>
      <w:r w:rsidRPr="00DB67B0">
        <w:t xml:space="preserve"> è </w:t>
      </w:r>
      <w:r>
        <w:t>prodotta</w:t>
      </w:r>
      <w:r w:rsidRPr="00DB67B0">
        <w:t xml:space="preserve"> dall’Istat </w:t>
      </w:r>
      <w:r>
        <w:t>sulla base di</w:t>
      </w:r>
      <w:r w:rsidRPr="00DB67B0">
        <w:t xml:space="preserve"> una rilevazione di tutti gli incidenti stradali verificatisi sul territorio nazionale che hanno causato lesioni alle persone (morti entro il trentesimo giorno o</w:t>
      </w:r>
      <w:r>
        <w:t>ppure</w:t>
      </w:r>
      <w:r w:rsidRPr="00DB67B0">
        <w:t xml:space="preserve"> feriti). Ent</w:t>
      </w:r>
      <w:r>
        <w:t>i</w:t>
      </w:r>
      <w:r w:rsidRPr="00DB67B0">
        <w:t xml:space="preserve"> compartecipant</w:t>
      </w:r>
      <w:r>
        <w:t>i</w:t>
      </w:r>
      <w:r w:rsidRPr="00DB67B0">
        <w:t xml:space="preserve"> all’indagine </w:t>
      </w:r>
      <w:r>
        <w:t>sono</w:t>
      </w:r>
      <w:r w:rsidRPr="00DB67B0">
        <w:t xml:space="preserve"> l’</w:t>
      </w:r>
      <w:r w:rsidR="00F75384" w:rsidRPr="00DB67B0">
        <w:t xml:space="preserve">ACI </w:t>
      </w:r>
      <w:r w:rsidRPr="00DB67B0">
        <w:t>(Automobile Club d’Italia)</w:t>
      </w:r>
      <w:r>
        <w:t>, alcune Regioni e le Province Autonome, secondo le modalità previste da Protocolli di Intesa e Convenzioni. La raccolta delle informazioni prevede</w:t>
      </w:r>
      <w:r w:rsidRPr="00DB67B0">
        <w:t xml:space="preserve"> la collaborazione di Organi pubblic</w:t>
      </w:r>
      <w:r>
        <w:t>i a competenza locale (Polizia S</w:t>
      </w:r>
      <w:r w:rsidRPr="00DB67B0">
        <w:t>tradale, Carabinieri, Polizia locale o municipale</w:t>
      </w:r>
      <w:r>
        <w:t xml:space="preserve">, </w:t>
      </w:r>
      <w:r w:rsidRPr="00DB67B0">
        <w:t>Polizia provinciale</w:t>
      </w:r>
      <w:r>
        <w:t xml:space="preserve"> e altri organismi</w:t>
      </w:r>
      <w:r w:rsidRPr="00DB67B0">
        <w:t>)</w:t>
      </w:r>
      <w:r>
        <w:t>,</w:t>
      </w:r>
      <w:r w:rsidRPr="00DB67B0">
        <w:t xml:space="preserve"> in relazione ai compiti </w:t>
      </w:r>
      <w:r>
        <w:t>assolti</w:t>
      </w:r>
      <w:r w:rsidRPr="00DB67B0">
        <w:t xml:space="preserve"> nei riguardi della disciplina del traffico e della circolazione</w:t>
      </w:r>
      <w:r>
        <w:t>.</w:t>
      </w:r>
    </w:p>
    <w:p w14:paraId="5B707FE2" w14:textId="77777777" w:rsidR="00E27DAC" w:rsidRPr="001104F2" w:rsidRDefault="00E27DAC" w:rsidP="00F52AE6">
      <w:pPr>
        <w:pStyle w:val="Titolo1"/>
        <w:spacing w:after="120"/>
        <w:jc w:val="both"/>
        <w:rPr>
          <w:rFonts w:ascii="Arial" w:hAnsi="Arial" w:cs="Arial"/>
          <w:i w:val="0"/>
          <w:sz w:val="20"/>
        </w:rPr>
      </w:pPr>
      <w:r w:rsidRPr="007746FB">
        <w:rPr>
          <w:rFonts w:ascii="Arial" w:hAnsi="Arial"/>
          <w:i w:val="0"/>
          <w:sz w:val="20"/>
        </w:rPr>
        <w:t>G</w:t>
      </w:r>
      <w:r w:rsidRPr="007746FB">
        <w:rPr>
          <w:rFonts w:ascii="Arial" w:hAnsi="Arial" w:cs="Arial"/>
          <w:i w:val="0"/>
          <w:sz w:val="20"/>
        </w:rPr>
        <w:t>razie ad una stretta collaborazione tra esperti dell’Istat, del Ministero della Salute e del Ministero delle Infrast</w:t>
      </w:r>
      <w:r>
        <w:rPr>
          <w:rFonts w:ascii="Arial" w:hAnsi="Arial" w:cs="Arial"/>
          <w:i w:val="0"/>
          <w:sz w:val="20"/>
        </w:rPr>
        <w:t>rutture e dei Trasporti, viene rilasciato, a partire dal 2015, i</w:t>
      </w:r>
      <w:r w:rsidRPr="007746FB">
        <w:rPr>
          <w:rFonts w:ascii="Arial" w:hAnsi="Arial" w:cs="Arial"/>
          <w:i w:val="0"/>
          <w:sz w:val="20"/>
        </w:rPr>
        <w:t xml:space="preserve">l </w:t>
      </w:r>
      <w:r>
        <w:rPr>
          <w:rFonts w:ascii="Arial" w:hAnsi="Arial" w:cs="Arial"/>
          <w:i w:val="0"/>
          <w:sz w:val="20"/>
        </w:rPr>
        <w:t xml:space="preserve">dato sul </w:t>
      </w:r>
      <w:r w:rsidRPr="007746FB">
        <w:rPr>
          <w:rFonts w:ascii="Arial" w:hAnsi="Arial" w:cs="Arial"/>
          <w:i w:val="0"/>
          <w:sz w:val="20"/>
        </w:rPr>
        <w:t>numero d</w:t>
      </w:r>
      <w:r>
        <w:rPr>
          <w:rFonts w:ascii="Arial" w:hAnsi="Arial" w:cs="Arial"/>
          <w:i w:val="0"/>
          <w:sz w:val="20"/>
        </w:rPr>
        <w:t>e</w:t>
      </w:r>
      <w:r w:rsidRPr="007746FB">
        <w:rPr>
          <w:rFonts w:ascii="Arial" w:hAnsi="Arial" w:cs="Arial"/>
          <w:i w:val="0"/>
          <w:sz w:val="20"/>
        </w:rPr>
        <w:t>i feriti gravi in incidente stradale</w:t>
      </w:r>
      <w:r>
        <w:rPr>
          <w:rFonts w:ascii="Arial" w:hAnsi="Arial" w:cs="Arial"/>
          <w:i w:val="0"/>
          <w:sz w:val="20"/>
        </w:rPr>
        <w:t xml:space="preserve">. </w:t>
      </w:r>
      <w:r w:rsidRPr="001104F2">
        <w:rPr>
          <w:rFonts w:ascii="Arial" w:hAnsi="Arial" w:cs="Arial"/>
          <w:i w:val="0"/>
          <w:sz w:val="20"/>
        </w:rPr>
        <w:t xml:space="preserve">Seguendo le raccomandazioni </w:t>
      </w:r>
      <w:r>
        <w:rPr>
          <w:rFonts w:ascii="Arial" w:hAnsi="Arial" w:cs="Arial"/>
          <w:i w:val="0"/>
          <w:sz w:val="20"/>
        </w:rPr>
        <w:t>della Commissione europea</w:t>
      </w:r>
      <w:r w:rsidRPr="001104F2">
        <w:rPr>
          <w:rFonts w:ascii="Arial" w:hAnsi="Arial" w:cs="Arial"/>
          <w:i w:val="0"/>
          <w:sz w:val="20"/>
        </w:rPr>
        <w:t xml:space="preserve">, l’Italia </w:t>
      </w:r>
      <w:r>
        <w:rPr>
          <w:rFonts w:ascii="Arial" w:hAnsi="Arial" w:cs="Arial"/>
          <w:i w:val="0"/>
          <w:sz w:val="20"/>
        </w:rPr>
        <w:t>effettua il calcolo del</w:t>
      </w:r>
      <w:r w:rsidRPr="001104F2">
        <w:rPr>
          <w:rFonts w:ascii="Arial" w:hAnsi="Arial" w:cs="Arial"/>
          <w:i w:val="0"/>
          <w:sz w:val="20"/>
        </w:rPr>
        <w:t xml:space="preserve"> numero dei feriti gravi a partire dalle informazioni presenti sulle Schede di Dimissione Ospedaliera (fonte Ministero della Salute</w:t>
      </w:r>
      <w:r>
        <w:rPr>
          <w:rFonts w:ascii="Arial" w:hAnsi="Arial" w:cs="Arial"/>
          <w:i w:val="0"/>
          <w:sz w:val="20"/>
        </w:rPr>
        <w:t>)</w:t>
      </w:r>
      <w:r w:rsidRPr="001104F2">
        <w:rPr>
          <w:rFonts w:ascii="Arial" w:hAnsi="Arial" w:cs="Arial"/>
          <w:i w:val="0"/>
          <w:sz w:val="20"/>
        </w:rPr>
        <w:t xml:space="preserve">. </w:t>
      </w:r>
    </w:p>
    <w:p w14:paraId="05E6F3BF" w14:textId="77777777" w:rsidR="00E27DAC" w:rsidRDefault="00E27DAC" w:rsidP="00F52AE6">
      <w:pPr>
        <w:pStyle w:val="Titolo1"/>
        <w:jc w:val="both"/>
        <w:rPr>
          <w:rFonts w:ascii="Arial" w:hAnsi="Arial" w:cs="Arial"/>
          <w:i w:val="0"/>
          <w:iCs w:val="0"/>
          <w:sz w:val="20"/>
        </w:rPr>
      </w:pPr>
      <w:r>
        <w:rPr>
          <w:rFonts w:ascii="Arial" w:hAnsi="Arial" w:cs="Arial"/>
          <w:i w:val="0"/>
          <w:iCs w:val="0"/>
          <w:sz w:val="20"/>
        </w:rPr>
        <w:t>S</w:t>
      </w:r>
      <w:r w:rsidRPr="007746FB">
        <w:rPr>
          <w:rFonts w:ascii="Arial" w:hAnsi="Arial" w:cs="Arial"/>
          <w:i w:val="0"/>
          <w:iCs w:val="0"/>
          <w:sz w:val="20"/>
        </w:rPr>
        <w:t xml:space="preserve">ono </w:t>
      </w:r>
      <w:r>
        <w:rPr>
          <w:rFonts w:ascii="Arial" w:hAnsi="Arial" w:cs="Arial"/>
          <w:i w:val="0"/>
          <w:iCs w:val="0"/>
          <w:sz w:val="20"/>
        </w:rPr>
        <w:t>incluse</w:t>
      </w:r>
      <w:r w:rsidRPr="007746FB">
        <w:rPr>
          <w:rFonts w:ascii="Arial" w:hAnsi="Arial" w:cs="Arial"/>
          <w:i w:val="0"/>
          <w:iCs w:val="0"/>
          <w:sz w:val="20"/>
        </w:rPr>
        <w:t>,</w:t>
      </w:r>
      <w:r>
        <w:rPr>
          <w:rFonts w:ascii="Arial" w:hAnsi="Arial" w:cs="Arial"/>
          <w:i w:val="0"/>
          <w:iCs w:val="0"/>
          <w:sz w:val="20"/>
        </w:rPr>
        <w:t xml:space="preserve"> inoltre,</w:t>
      </w:r>
      <w:r w:rsidRPr="007746FB">
        <w:rPr>
          <w:rFonts w:ascii="Arial" w:hAnsi="Arial" w:cs="Arial"/>
          <w:i w:val="0"/>
          <w:iCs w:val="0"/>
          <w:sz w:val="20"/>
        </w:rPr>
        <w:t xml:space="preserve"> a corredo dei tradizionali indicatori sugli incidenti stradali, anche le informazioni sulle violazioni agli articoli del Codice della Strada, contestate dai singoli Organi di rilevazione. Le informazioni si basano sui dati </w:t>
      </w:r>
      <w:r>
        <w:rPr>
          <w:rFonts w:ascii="Arial" w:hAnsi="Arial" w:cs="Arial"/>
          <w:i w:val="0"/>
          <w:iCs w:val="0"/>
          <w:sz w:val="20"/>
        </w:rPr>
        <w:t>forniti dalla</w:t>
      </w:r>
      <w:r w:rsidRPr="007746FB">
        <w:rPr>
          <w:rFonts w:ascii="Arial" w:hAnsi="Arial" w:cs="Arial"/>
          <w:i w:val="0"/>
          <w:iCs w:val="0"/>
          <w:sz w:val="20"/>
        </w:rPr>
        <w:t xml:space="preserve"> Polizia stradale</w:t>
      </w:r>
      <w:r>
        <w:rPr>
          <w:rFonts w:ascii="Arial" w:hAnsi="Arial" w:cs="Arial"/>
          <w:i w:val="0"/>
          <w:iCs w:val="0"/>
          <w:sz w:val="20"/>
        </w:rPr>
        <w:t xml:space="preserve"> e dai Carabinieri</w:t>
      </w:r>
      <w:r w:rsidRPr="007746FB">
        <w:rPr>
          <w:rFonts w:ascii="Arial" w:hAnsi="Arial" w:cs="Arial"/>
          <w:i w:val="0"/>
          <w:iCs w:val="0"/>
          <w:sz w:val="20"/>
        </w:rPr>
        <w:t xml:space="preserve"> </w:t>
      </w:r>
      <w:r>
        <w:rPr>
          <w:rFonts w:ascii="Arial" w:hAnsi="Arial" w:cs="Arial"/>
          <w:i w:val="0"/>
          <w:iCs w:val="0"/>
          <w:sz w:val="20"/>
        </w:rPr>
        <w:t xml:space="preserve">e </w:t>
      </w:r>
      <w:r w:rsidR="00F75384">
        <w:rPr>
          <w:rFonts w:ascii="Arial" w:hAnsi="Arial" w:cs="Arial"/>
          <w:i w:val="0"/>
          <w:iCs w:val="0"/>
          <w:sz w:val="20"/>
        </w:rPr>
        <w:t>su</w:t>
      </w:r>
      <w:r>
        <w:rPr>
          <w:rFonts w:ascii="Arial" w:hAnsi="Arial" w:cs="Arial"/>
          <w:i w:val="0"/>
          <w:iCs w:val="0"/>
          <w:sz w:val="20"/>
        </w:rPr>
        <w:t>i</w:t>
      </w:r>
      <w:r w:rsidRPr="007746FB">
        <w:rPr>
          <w:rFonts w:ascii="Arial" w:hAnsi="Arial" w:cs="Arial"/>
          <w:i w:val="0"/>
          <w:iCs w:val="0"/>
          <w:sz w:val="20"/>
        </w:rPr>
        <w:t xml:space="preserve"> dati sulle contravvenzioni elevate dalle Polizie </w:t>
      </w:r>
      <w:r w:rsidR="007C67A0">
        <w:rPr>
          <w:rFonts w:ascii="Arial" w:hAnsi="Arial" w:cs="Arial"/>
          <w:i w:val="0"/>
          <w:iCs w:val="0"/>
          <w:sz w:val="20"/>
        </w:rPr>
        <w:t>l</w:t>
      </w:r>
      <w:r w:rsidRPr="007746FB">
        <w:rPr>
          <w:rFonts w:ascii="Arial" w:hAnsi="Arial" w:cs="Arial"/>
          <w:i w:val="0"/>
          <w:iCs w:val="0"/>
          <w:sz w:val="20"/>
        </w:rPr>
        <w:t>ocali</w:t>
      </w:r>
      <w:r>
        <w:rPr>
          <w:rFonts w:ascii="Arial" w:hAnsi="Arial" w:cs="Arial"/>
          <w:i w:val="0"/>
          <w:iCs w:val="0"/>
          <w:sz w:val="20"/>
        </w:rPr>
        <w:t>,</w:t>
      </w:r>
      <w:r w:rsidRPr="007746FB">
        <w:rPr>
          <w:rFonts w:ascii="Arial" w:hAnsi="Arial" w:cs="Arial"/>
          <w:i w:val="0"/>
          <w:iCs w:val="0"/>
          <w:sz w:val="20"/>
        </w:rPr>
        <w:t xml:space="preserve"> raccolti grazie alla nuova rileva</w:t>
      </w:r>
      <w:r>
        <w:rPr>
          <w:rFonts w:ascii="Arial" w:hAnsi="Arial" w:cs="Arial"/>
          <w:i w:val="0"/>
          <w:iCs w:val="0"/>
          <w:sz w:val="20"/>
        </w:rPr>
        <w:t xml:space="preserve">zione condotta dall’ACI, </w:t>
      </w:r>
      <w:r w:rsidRPr="007746FB">
        <w:rPr>
          <w:rFonts w:ascii="Arial" w:hAnsi="Arial" w:cs="Arial"/>
          <w:i w:val="0"/>
          <w:iCs w:val="0"/>
          <w:sz w:val="20"/>
        </w:rPr>
        <w:t>presso i Comandi dei Comuni Capoluogo di Provincia.</w:t>
      </w:r>
    </w:p>
    <w:p w14:paraId="0821966B" w14:textId="77777777" w:rsidR="005D6CCA" w:rsidRPr="005D6CCA" w:rsidRDefault="005D6CCA" w:rsidP="005D6CCA"/>
    <w:p w14:paraId="0B944AE9" w14:textId="77777777" w:rsidR="005D6CCA" w:rsidRPr="00247E01" w:rsidRDefault="00247E01" w:rsidP="005D6CCA">
      <w:pPr>
        <w:autoSpaceDE w:val="0"/>
        <w:autoSpaceDN w:val="0"/>
        <w:adjustRightInd w:val="0"/>
        <w:jc w:val="both"/>
        <w:rPr>
          <w:rFonts w:cs="Times New Roman"/>
          <w:b/>
          <w:bCs/>
          <w:sz w:val="22"/>
          <w:szCs w:val="22"/>
        </w:rPr>
      </w:pPr>
      <w:r w:rsidRPr="00247E01">
        <w:rPr>
          <w:rFonts w:cs="Times New Roman"/>
          <w:b/>
          <w:bCs/>
          <w:sz w:val="22"/>
          <w:szCs w:val="22"/>
        </w:rPr>
        <w:t>P</w:t>
      </w:r>
      <w:r w:rsidR="005D6CCA" w:rsidRPr="00247E01">
        <w:rPr>
          <w:rFonts w:cs="Times New Roman"/>
          <w:b/>
          <w:bCs/>
          <w:sz w:val="22"/>
          <w:szCs w:val="22"/>
        </w:rPr>
        <w:t>rincipali novità</w:t>
      </w:r>
      <w:r w:rsidR="00144597" w:rsidRPr="00247E01">
        <w:rPr>
          <w:rFonts w:cs="Times New Roman"/>
          <w:b/>
          <w:bCs/>
          <w:sz w:val="22"/>
          <w:szCs w:val="22"/>
        </w:rPr>
        <w:t xml:space="preserve"> riguardanti le tecniche di raccolta dati</w:t>
      </w:r>
      <w:r w:rsidRPr="00247E01">
        <w:rPr>
          <w:rFonts w:cs="Times New Roman"/>
          <w:b/>
          <w:bCs/>
          <w:sz w:val="22"/>
          <w:szCs w:val="22"/>
        </w:rPr>
        <w:t xml:space="preserve"> e </w:t>
      </w:r>
      <w:r w:rsidR="00371DBD">
        <w:rPr>
          <w:rFonts w:cs="Times New Roman"/>
          <w:b/>
          <w:bCs/>
          <w:sz w:val="22"/>
          <w:szCs w:val="22"/>
        </w:rPr>
        <w:t xml:space="preserve">la </w:t>
      </w:r>
      <w:r w:rsidR="00144597" w:rsidRPr="00247E01">
        <w:rPr>
          <w:rFonts w:cs="Times New Roman"/>
          <w:b/>
          <w:bCs/>
          <w:sz w:val="22"/>
          <w:szCs w:val="22"/>
        </w:rPr>
        <w:t>metodologia</w:t>
      </w:r>
      <w:r w:rsidR="00371DBD">
        <w:rPr>
          <w:rFonts w:cs="Times New Roman"/>
          <w:b/>
          <w:bCs/>
          <w:sz w:val="22"/>
          <w:szCs w:val="22"/>
        </w:rPr>
        <w:t xml:space="preserve"> adottata</w:t>
      </w:r>
    </w:p>
    <w:p w14:paraId="530A7D6C" w14:textId="77777777" w:rsidR="005D6CCA" w:rsidRPr="005D6CCA" w:rsidRDefault="005D6CCA" w:rsidP="005D6CCA">
      <w:pPr>
        <w:autoSpaceDE w:val="0"/>
        <w:autoSpaceDN w:val="0"/>
        <w:adjustRightInd w:val="0"/>
        <w:spacing w:before="120"/>
        <w:jc w:val="both"/>
        <w:rPr>
          <w:color w:val="000000"/>
          <w:sz w:val="20"/>
        </w:rPr>
      </w:pPr>
      <w:r w:rsidRPr="005D6CCA">
        <w:rPr>
          <w:color w:val="000000"/>
          <w:sz w:val="20"/>
        </w:rPr>
        <w:t>In linea con il percorso intrapreso da Eurostat e da altri istituti di statistica, nel 2017 l’Istat ha iniziato a utilizzare metodi innovativi per la produzione dei dati. Le statistiche prodotte sono definite sperimentali in quanto non ancora annoverate tra le fonti della statistica ufficiale e in fase di consolidamento. Tali dati hanno un potenziale informativo elevato, poiché spesso colmano lacune conoscitive e creano le condizioni per nuove analisi a sostegno delle policy.</w:t>
      </w:r>
    </w:p>
    <w:p w14:paraId="547A7B97" w14:textId="77777777" w:rsidR="005D6CCA" w:rsidRDefault="00CC0BBC" w:rsidP="005D6CCA">
      <w:pPr>
        <w:autoSpaceDE w:val="0"/>
        <w:autoSpaceDN w:val="0"/>
        <w:adjustRightInd w:val="0"/>
        <w:spacing w:before="120"/>
        <w:jc w:val="both"/>
        <w:rPr>
          <w:color w:val="000000"/>
          <w:sz w:val="20"/>
        </w:rPr>
      </w:pPr>
      <w:r>
        <w:rPr>
          <w:color w:val="000000"/>
          <w:sz w:val="20"/>
        </w:rPr>
        <w:t>Prosegue anche nel 2022 la produzione delle s</w:t>
      </w:r>
      <w:r w:rsidR="005D6CCA" w:rsidRPr="005D6CCA">
        <w:rPr>
          <w:color w:val="000000"/>
          <w:sz w:val="20"/>
        </w:rPr>
        <w:t>tatistiche sperimentali sull’</w:t>
      </w:r>
      <w:r w:rsidR="005D6CCA" w:rsidRPr="005D6CCA">
        <w:rPr>
          <w:b/>
          <w:color w:val="000000"/>
          <w:sz w:val="20"/>
        </w:rPr>
        <w:t xml:space="preserve">Utilizzo di </w:t>
      </w:r>
      <w:r w:rsidR="005D6CCA" w:rsidRPr="009966B8">
        <w:rPr>
          <w:b/>
          <w:i/>
          <w:color w:val="000000"/>
          <w:sz w:val="20"/>
        </w:rPr>
        <w:t>Open Street Map</w:t>
      </w:r>
      <w:r w:rsidR="005D6CCA" w:rsidRPr="005D6CCA">
        <w:rPr>
          <w:b/>
          <w:color w:val="000000"/>
          <w:sz w:val="20"/>
        </w:rPr>
        <w:t xml:space="preserve"> per il calcolo di indicatori per l’incidentalità stradale sulla rete viaria italiana. </w:t>
      </w:r>
      <w:r w:rsidR="005D6CCA" w:rsidRPr="005D6CCA">
        <w:rPr>
          <w:color w:val="000000"/>
          <w:sz w:val="20"/>
        </w:rPr>
        <w:t>Dal sistema informativo geografico OSM (</w:t>
      </w:r>
      <w:r w:rsidR="005D6CCA" w:rsidRPr="009966B8">
        <w:rPr>
          <w:i/>
          <w:color w:val="000000"/>
          <w:sz w:val="20"/>
        </w:rPr>
        <w:t>Open Street Map</w:t>
      </w:r>
      <w:r w:rsidR="005D6CCA" w:rsidRPr="005D6CCA">
        <w:rPr>
          <w:color w:val="000000"/>
          <w:sz w:val="20"/>
        </w:rPr>
        <w:t xml:space="preserve">) sono tratti i dati </w:t>
      </w:r>
      <w:r w:rsidR="005D6CCA" w:rsidRPr="009966B8">
        <w:rPr>
          <w:i/>
          <w:color w:val="000000"/>
          <w:sz w:val="20"/>
        </w:rPr>
        <w:t>open source</w:t>
      </w:r>
      <w:r w:rsidR="005D6CCA" w:rsidRPr="005D6CCA">
        <w:rPr>
          <w:color w:val="000000"/>
          <w:sz w:val="20"/>
        </w:rPr>
        <w:t xml:space="preserve"> sulle estese chilometriche delle strade, base per i nuovi indicatori statistici proposti, costruiti con l’ausilio delle fonti istituzionali territoriali per località e provincia. La sperimentazione di OSM come fonte di dati sull’incidentalità stradale consente di andare oltre l’attuale indisponibilità di un catasto strade nazionale, armonizzato e sistematico. Inoltre, la lunghezza in metri di carreggiata per senso di marcia di arco stradale (da </w:t>
      </w:r>
      <w:r w:rsidR="005D6CCA" w:rsidRPr="009966B8">
        <w:rPr>
          <w:i/>
          <w:color w:val="000000"/>
          <w:sz w:val="20"/>
        </w:rPr>
        <w:t>Open Street Map</w:t>
      </w:r>
      <w:r w:rsidR="005D6CCA" w:rsidRPr="005D6CCA">
        <w:rPr>
          <w:color w:val="000000"/>
          <w:sz w:val="20"/>
        </w:rPr>
        <w:t>) fornisce sicuramente un denominatore più adeguato per la costruzione di indicatori sull’incidentalità stradale, rispetto alle misure più tradizionali come popolazion</w:t>
      </w:r>
      <w:r w:rsidR="00495AA9">
        <w:rPr>
          <w:color w:val="000000"/>
          <w:sz w:val="20"/>
        </w:rPr>
        <w:t xml:space="preserve">e residente o parco veicolare </w:t>
      </w:r>
      <w:hyperlink r:id="rId25" w:history="1">
        <w:r w:rsidR="00CB0923" w:rsidRPr="00395332">
          <w:rPr>
            <w:rStyle w:val="Collegamentoipertestuale"/>
            <w:sz w:val="20"/>
          </w:rPr>
          <w:t>https://www.istat.it/it/archivio/257382</w:t>
        </w:r>
      </w:hyperlink>
      <w:r w:rsidR="00CB0923">
        <w:rPr>
          <w:color w:val="000000"/>
          <w:sz w:val="20"/>
        </w:rPr>
        <w:t xml:space="preserve"> </w:t>
      </w:r>
    </w:p>
    <w:p w14:paraId="79E42426" w14:textId="77777777" w:rsidR="005D6CCA" w:rsidRPr="00144597" w:rsidRDefault="00CB0923" w:rsidP="005D6CCA">
      <w:pPr>
        <w:autoSpaceDE w:val="0"/>
        <w:autoSpaceDN w:val="0"/>
        <w:adjustRightInd w:val="0"/>
        <w:spacing w:before="120"/>
        <w:jc w:val="both"/>
        <w:rPr>
          <w:color w:val="000000"/>
          <w:sz w:val="20"/>
        </w:rPr>
      </w:pPr>
      <w:r>
        <w:rPr>
          <w:color w:val="000000"/>
          <w:sz w:val="20"/>
        </w:rPr>
        <w:t>Un miglioramento della rilev</w:t>
      </w:r>
      <w:r w:rsidR="00EF6C9B">
        <w:rPr>
          <w:color w:val="000000"/>
          <w:sz w:val="20"/>
        </w:rPr>
        <w:t>azione degli incidenti stradali</w:t>
      </w:r>
      <w:r w:rsidR="005D6CCA" w:rsidRPr="005D6CCA">
        <w:rPr>
          <w:color w:val="000000"/>
          <w:sz w:val="20"/>
        </w:rPr>
        <w:t xml:space="preserve"> è</w:t>
      </w:r>
      <w:r w:rsidR="00EF6C9B">
        <w:rPr>
          <w:color w:val="000000"/>
          <w:sz w:val="20"/>
        </w:rPr>
        <w:t xml:space="preserve"> stato apportato</w:t>
      </w:r>
      <w:r w:rsidR="005D6CCA" w:rsidRPr="005D6CCA">
        <w:rPr>
          <w:color w:val="000000"/>
          <w:sz w:val="20"/>
        </w:rPr>
        <w:t xml:space="preserve"> anche </w:t>
      </w:r>
      <w:r w:rsidR="00EF6C9B">
        <w:rPr>
          <w:color w:val="000000"/>
          <w:sz w:val="20"/>
        </w:rPr>
        <w:t>grazie al</w:t>
      </w:r>
      <w:r w:rsidR="005D6CCA" w:rsidRPr="005D6CCA">
        <w:rPr>
          <w:color w:val="000000"/>
          <w:sz w:val="20"/>
        </w:rPr>
        <w:t xml:space="preserve">l’introduzione del </w:t>
      </w:r>
      <w:r w:rsidR="005D6CCA" w:rsidRPr="005D6CCA">
        <w:rPr>
          <w:b/>
          <w:color w:val="000000"/>
          <w:sz w:val="20"/>
        </w:rPr>
        <w:t>modello online</w:t>
      </w:r>
      <w:r w:rsidR="005D6CCA" w:rsidRPr="005D6CCA">
        <w:rPr>
          <w:color w:val="000000"/>
          <w:sz w:val="20"/>
        </w:rPr>
        <w:t xml:space="preserve"> per la registrazione delle informazioni sugli incidenti stradali. A partire dal 2019, difatti, l’Istat ha messo a disposizione delle Polizie </w:t>
      </w:r>
      <w:r w:rsidR="007C67A0">
        <w:rPr>
          <w:color w:val="000000"/>
          <w:sz w:val="20"/>
        </w:rPr>
        <w:t>l</w:t>
      </w:r>
      <w:r w:rsidR="005D6CCA" w:rsidRPr="005D6CCA">
        <w:rPr>
          <w:color w:val="000000"/>
          <w:sz w:val="20"/>
        </w:rPr>
        <w:t xml:space="preserve">ocali un nuovo sistema di acquisizione dati. Il nuovo questionario </w:t>
      </w:r>
      <w:r w:rsidR="005D6CCA" w:rsidRPr="005D6CCA">
        <w:rPr>
          <w:i/>
          <w:color w:val="000000"/>
          <w:sz w:val="20"/>
        </w:rPr>
        <w:t>web</w:t>
      </w:r>
      <w:r w:rsidR="005D6CCA" w:rsidRPr="005D6CCA">
        <w:rPr>
          <w:color w:val="000000"/>
          <w:sz w:val="20"/>
        </w:rPr>
        <w:t>, basato su un</w:t>
      </w:r>
      <w:r w:rsidR="005D6CCA" w:rsidRPr="005D6CCA">
        <w:rPr>
          <w:i/>
          <w:color w:val="000000"/>
          <w:sz w:val="20"/>
        </w:rPr>
        <w:t xml:space="preserve"> software open source</w:t>
      </w:r>
      <w:r w:rsidR="005D6CCA" w:rsidRPr="005D6CCA">
        <w:rPr>
          <w:color w:val="000000"/>
          <w:sz w:val="20"/>
        </w:rPr>
        <w:t xml:space="preserve"> e sviluppato dall’Istat, è annoverato tra le indagini disponibili sul portale Gino Istat (Gestione Indagini </w:t>
      </w:r>
      <w:r w:rsidR="005D6CCA" w:rsidRPr="005D6CCA">
        <w:rPr>
          <w:i/>
          <w:color w:val="000000"/>
          <w:sz w:val="20"/>
        </w:rPr>
        <w:t>Online</w:t>
      </w:r>
      <w:r w:rsidR="005D6CCA" w:rsidRPr="005D6CCA">
        <w:rPr>
          <w:color w:val="000000"/>
          <w:sz w:val="20"/>
        </w:rPr>
        <w:t xml:space="preserve">) ed è disponibile all’indirizzo </w:t>
      </w:r>
      <w:hyperlink r:id="rId26" w:history="1">
        <w:r w:rsidR="005D6CCA" w:rsidRPr="00144597">
          <w:rPr>
            <w:rStyle w:val="Collegamentoipertestuale"/>
            <w:sz w:val="20"/>
          </w:rPr>
          <w:t>https://gino.istat.it/incidenti</w:t>
        </w:r>
      </w:hyperlink>
      <w:r w:rsidR="005D6CCA" w:rsidRPr="00144597">
        <w:rPr>
          <w:color w:val="000000"/>
          <w:sz w:val="20"/>
        </w:rPr>
        <w:t xml:space="preserve">. </w:t>
      </w:r>
    </w:p>
    <w:p w14:paraId="404BACE8" w14:textId="77777777" w:rsidR="005D6CCA" w:rsidRDefault="005D6CCA" w:rsidP="005D6CCA">
      <w:pPr>
        <w:autoSpaceDE w:val="0"/>
        <w:autoSpaceDN w:val="0"/>
        <w:adjustRightInd w:val="0"/>
        <w:spacing w:before="120"/>
        <w:jc w:val="both"/>
        <w:rPr>
          <w:color w:val="000000"/>
          <w:sz w:val="20"/>
        </w:rPr>
      </w:pPr>
      <w:r w:rsidRPr="005D6CCA">
        <w:rPr>
          <w:bCs/>
          <w:sz w:val="20"/>
        </w:rPr>
        <w:t xml:space="preserve">L’introduzione del nuovo questionario on line si incardina nel rispetto della norma del </w:t>
      </w:r>
      <w:r w:rsidRPr="009966B8">
        <w:rPr>
          <w:bCs/>
          <w:sz w:val="20"/>
        </w:rPr>
        <w:t>Codice dell’amministrazione digitale</w:t>
      </w:r>
      <w:r w:rsidRPr="005D6CCA">
        <w:rPr>
          <w:bCs/>
          <w:i/>
          <w:sz w:val="20"/>
        </w:rPr>
        <w:t xml:space="preserve"> </w:t>
      </w:r>
      <w:r w:rsidRPr="005D6CCA">
        <w:rPr>
          <w:bCs/>
          <w:sz w:val="20"/>
        </w:rPr>
        <w:t xml:space="preserve">(art. 47 del </w:t>
      </w:r>
      <w:r w:rsidR="00F75384">
        <w:rPr>
          <w:bCs/>
          <w:sz w:val="20"/>
        </w:rPr>
        <w:t>D</w:t>
      </w:r>
      <w:r w:rsidRPr="005D6CCA">
        <w:rPr>
          <w:bCs/>
          <w:sz w:val="20"/>
        </w:rPr>
        <w:t>.lgs. n. 82 del 2005), in conformità a quanto disposto dal quale i dati</w:t>
      </w:r>
      <w:r w:rsidRPr="005D6CCA" w:rsidDel="009C0E36">
        <w:rPr>
          <w:bCs/>
          <w:sz w:val="20"/>
        </w:rPr>
        <w:t xml:space="preserve"> </w:t>
      </w:r>
      <w:r w:rsidRPr="005D6CCA">
        <w:rPr>
          <w:bCs/>
          <w:sz w:val="20"/>
        </w:rPr>
        <w:t xml:space="preserve">devono essere inviati all’Istat in modalità informatizzata. </w:t>
      </w:r>
      <w:r w:rsidRPr="005D6CCA">
        <w:rPr>
          <w:color w:val="000000"/>
          <w:sz w:val="20"/>
        </w:rPr>
        <w:t>La nuova modalità di registrazione rappresenta un’opportunità per poter ottimizzare le attività di compilazione, archiviazione e consultazione dei dati.</w:t>
      </w:r>
      <w:r w:rsidRPr="0032092A">
        <w:rPr>
          <w:color w:val="000000"/>
          <w:sz w:val="20"/>
        </w:rPr>
        <w:t xml:space="preserve"> </w:t>
      </w:r>
    </w:p>
    <w:p w14:paraId="323517B9" w14:textId="77777777" w:rsidR="00495AA9" w:rsidRPr="00495AA9" w:rsidRDefault="00495AA9" w:rsidP="00495AA9">
      <w:pPr>
        <w:autoSpaceDE w:val="0"/>
        <w:autoSpaceDN w:val="0"/>
        <w:adjustRightInd w:val="0"/>
        <w:spacing w:before="120"/>
        <w:jc w:val="both"/>
        <w:rPr>
          <w:color w:val="000000"/>
          <w:sz w:val="20"/>
        </w:rPr>
      </w:pPr>
      <w:r>
        <w:rPr>
          <w:color w:val="000000"/>
          <w:sz w:val="20"/>
        </w:rPr>
        <w:t xml:space="preserve">A partire dal 2020 sono anche state previste alcune nuove modalità per la tipologia di veicolo e per la circostanza di incidente. In particolare sono state incluse le tipologie di veicolo, </w:t>
      </w:r>
      <w:r w:rsidRPr="00495AA9">
        <w:rPr>
          <w:b/>
          <w:color w:val="000000"/>
          <w:sz w:val="20"/>
        </w:rPr>
        <w:t>monopattino elettrico e bicicletta elettrica</w:t>
      </w:r>
      <w:r>
        <w:rPr>
          <w:b/>
          <w:color w:val="000000"/>
          <w:sz w:val="20"/>
        </w:rPr>
        <w:t xml:space="preserve"> </w:t>
      </w:r>
      <w:r w:rsidRPr="00495AA9">
        <w:rPr>
          <w:color w:val="000000"/>
          <w:sz w:val="20"/>
        </w:rPr>
        <w:t xml:space="preserve">e le </w:t>
      </w:r>
      <w:r>
        <w:rPr>
          <w:color w:val="000000"/>
          <w:sz w:val="20"/>
        </w:rPr>
        <w:t xml:space="preserve">circostanze di incidente del gruppo </w:t>
      </w:r>
      <w:r w:rsidRPr="00495AA9">
        <w:rPr>
          <w:b/>
          <w:color w:val="000000"/>
          <w:sz w:val="20"/>
        </w:rPr>
        <w:t>"Incidente a veicolo che urta veicolo in fermata, arresto o altro ostacolo"</w:t>
      </w:r>
      <w:r>
        <w:rPr>
          <w:color w:val="000000"/>
          <w:sz w:val="20"/>
        </w:rPr>
        <w:t xml:space="preserve">: </w:t>
      </w:r>
      <w:r w:rsidRPr="00495AA9">
        <w:rPr>
          <w:color w:val="000000"/>
          <w:sz w:val="20"/>
        </w:rPr>
        <w:t>Animale</w:t>
      </w:r>
      <w:r w:rsidR="00F75384">
        <w:rPr>
          <w:color w:val="000000"/>
          <w:sz w:val="20"/>
        </w:rPr>
        <w:t xml:space="preserve"> </w:t>
      </w:r>
      <w:r w:rsidRPr="00495AA9">
        <w:rPr>
          <w:color w:val="000000"/>
          <w:sz w:val="20"/>
        </w:rPr>
        <w:t>domestico o d'affezione,</w:t>
      </w:r>
      <w:r w:rsidR="00F75384">
        <w:rPr>
          <w:color w:val="000000"/>
          <w:sz w:val="20"/>
        </w:rPr>
        <w:t xml:space="preserve"> </w:t>
      </w:r>
      <w:r w:rsidRPr="00495AA9">
        <w:rPr>
          <w:color w:val="000000"/>
          <w:sz w:val="20"/>
        </w:rPr>
        <w:t>da reddito, da lavoro, Animale selvatico, Buca.</w:t>
      </w:r>
    </w:p>
    <w:p w14:paraId="39DBED13" w14:textId="77777777" w:rsidR="00495AA9" w:rsidRPr="00495AA9" w:rsidRDefault="00495AA9" w:rsidP="00495AA9">
      <w:pPr>
        <w:autoSpaceDE w:val="0"/>
        <w:autoSpaceDN w:val="0"/>
        <w:adjustRightInd w:val="0"/>
        <w:spacing w:before="120"/>
        <w:jc w:val="both"/>
        <w:rPr>
          <w:color w:val="000000"/>
          <w:sz w:val="20"/>
        </w:rPr>
      </w:pPr>
    </w:p>
    <w:p w14:paraId="4522B5B6" w14:textId="77777777" w:rsidR="00495AA9" w:rsidRDefault="00495AA9" w:rsidP="00495AA9">
      <w:pPr>
        <w:autoSpaceDE w:val="0"/>
        <w:autoSpaceDN w:val="0"/>
        <w:adjustRightInd w:val="0"/>
        <w:spacing w:before="120"/>
        <w:jc w:val="both"/>
        <w:rPr>
          <w:b/>
          <w:bCs/>
          <w:sz w:val="22"/>
          <w:szCs w:val="22"/>
        </w:rPr>
      </w:pPr>
    </w:p>
    <w:p w14:paraId="5FA1EFB7" w14:textId="77777777" w:rsidR="00495AA9" w:rsidRDefault="00495AA9" w:rsidP="00495AA9">
      <w:pPr>
        <w:autoSpaceDE w:val="0"/>
        <w:autoSpaceDN w:val="0"/>
        <w:adjustRightInd w:val="0"/>
        <w:spacing w:before="120"/>
        <w:jc w:val="both"/>
        <w:rPr>
          <w:b/>
          <w:bCs/>
          <w:sz w:val="22"/>
          <w:szCs w:val="22"/>
        </w:rPr>
      </w:pPr>
    </w:p>
    <w:p w14:paraId="62762F32" w14:textId="77777777" w:rsidR="00D95E16" w:rsidRDefault="00D95E16" w:rsidP="00495AA9">
      <w:pPr>
        <w:autoSpaceDE w:val="0"/>
        <w:autoSpaceDN w:val="0"/>
        <w:adjustRightInd w:val="0"/>
        <w:spacing w:before="120"/>
        <w:jc w:val="both"/>
        <w:rPr>
          <w:b/>
          <w:bCs/>
          <w:sz w:val="22"/>
          <w:szCs w:val="22"/>
        </w:rPr>
      </w:pPr>
    </w:p>
    <w:p w14:paraId="6AFD8AB2" w14:textId="77777777" w:rsidR="00E27DAC" w:rsidRPr="004F64F4" w:rsidRDefault="00E27DAC" w:rsidP="00F52AE6">
      <w:pPr>
        <w:pStyle w:val="Rientrocorpodeltesto"/>
        <w:spacing w:after="120"/>
        <w:ind w:firstLine="0"/>
        <w:rPr>
          <w:b/>
          <w:bCs/>
          <w:sz w:val="22"/>
          <w:szCs w:val="22"/>
        </w:rPr>
      </w:pPr>
      <w:r>
        <w:rPr>
          <w:b/>
          <w:bCs/>
          <w:sz w:val="22"/>
          <w:szCs w:val="22"/>
        </w:rPr>
        <w:t>Q</w:t>
      </w:r>
      <w:r w:rsidRPr="00636D6C">
        <w:rPr>
          <w:b/>
          <w:bCs/>
          <w:sz w:val="22"/>
          <w:szCs w:val="22"/>
        </w:rPr>
        <w:t>uadro normativo</w:t>
      </w:r>
    </w:p>
    <w:p w14:paraId="1BBEC055" w14:textId="77777777" w:rsidR="00E27DAC" w:rsidRPr="00B73D18" w:rsidRDefault="00E27DAC" w:rsidP="00F52AE6">
      <w:pPr>
        <w:pStyle w:val="Titolo1"/>
        <w:spacing w:after="120"/>
        <w:jc w:val="both"/>
        <w:rPr>
          <w:rFonts w:ascii="Arial" w:hAnsi="Arial" w:cs="Arial"/>
          <w:i w:val="0"/>
          <w:sz w:val="20"/>
        </w:rPr>
      </w:pPr>
      <w:r w:rsidRPr="00B73D18">
        <w:rPr>
          <w:rFonts w:ascii="Arial" w:hAnsi="Arial" w:cs="Arial"/>
          <w:i w:val="0"/>
          <w:sz w:val="20"/>
        </w:rPr>
        <w:t xml:space="preserve">La rilevazione degli incidenti stradali con lesioni a persone è inclusa nel Programma Statistico Nazionale </w:t>
      </w:r>
      <w:r>
        <w:rPr>
          <w:rFonts w:ascii="Arial" w:hAnsi="Arial" w:cs="Arial"/>
          <w:i w:val="0"/>
          <w:sz w:val="20"/>
        </w:rPr>
        <w:t>(IST-00142)</w:t>
      </w:r>
      <w:r w:rsidRPr="00B73D18">
        <w:rPr>
          <w:rFonts w:ascii="Arial" w:hAnsi="Arial" w:cs="Arial"/>
          <w:i w:val="0"/>
          <w:sz w:val="20"/>
        </w:rPr>
        <w:t xml:space="preserve"> ed è sta</w:t>
      </w:r>
      <w:r>
        <w:rPr>
          <w:rFonts w:ascii="Arial" w:hAnsi="Arial" w:cs="Arial"/>
          <w:i w:val="0"/>
          <w:sz w:val="20"/>
        </w:rPr>
        <w:t>ta</w:t>
      </w:r>
      <w:r w:rsidRPr="00B73D18">
        <w:rPr>
          <w:rFonts w:ascii="Arial" w:hAnsi="Arial" w:cs="Arial"/>
          <w:i w:val="0"/>
          <w:sz w:val="20"/>
        </w:rPr>
        <w:t xml:space="preserve"> istituita con</w:t>
      </w:r>
      <w:r>
        <w:rPr>
          <w:rFonts w:ascii="Arial" w:hAnsi="Arial" w:cs="Arial"/>
          <w:i w:val="0"/>
          <w:sz w:val="20"/>
        </w:rPr>
        <w:t xml:space="preserve"> un</w:t>
      </w:r>
      <w:r w:rsidRPr="00B73D18">
        <w:rPr>
          <w:rFonts w:ascii="Arial" w:hAnsi="Arial" w:cs="Arial"/>
          <w:i w:val="0"/>
          <w:sz w:val="20"/>
        </w:rPr>
        <w:t xml:space="preserve"> Atto programmatico dell’Istat per far fronte alle esigenze informative degli organi decisionali nazionali e delle amministrazioni </w:t>
      </w:r>
      <w:r>
        <w:rPr>
          <w:rFonts w:ascii="Arial" w:hAnsi="Arial" w:cs="Arial"/>
          <w:i w:val="0"/>
          <w:sz w:val="20"/>
        </w:rPr>
        <w:t>locali, impegnati nell</w:t>
      </w:r>
      <w:r w:rsidRPr="00B73D18">
        <w:rPr>
          <w:rFonts w:ascii="Arial" w:hAnsi="Arial" w:cs="Arial"/>
          <w:i w:val="0"/>
          <w:sz w:val="20"/>
        </w:rPr>
        <w:t>a predisposizi</w:t>
      </w:r>
      <w:r>
        <w:rPr>
          <w:rFonts w:ascii="Arial" w:hAnsi="Arial" w:cs="Arial"/>
          <w:i w:val="0"/>
          <w:sz w:val="20"/>
        </w:rPr>
        <w:t>one d</w:t>
      </w:r>
      <w:r w:rsidRPr="00B73D18">
        <w:rPr>
          <w:rFonts w:ascii="Arial" w:hAnsi="Arial" w:cs="Arial"/>
          <w:i w:val="0"/>
          <w:sz w:val="20"/>
        </w:rPr>
        <w:t xml:space="preserve">i piani di prevenzione e di sicurezza stradale e per fornire una solida base informativa </w:t>
      </w:r>
      <w:r>
        <w:rPr>
          <w:rFonts w:ascii="Arial" w:hAnsi="Arial" w:cs="Arial"/>
          <w:i w:val="0"/>
          <w:sz w:val="20"/>
        </w:rPr>
        <w:t>a</w:t>
      </w:r>
      <w:r w:rsidRPr="00B73D18">
        <w:rPr>
          <w:rFonts w:ascii="Arial" w:hAnsi="Arial" w:cs="Arial"/>
          <w:i w:val="0"/>
          <w:sz w:val="20"/>
        </w:rPr>
        <w:t xml:space="preserve"> ricercatori</w:t>
      </w:r>
      <w:r>
        <w:rPr>
          <w:rFonts w:ascii="Arial" w:hAnsi="Arial" w:cs="Arial"/>
          <w:i w:val="0"/>
          <w:sz w:val="20"/>
        </w:rPr>
        <w:t xml:space="preserve"> e utenti dei dati</w:t>
      </w:r>
      <w:r w:rsidRPr="00B73D18">
        <w:rPr>
          <w:rFonts w:ascii="Arial" w:hAnsi="Arial" w:cs="Arial"/>
          <w:i w:val="0"/>
          <w:sz w:val="20"/>
        </w:rPr>
        <w:t>.</w:t>
      </w:r>
    </w:p>
    <w:p w14:paraId="7FE5457B" w14:textId="77777777" w:rsidR="00E27DAC" w:rsidRPr="00254CE0" w:rsidRDefault="00E27DAC" w:rsidP="00F52AE6">
      <w:pPr>
        <w:pStyle w:val="Titolo1"/>
        <w:spacing w:after="120"/>
        <w:jc w:val="both"/>
        <w:rPr>
          <w:rFonts w:ascii="Arial" w:hAnsi="Arial" w:cs="Arial"/>
          <w:i w:val="0"/>
          <w:iCs w:val="0"/>
          <w:sz w:val="20"/>
        </w:rPr>
      </w:pPr>
      <w:r>
        <w:rPr>
          <w:rFonts w:ascii="Arial" w:hAnsi="Arial" w:cs="Arial"/>
          <w:i w:val="0"/>
          <w:sz w:val="20"/>
        </w:rPr>
        <w:t>Le informazioni</w:t>
      </w:r>
      <w:r w:rsidRPr="00B73D18">
        <w:rPr>
          <w:rFonts w:ascii="Arial" w:hAnsi="Arial" w:cs="Arial"/>
          <w:i w:val="0"/>
          <w:sz w:val="20"/>
        </w:rPr>
        <w:t xml:space="preserve"> sugli incidenti stradali sono</w:t>
      </w:r>
      <w:r>
        <w:rPr>
          <w:rFonts w:ascii="Arial" w:hAnsi="Arial" w:cs="Arial"/>
          <w:i w:val="0"/>
          <w:sz w:val="20"/>
        </w:rPr>
        <w:t xml:space="preserve"> </w:t>
      </w:r>
      <w:r w:rsidRPr="00B73D18">
        <w:rPr>
          <w:rFonts w:ascii="Arial" w:hAnsi="Arial" w:cs="Arial"/>
          <w:i w:val="0"/>
          <w:sz w:val="20"/>
        </w:rPr>
        <w:t>fornit</w:t>
      </w:r>
      <w:r>
        <w:rPr>
          <w:rFonts w:ascii="Arial" w:hAnsi="Arial" w:cs="Arial"/>
          <w:i w:val="0"/>
          <w:sz w:val="20"/>
        </w:rPr>
        <w:t>e</w:t>
      </w:r>
      <w:r w:rsidRPr="00B73D18">
        <w:rPr>
          <w:rFonts w:ascii="Arial" w:hAnsi="Arial" w:cs="Arial"/>
          <w:i w:val="0"/>
          <w:sz w:val="20"/>
        </w:rPr>
        <w:t xml:space="preserve"> annualmente alla Commissione </w:t>
      </w:r>
      <w:r w:rsidR="0046637D">
        <w:rPr>
          <w:rFonts w:ascii="Arial" w:hAnsi="Arial" w:cs="Arial"/>
          <w:i w:val="0"/>
          <w:sz w:val="20"/>
        </w:rPr>
        <w:t>e</w:t>
      </w:r>
      <w:r w:rsidRPr="00B73D18">
        <w:rPr>
          <w:rFonts w:ascii="Arial" w:hAnsi="Arial" w:cs="Arial"/>
          <w:i w:val="0"/>
          <w:sz w:val="20"/>
        </w:rPr>
        <w:t xml:space="preserve">uropea e all’Eurostat, in virtù della Decisione del Consiglio n. 704 del 30 novembre 1993 relativa alla creazione di una banca di dati </w:t>
      </w:r>
      <w:r w:rsidRPr="00254CE0">
        <w:rPr>
          <w:rFonts w:ascii="Arial" w:hAnsi="Arial" w:cs="Arial"/>
          <w:i w:val="0"/>
          <w:iCs w:val="0"/>
          <w:sz w:val="20"/>
        </w:rPr>
        <w:t>comunitaria sugli incidenti stradali.</w:t>
      </w:r>
    </w:p>
    <w:p w14:paraId="19A78043" w14:textId="77777777" w:rsidR="00E27DAC" w:rsidRPr="00254CE0" w:rsidRDefault="00E27DAC" w:rsidP="00254CE0">
      <w:pPr>
        <w:pStyle w:val="Titolo1"/>
        <w:spacing w:after="120"/>
        <w:jc w:val="both"/>
        <w:rPr>
          <w:rFonts w:ascii="Arial" w:hAnsi="Arial" w:cs="Arial"/>
          <w:i w:val="0"/>
          <w:iCs w:val="0"/>
          <w:sz w:val="20"/>
          <w:vertAlign w:val="superscript"/>
        </w:rPr>
      </w:pPr>
      <w:r w:rsidRPr="00B73D18">
        <w:rPr>
          <w:rFonts w:ascii="Arial" w:hAnsi="Arial" w:cs="Arial"/>
          <w:i w:val="0"/>
          <w:iCs w:val="0"/>
          <w:sz w:val="20"/>
        </w:rPr>
        <w:t xml:space="preserve">Nel contesto internazionale, inoltre, per poter proseguire l’azione di miglioramento e sensibilizzazione promossa per </w:t>
      </w:r>
      <w:r w:rsidR="004A677C">
        <w:rPr>
          <w:rFonts w:ascii="Arial" w:hAnsi="Arial" w:cs="Arial"/>
          <w:i w:val="0"/>
          <w:iCs w:val="0"/>
          <w:sz w:val="20"/>
        </w:rPr>
        <w:t>il decennio</w:t>
      </w:r>
      <w:r w:rsidRPr="00B73D18">
        <w:rPr>
          <w:rFonts w:ascii="Arial" w:hAnsi="Arial" w:cs="Arial"/>
          <w:i w:val="0"/>
          <w:iCs w:val="0"/>
          <w:sz w:val="20"/>
        </w:rPr>
        <w:t xml:space="preserve"> 2001-2010 dall’Unione </w:t>
      </w:r>
      <w:r w:rsidR="00F67953">
        <w:rPr>
          <w:rFonts w:ascii="Arial" w:hAnsi="Arial" w:cs="Arial"/>
          <w:i w:val="0"/>
          <w:iCs w:val="0"/>
          <w:sz w:val="20"/>
        </w:rPr>
        <w:t>e</w:t>
      </w:r>
      <w:r w:rsidRPr="00B73D18">
        <w:rPr>
          <w:rFonts w:ascii="Arial" w:hAnsi="Arial" w:cs="Arial"/>
          <w:i w:val="0"/>
          <w:iCs w:val="0"/>
          <w:sz w:val="20"/>
        </w:rPr>
        <w:t xml:space="preserve">uropea con la predisposizione del Libro Bianco del 2001, l’Assemblea Generale delle Nazioni Unite e la Commissione </w:t>
      </w:r>
      <w:r w:rsidR="0046637D">
        <w:rPr>
          <w:rFonts w:ascii="Arial" w:hAnsi="Arial" w:cs="Arial"/>
          <w:i w:val="0"/>
          <w:iCs w:val="0"/>
          <w:sz w:val="20"/>
        </w:rPr>
        <w:t>e</w:t>
      </w:r>
      <w:r w:rsidRPr="00B73D18">
        <w:rPr>
          <w:rFonts w:ascii="Arial" w:hAnsi="Arial" w:cs="Arial"/>
          <w:i w:val="0"/>
          <w:iCs w:val="0"/>
          <w:sz w:val="20"/>
        </w:rPr>
        <w:t>uropea hanno proclamato</w:t>
      </w:r>
      <w:r>
        <w:rPr>
          <w:rFonts w:ascii="Arial" w:hAnsi="Arial" w:cs="Arial"/>
          <w:i w:val="0"/>
          <w:iCs w:val="0"/>
          <w:sz w:val="20"/>
        </w:rPr>
        <w:t>,</w:t>
      </w:r>
      <w:r w:rsidRPr="00B73D18">
        <w:rPr>
          <w:rFonts w:ascii="Arial" w:hAnsi="Arial" w:cs="Arial"/>
          <w:i w:val="0"/>
          <w:iCs w:val="0"/>
          <w:sz w:val="20"/>
        </w:rPr>
        <w:t xml:space="preserve"> nel 2010</w:t>
      </w:r>
      <w:r>
        <w:rPr>
          <w:rFonts w:ascii="Arial" w:hAnsi="Arial" w:cs="Arial"/>
          <w:i w:val="0"/>
          <w:iCs w:val="0"/>
          <w:sz w:val="20"/>
        </w:rPr>
        <w:t>,</w:t>
      </w:r>
      <w:r w:rsidRPr="00B73D18">
        <w:rPr>
          <w:rFonts w:ascii="Arial" w:hAnsi="Arial" w:cs="Arial"/>
          <w:i w:val="0"/>
          <w:iCs w:val="0"/>
          <w:sz w:val="20"/>
        </w:rPr>
        <w:t xml:space="preserve"> un secondo decennio di iniziative per la Sicurezza Stradale 2010-2020</w:t>
      </w:r>
      <w:r w:rsidR="004A677C">
        <w:rPr>
          <w:rFonts w:ascii="Arial" w:hAnsi="Arial" w:cs="Arial"/>
          <w:i w:val="0"/>
          <w:iCs w:val="0"/>
          <w:sz w:val="20"/>
        </w:rPr>
        <w:t xml:space="preserve"> e di recente</w:t>
      </w:r>
      <w:r w:rsidR="00432364">
        <w:rPr>
          <w:rFonts w:ascii="Arial" w:hAnsi="Arial" w:cs="Arial"/>
          <w:i w:val="0"/>
          <w:iCs w:val="0"/>
          <w:sz w:val="20"/>
        </w:rPr>
        <w:t xml:space="preserve"> la nuova Agenda 2030</w:t>
      </w:r>
      <w:r>
        <w:rPr>
          <w:rFonts w:ascii="Arial" w:hAnsi="Arial" w:cs="Arial"/>
          <w:i w:val="0"/>
          <w:iCs w:val="0"/>
          <w:sz w:val="20"/>
        </w:rPr>
        <w:t>. L’obiettivo 2020 fissato riguarda</w:t>
      </w:r>
      <w:r w:rsidR="00432364">
        <w:rPr>
          <w:rFonts w:ascii="Arial" w:hAnsi="Arial" w:cs="Arial"/>
          <w:i w:val="0"/>
          <w:iCs w:val="0"/>
          <w:sz w:val="20"/>
        </w:rPr>
        <w:t>va</w:t>
      </w:r>
      <w:r>
        <w:rPr>
          <w:rFonts w:ascii="Arial" w:hAnsi="Arial" w:cs="Arial"/>
          <w:i w:val="0"/>
          <w:iCs w:val="0"/>
          <w:sz w:val="20"/>
        </w:rPr>
        <w:t xml:space="preserve"> </w:t>
      </w:r>
      <w:r w:rsidR="00432364">
        <w:rPr>
          <w:rFonts w:ascii="Arial" w:hAnsi="Arial" w:cs="Arial"/>
          <w:i w:val="0"/>
          <w:iCs w:val="0"/>
          <w:sz w:val="20"/>
        </w:rPr>
        <w:t>il</w:t>
      </w:r>
      <w:r>
        <w:rPr>
          <w:rFonts w:ascii="Arial" w:hAnsi="Arial" w:cs="Arial"/>
          <w:i w:val="0"/>
          <w:iCs w:val="0"/>
          <w:sz w:val="20"/>
        </w:rPr>
        <w:t xml:space="preserve"> dimezzamento delle vittime e la riduzione del numero dei feriti gravi</w:t>
      </w:r>
      <w:r w:rsidR="00432364">
        <w:rPr>
          <w:rFonts w:ascii="Arial" w:hAnsi="Arial" w:cs="Arial"/>
          <w:i w:val="0"/>
          <w:iCs w:val="0"/>
          <w:sz w:val="20"/>
        </w:rPr>
        <w:t>, anche i nuovi obiettivi rinnovano le raccomandazioni per una ulteriore riduzione del 50% di morti e feriti gravi.</w:t>
      </w:r>
      <w:r w:rsidR="00254CE0">
        <w:rPr>
          <w:rFonts w:ascii="Arial" w:hAnsi="Arial" w:cs="Arial"/>
          <w:i w:val="0"/>
          <w:iCs w:val="0"/>
          <w:sz w:val="20"/>
        </w:rPr>
        <w:t xml:space="preserve"> </w:t>
      </w:r>
      <w:r w:rsidRPr="00254CE0">
        <w:rPr>
          <w:rFonts w:ascii="Arial" w:hAnsi="Arial" w:cs="Arial"/>
          <w:i w:val="0"/>
          <w:iCs w:val="0"/>
          <w:sz w:val="20"/>
        </w:rPr>
        <w:t>Si è reso necessario stabilire, quindi, nuovi standard per una definizione univoca di lesione grave internazionalmente riconosciuta. La Commissione europea ha emanato alcune linee guida per classificare la gravità delle lesioni da incidente stradale; è stato proposto, infatti, l’utilizzo dell’esistente scala dei traumi AIS (</w:t>
      </w:r>
      <w:r w:rsidRPr="009966B8">
        <w:rPr>
          <w:rFonts w:ascii="Arial" w:hAnsi="Arial" w:cs="Arial"/>
          <w:iCs w:val="0"/>
          <w:sz w:val="20"/>
        </w:rPr>
        <w:t>Abbreviated Injury Scale</w:t>
      </w:r>
      <w:r w:rsidRPr="00254CE0">
        <w:rPr>
          <w:rFonts w:ascii="Arial" w:hAnsi="Arial" w:cs="Arial"/>
          <w:i w:val="0"/>
          <w:iCs w:val="0"/>
          <w:sz w:val="20"/>
        </w:rPr>
        <w:t>) e in particolare della sua variante MAIS (</w:t>
      </w:r>
      <w:r w:rsidRPr="009966B8">
        <w:rPr>
          <w:rFonts w:ascii="Arial" w:hAnsi="Arial" w:cs="Arial"/>
          <w:iCs w:val="0"/>
          <w:sz w:val="20"/>
        </w:rPr>
        <w:t>Maximum Abbreviated Injury Scale</w:t>
      </w:r>
      <w:r w:rsidR="008200AD">
        <w:rPr>
          <w:rFonts w:ascii="Arial" w:hAnsi="Arial" w:cs="Arial"/>
          <w:i w:val="0"/>
          <w:iCs w:val="0"/>
          <w:sz w:val="20"/>
        </w:rPr>
        <w:t>)</w:t>
      </w:r>
      <w:r w:rsidRPr="00254CE0">
        <w:rPr>
          <w:rFonts w:ascii="Arial" w:hAnsi="Arial" w:cs="Arial"/>
          <w:i w:val="0"/>
          <w:iCs w:val="0"/>
          <w:sz w:val="20"/>
          <w:vertAlign w:val="superscript"/>
        </w:rPr>
        <w:footnoteReference w:id="16"/>
      </w:r>
      <w:r w:rsidRPr="00254CE0">
        <w:rPr>
          <w:rFonts w:ascii="Arial" w:hAnsi="Arial" w:cs="Arial"/>
          <w:i w:val="0"/>
          <w:iCs w:val="0"/>
          <w:sz w:val="20"/>
          <w:vertAlign w:val="superscript"/>
        </w:rPr>
        <w:t>.</w:t>
      </w:r>
    </w:p>
    <w:p w14:paraId="49F0587D" w14:textId="77777777" w:rsidR="00E27DAC" w:rsidRDefault="00E27DAC" w:rsidP="00F52AE6"/>
    <w:p w14:paraId="247F9E8F" w14:textId="77777777" w:rsidR="00E27DAC" w:rsidRPr="00555BB8" w:rsidRDefault="00E27DAC">
      <w:pPr>
        <w:pStyle w:val="Rientrocorpodeltesto"/>
        <w:spacing w:after="120"/>
        <w:ind w:firstLine="0"/>
        <w:rPr>
          <w:b/>
          <w:bCs/>
          <w:sz w:val="22"/>
          <w:szCs w:val="22"/>
        </w:rPr>
      </w:pPr>
      <w:r>
        <w:rPr>
          <w:b/>
          <w:bCs/>
          <w:sz w:val="22"/>
          <w:szCs w:val="22"/>
        </w:rPr>
        <w:t>Campo di osservazione, unità di rilevazione e</w:t>
      </w:r>
      <w:r w:rsidRPr="00555BB8">
        <w:rPr>
          <w:b/>
          <w:bCs/>
          <w:sz w:val="22"/>
          <w:szCs w:val="22"/>
        </w:rPr>
        <w:t xml:space="preserve"> principali definizioni</w:t>
      </w:r>
    </w:p>
    <w:p w14:paraId="4EF2A40C" w14:textId="77777777" w:rsidR="00E27DAC" w:rsidRPr="00DB67B0" w:rsidRDefault="00E27DAC" w:rsidP="00254CE0">
      <w:pPr>
        <w:pStyle w:val="Corpodeltesto2"/>
        <w:spacing w:after="120"/>
      </w:pPr>
      <w:r w:rsidRPr="00DB67B0">
        <w:t>Il campo di osservazione</w:t>
      </w:r>
      <w:r>
        <w:t xml:space="preserve"> della rilevazione</w:t>
      </w:r>
      <w:r w:rsidRPr="00DB67B0">
        <w:t xml:space="preserve"> è costituito dall’insieme degli incidenti stradali verbalizzati da un’autorità di polizia, verificatisi sul territorio nazionale nell’arco di un anno solare, che hanno causato lesioni alle persone (morti </w:t>
      </w:r>
      <w:r>
        <w:t xml:space="preserve">entro i 30 giorni </w:t>
      </w:r>
      <w:r w:rsidRPr="00DB67B0">
        <w:t xml:space="preserve">o feriti). </w:t>
      </w:r>
    </w:p>
    <w:p w14:paraId="4D8C40DE" w14:textId="77777777" w:rsidR="00E27DAC" w:rsidRPr="00DB67B0" w:rsidRDefault="00E27DAC" w:rsidP="00F52AE6">
      <w:pPr>
        <w:pStyle w:val="Corpodeltesto2"/>
        <w:spacing w:after="120"/>
      </w:pPr>
      <w:r w:rsidRPr="00DB67B0">
        <w:t>Le norme internazionali (</w:t>
      </w:r>
      <w:r>
        <w:t xml:space="preserve">Commissione </w:t>
      </w:r>
      <w:r w:rsidR="0046637D">
        <w:t>e</w:t>
      </w:r>
      <w:r>
        <w:t xml:space="preserve">uropea, </w:t>
      </w:r>
      <w:r w:rsidRPr="00DB67B0">
        <w:t>Eurostat, O</w:t>
      </w:r>
      <w:r>
        <w:t>CSE</w:t>
      </w:r>
      <w:r w:rsidRPr="00DB67B0">
        <w:t xml:space="preserve">, </w:t>
      </w:r>
      <w:r>
        <w:t>ECE</w:t>
      </w:r>
      <w:r w:rsidRPr="00DB67B0">
        <w:t xml:space="preserve">, ecc.), </w:t>
      </w:r>
      <w:r>
        <w:t>recepite dal</w:t>
      </w:r>
      <w:r w:rsidRPr="00DB67B0">
        <w:t xml:space="preserve"> nostro Paese, definiscono l’incidente stradale come “quell’evento in cui è coinvolto almeno un veicolo in circolazione sulla rete stradale e che comporti danni alle persone”</w:t>
      </w:r>
      <w:r>
        <w:t xml:space="preserve"> (Conferenza di Vienna, 1968)</w:t>
      </w:r>
      <w:r w:rsidRPr="00DB67B0">
        <w:t>.</w:t>
      </w:r>
      <w:r>
        <w:t xml:space="preserve"> R</w:t>
      </w:r>
      <w:r w:rsidRPr="00DB67B0">
        <w:t xml:space="preserve">ientrano </w:t>
      </w:r>
      <w:r>
        <w:t xml:space="preserve">pertanto </w:t>
      </w:r>
      <w:r w:rsidRPr="00DB67B0">
        <w:t>nel campo di osservazione tutti gli incidenti stradali verificatisi nelle vie o piazze aperte alla</w:t>
      </w:r>
      <w:r>
        <w:t xml:space="preserve"> pubblica </w:t>
      </w:r>
      <w:r w:rsidRPr="00DB67B0">
        <w:t xml:space="preserve">circolazione, nei quali risultano coinvolti veicoli fermi o in movimento e dai quali siano derivate lesioni a persone. </w:t>
      </w:r>
      <w:r>
        <w:t>S</w:t>
      </w:r>
      <w:r w:rsidRPr="00DB67B0">
        <w:t>ono esclusi</w:t>
      </w:r>
      <w:r>
        <w:t xml:space="preserve"> </w:t>
      </w:r>
      <w:r w:rsidRPr="00DB67B0">
        <w:t xml:space="preserve">dalla rilevazione i sinistri da cui non sono derivate lesioni alle persone, quelli che non si sono verificati nelle aree </w:t>
      </w:r>
      <w:r>
        <w:t xml:space="preserve">aperte alla </w:t>
      </w:r>
      <w:r w:rsidRPr="00DB67B0">
        <w:t>pubblic</w:t>
      </w:r>
      <w:r>
        <w:t>a</w:t>
      </w:r>
      <w:r w:rsidRPr="00DB67B0">
        <w:t xml:space="preserve"> circolazione, e i sinistri in cui non risultano coinvolti veicoli</w:t>
      </w:r>
      <w:r>
        <w:t xml:space="preserve">. </w:t>
      </w:r>
    </w:p>
    <w:p w14:paraId="18A15CB1" w14:textId="77777777" w:rsidR="00E27DAC" w:rsidRDefault="00E27DAC" w:rsidP="00F52AE6">
      <w:pPr>
        <w:pStyle w:val="Corpodeltesto2"/>
        <w:spacing w:after="120"/>
      </w:pPr>
      <w:r w:rsidRPr="00DB67B0">
        <w:t>L’unità di rilevazione è il singolo incidente stradale</w:t>
      </w:r>
      <w:r>
        <w:t xml:space="preserve"> con lesioni a persone</w:t>
      </w:r>
      <w:r w:rsidRPr="00DB67B0">
        <w:t>.</w:t>
      </w:r>
      <w:r>
        <w:t xml:space="preserve"> </w:t>
      </w:r>
      <w:r w:rsidRPr="00DB67B0">
        <w:t>La rilevazione è riferita</w:t>
      </w:r>
      <w:r w:rsidRPr="00DB67B0">
        <w:rPr>
          <w:b/>
        </w:rPr>
        <w:t xml:space="preserve"> </w:t>
      </w:r>
      <w:r w:rsidRPr="00DB67B0">
        <w:t xml:space="preserve">al momento in cui l’incidente si è verificato. </w:t>
      </w:r>
    </w:p>
    <w:p w14:paraId="016DB631" w14:textId="77777777" w:rsidR="00E27DAC" w:rsidRDefault="00E27DAC" w:rsidP="00F52AE6">
      <w:pPr>
        <w:pStyle w:val="Corpodeltesto3"/>
        <w:spacing w:after="120"/>
        <w:rPr>
          <w:sz w:val="20"/>
        </w:rPr>
      </w:pPr>
      <w:r w:rsidRPr="00DB67B0">
        <w:rPr>
          <w:sz w:val="20"/>
        </w:rPr>
        <w:t>I risultati dell’indagine sono pubblicati regolarmente dal 1952. L’indagine è stata p</w:t>
      </w:r>
      <w:r>
        <w:rPr>
          <w:sz w:val="20"/>
        </w:rPr>
        <w:t xml:space="preserve">iù volte ristrutturata. In particolare, nel </w:t>
      </w:r>
      <w:r w:rsidRPr="00DB67B0">
        <w:rPr>
          <w:sz w:val="20"/>
        </w:rPr>
        <w:t>1991</w:t>
      </w:r>
      <w:r>
        <w:rPr>
          <w:sz w:val="20"/>
        </w:rPr>
        <w:t xml:space="preserve"> </w:t>
      </w:r>
      <w:r w:rsidRPr="00DB67B0">
        <w:rPr>
          <w:sz w:val="20"/>
        </w:rPr>
        <w:t>l’Istituto ha provveduto ad uniformare il concetto di incidente stradale alle definizioni internazionali</w:t>
      </w:r>
      <w:r>
        <w:rPr>
          <w:sz w:val="20"/>
        </w:rPr>
        <w:t xml:space="preserve">: </w:t>
      </w:r>
      <w:r w:rsidRPr="00DB67B0">
        <w:rPr>
          <w:sz w:val="20"/>
        </w:rPr>
        <w:t xml:space="preserve">viene interrotta la registrazione degli incidenti stradali che non comportano danni alle persone </w:t>
      </w:r>
      <w:r>
        <w:rPr>
          <w:sz w:val="20"/>
        </w:rPr>
        <w:t>e considerati solo gli incidenti con lesioni a persone</w:t>
      </w:r>
      <w:r w:rsidRPr="00DB67B0">
        <w:rPr>
          <w:sz w:val="20"/>
        </w:rPr>
        <w:t>.</w:t>
      </w:r>
      <w:r>
        <w:rPr>
          <w:sz w:val="20"/>
        </w:rPr>
        <w:t xml:space="preserve"> Inoltre, a</w:t>
      </w:r>
      <w:r w:rsidRPr="00DB67B0">
        <w:rPr>
          <w:sz w:val="20"/>
        </w:rPr>
        <w:t xml:space="preserve"> decorrere dal 1° gennaio 1999</w:t>
      </w:r>
      <w:r>
        <w:rPr>
          <w:sz w:val="20"/>
        </w:rPr>
        <w:t>, è stata adeguata la definizione di “morto in incidente stradale”, includendo tutte le</w:t>
      </w:r>
      <w:r w:rsidRPr="00DB67B0">
        <w:rPr>
          <w:sz w:val="20"/>
        </w:rPr>
        <w:t xml:space="preserve"> persone decedute sul colpo o entro il trentesimo giorno a partire da quello </w:t>
      </w:r>
      <w:r>
        <w:rPr>
          <w:sz w:val="20"/>
        </w:rPr>
        <w:t xml:space="preserve">in cui si è verificato </w:t>
      </w:r>
      <w:r w:rsidRPr="00DB67B0">
        <w:rPr>
          <w:sz w:val="20"/>
        </w:rPr>
        <w:t xml:space="preserve">l’incidente. </w:t>
      </w:r>
      <w:r>
        <w:rPr>
          <w:sz w:val="20"/>
        </w:rPr>
        <w:t>F</w:t>
      </w:r>
      <w:r w:rsidRPr="00DB67B0">
        <w:rPr>
          <w:sz w:val="20"/>
        </w:rPr>
        <w:t xml:space="preserve">ino al 31 dicembre 1998 la contabilizzazione dei decessi considerava </w:t>
      </w:r>
      <w:r>
        <w:rPr>
          <w:sz w:val="20"/>
        </w:rPr>
        <w:t xml:space="preserve">invece </w:t>
      </w:r>
      <w:r w:rsidRPr="00DB67B0">
        <w:rPr>
          <w:sz w:val="20"/>
        </w:rPr>
        <w:t>solo quelli avvenuti entro sette giorni dal momento del sinistro stradale</w:t>
      </w:r>
      <w:r>
        <w:rPr>
          <w:sz w:val="20"/>
        </w:rPr>
        <w:t>.</w:t>
      </w:r>
    </w:p>
    <w:p w14:paraId="68F318A4" w14:textId="77777777" w:rsidR="00E27DAC" w:rsidRPr="005C049E" w:rsidRDefault="00E27DAC" w:rsidP="00266EB1">
      <w:pPr>
        <w:pStyle w:val="Corpodeltesto3"/>
        <w:spacing w:after="120"/>
        <w:ind w:left="426"/>
        <w:rPr>
          <w:sz w:val="20"/>
        </w:rPr>
      </w:pPr>
      <w:r w:rsidRPr="005C049E">
        <w:rPr>
          <w:sz w:val="20"/>
        </w:rPr>
        <w:t>Le principali caratteristiche rilevate sono:</w:t>
      </w:r>
    </w:p>
    <w:p w14:paraId="5105372D" w14:textId="77777777" w:rsidR="00E27DAC" w:rsidRPr="00DB67B0" w:rsidRDefault="00E27DAC" w:rsidP="00EE20E2">
      <w:pPr>
        <w:numPr>
          <w:ilvl w:val="0"/>
          <w:numId w:val="6"/>
        </w:numPr>
        <w:ind w:left="426" w:hanging="425"/>
        <w:jc w:val="both"/>
        <w:rPr>
          <w:snapToGrid w:val="0"/>
          <w:sz w:val="20"/>
        </w:rPr>
      </w:pPr>
      <w:r w:rsidRPr="00DB67B0">
        <w:rPr>
          <w:snapToGrid w:val="0"/>
          <w:sz w:val="20"/>
        </w:rPr>
        <w:t>Data</w:t>
      </w:r>
      <w:r>
        <w:rPr>
          <w:snapToGrid w:val="0"/>
          <w:sz w:val="20"/>
        </w:rPr>
        <w:t>, ora</w:t>
      </w:r>
      <w:r>
        <w:rPr>
          <w:rStyle w:val="Rimandonotaapidipagina"/>
          <w:snapToGrid w:val="0"/>
          <w:sz w:val="20"/>
        </w:rPr>
        <w:footnoteReference w:id="17"/>
      </w:r>
      <w:r w:rsidRPr="00DB67B0">
        <w:rPr>
          <w:snapToGrid w:val="0"/>
          <w:sz w:val="20"/>
        </w:rPr>
        <w:t xml:space="preserve"> e località dell’incidente</w:t>
      </w:r>
    </w:p>
    <w:p w14:paraId="5022985B" w14:textId="77777777" w:rsidR="00E27DAC" w:rsidRPr="00DB67B0" w:rsidRDefault="00E27DAC" w:rsidP="00EE20E2">
      <w:pPr>
        <w:numPr>
          <w:ilvl w:val="0"/>
          <w:numId w:val="6"/>
        </w:numPr>
        <w:ind w:left="426" w:hanging="425"/>
        <w:jc w:val="both"/>
        <w:rPr>
          <w:snapToGrid w:val="0"/>
          <w:sz w:val="20"/>
        </w:rPr>
      </w:pPr>
      <w:r w:rsidRPr="00DB67B0">
        <w:rPr>
          <w:snapToGrid w:val="0"/>
          <w:sz w:val="20"/>
        </w:rPr>
        <w:t>Organo di rilevazione</w:t>
      </w:r>
    </w:p>
    <w:p w14:paraId="5A3BC12F" w14:textId="77777777" w:rsidR="00E27DAC" w:rsidRPr="00DB67B0" w:rsidRDefault="00E27DAC" w:rsidP="00EE20E2">
      <w:pPr>
        <w:numPr>
          <w:ilvl w:val="0"/>
          <w:numId w:val="6"/>
        </w:numPr>
        <w:ind w:left="426" w:hanging="425"/>
        <w:jc w:val="both"/>
        <w:rPr>
          <w:snapToGrid w:val="0"/>
          <w:sz w:val="20"/>
        </w:rPr>
      </w:pPr>
      <w:r w:rsidRPr="00DB67B0">
        <w:rPr>
          <w:snapToGrid w:val="0"/>
          <w:sz w:val="20"/>
        </w:rPr>
        <w:t>Localizzazione dell’incidente</w:t>
      </w:r>
      <w:r>
        <w:rPr>
          <w:snapToGrid w:val="0"/>
          <w:sz w:val="20"/>
        </w:rPr>
        <w:t xml:space="preserve"> </w:t>
      </w:r>
    </w:p>
    <w:p w14:paraId="416F1804" w14:textId="77777777" w:rsidR="00E27DAC" w:rsidRDefault="00E27DAC" w:rsidP="00EE20E2">
      <w:pPr>
        <w:numPr>
          <w:ilvl w:val="0"/>
          <w:numId w:val="6"/>
        </w:numPr>
        <w:ind w:left="426" w:hanging="425"/>
        <w:jc w:val="both"/>
        <w:rPr>
          <w:snapToGrid w:val="0"/>
          <w:sz w:val="20"/>
        </w:rPr>
      </w:pPr>
      <w:r>
        <w:rPr>
          <w:snapToGrid w:val="0"/>
          <w:sz w:val="20"/>
        </w:rPr>
        <w:t xml:space="preserve">Tipo di strada, </w:t>
      </w:r>
    </w:p>
    <w:p w14:paraId="5DF93987" w14:textId="77777777" w:rsidR="00E27DAC" w:rsidRDefault="00E27DAC" w:rsidP="00EE20E2">
      <w:pPr>
        <w:numPr>
          <w:ilvl w:val="0"/>
          <w:numId w:val="6"/>
        </w:numPr>
        <w:ind w:left="426" w:hanging="425"/>
        <w:jc w:val="both"/>
        <w:rPr>
          <w:snapToGrid w:val="0"/>
          <w:sz w:val="20"/>
        </w:rPr>
      </w:pPr>
      <w:r>
        <w:rPr>
          <w:snapToGrid w:val="0"/>
          <w:sz w:val="20"/>
        </w:rPr>
        <w:t>P</w:t>
      </w:r>
      <w:r w:rsidRPr="00633D02">
        <w:rPr>
          <w:snapToGrid w:val="0"/>
          <w:sz w:val="20"/>
        </w:rPr>
        <w:t xml:space="preserve">avimentazione </w:t>
      </w:r>
    </w:p>
    <w:p w14:paraId="3D20D559" w14:textId="77777777" w:rsidR="00E27DAC" w:rsidRPr="00633D02" w:rsidRDefault="00E27DAC" w:rsidP="00EE20E2">
      <w:pPr>
        <w:numPr>
          <w:ilvl w:val="0"/>
          <w:numId w:val="6"/>
        </w:numPr>
        <w:ind w:left="426" w:hanging="425"/>
        <w:jc w:val="both"/>
        <w:rPr>
          <w:snapToGrid w:val="0"/>
          <w:sz w:val="20"/>
        </w:rPr>
      </w:pPr>
      <w:r>
        <w:rPr>
          <w:snapToGrid w:val="0"/>
          <w:sz w:val="20"/>
        </w:rPr>
        <w:t>F</w:t>
      </w:r>
      <w:r w:rsidRPr="00633D02">
        <w:rPr>
          <w:snapToGrid w:val="0"/>
          <w:sz w:val="20"/>
        </w:rPr>
        <w:t>ondo stradale</w:t>
      </w:r>
    </w:p>
    <w:p w14:paraId="2FA580FD" w14:textId="77777777" w:rsidR="00E27DAC" w:rsidRPr="00DB67B0" w:rsidRDefault="00E27DAC" w:rsidP="00EE20E2">
      <w:pPr>
        <w:numPr>
          <w:ilvl w:val="0"/>
          <w:numId w:val="6"/>
        </w:numPr>
        <w:ind w:left="426" w:hanging="425"/>
        <w:jc w:val="both"/>
        <w:rPr>
          <w:snapToGrid w:val="0"/>
          <w:sz w:val="20"/>
        </w:rPr>
      </w:pPr>
      <w:r w:rsidRPr="00DB67B0">
        <w:rPr>
          <w:snapToGrid w:val="0"/>
          <w:sz w:val="20"/>
        </w:rPr>
        <w:t>Segnaletica</w:t>
      </w:r>
    </w:p>
    <w:p w14:paraId="7B523296" w14:textId="77777777" w:rsidR="00E27DAC" w:rsidRPr="00DB67B0" w:rsidRDefault="00E27DAC" w:rsidP="00EE20E2">
      <w:pPr>
        <w:numPr>
          <w:ilvl w:val="0"/>
          <w:numId w:val="6"/>
        </w:numPr>
        <w:ind w:left="426" w:hanging="425"/>
        <w:jc w:val="both"/>
        <w:rPr>
          <w:snapToGrid w:val="0"/>
          <w:sz w:val="20"/>
        </w:rPr>
      </w:pPr>
      <w:r w:rsidRPr="00DB67B0">
        <w:rPr>
          <w:snapToGrid w:val="0"/>
          <w:sz w:val="20"/>
        </w:rPr>
        <w:t>Condizioni meteorologiche</w:t>
      </w:r>
    </w:p>
    <w:p w14:paraId="1B6BAC0A" w14:textId="77777777" w:rsidR="00E27DAC" w:rsidRPr="00DB67B0" w:rsidRDefault="00E27DAC" w:rsidP="00EE20E2">
      <w:pPr>
        <w:numPr>
          <w:ilvl w:val="0"/>
          <w:numId w:val="6"/>
        </w:numPr>
        <w:ind w:left="426" w:hanging="425"/>
        <w:jc w:val="both"/>
        <w:rPr>
          <w:snapToGrid w:val="0"/>
          <w:sz w:val="20"/>
        </w:rPr>
      </w:pPr>
      <w:r w:rsidRPr="00DB67B0">
        <w:rPr>
          <w:snapToGrid w:val="0"/>
          <w:sz w:val="20"/>
        </w:rPr>
        <w:lastRenderedPageBreak/>
        <w:t>Natura dell’incidente (scontro, fuoriuscita, investimento, ecc</w:t>
      </w:r>
      <w:r>
        <w:rPr>
          <w:snapToGrid w:val="0"/>
          <w:sz w:val="20"/>
        </w:rPr>
        <w:t>.</w:t>
      </w:r>
      <w:r w:rsidRPr="00DB67B0">
        <w:rPr>
          <w:snapToGrid w:val="0"/>
          <w:sz w:val="20"/>
        </w:rPr>
        <w:t>)</w:t>
      </w:r>
    </w:p>
    <w:p w14:paraId="0CB3C5BE" w14:textId="77777777" w:rsidR="00E27DAC" w:rsidRDefault="00E27DAC" w:rsidP="00EE20E2">
      <w:pPr>
        <w:numPr>
          <w:ilvl w:val="0"/>
          <w:numId w:val="6"/>
        </w:numPr>
        <w:ind w:left="426" w:hanging="425"/>
        <w:jc w:val="both"/>
        <w:rPr>
          <w:snapToGrid w:val="0"/>
          <w:sz w:val="20"/>
        </w:rPr>
      </w:pPr>
      <w:r w:rsidRPr="00DB67B0">
        <w:rPr>
          <w:snapToGrid w:val="0"/>
          <w:sz w:val="20"/>
        </w:rPr>
        <w:t>Tipo di veicoli coinvolti</w:t>
      </w:r>
    </w:p>
    <w:p w14:paraId="67B5AFC9" w14:textId="77777777" w:rsidR="00E27DAC" w:rsidRPr="00595BC1" w:rsidRDefault="00E27DAC" w:rsidP="00EE20E2">
      <w:pPr>
        <w:numPr>
          <w:ilvl w:val="0"/>
          <w:numId w:val="6"/>
        </w:numPr>
        <w:ind w:left="426" w:hanging="425"/>
        <w:jc w:val="both"/>
        <w:rPr>
          <w:snapToGrid w:val="0"/>
          <w:sz w:val="20"/>
        </w:rPr>
      </w:pPr>
      <w:r w:rsidRPr="00DB67B0">
        <w:rPr>
          <w:snapToGrid w:val="0"/>
          <w:sz w:val="20"/>
        </w:rPr>
        <w:t>Conseguenze dell’incidente alle persone</w:t>
      </w:r>
    </w:p>
    <w:p w14:paraId="4025A0D7" w14:textId="77777777" w:rsidR="00E27DAC" w:rsidRDefault="00E27DAC" w:rsidP="00EE20E2">
      <w:pPr>
        <w:numPr>
          <w:ilvl w:val="0"/>
          <w:numId w:val="6"/>
        </w:numPr>
        <w:ind w:left="426" w:hanging="425"/>
        <w:jc w:val="both"/>
        <w:rPr>
          <w:snapToGrid w:val="0"/>
          <w:sz w:val="20"/>
        </w:rPr>
      </w:pPr>
      <w:r w:rsidRPr="00633D02">
        <w:rPr>
          <w:snapToGrid w:val="0"/>
          <w:sz w:val="20"/>
        </w:rPr>
        <w:t>Nominativi dei morti, dei feriti e Istituto di ricovero</w:t>
      </w:r>
    </w:p>
    <w:p w14:paraId="7E982461" w14:textId="77777777" w:rsidR="00C07BF6" w:rsidRPr="00633D02" w:rsidRDefault="00C07BF6" w:rsidP="00EE20E2">
      <w:pPr>
        <w:numPr>
          <w:ilvl w:val="0"/>
          <w:numId w:val="6"/>
        </w:numPr>
        <w:ind w:left="426" w:hanging="425"/>
        <w:jc w:val="both"/>
        <w:rPr>
          <w:snapToGrid w:val="0"/>
          <w:sz w:val="20"/>
        </w:rPr>
      </w:pPr>
      <w:r>
        <w:rPr>
          <w:snapToGrid w:val="0"/>
          <w:sz w:val="20"/>
        </w:rPr>
        <w:t>Dati anagrafici di conducenti, trasportati e pedoni</w:t>
      </w:r>
    </w:p>
    <w:p w14:paraId="2DB899FF" w14:textId="77777777" w:rsidR="00E27DAC" w:rsidRDefault="00E27DAC" w:rsidP="00EE20E2">
      <w:pPr>
        <w:keepNext/>
        <w:numPr>
          <w:ilvl w:val="0"/>
          <w:numId w:val="6"/>
        </w:numPr>
        <w:tabs>
          <w:tab w:val="clear" w:pos="757"/>
          <w:tab w:val="num" w:pos="426"/>
        </w:tabs>
        <w:ind w:left="0" w:firstLine="0"/>
        <w:jc w:val="both"/>
        <w:outlineLvl w:val="0"/>
        <w:rPr>
          <w:snapToGrid w:val="0"/>
          <w:sz w:val="20"/>
        </w:rPr>
      </w:pPr>
      <w:r w:rsidRPr="00633D02">
        <w:rPr>
          <w:snapToGrid w:val="0"/>
          <w:sz w:val="20"/>
        </w:rPr>
        <w:t>Circostanze dell’incidente</w:t>
      </w:r>
    </w:p>
    <w:p w14:paraId="1DF88FC0" w14:textId="77777777" w:rsidR="00E27DAC" w:rsidRPr="005C049E" w:rsidRDefault="00E27DAC" w:rsidP="00F52AE6">
      <w:pPr>
        <w:pStyle w:val="Corpodeltesto3"/>
        <w:rPr>
          <w:snapToGrid w:val="0"/>
          <w:sz w:val="20"/>
        </w:rPr>
      </w:pPr>
    </w:p>
    <w:p w14:paraId="63AF707F" w14:textId="77777777" w:rsidR="00E27DAC" w:rsidRPr="002A15BD" w:rsidRDefault="00E27DAC" w:rsidP="00F52AE6">
      <w:pPr>
        <w:pStyle w:val="Rientrocorpodeltesto"/>
        <w:spacing w:after="120"/>
        <w:ind w:firstLine="0"/>
        <w:rPr>
          <w:b/>
          <w:bCs/>
          <w:sz w:val="22"/>
          <w:szCs w:val="22"/>
        </w:rPr>
      </w:pPr>
      <w:r>
        <w:rPr>
          <w:b/>
          <w:bCs/>
          <w:sz w:val="22"/>
          <w:szCs w:val="22"/>
        </w:rPr>
        <w:t>R</w:t>
      </w:r>
      <w:r w:rsidRPr="002A15BD">
        <w:rPr>
          <w:b/>
          <w:bCs/>
          <w:sz w:val="22"/>
          <w:szCs w:val="22"/>
        </w:rPr>
        <w:t>accolta de</w:t>
      </w:r>
      <w:r>
        <w:rPr>
          <w:b/>
          <w:bCs/>
          <w:sz w:val="22"/>
          <w:szCs w:val="22"/>
        </w:rPr>
        <w:t>i dati</w:t>
      </w:r>
    </w:p>
    <w:p w14:paraId="5C7B975F" w14:textId="77777777" w:rsidR="00E27DAC" w:rsidRPr="00595BC1" w:rsidRDefault="00E27DAC" w:rsidP="00F52AE6">
      <w:pPr>
        <w:spacing w:after="120"/>
        <w:jc w:val="both"/>
        <w:rPr>
          <w:sz w:val="20"/>
        </w:rPr>
      </w:pPr>
      <w:r w:rsidRPr="00DB67B0">
        <w:rPr>
          <w:sz w:val="20"/>
        </w:rPr>
        <w:t>La rilevazione, analogamente a quanto accade negli altri Paesi europei, è eseguita con la collaborazione di Organi pubblic</w:t>
      </w:r>
      <w:r>
        <w:rPr>
          <w:sz w:val="20"/>
        </w:rPr>
        <w:t>i a competenza locale (Polizia S</w:t>
      </w:r>
      <w:r w:rsidRPr="00DB67B0">
        <w:rPr>
          <w:sz w:val="20"/>
        </w:rPr>
        <w:t>tradale, Carabinieri, Polizia locale o municipale</w:t>
      </w:r>
      <w:r>
        <w:rPr>
          <w:sz w:val="20"/>
        </w:rPr>
        <w:t xml:space="preserve">, </w:t>
      </w:r>
      <w:r w:rsidRPr="00DB67B0">
        <w:rPr>
          <w:sz w:val="20"/>
        </w:rPr>
        <w:t>Polizia provinciale</w:t>
      </w:r>
      <w:r>
        <w:rPr>
          <w:sz w:val="20"/>
        </w:rPr>
        <w:t xml:space="preserve"> e altri organismi</w:t>
      </w:r>
      <w:r w:rsidRPr="00DB67B0">
        <w:rPr>
          <w:sz w:val="20"/>
        </w:rPr>
        <w:t>) che hanno in via istituzionale la possibilità di raccogliere gli elementi caratter</w:t>
      </w:r>
      <w:r>
        <w:rPr>
          <w:sz w:val="20"/>
        </w:rPr>
        <w:t xml:space="preserve">istici degli incidenti stradali verbalizzati. </w:t>
      </w:r>
      <w:r w:rsidRPr="001F1EDB">
        <w:rPr>
          <w:sz w:val="20"/>
        </w:rPr>
        <w:t xml:space="preserve">La rilevazione viene effettuata </w:t>
      </w:r>
      <w:r w:rsidRPr="001C4451">
        <w:rPr>
          <w:sz w:val="20"/>
        </w:rPr>
        <w:t xml:space="preserve">attraverso la registrazione dei dati e </w:t>
      </w:r>
      <w:r w:rsidRPr="0008465D">
        <w:rPr>
          <w:sz w:val="20"/>
        </w:rPr>
        <w:t>l’invio di un file contenente le in</w:t>
      </w:r>
      <w:r w:rsidRPr="00212752">
        <w:rPr>
          <w:sz w:val="20"/>
        </w:rPr>
        <w:t>formazioni concordate con Istat o mediante compilazione del questionario cartaceo (</w:t>
      </w:r>
      <w:r w:rsidRPr="00595BC1">
        <w:rPr>
          <w:sz w:val="20"/>
        </w:rPr>
        <w:t>modello Istat CTT/INC).</w:t>
      </w:r>
    </w:p>
    <w:p w14:paraId="0C6AEC2F" w14:textId="77777777" w:rsidR="00E27DAC" w:rsidRPr="00F73CC6" w:rsidRDefault="00E27DAC" w:rsidP="00F52AE6">
      <w:pPr>
        <w:spacing w:after="120"/>
        <w:jc w:val="both"/>
        <w:rPr>
          <w:rFonts w:cs="Times New Roman"/>
          <w:iCs/>
          <w:sz w:val="20"/>
        </w:rPr>
      </w:pPr>
      <w:r w:rsidRPr="00F73CC6">
        <w:rPr>
          <w:rFonts w:cs="Times New Roman"/>
          <w:iCs/>
          <w:sz w:val="20"/>
        </w:rPr>
        <w:t>Il flusso di indagine standard prevede una periodicità mensile di trasmissione, con invio entro 45 giorni dal termine del mese di rilevazione</w:t>
      </w:r>
      <w:r>
        <w:rPr>
          <w:rFonts w:cs="Times New Roman"/>
          <w:iCs/>
          <w:sz w:val="20"/>
        </w:rPr>
        <w:t>. E</w:t>
      </w:r>
      <w:r w:rsidRPr="00F73CC6">
        <w:rPr>
          <w:rFonts w:cs="Times New Roman"/>
          <w:iCs/>
          <w:sz w:val="20"/>
        </w:rPr>
        <w:t xml:space="preserve">sistono però, ad oggi, diverse modalità e tempistica di invio regolamentate dagli accordi specifici in essere con i diversi Organismi locali. In particolare, </w:t>
      </w:r>
      <w:r>
        <w:rPr>
          <w:rFonts w:cs="Times New Roman"/>
          <w:iCs/>
          <w:sz w:val="20"/>
        </w:rPr>
        <w:t>l</w:t>
      </w:r>
      <w:r w:rsidRPr="00F73CC6">
        <w:rPr>
          <w:rFonts w:cs="Times New Roman"/>
          <w:iCs/>
          <w:sz w:val="20"/>
        </w:rPr>
        <w:t>a tempistica richiesta di invio dei dati a I</w:t>
      </w:r>
      <w:r>
        <w:rPr>
          <w:rFonts w:cs="Times New Roman"/>
          <w:iCs/>
          <w:sz w:val="20"/>
        </w:rPr>
        <w:t>stat, per le Regioni e Province aderenti a Protocollo di Intesa o Convenzioni,</w:t>
      </w:r>
      <w:r w:rsidRPr="00F73CC6">
        <w:rPr>
          <w:rFonts w:cs="Times New Roman"/>
          <w:iCs/>
          <w:sz w:val="20"/>
        </w:rPr>
        <w:t xml:space="preserve"> è a cadenza trimestrale alle date 30/4, 31/7, 31/10, 31/1 e </w:t>
      </w:r>
      <w:r>
        <w:rPr>
          <w:rFonts w:cs="Times New Roman"/>
          <w:iCs/>
          <w:sz w:val="20"/>
        </w:rPr>
        <w:t>prevede l’invio del dato</w:t>
      </w:r>
      <w:r w:rsidRPr="00F73CC6">
        <w:rPr>
          <w:rFonts w:cs="Times New Roman"/>
          <w:iCs/>
          <w:sz w:val="20"/>
        </w:rPr>
        <w:t xml:space="preserve"> consolidato annuale (riferito all’anno precedente) entro il 31/5 di ogni anno.</w:t>
      </w:r>
      <w:r>
        <w:rPr>
          <w:rFonts w:cs="Times New Roman"/>
          <w:iCs/>
          <w:sz w:val="20"/>
        </w:rPr>
        <w:t xml:space="preserve"> </w:t>
      </w:r>
      <w:r w:rsidRPr="00F73CC6">
        <w:rPr>
          <w:rFonts w:cs="Times New Roman"/>
          <w:iCs/>
          <w:sz w:val="20"/>
        </w:rPr>
        <w:t xml:space="preserve">Il dato inviato trimestralmente </w:t>
      </w:r>
      <w:r>
        <w:rPr>
          <w:rFonts w:cs="Times New Roman"/>
          <w:iCs/>
          <w:sz w:val="20"/>
        </w:rPr>
        <w:t>è</w:t>
      </w:r>
      <w:r w:rsidRPr="00F73CC6">
        <w:rPr>
          <w:rFonts w:cs="Times New Roman"/>
          <w:iCs/>
          <w:sz w:val="20"/>
        </w:rPr>
        <w:t xml:space="preserve"> da considerarsi come dato preliminare da aggiornarsi con le informazioni consolidate in fasi successive.</w:t>
      </w:r>
    </w:p>
    <w:p w14:paraId="7CF3844A" w14:textId="77777777" w:rsidR="00E27DAC" w:rsidRDefault="00E27DAC" w:rsidP="00F52AE6">
      <w:pPr>
        <w:pStyle w:val="Corpodeltesto3"/>
        <w:spacing w:after="120"/>
        <w:rPr>
          <w:sz w:val="20"/>
        </w:rPr>
      </w:pPr>
      <w:r>
        <w:rPr>
          <w:sz w:val="20"/>
        </w:rPr>
        <w:t xml:space="preserve">Per quanto concerne i </w:t>
      </w:r>
      <w:r w:rsidRPr="0030326B">
        <w:rPr>
          <w:i/>
          <w:sz w:val="20"/>
        </w:rPr>
        <w:t>nuovi modelli organizzativi</w:t>
      </w:r>
      <w:r>
        <w:rPr>
          <w:sz w:val="20"/>
        </w:rPr>
        <w:t xml:space="preserve"> adottati, a</w:t>
      </w:r>
      <w:r w:rsidRPr="00DB67B0">
        <w:rPr>
          <w:sz w:val="20"/>
        </w:rPr>
        <w:t xml:space="preserve"> partire dal 1999 l’Istat ha valorizzato forme di collaborazione a livello locale che </w:t>
      </w:r>
      <w:r>
        <w:rPr>
          <w:sz w:val="20"/>
        </w:rPr>
        <w:t xml:space="preserve">hanno </w:t>
      </w:r>
      <w:r w:rsidRPr="00DB67B0">
        <w:rPr>
          <w:sz w:val="20"/>
        </w:rPr>
        <w:t>consent</w:t>
      </w:r>
      <w:r>
        <w:rPr>
          <w:sz w:val="20"/>
        </w:rPr>
        <w:t>ito</w:t>
      </w:r>
      <w:r w:rsidRPr="00DB67B0">
        <w:rPr>
          <w:sz w:val="20"/>
        </w:rPr>
        <w:t xml:space="preserve"> agli operatori provinciali o regionali </w:t>
      </w:r>
      <w:r>
        <w:rPr>
          <w:sz w:val="20"/>
        </w:rPr>
        <w:t xml:space="preserve">di partecipare attivamente </w:t>
      </w:r>
      <w:r w:rsidRPr="00DB67B0">
        <w:rPr>
          <w:sz w:val="20"/>
        </w:rPr>
        <w:t>alla fase di rilevazione.</w:t>
      </w:r>
      <w:r>
        <w:rPr>
          <w:sz w:val="20"/>
        </w:rPr>
        <w:t xml:space="preserve"> Questo indirizzo è stato poi consolidato dalla necessità di coinvolgere nella rilevazione i Centri di Monitoraggio Regionali e Provinciali, istituiti a partire dal 2002 a seguito delle nuove disposizioni del</w:t>
      </w:r>
      <w:r w:rsidRPr="00223681">
        <w:rPr>
          <w:sz w:val="20"/>
        </w:rPr>
        <w:t xml:space="preserve"> P</w:t>
      </w:r>
      <w:r>
        <w:rPr>
          <w:sz w:val="20"/>
        </w:rPr>
        <w:t>r</w:t>
      </w:r>
      <w:r w:rsidRPr="00223681">
        <w:rPr>
          <w:sz w:val="20"/>
        </w:rPr>
        <w:t xml:space="preserve">ogramma </w:t>
      </w:r>
      <w:r>
        <w:rPr>
          <w:sz w:val="20"/>
        </w:rPr>
        <w:t>Nazionale di</w:t>
      </w:r>
      <w:r w:rsidRPr="00223681">
        <w:rPr>
          <w:sz w:val="20"/>
        </w:rPr>
        <w:t xml:space="preserve"> Sicurezza Stradale.</w:t>
      </w:r>
      <w:r>
        <w:rPr>
          <w:sz w:val="20"/>
        </w:rPr>
        <w:t xml:space="preserve"> Tra i compiti di tali centri figurano infatti il miglioramento del</w:t>
      </w:r>
      <w:r w:rsidRPr="00223681">
        <w:rPr>
          <w:sz w:val="20"/>
        </w:rPr>
        <w:t>la completezza, la qualità e la tempestività della rilev</w:t>
      </w:r>
      <w:r w:rsidR="00254CE0">
        <w:rPr>
          <w:sz w:val="20"/>
        </w:rPr>
        <w:t>azione degli incidenti stradali.</w:t>
      </w:r>
    </w:p>
    <w:p w14:paraId="2526F416" w14:textId="77777777" w:rsidR="00E27DAC" w:rsidRPr="00DB67B0" w:rsidRDefault="00E27DAC" w:rsidP="00F52AE6">
      <w:pPr>
        <w:pStyle w:val="Testonormale"/>
        <w:spacing w:after="120"/>
        <w:jc w:val="both"/>
        <w:rPr>
          <w:rFonts w:ascii="Arial" w:hAnsi="Arial"/>
        </w:rPr>
      </w:pPr>
      <w:r w:rsidRPr="00DB67B0">
        <w:rPr>
          <w:rFonts w:ascii="Arial" w:hAnsi="Arial"/>
        </w:rPr>
        <w:t>A seguito</w:t>
      </w:r>
      <w:r>
        <w:rPr>
          <w:rFonts w:ascii="Arial" w:hAnsi="Arial"/>
        </w:rPr>
        <w:t xml:space="preserve"> </w:t>
      </w:r>
      <w:r w:rsidRPr="00DB67B0">
        <w:rPr>
          <w:rFonts w:ascii="Arial" w:hAnsi="Arial"/>
        </w:rPr>
        <w:t>della necessità di far fronte all’esigenza sempre crescente delle Amministrazioni locali di avere a disposizione dati preliminari per la programmazione di interventi mirati ed efficaci in materia di sicurezza stradale, nel dicembre 2007</w:t>
      </w:r>
      <w:r>
        <w:rPr>
          <w:rFonts w:ascii="Arial" w:hAnsi="Arial"/>
        </w:rPr>
        <w:t xml:space="preserve"> è stato stipulato un primo</w:t>
      </w:r>
      <w:r w:rsidRPr="00DB67B0">
        <w:rPr>
          <w:rFonts w:ascii="Arial" w:hAnsi="Arial"/>
        </w:rPr>
        <w:t xml:space="preserve"> “Protocollo di Intesa per il coordinamento delle attività inerenti la rilevazione statistica sull’incidentalità stradale”.</w:t>
      </w:r>
      <w:r>
        <w:rPr>
          <w:rFonts w:ascii="Arial" w:hAnsi="Arial"/>
        </w:rPr>
        <w:t xml:space="preserve"> Alla conclusione della fase di sperimentazione delle attività di decentramento ha fatto seguito, nel luglio 2011, un nuovo Protocollo di intesa, rinnovato poi </w:t>
      </w:r>
      <w:r w:rsidRPr="001F1EDB">
        <w:rPr>
          <w:rFonts w:ascii="Arial" w:hAnsi="Arial"/>
        </w:rPr>
        <w:t>nel 201</w:t>
      </w:r>
      <w:r w:rsidRPr="00595BC1">
        <w:rPr>
          <w:rFonts w:ascii="Arial" w:hAnsi="Arial"/>
        </w:rPr>
        <w:t>5</w:t>
      </w:r>
      <w:r w:rsidR="00CF2C8B">
        <w:rPr>
          <w:rFonts w:ascii="Arial" w:hAnsi="Arial"/>
        </w:rPr>
        <w:t xml:space="preserve">, </w:t>
      </w:r>
      <w:r>
        <w:rPr>
          <w:rFonts w:ascii="Arial" w:hAnsi="Arial"/>
        </w:rPr>
        <w:t>nel 2016</w:t>
      </w:r>
      <w:r w:rsidR="00CF2C8B">
        <w:rPr>
          <w:rFonts w:ascii="Arial" w:hAnsi="Arial"/>
        </w:rPr>
        <w:t xml:space="preserve"> e nel 2020</w:t>
      </w:r>
      <w:r w:rsidRPr="001F1EDB">
        <w:rPr>
          <w:rFonts w:ascii="Arial" w:hAnsi="Arial"/>
        </w:rPr>
        <w:t>. Gli</w:t>
      </w:r>
      <w:r w:rsidRPr="00DB67B0">
        <w:rPr>
          <w:rFonts w:ascii="Arial" w:hAnsi="Arial"/>
        </w:rPr>
        <w:t xml:space="preserve"> Enti e gli Organismi firmatari sono l’Istat, il Ministero dell’Interno, il Ministero della Difesa, il Ministero dei Trasporti, la Conferenza delle Regioni e delle Province autonome, l’Unione delle Province d’Italia e l’Associazione Nazionale dei Comuni d’Italia.</w:t>
      </w:r>
      <w:r>
        <w:rPr>
          <w:rFonts w:ascii="Arial" w:hAnsi="Arial"/>
        </w:rPr>
        <w:t xml:space="preserve"> </w:t>
      </w:r>
    </w:p>
    <w:p w14:paraId="626EA45E" w14:textId="77777777" w:rsidR="00E27DAC" w:rsidRDefault="00E27DAC" w:rsidP="00F52AE6">
      <w:pPr>
        <w:spacing w:after="120"/>
        <w:jc w:val="both"/>
        <w:rPr>
          <w:sz w:val="20"/>
        </w:rPr>
      </w:pPr>
      <w:r>
        <w:rPr>
          <w:sz w:val="20"/>
        </w:rPr>
        <w:t>A partire dal 2015, infine, esiste</w:t>
      </w:r>
      <w:r w:rsidRPr="001C4451">
        <w:rPr>
          <w:sz w:val="20"/>
        </w:rPr>
        <w:t xml:space="preserve"> </w:t>
      </w:r>
      <w:r>
        <w:rPr>
          <w:sz w:val="20"/>
        </w:rPr>
        <w:t xml:space="preserve">la possibilità di adesione al Protocollo di intesa </w:t>
      </w:r>
      <w:r w:rsidRPr="00B713F7">
        <w:rPr>
          <w:sz w:val="20"/>
        </w:rPr>
        <w:t xml:space="preserve">anche </w:t>
      </w:r>
      <w:r>
        <w:rPr>
          <w:sz w:val="20"/>
        </w:rPr>
        <w:t xml:space="preserve">per le Province, per </w:t>
      </w:r>
      <w:r w:rsidRPr="00B713F7">
        <w:rPr>
          <w:sz w:val="20"/>
        </w:rPr>
        <w:t xml:space="preserve">i Comuni capoluogo di provincia, </w:t>
      </w:r>
      <w:r>
        <w:rPr>
          <w:sz w:val="20"/>
        </w:rPr>
        <w:t xml:space="preserve">per </w:t>
      </w:r>
      <w:r w:rsidRPr="00B713F7">
        <w:rPr>
          <w:sz w:val="20"/>
        </w:rPr>
        <w:t>i</w:t>
      </w:r>
      <w:r>
        <w:rPr>
          <w:sz w:val="20"/>
        </w:rPr>
        <w:t xml:space="preserve"> </w:t>
      </w:r>
      <w:r w:rsidRPr="00B713F7">
        <w:rPr>
          <w:sz w:val="20"/>
        </w:rPr>
        <w:t xml:space="preserve">Comuni con più di </w:t>
      </w:r>
      <w:r w:rsidR="00855D55">
        <w:rPr>
          <w:sz w:val="20"/>
        </w:rPr>
        <w:t>50</w:t>
      </w:r>
      <w:r w:rsidRPr="00B713F7">
        <w:rPr>
          <w:sz w:val="20"/>
        </w:rPr>
        <w:t xml:space="preserve">mila abitanti e </w:t>
      </w:r>
      <w:r>
        <w:rPr>
          <w:sz w:val="20"/>
        </w:rPr>
        <w:t xml:space="preserve">per </w:t>
      </w:r>
      <w:r w:rsidRPr="00B713F7">
        <w:rPr>
          <w:sz w:val="20"/>
        </w:rPr>
        <w:t xml:space="preserve">le Città metropolitane </w:t>
      </w:r>
    </w:p>
    <w:p w14:paraId="49A482B7" w14:textId="77777777" w:rsidR="00E27DAC" w:rsidRDefault="00E27DAC" w:rsidP="00F52AE6">
      <w:pPr>
        <w:spacing w:after="120"/>
        <w:jc w:val="both"/>
        <w:rPr>
          <w:sz w:val="20"/>
        </w:rPr>
      </w:pPr>
      <w:r>
        <w:rPr>
          <w:sz w:val="20"/>
        </w:rPr>
        <w:t>Le R</w:t>
      </w:r>
      <w:r w:rsidRPr="00DB67B0">
        <w:rPr>
          <w:sz w:val="20"/>
        </w:rPr>
        <w:t>egio</w:t>
      </w:r>
      <w:r>
        <w:rPr>
          <w:sz w:val="20"/>
        </w:rPr>
        <w:t>ni che hanno attuato, ad oggi, il decentramento delle attività di raccolta e monitoraggio, nell’ambito dell’a</w:t>
      </w:r>
      <w:r w:rsidRPr="00DB67B0">
        <w:rPr>
          <w:sz w:val="20"/>
        </w:rPr>
        <w:t>ccordo</w:t>
      </w:r>
      <w:r>
        <w:rPr>
          <w:sz w:val="20"/>
        </w:rPr>
        <w:t xml:space="preserve"> e adottano un </w:t>
      </w:r>
      <w:r w:rsidRPr="00563915">
        <w:rPr>
          <w:b/>
          <w:sz w:val="20"/>
        </w:rPr>
        <w:t>modello decentrato informatizzato su base regionale</w:t>
      </w:r>
      <w:r>
        <w:t xml:space="preserve"> </w:t>
      </w:r>
      <w:r>
        <w:rPr>
          <w:sz w:val="20"/>
        </w:rPr>
        <w:t>sono</w:t>
      </w:r>
      <w:r w:rsidRPr="00DB67B0">
        <w:rPr>
          <w:sz w:val="20"/>
        </w:rPr>
        <w:t>, in ordine di adesione: Toscana, Piemonte, Lombardia, Emilia-Romagna, Puglia, Friuli Venezia Giulia</w:t>
      </w:r>
      <w:r>
        <w:rPr>
          <w:sz w:val="20"/>
        </w:rPr>
        <w:t>, Veneto, Liguria</w:t>
      </w:r>
      <w:r w:rsidR="00954536">
        <w:rPr>
          <w:sz w:val="20"/>
        </w:rPr>
        <w:t xml:space="preserve">, </w:t>
      </w:r>
      <w:r>
        <w:rPr>
          <w:sz w:val="20"/>
        </w:rPr>
        <w:t>Calabria</w:t>
      </w:r>
      <w:r w:rsidR="00954536">
        <w:rPr>
          <w:sz w:val="20"/>
        </w:rPr>
        <w:t xml:space="preserve"> e Lazio</w:t>
      </w:r>
      <w:r>
        <w:rPr>
          <w:sz w:val="20"/>
        </w:rPr>
        <w:t>.</w:t>
      </w:r>
      <w:r w:rsidR="00CF2C8B">
        <w:rPr>
          <w:sz w:val="20"/>
        </w:rPr>
        <w:t xml:space="preserve"> </w:t>
      </w:r>
      <w:r>
        <w:rPr>
          <w:sz w:val="20"/>
        </w:rPr>
        <w:t>Effettuano</w:t>
      </w:r>
      <w:r w:rsidRPr="00DB67B0">
        <w:rPr>
          <w:sz w:val="20"/>
        </w:rPr>
        <w:t xml:space="preserve"> la gestione decentrata di tutte le fasi del processo di indagin</w:t>
      </w:r>
      <w:r>
        <w:rPr>
          <w:sz w:val="20"/>
        </w:rPr>
        <w:t>e anche le Province Autonome</w:t>
      </w:r>
      <w:r w:rsidRPr="00DB67B0">
        <w:rPr>
          <w:sz w:val="20"/>
        </w:rPr>
        <w:t xml:space="preserve"> di Bolzano e di Trento</w:t>
      </w:r>
      <w:r>
        <w:rPr>
          <w:sz w:val="20"/>
        </w:rPr>
        <w:t xml:space="preserve">. </w:t>
      </w:r>
    </w:p>
    <w:p w14:paraId="473774C8" w14:textId="77777777" w:rsidR="00E27DAC" w:rsidRPr="00DB67B0" w:rsidRDefault="00E27DAC" w:rsidP="00F52AE6">
      <w:pPr>
        <w:spacing w:after="120"/>
        <w:jc w:val="both"/>
        <w:rPr>
          <w:sz w:val="20"/>
        </w:rPr>
      </w:pPr>
      <w:r w:rsidRPr="00CC0BBC">
        <w:rPr>
          <w:sz w:val="20"/>
        </w:rPr>
        <w:t>Al fine di migliorare la qualità dell’informazione statistica de</w:t>
      </w:r>
      <w:r w:rsidR="00CC0BBC" w:rsidRPr="00CC0BBC">
        <w:rPr>
          <w:sz w:val="20"/>
        </w:rPr>
        <w:t>i</w:t>
      </w:r>
      <w:r w:rsidR="00CC0BBC">
        <w:rPr>
          <w:sz w:val="20"/>
        </w:rPr>
        <w:t xml:space="preserve"> dati degli incidenti stradali, oltre al</w:t>
      </w:r>
      <w:r w:rsidR="00CC0BBC" w:rsidRPr="00CC0BBC">
        <w:rPr>
          <w:sz w:val="20"/>
        </w:rPr>
        <w:t>la</w:t>
      </w:r>
      <w:r w:rsidRPr="00CC0BBC">
        <w:rPr>
          <w:sz w:val="20"/>
        </w:rPr>
        <w:t xml:space="preserve"> raccolta</w:t>
      </w:r>
      <w:r w:rsidR="00CC0BBC">
        <w:rPr>
          <w:sz w:val="20"/>
        </w:rPr>
        <w:t xml:space="preserve"> e all</w:t>
      </w:r>
      <w:r w:rsidRPr="00CC0BBC">
        <w:rPr>
          <w:sz w:val="20"/>
        </w:rPr>
        <w:t>a registrazione,</w:t>
      </w:r>
      <w:r w:rsidR="00CC0BBC">
        <w:rPr>
          <w:sz w:val="20"/>
        </w:rPr>
        <w:t xml:space="preserve"> anche</w:t>
      </w:r>
      <w:r w:rsidRPr="00CC0BBC">
        <w:rPr>
          <w:sz w:val="20"/>
        </w:rPr>
        <w:t xml:space="preserve"> </w:t>
      </w:r>
      <w:r w:rsidR="006623CA">
        <w:rPr>
          <w:sz w:val="20"/>
        </w:rPr>
        <w:t xml:space="preserve">le operazioni di </w:t>
      </w:r>
      <w:r w:rsidRPr="00CC0BBC">
        <w:rPr>
          <w:sz w:val="20"/>
        </w:rPr>
        <w:t xml:space="preserve">controllo quali-quantitativo e </w:t>
      </w:r>
      <w:r w:rsidR="006623CA">
        <w:rPr>
          <w:sz w:val="20"/>
        </w:rPr>
        <w:t xml:space="preserve">di </w:t>
      </w:r>
      <w:r w:rsidRPr="00CC0BBC">
        <w:rPr>
          <w:sz w:val="20"/>
        </w:rPr>
        <w:t>informatiz</w:t>
      </w:r>
      <w:r w:rsidR="00CC0BBC">
        <w:rPr>
          <w:sz w:val="20"/>
        </w:rPr>
        <w:t xml:space="preserve">zazione dei dati presso i comuni delle regioni Abruzzo, Basilicata, Campania, Marche, Molise e Umbria, </w:t>
      </w:r>
      <w:r w:rsidR="006623CA">
        <w:rPr>
          <w:sz w:val="20"/>
        </w:rPr>
        <w:t>sono supportate</w:t>
      </w:r>
      <w:r w:rsidR="00CC0BBC">
        <w:rPr>
          <w:sz w:val="20"/>
        </w:rPr>
        <w:t xml:space="preserve"> dalla Direzione Raccolta Dati - S</w:t>
      </w:r>
      <w:r w:rsidR="00CC0BBC" w:rsidRPr="00CC0BBC">
        <w:rPr>
          <w:sz w:val="20"/>
        </w:rPr>
        <w:t>ervizio Raccolta dati per le statistiche demografiche, sociali e welfare</w:t>
      </w:r>
      <w:r w:rsidR="006623CA">
        <w:rPr>
          <w:sz w:val="20"/>
        </w:rPr>
        <w:t>.</w:t>
      </w:r>
    </w:p>
    <w:p w14:paraId="3587EF61" w14:textId="77777777" w:rsidR="00E27DAC" w:rsidRDefault="00254CE0" w:rsidP="00F52AE6">
      <w:pPr>
        <w:pStyle w:val="Testonormale"/>
        <w:spacing w:after="120"/>
        <w:jc w:val="both"/>
        <w:rPr>
          <w:rFonts w:ascii="Arial" w:hAnsi="Arial"/>
        </w:rPr>
      </w:pPr>
      <w:r>
        <w:rPr>
          <w:rFonts w:ascii="Arial" w:hAnsi="Arial"/>
        </w:rPr>
        <w:t>Per il 20</w:t>
      </w:r>
      <w:r w:rsidR="00CC0BBC">
        <w:rPr>
          <w:rFonts w:ascii="Arial" w:hAnsi="Arial"/>
        </w:rPr>
        <w:t>21</w:t>
      </w:r>
      <w:r>
        <w:rPr>
          <w:rFonts w:ascii="Arial" w:hAnsi="Arial"/>
        </w:rPr>
        <w:t>,</w:t>
      </w:r>
      <w:r w:rsidR="00E27DAC">
        <w:rPr>
          <w:rFonts w:ascii="Arial" w:hAnsi="Arial"/>
        </w:rPr>
        <w:t xml:space="preserve"> </w:t>
      </w:r>
      <w:r w:rsidR="00893898">
        <w:rPr>
          <w:rFonts w:ascii="Arial" w:hAnsi="Arial"/>
        </w:rPr>
        <w:t xml:space="preserve">in </w:t>
      </w:r>
      <w:r w:rsidR="00E27DAC">
        <w:rPr>
          <w:rFonts w:ascii="Arial" w:hAnsi="Arial"/>
        </w:rPr>
        <w:t xml:space="preserve">Valle d’Aosta, Sicilia e Sardegna si segue il </w:t>
      </w:r>
      <w:r w:rsidR="00E27DAC" w:rsidRPr="005E567C">
        <w:rPr>
          <w:rFonts w:ascii="Arial" w:hAnsi="Arial"/>
          <w:b/>
        </w:rPr>
        <w:t xml:space="preserve">modello standard informatizzato </w:t>
      </w:r>
      <w:r w:rsidR="00E27DAC">
        <w:rPr>
          <w:rFonts w:ascii="Arial" w:hAnsi="Arial"/>
        </w:rPr>
        <w:t>della rilevazione: pertanto i comandi delle Polizie Municipali o Locali trasmettono a</w:t>
      </w:r>
      <w:r w:rsidR="00CC0BBC">
        <w:rPr>
          <w:rFonts w:ascii="Arial" w:hAnsi="Arial"/>
        </w:rPr>
        <w:t>ll’Istat i dati informatizzati o registrano le informazioni tramite il portale Istat GINO (Gestioni Indagini On Line)</w:t>
      </w:r>
      <w:r w:rsidR="00E27DAC">
        <w:rPr>
          <w:rFonts w:ascii="Arial" w:hAnsi="Arial"/>
        </w:rPr>
        <w:t>, l’Istat</w:t>
      </w:r>
      <w:r w:rsidR="00893898">
        <w:rPr>
          <w:rFonts w:ascii="Arial" w:hAnsi="Arial"/>
        </w:rPr>
        <w:t xml:space="preserve"> ha, invece, il compito di</w:t>
      </w:r>
      <w:r w:rsidR="00E27DAC">
        <w:rPr>
          <w:rFonts w:ascii="Arial" w:hAnsi="Arial"/>
        </w:rPr>
        <w:t xml:space="preserve"> </w:t>
      </w:r>
      <w:r w:rsidR="001928D0">
        <w:rPr>
          <w:rFonts w:ascii="Arial" w:hAnsi="Arial"/>
        </w:rPr>
        <w:t>seguire</w:t>
      </w:r>
      <w:r w:rsidR="00E27DAC">
        <w:rPr>
          <w:rFonts w:ascii="Arial" w:hAnsi="Arial"/>
        </w:rPr>
        <w:t xml:space="preserve"> le </w:t>
      </w:r>
      <w:r w:rsidR="00893898">
        <w:rPr>
          <w:rFonts w:ascii="Arial" w:hAnsi="Arial"/>
        </w:rPr>
        <w:t xml:space="preserve">successive </w:t>
      </w:r>
      <w:r w:rsidR="00E27DAC">
        <w:rPr>
          <w:rFonts w:ascii="Arial" w:hAnsi="Arial"/>
        </w:rPr>
        <w:t xml:space="preserve">fasi dell’indagine (Figura 1). </w:t>
      </w:r>
    </w:p>
    <w:p w14:paraId="3AF72418" w14:textId="77777777" w:rsidR="00E27DAC" w:rsidRDefault="00E27DAC" w:rsidP="00F52AE6">
      <w:pPr>
        <w:pStyle w:val="Testonormale"/>
        <w:spacing w:after="120"/>
        <w:jc w:val="both"/>
        <w:rPr>
          <w:rFonts w:ascii="Arial" w:hAnsi="Arial"/>
        </w:rPr>
      </w:pPr>
      <w:r>
        <w:rPr>
          <w:rFonts w:ascii="Arial" w:hAnsi="Arial"/>
        </w:rPr>
        <w:t xml:space="preserve">Per i dati provenienti dalla Polizia Stradale e dai Carabinieri si è adottato un </w:t>
      </w:r>
      <w:r w:rsidRPr="005D7840">
        <w:rPr>
          <w:rFonts w:ascii="Arial" w:hAnsi="Arial"/>
          <w:b/>
        </w:rPr>
        <w:t xml:space="preserve">modello </w:t>
      </w:r>
      <w:r>
        <w:rPr>
          <w:rFonts w:ascii="Arial" w:hAnsi="Arial"/>
          <w:b/>
        </w:rPr>
        <w:t>decentrato</w:t>
      </w:r>
      <w:r w:rsidRPr="005D7840">
        <w:rPr>
          <w:rFonts w:ascii="Arial" w:hAnsi="Arial"/>
          <w:b/>
        </w:rPr>
        <w:t xml:space="preserve"> </w:t>
      </w:r>
      <w:r>
        <w:rPr>
          <w:rFonts w:ascii="Arial" w:hAnsi="Arial"/>
          <w:b/>
        </w:rPr>
        <w:t xml:space="preserve">informatizzato </w:t>
      </w:r>
      <w:r w:rsidRPr="005D7840">
        <w:rPr>
          <w:rFonts w:ascii="Arial" w:hAnsi="Arial"/>
          <w:b/>
        </w:rPr>
        <w:t>su base nazionale</w:t>
      </w:r>
      <w:r>
        <w:rPr>
          <w:rFonts w:ascii="Arial" w:hAnsi="Arial"/>
        </w:rPr>
        <w:t xml:space="preserve">: pertanto all’Istat vengono trasferiti, con cadenza trimestrale o mensile, tutti i dati degli incidenti stradali con lesione a persone verificatesi sul territorio nazionale rilevati dalla Polizia Stradale o dai Carabinieri. Per i dati provenienti dalle Polizia Municipale o Locale viene utilizzato sia il modello decentrato sia quello standard (Figura </w:t>
      </w:r>
      <w:r w:rsidR="00EC759F">
        <w:rPr>
          <w:rFonts w:ascii="Arial" w:hAnsi="Arial"/>
        </w:rPr>
        <w:t>A</w:t>
      </w:r>
      <w:r>
        <w:rPr>
          <w:rFonts w:ascii="Arial" w:hAnsi="Arial"/>
        </w:rPr>
        <w:t>).</w:t>
      </w:r>
    </w:p>
    <w:p w14:paraId="36308DFA" w14:textId="77777777" w:rsidR="003A0A4E" w:rsidRDefault="003A0A4E" w:rsidP="00F52AE6">
      <w:pPr>
        <w:pStyle w:val="Testonormale"/>
        <w:spacing w:after="120"/>
        <w:jc w:val="both"/>
        <w:rPr>
          <w:rFonts w:ascii="Arial" w:hAnsi="Arial"/>
        </w:rPr>
      </w:pPr>
    </w:p>
    <w:p w14:paraId="7FC380D0" w14:textId="77777777" w:rsidR="00E27DAC" w:rsidRDefault="00E27DAC" w:rsidP="005A232F">
      <w:pPr>
        <w:pStyle w:val="Testonormale"/>
        <w:spacing w:after="120"/>
        <w:jc w:val="both"/>
        <w:rPr>
          <w:rFonts w:ascii="Arial" w:hAnsi="Arial"/>
          <w:b/>
          <w:bCs/>
          <w:i/>
          <w:sz w:val="22"/>
          <w:szCs w:val="22"/>
        </w:rPr>
      </w:pPr>
      <w:r w:rsidRPr="00595BC1">
        <w:rPr>
          <w:rFonts w:ascii="Arial Narrow" w:hAnsi="Arial Narrow"/>
          <w:b/>
          <w:color w:val="7F7F7F"/>
        </w:rPr>
        <w:lastRenderedPageBreak/>
        <w:t xml:space="preserve">FIGURA </w:t>
      </w:r>
      <w:r w:rsidR="00EC759F">
        <w:rPr>
          <w:rFonts w:ascii="Arial Narrow" w:hAnsi="Arial Narrow"/>
          <w:b/>
          <w:color w:val="7F7F7F"/>
        </w:rPr>
        <w:t>A</w:t>
      </w:r>
      <w:r w:rsidRPr="00595BC1">
        <w:rPr>
          <w:rFonts w:ascii="Arial Narrow" w:hAnsi="Arial Narrow"/>
          <w:b/>
          <w:color w:val="7F7F7F"/>
        </w:rPr>
        <w:t>. LA RILEVAZIONE DEGLI INCIDENTI STRADALI CON LESIONI A PERSONE: I FLUSSI DI RILEVAZIONE E DI INVIO DATI ALL’ISTAT STANDARD E DECENTRATO</w:t>
      </w:r>
    </w:p>
    <w:p w14:paraId="0A31B955" w14:textId="77777777" w:rsidR="00E27DAC" w:rsidRDefault="005A232F" w:rsidP="005A232F">
      <w:pPr>
        <w:pStyle w:val="Testonormale"/>
        <w:ind w:left="567"/>
        <w:jc w:val="both"/>
        <w:rPr>
          <w:rFonts w:ascii="Arial" w:hAnsi="Arial"/>
          <w:bCs/>
        </w:rPr>
      </w:pPr>
      <w:r>
        <w:rPr>
          <w:rFonts w:ascii="Arial" w:hAnsi="Arial"/>
          <w:bCs/>
          <w:noProof/>
        </w:rPr>
        <w:drawing>
          <wp:inline distT="0" distB="0" distL="0" distR="0" wp14:anchorId="57BA0871" wp14:editId="16E2BA42">
            <wp:extent cx="5200650" cy="297180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1935" cy="2978249"/>
                    </a:xfrm>
                    <a:prstGeom prst="rect">
                      <a:avLst/>
                    </a:prstGeom>
                    <a:noFill/>
                  </pic:spPr>
                </pic:pic>
              </a:graphicData>
            </a:graphic>
          </wp:inline>
        </w:drawing>
      </w:r>
    </w:p>
    <w:p w14:paraId="309F9878" w14:textId="77777777" w:rsidR="00144597" w:rsidRDefault="00144597" w:rsidP="00F52AE6">
      <w:pPr>
        <w:pStyle w:val="Rientrocorpodeltesto"/>
        <w:spacing w:after="120"/>
        <w:ind w:firstLine="0"/>
        <w:rPr>
          <w:b/>
          <w:bCs/>
          <w:sz w:val="22"/>
          <w:szCs w:val="22"/>
        </w:rPr>
      </w:pPr>
    </w:p>
    <w:p w14:paraId="75A8FBF9" w14:textId="77777777" w:rsidR="00E27DAC" w:rsidRPr="00D07A3C" w:rsidRDefault="00E27DAC" w:rsidP="00F52AE6">
      <w:pPr>
        <w:pStyle w:val="Rientrocorpodeltesto"/>
        <w:spacing w:after="120"/>
        <w:ind w:firstLine="0"/>
        <w:rPr>
          <w:b/>
          <w:bCs/>
          <w:sz w:val="22"/>
          <w:szCs w:val="22"/>
        </w:rPr>
      </w:pPr>
      <w:r>
        <w:rPr>
          <w:b/>
          <w:bCs/>
          <w:sz w:val="22"/>
          <w:szCs w:val="22"/>
        </w:rPr>
        <w:t xml:space="preserve">Tecniche e strumenti di </w:t>
      </w:r>
      <w:r w:rsidRPr="00D07A3C">
        <w:rPr>
          <w:b/>
          <w:bCs/>
          <w:sz w:val="22"/>
          <w:szCs w:val="22"/>
        </w:rPr>
        <w:t>elaborazione dei dati</w:t>
      </w:r>
    </w:p>
    <w:p w14:paraId="6ED76B20" w14:textId="77777777" w:rsidR="00E27DAC" w:rsidRPr="00D07A3C" w:rsidRDefault="00E27DAC" w:rsidP="00F52AE6">
      <w:pPr>
        <w:pStyle w:val="Corpodeltesto3"/>
        <w:spacing w:after="120"/>
        <w:rPr>
          <w:sz w:val="20"/>
        </w:rPr>
      </w:pPr>
      <w:r w:rsidRPr="00D07A3C">
        <w:rPr>
          <w:sz w:val="20"/>
        </w:rPr>
        <w:t>Il controllo e la correzione dei dati sono effettuati seguendo diversi passi e prevedono una fase preliminare di verifica della congruenza delle informazioni contenute in ciascun “record incidente”. Successivamente vengono applicati metodi deterministici e tecniche probabilistiche per la correzione degli errori.</w:t>
      </w:r>
    </w:p>
    <w:p w14:paraId="5935AB93" w14:textId="77777777" w:rsidR="00E27DAC" w:rsidRDefault="00E27DAC" w:rsidP="00F52AE6">
      <w:pPr>
        <w:pStyle w:val="Corpodeltesto3"/>
        <w:spacing w:after="120"/>
        <w:rPr>
          <w:sz w:val="20"/>
        </w:rPr>
      </w:pPr>
      <w:r w:rsidRPr="00D07A3C">
        <w:rPr>
          <w:sz w:val="20"/>
        </w:rPr>
        <w:t xml:space="preserve">Il passaggio principale della procedura di correzione dei dati sugli incidenti stradali è rappresentato dall’applicazione del </w:t>
      </w:r>
      <w:r w:rsidRPr="009966B8">
        <w:rPr>
          <w:i/>
          <w:sz w:val="20"/>
        </w:rPr>
        <w:t>software</w:t>
      </w:r>
      <w:r w:rsidRPr="00D07A3C">
        <w:rPr>
          <w:sz w:val="20"/>
        </w:rPr>
        <w:t xml:space="preserve"> generalizzato Con.Cor.D. (Controllo e Correzione dei Dati), utilizzato dall’Istat a partire dal 2000. Lo strumento consente di suddividere le variabili da sottoporre a controllo e correzione in sottogruppi e di identificare un adeguato trattamento basato su approccio deterministico o probabilistico. Per ogni gruppo di variabili da analizzare sono previsti set di regole di compatibilità. </w:t>
      </w:r>
    </w:p>
    <w:p w14:paraId="7B041777" w14:textId="77777777" w:rsidR="00E27DAC" w:rsidRDefault="00E27DAC" w:rsidP="00F52AE6">
      <w:pPr>
        <w:pStyle w:val="Corpodeltesto3"/>
        <w:spacing w:after="120"/>
        <w:rPr>
          <w:sz w:val="20"/>
        </w:rPr>
      </w:pPr>
      <w:r w:rsidRPr="00D07A3C">
        <w:rPr>
          <w:sz w:val="20"/>
        </w:rPr>
        <w:t xml:space="preserve">Nel caso di applicazione di approccio deterministico, oltre all’elenco delle regole di compatibilità, si dispone anche dell’elenco delle relative correzioni da apportare quando le stesse regole vengono infrante. </w:t>
      </w:r>
    </w:p>
    <w:p w14:paraId="6705341A" w14:textId="77777777" w:rsidR="00E27DAC" w:rsidRDefault="00E27DAC" w:rsidP="00F52AE6">
      <w:pPr>
        <w:pStyle w:val="Corpodeltesto3"/>
        <w:spacing w:after="120"/>
        <w:rPr>
          <w:sz w:val="20"/>
        </w:rPr>
      </w:pPr>
      <w:r w:rsidRPr="00D07A3C">
        <w:rPr>
          <w:sz w:val="20"/>
        </w:rPr>
        <w:t xml:space="preserve">Nel caso di utilizzo di tecniche di correzione probabilistica e di successiva imputazione dei valori errati o mancanti, il sistema suddivide i record in esatti ed errati, secondo le logiche di compatibilità, successivamente cancella i valori errati delle variabili considerate e imputa i valori corretti prendendoli di volta in volta da un record donatore, contenuto nel serbatoio degli esatti, identificandolo secondo il principio di minima distanza (metodologia di Fellegi-Holt). L’intero ciclo di correzione viene </w:t>
      </w:r>
      <w:r>
        <w:rPr>
          <w:sz w:val="20"/>
        </w:rPr>
        <w:t xml:space="preserve">ripetuto più volte. </w:t>
      </w:r>
    </w:p>
    <w:p w14:paraId="4DACBDA9" w14:textId="77777777" w:rsidR="00E27DAC" w:rsidRPr="00D07A3C" w:rsidRDefault="00E27DAC" w:rsidP="00F52AE6">
      <w:pPr>
        <w:pStyle w:val="Corpodeltesto3"/>
        <w:rPr>
          <w:sz w:val="20"/>
        </w:rPr>
      </w:pPr>
      <w:r>
        <w:rPr>
          <w:sz w:val="20"/>
        </w:rPr>
        <w:t xml:space="preserve">Nel caso di </w:t>
      </w:r>
      <w:r w:rsidRPr="00D07A3C">
        <w:rPr>
          <w:sz w:val="20"/>
        </w:rPr>
        <w:t>mancate risposte totali</w:t>
      </w:r>
      <w:r>
        <w:rPr>
          <w:sz w:val="20"/>
        </w:rPr>
        <w:t xml:space="preserve"> </w:t>
      </w:r>
      <w:r w:rsidRPr="00D07A3C">
        <w:rPr>
          <w:sz w:val="20"/>
        </w:rPr>
        <w:t>per le quali si è in possesso delle sole informazioni sulla numerosità degli incidenti stradali, morti e feriti avvenuti in un determinato Comune e mese di riferimento, si procede alla ricostruzione del singolo record incidente servendosi di un bacino donatori rappresentato dai record dall’anno più vicino, con la corrispondenza tra i giorni del mese e della settimana analoga a quella dell’anno considerato. Gli incidenti stradali, infatti, sono molto sensibili a stagionalità mensile e settimanale, pertanto occorre tenerne conto nella fase di ricostruzione.</w:t>
      </w:r>
    </w:p>
    <w:p w14:paraId="76F4CBAA" w14:textId="77777777" w:rsidR="005F1063" w:rsidRDefault="005F1063" w:rsidP="00F52AE6">
      <w:pPr>
        <w:pStyle w:val="Rientrocorpodeltesto"/>
        <w:spacing w:after="120"/>
        <w:ind w:firstLine="0"/>
        <w:rPr>
          <w:b/>
          <w:bCs/>
          <w:sz w:val="22"/>
          <w:szCs w:val="22"/>
        </w:rPr>
      </w:pPr>
    </w:p>
    <w:p w14:paraId="28363FB5" w14:textId="77777777" w:rsidR="00E27DAC" w:rsidRDefault="00E27DAC" w:rsidP="00F52AE6">
      <w:pPr>
        <w:pStyle w:val="Rientrocorpodeltesto"/>
        <w:spacing w:after="120"/>
        <w:ind w:firstLine="0"/>
        <w:rPr>
          <w:b/>
          <w:bCs/>
          <w:sz w:val="22"/>
          <w:szCs w:val="22"/>
        </w:rPr>
      </w:pPr>
      <w:r>
        <w:rPr>
          <w:b/>
          <w:bCs/>
          <w:sz w:val="22"/>
          <w:szCs w:val="22"/>
        </w:rPr>
        <w:t>Output: principali indicatori e unità di misura</w:t>
      </w:r>
    </w:p>
    <w:p w14:paraId="4436BB7A" w14:textId="77777777" w:rsidR="00E27DAC" w:rsidRDefault="00E27DAC" w:rsidP="00F52AE6">
      <w:pPr>
        <w:pStyle w:val="Testonormale"/>
        <w:spacing w:after="120"/>
        <w:jc w:val="both"/>
        <w:rPr>
          <w:rFonts w:ascii="Arial" w:hAnsi="Arial"/>
        </w:rPr>
      </w:pPr>
      <w:r w:rsidRPr="00DB67B0">
        <w:rPr>
          <w:rFonts w:ascii="Arial" w:hAnsi="Arial"/>
        </w:rPr>
        <w:t>La lettura dei dati assoluti sul numero di incidenti</w:t>
      </w:r>
      <w:r>
        <w:rPr>
          <w:rFonts w:ascii="Arial" w:hAnsi="Arial"/>
        </w:rPr>
        <w:t xml:space="preserve"> stradali con lesioni a persone,</w:t>
      </w:r>
      <w:r w:rsidRPr="00DB67B0">
        <w:rPr>
          <w:rFonts w:ascii="Arial" w:hAnsi="Arial"/>
        </w:rPr>
        <w:t xml:space="preserve"> verificatisi sull’intera rete stradale italiana o su un particolare tratto</w:t>
      </w:r>
      <w:r>
        <w:rPr>
          <w:rFonts w:ascii="Arial" w:hAnsi="Arial"/>
        </w:rPr>
        <w:t>,</w:t>
      </w:r>
      <w:r w:rsidRPr="00DB67B0">
        <w:rPr>
          <w:rFonts w:ascii="Arial" w:hAnsi="Arial"/>
        </w:rPr>
        <w:t xml:space="preserve"> fornisce un’informazione parziale che occorre valorizzare per meglio interpre</w:t>
      </w:r>
      <w:r>
        <w:rPr>
          <w:rFonts w:ascii="Arial" w:hAnsi="Arial"/>
        </w:rPr>
        <w:t>tare il fenomeno; si rende necessario</w:t>
      </w:r>
      <w:r w:rsidRPr="00DB67B0">
        <w:rPr>
          <w:rFonts w:ascii="Arial" w:hAnsi="Arial"/>
        </w:rPr>
        <w:t xml:space="preserve">, infatti, arricchire tale informazione con indicatori sintetici che </w:t>
      </w:r>
      <w:r>
        <w:rPr>
          <w:rFonts w:ascii="Arial" w:hAnsi="Arial"/>
        </w:rPr>
        <w:t xml:space="preserve">ne </w:t>
      </w:r>
      <w:r w:rsidRPr="00DB67B0">
        <w:rPr>
          <w:rFonts w:ascii="Arial" w:hAnsi="Arial"/>
        </w:rPr>
        <w:t>diano una misura</w:t>
      </w:r>
      <w:r>
        <w:rPr>
          <w:rFonts w:ascii="Arial" w:hAnsi="Arial"/>
        </w:rPr>
        <w:t xml:space="preserve"> relativa</w:t>
      </w:r>
      <w:r w:rsidRPr="00DB67B0">
        <w:rPr>
          <w:rFonts w:ascii="Arial" w:hAnsi="Arial"/>
        </w:rPr>
        <w:t xml:space="preserve">. </w:t>
      </w:r>
    </w:p>
    <w:p w14:paraId="02C2FE0F" w14:textId="77777777" w:rsidR="00E27DAC" w:rsidRDefault="00E27DAC" w:rsidP="003B766D">
      <w:pPr>
        <w:pStyle w:val="Testonotaapidipagina"/>
        <w:numPr>
          <w:ilvl w:val="0"/>
          <w:numId w:val="14"/>
        </w:numPr>
        <w:spacing w:after="120"/>
        <w:jc w:val="both"/>
        <w:rPr>
          <w:rFonts w:ascii="Arial" w:hAnsi="Arial"/>
        </w:rPr>
      </w:pPr>
      <w:r>
        <w:rPr>
          <w:rFonts w:ascii="Arial" w:hAnsi="Arial"/>
        </w:rPr>
        <w:t xml:space="preserve">Feriti gravi in incidenti stradali </w:t>
      </w:r>
      <w:r w:rsidRPr="00DA6D4A">
        <w:rPr>
          <w:rFonts w:ascii="Arial" w:hAnsi="Arial"/>
          <w:b/>
        </w:rPr>
        <w:t>FG</w:t>
      </w:r>
      <w:r>
        <w:rPr>
          <w:rFonts w:ascii="Arial" w:hAnsi="Arial"/>
        </w:rPr>
        <w:t>:</w:t>
      </w:r>
    </w:p>
    <w:p w14:paraId="0D99248C" w14:textId="77777777" w:rsidR="00E27DAC" w:rsidRPr="002D17CC" w:rsidRDefault="00E27DAC" w:rsidP="00F52AE6">
      <w:pPr>
        <w:spacing w:after="120"/>
        <w:jc w:val="both"/>
        <w:rPr>
          <w:i/>
          <w:sz w:val="20"/>
          <w:lang w:val="en-US"/>
        </w:rPr>
      </w:pPr>
      <w:r w:rsidRPr="00501728">
        <w:rPr>
          <w:sz w:val="20"/>
        </w:rPr>
        <w:t>Per la definizione di ferito grave</w:t>
      </w:r>
      <w:r>
        <w:rPr>
          <w:sz w:val="20"/>
        </w:rPr>
        <w:t xml:space="preserve"> in incidente stradale</w:t>
      </w:r>
      <w:r w:rsidRPr="00501728">
        <w:rPr>
          <w:sz w:val="20"/>
        </w:rPr>
        <w:t xml:space="preserve"> e per la classificazione dei livelli di gravità delle lesioni è stato proposto dalla Commissione </w:t>
      </w:r>
      <w:r w:rsidR="0046637D">
        <w:rPr>
          <w:sz w:val="20"/>
        </w:rPr>
        <w:t>e</w:t>
      </w:r>
      <w:r w:rsidRPr="00501728">
        <w:rPr>
          <w:sz w:val="20"/>
        </w:rPr>
        <w:t>uropea l’utilizzo de</w:t>
      </w:r>
      <w:r>
        <w:rPr>
          <w:sz w:val="20"/>
        </w:rPr>
        <w:t>ll’esistente scala dei traumi</w:t>
      </w:r>
      <w:r w:rsidRPr="00501728">
        <w:rPr>
          <w:sz w:val="20"/>
        </w:rPr>
        <w:t xml:space="preserve"> AIS (</w:t>
      </w:r>
      <w:r w:rsidRPr="00527342">
        <w:rPr>
          <w:i/>
          <w:sz w:val="20"/>
        </w:rPr>
        <w:t>Abbreviated Injury Scale</w:t>
      </w:r>
      <w:r w:rsidRPr="00501728">
        <w:rPr>
          <w:sz w:val="20"/>
        </w:rPr>
        <w:t>) e in particolare della sua variante MAIS (</w:t>
      </w:r>
      <w:r w:rsidRPr="00527342">
        <w:rPr>
          <w:i/>
          <w:sz w:val="20"/>
        </w:rPr>
        <w:t>Maximum Abbreviated Injury Scale</w:t>
      </w:r>
      <w:r w:rsidR="00F01E70">
        <w:rPr>
          <w:sz w:val="20"/>
        </w:rPr>
        <w:t>)</w:t>
      </w:r>
      <w:r>
        <w:rPr>
          <w:sz w:val="20"/>
        </w:rPr>
        <w:t xml:space="preserve">. </w:t>
      </w:r>
      <w:r w:rsidRPr="00501728">
        <w:rPr>
          <w:sz w:val="20"/>
        </w:rPr>
        <w:t>L’AIS è una scala di misurazione</w:t>
      </w:r>
      <w:r>
        <w:rPr>
          <w:sz w:val="20"/>
        </w:rPr>
        <w:t xml:space="preserve"> che consente di</w:t>
      </w:r>
      <w:r w:rsidRPr="00501728">
        <w:rPr>
          <w:sz w:val="20"/>
        </w:rPr>
        <w:t xml:space="preserve"> attribuire</w:t>
      </w:r>
      <w:r>
        <w:rPr>
          <w:sz w:val="20"/>
        </w:rPr>
        <w:t xml:space="preserve"> un punteggio</w:t>
      </w:r>
      <w:r w:rsidRPr="00501728">
        <w:rPr>
          <w:sz w:val="20"/>
        </w:rPr>
        <w:t xml:space="preserve"> alla gravità </w:t>
      </w:r>
      <w:r>
        <w:rPr>
          <w:sz w:val="20"/>
        </w:rPr>
        <w:t>complessiva</w:t>
      </w:r>
      <w:r w:rsidRPr="00501728">
        <w:rPr>
          <w:sz w:val="20"/>
        </w:rPr>
        <w:t xml:space="preserve"> della lesione, stabilita tenendo in considerazione </w:t>
      </w:r>
      <w:r>
        <w:rPr>
          <w:sz w:val="20"/>
        </w:rPr>
        <w:lastRenderedPageBreak/>
        <w:t xml:space="preserve">la rilevanza delle singole </w:t>
      </w:r>
      <w:r w:rsidRPr="00501728">
        <w:rPr>
          <w:sz w:val="20"/>
        </w:rPr>
        <w:t>lesioni riportate</w:t>
      </w:r>
      <w:r>
        <w:rPr>
          <w:sz w:val="20"/>
        </w:rPr>
        <w:t xml:space="preserve"> e la</w:t>
      </w:r>
      <w:r w:rsidRPr="00501728">
        <w:rPr>
          <w:sz w:val="20"/>
        </w:rPr>
        <w:t xml:space="preserve"> regione del corpo colpita. Il livello di gravità viene misurato mediante una scala ordinale a 6 punti</w:t>
      </w:r>
      <w:r>
        <w:rPr>
          <w:sz w:val="20"/>
        </w:rPr>
        <w:t xml:space="preserve">. </w:t>
      </w:r>
      <w:r w:rsidRPr="00DA6D4A">
        <w:rPr>
          <w:sz w:val="20"/>
        </w:rPr>
        <w:t>Le lesioni gravi sono individuate con il punteggio MAIS 3+, ossia, il massimo valore AIS uguale o superiore a 3.</w:t>
      </w:r>
      <w:r>
        <w:rPr>
          <w:sz w:val="20"/>
        </w:rPr>
        <w:t xml:space="preserve"> </w:t>
      </w:r>
      <w:r w:rsidRPr="002D17CC">
        <w:rPr>
          <w:i/>
          <w:sz w:val="20"/>
          <w:lang w:val="en-US"/>
        </w:rPr>
        <w:t xml:space="preserve">(Copyright AIS di Association for the Advancement of Automotive Medicine </w:t>
      </w:r>
      <w:r>
        <w:rPr>
          <w:i/>
          <w:sz w:val="20"/>
          <w:lang w:val="en-US"/>
        </w:rPr>
        <w:t xml:space="preserve">- </w:t>
      </w:r>
      <w:r w:rsidRPr="002D17CC">
        <w:rPr>
          <w:i/>
          <w:sz w:val="20"/>
          <w:lang w:val="en-US"/>
        </w:rPr>
        <w:t>AAAM</w:t>
      </w:r>
      <w:r>
        <w:rPr>
          <w:i/>
          <w:sz w:val="20"/>
          <w:lang w:val="en-US"/>
        </w:rPr>
        <w:t>)</w:t>
      </w:r>
      <w:r w:rsidRPr="002D17CC">
        <w:rPr>
          <w:i/>
          <w:sz w:val="20"/>
          <w:lang w:val="en-US"/>
        </w:rPr>
        <w:t>.</w:t>
      </w:r>
    </w:p>
    <w:p w14:paraId="471BD0F3" w14:textId="77777777" w:rsidR="00E27DAC" w:rsidRDefault="00E27DAC" w:rsidP="00F52AE6">
      <w:pPr>
        <w:pStyle w:val="Testonormale"/>
        <w:jc w:val="both"/>
        <w:rPr>
          <w:rFonts w:ascii="Arial" w:hAnsi="Arial"/>
        </w:rPr>
      </w:pPr>
      <w:r>
        <w:rPr>
          <w:rFonts w:ascii="Arial" w:hAnsi="Arial"/>
        </w:rPr>
        <w:t xml:space="preserve">- Tasso di mortalità stradale (numero di morti per incidente stradale nel corso dell’anno per milione, o </w:t>
      </w:r>
      <w:r w:rsidR="00CA5012">
        <w:rPr>
          <w:rFonts w:ascii="Arial" w:hAnsi="Arial"/>
        </w:rPr>
        <w:t>100</w:t>
      </w:r>
      <w:r>
        <w:rPr>
          <w:rFonts w:ascii="Arial" w:hAnsi="Arial"/>
        </w:rPr>
        <w:t xml:space="preserve">mila abitanti) </w:t>
      </w:r>
      <w:r w:rsidRPr="00492B5C">
        <w:rPr>
          <w:rFonts w:ascii="Arial" w:hAnsi="Arial"/>
          <w:b/>
        </w:rPr>
        <w:t>TM</w:t>
      </w:r>
      <w:r>
        <w:rPr>
          <w:rFonts w:ascii="Arial" w:hAnsi="Arial"/>
        </w:rPr>
        <w:t>:</w:t>
      </w:r>
    </w:p>
    <w:p w14:paraId="112BCCB4" w14:textId="77777777" w:rsidR="00E27DAC" w:rsidRDefault="00415EA4" w:rsidP="00F52AE6">
      <w:pPr>
        <w:pStyle w:val="Testonormale"/>
        <w:spacing w:after="80"/>
        <w:jc w:val="center"/>
        <w:rPr>
          <w:rFonts w:ascii="Arial" w:hAnsi="Arial"/>
        </w:rPr>
      </w:pPr>
      <w:r w:rsidRPr="00665F4B">
        <w:rPr>
          <w:rFonts w:ascii="Arial" w:hAnsi="Arial"/>
          <w:b/>
          <w:noProof/>
          <w:position w:val="-32"/>
        </w:rPr>
        <w:object w:dxaOrig="7140" w:dyaOrig="760" w14:anchorId="13103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7.75pt;height:21.75pt;mso-width-percent:0;mso-height-percent:0;mso-width-percent:0;mso-height-percent:0" o:ole="" fillcolor="window">
            <v:imagedata r:id="rId28" o:title=""/>
          </v:shape>
          <o:OLEObject Type="Embed" ProgID="Equation.3" ShapeID="_x0000_i1025" DrawAspect="Content" ObjectID="_1720332103" r:id="rId29"/>
        </w:object>
      </w:r>
    </w:p>
    <w:p w14:paraId="5858C15F" w14:textId="77777777" w:rsidR="00E27DAC" w:rsidRPr="00DB67B0" w:rsidRDefault="00E27DAC" w:rsidP="003B766D">
      <w:pPr>
        <w:pStyle w:val="Testonormale"/>
        <w:numPr>
          <w:ilvl w:val="0"/>
          <w:numId w:val="14"/>
        </w:numPr>
        <w:jc w:val="both"/>
        <w:rPr>
          <w:rFonts w:ascii="Arial" w:hAnsi="Arial"/>
        </w:rPr>
      </w:pPr>
      <w:r w:rsidRPr="00DB67B0">
        <w:rPr>
          <w:rFonts w:ascii="Arial" w:hAnsi="Arial"/>
        </w:rPr>
        <w:t>Indice</w:t>
      </w:r>
      <w:r w:rsidRPr="00DB67B0">
        <w:rPr>
          <w:rFonts w:ascii="Arial" w:hAnsi="Arial"/>
          <w:iCs/>
        </w:rPr>
        <w:t xml:space="preserve"> di mortalità</w:t>
      </w:r>
      <w:r w:rsidRPr="00DB67B0">
        <w:rPr>
          <w:rFonts w:ascii="Arial" w:hAnsi="Arial"/>
          <w:i/>
        </w:rPr>
        <w:t xml:space="preserve"> </w:t>
      </w:r>
      <w:r w:rsidRPr="00DB67B0">
        <w:rPr>
          <w:rFonts w:ascii="Arial" w:hAnsi="Arial"/>
        </w:rPr>
        <w:t xml:space="preserve">stradale </w:t>
      </w:r>
      <w:r>
        <w:rPr>
          <w:rFonts w:ascii="Arial" w:hAnsi="Arial"/>
          <w:b/>
        </w:rPr>
        <w:t>I</w:t>
      </w:r>
      <w:r w:rsidRPr="00DB67B0">
        <w:rPr>
          <w:rFonts w:ascii="Arial" w:hAnsi="Arial"/>
          <w:b/>
        </w:rPr>
        <w:t>M</w:t>
      </w:r>
      <w:r w:rsidRPr="00DB67B0">
        <w:rPr>
          <w:rFonts w:ascii="Arial" w:hAnsi="Arial"/>
        </w:rPr>
        <w:t>:</w:t>
      </w:r>
    </w:p>
    <w:p w14:paraId="5FFF4B40" w14:textId="77777777" w:rsidR="00E27DAC" w:rsidRPr="00DB67B0" w:rsidRDefault="00415EA4" w:rsidP="00F52AE6">
      <w:pPr>
        <w:pStyle w:val="Testonormale"/>
        <w:spacing w:after="80"/>
        <w:jc w:val="center"/>
        <w:rPr>
          <w:rFonts w:ascii="Arial" w:hAnsi="Arial"/>
          <w:b/>
        </w:rPr>
      </w:pPr>
      <w:r w:rsidRPr="002240A0">
        <w:rPr>
          <w:rFonts w:ascii="Arial" w:hAnsi="Arial"/>
          <w:b/>
          <w:noProof/>
          <w:position w:val="-22"/>
        </w:rPr>
        <w:object w:dxaOrig="1219" w:dyaOrig="540" w14:anchorId="70E77838">
          <v:shape id="_x0000_i1026" type="#_x0000_t75" alt="" style="width:1in;height:27pt;mso-width-percent:0;mso-height-percent:0;mso-width-percent:0;mso-height-percent:0" o:ole="" fillcolor="window">
            <v:imagedata r:id="rId30" o:title=""/>
          </v:shape>
          <o:OLEObject Type="Embed" ProgID="Equation.3" ShapeID="_x0000_i1026" DrawAspect="Content" ObjectID="_1720332104" r:id="rId31"/>
        </w:object>
      </w:r>
    </w:p>
    <w:p w14:paraId="5FF6CC1C" w14:textId="77777777" w:rsidR="00E27DAC" w:rsidRPr="00DB67B0" w:rsidRDefault="00E27DAC" w:rsidP="00F52AE6">
      <w:pPr>
        <w:pStyle w:val="Testonormale"/>
        <w:spacing w:after="120"/>
        <w:jc w:val="both"/>
        <w:rPr>
          <w:rFonts w:ascii="Arial" w:hAnsi="Arial"/>
        </w:rPr>
      </w:pPr>
      <w:r w:rsidRPr="00DB67B0">
        <w:rPr>
          <w:rFonts w:ascii="Arial" w:hAnsi="Arial"/>
        </w:rPr>
        <w:t xml:space="preserve">Tale rapporto </w:t>
      </w:r>
      <w:r>
        <w:rPr>
          <w:rFonts w:ascii="Arial" w:hAnsi="Arial"/>
        </w:rPr>
        <w:t>presenta</w:t>
      </w:r>
      <w:r w:rsidRPr="00DB67B0">
        <w:rPr>
          <w:rFonts w:ascii="Arial" w:hAnsi="Arial"/>
        </w:rPr>
        <w:t xml:space="preserve"> al numeratore il numero (</w:t>
      </w:r>
      <w:r w:rsidRPr="00DB67B0">
        <w:rPr>
          <w:rFonts w:ascii="Arial" w:hAnsi="Arial"/>
          <w:b/>
        </w:rPr>
        <w:t>M)</w:t>
      </w:r>
      <w:r w:rsidRPr="00DB67B0">
        <w:rPr>
          <w:rFonts w:ascii="Arial" w:hAnsi="Arial"/>
        </w:rPr>
        <w:t xml:space="preserve"> dei decessi come conseguenza degli incidenti e al denominatore il numero </w:t>
      </w:r>
      <w:r w:rsidRPr="001B4411">
        <w:rPr>
          <w:rFonts w:ascii="Arial" w:hAnsi="Arial"/>
          <w:b/>
        </w:rPr>
        <w:t>(I</w:t>
      </w:r>
      <w:r w:rsidRPr="00DB67B0">
        <w:rPr>
          <w:rFonts w:ascii="Arial" w:hAnsi="Arial"/>
          <w:b/>
        </w:rPr>
        <w:t>)</w:t>
      </w:r>
      <w:r w:rsidRPr="00DB67B0">
        <w:rPr>
          <w:rFonts w:ascii="Arial" w:hAnsi="Arial"/>
        </w:rPr>
        <w:t xml:space="preserve"> </w:t>
      </w:r>
      <w:r>
        <w:rPr>
          <w:rFonts w:ascii="Arial" w:hAnsi="Arial"/>
        </w:rPr>
        <w:t>degli incidenti stradali con lesioni a persone</w:t>
      </w:r>
      <w:r w:rsidRPr="00DB67B0">
        <w:rPr>
          <w:rFonts w:ascii="Arial" w:hAnsi="Arial"/>
        </w:rPr>
        <w:t xml:space="preserve">. Il parametro </w:t>
      </w:r>
      <w:r w:rsidRPr="0074776B">
        <w:rPr>
          <w:rFonts w:ascii="Arial" w:hAnsi="Arial"/>
          <w:b/>
        </w:rPr>
        <w:t>I</w:t>
      </w:r>
      <w:r w:rsidRPr="00DB67B0">
        <w:rPr>
          <w:rFonts w:ascii="Arial" w:hAnsi="Arial"/>
          <w:b/>
        </w:rPr>
        <w:t>M</w:t>
      </w:r>
      <w:r w:rsidRPr="00DB67B0">
        <w:rPr>
          <w:rFonts w:ascii="Arial" w:hAnsi="Arial"/>
        </w:rPr>
        <w:t xml:space="preserve"> esprime, quindi, il numero di decessi</w:t>
      </w:r>
      <w:r>
        <w:rPr>
          <w:rFonts w:ascii="Arial" w:hAnsi="Arial"/>
        </w:rPr>
        <w:t xml:space="preserve"> a seguito di incidenti stradali</w:t>
      </w:r>
      <w:r w:rsidRPr="00DB67B0">
        <w:rPr>
          <w:rFonts w:ascii="Arial" w:hAnsi="Arial"/>
        </w:rPr>
        <w:t xml:space="preserve"> verificatisi in un determinato anno, ogni 100 incidenti.</w:t>
      </w:r>
      <w:r>
        <w:rPr>
          <w:rFonts w:ascii="Arial" w:hAnsi="Arial"/>
        </w:rPr>
        <w:t xml:space="preserve">  </w:t>
      </w:r>
    </w:p>
    <w:p w14:paraId="1A0143A9" w14:textId="77777777" w:rsidR="00E27DAC" w:rsidRPr="00DB67B0" w:rsidRDefault="00E27DAC" w:rsidP="00EE20E2">
      <w:pPr>
        <w:pStyle w:val="Testonormale"/>
        <w:numPr>
          <w:ilvl w:val="0"/>
          <w:numId w:val="7"/>
        </w:numPr>
        <w:ind w:left="0" w:firstLine="0"/>
        <w:jc w:val="both"/>
        <w:rPr>
          <w:rFonts w:ascii="Arial" w:hAnsi="Arial"/>
        </w:rPr>
      </w:pPr>
      <w:r w:rsidRPr="00DB67B0">
        <w:rPr>
          <w:rFonts w:ascii="Arial" w:hAnsi="Arial"/>
        </w:rPr>
        <w:t>Indice</w:t>
      </w:r>
      <w:r w:rsidRPr="00DB67B0">
        <w:rPr>
          <w:rFonts w:ascii="Arial" w:hAnsi="Arial"/>
          <w:iCs/>
        </w:rPr>
        <w:t xml:space="preserve"> di lesività</w:t>
      </w:r>
      <w:r w:rsidRPr="00DB67B0">
        <w:rPr>
          <w:rFonts w:ascii="Arial" w:hAnsi="Arial"/>
          <w:i/>
        </w:rPr>
        <w:t xml:space="preserve"> </w:t>
      </w:r>
      <w:r w:rsidRPr="00DB67B0">
        <w:rPr>
          <w:rFonts w:ascii="Arial" w:hAnsi="Arial"/>
        </w:rPr>
        <w:t xml:space="preserve">stradale </w:t>
      </w:r>
      <w:r>
        <w:rPr>
          <w:rFonts w:ascii="Arial" w:hAnsi="Arial"/>
          <w:b/>
        </w:rPr>
        <w:t>I</w:t>
      </w:r>
      <w:r w:rsidRPr="00DB67B0">
        <w:rPr>
          <w:rFonts w:ascii="Arial" w:hAnsi="Arial"/>
          <w:b/>
        </w:rPr>
        <w:t>F</w:t>
      </w:r>
      <w:r w:rsidRPr="00DB67B0">
        <w:rPr>
          <w:rFonts w:ascii="Arial" w:hAnsi="Arial"/>
        </w:rPr>
        <w:t>:</w:t>
      </w:r>
    </w:p>
    <w:p w14:paraId="3D8D7D0A" w14:textId="77777777" w:rsidR="00E27DAC" w:rsidRPr="00DB67B0" w:rsidRDefault="00415EA4" w:rsidP="00F52AE6">
      <w:pPr>
        <w:pStyle w:val="Testonormale"/>
        <w:spacing w:after="80"/>
        <w:jc w:val="center"/>
        <w:rPr>
          <w:rFonts w:ascii="Arial" w:hAnsi="Arial"/>
          <w:b/>
        </w:rPr>
      </w:pPr>
      <w:r w:rsidRPr="0074776B">
        <w:rPr>
          <w:rFonts w:ascii="Arial" w:hAnsi="Arial"/>
          <w:b/>
          <w:noProof/>
          <w:position w:val="-22"/>
        </w:rPr>
        <w:object w:dxaOrig="1140" w:dyaOrig="540" w14:anchorId="7AFBF965">
          <v:shape id="_x0000_i1027" type="#_x0000_t75" alt="" style="width:1in;height:27pt;mso-width-percent:0;mso-height-percent:0;mso-width-percent:0;mso-height-percent:0" o:ole="" fillcolor="window">
            <v:imagedata r:id="rId32" o:title=""/>
          </v:shape>
          <o:OLEObject Type="Embed" ProgID="Equation.3" ShapeID="_x0000_i1027" DrawAspect="Content" ObjectID="_1720332105" r:id="rId33"/>
        </w:object>
      </w:r>
    </w:p>
    <w:p w14:paraId="7802CFE2" w14:textId="77777777" w:rsidR="00E27DAC" w:rsidRDefault="00E27DAC" w:rsidP="00F52AE6">
      <w:pPr>
        <w:pStyle w:val="Testonormale"/>
        <w:spacing w:after="120"/>
        <w:jc w:val="both"/>
        <w:rPr>
          <w:rFonts w:ascii="Arial" w:hAnsi="Arial"/>
        </w:rPr>
      </w:pPr>
      <w:r>
        <w:rPr>
          <w:rFonts w:ascii="Arial" w:hAnsi="Arial"/>
          <w:b/>
        </w:rPr>
        <w:t>I</w:t>
      </w:r>
      <w:r w:rsidRPr="00DB67B0">
        <w:rPr>
          <w:rFonts w:ascii="Arial" w:hAnsi="Arial"/>
          <w:b/>
        </w:rPr>
        <w:t>F</w:t>
      </w:r>
      <w:r w:rsidRPr="00DB67B0">
        <w:rPr>
          <w:rFonts w:ascii="Arial" w:hAnsi="Arial"/>
        </w:rPr>
        <w:t xml:space="preserve"> esprime il rapporto di lesività stradale ogni 100 incidenti ed </w:t>
      </w:r>
      <w:r w:rsidRPr="00DB67B0">
        <w:rPr>
          <w:rFonts w:ascii="Arial" w:hAnsi="Arial"/>
          <w:b/>
        </w:rPr>
        <w:t>F</w:t>
      </w:r>
      <w:r w:rsidRPr="00DB67B0">
        <w:rPr>
          <w:rFonts w:ascii="Arial" w:hAnsi="Arial"/>
        </w:rPr>
        <w:t xml:space="preserve"> il numero dei feriti</w:t>
      </w:r>
      <w:r>
        <w:rPr>
          <w:rFonts w:ascii="Arial" w:hAnsi="Arial"/>
        </w:rPr>
        <w:t>, senza distinzione di gravità</w:t>
      </w:r>
      <w:r w:rsidRPr="00DB67B0">
        <w:rPr>
          <w:rFonts w:ascii="Arial" w:hAnsi="Arial"/>
        </w:rPr>
        <w:t xml:space="preserve">. Anche in questo caso, </w:t>
      </w:r>
      <w:r>
        <w:rPr>
          <w:rFonts w:ascii="Arial" w:hAnsi="Arial"/>
        </w:rPr>
        <w:t>I</w:t>
      </w:r>
      <w:r w:rsidRPr="00DB67B0">
        <w:rPr>
          <w:rFonts w:ascii="Arial" w:hAnsi="Arial"/>
          <w:b/>
        </w:rPr>
        <w:t>F</w:t>
      </w:r>
      <w:r w:rsidRPr="00DB67B0">
        <w:rPr>
          <w:rFonts w:ascii="Arial" w:hAnsi="Arial"/>
        </w:rPr>
        <w:t xml:space="preserve"> può essere considerato un indicatore di </w:t>
      </w:r>
      <w:r>
        <w:rPr>
          <w:rFonts w:ascii="Arial" w:hAnsi="Arial"/>
        </w:rPr>
        <w:t>pericolosità</w:t>
      </w:r>
      <w:r w:rsidRPr="00DB67B0">
        <w:rPr>
          <w:rFonts w:ascii="Arial" w:hAnsi="Arial"/>
        </w:rPr>
        <w:t xml:space="preserve"> d</w:t>
      </w:r>
      <w:r>
        <w:rPr>
          <w:rFonts w:ascii="Arial" w:hAnsi="Arial"/>
        </w:rPr>
        <w:t>egli</w:t>
      </w:r>
      <w:r w:rsidRPr="00DB67B0">
        <w:rPr>
          <w:rFonts w:ascii="Arial" w:hAnsi="Arial"/>
        </w:rPr>
        <w:t xml:space="preserve"> incidenti, seppure limitato ai soggetti che, coinvolti in incidenti, sono </w:t>
      </w:r>
      <w:r>
        <w:rPr>
          <w:rFonts w:ascii="Arial" w:hAnsi="Arial"/>
        </w:rPr>
        <w:t>rimasti feriti</w:t>
      </w:r>
      <w:r w:rsidRPr="00DB67B0">
        <w:rPr>
          <w:rFonts w:ascii="Arial" w:hAnsi="Arial"/>
        </w:rPr>
        <w:t>.</w:t>
      </w:r>
    </w:p>
    <w:p w14:paraId="1EEDF67B" w14:textId="77777777" w:rsidR="00E27DAC" w:rsidRPr="0074776B" w:rsidRDefault="003B766D" w:rsidP="00F52AE6">
      <w:pPr>
        <w:pStyle w:val="Testonormale"/>
        <w:spacing w:after="80"/>
        <w:jc w:val="both"/>
        <w:rPr>
          <w:rFonts w:ascii="Arial" w:hAnsi="Arial"/>
        </w:rPr>
      </w:pPr>
      <w:r>
        <w:rPr>
          <w:rFonts w:ascii="Arial" w:hAnsi="Arial"/>
        </w:rPr>
        <w:t xml:space="preserve">- </w:t>
      </w:r>
      <w:r>
        <w:rPr>
          <w:rFonts w:ascii="Arial" w:hAnsi="Arial"/>
        </w:rPr>
        <w:tab/>
      </w:r>
      <w:r w:rsidR="00E27DAC">
        <w:rPr>
          <w:rFonts w:ascii="Arial" w:hAnsi="Arial"/>
        </w:rPr>
        <w:t xml:space="preserve">Indice di gravità </w:t>
      </w:r>
      <w:r w:rsidR="00E27DAC" w:rsidRPr="0074776B">
        <w:rPr>
          <w:rFonts w:ascii="Arial" w:hAnsi="Arial"/>
          <w:b/>
        </w:rPr>
        <w:t>IG:</w:t>
      </w:r>
    </w:p>
    <w:p w14:paraId="2A159D62" w14:textId="77777777" w:rsidR="00E27DAC" w:rsidRDefault="00E27DAC" w:rsidP="00F52AE6">
      <w:pPr>
        <w:pStyle w:val="Testonormale"/>
        <w:jc w:val="both"/>
        <w:rPr>
          <w:rFonts w:ascii="Arial" w:hAnsi="Arial"/>
        </w:rPr>
      </w:pPr>
      <w:r w:rsidRPr="00DB67B0">
        <w:rPr>
          <w:rFonts w:ascii="Arial" w:hAnsi="Arial"/>
        </w:rPr>
        <w:t xml:space="preserve">Finora ci si è riferiti al concetto di </w:t>
      </w:r>
      <w:r w:rsidRPr="00DB67B0">
        <w:rPr>
          <w:rFonts w:ascii="Arial" w:hAnsi="Arial"/>
          <w:iCs/>
        </w:rPr>
        <w:t>pericolosità media</w:t>
      </w:r>
      <w:r w:rsidRPr="00DB67B0">
        <w:rPr>
          <w:rFonts w:ascii="Arial" w:hAnsi="Arial"/>
        </w:rPr>
        <w:t xml:space="preserve"> riguardante il sinistro. Se il riferimento è posto sulla persona, in quanto soggetto passivo ed attivo dell’incidentalità, possono costruirsi </w:t>
      </w:r>
      <w:r w:rsidRPr="00DB67B0">
        <w:rPr>
          <w:rFonts w:ascii="Arial" w:hAnsi="Arial"/>
          <w:iCs/>
        </w:rPr>
        <w:t xml:space="preserve">altri indicatori di </w:t>
      </w:r>
      <w:r>
        <w:rPr>
          <w:rFonts w:ascii="Arial" w:hAnsi="Arial"/>
          <w:iCs/>
        </w:rPr>
        <w:t>gravità</w:t>
      </w:r>
      <w:r w:rsidRPr="00DB67B0">
        <w:rPr>
          <w:rFonts w:ascii="Arial" w:hAnsi="Arial"/>
        </w:rPr>
        <w:t xml:space="preserve"> degli incidenti, come </w:t>
      </w:r>
      <w:r w:rsidRPr="0074776B">
        <w:rPr>
          <w:rFonts w:ascii="Arial" w:hAnsi="Arial"/>
          <w:b/>
        </w:rPr>
        <w:t>IG</w:t>
      </w:r>
      <w:r w:rsidRPr="00DB67B0">
        <w:rPr>
          <w:rFonts w:ascii="Arial" w:hAnsi="Arial"/>
        </w:rPr>
        <w:t xml:space="preserve"> dato dal rapporto tra il numero dei morti e il numero degli infortunati:</w:t>
      </w:r>
    </w:p>
    <w:p w14:paraId="1A438422" w14:textId="77777777" w:rsidR="00E27DAC" w:rsidRPr="00DB67B0" w:rsidRDefault="00415EA4" w:rsidP="00F52AE6">
      <w:pPr>
        <w:pStyle w:val="Testonormale"/>
        <w:spacing w:after="80"/>
        <w:jc w:val="center"/>
        <w:outlineLvl w:val="0"/>
        <w:rPr>
          <w:rFonts w:ascii="Arial" w:hAnsi="Arial"/>
          <w:b/>
          <w:lang w:val="en-GB"/>
        </w:rPr>
      </w:pPr>
      <w:r w:rsidRPr="0074776B">
        <w:rPr>
          <w:rFonts w:ascii="Arial" w:hAnsi="Arial"/>
          <w:b/>
          <w:noProof/>
          <w:position w:val="-24"/>
        </w:rPr>
        <w:object w:dxaOrig="1500" w:dyaOrig="560" w14:anchorId="2F9B9E0A">
          <v:shape id="_x0000_i1028" type="#_x0000_t75" alt="" style="width:99pt;height:27pt;mso-width-percent:0;mso-height-percent:0;mso-width-percent:0;mso-height-percent:0" o:ole="" fillcolor="window">
            <v:imagedata r:id="rId34" o:title=""/>
          </v:shape>
          <o:OLEObject Type="Embed" ProgID="Equation.3" ShapeID="_x0000_i1028" DrawAspect="Content" ObjectID="_1720332106" r:id="rId35"/>
        </w:object>
      </w:r>
    </w:p>
    <w:p w14:paraId="2B30C36D" w14:textId="77777777" w:rsidR="00E27DAC" w:rsidRPr="00DB67B0" w:rsidRDefault="00E27DAC" w:rsidP="00F52AE6">
      <w:pPr>
        <w:pStyle w:val="Testonormale"/>
        <w:spacing w:after="80"/>
        <w:jc w:val="both"/>
        <w:rPr>
          <w:rFonts w:ascii="Arial" w:hAnsi="Arial"/>
        </w:rPr>
      </w:pPr>
      <w:r w:rsidRPr="00DB67B0">
        <w:rPr>
          <w:rFonts w:ascii="Arial" w:hAnsi="Arial"/>
        </w:rPr>
        <w:t xml:space="preserve">dove </w:t>
      </w:r>
      <w:r w:rsidRPr="00DB67B0">
        <w:rPr>
          <w:rFonts w:ascii="Arial" w:hAnsi="Arial"/>
          <w:b/>
        </w:rPr>
        <w:t>(M+F)</w:t>
      </w:r>
      <w:r w:rsidRPr="00DB67B0">
        <w:rPr>
          <w:rFonts w:ascii="Arial" w:hAnsi="Arial"/>
        </w:rPr>
        <w:t xml:space="preserve"> rappresenta </w:t>
      </w:r>
      <w:r>
        <w:rPr>
          <w:rFonts w:ascii="Arial" w:hAnsi="Arial"/>
        </w:rPr>
        <w:t>il numero</w:t>
      </w:r>
      <w:r w:rsidRPr="00DB67B0">
        <w:rPr>
          <w:rFonts w:ascii="Arial" w:hAnsi="Arial"/>
        </w:rPr>
        <w:t xml:space="preserve"> di morti e feriti e dunque </w:t>
      </w:r>
      <w:r>
        <w:rPr>
          <w:rFonts w:ascii="Arial" w:hAnsi="Arial"/>
        </w:rPr>
        <w:t>la numerosità complessiva</w:t>
      </w:r>
      <w:r w:rsidRPr="00DB67B0">
        <w:rPr>
          <w:rFonts w:ascii="Arial" w:hAnsi="Arial"/>
        </w:rPr>
        <w:t xml:space="preserve"> delle persone infortunate nell’incidente. </w:t>
      </w:r>
      <w:r>
        <w:rPr>
          <w:rFonts w:ascii="Arial" w:hAnsi="Arial"/>
        </w:rPr>
        <w:t>L’indice</w:t>
      </w:r>
      <w:r w:rsidRPr="00DB67B0">
        <w:rPr>
          <w:rFonts w:ascii="Arial" w:hAnsi="Arial"/>
        </w:rPr>
        <w:t xml:space="preserve"> </w:t>
      </w:r>
      <w:r>
        <w:rPr>
          <w:rFonts w:ascii="Arial" w:hAnsi="Arial"/>
          <w:b/>
        </w:rPr>
        <w:t>IG</w:t>
      </w:r>
      <w:r w:rsidRPr="00DB67B0">
        <w:rPr>
          <w:rFonts w:ascii="Arial" w:hAnsi="Arial"/>
        </w:rPr>
        <w:t xml:space="preserve"> </w:t>
      </w:r>
      <w:r>
        <w:rPr>
          <w:rFonts w:ascii="Arial" w:hAnsi="Arial"/>
        </w:rPr>
        <w:t>rappresenta</w:t>
      </w:r>
      <w:r w:rsidRPr="00DB67B0">
        <w:rPr>
          <w:rFonts w:ascii="Arial" w:hAnsi="Arial"/>
        </w:rPr>
        <w:t xml:space="preserve"> un </w:t>
      </w:r>
      <w:r>
        <w:rPr>
          <w:rFonts w:ascii="Arial" w:hAnsi="Arial"/>
        </w:rPr>
        <w:t xml:space="preserve">diverso </w:t>
      </w:r>
      <w:r w:rsidRPr="00DB67B0">
        <w:rPr>
          <w:rFonts w:ascii="Arial" w:hAnsi="Arial"/>
        </w:rPr>
        <w:t xml:space="preserve">indicatore di </w:t>
      </w:r>
      <w:r>
        <w:rPr>
          <w:rFonts w:ascii="Arial" w:hAnsi="Arial"/>
        </w:rPr>
        <w:t>gravità</w:t>
      </w:r>
      <w:r w:rsidRPr="00DB67B0">
        <w:rPr>
          <w:rFonts w:ascii="Arial" w:hAnsi="Arial"/>
        </w:rPr>
        <w:t xml:space="preserve"> rispetto ad </w:t>
      </w:r>
      <w:r>
        <w:rPr>
          <w:rFonts w:ascii="Arial" w:hAnsi="Arial"/>
          <w:b/>
        </w:rPr>
        <w:t>I</w:t>
      </w:r>
      <w:r w:rsidRPr="00DB67B0">
        <w:rPr>
          <w:rFonts w:ascii="Arial" w:hAnsi="Arial"/>
          <w:b/>
        </w:rPr>
        <w:t>M</w:t>
      </w:r>
      <w:r w:rsidRPr="00DB67B0">
        <w:rPr>
          <w:rFonts w:ascii="Arial" w:hAnsi="Arial"/>
        </w:rPr>
        <w:t xml:space="preserve">, </w:t>
      </w:r>
      <w:r>
        <w:rPr>
          <w:rFonts w:ascii="Arial" w:hAnsi="Arial"/>
        </w:rPr>
        <w:t>che</w:t>
      </w:r>
      <w:r w:rsidRPr="00DB67B0">
        <w:rPr>
          <w:rFonts w:ascii="Arial" w:hAnsi="Arial"/>
        </w:rPr>
        <w:t xml:space="preserve">, cresce </w:t>
      </w:r>
      <w:r>
        <w:rPr>
          <w:rFonts w:ascii="Arial" w:hAnsi="Arial"/>
        </w:rPr>
        <w:t>in funzione</w:t>
      </w:r>
      <w:r w:rsidRPr="00DB67B0">
        <w:rPr>
          <w:rFonts w:ascii="Arial" w:hAnsi="Arial"/>
        </w:rPr>
        <w:t xml:space="preserve"> del numero </w:t>
      </w:r>
      <w:r w:rsidRPr="00DB67B0">
        <w:rPr>
          <w:rFonts w:ascii="Arial" w:hAnsi="Arial"/>
          <w:b/>
        </w:rPr>
        <w:t>M</w:t>
      </w:r>
      <w:r w:rsidRPr="00DB67B0">
        <w:rPr>
          <w:rFonts w:ascii="Arial" w:hAnsi="Arial"/>
        </w:rPr>
        <w:t xml:space="preserve"> di morti e dunque dell’esito letale della forma di sinistro considerata.</w:t>
      </w:r>
    </w:p>
    <w:p w14:paraId="08C5F37C" w14:textId="77777777" w:rsidR="00E27DAC" w:rsidRPr="00595BC1" w:rsidRDefault="00E27DAC" w:rsidP="00F52AE6">
      <w:pPr>
        <w:pStyle w:val="Testonormale"/>
        <w:spacing w:after="80"/>
        <w:jc w:val="both"/>
        <w:rPr>
          <w:rFonts w:ascii="Arial" w:hAnsi="Arial"/>
          <w:sz w:val="2"/>
        </w:rPr>
      </w:pPr>
    </w:p>
    <w:p w14:paraId="2D1A8915" w14:textId="77777777" w:rsidR="00E27DAC" w:rsidRDefault="00E27DAC" w:rsidP="007108CE">
      <w:pPr>
        <w:pStyle w:val="Testonormale"/>
        <w:spacing w:after="120"/>
        <w:jc w:val="both"/>
        <w:rPr>
          <w:rFonts w:ascii="Arial" w:hAnsi="Arial"/>
        </w:rPr>
      </w:pPr>
      <w:r>
        <w:rPr>
          <w:rFonts w:ascii="Arial" w:hAnsi="Arial"/>
        </w:rPr>
        <w:t xml:space="preserve">- </w:t>
      </w:r>
      <w:r w:rsidRPr="00665F4B">
        <w:rPr>
          <w:rFonts w:ascii="Arial" w:hAnsi="Arial"/>
        </w:rPr>
        <w:t>Il Costo Totale per incidenti stradali con lesioni a persone (CT) viene calcolato mediante la formula:</w:t>
      </w:r>
      <w:r>
        <w:rPr>
          <w:rFonts w:ascii="Arial" w:hAnsi="Arial"/>
        </w:rPr>
        <w:t xml:space="preserve"> </w:t>
      </w:r>
    </w:p>
    <w:p w14:paraId="6E09A479" w14:textId="77777777" w:rsidR="00E27DAC" w:rsidRPr="007108CE" w:rsidRDefault="00E27DAC" w:rsidP="00F52AE6">
      <w:pPr>
        <w:pStyle w:val="Testonormale"/>
        <w:spacing w:after="80"/>
        <w:jc w:val="center"/>
        <w:rPr>
          <w:rFonts w:ascii="Arial" w:hAnsi="Arial"/>
          <w:b/>
          <w:lang w:val="fr-FR"/>
        </w:rPr>
      </w:pPr>
      <w:r w:rsidRPr="007108CE">
        <w:rPr>
          <w:rFonts w:ascii="Arial" w:hAnsi="Arial"/>
          <w:b/>
          <w:lang w:val="fr-FR"/>
        </w:rPr>
        <w:t>CT = (CF * NF) + (CM * NM) + (CG * NI)</w:t>
      </w:r>
    </w:p>
    <w:p w14:paraId="02F7987E" w14:textId="77777777" w:rsidR="00E27DAC" w:rsidRDefault="00E27DAC" w:rsidP="00D042F6">
      <w:pPr>
        <w:pStyle w:val="Default"/>
        <w:spacing w:after="120"/>
        <w:jc w:val="both"/>
        <w:rPr>
          <w:rFonts w:ascii="Arial" w:hAnsi="Arial" w:cs="Arial"/>
          <w:sz w:val="20"/>
          <w:szCs w:val="20"/>
        </w:rPr>
      </w:pPr>
      <w:r w:rsidRPr="006444AE">
        <w:rPr>
          <w:rFonts w:ascii="Arial" w:hAnsi="Arial" w:cs="Arial"/>
          <w:sz w:val="20"/>
          <w:szCs w:val="20"/>
        </w:rPr>
        <w:t xml:space="preserve">Dove: </w:t>
      </w:r>
      <w:r w:rsidRPr="006444AE">
        <w:rPr>
          <w:rFonts w:ascii="Arial" w:hAnsi="Arial" w:cs="Arial"/>
          <w:b/>
          <w:sz w:val="20"/>
          <w:szCs w:val="20"/>
        </w:rPr>
        <w:t>CF</w:t>
      </w:r>
      <w:r w:rsidRPr="006444AE">
        <w:rPr>
          <w:rFonts w:ascii="Arial" w:hAnsi="Arial" w:cs="Arial"/>
          <w:sz w:val="20"/>
          <w:szCs w:val="20"/>
        </w:rPr>
        <w:t xml:space="preserve"> = Costo medio umano per un ferito; </w:t>
      </w:r>
      <w:r w:rsidRPr="006444AE">
        <w:rPr>
          <w:rFonts w:ascii="Arial" w:hAnsi="Arial" w:cs="Arial"/>
          <w:b/>
          <w:sz w:val="20"/>
          <w:szCs w:val="20"/>
        </w:rPr>
        <w:t>NF</w:t>
      </w:r>
      <w:r w:rsidRPr="006444AE">
        <w:rPr>
          <w:rFonts w:ascii="Arial" w:hAnsi="Arial" w:cs="Arial"/>
          <w:sz w:val="20"/>
          <w:szCs w:val="20"/>
        </w:rPr>
        <w:t xml:space="preserve"> = numero di feriti totali; </w:t>
      </w:r>
      <w:r w:rsidRPr="006444AE">
        <w:rPr>
          <w:rFonts w:ascii="Arial" w:hAnsi="Arial" w:cs="Arial"/>
          <w:b/>
          <w:sz w:val="20"/>
          <w:szCs w:val="20"/>
        </w:rPr>
        <w:t>C</w:t>
      </w:r>
      <w:r>
        <w:rPr>
          <w:rFonts w:ascii="Arial" w:hAnsi="Arial" w:cs="Arial"/>
          <w:b/>
          <w:sz w:val="20"/>
          <w:szCs w:val="20"/>
        </w:rPr>
        <w:t>M</w:t>
      </w:r>
      <w:r w:rsidRPr="006444AE">
        <w:rPr>
          <w:rFonts w:ascii="Arial" w:hAnsi="Arial" w:cs="Arial"/>
          <w:sz w:val="20"/>
          <w:szCs w:val="20"/>
        </w:rPr>
        <w:t xml:space="preserve"> = Costo medio umano per un decesso; </w:t>
      </w:r>
      <w:r w:rsidRPr="006444AE">
        <w:rPr>
          <w:rFonts w:ascii="Arial" w:hAnsi="Arial" w:cs="Arial"/>
          <w:b/>
          <w:sz w:val="20"/>
          <w:szCs w:val="20"/>
        </w:rPr>
        <w:t>NM</w:t>
      </w:r>
      <w:r w:rsidRPr="006444AE">
        <w:rPr>
          <w:rFonts w:ascii="Arial" w:hAnsi="Arial" w:cs="Arial"/>
          <w:sz w:val="20"/>
          <w:szCs w:val="20"/>
        </w:rPr>
        <w:t xml:space="preserve"> = numero di morti totali; </w:t>
      </w:r>
      <w:r w:rsidRPr="006444AE">
        <w:rPr>
          <w:rFonts w:ascii="Arial" w:hAnsi="Arial" w:cs="Arial"/>
          <w:b/>
          <w:sz w:val="20"/>
          <w:szCs w:val="20"/>
        </w:rPr>
        <w:t>CG</w:t>
      </w:r>
      <w:r w:rsidRPr="006444AE">
        <w:rPr>
          <w:rFonts w:ascii="Arial" w:hAnsi="Arial" w:cs="Arial"/>
          <w:sz w:val="20"/>
          <w:szCs w:val="20"/>
        </w:rPr>
        <w:t xml:space="preserve">= costi generali medi per incidente (patrimoniali, amministrativi); </w:t>
      </w:r>
      <w:r w:rsidRPr="006444AE">
        <w:rPr>
          <w:rFonts w:ascii="Arial" w:hAnsi="Arial" w:cs="Arial"/>
          <w:b/>
          <w:sz w:val="20"/>
          <w:szCs w:val="20"/>
        </w:rPr>
        <w:t xml:space="preserve">NI </w:t>
      </w:r>
      <w:r w:rsidRPr="006444AE">
        <w:rPr>
          <w:rFonts w:ascii="Arial" w:hAnsi="Arial" w:cs="Arial"/>
          <w:sz w:val="20"/>
          <w:szCs w:val="20"/>
        </w:rPr>
        <w:t xml:space="preserve">= numero totale di incidenti stradali con lesioni. </w:t>
      </w:r>
      <w:r>
        <w:rPr>
          <w:rFonts w:ascii="Arial" w:hAnsi="Arial" w:cs="Arial"/>
          <w:sz w:val="20"/>
          <w:szCs w:val="20"/>
        </w:rPr>
        <w:t>(</w:t>
      </w:r>
      <w:r w:rsidRPr="006444AE">
        <w:rPr>
          <w:rFonts w:ascii="Arial" w:hAnsi="Arial" w:cs="Arial"/>
          <w:sz w:val="20"/>
          <w:szCs w:val="20"/>
        </w:rPr>
        <w:t>Le voci considerate si riferiscono al singolo individuo morto o ferito in un incidente stradale, in particolare la mancata produttività, i danni non patrimoniali, le spese per il trattamento sanitario e all’incidente stradale, esplicitando danni materiali a veicoli, edifici, strade, costi di intervento dei servizi di emergenza, costi processuali e di amministrazione</w:t>
      </w:r>
      <w:r>
        <w:rPr>
          <w:rFonts w:ascii="Arial" w:hAnsi="Arial" w:cs="Arial"/>
          <w:sz w:val="20"/>
          <w:szCs w:val="20"/>
        </w:rPr>
        <w:t>)</w:t>
      </w:r>
      <w:r w:rsidRPr="006444AE">
        <w:rPr>
          <w:rFonts w:ascii="Arial" w:hAnsi="Arial" w:cs="Arial"/>
          <w:sz w:val="20"/>
          <w:szCs w:val="20"/>
        </w:rPr>
        <w:t>.</w:t>
      </w:r>
    </w:p>
    <w:p w14:paraId="6FA1C7DA" w14:textId="77777777" w:rsidR="005A232F" w:rsidRDefault="005A232F" w:rsidP="005A232F">
      <w:pPr>
        <w:rPr>
          <w:sz w:val="20"/>
        </w:rPr>
      </w:pPr>
    </w:p>
    <w:p w14:paraId="2C7CEB3D" w14:textId="77777777" w:rsidR="00E27DAC" w:rsidRPr="00BC128B" w:rsidRDefault="00E27DAC" w:rsidP="005A232F">
      <w:pPr>
        <w:pStyle w:val="Corpotesto"/>
        <w:tabs>
          <w:tab w:val="left" w:pos="720"/>
        </w:tabs>
        <w:spacing w:after="120"/>
        <w:ind w:right="108"/>
        <w:rPr>
          <w:rFonts w:ascii="Arial" w:eastAsia="Calibri" w:hAnsi="Arial"/>
          <w:b/>
        </w:rPr>
      </w:pPr>
      <w:r w:rsidRPr="00BC128B">
        <w:rPr>
          <w:rFonts w:ascii="Arial" w:hAnsi="Arial"/>
          <w:b/>
          <w:color w:val="000000"/>
          <w:szCs w:val="22"/>
        </w:rPr>
        <w:t>Informazioni sulla r</w:t>
      </w:r>
      <w:r w:rsidRPr="00BC128B">
        <w:rPr>
          <w:rFonts w:ascii="Arial" w:eastAsia="Calibri" w:hAnsi="Arial"/>
          <w:b/>
          <w:color w:val="000000"/>
          <w:szCs w:val="22"/>
        </w:rPr>
        <w:t xml:space="preserve">iservatezza </w:t>
      </w:r>
      <w:r w:rsidRPr="00BC128B">
        <w:rPr>
          <w:rFonts w:ascii="Arial" w:hAnsi="Arial"/>
          <w:b/>
          <w:color w:val="000000"/>
          <w:szCs w:val="22"/>
        </w:rPr>
        <w:t xml:space="preserve">dei dati </w:t>
      </w:r>
    </w:p>
    <w:p w14:paraId="4F594313" w14:textId="77777777" w:rsidR="00527342" w:rsidRPr="003B67ED" w:rsidRDefault="00527342" w:rsidP="00D042F6">
      <w:pPr>
        <w:pStyle w:val="Rientrocorpodeltesto31"/>
        <w:spacing w:after="120" w:line="240" w:lineRule="auto"/>
        <w:ind w:left="0"/>
        <w:rPr>
          <w:rFonts w:ascii="Arial" w:hAnsi="Arial" w:cs="Arial"/>
          <w:spacing w:val="0"/>
          <w:sz w:val="20"/>
          <w:lang w:eastAsia="it-IT"/>
        </w:rPr>
      </w:pPr>
      <w:r w:rsidRPr="003B67ED">
        <w:rPr>
          <w:rFonts w:ascii="Arial" w:hAnsi="Arial" w:cs="Arial"/>
          <w:spacing w:val="0"/>
          <w:sz w:val="20"/>
          <w:lang w:eastAsia="it-IT"/>
        </w:rPr>
        <w:t xml:space="preserve">Le informazioni raccolte sono tutelate dal segreto statistico (art. 9 del </w:t>
      </w:r>
      <w:r w:rsidR="00CA5012">
        <w:rPr>
          <w:rFonts w:ascii="Arial" w:hAnsi="Arial" w:cs="Arial"/>
          <w:spacing w:val="0"/>
          <w:sz w:val="20"/>
          <w:lang w:eastAsia="it-IT"/>
        </w:rPr>
        <w:t>D</w:t>
      </w:r>
      <w:r w:rsidRPr="003B67ED">
        <w:rPr>
          <w:rFonts w:ascii="Arial" w:hAnsi="Arial" w:cs="Arial"/>
          <w:spacing w:val="0"/>
          <w:sz w:val="20"/>
          <w:lang w:eastAsia="it-IT"/>
        </w:rPr>
        <w:t xml:space="preserve">.lgs. n. 322/1989) e, nel caso di dati personali, sottoposte alla normativa in materia di protezione di tali dati personali (Regolamento (UE) 2016/679, </w:t>
      </w:r>
      <w:r w:rsidR="00CA5012">
        <w:rPr>
          <w:rFonts w:ascii="Arial" w:hAnsi="Arial" w:cs="Arial"/>
          <w:spacing w:val="0"/>
          <w:sz w:val="20"/>
          <w:lang w:eastAsia="it-IT"/>
        </w:rPr>
        <w:t>D</w:t>
      </w:r>
      <w:r w:rsidRPr="003B67ED">
        <w:rPr>
          <w:rFonts w:ascii="Arial" w:hAnsi="Arial" w:cs="Arial"/>
          <w:spacing w:val="0"/>
          <w:sz w:val="20"/>
          <w:lang w:eastAsia="it-IT"/>
        </w:rPr>
        <w:t xml:space="preserve">.lgs. n. 196/2003, e </w:t>
      </w:r>
      <w:r w:rsidR="00CA5012">
        <w:rPr>
          <w:rFonts w:ascii="Arial" w:hAnsi="Arial" w:cs="Arial"/>
          <w:spacing w:val="0"/>
          <w:sz w:val="20"/>
          <w:lang w:eastAsia="it-IT"/>
        </w:rPr>
        <w:t>D</w:t>
      </w:r>
      <w:r w:rsidRPr="003B67ED">
        <w:rPr>
          <w:rFonts w:ascii="Arial" w:hAnsi="Arial" w:cs="Arial"/>
          <w:spacing w:val="0"/>
          <w:sz w:val="20"/>
          <w:lang w:eastAsia="it-IT"/>
        </w:rPr>
        <w:t>.lgs n.101/2018). I dati possono essere utilizzati anche per successivi trattamenti dall’Istat e dagli altri soggetti del Sistema statistico nazionale, esclusivamente per fini statistici, nonché essere comunicate per finalità di ricerca scientifica alle condizioni e secondo le modalità previste dall’art. 5-ter del decreto legislativo n. 33/2013</w:t>
      </w:r>
      <w:r w:rsidR="003B67ED">
        <w:rPr>
          <w:rFonts w:ascii="Arial" w:hAnsi="Arial" w:cs="Arial"/>
          <w:spacing w:val="0"/>
          <w:sz w:val="20"/>
          <w:lang w:eastAsia="it-IT"/>
        </w:rPr>
        <w:t>.</w:t>
      </w:r>
    </w:p>
    <w:p w14:paraId="2E6F076C" w14:textId="77777777" w:rsidR="00D042F6" w:rsidRDefault="00D042F6" w:rsidP="00D042F6">
      <w:pPr>
        <w:pStyle w:val="Corpotesto"/>
        <w:tabs>
          <w:tab w:val="left" w:pos="720"/>
        </w:tabs>
        <w:spacing w:after="120"/>
        <w:ind w:right="108"/>
        <w:rPr>
          <w:rFonts w:ascii="Arial" w:hAnsi="Arial"/>
          <w:b/>
          <w:color w:val="000000"/>
          <w:sz w:val="22"/>
        </w:rPr>
      </w:pPr>
    </w:p>
    <w:p w14:paraId="747C73B4" w14:textId="77777777" w:rsidR="00E27DAC" w:rsidRPr="00A43B2A" w:rsidRDefault="00E27DAC" w:rsidP="00D042F6">
      <w:pPr>
        <w:pStyle w:val="Corpotesto"/>
        <w:tabs>
          <w:tab w:val="left" w:pos="720"/>
        </w:tabs>
        <w:spacing w:after="120"/>
        <w:ind w:right="108"/>
        <w:rPr>
          <w:rFonts w:ascii="Arial" w:hAnsi="Arial"/>
          <w:b/>
          <w:sz w:val="22"/>
        </w:rPr>
      </w:pPr>
      <w:r w:rsidRPr="00A43B2A">
        <w:rPr>
          <w:rFonts w:ascii="Arial" w:hAnsi="Arial"/>
          <w:b/>
          <w:color w:val="000000"/>
          <w:sz w:val="22"/>
        </w:rPr>
        <w:t>Copertura e dettaglio territoriale</w:t>
      </w:r>
    </w:p>
    <w:p w14:paraId="656FA671" w14:textId="77777777" w:rsidR="00E27DAC" w:rsidRDefault="00E27DAC" w:rsidP="00D042F6">
      <w:pPr>
        <w:spacing w:after="120"/>
        <w:jc w:val="both"/>
        <w:rPr>
          <w:sz w:val="20"/>
        </w:rPr>
      </w:pPr>
      <w:r w:rsidRPr="00A43B2A">
        <w:rPr>
          <w:sz w:val="20"/>
        </w:rPr>
        <w:t xml:space="preserve">I dati sono </w:t>
      </w:r>
      <w:r>
        <w:rPr>
          <w:sz w:val="20"/>
        </w:rPr>
        <w:t>d</w:t>
      </w:r>
      <w:r w:rsidRPr="00A43B2A">
        <w:rPr>
          <w:sz w:val="20"/>
        </w:rPr>
        <w:t>iffusi a livello nazionale, provinciale e comunale.</w:t>
      </w:r>
    </w:p>
    <w:p w14:paraId="0751262E" w14:textId="77777777" w:rsidR="00E27DAC" w:rsidRDefault="00E27DAC" w:rsidP="00D042F6">
      <w:pPr>
        <w:spacing w:after="120"/>
        <w:jc w:val="both"/>
        <w:rPr>
          <w:sz w:val="20"/>
        </w:rPr>
      </w:pPr>
    </w:p>
    <w:p w14:paraId="4F32601E" w14:textId="77777777" w:rsidR="00E27DAC" w:rsidRPr="00A43B2A" w:rsidRDefault="00E27DAC" w:rsidP="00D042F6">
      <w:pPr>
        <w:pStyle w:val="Corpotesto"/>
        <w:tabs>
          <w:tab w:val="left" w:pos="720"/>
        </w:tabs>
        <w:spacing w:after="120"/>
        <w:ind w:right="106"/>
        <w:rPr>
          <w:rFonts w:ascii="Arial" w:hAnsi="Arial"/>
          <w:b/>
          <w:sz w:val="22"/>
        </w:rPr>
      </w:pPr>
      <w:r w:rsidRPr="00A43B2A">
        <w:rPr>
          <w:rFonts w:ascii="Arial" w:hAnsi="Arial"/>
          <w:b/>
          <w:color w:val="000000"/>
          <w:sz w:val="22"/>
        </w:rPr>
        <w:t>Tempestività</w:t>
      </w:r>
    </w:p>
    <w:p w14:paraId="5A9E3B95" w14:textId="77777777" w:rsidR="00E27DAC" w:rsidRDefault="00E27DAC" w:rsidP="00D042F6">
      <w:pPr>
        <w:spacing w:after="120"/>
        <w:jc w:val="both"/>
        <w:rPr>
          <w:spacing w:val="-3"/>
          <w:sz w:val="20"/>
        </w:rPr>
      </w:pPr>
      <w:r w:rsidRPr="00F73CC6">
        <w:rPr>
          <w:rFonts w:cs="Times New Roman"/>
          <w:iCs/>
          <w:sz w:val="20"/>
        </w:rPr>
        <w:t>Il flusso di indagine standard prevede una periodicità mensile di trasmissione, con invio entro 45 giorni dal termine del mese di rilevazione</w:t>
      </w:r>
      <w:r>
        <w:rPr>
          <w:rFonts w:cs="Times New Roman"/>
          <w:iCs/>
          <w:sz w:val="20"/>
        </w:rPr>
        <w:t>.</w:t>
      </w:r>
      <w:r w:rsidRPr="00A43B2A">
        <w:rPr>
          <w:spacing w:val="-3"/>
          <w:sz w:val="20"/>
        </w:rPr>
        <w:t xml:space="preserve"> </w:t>
      </w:r>
    </w:p>
    <w:p w14:paraId="0360B76C" w14:textId="77777777" w:rsidR="00E27DAC" w:rsidRDefault="00E27DAC" w:rsidP="00D042F6">
      <w:pPr>
        <w:spacing w:after="120"/>
        <w:jc w:val="both"/>
        <w:rPr>
          <w:sz w:val="20"/>
        </w:rPr>
      </w:pPr>
      <w:r>
        <w:rPr>
          <w:sz w:val="20"/>
        </w:rPr>
        <w:lastRenderedPageBreak/>
        <w:t xml:space="preserve">Il dato per l’anno </w:t>
      </w:r>
      <w:r w:rsidRPr="002369C2">
        <w:rPr>
          <w:i/>
          <w:sz w:val="20"/>
        </w:rPr>
        <w:t>t-1</w:t>
      </w:r>
      <w:r>
        <w:rPr>
          <w:sz w:val="20"/>
        </w:rPr>
        <w:t xml:space="preserve"> viene consolidato e validato, nel mese di luglio dell’anno </w:t>
      </w:r>
      <w:r w:rsidRPr="002369C2">
        <w:rPr>
          <w:i/>
          <w:sz w:val="20"/>
        </w:rPr>
        <w:t>t</w:t>
      </w:r>
      <w:r>
        <w:rPr>
          <w:sz w:val="20"/>
        </w:rPr>
        <w:t>, circa cinque dopo mesi la scadenza temporale fissata per la raccolta delle informazioni per il flusso standard (28 febbraio) e due mesi dal termine per la raccolta dei dati presso gli organi intermedi di rilevazione e aderenti a Protocollo di Intesa (31 maggio).</w:t>
      </w:r>
    </w:p>
    <w:p w14:paraId="30695A1D" w14:textId="77777777" w:rsidR="00E27DAC" w:rsidRDefault="00E27DAC" w:rsidP="00D042F6">
      <w:pPr>
        <w:spacing w:after="120"/>
        <w:jc w:val="both"/>
        <w:rPr>
          <w:sz w:val="20"/>
        </w:rPr>
      </w:pPr>
    </w:p>
    <w:p w14:paraId="54B2E6FF" w14:textId="77777777" w:rsidR="00E27DAC" w:rsidRDefault="00E27DAC" w:rsidP="00D042F6">
      <w:pPr>
        <w:pStyle w:val="Rientrocorpodeltesto"/>
        <w:spacing w:after="120"/>
        <w:ind w:firstLine="0"/>
        <w:rPr>
          <w:b/>
          <w:bCs/>
          <w:sz w:val="22"/>
          <w:szCs w:val="22"/>
        </w:rPr>
      </w:pPr>
      <w:r>
        <w:rPr>
          <w:b/>
          <w:bCs/>
          <w:sz w:val="22"/>
          <w:szCs w:val="22"/>
        </w:rPr>
        <w:t>D</w:t>
      </w:r>
      <w:r w:rsidRPr="00951BD0">
        <w:rPr>
          <w:b/>
          <w:bCs/>
          <w:sz w:val="22"/>
          <w:szCs w:val="22"/>
        </w:rPr>
        <w:t xml:space="preserve">iffusione dei dati </w:t>
      </w:r>
    </w:p>
    <w:p w14:paraId="6E54A405" w14:textId="6CF59A48" w:rsidR="00E27DAC" w:rsidRDefault="00E27DAC" w:rsidP="00D042F6">
      <w:pPr>
        <w:spacing w:after="120"/>
        <w:jc w:val="both"/>
        <w:rPr>
          <w:sz w:val="20"/>
        </w:rPr>
      </w:pPr>
      <w:r w:rsidRPr="00E85E4E">
        <w:rPr>
          <w:sz w:val="20"/>
        </w:rPr>
        <w:t>La diffusione dei risultati della rilevazione avviene</w:t>
      </w:r>
      <w:r>
        <w:rPr>
          <w:sz w:val="20"/>
        </w:rPr>
        <w:t>, a partire dai dati 2016,</w:t>
      </w:r>
      <w:r w:rsidRPr="00E85E4E">
        <w:rPr>
          <w:sz w:val="20"/>
        </w:rPr>
        <w:t xml:space="preserve"> </w:t>
      </w:r>
      <w:r>
        <w:rPr>
          <w:sz w:val="20"/>
        </w:rPr>
        <w:t xml:space="preserve">nel mese di luglio e </w:t>
      </w:r>
      <w:r w:rsidRPr="00E85E4E">
        <w:rPr>
          <w:sz w:val="20"/>
        </w:rPr>
        <w:t xml:space="preserve">riguarda la </w:t>
      </w:r>
      <w:r>
        <w:rPr>
          <w:sz w:val="20"/>
        </w:rPr>
        <w:t>divulgazione</w:t>
      </w:r>
      <w:r w:rsidRPr="00E85E4E">
        <w:rPr>
          <w:sz w:val="20"/>
        </w:rPr>
        <w:t xml:space="preserve"> dei dati dell</w:t>
      </w:r>
      <w:r w:rsidR="002245AF">
        <w:rPr>
          <w:sz w:val="20"/>
        </w:rPr>
        <w:t>’</w:t>
      </w:r>
      <w:r w:rsidRPr="00E85E4E">
        <w:rPr>
          <w:sz w:val="20"/>
        </w:rPr>
        <w:t>anno precedente a quello di pubblicazione</w:t>
      </w:r>
      <w:r w:rsidR="002B0091">
        <w:rPr>
          <w:sz w:val="20"/>
        </w:rPr>
        <w:t>, con un aggiornamento sul dettaglio delle variabili territoriali e di localizzazione ad ottobre</w:t>
      </w:r>
      <w:r>
        <w:rPr>
          <w:sz w:val="20"/>
        </w:rPr>
        <w:t xml:space="preserve">. </w:t>
      </w:r>
      <w:r w:rsidRPr="00A43B2A">
        <w:rPr>
          <w:sz w:val="20"/>
        </w:rPr>
        <w:t>Una stima preliminare del primo semestre dell’anno in corso viene diffusa</w:t>
      </w:r>
      <w:r w:rsidR="002B0091">
        <w:rPr>
          <w:sz w:val="20"/>
        </w:rPr>
        <w:t>, infine,</w:t>
      </w:r>
      <w:r w:rsidRPr="00A43B2A">
        <w:rPr>
          <w:sz w:val="20"/>
        </w:rPr>
        <w:t xml:space="preserve"> nel mese di </w:t>
      </w:r>
      <w:r w:rsidR="002B0091">
        <w:rPr>
          <w:sz w:val="20"/>
        </w:rPr>
        <w:t>novembre</w:t>
      </w:r>
      <w:r>
        <w:rPr>
          <w:sz w:val="20"/>
        </w:rPr>
        <w:t>.</w:t>
      </w:r>
      <w:r w:rsidRPr="002369C2">
        <w:rPr>
          <w:sz w:val="20"/>
        </w:rPr>
        <w:t xml:space="preserve"> </w:t>
      </w:r>
      <w:r>
        <w:rPr>
          <w:sz w:val="20"/>
        </w:rPr>
        <w:t xml:space="preserve">La fornitura alla Commissione </w:t>
      </w:r>
      <w:r w:rsidR="0046637D">
        <w:rPr>
          <w:sz w:val="20"/>
        </w:rPr>
        <w:t>e</w:t>
      </w:r>
      <w:r>
        <w:rPr>
          <w:sz w:val="20"/>
        </w:rPr>
        <w:t>uropea viene effettuata, come raccomandato, entro il 31 ottobre dell’anno successivo a quello di riferimento dei dati.</w:t>
      </w:r>
    </w:p>
    <w:p w14:paraId="78956D43" w14:textId="46788B20" w:rsidR="00AA5AF9" w:rsidRDefault="00AA5AF9" w:rsidP="00FA23E4">
      <w:pPr>
        <w:spacing w:after="120"/>
        <w:jc w:val="both"/>
        <w:rPr>
          <w:sz w:val="20"/>
        </w:rPr>
      </w:pPr>
      <w:r>
        <w:rPr>
          <w:sz w:val="20"/>
        </w:rPr>
        <w:t>Per quanto concerne le tavole di dati disponibili per gli utenti</w:t>
      </w:r>
      <w:r w:rsidR="00FA23E4">
        <w:rPr>
          <w:sz w:val="20"/>
        </w:rPr>
        <w:t>, per l’anno 2021</w:t>
      </w:r>
      <w:r w:rsidR="002B0091">
        <w:rPr>
          <w:sz w:val="20"/>
        </w:rPr>
        <w:t xml:space="preserve"> a luglio e ottobre 2022</w:t>
      </w:r>
      <w:r w:rsidR="00FA23E4">
        <w:rPr>
          <w:sz w:val="20"/>
        </w:rPr>
        <w:t>:</w:t>
      </w:r>
    </w:p>
    <w:p w14:paraId="3BD5E942" w14:textId="5ED160B5" w:rsidR="00AA5AF9" w:rsidRPr="00FA23E4" w:rsidRDefault="00FA23E4" w:rsidP="00FA23E4">
      <w:pPr>
        <w:pStyle w:val="Paragrafoelenco"/>
        <w:numPr>
          <w:ilvl w:val="0"/>
          <w:numId w:val="7"/>
        </w:numPr>
        <w:ind w:left="426"/>
        <w:jc w:val="both"/>
        <w:rPr>
          <w:sz w:val="20"/>
        </w:rPr>
      </w:pPr>
      <w:r w:rsidRPr="00FA23E4">
        <w:rPr>
          <w:sz w:val="20"/>
        </w:rPr>
        <w:t>L</w:t>
      </w:r>
      <w:r w:rsidR="002B0091">
        <w:rPr>
          <w:sz w:val="20"/>
        </w:rPr>
        <w:t>e tavole 1.11 e 5.15 n</w:t>
      </w:r>
      <w:r w:rsidR="00AA5AF9" w:rsidRPr="00FA23E4">
        <w:rPr>
          <w:sz w:val="20"/>
        </w:rPr>
        <w:t xml:space="preserve">on sono incluse nel rilascio di luglio e sono integrate nel mese di ottobre: </w:t>
      </w:r>
    </w:p>
    <w:p w14:paraId="18625E2C" w14:textId="76F43F33" w:rsidR="00AA5AF9" w:rsidRPr="00AA5AF9" w:rsidRDefault="00AA5AF9" w:rsidP="00FA23E4">
      <w:pPr>
        <w:jc w:val="both"/>
        <w:rPr>
          <w:sz w:val="20"/>
        </w:rPr>
      </w:pPr>
      <w:r w:rsidRPr="00AA5AF9">
        <w:rPr>
          <w:sz w:val="20"/>
        </w:rPr>
        <w:t>Tavola 1.11 Incidenti stradali, morti e feriti per comune capoluogo di provincia - Anno 2021</w:t>
      </w:r>
    </w:p>
    <w:p w14:paraId="37E9CAC0" w14:textId="445A0067" w:rsidR="00AA5AF9" w:rsidRPr="00AA5AF9" w:rsidRDefault="00AA5AF9" w:rsidP="00FA23E4">
      <w:pPr>
        <w:jc w:val="both"/>
        <w:rPr>
          <w:sz w:val="20"/>
        </w:rPr>
      </w:pPr>
      <w:r w:rsidRPr="00AA5AF9">
        <w:rPr>
          <w:sz w:val="20"/>
        </w:rPr>
        <w:t xml:space="preserve">Tavola 5.15 Indicatori dell'incidentalità stradale per provincia e regione - Anno 2021 (tassi per 100.000 abitanti e indicatori per 10.000 veicoli circolanti)     </w:t>
      </w:r>
    </w:p>
    <w:p w14:paraId="1F14051D" w14:textId="77777777" w:rsidR="00AA5AF9" w:rsidRPr="00AA5AF9" w:rsidRDefault="00AA5AF9" w:rsidP="00FA23E4">
      <w:pPr>
        <w:tabs>
          <w:tab w:val="left" w:pos="3548"/>
        </w:tabs>
        <w:jc w:val="both"/>
        <w:rPr>
          <w:sz w:val="20"/>
        </w:rPr>
      </w:pPr>
      <w:r w:rsidRPr="00AA5AF9">
        <w:rPr>
          <w:sz w:val="20"/>
        </w:rPr>
        <w:t xml:space="preserve">                       </w:t>
      </w:r>
      <w:r w:rsidRPr="00AA5AF9">
        <w:rPr>
          <w:sz w:val="20"/>
        </w:rPr>
        <w:tab/>
      </w:r>
    </w:p>
    <w:p w14:paraId="5E14E973" w14:textId="1EAC1EDC" w:rsidR="00AA5AF9" w:rsidRPr="00AA5AF9" w:rsidRDefault="00AA5AF9" w:rsidP="00FA23E4">
      <w:pPr>
        <w:pStyle w:val="Paragrafoelenco"/>
        <w:numPr>
          <w:ilvl w:val="0"/>
          <w:numId w:val="7"/>
        </w:numPr>
        <w:ind w:left="426"/>
        <w:jc w:val="both"/>
        <w:rPr>
          <w:sz w:val="20"/>
        </w:rPr>
      </w:pPr>
      <w:r w:rsidRPr="00AA5AF9">
        <w:rPr>
          <w:sz w:val="20"/>
        </w:rPr>
        <w:t xml:space="preserve">Le tavole 1.5, 1.10, 2.11, 2.12, </w:t>
      </w:r>
      <w:r w:rsidR="00D249C0">
        <w:rPr>
          <w:sz w:val="20"/>
        </w:rPr>
        <w:t xml:space="preserve">2.22, </w:t>
      </w:r>
      <w:r w:rsidRPr="00AA5AF9">
        <w:rPr>
          <w:sz w:val="20"/>
        </w:rPr>
        <w:t>2.23, 2.40 sono</w:t>
      </w:r>
      <w:r w:rsidR="00D249C0">
        <w:rPr>
          <w:sz w:val="20"/>
        </w:rPr>
        <w:t xml:space="preserve"> </w:t>
      </w:r>
      <w:r w:rsidRPr="00AA5AF9">
        <w:rPr>
          <w:sz w:val="20"/>
        </w:rPr>
        <w:t xml:space="preserve">fornite a livello regionale, </w:t>
      </w:r>
      <w:r>
        <w:rPr>
          <w:sz w:val="20"/>
        </w:rPr>
        <w:t xml:space="preserve">sono </w:t>
      </w:r>
      <w:r w:rsidRPr="00AA5AF9">
        <w:rPr>
          <w:sz w:val="20"/>
        </w:rPr>
        <w:t xml:space="preserve">rilasciate </w:t>
      </w:r>
      <w:r>
        <w:rPr>
          <w:sz w:val="20"/>
        </w:rPr>
        <w:t>nel mese di ottobre</w:t>
      </w:r>
      <w:r w:rsidRPr="00AA5AF9">
        <w:rPr>
          <w:sz w:val="20"/>
        </w:rPr>
        <w:t xml:space="preserve"> con maggior dettaglio territoriale.</w:t>
      </w:r>
    </w:p>
    <w:p w14:paraId="38748D15" w14:textId="617A11FF" w:rsidR="00AA5AF9" w:rsidRPr="00AA5AF9" w:rsidRDefault="00AA5AF9" w:rsidP="00FA23E4">
      <w:pPr>
        <w:tabs>
          <w:tab w:val="left" w:pos="1301"/>
        </w:tabs>
        <w:ind w:left="15"/>
        <w:jc w:val="both"/>
        <w:rPr>
          <w:sz w:val="20"/>
        </w:rPr>
      </w:pPr>
      <w:r w:rsidRPr="00AA5AF9">
        <w:rPr>
          <w:sz w:val="20"/>
        </w:rPr>
        <w:t>Tavola 1.5   Incidenti stradali, morti e feriti per regioni e grandi comuni - Anni 2019, 2020 e 2021</w:t>
      </w:r>
    </w:p>
    <w:p w14:paraId="6A553D69" w14:textId="23309682" w:rsidR="00AA5AF9" w:rsidRPr="00AA5AF9" w:rsidRDefault="00AA5AF9" w:rsidP="00FA23E4">
      <w:pPr>
        <w:tabs>
          <w:tab w:val="left" w:pos="1301"/>
        </w:tabs>
        <w:ind w:left="15"/>
        <w:jc w:val="both"/>
        <w:rPr>
          <w:sz w:val="20"/>
        </w:rPr>
      </w:pPr>
      <w:r w:rsidRPr="00AA5AF9">
        <w:rPr>
          <w:sz w:val="20"/>
        </w:rPr>
        <w:t>Tavola 1.10 Incidenti stradali, morti e feriti per regione - Anno 2021</w:t>
      </w:r>
    </w:p>
    <w:p w14:paraId="6321DCBA" w14:textId="0695B2EB" w:rsidR="00AA5AF9" w:rsidRPr="00AA5AF9" w:rsidRDefault="00AA5AF9" w:rsidP="00FA23E4">
      <w:pPr>
        <w:tabs>
          <w:tab w:val="left" w:pos="1301"/>
        </w:tabs>
        <w:ind w:left="15"/>
        <w:jc w:val="both"/>
        <w:rPr>
          <w:sz w:val="20"/>
        </w:rPr>
      </w:pPr>
      <w:r w:rsidRPr="00AA5AF9">
        <w:rPr>
          <w:sz w:val="20"/>
        </w:rPr>
        <w:t>Tavola 2.11 Incidenti stradali a veicoli isolati per tipo e regione - Anno 2021</w:t>
      </w:r>
    </w:p>
    <w:p w14:paraId="2AA780D9" w14:textId="218C26BC" w:rsidR="00D249C0" w:rsidRPr="00AA5AF9" w:rsidRDefault="00D249C0" w:rsidP="00D249C0">
      <w:pPr>
        <w:jc w:val="both"/>
        <w:rPr>
          <w:sz w:val="20"/>
        </w:rPr>
      </w:pPr>
      <w:r w:rsidRPr="00AA5AF9">
        <w:rPr>
          <w:sz w:val="20"/>
        </w:rPr>
        <w:t>Tavola 2.22 Incidenti stradali, morti e feriti per categoria della strada, mese, provincia e regione - Anno 2021</w:t>
      </w:r>
    </w:p>
    <w:p w14:paraId="251DC7E1" w14:textId="538945A3" w:rsidR="00AA5AF9" w:rsidRPr="00AA5AF9" w:rsidRDefault="00AA5AF9" w:rsidP="00FA23E4">
      <w:pPr>
        <w:tabs>
          <w:tab w:val="left" w:pos="1301"/>
        </w:tabs>
        <w:ind w:left="15"/>
        <w:jc w:val="both"/>
        <w:rPr>
          <w:sz w:val="20"/>
        </w:rPr>
      </w:pPr>
      <w:r w:rsidRPr="00AA5AF9">
        <w:rPr>
          <w:sz w:val="20"/>
        </w:rPr>
        <w:t>Tavola 2.23 Incidenti stradali su strade urbane ed extraurbane per caratteristica della strada e regione - Anno 2021</w:t>
      </w:r>
    </w:p>
    <w:p w14:paraId="0289C355" w14:textId="77777777" w:rsidR="00AA5AF9" w:rsidRPr="00AA5AF9" w:rsidRDefault="00AA5AF9" w:rsidP="00FA23E4">
      <w:pPr>
        <w:tabs>
          <w:tab w:val="left" w:pos="1301"/>
        </w:tabs>
        <w:ind w:left="15"/>
        <w:jc w:val="both"/>
        <w:rPr>
          <w:sz w:val="20"/>
        </w:rPr>
      </w:pPr>
      <w:r w:rsidRPr="00AA5AF9">
        <w:rPr>
          <w:sz w:val="20"/>
        </w:rPr>
        <w:t>Tavola 2.40 -</w:t>
      </w:r>
      <w:r w:rsidRPr="00AA5AF9">
        <w:rPr>
          <w:sz w:val="20"/>
        </w:rPr>
        <w:tab/>
        <w:t>Incidenti stradali a veicoli isolati e tra veicoli per regione - Anno 2021</w:t>
      </w:r>
    </w:p>
    <w:p w14:paraId="634CB84B" w14:textId="77777777" w:rsidR="00AA5AF9" w:rsidRPr="00AA5AF9" w:rsidRDefault="00AA5AF9" w:rsidP="00FA23E4">
      <w:pPr>
        <w:jc w:val="both"/>
        <w:rPr>
          <w:sz w:val="20"/>
        </w:rPr>
      </w:pPr>
    </w:p>
    <w:p w14:paraId="1146F515" w14:textId="47D9C054" w:rsidR="00AA5AF9" w:rsidRDefault="00AA5AF9" w:rsidP="00FA23E4">
      <w:pPr>
        <w:pStyle w:val="Paragrafoelenco"/>
        <w:numPr>
          <w:ilvl w:val="0"/>
          <w:numId w:val="7"/>
        </w:numPr>
        <w:ind w:left="284" w:hanging="218"/>
        <w:jc w:val="both"/>
        <w:rPr>
          <w:sz w:val="20"/>
        </w:rPr>
      </w:pPr>
      <w:r w:rsidRPr="00AA5AF9">
        <w:rPr>
          <w:sz w:val="20"/>
        </w:rPr>
        <w:t>Le tavole 1.6, 1.7, 1.8, 1.9, 2.13</w:t>
      </w:r>
      <w:r w:rsidR="00D249C0">
        <w:rPr>
          <w:sz w:val="20"/>
        </w:rPr>
        <w:t>, 2.22</w:t>
      </w:r>
      <w:r w:rsidRPr="00AA5AF9">
        <w:rPr>
          <w:sz w:val="20"/>
        </w:rPr>
        <w:t xml:space="preserve"> contengono la disaggregazione per la localizzazione degli incidenti in soli tre gruppi (Strade urbane, Autostrade, altre strade), </w:t>
      </w:r>
      <w:r>
        <w:rPr>
          <w:sz w:val="20"/>
        </w:rPr>
        <w:t xml:space="preserve">sono </w:t>
      </w:r>
      <w:r w:rsidRPr="00AA5AF9">
        <w:rPr>
          <w:sz w:val="20"/>
        </w:rPr>
        <w:t xml:space="preserve">aggiornate </w:t>
      </w:r>
      <w:r>
        <w:rPr>
          <w:sz w:val="20"/>
        </w:rPr>
        <w:t xml:space="preserve">nel mese di ottobre </w:t>
      </w:r>
      <w:r w:rsidRPr="00AA5AF9">
        <w:rPr>
          <w:sz w:val="20"/>
        </w:rPr>
        <w:t>con maggior dettaglio.</w:t>
      </w:r>
    </w:p>
    <w:p w14:paraId="333FD8B6" w14:textId="77777777" w:rsidR="00FA23E4" w:rsidRDefault="00FA23E4" w:rsidP="00FA23E4">
      <w:pPr>
        <w:jc w:val="both"/>
        <w:rPr>
          <w:sz w:val="20"/>
        </w:rPr>
      </w:pPr>
    </w:p>
    <w:p w14:paraId="471A1618" w14:textId="7BA6B109" w:rsidR="00FA23E4" w:rsidRPr="00FA23E4" w:rsidRDefault="00FA23E4" w:rsidP="00FA23E4">
      <w:pPr>
        <w:tabs>
          <w:tab w:val="left" w:pos="1301"/>
        </w:tabs>
        <w:ind w:left="15"/>
        <w:jc w:val="both"/>
        <w:rPr>
          <w:sz w:val="20"/>
        </w:rPr>
      </w:pPr>
      <w:r w:rsidRPr="00FA23E4">
        <w:rPr>
          <w:sz w:val="20"/>
        </w:rPr>
        <w:t>Tavola 1.6</w:t>
      </w:r>
      <w:r w:rsidR="00D249C0">
        <w:rPr>
          <w:sz w:val="20"/>
        </w:rPr>
        <w:t xml:space="preserve"> </w:t>
      </w:r>
      <w:r w:rsidRPr="00FA23E4">
        <w:rPr>
          <w:sz w:val="20"/>
        </w:rPr>
        <w:t>Incidenti stradali, morti e feriti per categoria della strada, mese e regione - Anno 2021</w:t>
      </w:r>
    </w:p>
    <w:p w14:paraId="4ECE623F" w14:textId="3AD9A8B6" w:rsidR="00FA23E4" w:rsidRPr="00FA23E4" w:rsidRDefault="00FA23E4" w:rsidP="00FA23E4">
      <w:pPr>
        <w:tabs>
          <w:tab w:val="left" w:pos="1301"/>
        </w:tabs>
        <w:ind w:left="15"/>
        <w:jc w:val="both"/>
        <w:rPr>
          <w:sz w:val="20"/>
        </w:rPr>
      </w:pPr>
      <w:r>
        <w:rPr>
          <w:sz w:val="20"/>
        </w:rPr>
        <w:t xml:space="preserve">Tavola 1.7 </w:t>
      </w:r>
      <w:r w:rsidR="00D249C0">
        <w:rPr>
          <w:sz w:val="20"/>
        </w:rPr>
        <w:t>I</w:t>
      </w:r>
      <w:r w:rsidRPr="00FA23E4">
        <w:rPr>
          <w:sz w:val="20"/>
        </w:rPr>
        <w:t>ncidenti stradali, morti e feriti secondo la categoria della strada e le condizioni del tempo - Anno 2021</w:t>
      </w:r>
    </w:p>
    <w:p w14:paraId="5E9BE852" w14:textId="04D956AB" w:rsidR="00FA23E4" w:rsidRPr="00FA23E4" w:rsidRDefault="00FA23E4" w:rsidP="00FA23E4">
      <w:pPr>
        <w:tabs>
          <w:tab w:val="left" w:pos="1301"/>
        </w:tabs>
        <w:ind w:left="15"/>
        <w:jc w:val="both"/>
        <w:rPr>
          <w:sz w:val="20"/>
        </w:rPr>
      </w:pPr>
      <w:r w:rsidRPr="00FA23E4">
        <w:rPr>
          <w:sz w:val="20"/>
        </w:rPr>
        <w:t>Tavola 1.8 Incidenti stradali, morti e feriti secondo la categoria e il tipo di strada - Anno 2021</w:t>
      </w:r>
    </w:p>
    <w:p w14:paraId="1E2C7F09" w14:textId="760535B9" w:rsidR="00FA23E4" w:rsidRPr="00FA23E4" w:rsidRDefault="00D249C0" w:rsidP="00D249C0">
      <w:pPr>
        <w:tabs>
          <w:tab w:val="left" w:pos="993"/>
        </w:tabs>
        <w:ind w:left="15"/>
        <w:jc w:val="both"/>
        <w:rPr>
          <w:sz w:val="20"/>
        </w:rPr>
      </w:pPr>
      <w:r>
        <w:rPr>
          <w:sz w:val="20"/>
        </w:rPr>
        <w:t>Tavola 1.9</w:t>
      </w:r>
      <w:r>
        <w:rPr>
          <w:sz w:val="20"/>
        </w:rPr>
        <w:tab/>
      </w:r>
      <w:r w:rsidR="00FA23E4" w:rsidRPr="00FA23E4">
        <w:rPr>
          <w:sz w:val="20"/>
        </w:rPr>
        <w:t>Incidenti stradali, morti e feriti per categoria di strada, caratteristica della strada, tipo di pavimentazione e fondo stradale - Anno 2021</w:t>
      </w:r>
    </w:p>
    <w:p w14:paraId="2C124FAB" w14:textId="2F464CFB" w:rsidR="00FA23E4" w:rsidRPr="00FA23E4" w:rsidRDefault="00FA23E4" w:rsidP="00FA23E4">
      <w:pPr>
        <w:tabs>
          <w:tab w:val="left" w:pos="1301"/>
        </w:tabs>
        <w:ind w:left="15"/>
        <w:jc w:val="both"/>
        <w:rPr>
          <w:sz w:val="20"/>
        </w:rPr>
      </w:pPr>
      <w:r w:rsidRPr="00FA23E4">
        <w:rPr>
          <w:sz w:val="20"/>
        </w:rPr>
        <w:t>Tavola 2.13 Incidenti stradali, morti e feriti per categoria della strada e circostanza accertata o presunta dell'incidente - Anno 2021</w:t>
      </w:r>
    </w:p>
    <w:p w14:paraId="38DC9837" w14:textId="7F4814FF" w:rsidR="00D249C0" w:rsidRPr="00AA5AF9" w:rsidRDefault="00D249C0" w:rsidP="00D249C0">
      <w:pPr>
        <w:jc w:val="both"/>
        <w:rPr>
          <w:sz w:val="20"/>
        </w:rPr>
      </w:pPr>
      <w:r>
        <w:rPr>
          <w:sz w:val="20"/>
        </w:rPr>
        <w:t xml:space="preserve">Tavola 2.22 </w:t>
      </w:r>
      <w:r w:rsidRPr="00AA5AF9">
        <w:rPr>
          <w:sz w:val="20"/>
        </w:rPr>
        <w:t>Incidenti stradali, morti e feriti per categoria della strada, mese, provincia e regione - Anno 2021</w:t>
      </w:r>
    </w:p>
    <w:p w14:paraId="31DB816B" w14:textId="77777777" w:rsidR="00FA23E4" w:rsidRDefault="00FA23E4" w:rsidP="00D249C0">
      <w:pPr>
        <w:pStyle w:val="Corpodeltesto3"/>
        <w:rPr>
          <w:sz w:val="20"/>
        </w:rPr>
      </w:pPr>
    </w:p>
    <w:p w14:paraId="4025366C" w14:textId="77777777" w:rsidR="00E27DAC" w:rsidRDefault="00E27DAC" w:rsidP="00F52AE6">
      <w:pPr>
        <w:pStyle w:val="Corpodeltesto3"/>
        <w:spacing w:after="120"/>
        <w:rPr>
          <w:sz w:val="20"/>
        </w:rPr>
      </w:pPr>
      <w:r w:rsidRPr="00E85E4E">
        <w:rPr>
          <w:sz w:val="20"/>
        </w:rPr>
        <w:t xml:space="preserve">I file di microdati sono disponibili, su richiesta autorizzata, per tutti i soggetti del Sistema Statistico Nazionale e per il territorio di competenza. Tali file sono a disposizione presso il Laboratorio di Analisi dei Dati Elementari (ADELE). Grazie a tale servizio è possibile, per i ricercatori e gli studiosi, effettuare le analisi statistiche sui microdati derivanti dall’indagini dell'Istituto, nel rispetto delle norme sulla riservatezza dei dati personali. </w:t>
      </w:r>
    </w:p>
    <w:p w14:paraId="6EA5A892" w14:textId="77777777" w:rsidR="00E27DAC" w:rsidRDefault="00E27DAC" w:rsidP="00F52AE6">
      <w:pPr>
        <w:pStyle w:val="Corpodeltesto3"/>
        <w:spacing w:after="120"/>
        <w:rPr>
          <w:sz w:val="20"/>
        </w:rPr>
      </w:pPr>
      <w:r w:rsidRPr="00E85E4E">
        <w:rPr>
          <w:sz w:val="20"/>
        </w:rPr>
        <w:t>I dati della rilevazione, inoltre, sono disponibili anche sul data</w:t>
      </w:r>
      <w:r w:rsidR="00A1444B">
        <w:rPr>
          <w:sz w:val="20"/>
        </w:rPr>
        <w:t xml:space="preserve"> </w:t>
      </w:r>
      <w:r w:rsidRPr="00E85E4E">
        <w:rPr>
          <w:sz w:val="20"/>
        </w:rPr>
        <w:t xml:space="preserve">warehouse dell’Istat, I.stat. </w:t>
      </w:r>
    </w:p>
    <w:p w14:paraId="6440D2FC" w14:textId="77777777" w:rsidR="00E27DAC" w:rsidRDefault="00E27DAC" w:rsidP="00F52AE6">
      <w:pPr>
        <w:pStyle w:val="Corpodeltesto3"/>
        <w:spacing w:after="120"/>
        <w:rPr>
          <w:sz w:val="20"/>
        </w:rPr>
      </w:pPr>
      <w:r w:rsidRPr="00E85E4E">
        <w:rPr>
          <w:sz w:val="20"/>
        </w:rPr>
        <w:t>Sono a disposizione, a partire dai dati relativi all’anno 2010, anche i File per la ricerca e i File ad uso pubblico mIcro.STAT. I file per la ricerca sono realizzati per soddisfare esigenze di ricerca scientifica e sottoposti a particolari trattamenti statistici che limitano l'identificabilità del rispondente, pur mantenendo un elevato livello di dettaglio informativo. I file ad uso pubblico mIcro.STAT sono, invece, collezioni di dati elementari scaricabili liberamente e gratuitamente dal sito Istat e sviluppati per alcune particolari indagini a partire dai corr</w:t>
      </w:r>
      <w:r>
        <w:rPr>
          <w:sz w:val="20"/>
        </w:rPr>
        <w:t xml:space="preserve">ispondenti File per la ricerca, dei quali </w:t>
      </w:r>
      <w:r w:rsidRPr="00E85E4E">
        <w:rPr>
          <w:sz w:val="20"/>
        </w:rPr>
        <w:t>contengono</w:t>
      </w:r>
      <w:r>
        <w:rPr>
          <w:sz w:val="20"/>
        </w:rPr>
        <w:t>, però,</w:t>
      </w:r>
      <w:r w:rsidRPr="00E85E4E">
        <w:rPr>
          <w:sz w:val="20"/>
        </w:rPr>
        <w:t xml:space="preserve"> un minor dettaglio informativo. </w:t>
      </w:r>
    </w:p>
    <w:p w14:paraId="25EB07C2" w14:textId="77777777" w:rsidR="00E27DAC" w:rsidRDefault="00E27DAC" w:rsidP="00F52AE6">
      <w:pPr>
        <w:pStyle w:val="Corpodeltesto3"/>
        <w:spacing w:after="120"/>
        <w:rPr>
          <w:sz w:val="20"/>
        </w:rPr>
      </w:pPr>
      <w:r w:rsidRPr="00E85E4E">
        <w:rPr>
          <w:sz w:val="20"/>
        </w:rPr>
        <w:t xml:space="preserve">Il dato sugli incidenti stradali con lesioni a persone in Italia viene fornito, inoltre, alla Commissione </w:t>
      </w:r>
      <w:r w:rsidR="0046637D">
        <w:rPr>
          <w:sz w:val="20"/>
        </w:rPr>
        <w:t>e</w:t>
      </w:r>
      <w:r w:rsidRPr="00E85E4E">
        <w:rPr>
          <w:sz w:val="20"/>
        </w:rPr>
        <w:t>uropea per l’aggiornamento della base dati CARE - Community database on road accidents resulting in death or injury -DG-MOVE European Commission.</w:t>
      </w:r>
    </w:p>
    <w:p w14:paraId="44955AC5" w14:textId="77777777" w:rsidR="00E27DAC" w:rsidRPr="00CC139B" w:rsidRDefault="00CC139B" w:rsidP="00EE20E2">
      <w:pPr>
        <w:numPr>
          <w:ilvl w:val="0"/>
          <w:numId w:val="6"/>
        </w:numPr>
        <w:tabs>
          <w:tab w:val="clear" w:pos="757"/>
          <w:tab w:val="num" w:pos="284"/>
        </w:tabs>
        <w:ind w:left="284" w:firstLine="0"/>
        <w:jc w:val="both"/>
        <w:rPr>
          <w:sz w:val="20"/>
        </w:rPr>
      </w:pPr>
      <w:r w:rsidRPr="00CC139B">
        <w:rPr>
          <w:sz w:val="20"/>
        </w:rPr>
        <w:t xml:space="preserve">File per la Ricerca – Incidenti stradali </w:t>
      </w:r>
      <w:hyperlink r:id="rId36" w:history="1">
        <w:r w:rsidR="00936C44" w:rsidRPr="00CC139B">
          <w:rPr>
            <w:rStyle w:val="Collegamentoipertestuale"/>
            <w:sz w:val="20"/>
          </w:rPr>
          <w:t>http://www.istat.it/it/archivio/76750</w:t>
        </w:r>
      </w:hyperlink>
      <w:r w:rsidR="00936C44" w:rsidRPr="00CC139B">
        <w:rPr>
          <w:sz w:val="20"/>
        </w:rPr>
        <w:t xml:space="preserve">   </w:t>
      </w:r>
      <w:r w:rsidR="00954536" w:rsidRPr="00CC139B">
        <w:rPr>
          <w:sz w:val="20"/>
        </w:rPr>
        <w:t xml:space="preserve"> </w:t>
      </w:r>
      <w:r w:rsidR="00E27DAC" w:rsidRPr="00CC139B">
        <w:rPr>
          <w:sz w:val="20"/>
        </w:rPr>
        <w:t xml:space="preserve"> </w:t>
      </w:r>
    </w:p>
    <w:p w14:paraId="30C8015F" w14:textId="77777777" w:rsidR="00E27DAC" w:rsidRPr="00CC139B" w:rsidRDefault="00E27DAC" w:rsidP="00EE20E2">
      <w:pPr>
        <w:numPr>
          <w:ilvl w:val="0"/>
          <w:numId w:val="6"/>
        </w:numPr>
        <w:tabs>
          <w:tab w:val="clear" w:pos="757"/>
          <w:tab w:val="num" w:pos="284"/>
        </w:tabs>
        <w:ind w:left="284" w:firstLine="0"/>
        <w:jc w:val="both"/>
        <w:rPr>
          <w:sz w:val="20"/>
        </w:rPr>
      </w:pPr>
      <w:r w:rsidRPr="00CC139B">
        <w:rPr>
          <w:sz w:val="20"/>
        </w:rPr>
        <w:t xml:space="preserve">File </w:t>
      </w:r>
      <w:r w:rsidR="00F01642" w:rsidRPr="00CC139B">
        <w:rPr>
          <w:sz w:val="20"/>
        </w:rPr>
        <w:t>ad uso pubblico</w:t>
      </w:r>
      <w:r w:rsidR="00CC139B" w:rsidRPr="00CC139B">
        <w:rPr>
          <w:sz w:val="20"/>
        </w:rPr>
        <w:t xml:space="preserve"> – Incidenti stradali </w:t>
      </w:r>
      <w:hyperlink r:id="rId37" w:history="1">
        <w:r w:rsidR="00266EB1" w:rsidRPr="00CC139B">
          <w:rPr>
            <w:rStyle w:val="Collegamentoipertestuale"/>
            <w:sz w:val="20"/>
          </w:rPr>
          <w:t>http://www.istat.it/it/archivio/87539</w:t>
        </w:r>
      </w:hyperlink>
      <w:r w:rsidR="00F01642" w:rsidRPr="00CC139B">
        <w:rPr>
          <w:sz w:val="20"/>
        </w:rPr>
        <w:t xml:space="preserve"> </w:t>
      </w:r>
      <w:r w:rsidR="00954536" w:rsidRPr="00CC139B">
        <w:rPr>
          <w:sz w:val="20"/>
        </w:rPr>
        <w:t xml:space="preserve"> </w:t>
      </w:r>
    </w:p>
    <w:p w14:paraId="2A90844F" w14:textId="4FE436BB" w:rsidR="00045C97" w:rsidRPr="002B0091" w:rsidRDefault="00CC139B" w:rsidP="002B0091">
      <w:pPr>
        <w:numPr>
          <w:ilvl w:val="0"/>
          <w:numId w:val="6"/>
        </w:numPr>
        <w:tabs>
          <w:tab w:val="clear" w:pos="757"/>
          <w:tab w:val="num" w:pos="284"/>
        </w:tabs>
        <w:ind w:left="284" w:firstLine="0"/>
        <w:jc w:val="both"/>
        <w:rPr>
          <w:sz w:val="20"/>
          <w:lang w:val="en-GB"/>
        </w:rPr>
      </w:pPr>
      <w:r w:rsidRPr="00FA23E4">
        <w:rPr>
          <w:sz w:val="20"/>
          <w:lang w:val="en-US"/>
        </w:rPr>
        <w:t>CARE - Community database on road accidents resulting in death or injury – DG MOVE European Commission</w:t>
      </w:r>
      <w:r w:rsidRPr="00FA23E4">
        <w:rPr>
          <w:lang w:val="en-US"/>
        </w:rPr>
        <w:t xml:space="preserve"> </w:t>
      </w:r>
      <w:hyperlink r:id="rId38" w:history="1">
        <w:r w:rsidRPr="00FA23E4">
          <w:rPr>
            <w:rStyle w:val="Collegamentoipertestuale"/>
            <w:sz w:val="20"/>
            <w:lang w:val="en-US"/>
          </w:rPr>
          <w:t>http://ec.europa.eu/transport/road_safety/specialist/statistics/index_en.htm</w:t>
        </w:r>
      </w:hyperlink>
      <w:r w:rsidRPr="00FA23E4">
        <w:rPr>
          <w:sz w:val="20"/>
          <w:lang w:val="en-US"/>
        </w:rPr>
        <w:t xml:space="preserve">   </w:t>
      </w:r>
    </w:p>
    <w:sectPr w:rsidR="00045C97" w:rsidRPr="002B0091" w:rsidSect="003E0472">
      <w:footerReference w:type="even" r:id="rId39"/>
      <w:footerReference w:type="default" r:id="rId40"/>
      <w:headerReference w:type="first" r:id="rId41"/>
      <w:type w:val="continuous"/>
      <w:pgSz w:w="11906" w:h="16838" w:code="9"/>
      <w:pgMar w:top="851" w:right="991" w:bottom="1440" w:left="1080" w:header="284"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8498" w14:textId="77777777" w:rsidR="00C30F03" w:rsidRDefault="00C30F03">
      <w:r>
        <w:separator/>
      </w:r>
    </w:p>
  </w:endnote>
  <w:endnote w:type="continuationSeparator" w:id="0">
    <w:p w14:paraId="7B76DA02" w14:textId="77777777" w:rsidR="00C30F03" w:rsidRDefault="00C3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531D" w14:textId="77777777" w:rsidR="002B0091" w:rsidRDefault="002B009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2885566" w14:textId="77777777" w:rsidR="002B0091" w:rsidRDefault="002B00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AD1F" w14:textId="6603AA99" w:rsidR="002B0091" w:rsidRDefault="00015227" w:rsidP="00015227">
    <w:pPr>
      <w:pStyle w:val="Pidipagina"/>
      <w:tabs>
        <w:tab w:val="clear" w:pos="4819"/>
        <w:tab w:val="clear" w:pos="9638"/>
        <w:tab w:val="left" w:pos="8700"/>
      </w:tabs>
    </w:pPr>
    <w:r>
      <w:rPr>
        <w:rStyle w:val="Numeropagina"/>
        <w:b/>
        <w:noProof/>
        <w:color w:val="808080"/>
        <w:sz w:val="20"/>
      </w:rPr>
      <w:drawing>
        <wp:anchor distT="0" distB="0" distL="114300" distR="114300" simplePos="0" relativeHeight="251658240" behindDoc="0" locked="0" layoutInCell="1" allowOverlap="1" wp14:anchorId="331DFF6A" wp14:editId="00273993">
          <wp:simplePos x="0" y="0"/>
          <wp:positionH relativeFrom="column">
            <wp:posOffset>5524500</wp:posOffset>
          </wp:positionH>
          <wp:positionV relativeFrom="paragraph">
            <wp:posOffset>-635</wp:posOffset>
          </wp:positionV>
          <wp:extent cx="378460" cy="361950"/>
          <wp:effectExtent l="0" t="0" r="254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 cy="361950"/>
                  </a:xfrm>
                  <a:prstGeom prst="rect">
                    <a:avLst/>
                  </a:prstGeom>
                  <a:noFill/>
                  <a:ln>
                    <a:noFill/>
                  </a:ln>
                </pic:spPr>
              </pic:pic>
            </a:graphicData>
          </a:graphic>
        </wp:anchor>
      </w:drawing>
    </w:r>
    <w:r w:rsidR="002B0091">
      <w:rPr>
        <w:noProof/>
      </w:rPr>
      <w:drawing>
        <wp:inline distT="0" distB="0" distL="0" distR="0" wp14:anchorId="277C6FA2" wp14:editId="6BD36993">
          <wp:extent cx="542290" cy="148590"/>
          <wp:effectExtent l="0" t="0" r="0" b="3810"/>
          <wp:docPr id="24" name="Immagine 24" descr="logo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logopicc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48590"/>
                  </a:xfrm>
                  <a:prstGeom prst="rect">
                    <a:avLst/>
                  </a:prstGeom>
                  <a:noFill/>
                  <a:ln>
                    <a:noFill/>
                  </a:ln>
                </pic:spPr>
              </pic:pic>
            </a:graphicData>
          </a:graphic>
        </wp:inline>
      </w:drawing>
    </w:r>
    <w:r w:rsidR="002B0091">
      <w:rPr>
        <w:noProof/>
      </w:rPr>
      <w:t xml:space="preserve"> </w:t>
    </w:r>
    <w:r w:rsidR="002B0091" w:rsidRPr="002657BD">
      <w:rPr>
        <w:rStyle w:val="Numeropagina"/>
        <w:b/>
        <w:color w:val="1F497D" w:themeColor="text2"/>
      </w:rPr>
      <w:t>|</w:t>
    </w:r>
    <w:r w:rsidR="002B0091">
      <w:rPr>
        <w:rStyle w:val="Numeropagina"/>
        <w:b/>
        <w:color w:val="800000"/>
      </w:rPr>
      <w:t xml:space="preserve"> </w:t>
    </w:r>
    <w:r w:rsidR="002B0091" w:rsidRPr="0042070F">
      <w:rPr>
        <w:rStyle w:val="Numeropagina"/>
        <w:b/>
        <w:color w:val="808080"/>
        <w:sz w:val="20"/>
      </w:rPr>
      <w:fldChar w:fldCharType="begin"/>
    </w:r>
    <w:r w:rsidR="002B0091" w:rsidRPr="0042070F">
      <w:rPr>
        <w:rStyle w:val="Numeropagina"/>
        <w:b/>
        <w:color w:val="808080"/>
        <w:sz w:val="20"/>
      </w:rPr>
      <w:instrText xml:space="preserve">PAGE  </w:instrText>
    </w:r>
    <w:r w:rsidR="002B0091" w:rsidRPr="0042070F">
      <w:rPr>
        <w:rStyle w:val="Numeropagina"/>
        <w:b/>
        <w:color w:val="808080"/>
        <w:sz w:val="20"/>
      </w:rPr>
      <w:fldChar w:fldCharType="separate"/>
    </w:r>
    <w:r w:rsidR="00617AA1">
      <w:rPr>
        <w:rStyle w:val="Numeropagina"/>
        <w:b/>
        <w:noProof/>
        <w:color w:val="808080"/>
        <w:sz w:val="20"/>
      </w:rPr>
      <w:t>2</w:t>
    </w:r>
    <w:r w:rsidR="002B0091" w:rsidRPr="0042070F">
      <w:rPr>
        <w:rStyle w:val="Numeropagina"/>
        <w:b/>
        <w:color w:val="808080"/>
        <w:sz w:val="20"/>
      </w:rPr>
      <w:fldChar w:fldCharType="end"/>
    </w:r>
    <w:r>
      <w:rPr>
        <w:rStyle w:val="Numeropagina"/>
        <w:b/>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729D" w14:textId="77777777" w:rsidR="00C30F03" w:rsidRDefault="00C30F03">
      <w:r>
        <w:separator/>
      </w:r>
    </w:p>
  </w:footnote>
  <w:footnote w:type="continuationSeparator" w:id="0">
    <w:p w14:paraId="7D5DB672" w14:textId="77777777" w:rsidR="00C30F03" w:rsidRDefault="00C30F03">
      <w:r>
        <w:continuationSeparator/>
      </w:r>
    </w:p>
  </w:footnote>
  <w:footnote w:id="1">
    <w:p w14:paraId="61C113B3" w14:textId="77777777" w:rsidR="002B0091" w:rsidRPr="00EA50D3" w:rsidRDefault="002B0091" w:rsidP="004923FA">
      <w:pPr>
        <w:pStyle w:val="Testonotaapidipagina"/>
        <w:jc w:val="both"/>
        <w:rPr>
          <w:rFonts w:ascii="Arial" w:hAnsi="Arial" w:cs="Arial"/>
          <w:iCs/>
          <w:sz w:val="16"/>
          <w:szCs w:val="16"/>
        </w:rPr>
      </w:pPr>
      <w:r w:rsidRPr="003A070F">
        <w:rPr>
          <w:rStyle w:val="Rimandonotaapidipagina"/>
          <w:rFonts w:ascii="Arial" w:hAnsi="Arial" w:cs="Arial"/>
          <w:sz w:val="16"/>
          <w:szCs w:val="16"/>
        </w:rPr>
        <w:footnoteRef/>
      </w:r>
      <w:r w:rsidRPr="003A070F">
        <w:rPr>
          <w:rFonts w:ascii="Arial" w:hAnsi="Arial" w:cs="Arial"/>
          <w:sz w:val="16"/>
          <w:szCs w:val="16"/>
        </w:rPr>
        <w:t xml:space="preserve"> </w:t>
      </w:r>
      <w:r w:rsidRPr="003A070F">
        <w:rPr>
          <w:rFonts w:ascii="Arial" w:hAnsi="Arial" w:cs="Arial"/>
          <w:iCs/>
          <w:sz w:val="16"/>
          <w:szCs w:val="16"/>
        </w:rPr>
        <w:t xml:space="preserve">L’incidente stradale viene definito come “quell’evento in cui è coinvolto almeno un veicolo sulla rete stradale, verificatosi nelle vie o piazze aperte alla circolazione, che comporti lesioni a persone (morti entro 30 giorni e/o feriti)” - (Convenzione di Vienna del 1968, UNECE, ITF ed Eurostat 2019). </w:t>
      </w:r>
      <w:r w:rsidRPr="009966B8">
        <w:rPr>
          <w:rFonts w:ascii="Arial" w:hAnsi="Arial" w:cs="Arial"/>
          <w:iCs/>
          <w:sz w:val="16"/>
          <w:szCs w:val="16"/>
        </w:rPr>
        <w:t>Rilevazione basata su Protocollo di intesa e Convenzioni con l’Istat</w:t>
      </w:r>
      <w:r w:rsidRPr="00D746FB">
        <w:rPr>
          <w:rFonts w:ascii="Arial" w:hAnsi="Arial" w:cs="Arial"/>
          <w:iCs/>
          <w:sz w:val="16"/>
          <w:szCs w:val="16"/>
        </w:rPr>
        <w:t>.</w:t>
      </w:r>
      <w:r w:rsidRPr="003A070F">
        <w:rPr>
          <w:rFonts w:ascii="Arial" w:hAnsi="Arial" w:cs="Arial"/>
          <w:iCs/>
          <w:sz w:val="16"/>
          <w:szCs w:val="16"/>
        </w:rPr>
        <w:t xml:space="preserve"> Nel 20</w:t>
      </w:r>
      <w:r>
        <w:rPr>
          <w:rFonts w:ascii="Arial" w:hAnsi="Arial" w:cs="Arial"/>
          <w:iCs/>
          <w:sz w:val="16"/>
          <w:szCs w:val="16"/>
        </w:rPr>
        <w:t>21</w:t>
      </w:r>
      <w:r w:rsidRPr="003A070F">
        <w:rPr>
          <w:rFonts w:ascii="Arial" w:hAnsi="Arial" w:cs="Arial"/>
          <w:iCs/>
          <w:sz w:val="16"/>
          <w:szCs w:val="16"/>
        </w:rPr>
        <w:t xml:space="preserve"> hanno aderito l’Emilia-Romagna, il Friuli-Venezia Giulia, la Lombardia, il Piemonte, la Puglia, la Toscana, il Veneto, la Liguria, la Calabria, il Lazio </w:t>
      </w:r>
      <w:r w:rsidRPr="00EA50D3">
        <w:rPr>
          <w:rFonts w:ascii="Arial" w:hAnsi="Arial" w:cs="Arial"/>
          <w:iCs/>
          <w:sz w:val="16"/>
          <w:szCs w:val="16"/>
        </w:rPr>
        <w:t>e le Province autonome di Bolzano-Bozen e Trento. La proporzione di incidenti stradali, nel 2021, verbalizzati dalla Polizia Stradale è stata pari a 12,6%, dai Carabinieri a 21,9%, dalla Polizia locale e altri organi a 65,4%.</w:t>
      </w:r>
    </w:p>
  </w:footnote>
  <w:footnote w:id="2">
    <w:p w14:paraId="471DA70C" w14:textId="302CAD4E" w:rsidR="002B0091" w:rsidRPr="009640A8" w:rsidRDefault="002B0091" w:rsidP="00DA6558">
      <w:pPr>
        <w:pStyle w:val="Testonotaapidipagina"/>
        <w:jc w:val="both"/>
        <w:rPr>
          <w:rFonts w:ascii="Arial" w:hAnsi="Arial" w:cs="Arial"/>
          <w:iCs/>
          <w:sz w:val="16"/>
          <w:szCs w:val="16"/>
        </w:rPr>
      </w:pPr>
      <w:r w:rsidRPr="00EA50D3">
        <w:rPr>
          <w:rFonts w:ascii="Arial" w:hAnsi="Arial" w:cs="Arial"/>
          <w:iCs/>
          <w:sz w:val="16"/>
          <w:szCs w:val="16"/>
          <w:vertAlign w:val="superscript"/>
        </w:rPr>
        <w:footnoteRef/>
      </w:r>
      <w:r w:rsidRPr="00EA50D3">
        <w:rPr>
          <w:rFonts w:ascii="Arial" w:hAnsi="Arial" w:cs="Arial"/>
          <w:iCs/>
          <w:sz w:val="16"/>
          <w:szCs w:val="16"/>
          <w:vertAlign w:val="superscript"/>
        </w:rPr>
        <w:t xml:space="preserve"> </w:t>
      </w:r>
      <w:r w:rsidRPr="00EA50D3">
        <w:rPr>
          <w:rFonts w:ascii="Arial" w:hAnsi="Arial" w:cs="Arial"/>
          <w:iCs/>
          <w:sz w:val="16"/>
          <w:szCs w:val="16"/>
        </w:rPr>
        <w:t>Fonte: ACI, Aiscat, Anas, ANCMA, Istat, Isfort</w:t>
      </w:r>
      <w:r>
        <w:rPr>
          <w:rFonts w:ascii="Arial" w:hAnsi="Arial" w:cs="Arial"/>
          <w:iCs/>
          <w:sz w:val="16"/>
          <w:szCs w:val="16"/>
        </w:rPr>
        <w:t>.</w:t>
      </w:r>
      <w:r w:rsidRPr="00EA50D3">
        <w:rPr>
          <w:rFonts w:ascii="Arial" w:hAnsi="Arial" w:cs="Arial"/>
          <w:iCs/>
          <w:sz w:val="16"/>
          <w:szCs w:val="16"/>
        </w:rPr>
        <w:t xml:space="preserve"> </w:t>
      </w:r>
    </w:p>
  </w:footnote>
  <w:footnote w:id="3">
    <w:p w14:paraId="579E5C36" w14:textId="77777777" w:rsidR="002B0091" w:rsidRPr="00FB2C2F" w:rsidRDefault="002B0091" w:rsidP="001D36D0">
      <w:pPr>
        <w:pStyle w:val="Testonotaapidipagina"/>
        <w:rPr>
          <w:rFonts w:ascii="Arial" w:hAnsi="Arial" w:cs="Arial"/>
          <w:sz w:val="16"/>
          <w:szCs w:val="16"/>
        </w:rPr>
      </w:pPr>
      <w:r w:rsidRPr="00FB2C2F">
        <w:rPr>
          <w:rStyle w:val="Rimandonotaapidipagina"/>
          <w:rFonts w:ascii="Arial" w:hAnsi="Arial" w:cs="Arial"/>
          <w:sz w:val="16"/>
          <w:szCs w:val="16"/>
        </w:rPr>
        <w:footnoteRef/>
      </w:r>
      <w:r w:rsidRPr="00FB2C2F">
        <w:rPr>
          <w:rFonts w:ascii="Arial" w:hAnsi="Arial" w:cs="Arial"/>
          <w:sz w:val="16"/>
          <w:szCs w:val="16"/>
        </w:rPr>
        <w:t xml:space="preserve"> </w:t>
      </w:r>
      <w:r>
        <w:rPr>
          <w:rFonts w:ascii="Arial" w:hAnsi="Arial" w:cs="Arial"/>
          <w:sz w:val="16"/>
          <w:szCs w:val="16"/>
        </w:rPr>
        <w:t>ACI: i</w:t>
      </w:r>
      <w:r w:rsidRPr="00FB2C2F">
        <w:rPr>
          <w:rFonts w:ascii="Arial" w:hAnsi="Arial" w:cs="Arial"/>
          <w:sz w:val="16"/>
          <w:szCs w:val="16"/>
        </w:rPr>
        <w:t>ndagine sulla circolazione dei monopattini</w:t>
      </w:r>
      <w:r>
        <w:rPr>
          <w:rFonts w:ascii="Arial" w:hAnsi="Arial" w:cs="Arial"/>
          <w:sz w:val="16"/>
          <w:szCs w:val="16"/>
        </w:rPr>
        <w:t xml:space="preserve"> (2021) </w:t>
      </w:r>
      <w:hyperlink r:id="rId1" w:history="1">
        <w:r w:rsidRPr="00620A14">
          <w:rPr>
            <w:rStyle w:val="Collegamentoipertestuale"/>
            <w:rFonts w:ascii="Arial" w:hAnsi="Arial" w:cs="Arial"/>
            <w:sz w:val="16"/>
            <w:szCs w:val="16"/>
          </w:rPr>
          <w:t>https://www.aci.it/index.php?id=12159</w:t>
        </w:r>
      </w:hyperlink>
      <w:r>
        <w:rPr>
          <w:rFonts w:ascii="Arial" w:hAnsi="Arial" w:cs="Arial"/>
          <w:sz w:val="16"/>
          <w:szCs w:val="16"/>
        </w:rPr>
        <w:t xml:space="preserve"> </w:t>
      </w:r>
    </w:p>
  </w:footnote>
  <w:footnote w:id="4">
    <w:p w14:paraId="2D7B0DA4" w14:textId="1FF572DA" w:rsidR="002B0091" w:rsidRPr="00F877FE" w:rsidRDefault="002B0091" w:rsidP="001D36D0">
      <w:pPr>
        <w:pStyle w:val="Testonotaapidipagina"/>
        <w:jc w:val="both"/>
        <w:rPr>
          <w:rFonts w:ascii="Arial" w:hAnsi="Arial" w:cs="Arial"/>
          <w:sz w:val="16"/>
          <w:szCs w:val="16"/>
        </w:rPr>
      </w:pPr>
      <w:r>
        <w:rPr>
          <w:rStyle w:val="Rimandonotaapidipagina"/>
        </w:rPr>
        <w:footnoteRef/>
      </w:r>
      <w:r>
        <w:t xml:space="preserve"> </w:t>
      </w:r>
      <w:r w:rsidRPr="001D36D0">
        <w:rPr>
          <w:rFonts w:ascii="Arial" w:hAnsi="Arial" w:cs="Arial"/>
          <w:sz w:val="16"/>
          <w:szCs w:val="16"/>
        </w:rPr>
        <w:t>L’Istat e l’ACI, con la collaborazione del Ministero delle Infrastrutture e della Mobilità Sostenibile, del Minister</w:t>
      </w:r>
      <w:r w:rsidR="00FA7778">
        <w:rPr>
          <w:rFonts w:ascii="Arial" w:hAnsi="Arial" w:cs="Arial"/>
          <w:sz w:val="16"/>
          <w:szCs w:val="16"/>
        </w:rPr>
        <w:t>o della Salute e dell’Istituto S</w:t>
      </w:r>
      <w:r w:rsidRPr="001D36D0">
        <w:rPr>
          <w:rFonts w:ascii="Arial" w:hAnsi="Arial" w:cs="Arial"/>
          <w:sz w:val="16"/>
          <w:szCs w:val="16"/>
        </w:rPr>
        <w:t xml:space="preserve">uperiore di Sanità, hanno ricalcolato i parametri per i costi sociali degli incidenti stradali, </w:t>
      </w:r>
      <w:r w:rsidR="00FA7778">
        <w:rPr>
          <w:rFonts w:ascii="Arial" w:hAnsi="Arial" w:cs="Arial"/>
          <w:sz w:val="16"/>
          <w:szCs w:val="16"/>
        </w:rPr>
        <w:t>aggiornando i livelli a valori</w:t>
      </w:r>
      <w:r w:rsidRPr="001D36D0">
        <w:rPr>
          <w:rFonts w:ascii="Arial" w:hAnsi="Arial" w:cs="Arial"/>
          <w:sz w:val="16"/>
          <w:szCs w:val="16"/>
        </w:rPr>
        <w:t xml:space="preserve"> costanti 2010, fino ad ora utilizzati, e determinando costi specifici per i feriti gravi. I nuovi </w:t>
      </w:r>
      <w:r w:rsidR="00FA7778">
        <w:rPr>
          <w:rFonts w:ascii="Arial" w:hAnsi="Arial" w:cs="Arial"/>
          <w:sz w:val="16"/>
          <w:szCs w:val="16"/>
        </w:rPr>
        <w:t>parametri</w:t>
      </w:r>
      <w:r w:rsidRPr="001D36D0">
        <w:rPr>
          <w:rFonts w:ascii="Arial" w:hAnsi="Arial" w:cs="Arial"/>
          <w:sz w:val="16"/>
          <w:szCs w:val="16"/>
        </w:rPr>
        <w:t xml:space="preserve"> sono utilizzati, in via anti</w:t>
      </w:r>
      <w:r>
        <w:rPr>
          <w:rFonts w:ascii="Arial" w:hAnsi="Arial" w:cs="Arial"/>
          <w:sz w:val="16"/>
          <w:szCs w:val="16"/>
        </w:rPr>
        <w:t>cipatoria, nel presente report.</w:t>
      </w:r>
    </w:p>
  </w:footnote>
  <w:footnote w:id="5">
    <w:p w14:paraId="71447030" w14:textId="77777777" w:rsidR="002B0091" w:rsidRDefault="002B0091" w:rsidP="001D36D0">
      <w:pPr>
        <w:pStyle w:val="Testonotaapidipagina"/>
        <w:jc w:val="both"/>
      </w:pPr>
      <w:r w:rsidRPr="00236108">
        <w:rPr>
          <w:rStyle w:val="Rimandonotaapidipagina"/>
          <w:rFonts w:ascii="Arial" w:hAnsi="Arial" w:cs="Arial"/>
          <w:sz w:val="16"/>
          <w:szCs w:val="16"/>
        </w:rPr>
        <w:footnoteRef/>
      </w:r>
      <w:r w:rsidRPr="00236108">
        <w:rPr>
          <w:rStyle w:val="Rimandonotaapidipagina"/>
          <w:rFonts w:ascii="Arial" w:hAnsi="Arial" w:cs="Arial"/>
          <w:sz w:val="16"/>
          <w:szCs w:val="16"/>
        </w:rPr>
        <w:t xml:space="preserve"> </w:t>
      </w:r>
      <w:r w:rsidRPr="00236108">
        <w:rPr>
          <w:rFonts w:ascii="Arial" w:hAnsi="Arial" w:cs="Arial"/>
          <w:sz w:val="16"/>
          <w:szCs w:val="16"/>
        </w:rPr>
        <w:t xml:space="preserve"> </w:t>
      </w:r>
      <w:r>
        <w:rPr>
          <w:rFonts w:ascii="Arial" w:hAnsi="Arial" w:cs="Arial"/>
          <w:sz w:val="16"/>
          <w:szCs w:val="16"/>
        </w:rPr>
        <w:t>La Commissione Europea ha il compito di coordinare l’attività dei paesi della UE27 per la produzione degli indicatori di prestazione (8 diversi indicatori sui temi:</w:t>
      </w:r>
      <w:r w:rsidRPr="005D3C82">
        <w:rPr>
          <w:rFonts w:ascii="Arial" w:hAnsi="Arial" w:cs="Arial"/>
          <w:sz w:val="16"/>
          <w:szCs w:val="16"/>
        </w:rPr>
        <w:t xml:space="preserve"> infrastrutture, veicoli, </w:t>
      </w:r>
      <w:r>
        <w:rPr>
          <w:rFonts w:ascii="Arial" w:hAnsi="Arial" w:cs="Arial"/>
          <w:sz w:val="16"/>
          <w:szCs w:val="16"/>
        </w:rPr>
        <w:t>infrastrutture stradali</w:t>
      </w:r>
      <w:r w:rsidRPr="005D3C82">
        <w:rPr>
          <w:rFonts w:ascii="Arial" w:hAnsi="Arial" w:cs="Arial"/>
          <w:sz w:val="16"/>
          <w:szCs w:val="16"/>
        </w:rPr>
        <w:t>, assistenza post-incidente</w:t>
      </w:r>
      <w:r>
        <w:rPr>
          <w:rFonts w:ascii="Arial" w:hAnsi="Arial" w:cs="Arial"/>
          <w:sz w:val="16"/>
          <w:szCs w:val="16"/>
        </w:rPr>
        <w:t xml:space="preserve">). </w:t>
      </w:r>
      <w:r w:rsidRPr="00236108">
        <w:rPr>
          <w:rFonts w:ascii="Arial" w:hAnsi="Arial" w:cs="Arial"/>
          <w:sz w:val="16"/>
          <w:szCs w:val="16"/>
        </w:rPr>
        <w:t xml:space="preserve">Ciascun paese fornirà da uno a otto valori KPI nazionali, comparabili </w:t>
      </w:r>
      <w:r>
        <w:rPr>
          <w:rFonts w:ascii="Arial" w:hAnsi="Arial" w:cs="Arial"/>
          <w:sz w:val="16"/>
          <w:szCs w:val="16"/>
        </w:rPr>
        <w:t xml:space="preserve">e con </w:t>
      </w:r>
      <w:r w:rsidRPr="00236108">
        <w:rPr>
          <w:rFonts w:ascii="Arial" w:hAnsi="Arial" w:cs="Arial"/>
          <w:sz w:val="16"/>
          <w:szCs w:val="16"/>
        </w:rPr>
        <w:t>i requisiti metodologici mi</w:t>
      </w:r>
      <w:r>
        <w:rPr>
          <w:rFonts w:ascii="Arial" w:hAnsi="Arial" w:cs="Arial"/>
          <w:sz w:val="16"/>
          <w:szCs w:val="16"/>
        </w:rPr>
        <w:t>nimi decretati dalla Commissione europea (progetto BASELINE)</w:t>
      </w:r>
      <w:r w:rsidRPr="00236108">
        <w:rPr>
          <w:rFonts w:ascii="Arial" w:hAnsi="Arial" w:cs="Arial"/>
          <w:sz w:val="16"/>
          <w:szCs w:val="16"/>
        </w:rPr>
        <w:t>.</w:t>
      </w:r>
    </w:p>
  </w:footnote>
  <w:footnote w:id="6">
    <w:p w14:paraId="6990C2D8" w14:textId="77777777" w:rsidR="002B0091" w:rsidRPr="00C81CA5" w:rsidRDefault="002B0091" w:rsidP="000E6070">
      <w:pPr>
        <w:pStyle w:val="NormaleWeb"/>
        <w:spacing w:before="0" w:beforeAutospacing="0" w:after="0" w:afterAutospacing="0"/>
        <w:jc w:val="both"/>
        <w:rPr>
          <w:rFonts w:ascii="Arial" w:hAnsi="Arial" w:cs="Arial"/>
          <w:sz w:val="16"/>
          <w:szCs w:val="16"/>
        </w:rPr>
      </w:pPr>
      <w:r w:rsidRPr="00724D56">
        <w:rPr>
          <w:rStyle w:val="Rimandonotaapidipagina"/>
          <w:rFonts w:ascii="Arial" w:hAnsi="Arial" w:cs="Arial"/>
          <w:sz w:val="16"/>
          <w:szCs w:val="16"/>
        </w:rPr>
        <w:footnoteRef/>
      </w:r>
      <w:r w:rsidRPr="00724D56">
        <w:rPr>
          <w:rStyle w:val="Rimandonotaapidipagina"/>
          <w:rFonts w:ascii="Arial" w:hAnsi="Arial" w:cs="Arial"/>
          <w:sz w:val="16"/>
          <w:szCs w:val="16"/>
        </w:rPr>
        <w:t xml:space="preserve"> </w:t>
      </w:r>
      <w:r w:rsidRPr="00E76A56">
        <w:rPr>
          <w:rFonts w:ascii="Arial" w:hAnsi="Arial" w:cs="Arial"/>
          <w:sz w:val="16"/>
          <w:szCs w:val="16"/>
        </w:rPr>
        <w:t>Si precisa che</w:t>
      </w:r>
      <w:r>
        <w:rPr>
          <w:rFonts w:ascii="Arial" w:hAnsi="Arial" w:cs="Arial"/>
          <w:sz w:val="16"/>
          <w:szCs w:val="16"/>
        </w:rPr>
        <w:t>, anche per i bambini,</w:t>
      </w:r>
      <w:r w:rsidRPr="00E76A56">
        <w:rPr>
          <w:rFonts w:ascii="Arial" w:hAnsi="Arial" w:cs="Arial"/>
          <w:sz w:val="16"/>
          <w:szCs w:val="16"/>
        </w:rPr>
        <w:t xml:space="preserve"> non sono conteggiati morti o feriti per i quali l’età non è indicata </w:t>
      </w:r>
      <w:r>
        <w:rPr>
          <w:rFonts w:ascii="Arial" w:hAnsi="Arial" w:cs="Arial"/>
          <w:sz w:val="16"/>
          <w:szCs w:val="16"/>
        </w:rPr>
        <w:t xml:space="preserve">o </w:t>
      </w:r>
      <w:r w:rsidRPr="00E76A56">
        <w:rPr>
          <w:rFonts w:ascii="Arial" w:hAnsi="Arial" w:cs="Arial"/>
          <w:sz w:val="16"/>
          <w:szCs w:val="16"/>
        </w:rPr>
        <w:t>nel caso di incidenti con più veicoli</w:t>
      </w:r>
      <w:r>
        <w:rPr>
          <w:rFonts w:ascii="Arial" w:hAnsi="Arial" w:cs="Arial"/>
          <w:sz w:val="16"/>
          <w:szCs w:val="16"/>
        </w:rPr>
        <w:t>,</w:t>
      </w:r>
      <w:r w:rsidRPr="00E76A56">
        <w:rPr>
          <w:rFonts w:ascii="Arial" w:hAnsi="Arial" w:cs="Arial"/>
          <w:sz w:val="16"/>
          <w:szCs w:val="16"/>
        </w:rPr>
        <w:t xml:space="preserve"> per gli occupanti oltre il terzo veicolo</w:t>
      </w:r>
      <w:r>
        <w:rPr>
          <w:rFonts w:ascii="Arial" w:hAnsi="Arial" w:cs="Arial"/>
          <w:sz w:val="16"/>
          <w:szCs w:val="16"/>
        </w:rPr>
        <w:t xml:space="preserve">. </w:t>
      </w:r>
    </w:p>
    <w:p w14:paraId="718FB766" w14:textId="77777777" w:rsidR="002B0091" w:rsidRPr="00C81CA5" w:rsidRDefault="002B0091" w:rsidP="000E6070">
      <w:pPr>
        <w:pStyle w:val="Testonotaapidipagina"/>
        <w:jc w:val="both"/>
        <w:rPr>
          <w:rFonts w:ascii="Arial" w:hAnsi="Arial" w:cs="Arial"/>
          <w:sz w:val="16"/>
          <w:szCs w:val="16"/>
        </w:rPr>
      </w:pPr>
    </w:p>
  </w:footnote>
  <w:footnote w:id="7">
    <w:p w14:paraId="317BC994" w14:textId="77777777" w:rsidR="002B0091" w:rsidRPr="001D6F78" w:rsidRDefault="002B0091" w:rsidP="000E6070">
      <w:pPr>
        <w:pStyle w:val="Testonotaapidipagina"/>
        <w:jc w:val="both"/>
        <w:rPr>
          <w:rFonts w:ascii="Arial" w:hAnsi="Arial" w:cs="Arial"/>
          <w:sz w:val="18"/>
          <w:szCs w:val="16"/>
        </w:rPr>
      </w:pPr>
      <w:r w:rsidRPr="001D6F78">
        <w:rPr>
          <w:rStyle w:val="Rimandonotaapidipagina"/>
          <w:rFonts w:ascii="Arial" w:hAnsi="Arial" w:cs="Arial"/>
          <w:sz w:val="18"/>
          <w:szCs w:val="16"/>
        </w:rPr>
        <w:footnoteRef/>
      </w:r>
      <w:r w:rsidRPr="00F265BE">
        <w:rPr>
          <w:rFonts w:ascii="Arial" w:hAnsi="Arial" w:cs="Arial"/>
          <w:sz w:val="16"/>
          <w:szCs w:val="16"/>
        </w:rPr>
        <w:t xml:space="preserve"> </w:t>
      </w:r>
      <w:r w:rsidRPr="00F13C80">
        <w:rPr>
          <w:rFonts w:ascii="Arial" w:hAnsi="Arial" w:cs="Arial"/>
          <w:sz w:val="16"/>
          <w:szCs w:val="15"/>
        </w:rPr>
        <w:t xml:space="preserve">L’art.3, comma 53 bis del Nuovo </w:t>
      </w:r>
      <w:r>
        <w:rPr>
          <w:rFonts w:ascii="Arial" w:hAnsi="Arial" w:cs="Arial"/>
          <w:sz w:val="16"/>
          <w:szCs w:val="15"/>
        </w:rPr>
        <w:t>C</w:t>
      </w:r>
      <w:r w:rsidRPr="00FC2157">
        <w:rPr>
          <w:rFonts w:ascii="Arial" w:hAnsi="Arial" w:cs="Arial"/>
          <w:sz w:val="16"/>
          <w:szCs w:val="15"/>
        </w:rPr>
        <w:t>odice della strada (Legge 29 luglio 2010, n. 120 - Disposizioni in materia di sicurezza stradale) definisce utente debole della strada “i pedoni, i disabili in carrozzella, i ciclisti e tutti coloro i quali meritino una tutela particolare dai pericoli der</w:t>
      </w:r>
      <w:r w:rsidRPr="0016365B">
        <w:rPr>
          <w:rFonts w:ascii="Arial" w:hAnsi="Arial" w:cs="Arial"/>
          <w:sz w:val="16"/>
          <w:szCs w:val="15"/>
        </w:rPr>
        <w:t>ivanti dalla circolazione sulle strade. Tra questi anche i ba</w:t>
      </w:r>
      <w:r w:rsidRPr="00C73A96">
        <w:rPr>
          <w:rFonts w:ascii="Arial" w:hAnsi="Arial" w:cs="Arial"/>
          <w:sz w:val="16"/>
          <w:szCs w:val="15"/>
        </w:rPr>
        <w:t>mbini”.</w:t>
      </w:r>
    </w:p>
  </w:footnote>
  <w:footnote w:id="8">
    <w:p w14:paraId="74F1009D" w14:textId="77777777" w:rsidR="002B0091" w:rsidRPr="00FC2157" w:rsidRDefault="002B0091" w:rsidP="000E6070">
      <w:pPr>
        <w:pStyle w:val="Rientrocorpodeltesto3"/>
        <w:tabs>
          <w:tab w:val="clear" w:pos="-1416"/>
          <w:tab w:val="clear" w:pos="-708"/>
          <w:tab w:val="clear" w:pos="0"/>
          <w:tab w:val="clear" w:pos="708"/>
          <w:tab w:val="clear" w:pos="1416"/>
          <w:tab w:val="clear" w:pos="2124"/>
          <w:tab w:val="clear" w:pos="2838"/>
          <w:tab w:val="clear" w:pos="3546"/>
          <w:tab w:val="clear" w:pos="4254"/>
          <w:tab w:val="clear" w:pos="4962"/>
          <w:tab w:val="clear" w:pos="5670"/>
          <w:tab w:val="clear" w:pos="6378"/>
          <w:tab w:val="clear" w:pos="7092"/>
          <w:tab w:val="clear" w:pos="7800"/>
          <w:tab w:val="left" w:pos="426"/>
        </w:tabs>
        <w:ind w:firstLine="0"/>
        <w:rPr>
          <w:rFonts w:cs="Arial"/>
          <w:sz w:val="16"/>
          <w:szCs w:val="15"/>
        </w:rPr>
      </w:pPr>
      <w:r w:rsidRPr="001D6F78">
        <w:rPr>
          <w:rStyle w:val="Rimandonotaapidipagina"/>
          <w:rFonts w:cs="Arial"/>
          <w:sz w:val="18"/>
          <w:szCs w:val="16"/>
        </w:rPr>
        <w:footnoteRef/>
      </w:r>
      <w:r w:rsidRPr="001D6F78">
        <w:rPr>
          <w:rStyle w:val="Rimandonotaapidipagina"/>
          <w:rFonts w:cs="Arial"/>
          <w:sz w:val="18"/>
        </w:rPr>
        <w:t xml:space="preserve"> </w:t>
      </w:r>
      <w:r w:rsidRPr="00F13C80">
        <w:rPr>
          <w:rFonts w:cs="Arial"/>
          <w:sz w:val="16"/>
          <w:szCs w:val="15"/>
        </w:rPr>
        <w:t>Numero di morti o feriti ogni 100 incidenti per investimento di pedone o veicoli coinvolti nell’incidente per tipologia.</w:t>
      </w:r>
    </w:p>
  </w:footnote>
  <w:footnote w:id="9">
    <w:p w14:paraId="71ADE516" w14:textId="2A9D42AA" w:rsidR="002B0091" w:rsidRDefault="002B0091" w:rsidP="009215A5">
      <w:pPr>
        <w:widowControl w:val="0"/>
        <w:shd w:val="clear" w:color="auto" w:fill="FFFFFF" w:themeFill="background1"/>
        <w:spacing w:after="120"/>
        <w:jc w:val="both"/>
      </w:pPr>
      <w:r w:rsidRPr="007008A5">
        <w:rPr>
          <w:rStyle w:val="Rimandonotaapidipagina"/>
          <w:sz w:val="16"/>
          <w:szCs w:val="16"/>
        </w:rPr>
        <w:footnoteRef/>
      </w:r>
      <w:r w:rsidRPr="007008A5">
        <w:rPr>
          <w:sz w:val="16"/>
          <w:szCs w:val="16"/>
        </w:rPr>
        <w:t xml:space="preserve"> </w:t>
      </w:r>
      <w:r w:rsidR="005E5AA8">
        <w:rPr>
          <w:sz w:val="16"/>
          <w:szCs w:val="16"/>
        </w:rPr>
        <w:t>Gli a</w:t>
      </w:r>
      <w:r w:rsidR="005E5AA8" w:rsidRPr="005E5AA8">
        <w:rPr>
          <w:sz w:val="16"/>
          <w:szCs w:val="16"/>
        </w:rPr>
        <w:t xml:space="preserve">ndamenti delle curve con i dati giornalieri sugli incidenti stradali </w:t>
      </w:r>
      <w:r w:rsidR="005E5AA8">
        <w:rPr>
          <w:sz w:val="16"/>
          <w:szCs w:val="16"/>
        </w:rPr>
        <w:t xml:space="preserve">sono stati interpolati con linee di tendenza mediante tecniche di </w:t>
      </w:r>
      <w:r w:rsidR="005E5AA8" w:rsidRPr="005E5AA8">
        <w:rPr>
          <w:i/>
          <w:sz w:val="16"/>
          <w:szCs w:val="16"/>
        </w:rPr>
        <w:t>smoothing.</w:t>
      </w:r>
      <w:r w:rsidR="005E5AA8" w:rsidRPr="005E5AA8">
        <w:rPr>
          <w:sz w:val="16"/>
          <w:szCs w:val="16"/>
        </w:rPr>
        <w:t xml:space="preserve"> </w:t>
      </w:r>
      <w:r w:rsidR="005E5AA8">
        <w:rPr>
          <w:sz w:val="16"/>
          <w:szCs w:val="16"/>
        </w:rPr>
        <w:t>Il metodo utilizzato è quello della media mobile, basato su u</w:t>
      </w:r>
      <w:r w:rsidRPr="005E5AA8">
        <w:rPr>
          <w:sz w:val="16"/>
          <w:szCs w:val="16"/>
        </w:rPr>
        <w:t>n numero specifico</w:t>
      </w:r>
      <w:r w:rsidRPr="007008A5">
        <w:rPr>
          <w:sz w:val="16"/>
          <w:szCs w:val="16"/>
        </w:rPr>
        <w:t xml:space="preserve"> di punti dati, </w:t>
      </w:r>
      <w:r w:rsidR="005E5AA8">
        <w:rPr>
          <w:sz w:val="16"/>
          <w:szCs w:val="16"/>
        </w:rPr>
        <w:t xml:space="preserve">sui quali viene </w:t>
      </w:r>
      <w:r>
        <w:rPr>
          <w:sz w:val="16"/>
          <w:szCs w:val="16"/>
        </w:rPr>
        <w:t>calcola</w:t>
      </w:r>
      <w:r w:rsidR="005E5AA8">
        <w:rPr>
          <w:sz w:val="16"/>
          <w:szCs w:val="16"/>
        </w:rPr>
        <w:t>ta</w:t>
      </w:r>
      <w:r>
        <w:rPr>
          <w:sz w:val="16"/>
          <w:szCs w:val="16"/>
        </w:rPr>
        <w:t xml:space="preserve"> la</w:t>
      </w:r>
      <w:r w:rsidRPr="007008A5">
        <w:rPr>
          <w:sz w:val="16"/>
          <w:szCs w:val="16"/>
        </w:rPr>
        <w:t xml:space="preserve"> media e </w:t>
      </w:r>
      <w:r w:rsidR="005E5AA8">
        <w:rPr>
          <w:sz w:val="16"/>
          <w:szCs w:val="16"/>
        </w:rPr>
        <w:t>utilizzato</w:t>
      </w:r>
      <w:r w:rsidRPr="007008A5">
        <w:rPr>
          <w:sz w:val="16"/>
          <w:szCs w:val="16"/>
        </w:rPr>
        <w:t xml:space="preserve"> il valore medio come punto nella linea di</w:t>
      </w:r>
      <w:r>
        <w:rPr>
          <w:sz w:val="16"/>
          <w:szCs w:val="16"/>
        </w:rPr>
        <w:t xml:space="preserve"> tendenza.</w:t>
      </w:r>
      <w:r w:rsidRPr="007008A5">
        <w:rPr>
          <w:sz w:val="16"/>
          <w:szCs w:val="16"/>
        </w:rPr>
        <w:t xml:space="preserve"> </w:t>
      </w:r>
      <w:r w:rsidR="005E5AA8">
        <w:rPr>
          <w:sz w:val="16"/>
          <w:szCs w:val="16"/>
        </w:rPr>
        <w:t>Periodo Incidenti 2019 e 2021 pari a 22 giorni, Incidenti 2020 pari a 10</w:t>
      </w:r>
      <w:r w:rsidR="00B25EFC">
        <w:rPr>
          <w:sz w:val="16"/>
          <w:szCs w:val="16"/>
        </w:rPr>
        <w:t xml:space="preserve"> giorni.</w:t>
      </w:r>
    </w:p>
  </w:footnote>
  <w:footnote w:id="10">
    <w:p w14:paraId="2008B338" w14:textId="77777777" w:rsidR="002B0091" w:rsidRPr="00DD6AC2" w:rsidRDefault="002B0091" w:rsidP="00BE7F05">
      <w:pPr>
        <w:pStyle w:val="Default"/>
        <w:jc w:val="both"/>
        <w:rPr>
          <w:rFonts w:ascii="Arial" w:hAnsi="Arial" w:cs="Arial"/>
          <w:sz w:val="16"/>
          <w:szCs w:val="16"/>
        </w:rPr>
      </w:pPr>
      <w:r w:rsidRPr="00BE7F05">
        <w:rPr>
          <w:rStyle w:val="Rimandonotaapidipagina"/>
          <w:rFonts w:ascii="Arial" w:hAnsi="Arial" w:cs="Arial"/>
          <w:sz w:val="16"/>
          <w:szCs w:val="16"/>
        </w:rPr>
        <w:footnoteRef/>
      </w:r>
      <w:r w:rsidRPr="00BE7F05">
        <w:rPr>
          <w:rFonts w:ascii="Arial" w:hAnsi="Arial" w:cs="Arial"/>
          <w:color w:val="auto"/>
          <w:sz w:val="16"/>
          <w:szCs w:val="16"/>
          <w:vertAlign w:val="superscript"/>
        </w:rPr>
        <w:t xml:space="preserve"> </w:t>
      </w:r>
      <w:r w:rsidRPr="00BE7F05">
        <w:rPr>
          <w:rFonts w:ascii="Arial" w:hAnsi="Arial" w:cs="Arial"/>
          <w:sz w:val="16"/>
          <w:szCs w:val="16"/>
        </w:rPr>
        <w:t xml:space="preserve">A partire dai dati riferiti all’anno 2009, l’Istat </w:t>
      </w:r>
      <w:r>
        <w:rPr>
          <w:rFonts w:ascii="Arial" w:hAnsi="Arial" w:cs="Arial"/>
          <w:sz w:val="16"/>
          <w:szCs w:val="16"/>
        </w:rPr>
        <w:t xml:space="preserve">non include, </w:t>
      </w:r>
      <w:r w:rsidRPr="00BE7F05">
        <w:rPr>
          <w:rFonts w:ascii="Arial" w:hAnsi="Arial" w:cs="Arial"/>
          <w:sz w:val="16"/>
          <w:szCs w:val="16"/>
        </w:rPr>
        <w:t>nel prospetto 4</w:t>
      </w:r>
      <w:r>
        <w:rPr>
          <w:rFonts w:ascii="Arial" w:hAnsi="Arial" w:cs="Arial"/>
          <w:sz w:val="16"/>
          <w:szCs w:val="16"/>
        </w:rPr>
        <w:t xml:space="preserve">, i </w:t>
      </w:r>
      <w:r w:rsidRPr="00BE7F05">
        <w:rPr>
          <w:rFonts w:ascii="Arial" w:hAnsi="Arial" w:cs="Arial"/>
          <w:sz w:val="16"/>
          <w:szCs w:val="16"/>
        </w:rPr>
        <w:t>dati sugli incidenti stradali dettagliati per le circostanze legate allo stato psicofisico. Ad oggi, la fornitura all’Istat di tale informazione da parte degli organi di rilevazione appare</w:t>
      </w:r>
      <w:r>
        <w:rPr>
          <w:rFonts w:ascii="Arial" w:hAnsi="Arial" w:cs="Arial"/>
          <w:sz w:val="16"/>
          <w:szCs w:val="16"/>
        </w:rPr>
        <w:t xml:space="preserve"> ancora</w:t>
      </w:r>
      <w:r w:rsidRPr="00BE7F05">
        <w:rPr>
          <w:rFonts w:ascii="Arial" w:hAnsi="Arial" w:cs="Arial"/>
          <w:sz w:val="16"/>
          <w:szCs w:val="16"/>
        </w:rPr>
        <w:t xml:space="preserve"> non esaustiva</w:t>
      </w:r>
      <w:r>
        <w:rPr>
          <w:rFonts w:ascii="Arial" w:hAnsi="Arial" w:cs="Arial"/>
          <w:sz w:val="16"/>
          <w:szCs w:val="16"/>
        </w:rPr>
        <w:t>, anche a seguito della</w:t>
      </w:r>
      <w:r w:rsidRPr="00BE7F05">
        <w:rPr>
          <w:rFonts w:ascii="Arial" w:hAnsi="Arial" w:cs="Arial"/>
          <w:sz w:val="16"/>
          <w:szCs w:val="16"/>
        </w:rPr>
        <w:t xml:space="preserve"> possibilità di rifiuto, da parte dei conducenti coinvolti, di sottoporsi agli accertamenti sullo stato psico-fisico (stato di ebbrezza o uso di stupefacenti), in questo caso, salvo che il fatto costituisca più grave reato, vengono applicate le sanzioni di cui al comma 2 dell’art.186 del Codice della strada, ma non è inviata l’informazione all’Istat. Per arricchire il set di dati sulle cause di incidente, sono rese disponibili le violazioni del Codice della strada, contestate da Polizia stradale, Arma dei Carabinieri e Polizie locali e avviata una sperimentazione su dati riferiti alle violazioni degli art. 186 e bis e 187 in occasione di incidente stradale, per la quale i risultati sono forniti nel presente report.</w:t>
      </w:r>
    </w:p>
  </w:footnote>
  <w:footnote w:id="11">
    <w:p w14:paraId="08D031EE" w14:textId="77777777" w:rsidR="002B0091" w:rsidRDefault="002B0091" w:rsidP="00112632">
      <w:pPr>
        <w:pStyle w:val="Testonotaapidipagina"/>
        <w:jc w:val="both"/>
        <w:rPr>
          <w:rFonts w:ascii="Arial" w:hAnsi="Arial" w:cs="Arial"/>
          <w:sz w:val="16"/>
          <w:szCs w:val="16"/>
        </w:rPr>
      </w:pPr>
      <w:r>
        <w:rPr>
          <w:rStyle w:val="Rimandonotaapidipagina"/>
          <w:rFonts w:ascii="Arial" w:hAnsi="Arial" w:cs="Arial"/>
          <w:sz w:val="16"/>
          <w:szCs w:val="16"/>
        </w:rPr>
        <w:footnoteRef/>
      </w:r>
      <w:r>
        <w:rPr>
          <w:rStyle w:val="Rimandonotaapidipagina"/>
          <w:rFonts w:ascii="Arial" w:hAnsi="Arial" w:cs="Arial"/>
          <w:sz w:val="16"/>
          <w:szCs w:val="16"/>
        </w:rPr>
        <w:t xml:space="preserve"> </w:t>
      </w:r>
      <w:r>
        <w:rPr>
          <w:rFonts w:ascii="Arial" w:hAnsi="Arial" w:cs="Arial"/>
          <w:sz w:val="16"/>
          <w:szCs w:val="16"/>
        </w:rPr>
        <w:t>Rilevazione ACI presso i Comandi di Polizia locale dei Comuni capoluogo di provincia, dati forniti a Istat dal Servizio di Polizia Stradale e dall’Arma dei Carabinieri. I dati di Roma Capitale e Barletta non sono pervenuti e sono stati stimati.</w:t>
      </w:r>
    </w:p>
  </w:footnote>
  <w:footnote w:id="12">
    <w:p w14:paraId="58CF43E0" w14:textId="77777777" w:rsidR="002B0091" w:rsidRPr="001D6F78" w:rsidRDefault="002B0091" w:rsidP="00A300A4">
      <w:pPr>
        <w:pStyle w:val="Testonotaapidipagina"/>
        <w:jc w:val="both"/>
        <w:rPr>
          <w:rFonts w:ascii="Arial Narrow" w:hAnsi="Arial Narrow"/>
          <w:sz w:val="16"/>
          <w:szCs w:val="16"/>
        </w:rPr>
      </w:pPr>
      <w:r w:rsidRPr="001D6F78">
        <w:rPr>
          <w:rStyle w:val="Rimandonotaapidipagina"/>
          <w:rFonts w:ascii="Arial" w:hAnsi="Arial" w:cs="Arial"/>
          <w:sz w:val="16"/>
          <w:szCs w:val="16"/>
        </w:rPr>
        <w:footnoteRef/>
      </w:r>
      <w:r w:rsidRPr="001D6F78">
        <w:rPr>
          <w:rStyle w:val="Rimandonotaapidipagina"/>
          <w:rFonts w:ascii="Arial Narrow" w:hAnsi="Arial Narrow"/>
          <w:sz w:val="16"/>
          <w:szCs w:val="16"/>
        </w:rPr>
        <w:t xml:space="preserve"> </w:t>
      </w:r>
      <w:r w:rsidRPr="001D6F78">
        <w:rPr>
          <w:rFonts w:ascii="Arial" w:hAnsi="Arial" w:cs="Arial"/>
          <w:sz w:val="16"/>
          <w:szCs w:val="16"/>
        </w:rPr>
        <w:t>Codice della strada - Decreto Legislativo n. 285 del 30/04/1992 e Legge 29 luglio 2010, n. 120 Disposizioni in materia di sicurezza stradale.</w:t>
      </w:r>
      <w:r w:rsidRPr="001D6F78">
        <w:rPr>
          <w:rFonts w:ascii="Arial Narrow" w:hAnsi="Arial Narrow"/>
          <w:sz w:val="16"/>
          <w:szCs w:val="16"/>
        </w:rPr>
        <w:t xml:space="preserve"> </w:t>
      </w:r>
    </w:p>
  </w:footnote>
  <w:footnote w:id="13">
    <w:p w14:paraId="46E9A163" w14:textId="7B2EF521" w:rsidR="002B0091" w:rsidRPr="00756F34" w:rsidRDefault="002B0091" w:rsidP="008C5D3F">
      <w:pPr>
        <w:pStyle w:val="Testonotaapidipagina"/>
        <w:rPr>
          <w:rFonts w:ascii="Arial" w:hAnsi="Arial" w:cs="Arial"/>
          <w:sz w:val="16"/>
          <w:szCs w:val="16"/>
        </w:rPr>
      </w:pPr>
      <w:r w:rsidRPr="00756F34">
        <w:rPr>
          <w:rStyle w:val="Rimandonotaapidipagina"/>
          <w:rFonts w:ascii="Arial" w:hAnsi="Arial" w:cs="Arial"/>
          <w:sz w:val="16"/>
          <w:szCs w:val="16"/>
        </w:rPr>
        <w:footnoteRef/>
      </w:r>
      <w:r w:rsidRPr="00756F34">
        <w:rPr>
          <w:rFonts w:ascii="Arial" w:hAnsi="Arial" w:cs="Arial"/>
          <w:sz w:val="16"/>
          <w:szCs w:val="16"/>
        </w:rPr>
        <w:t xml:space="preserve"> Non è stato possibile </w:t>
      </w:r>
      <w:r w:rsidR="00AD5162">
        <w:rPr>
          <w:rFonts w:ascii="Arial" w:hAnsi="Arial" w:cs="Arial"/>
          <w:sz w:val="16"/>
          <w:szCs w:val="16"/>
        </w:rPr>
        <w:t>includere</w:t>
      </w:r>
      <w:r w:rsidRPr="00756F34">
        <w:rPr>
          <w:rFonts w:ascii="Arial" w:hAnsi="Arial" w:cs="Arial"/>
          <w:sz w:val="16"/>
          <w:szCs w:val="16"/>
        </w:rPr>
        <w:t xml:space="preserve"> </w:t>
      </w:r>
      <w:r>
        <w:rPr>
          <w:rFonts w:ascii="Arial" w:hAnsi="Arial" w:cs="Arial"/>
          <w:sz w:val="16"/>
          <w:szCs w:val="16"/>
        </w:rPr>
        <w:t xml:space="preserve">i dati della Polizia Locale di </w:t>
      </w:r>
      <w:r w:rsidRPr="00756F34">
        <w:rPr>
          <w:rFonts w:ascii="Arial" w:hAnsi="Arial" w:cs="Arial"/>
          <w:sz w:val="16"/>
          <w:szCs w:val="16"/>
        </w:rPr>
        <w:t>Roma Capitale poiché i dati</w:t>
      </w:r>
      <w:r>
        <w:rPr>
          <w:rFonts w:ascii="Arial" w:hAnsi="Arial" w:cs="Arial"/>
          <w:sz w:val="16"/>
          <w:szCs w:val="16"/>
        </w:rPr>
        <w:t xml:space="preserve"> non sono pervenuti</w:t>
      </w:r>
      <w:r w:rsidRPr="00756F34">
        <w:rPr>
          <w:rFonts w:ascii="Arial" w:hAnsi="Arial" w:cs="Arial"/>
          <w:sz w:val="16"/>
          <w:szCs w:val="16"/>
        </w:rPr>
        <w:t>.</w:t>
      </w:r>
    </w:p>
  </w:footnote>
  <w:footnote w:id="14">
    <w:p w14:paraId="54B50B5B" w14:textId="77777777" w:rsidR="002B0091" w:rsidRPr="00AD5162" w:rsidRDefault="002B0091" w:rsidP="00482F67">
      <w:pPr>
        <w:jc w:val="both"/>
        <w:rPr>
          <w:sz w:val="16"/>
          <w:szCs w:val="16"/>
          <w:lang w:val="en-US"/>
        </w:rPr>
      </w:pPr>
      <w:r w:rsidRPr="00B82E2D">
        <w:rPr>
          <w:rFonts w:cs="Times New Roman"/>
          <w:sz w:val="16"/>
          <w:szCs w:val="16"/>
          <w:vertAlign w:val="superscript"/>
        </w:rPr>
        <w:footnoteRef/>
      </w:r>
      <w:r w:rsidRPr="00AD5162">
        <w:rPr>
          <w:sz w:val="16"/>
          <w:szCs w:val="16"/>
        </w:rPr>
        <w:t xml:space="preserve">L’AIS è una scala di misurazione basata su un sistema di punteggio da attribuire alla gravità globale della lesione. Il livello di gravità viene misurato mediante una scala ordinale a 6 punti (1=minimo; 6=massimo). La classificazione dei feriti gravi viene effettuata tramite l’utilizzo delle regole di riclassificazione dei codici ICD-9-CM in codici AIS.  Le lesioni gravi sono individuate con il punteggio MAIS 3+, ossia, il massimo valore AIS &gt;= 3. </w:t>
      </w:r>
      <w:r w:rsidRPr="00AD5162">
        <w:rPr>
          <w:sz w:val="16"/>
          <w:szCs w:val="16"/>
          <w:lang w:val="en-US"/>
        </w:rPr>
        <w:t>Copyright Association for the Advancement of Automotive Medicine (AAAM) e Commissione europea.</w:t>
      </w:r>
    </w:p>
  </w:footnote>
  <w:footnote w:id="15">
    <w:p w14:paraId="42279BFA" w14:textId="1BDFBEEF" w:rsidR="002B0091" w:rsidRPr="00AD5162" w:rsidRDefault="002B0091" w:rsidP="00482F67">
      <w:pPr>
        <w:pStyle w:val="Testonotaapidipagina"/>
        <w:rPr>
          <w:rFonts w:ascii="Arial" w:hAnsi="Arial" w:cs="Arial"/>
          <w:sz w:val="16"/>
          <w:szCs w:val="16"/>
        </w:rPr>
      </w:pPr>
      <w:r w:rsidRPr="00AD5162">
        <w:rPr>
          <w:rStyle w:val="Rimandonotaapidipagina"/>
          <w:rFonts w:ascii="Arial" w:hAnsi="Arial" w:cs="Arial"/>
          <w:sz w:val="16"/>
          <w:szCs w:val="16"/>
        </w:rPr>
        <w:footnoteRef/>
      </w:r>
      <w:r w:rsidRPr="00AD5162">
        <w:rPr>
          <w:rFonts w:ascii="Arial" w:hAnsi="Arial" w:cs="Arial"/>
          <w:sz w:val="16"/>
          <w:szCs w:val="16"/>
        </w:rPr>
        <w:t xml:space="preserve"> </w:t>
      </w:r>
      <w:r w:rsidR="00AD5162">
        <w:rPr>
          <w:rFonts w:ascii="Arial" w:hAnsi="Arial" w:cs="Arial"/>
          <w:sz w:val="16"/>
          <w:szCs w:val="16"/>
        </w:rPr>
        <w:t xml:space="preserve">Istat - </w:t>
      </w:r>
      <w:r w:rsidRPr="00AD5162">
        <w:rPr>
          <w:rFonts w:ascii="Arial" w:hAnsi="Arial" w:cs="Arial"/>
          <w:sz w:val="16"/>
          <w:szCs w:val="16"/>
        </w:rPr>
        <w:t xml:space="preserve">Obiettivi </w:t>
      </w:r>
      <w:r w:rsidR="00AD5162">
        <w:rPr>
          <w:rFonts w:ascii="Arial" w:hAnsi="Arial" w:cs="Arial"/>
          <w:sz w:val="16"/>
          <w:szCs w:val="16"/>
        </w:rPr>
        <w:t>d</w:t>
      </w:r>
      <w:r w:rsidRPr="00AD5162">
        <w:rPr>
          <w:rFonts w:ascii="Arial" w:hAnsi="Arial" w:cs="Arial"/>
          <w:sz w:val="16"/>
          <w:szCs w:val="16"/>
        </w:rPr>
        <w:t xml:space="preserve">i Sviluppo Sostenibile: </w:t>
      </w:r>
      <w:hyperlink r:id="rId2" w:history="1">
        <w:r w:rsidR="00AD5162" w:rsidRPr="00E65210">
          <w:rPr>
            <w:rStyle w:val="Collegamentoipertestuale"/>
            <w:rFonts w:ascii="Arial" w:hAnsi="Arial" w:cs="Arial"/>
            <w:sz w:val="16"/>
            <w:szCs w:val="16"/>
          </w:rPr>
          <w:t>https://www.istat.it/it/benessere-e-sostenibilit%C3%A0/obiettivi-di-sviluppo-sostenibile</w:t>
        </w:r>
      </w:hyperlink>
      <w:r w:rsidR="00AD5162">
        <w:rPr>
          <w:rFonts w:ascii="Arial" w:hAnsi="Arial" w:cs="Arial"/>
          <w:sz w:val="16"/>
          <w:szCs w:val="16"/>
        </w:rPr>
        <w:t xml:space="preserve"> </w:t>
      </w:r>
    </w:p>
  </w:footnote>
  <w:footnote w:id="16">
    <w:p w14:paraId="15F61225" w14:textId="77777777" w:rsidR="002B0091" w:rsidRPr="001D6F78" w:rsidRDefault="002B0091" w:rsidP="00E27DAC">
      <w:pPr>
        <w:pStyle w:val="Testonotaapidipagina"/>
        <w:jc w:val="both"/>
        <w:rPr>
          <w:rFonts w:ascii="Arial" w:hAnsi="Arial"/>
          <w:sz w:val="18"/>
          <w:szCs w:val="16"/>
        </w:rPr>
      </w:pPr>
      <w:r w:rsidRPr="001D6F78">
        <w:rPr>
          <w:rStyle w:val="Rimandonotaapidipagina"/>
          <w:rFonts w:ascii="Arial" w:hAnsi="Arial"/>
          <w:sz w:val="18"/>
          <w:szCs w:val="16"/>
        </w:rPr>
        <w:footnoteRef/>
      </w:r>
      <w:r w:rsidRPr="001D6F78">
        <w:rPr>
          <w:rFonts w:ascii="Arial" w:hAnsi="Arial"/>
          <w:sz w:val="18"/>
          <w:szCs w:val="16"/>
        </w:rPr>
        <w:t xml:space="preserve"> </w:t>
      </w:r>
      <w:r w:rsidRPr="00F13C80">
        <w:rPr>
          <w:rFonts w:ascii="Arial" w:hAnsi="Arial"/>
          <w:sz w:val="16"/>
          <w:szCs w:val="15"/>
        </w:rPr>
        <w:t xml:space="preserve">L’AIS è una scala di misurazione basata su un punteggio attribuito alla gravità generale della lesione, secondo l’importanza dei traumi per regione del corpo colpita. Il livello di gravità viene misurato mediante una scala ordinale a 6 livelli, le lesioni </w:t>
      </w:r>
      <w:r w:rsidRPr="00FC2157">
        <w:rPr>
          <w:rFonts w:ascii="Arial" w:hAnsi="Arial"/>
          <w:sz w:val="16"/>
          <w:szCs w:val="15"/>
        </w:rPr>
        <w:t xml:space="preserve">gravi sono individuate con il punteggio MAIS 3+, ossia, il massimo valore AIS uguale o superiore a 3. Per effettuare un raccordo tra i codici AIS e la Classificazione Internazionale delle Malattie ICD9-CM o ICD10, è stata predisposta una tabella di </w:t>
      </w:r>
      <w:r w:rsidRPr="0016365B">
        <w:rPr>
          <w:rFonts w:ascii="Arial" w:hAnsi="Arial"/>
          <w:i/>
          <w:sz w:val="16"/>
          <w:szCs w:val="15"/>
        </w:rPr>
        <w:t>“bridge coding”</w:t>
      </w:r>
      <w:r w:rsidRPr="00582AEC">
        <w:rPr>
          <w:rFonts w:ascii="Arial" w:hAnsi="Arial"/>
          <w:sz w:val="16"/>
          <w:szCs w:val="15"/>
        </w:rPr>
        <w:t xml:space="preserve"> </w:t>
      </w:r>
      <w:r w:rsidRPr="009966B8">
        <w:rPr>
          <w:rFonts w:ascii="Arial" w:hAnsi="Arial"/>
          <w:i/>
          <w:sz w:val="16"/>
          <w:szCs w:val="15"/>
        </w:rPr>
        <w:t>Copyright Association for the Advancement of Automotive Medicine</w:t>
      </w:r>
      <w:r w:rsidRPr="00582AEC">
        <w:rPr>
          <w:rFonts w:ascii="Arial" w:hAnsi="Arial"/>
          <w:sz w:val="16"/>
          <w:szCs w:val="15"/>
        </w:rPr>
        <w:t xml:space="preserve"> (AAAM).</w:t>
      </w:r>
    </w:p>
  </w:footnote>
  <w:footnote w:id="17">
    <w:p w14:paraId="1C22C207" w14:textId="77777777" w:rsidR="002B0091" w:rsidRPr="00215C8F" w:rsidRDefault="002B0091" w:rsidP="00E27DAC">
      <w:pPr>
        <w:pStyle w:val="Testonotaapidipagina"/>
        <w:spacing w:after="40"/>
        <w:jc w:val="both"/>
        <w:rPr>
          <w:rFonts w:ascii="Arial" w:hAnsi="Arial"/>
          <w:sz w:val="16"/>
          <w:szCs w:val="16"/>
        </w:rPr>
      </w:pPr>
      <w:r w:rsidRPr="001D6F78">
        <w:rPr>
          <w:rStyle w:val="Rimandonotaapidipagina"/>
          <w:rFonts w:ascii="Arial" w:hAnsi="Arial"/>
          <w:sz w:val="18"/>
        </w:rPr>
        <w:footnoteRef/>
      </w:r>
      <w:r>
        <w:t xml:space="preserve"> </w:t>
      </w:r>
      <w:bookmarkStart w:id="7" w:name="DataCharacteristics"/>
      <w:r w:rsidRPr="00215C8F">
        <w:rPr>
          <w:rFonts w:ascii="Arial" w:hAnsi="Arial"/>
          <w:sz w:val="16"/>
          <w:szCs w:val="16"/>
        </w:rPr>
        <w:t>A partire dai dati riferiti all’anno 2011 è stata rilevata l’informazione completa sull’ora e i minuti di accadimento dell’incidente</w:t>
      </w:r>
      <w:r>
        <w:rPr>
          <w:rFonts w:ascii="Arial" w:hAnsi="Arial"/>
          <w:sz w:val="16"/>
          <w:szCs w:val="16"/>
        </w:rPr>
        <w:t>. Il</w:t>
      </w:r>
      <w:r w:rsidRPr="00215C8F">
        <w:rPr>
          <w:rFonts w:ascii="Arial" w:hAnsi="Arial"/>
          <w:sz w:val="16"/>
          <w:szCs w:val="16"/>
        </w:rPr>
        <w:t xml:space="preserve"> criterio di arrotondamento, a partire dall’informazione su ora e minuti, sotto indicato</w:t>
      </w:r>
      <w:r>
        <w:rPr>
          <w:rFonts w:ascii="Arial" w:hAnsi="Arial"/>
          <w:sz w:val="16"/>
          <w:szCs w:val="16"/>
        </w:rPr>
        <w:t xml:space="preserve"> è il seguente: d</w:t>
      </w:r>
      <w:r w:rsidRPr="00215C8F">
        <w:rPr>
          <w:rFonts w:ascii="Arial" w:hAnsi="Arial"/>
          <w:sz w:val="16"/>
          <w:szCs w:val="16"/>
        </w:rPr>
        <w:t>alle ore 00.0</w:t>
      </w:r>
      <w:r>
        <w:rPr>
          <w:rFonts w:ascii="Arial" w:hAnsi="Arial"/>
          <w:sz w:val="16"/>
          <w:szCs w:val="16"/>
        </w:rPr>
        <w:t>1</w:t>
      </w:r>
      <w:r w:rsidRPr="00215C8F">
        <w:rPr>
          <w:rFonts w:ascii="Arial" w:hAnsi="Arial"/>
          <w:sz w:val="16"/>
          <w:szCs w:val="16"/>
        </w:rPr>
        <w:t xml:space="preserve"> alle ore 0</w:t>
      </w:r>
      <w:r>
        <w:rPr>
          <w:rFonts w:ascii="Arial" w:hAnsi="Arial"/>
          <w:sz w:val="16"/>
          <w:szCs w:val="16"/>
        </w:rPr>
        <w:t>1</w:t>
      </w:r>
      <w:r w:rsidRPr="00215C8F">
        <w:rPr>
          <w:rFonts w:ascii="Arial" w:hAnsi="Arial"/>
          <w:sz w:val="16"/>
          <w:szCs w:val="16"/>
        </w:rPr>
        <w:t>.</w:t>
      </w:r>
      <w:r>
        <w:rPr>
          <w:rFonts w:ascii="Arial" w:hAnsi="Arial"/>
          <w:sz w:val="16"/>
          <w:szCs w:val="16"/>
        </w:rPr>
        <w:t>00</w:t>
      </w:r>
      <w:r w:rsidRPr="00215C8F">
        <w:rPr>
          <w:rFonts w:ascii="Arial" w:hAnsi="Arial"/>
          <w:sz w:val="16"/>
          <w:szCs w:val="16"/>
        </w:rPr>
        <w:t xml:space="preserve"> = 1</w:t>
      </w:r>
      <w:r w:rsidRPr="00215C8F">
        <w:rPr>
          <w:rFonts w:ascii="Arial" w:hAnsi="Arial"/>
          <w:sz w:val="16"/>
          <w:szCs w:val="16"/>
          <w:vertAlign w:val="superscript"/>
        </w:rPr>
        <w:t xml:space="preserve">a </w:t>
      </w:r>
      <w:r w:rsidRPr="00215C8F">
        <w:rPr>
          <w:rFonts w:ascii="Arial" w:hAnsi="Arial"/>
          <w:sz w:val="16"/>
          <w:szCs w:val="16"/>
        </w:rPr>
        <w:t>ora</w:t>
      </w:r>
      <w:r>
        <w:rPr>
          <w:rFonts w:ascii="Arial" w:hAnsi="Arial"/>
          <w:sz w:val="16"/>
          <w:szCs w:val="16"/>
        </w:rPr>
        <w:t xml:space="preserve">, </w:t>
      </w:r>
      <w:r w:rsidRPr="00215C8F">
        <w:rPr>
          <w:rFonts w:ascii="Arial" w:hAnsi="Arial"/>
          <w:sz w:val="16"/>
          <w:szCs w:val="16"/>
        </w:rPr>
        <w:t>dalle ore 01.0</w:t>
      </w:r>
      <w:r>
        <w:rPr>
          <w:rFonts w:ascii="Arial" w:hAnsi="Arial"/>
          <w:sz w:val="16"/>
          <w:szCs w:val="16"/>
        </w:rPr>
        <w:t>1</w:t>
      </w:r>
      <w:r w:rsidRPr="00215C8F">
        <w:rPr>
          <w:rFonts w:ascii="Arial" w:hAnsi="Arial"/>
          <w:sz w:val="16"/>
          <w:szCs w:val="16"/>
        </w:rPr>
        <w:t xml:space="preserve"> alle ore 0</w:t>
      </w:r>
      <w:r>
        <w:rPr>
          <w:rFonts w:ascii="Arial" w:hAnsi="Arial"/>
          <w:sz w:val="16"/>
          <w:szCs w:val="16"/>
        </w:rPr>
        <w:t>2</w:t>
      </w:r>
      <w:r w:rsidRPr="00215C8F">
        <w:rPr>
          <w:rFonts w:ascii="Arial" w:hAnsi="Arial"/>
          <w:sz w:val="16"/>
          <w:szCs w:val="16"/>
        </w:rPr>
        <w:t>.</w:t>
      </w:r>
      <w:r>
        <w:rPr>
          <w:rFonts w:ascii="Arial" w:hAnsi="Arial"/>
          <w:sz w:val="16"/>
          <w:szCs w:val="16"/>
        </w:rPr>
        <w:t>00</w:t>
      </w:r>
      <w:r w:rsidRPr="00215C8F">
        <w:rPr>
          <w:rFonts w:ascii="Arial" w:hAnsi="Arial"/>
          <w:sz w:val="16"/>
          <w:szCs w:val="16"/>
        </w:rPr>
        <w:t xml:space="preserve"> = 2</w:t>
      </w:r>
      <w:r w:rsidRPr="00215C8F">
        <w:rPr>
          <w:rFonts w:ascii="Arial" w:hAnsi="Arial"/>
          <w:sz w:val="16"/>
          <w:szCs w:val="16"/>
          <w:vertAlign w:val="superscript"/>
        </w:rPr>
        <w:t>a</w:t>
      </w:r>
      <w:r w:rsidRPr="00215C8F">
        <w:rPr>
          <w:rFonts w:ascii="Arial" w:hAnsi="Arial"/>
          <w:sz w:val="16"/>
          <w:szCs w:val="16"/>
        </w:rPr>
        <w:t xml:space="preserve"> ora</w:t>
      </w:r>
      <w:r>
        <w:rPr>
          <w:rFonts w:ascii="Arial" w:hAnsi="Arial"/>
          <w:sz w:val="16"/>
          <w:szCs w:val="16"/>
        </w:rPr>
        <w:t xml:space="preserve">,………, </w:t>
      </w:r>
      <w:r w:rsidRPr="00215C8F">
        <w:rPr>
          <w:rFonts w:ascii="Arial" w:hAnsi="Arial"/>
          <w:sz w:val="16"/>
          <w:szCs w:val="16"/>
        </w:rPr>
        <w:t>dalle ore 23.0</w:t>
      </w:r>
      <w:r>
        <w:rPr>
          <w:rFonts w:ascii="Arial" w:hAnsi="Arial"/>
          <w:sz w:val="16"/>
          <w:szCs w:val="16"/>
        </w:rPr>
        <w:t>1</w:t>
      </w:r>
      <w:r w:rsidRPr="00215C8F">
        <w:rPr>
          <w:rFonts w:ascii="Arial" w:hAnsi="Arial"/>
          <w:sz w:val="16"/>
          <w:szCs w:val="16"/>
        </w:rPr>
        <w:t xml:space="preserve"> alle ore 2</w:t>
      </w:r>
      <w:r>
        <w:rPr>
          <w:rFonts w:ascii="Arial" w:hAnsi="Arial"/>
          <w:sz w:val="16"/>
          <w:szCs w:val="16"/>
        </w:rPr>
        <w:t>3</w:t>
      </w:r>
      <w:r w:rsidRPr="00215C8F">
        <w:rPr>
          <w:rFonts w:ascii="Arial" w:hAnsi="Arial"/>
          <w:sz w:val="16"/>
          <w:szCs w:val="16"/>
        </w:rPr>
        <w:t>.</w:t>
      </w:r>
      <w:r>
        <w:rPr>
          <w:rFonts w:ascii="Arial" w:hAnsi="Arial"/>
          <w:sz w:val="16"/>
          <w:szCs w:val="16"/>
        </w:rPr>
        <w:t>59</w:t>
      </w:r>
      <w:r w:rsidRPr="00215C8F">
        <w:rPr>
          <w:rFonts w:ascii="Arial" w:hAnsi="Arial"/>
          <w:sz w:val="16"/>
          <w:szCs w:val="16"/>
        </w:rPr>
        <w:t xml:space="preserve"> </w:t>
      </w:r>
      <w:r>
        <w:rPr>
          <w:rFonts w:ascii="Arial" w:hAnsi="Arial"/>
          <w:sz w:val="16"/>
          <w:szCs w:val="16"/>
        </w:rPr>
        <w:t xml:space="preserve">, oppure, 00,00 </w:t>
      </w:r>
      <w:r w:rsidRPr="00215C8F">
        <w:rPr>
          <w:rFonts w:ascii="Arial" w:hAnsi="Arial"/>
          <w:sz w:val="16"/>
          <w:szCs w:val="16"/>
        </w:rPr>
        <w:t>= 24</w:t>
      </w:r>
      <w:r w:rsidRPr="00215C8F">
        <w:rPr>
          <w:rFonts w:ascii="Arial" w:hAnsi="Arial"/>
          <w:sz w:val="16"/>
          <w:szCs w:val="16"/>
          <w:vertAlign w:val="superscript"/>
        </w:rPr>
        <w:t>a</w:t>
      </w:r>
      <w:r w:rsidRPr="00215C8F">
        <w:rPr>
          <w:rFonts w:ascii="Arial" w:hAnsi="Arial"/>
          <w:sz w:val="16"/>
          <w:szCs w:val="16"/>
        </w:rPr>
        <w:t xml:space="preserve"> ora</w:t>
      </w:r>
      <w:r>
        <w:rPr>
          <w:rFonts w:ascii="Arial" w:hAnsi="Arial"/>
          <w:sz w:val="16"/>
          <w:szCs w:val="16"/>
        </w:rPr>
        <w:t xml:space="preserve">, </w:t>
      </w:r>
      <w:r w:rsidRPr="00215C8F">
        <w:rPr>
          <w:rFonts w:ascii="Arial" w:hAnsi="Arial"/>
          <w:sz w:val="16"/>
          <w:szCs w:val="16"/>
        </w:rPr>
        <w:t>ora imprecisata = 25</w:t>
      </w:r>
      <w:r w:rsidRPr="00215C8F">
        <w:rPr>
          <w:rFonts w:ascii="Arial" w:hAnsi="Arial"/>
          <w:sz w:val="16"/>
          <w:szCs w:val="16"/>
          <w:vertAlign w:val="superscript"/>
        </w:rPr>
        <w:t>a</w:t>
      </w:r>
      <w:r w:rsidRPr="00215C8F">
        <w:rPr>
          <w:rFonts w:ascii="Arial" w:hAnsi="Arial"/>
          <w:sz w:val="16"/>
          <w:szCs w:val="16"/>
        </w:rPr>
        <w:t xml:space="preserve"> ora</w:t>
      </w:r>
      <w:bookmarkEnd w:id="7"/>
      <w:r>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9946" w14:textId="77777777" w:rsidR="002B0091" w:rsidRDefault="002B0091">
    <w:pPr>
      <w:pStyle w:val="Intestazione"/>
    </w:pPr>
    <w:r>
      <w:rPr>
        <w:noProof/>
      </w:rPr>
      <w:drawing>
        <wp:inline distT="0" distB="0" distL="0" distR="0" wp14:anchorId="2886106F" wp14:editId="3A3138AF">
          <wp:extent cx="1510030" cy="765810"/>
          <wp:effectExtent l="0" t="0" r="0" b="0"/>
          <wp:docPr id="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765810"/>
                  </a:xfrm>
                  <a:prstGeom prst="rect">
                    <a:avLst/>
                  </a:prstGeom>
                  <a:noFill/>
                  <a:ln>
                    <a:noFill/>
                  </a:ln>
                </pic:spPr>
              </pic:pic>
            </a:graphicData>
          </a:graphic>
        </wp:inline>
      </w:drawing>
    </w:r>
    <w:r>
      <w:rPr>
        <w:noProof/>
      </w:rPr>
      <w:tab/>
    </w:r>
    <w:r>
      <w:rPr>
        <w:noProof/>
      </w:rPr>
      <w:tab/>
    </w:r>
    <w:r>
      <w:rPr>
        <w:rFonts w:ascii="Arial Narrow" w:hAnsi="Arial Narrow"/>
        <w:noProof/>
      </w:rPr>
      <w:drawing>
        <wp:inline distT="0" distB="0" distL="0" distR="0" wp14:anchorId="0D585A8F" wp14:editId="1196D048">
          <wp:extent cx="1062990" cy="553085"/>
          <wp:effectExtent l="0" t="0" r="3810" b="0"/>
          <wp:docPr id="26" name="Immagine 2" descr="Logo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Comple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649"/>
    <w:multiLevelType w:val="hybridMultilevel"/>
    <w:tmpl w:val="B2CE25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D13482"/>
    <w:multiLevelType w:val="hybridMultilevel"/>
    <w:tmpl w:val="25021692"/>
    <w:lvl w:ilvl="0" w:tplc="63820CDA">
      <w:start w:val="3"/>
      <w:numFmt w:val="bullet"/>
      <w:lvlText w:val="-"/>
      <w:lvlJc w:val="left"/>
      <w:pPr>
        <w:ind w:left="3274" w:hanging="360"/>
      </w:pPr>
      <w:rPr>
        <w:rFonts w:ascii="Arial" w:eastAsia="Times New Roman" w:hAnsi="Arial" w:cs="Arial" w:hint="default"/>
      </w:rPr>
    </w:lvl>
    <w:lvl w:ilvl="1" w:tplc="04100003" w:tentative="1">
      <w:start w:val="1"/>
      <w:numFmt w:val="bullet"/>
      <w:lvlText w:val="o"/>
      <w:lvlJc w:val="left"/>
      <w:pPr>
        <w:ind w:left="3994" w:hanging="360"/>
      </w:pPr>
      <w:rPr>
        <w:rFonts w:ascii="Courier New" w:hAnsi="Courier New" w:cs="Courier New" w:hint="default"/>
      </w:rPr>
    </w:lvl>
    <w:lvl w:ilvl="2" w:tplc="04100005" w:tentative="1">
      <w:start w:val="1"/>
      <w:numFmt w:val="bullet"/>
      <w:lvlText w:val=""/>
      <w:lvlJc w:val="left"/>
      <w:pPr>
        <w:ind w:left="4714" w:hanging="360"/>
      </w:pPr>
      <w:rPr>
        <w:rFonts w:ascii="Wingdings" w:hAnsi="Wingdings" w:hint="default"/>
      </w:rPr>
    </w:lvl>
    <w:lvl w:ilvl="3" w:tplc="04100001" w:tentative="1">
      <w:start w:val="1"/>
      <w:numFmt w:val="bullet"/>
      <w:lvlText w:val=""/>
      <w:lvlJc w:val="left"/>
      <w:pPr>
        <w:ind w:left="5434" w:hanging="360"/>
      </w:pPr>
      <w:rPr>
        <w:rFonts w:ascii="Symbol" w:hAnsi="Symbol" w:hint="default"/>
      </w:rPr>
    </w:lvl>
    <w:lvl w:ilvl="4" w:tplc="04100003" w:tentative="1">
      <w:start w:val="1"/>
      <w:numFmt w:val="bullet"/>
      <w:lvlText w:val="o"/>
      <w:lvlJc w:val="left"/>
      <w:pPr>
        <w:ind w:left="6154" w:hanging="360"/>
      </w:pPr>
      <w:rPr>
        <w:rFonts w:ascii="Courier New" w:hAnsi="Courier New" w:cs="Courier New" w:hint="default"/>
      </w:rPr>
    </w:lvl>
    <w:lvl w:ilvl="5" w:tplc="04100005" w:tentative="1">
      <w:start w:val="1"/>
      <w:numFmt w:val="bullet"/>
      <w:lvlText w:val=""/>
      <w:lvlJc w:val="left"/>
      <w:pPr>
        <w:ind w:left="6874" w:hanging="360"/>
      </w:pPr>
      <w:rPr>
        <w:rFonts w:ascii="Wingdings" w:hAnsi="Wingdings" w:hint="default"/>
      </w:rPr>
    </w:lvl>
    <w:lvl w:ilvl="6" w:tplc="04100001" w:tentative="1">
      <w:start w:val="1"/>
      <w:numFmt w:val="bullet"/>
      <w:lvlText w:val=""/>
      <w:lvlJc w:val="left"/>
      <w:pPr>
        <w:ind w:left="7594" w:hanging="360"/>
      </w:pPr>
      <w:rPr>
        <w:rFonts w:ascii="Symbol" w:hAnsi="Symbol" w:hint="default"/>
      </w:rPr>
    </w:lvl>
    <w:lvl w:ilvl="7" w:tplc="04100003" w:tentative="1">
      <w:start w:val="1"/>
      <w:numFmt w:val="bullet"/>
      <w:lvlText w:val="o"/>
      <w:lvlJc w:val="left"/>
      <w:pPr>
        <w:ind w:left="8314" w:hanging="360"/>
      </w:pPr>
      <w:rPr>
        <w:rFonts w:ascii="Courier New" w:hAnsi="Courier New" w:cs="Courier New" w:hint="default"/>
      </w:rPr>
    </w:lvl>
    <w:lvl w:ilvl="8" w:tplc="04100005" w:tentative="1">
      <w:start w:val="1"/>
      <w:numFmt w:val="bullet"/>
      <w:lvlText w:val=""/>
      <w:lvlJc w:val="left"/>
      <w:pPr>
        <w:ind w:left="9034" w:hanging="360"/>
      </w:pPr>
      <w:rPr>
        <w:rFonts w:ascii="Wingdings" w:hAnsi="Wingdings" w:hint="default"/>
      </w:rPr>
    </w:lvl>
  </w:abstractNum>
  <w:abstractNum w:abstractNumId="2" w15:restartNumberingAfterBreak="0">
    <w:nsid w:val="34C641DA"/>
    <w:multiLevelType w:val="hybridMultilevel"/>
    <w:tmpl w:val="0062F506"/>
    <w:lvl w:ilvl="0" w:tplc="8ABCEBDE">
      <w:start w:val="1"/>
      <w:numFmt w:val="lowerLetter"/>
      <w:lvlText w:val="(%1)"/>
      <w:lvlJc w:val="left"/>
      <w:pPr>
        <w:ind w:left="720" w:hanging="360"/>
      </w:pPr>
      <w:rPr>
        <w:rFonts w:ascii="Arial Narrow" w:hAnsi="Arial Narrow" w:hint="default"/>
        <w:b w:val="0"/>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BC15F2"/>
    <w:multiLevelType w:val="hybridMultilevel"/>
    <w:tmpl w:val="74CC3F8A"/>
    <w:lvl w:ilvl="0" w:tplc="6A7A45A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AE6857"/>
    <w:multiLevelType w:val="hybridMultilevel"/>
    <w:tmpl w:val="71B6EAC6"/>
    <w:lvl w:ilvl="0" w:tplc="7984457E">
      <w:start w:val="1"/>
      <w:numFmt w:val="lowerLetter"/>
      <w:lvlText w:val="%1)"/>
      <w:lvlJc w:val="left"/>
      <w:pPr>
        <w:ind w:left="360" w:hanging="360"/>
      </w:pPr>
      <w:rPr>
        <w:rFonts w:ascii="Arial Narrow" w:hAnsi="Arial Narrow" w:hint="default"/>
        <w:sz w:val="1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1737384"/>
    <w:multiLevelType w:val="hybridMultilevel"/>
    <w:tmpl w:val="2C066D4C"/>
    <w:lvl w:ilvl="0" w:tplc="7D12888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880CBF"/>
    <w:multiLevelType w:val="hybridMultilevel"/>
    <w:tmpl w:val="BB869EC8"/>
    <w:lvl w:ilvl="0" w:tplc="39F49EB2">
      <w:numFmt w:val="bullet"/>
      <w:lvlText w:val=""/>
      <w:lvlJc w:val="left"/>
      <w:pPr>
        <w:tabs>
          <w:tab w:val="num" w:pos="357"/>
        </w:tabs>
        <w:ind w:left="0" w:firstLine="0"/>
      </w:pPr>
      <w:rPr>
        <w:rFonts w:ascii="Wingdings" w:eastAsia="Times New Roman" w:hAnsi="Wingdings" w:cs="Arial" w:hint="default"/>
        <w:color w:val="00527F"/>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13496"/>
    <w:multiLevelType w:val="hybridMultilevel"/>
    <w:tmpl w:val="0C4C1030"/>
    <w:lvl w:ilvl="0" w:tplc="5D0CFE8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5F3482"/>
    <w:multiLevelType w:val="singleLevel"/>
    <w:tmpl w:val="D11235BC"/>
    <w:lvl w:ilvl="0">
      <w:start w:val="1"/>
      <w:numFmt w:val="bullet"/>
      <w:lvlText w:val=""/>
      <w:lvlJc w:val="left"/>
      <w:pPr>
        <w:tabs>
          <w:tab w:val="num" w:pos="757"/>
        </w:tabs>
        <w:ind w:left="737" w:hanging="340"/>
      </w:pPr>
      <w:rPr>
        <w:rFonts w:ascii="Symbol" w:hAnsi="Symbol" w:hint="default"/>
      </w:rPr>
    </w:lvl>
  </w:abstractNum>
  <w:abstractNum w:abstractNumId="9" w15:restartNumberingAfterBreak="0">
    <w:nsid w:val="68461EEB"/>
    <w:multiLevelType w:val="hybridMultilevel"/>
    <w:tmpl w:val="2BB64C2C"/>
    <w:lvl w:ilvl="0" w:tplc="79D09F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902990"/>
    <w:multiLevelType w:val="hybridMultilevel"/>
    <w:tmpl w:val="748463DC"/>
    <w:lvl w:ilvl="0" w:tplc="77AC5F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7832CA"/>
    <w:multiLevelType w:val="hybridMultilevel"/>
    <w:tmpl w:val="969A0EC6"/>
    <w:lvl w:ilvl="0" w:tplc="923EDAD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5927E3"/>
    <w:multiLevelType w:val="hybridMultilevel"/>
    <w:tmpl w:val="FB14F7FC"/>
    <w:lvl w:ilvl="0" w:tplc="7E8EAB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643218"/>
    <w:multiLevelType w:val="hybridMultilevel"/>
    <w:tmpl w:val="BE9C18B8"/>
    <w:lvl w:ilvl="0" w:tplc="AF62BDEE">
      <w:start w:val="1"/>
      <w:numFmt w:val="lowerLetter"/>
      <w:lvlText w:val="(%1)"/>
      <w:lvlJc w:val="left"/>
      <w:pPr>
        <w:ind w:left="502" w:hanging="360"/>
      </w:pPr>
      <w:rPr>
        <w:rFonts w:ascii="Arial Narrow" w:hAnsi="Arial Narrow" w:hint="default"/>
        <w:b w:val="0"/>
        <w:sz w:val="15"/>
        <w:szCs w:val="15"/>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7F21648C"/>
    <w:multiLevelType w:val="hybridMultilevel"/>
    <w:tmpl w:val="992EFD8E"/>
    <w:lvl w:ilvl="0" w:tplc="A2BC94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275155">
    <w:abstractNumId w:val="6"/>
  </w:num>
  <w:num w:numId="2" w16cid:durableId="209802562">
    <w:abstractNumId w:val="14"/>
  </w:num>
  <w:num w:numId="3" w16cid:durableId="1851989756">
    <w:abstractNumId w:val="11"/>
  </w:num>
  <w:num w:numId="4" w16cid:durableId="1861157937">
    <w:abstractNumId w:val="5"/>
  </w:num>
  <w:num w:numId="5" w16cid:durableId="1708405089">
    <w:abstractNumId w:val="10"/>
  </w:num>
  <w:num w:numId="6" w16cid:durableId="1565943775">
    <w:abstractNumId w:val="8"/>
  </w:num>
  <w:num w:numId="7" w16cid:durableId="828785930">
    <w:abstractNumId w:val="1"/>
  </w:num>
  <w:num w:numId="8" w16cid:durableId="77989392">
    <w:abstractNumId w:val="12"/>
  </w:num>
  <w:num w:numId="9" w16cid:durableId="776095032">
    <w:abstractNumId w:val="13"/>
  </w:num>
  <w:num w:numId="10" w16cid:durableId="881601829">
    <w:abstractNumId w:val="0"/>
  </w:num>
  <w:num w:numId="11" w16cid:durableId="1234974483">
    <w:abstractNumId w:val="2"/>
  </w:num>
  <w:num w:numId="12" w16cid:durableId="1644461388">
    <w:abstractNumId w:val="4"/>
  </w:num>
  <w:num w:numId="13" w16cid:durableId="648942086">
    <w:abstractNumId w:val="9"/>
  </w:num>
  <w:num w:numId="14" w16cid:durableId="1096436597">
    <w:abstractNumId w:val="7"/>
  </w:num>
  <w:num w:numId="15" w16cid:durableId="6406924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style="mso-position-vertical-relative:line" fill="f" fillcolor="white" strokecolor="none [3213]">
      <v:fill color="white" on="f"/>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79"/>
    <w:rsid w:val="00000248"/>
    <w:rsid w:val="00000697"/>
    <w:rsid w:val="0000078C"/>
    <w:rsid w:val="00000871"/>
    <w:rsid w:val="00000886"/>
    <w:rsid w:val="00000901"/>
    <w:rsid w:val="00000A64"/>
    <w:rsid w:val="00000CB5"/>
    <w:rsid w:val="00001140"/>
    <w:rsid w:val="00001601"/>
    <w:rsid w:val="000019B0"/>
    <w:rsid w:val="000024C0"/>
    <w:rsid w:val="000028C5"/>
    <w:rsid w:val="000029E9"/>
    <w:rsid w:val="00002B41"/>
    <w:rsid w:val="00002FE4"/>
    <w:rsid w:val="000035C8"/>
    <w:rsid w:val="000038FA"/>
    <w:rsid w:val="00003DC9"/>
    <w:rsid w:val="00004001"/>
    <w:rsid w:val="0000431E"/>
    <w:rsid w:val="000045D2"/>
    <w:rsid w:val="00004724"/>
    <w:rsid w:val="00004733"/>
    <w:rsid w:val="00004D86"/>
    <w:rsid w:val="0000521B"/>
    <w:rsid w:val="000052FC"/>
    <w:rsid w:val="00005EE1"/>
    <w:rsid w:val="00005F2A"/>
    <w:rsid w:val="00006500"/>
    <w:rsid w:val="00006DC9"/>
    <w:rsid w:val="00006EC0"/>
    <w:rsid w:val="00007404"/>
    <w:rsid w:val="00007B0E"/>
    <w:rsid w:val="00010236"/>
    <w:rsid w:val="000102A8"/>
    <w:rsid w:val="000105C9"/>
    <w:rsid w:val="0001062C"/>
    <w:rsid w:val="00010767"/>
    <w:rsid w:val="00010A5E"/>
    <w:rsid w:val="00010B65"/>
    <w:rsid w:val="00010DF8"/>
    <w:rsid w:val="00011135"/>
    <w:rsid w:val="00011308"/>
    <w:rsid w:val="000114DE"/>
    <w:rsid w:val="00011781"/>
    <w:rsid w:val="00011D71"/>
    <w:rsid w:val="0001201B"/>
    <w:rsid w:val="000120AF"/>
    <w:rsid w:val="0001246A"/>
    <w:rsid w:val="000127B5"/>
    <w:rsid w:val="00012976"/>
    <w:rsid w:val="00012F3F"/>
    <w:rsid w:val="000133CC"/>
    <w:rsid w:val="00013483"/>
    <w:rsid w:val="00013A63"/>
    <w:rsid w:val="000149F7"/>
    <w:rsid w:val="00014F93"/>
    <w:rsid w:val="00015227"/>
    <w:rsid w:val="000152F9"/>
    <w:rsid w:val="00015947"/>
    <w:rsid w:val="00015F3E"/>
    <w:rsid w:val="00016193"/>
    <w:rsid w:val="00016352"/>
    <w:rsid w:val="000163E5"/>
    <w:rsid w:val="0001656F"/>
    <w:rsid w:val="0001700F"/>
    <w:rsid w:val="00017481"/>
    <w:rsid w:val="00017DCA"/>
    <w:rsid w:val="0002084A"/>
    <w:rsid w:val="00020A3A"/>
    <w:rsid w:val="00020D07"/>
    <w:rsid w:val="00020E47"/>
    <w:rsid w:val="00020F1C"/>
    <w:rsid w:val="00021072"/>
    <w:rsid w:val="00021A32"/>
    <w:rsid w:val="00021AFD"/>
    <w:rsid w:val="00021C83"/>
    <w:rsid w:val="00021D04"/>
    <w:rsid w:val="00021FAA"/>
    <w:rsid w:val="00022453"/>
    <w:rsid w:val="00022D19"/>
    <w:rsid w:val="00022F02"/>
    <w:rsid w:val="00023000"/>
    <w:rsid w:val="00023009"/>
    <w:rsid w:val="000232AD"/>
    <w:rsid w:val="000232EE"/>
    <w:rsid w:val="000238EC"/>
    <w:rsid w:val="00023C7B"/>
    <w:rsid w:val="00023CF8"/>
    <w:rsid w:val="000240B2"/>
    <w:rsid w:val="00024647"/>
    <w:rsid w:val="0002467B"/>
    <w:rsid w:val="000247B3"/>
    <w:rsid w:val="00024953"/>
    <w:rsid w:val="00024A07"/>
    <w:rsid w:val="00024B3F"/>
    <w:rsid w:val="0002520B"/>
    <w:rsid w:val="00025293"/>
    <w:rsid w:val="0002575C"/>
    <w:rsid w:val="000258AF"/>
    <w:rsid w:val="00025A0E"/>
    <w:rsid w:val="00025E09"/>
    <w:rsid w:val="00025FD6"/>
    <w:rsid w:val="0002624F"/>
    <w:rsid w:val="0002633A"/>
    <w:rsid w:val="0002667F"/>
    <w:rsid w:val="0002686F"/>
    <w:rsid w:val="00026931"/>
    <w:rsid w:val="00026A8A"/>
    <w:rsid w:val="00030542"/>
    <w:rsid w:val="00030800"/>
    <w:rsid w:val="00030850"/>
    <w:rsid w:val="000308CD"/>
    <w:rsid w:val="00030ACC"/>
    <w:rsid w:val="00031116"/>
    <w:rsid w:val="0003117B"/>
    <w:rsid w:val="000311D3"/>
    <w:rsid w:val="00031564"/>
    <w:rsid w:val="00031A25"/>
    <w:rsid w:val="00031BF1"/>
    <w:rsid w:val="00033107"/>
    <w:rsid w:val="00033278"/>
    <w:rsid w:val="00033289"/>
    <w:rsid w:val="0003359F"/>
    <w:rsid w:val="00033D67"/>
    <w:rsid w:val="00033F44"/>
    <w:rsid w:val="00033FEE"/>
    <w:rsid w:val="0003460A"/>
    <w:rsid w:val="00034873"/>
    <w:rsid w:val="000352D2"/>
    <w:rsid w:val="000356D4"/>
    <w:rsid w:val="00035C20"/>
    <w:rsid w:val="00035D25"/>
    <w:rsid w:val="00036CD2"/>
    <w:rsid w:val="00037045"/>
    <w:rsid w:val="0003714E"/>
    <w:rsid w:val="000373BA"/>
    <w:rsid w:val="000374FA"/>
    <w:rsid w:val="00037A78"/>
    <w:rsid w:val="00037CA1"/>
    <w:rsid w:val="00040097"/>
    <w:rsid w:val="00040173"/>
    <w:rsid w:val="000402F6"/>
    <w:rsid w:val="00040820"/>
    <w:rsid w:val="00040B12"/>
    <w:rsid w:val="00040EB3"/>
    <w:rsid w:val="000413C2"/>
    <w:rsid w:val="000415B1"/>
    <w:rsid w:val="00041A3A"/>
    <w:rsid w:val="00041D3E"/>
    <w:rsid w:val="000424DD"/>
    <w:rsid w:val="00042D6A"/>
    <w:rsid w:val="00042D92"/>
    <w:rsid w:val="00043422"/>
    <w:rsid w:val="0004367D"/>
    <w:rsid w:val="00043765"/>
    <w:rsid w:val="00043CE6"/>
    <w:rsid w:val="00043E83"/>
    <w:rsid w:val="00044B35"/>
    <w:rsid w:val="00044B3B"/>
    <w:rsid w:val="0004569B"/>
    <w:rsid w:val="000459E6"/>
    <w:rsid w:val="00045A51"/>
    <w:rsid w:val="00045A68"/>
    <w:rsid w:val="00045C97"/>
    <w:rsid w:val="00045DF4"/>
    <w:rsid w:val="000466A1"/>
    <w:rsid w:val="0004684D"/>
    <w:rsid w:val="00046885"/>
    <w:rsid w:val="000469E0"/>
    <w:rsid w:val="00046B0C"/>
    <w:rsid w:val="00046BDB"/>
    <w:rsid w:val="00047788"/>
    <w:rsid w:val="00047C29"/>
    <w:rsid w:val="00047DB7"/>
    <w:rsid w:val="000500EA"/>
    <w:rsid w:val="00050171"/>
    <w:rsid w:val="000502D9"/>
    <w:rsid w:val="00050364"/>
    <w:rsid w:val="00050B01"/>
    <w:rsid w:val="00050BBA"/>
    <w:rsid w:val="00050BEF"/>
    <w:rsid w:val="00050EDC"/>
    <w:rsid w:val="0005120F"/>
    <w:rsid w:val="0005128B"/>
    <w:rsid w:val="00051784"/>
    <w:rsid w:val="00051A68"/>
    <w:rsid w:val="00051C7C"/>
    <w:rsid w:val="00051ED4"/>
    <w:rsid w:val="000525E5"/>
    <w:rsid w:val="0005261D"/>
    <w:rsid w:val="0005271D"/>
    <w:rsid w:val="00052844"/>
    <w:rsid w:val="00052971"/>
    <w:rsid w:val="000529D2"/>
    <w:rsid w:val="000533A4"/>
    <w:rsid w:val="00053697"/>
    <w:rsid w:val="00053968"/>
    <w:rsid w:val="00053C39"/>
    <w:rsid w:val="00054114"/>
    <w:rsid w:val="00054818"/>
    <w:rsid w:val="0005484B"/>
    <w:rsid w:val="000549E9"/>
    <w:rsid w:val="00054B2F"/>
    <w:rsid w:val="00054B70"/>
    <w:rsid w:val="00054B74"/>
    <w:rsid w:val="00054C29"/>
    <w:rsid w:val="00054E83"/>
    <w:rsid w:val="000551CB"/>
    <w:rsid w:val="00055219"/>
    <w:rsid w:val="0005523A"/>
    <w:rsid w:val="00055570"/>
    <w:rsid w:val="00055768"/>
    <w:rsid w:val="000564FE"/>
    <w:rsid w:val="00056898"/>
    <w:rsid w:val="00056C3D"/>
    <w:rsid w:val="00056CB1"/>
    <w:rsid w:val="00057DF2"/>
    <w:rsid w:val="00057FDB"/>
    <w:rsid w:val="00060018"/>
    <w:rsid w:val="00060780"/>
    <w:rsid w:val="000609FC"/>
    <w:rsid w:val="00061182"/>
    <w:rsid w:val="00061498"/>
    <w:rsid w:val="0006162B"/>
    <w:rsid w:val="000616C6"/>
    <w:rsid w:val="00061743"/>
    <w:rsid w:val="00061ACB"/>
    <w:rsid w:val="000621E0"/>
    <w:rsid w:val="00062732"/>
    <w:rsid w:val="00062AB3"/>
    <w:rsid w:val="00062F63"/>
    <w:rsid w:val="000631AE"/>
    <w:rsid w:val="000637AD"/>
    <w:rsid w:val="00063A85"/>
    <w:rsid w:val="00063B0A"/>
    <w:rsid w:val="00063DC1"/>
    <w:rsid w:val="00064044"/>
    <w:rsid w:val="000641C6"/>
    <w:rsid w:val="000642EF"/>
    <w:rsid w:val="00064428"/>
    <w:rsid w:val="00064619"/>
    <w:rsid w:val="00064E19"/>
    <w:rsid w:val="00064F1A"/>
    <w:rsid w:val="00065228"/>
    <w:rsid w:val="000652B9"/>
    <w:rsid w:val="0006535B"/>
    <w:rsid w:val="000655D2"/>
    <w:rsid w:val="000657FA"/>
    <w:rsid w:val="00065915"/>
    <w:rsid w:val="00065BF5"/>
    <w:rsid w:val="0006664B"/>
    <w:rsid w:val="000666AF"/>
    <w:rsid w:val="000673CF"/>
    <w:rsid w:val="000678C7"/>
    <w:rsid w:val="0006796E"/>
    <w:rsid w:val="00067C4D"/>
    <w:rsid w:val="00067E91"/>
    <w:rsid w:val="00067FE6"/>
    <w:rsid w:val="00070059"/>
    <w:rsid w:val="0007063C"/>
    <w:rsid w:val="00070753"/>
    <w:rsid w:val="00070E90"/>
    <w:rsid w:val="00071866"/>
    <w:rsid w:val="00071FC3"/>
    <w:rsid w:val="00071FF8"/>
    <w:rsid w:val="000725AF"/>
    <w:rsid w:val="00072718"/>
    <w:rsid w:val="00072756"/>
    <w:rsid w:val="000728CB"/>
    <w:rsid w:val="00072B4D"/>
    <w:rsid w:val="00072BAF"/>
    <w:rsid w:val="0007315C"/>
    <w:rsid w:val="000734F5"/>
    <w:rsid w:val="00073F8E"/>
    <w:rsid w:val="000741BB"/>
    <w:rsid w:val="00074201"/>
    <w:rsid w:val="000748CC"/>
    <w:rsid w:val="00074D33"/>
    <w:rsid w:val="000756F1"/>
    <w:rsid w:val="000758CA"/>
    <w:rsid w:val="00075EDD"/>
    <w:rsid w:val="000760A8"/>
    <w:rsid w:val="0007614C"/>
    <w:rsid w:val="00076B4C"/>
    <w:rsid w:val="00077AC4"/>
    <w:rsid w:val="00077ACE"/>
    <w:rsid w:val="00080C4B"/>
    <w:rsid w:val="000811D0"/>
    <w:rsid w:val="0008136F"/>
    <w:rsid w:val="0008178C"/>
    <w:rsid w:val="000818F8"/>
    <w:rsid w:val="00081F33"/>
    <w:rsid w:val="00082A2B"/>
    <w:rsid w:val="00082ACE"/>
    <w:rsid w:val="00082E54"/>
    <w:rsid w:val="00082FC9"/>
    <w:rsid w:val="00082FCD"/>
    <w:rsid w:val="00082FD1"/>
    <w:rsid w:val="00082FE9"/>
    <w:rsid w:val="00083253"/>
    <w:rsid w:val="000837C2"/>
    <w:rsid w:val="00083938"/>
    <w:rsid w:val="00084207"/>
    <w:rsid w:val="00084233"/>
    <w:rsid w:val="00084362"/>
    <w:rsid w:val="00084F92"/>
    <w:rsid w:val="0008514E"/>
    <w:rsid w:val="00085328"/>
    <w:rsid w:val="000853B1"/>
    <w:rsid w:val="00085620"/>
    <w:rsid w:val="00085EA6"/>
    <w:rsid w:val="000864AF"/>
    <w:rsid w:val="00086904"/>
    <w:rsid w:val="00086B8C"/>
    <w:rsid w:val="000870CF"/>
    <w:rsid w:val="00087181"/>
    <w:rsid w:val="000875F7"/>
    <w:rsid w:val="0008769C"/>
    <w:rsid w:val="00087B86"/>
    <w:rsid w:val="000900A3"/>
    <w:rsid w:val="000900A9"/>
    <w:rsid w:val="0009063A"/>
    <w:rsid w:val="000909A9"/>
    <w:rsid w:val="00090BAB"/>
    <w:rsid w:val="00090D0D"/>
    <w:rsid w:val="00091058"/>
    <w:rsid w:val="00091879"/>
    <w:rsid w:val="00091BBC"/>
    <w:rsid w:val="00092012"/>
    <w:rsid w:val="00092227"/>
    <w:rsid w:val="00092446"/>
    <w:rsid w:val="00092C0F"/>
    <w:rsid w:val="00092FC2"/>
    <w:rsid w:val="00093598"/>
    <w:rsid w:val="000935C2"/>
    <w:rsid w:val="000935E8"/>
    <w:rsid w:val="0009398A"/>
    <w:rsid w:val="00093A99"/>
    <w:rsid w:val="00093B3C"/>
    <w:rsid w:val="00094670"/>
    <w:rsid w:val="00094DAC"/>
    <w:rsid w:val="00094E5E"/>
    <w:rsid w:val="000953DE"/>
    <w:rsid w:val="0009585D"/>
    <w:rsid w:val="00095FA7"/>
    <w:rsid w:val="00096B05"/>
    <w:rsid w:val="00096BC2"/>
    <w:rsid w:val="000974A8"/>
    <w:rsid w:val="00097829"/>
    <w:rsid w:val="000979AD"/>
    <w:rsid w:val="00097ACA"/>
    <w:rsid w:val="00097B50"/>
    <w:rsid w:val="00097C11"/>
    <w:rsid w:val="00097DBA"/>
    <w:rsid w:val="000A0A75"/>
    <w:rsid w:val="000A0B08"/>
    <w:rsid w:val="000A0DBC"/>
    <w:rsid w:val="000A11AF"/>
    <w:rsid w:val="000A1832"/>
    <w:rsid w:val="000A1A43"/>
    <w:rsid w:val="000A1E67"/>
    <w:rsid w:val="000A2010"/>
    <w:rsid w:val="000A3161"/>
    <w:rsid w:val="000A3489"/>
    <w:rsid w:val="000A352E"/>
    <w:rsid w:val="000A3624"/>
    <w:rsid w:val="000A36A4"/>
    <w:rsid w:val="000A3D6F"/>
    <w:rsid w:val="000A3ED0"/>
    <w:rsid w:val="000A414C"/>
    <w:rsid w:val="000A43C8"/>
    <w:rsid w:val="000A456A"/>
    <w:rsid w:val="000A4AE8"/>
    <w:rsid w:val="000A50AB"/>
    <w:rsid w:val="000A5360"/>
    <w:rsid w:val="000A545E"/>
    <w:rsid w:val="000A5485"/>
    <w:rsid w:val="000A5744"/>
    <w:rsid w:val="000A5994"/>
    <w:rsid w:val="000A5F12"/>
    <w:rsid w:val="000A5F93"/>
    <w:rsid w:val="000A600E"/>
    <w:rsid w:val="000A62C6"/>
    <w:rsid w:val="000A6603"/>
    <w:rsid w:val="000A68F2"/>
    <w:rsid w:val="000A6D4C"/>
    <w:rsid w:val="000A6DFC"/>
    <w:rsid w:val="000A711B"/>
    <w:rsid w:val="000A790D"/>
    <w:rsid w:val="000A7A3B"/>
    <w:rsid w:val="000A7CA6"/>
    <w:rsid w:val="000B12A8"/>
    <w:rsid w:val="000B1CC6"/>
    <w:rsid w:val="000B1E84"/>
    <w:rsid w:val="000B1F2A"/>
    <w:rsid w:val="000B2D8B"/>
    <w:rsid w:val="000B2E7D"/>
    <w:rsid w:val="000B3440"/>
    <w:rsid w:val="000B36B1"/>
    <w:rsid w:val="000B36CD"/>
    <w:rsid w:val="000B3AFC"/>
    <w:rsid w:val="000B3BC9"/>
    <w:rsid w:val="000B3D80"/>
    <w:rsid w:val="000B3E53"/>
    <w:rsid w:val="000B4262"/>
    <w:rsid w:val="000B44D2"/>
    <w:rsid w:val="000B47BA"/>
    <w:rsid w:val="000B4943"/>
    <w:rsid w:val="000B4C75"/>
    <w:rsid w:val="000B5271"/>
    <w:rsid w:val="000B52FE"/>
    <w:rsid w:val="000B58AE"/>
    <w:rsid w:val="000B5902"/>
    <w:rsid w:val="000B5D67"/>
    <w:rsid w:val="000B5D68"/>
    <w:rsid w:val="000B65F0"/>
    <w:rsid w:val="000B678D"/>
    <w:rsid w:val="000B691E"/>
    <w:rsid w:val="000B6D42"/>
    <w:rsid w:val="000B737F"/>
    <w:rsid w:val="000B7632"/>
    <w:rsid w:val="000B76AF"/>
    <w:rsid w:val="000B773C"/>
    <w:rsid w:val="000B7ED8"/>
    <w:rsid w:val="000C01CE"/>
    <w:rsid w:val="000C08A8"/>
    <w:rsid w:val="000C0C19"/>
    <w:rsid w:val="000C0D9E"/>
    <w:rsid w:val="000C13D9"/>
    <w:rsid w:val="000C143B"/>
    <w:rsid w:val="000C1865"/>
    <w:rsid w:val="000C1877"/>
    <w:rsid w:val="000C1905"/>
    <w:rsid w:val="000C1E7C"/>
    <w:rsid w:val="000C276B"/>
    <w:rsid w:val="000C2899"/>
    <w:rsid w:val="000C2A99"/>
    <w:rsid w:val="000C2B10"/>
    <w:rsid w:val="000C2DE0"/>
    <w:rsid w:val="000C3923"/>
    <w:rsid w:val="000C3926"/>
    <w:rsid w:val="000C3E05"/>
    <w:rsid w:val="000C4095"/>
    <w:rsid w:val="000C40FD"/>
    <w:rsid w:val="000C4324"/>
    <w:rsid w:val="000C48D1"/>
    <w:rsid w:val="000C5512"/>
    <w:rsid w:val="000C5533"/>
    <w:rsid w:val="000C555C"/>
    <w:rsid w:val="000C594A"/>
    <w:rsid w:val="000C5F9B"/>
    <w:rsid w:val="000C6330"/>
    <w:rsid w:val="000C6646"/>
    <w:rsid w:val="000C709B"/>
    <w:rsid w:val="000C73C8"/>
    <w:rsid w:val="000C740B"/>
    <w:rsid w:val="000C7440"/>
    <w:rsid w:val="000C74A8"/>
    <w:rsid w:val="000C750E"/>
    <w:rsid w:val="000C7865"/>
    <w:rsid w:val="000C7A3D"/>
    <w:rsid w:val="000C7A70"/>
    <w:rsid w:val="000C7B3A"/>
    <w:rsid w:val="000D045A"/>
    <w:rsid w:val="000D0533"/>
    <w:rsid w:val="000D061E"/>
    <w:rsid w:val="000D072B"/>
    <w:rsid w:val="000D08CE"/>
    <w:rsid w:val="000D1071"/>
    <w:rsid w:val="000D13C7"/>
    <w:rsid w:val="000D1741"/>
    <w:rsid w:val="000D1DE8"/>
    <w:rsid w:val="000D23CD"/>
    <w:rsid w:val="000D2424"/>
    <w:rsid w:val="000D2592"/>
    <w:rsid w:val="000D2DAF"/>
    <w:rsid w:val="000D2E45"/>
    <w:rsid w:val="000D308A"/>
    <w:rsid w:val="000D3239"/>
    <w:rsid w:val="000D37C1"/>
    <w:rsid w:val="000D3C64"/>
    <w:rsid w:val="000D3E0C"/>
    <w:rsid w:val="000D412F"/>
    <w:rsid w:val="000D4227"/>
    <w:rsid w:val="000D43B6"/>
    <w:rsid w:val="000D4843"/>
    <w:rsid w:val="000D4CE2"/>
    <w:rsid w:val="000D4D25"/>
    <w:rsid w:val="000D52C1"/>
    <w:rsid w:val="000D6BFF"/>
    <w:rsid w:val="000D7096"/>
    <w:rsid w:val="000D7230"/>
    <w:rsid w:val="000D737B"/>
    <w:rsid w:val="000D7506"/>
    <w:rsid w:val="000D78C5"/>
    <w:rsid w:val="000E0899"/>
    <w:rsid w:val="000E0A06"/>
    <w:rsid w:val="000E0BFB"/>
    <w:rsid w:val="000E0E1C"/>
    <w:rsid w:val="000E1568"/>
    <w:rsid w:val="000E1A4B"/>
    <w:rsid w:val="000E1DD8"/>
    <w:rsid w:val="000E1E66"/>
    <w:rsid w:val="000E214C"/>
    <w:rsid w:val="000E222F"/>
    <w:rsid w:val="000E2BBB"/>
    <w:rsid w:val="000E2C59"/>
    <w:rsid w:val="000E2C99"/>
    <w:rsid w:val="000E2DC3"/>
    <w:rsid w:val="000E2DDC"/>
    <w:rsid w:val="000E33ED"/>
    <w:rsid w:val="000E34B5"/>
    <w:rsid w:val="000E37DE"/>
    <w:rsid w:val="000E3947"/>
    <w:rsid w:val="000E40CA"/>
    <w:rsid w:val="000E4D0E"/>
    <w:rsid w:val="000E5DA8"/>
    <w:rsid w:val="000E5F42"/>
    <w:rsid w:val="000E5FA1"/>
    <w:rsid w:val="000E6070"/>
    <w:rsid w:val="000E6087"/>
    <w:rsid w:val="000E6312"/>
    <w:rsid w:val="000E6A58"/>
    <w:rsid w:val="000E6FCB"/>
    <w:rsid w:val="000E705D"/>
    <w:rsid w:val="000F014D"/>
    <w:rsid w:val="000F08FE"/>
    <w:rsid w:val="000F0A43"/>
    <w:rsid w:val="000F0E7E"/>
    <w:rsid w:val="000F123E"/>
    <w:rsid w:val="000F1445"/>
    <w:rsid w:val="000F1C8E"/>
    <w:rsid w:val="000F208D"/>
    <w:rsid w:val="000F22C7"/>
    <w:rsid w:val="000F3994"/>
    <w:rsid w:val="000F3C48"/>
    <w:rsid w:val="000F3CE4"/>
    <w:rsid w:val="000F41CA"/>
    <w:rsid w:val="000F41F8"/>
    <w:rsid w:val="000F48FF"/>
    <w:rsid w:val="000F4CEE"/>
    <w:rsid w:val="000F4DA9"/>
    <w:rsid w:val="000F5004"/>
    <w:rsid w:val="000F5221"/>
    <w:rsid w:val="000F57EA"/>
    <w:rsid w:val="000F5FE0"/>
    <w:rsid w:val="000F62DC"/>
    <w:rsid w:val="000F63C7"/>
    <w:rsid w:val="000F681A"/>
    <w:rsid w:val="000F69DB"/>
    <w:rsid w:val="000F7206"/>
    <w:rsid w:val="000F7258"/>
    <w:rsid w:val="000F76A1"/>
    <w:rsid w:val="000F7F0F"/>
    <w:rsid w:val="0010006A"/>
    <w:rsid w:val="00100093"/>
    <w:rsid w:val="001000EB"/>
    <w:rsid w:val="00100218"/>
    <w:rsid w:val="00100425"/>
    <w:rsid w:val="00100636"/>
    <w:rsid w:val="0010065B"/>
    <w:rsid w:val="00100E3F"/>
    <w:rsid w:val="00100F96"/>
    <w:rsid w:val="001010F7"/>
    <w:rsid w:val="0010129F"/>
    <w:rsid w:val="00101F26"/>
    <w:rsid w:val="00101F4C"/>
    <w:rsid w:val="001027A2"/>
    <w:rsid w:val="00102EEC"/>
    <w:rsid w:val="00103882"/>
    <w:rsid w:val="00103A37"/>
    <w:rsid w:val="00103B5E"/>
    <w:rsid w:val="00103E39"/>
    <w:rsid w:val="00104210"/>
    <w:rsid w:val="00104311"/>
    <w:rsid w:val="001043C8"/>
    <w:rsid w:val="001046E8"/>
    <w:rsid w:val="00104ACE"/>
    <w:rsid w:val="00104BEF"/>
    <w:rsid w:val="00104CA6"/>
    <w:rsid w:val="00105122"/>
    <w:rsid w:val="001052EF"/>
    <w:rsid w:val="00105862"/>
    <w:rsid w:val="00105E1D"/>
    <w:rsid w:val="00105F32"/>
    <w:rsid w:val="001060A6"/>
    <w:rsid w:val="00107409"/>
    <w:rsid w:val="001077AD"/>
    <w:rsid w:val="00107997"/>
    <w:rsid w:val="00107C29"/>
    <w:rsid w:val="00107C8D"/>
    <w:rsid w:val="001101B2"/>
    <w:rsid w:val="001105F4"/>
    <w:rsid w:val="00110D80"/>
    <w:rsid w:val="00110F39"/>
    <w:rsid w:val="00111033"/>
    <w:rsid w:val="00111128"/>
    <w:rsid w:val="001111C4"/>
    <w:rsid w:val="001113F3"/>
    <w:rsid w:val="001114C4"/>
    <w:rsid w:val="0011172D"/>
    <w:rsid w:val="00111AF3"/>
    <w:rsid w:val="00112632"/>
    <w:rsid w:val="001126DE"/>
    <w:rsid w:val="0011280D"/>
    <w:rsid w:val="00112C3B"/>
    <w:rsid w:val="00112ED7"/>
    <w:rsid w:val="00112FAC"/>
    <w:rsid w:val="00113A9B"/>
    <w:rsid w:val="00113B4E"/>
    <w:rsid w:val="00113D3F"/>
    <w:rsid w:val="00113D4A"/>
    <w:rsid w:val="00113D73"/>
    <w:rsid w:val="00113DF8"/>
    <w:rsid w:val="00114850"/>
    <w:rsid w:val="00114887"/>
    <w:rsid w:val="00114FBF"/>
    <w:rsid w:val="00115273"/>
    <w:rsid w:val="00115585"/>
    <w:rsid w:val="0011561B"/>
    <w:rsid w:val="0011562C"/>
    <w:rsid w:val="00115881"/>
    <w:rsid w:val="001159D6"/>
    <w:rsid w:val="0011617B"/>
    <w:rsid w:val="00116A1C"/>
    <w:rsid w:val="00116A7D"/>
    <w:rsid w:val="00116AF7"/>
    <w:rsid w:val="00116BF7"/>
    <w:rsid w:val="00116EE9"/>
    <w:rsid w:val="0011708B"/>
    <w:rsid w:val="001172D3"/>
    <w:rsid w:val="001174EC"/>
    <w:rsid w:val="0011767E"/>
    <w:rsid w:val="001178C2"/>
    <w:rsid w:val="00117A13"/>
    <w:rsid w:val="00120450"/>
    <w:rsid w:val="0012074A"/>
    <w:rsid w:val="00120BC8"/>
    <w:rsid w:val="00120CFA"/>
    <w:rsid w:val="00120D15"/>
    <w:rsid w:val="00121082"/>
    <w:rsid w:val="00121198"/>
    <w:rsid w:val="00121436"/>
    <w:rsid w:val="001218E3"/>
    <w:rsid w:val="00121EC4"/>
    <w:rsid w:val="001222F1"/>
    <w:rsid w:val="001226A8"/>
    <w:rsid w:val="00122ABA"/>
    <w:rsid w:val="00123DF1"/>
    <w:rsid w:val="001247DE"/>
    <w:rsid w:val="0012535E"/>
    <w:rsid w:val="00125382"/>
    <w:rsid w:val="001256F2"/>
    <w:rsid w:val="00125A40"/>
    <w:rsid w:val="00125FB4"/>
    <w:rsid w:val="0012656E"/>
    <w:rsid w:val="00126E44"/>
    <w:rsid w:val="00126F34"/>
    <w:rsid w:val="001270EC"/>
    <w:rsid w:val="00127666"/>
    <w:rsid w:val="0012768C"/>
    <w:rsid w:val="00127CD9"/>
    <w:rsid w:val="001309E4"/>
    <w:rsid w:val="00130B7A"/>
    <w:rsid w:val="00130CF0"/>
    <w:rsid w:val="00130FCB"/>
    <w:rsid w:val="001317C1"/>
    <w:rsid w:val="00131EF6"/>
    <w:rsid w:val="00132528"/>
    <w:rsid w:val="00132897"/>
    <w:rsid w:val="00132AF6"/>
    <w:rsid w:val="001330CB"/>
    <w:rsid w:val="0013389C"/>
    <w:rsid w:val="001339B6"/>
    <w:rsid w:val="001339CA"/>
    <w:rsid w:val="00133BDA"/>
    <w:rsid w:val="0013478D"/>
    <w:rsid w:val="00134810"/>
    <w:rsid w:val="001349A3"/>
    <w:rsid w:val="00134C46"/>
    <w:rsid w:val="00134C65"/>
    <w:rsid w:val="001350BB"/>
    <w:rsid w:val="00135DD5"/>
    <w:rsid w:val="00135F0D"/>
    <w:rsid w:val="00136595"/>
    <w:rsid w:val="00136AE6"/>
    <w:rsid w:val="00136C08"/>
    <w:rsid w:val="00136E1D"/>
    <w:rsid w:val="00137151"/>
    <w:rsid w:val="00137D30"/>
    <w:rsid w:val="00137D71"/>
    <w:rsid w:val="00140537"/>
    <w:rsid w:val="001405F2"/>
    <w:rsid w:val="0014088A"/>
    <w:rsid w:val="001409BD"/>
    <w:rsid w:val="00140C55"/>
    <w:rsid w:val="00141234"/>
    <w:rsid w:val="00141759"/>
    <w:rsid w:val="00141C5E"/>
    <w:rsid w:val="00141C96"/>
    <w:rsid w:val="0014217B"/>
    <w:rsid w:val="001428EF"/>
    <w:rsid w:val="00142D58"/>
    <w:rsid w:val="00142FB5"/>
    <w:rsid w:val="00143ED5"/>
    <w:rsid w:val="00143FA5"/>
    <w:rsid w:val="0014426D"/>
    <w:rsid w:val="00144438"/>
    <w:rsid w:val="00144597"/>
    <w:rsid w:val="00145259"/>
    <w:rsid w:val="00145432"/>
    <w:rsid w:val="00145A46"/>
    <w:rsid w:val="00145B66"/>
    <w:rsid w:val="00145C2A"/>
    <w:rsid w:val="00146010"/>
    <w:rsid w:val="0014614B"/>
    <w:rsid w:val="00146531"/>
    <w:rsid w:val="0014682F"/>
    <w:rsid w:val="001469E6"/>
    <w:rsid w:val="00146BE7"/>
    <w:rsid w:val="00146F1C"/>
    <w:rsid w:val="00150861"/>
    <w:rsid w:val="00150ADB"/>
    <w:rsid w:val="00150C60"/>
    <w:rsid w:val="00150CA3"/>
    <w:rsid w:val="001512A0"/>
    <w:rsid w:val="00151BA1"/>
    <w:rsid w:val="0015304A"/>
    <w:rsid w:val="00153259"/>
    <w:rsid w:val="00153503"/>
    <w:rsid w:val="001538BF"/>
    <w:rsid w:val="00154D64"/>
    <w:rsid w:val="00154F58"/>
    <w:rsid w:val="0015509D"/>
    <w:rsid w:val="00155131"/>
    <w:rsid w:val="0015581A"/>
    <w:rsid w:val="00155A82"/>
    <w:rsid w:val="001561AE"/>
    <w:rsid w:val="00156373"/>
    <w:rsid w:val="00156816"/>
    <w:rsid w:val="00156AAD"/>
    <w:rsid w:val="00156BBE"/>
    <w:rsid w:val="00157C05"/>
    <w:rsid w:val="00157E81"/>
    <w:rsid w:val="00157EF7"/>
    <w:rsid w:val="00160107"/>
    <w:rsid w:val="00160207"/>
    <w:rsid w:val="00160691"/>
    <w:rsid w:val="001606B8"/>
    <w:rsid w:val="00160848"/>
    <w:rsid w:val="001608AB"/>
    <w:rsid w:val="00160B0B"/>
    <w:rsid w:val="00160C57"/>
    <w:rsid w:val="00160EF0"/>
    <w:rsid w:val="00161173"/>
    <w:rsid w:val="00161C7F"/>
    <w:rsid w:val="00161FF4"/>
    <w:rsid w:val="001624CE"/>
    <w:rsid w:val="00162BBE"/>
    <w:rsid w:val="00162BE5"/>
    <w:rsid w:val="0016338E"/>
    <w:rsid w:val="001634AB"/>
    <w:rsid w:val="001635E1"/>
    <w:rsid w:val="0016365B"/>
    <w:rsid w:val="001637BC"/>
    <w:rsid w:val="00163DDD"/>
    <w:rsid w:val="001641E4"/>
    <w:rsid w:val="0016442A"/>
    <w:rsid w:val="00164539"/>
    <w:rsid w:val="00164559"/>
    <w:rsid w:val="00164722"/>
    <w:rsid w:val="001649FB"/>
    <w:rsid w:val="00164CD4"/>
    <w:rsid w:val="00165DAE"/>
    <w:rsid w:val="001662DE"/>
    <w:rsid w:val="00166358"/>
    <w:rsid w:val="0016684F"/>
    <w:rsid w:val="00166908"/>
    <w:rsid w:val="00166D06"/>
    <w:rsid w:val="00166DE6"/>
    <w:rsid w:val="00167AC6"/>
    <w:rsid w:val="00167B0F"/>
    <w:rsid w:val="0017041A"/>
    <w:rsid w:val="00170654"/>
    <w:rsid w:val="001708CB"/>
    <w:rsid w:val="0017090B"/>
    <w:rsid w:val="001709CD"/>
    <w:rsid w:val="00170F5E"/>
    <w:rsid w:val="00171029"/>
    <w:rsid w:val="001710A7"/>
    <w:rsid w:val="0017117F"/>
    <w:rsid w:val="0017163D"/>
    <w:rsid w:val="0017166C"/>
    <w:rsid w:val="001716C4"/>
    <w:rsid w:val="00171AFC"/>
    <w:rsid w:val="00171C67"/>
    <w:rsid w:val="00171CB6"/>
    <w:rsid w:val="001722F3"/>
    <w:rsid w:val="00172646"/>
    <w:rsid w:val="00172B03"/>
    <w:rsid w:val="00172F8D"/>
    <w:rsid w:val="001730D3"/>
    <w:rsid w:val="00173A89"/>
    <w:rsid w:val="00173AFC"/>
    <w:rsid w:val="00174072"/>
    <w:rsid w:val="001746D8"/>
    <w:rsid w:val="00174857"/>
    <w:rsid w:val="00174C4F"/>
    <w:rsid w:val="00174C59"/>
    <w:rsid w:val="001759F8"/>
    <w:rsid w:val="001760EE"/>
    <w:rsid w:val="0017646F"/>
    <w:rsid w:val="001765B7"/>
    <w:rsid w:val="00176EA4"/>
    <w:rsid w:val="00176FFF"/>
    <w:rsid w:val="0017733A"/>
    <w:rsid w:val="0017744F"/>
    <w:rsid w:val="001777BE"/>
    <w:rsid w:val="00177BA5"/>
    <w:rsid w:val="00180B4C"/>
    <w:rsid w:val="00180E76"/>
    <w:rsid w:val="001817B6"/>
    <w:rsid w:val="00181DCA"/>
    <w:rsid w:val="00181F48"/>
    <w:rsid w:val="0018234C"/>
    <w:rsid w:val="00182446"/>
    <w:rsid w:val="0018264B"/>
    <w:rsid w:val="00182C2B"/>
    <w:rsid w:val="00182E44"/>
    <w:rsid w:val="00182F85"/>
    <w:rsid w:val="00182FD7"/>
    <w:rsid w:val="001830A0"/>
    <w:rsid w:val="00183374"/>
    <w:rsid w:val="00183594"/>
    <w:rsid w:val="001837BE"/>
    <w:rsid w:val="001844F8"/>
    <w:rsid w:val="0018497B"/>
    <w:rsid w:val="001849A1"/>
    <w:rsid w:val="00185411"/>
    <w:rsid w:val="001858CF"/>
    <w:rsid w:val="00185C56"/>
    <w:rsid w:val="001860AA"/>
    <w:rsid w:val="00186534"/>
    <w:rsid w:val="00186955"/>
    <w:rsid w:val="001870F2"/>
    <w:rsid w:val="0018723D"/>
    <w:rsid w:val="00187561"/>
    <w:rsid w:val="001876A3"/>
    <w:rsid w:val="00187F72"/>
    <w:rsid w:val="00190352"/>
    <w:rsid w:val="00190A94"/>
    <w:rsid w:val="00191222"/>
    <w:rsid w:val="001914A9"/>
    <w:rsid w:val="00191755"/>
    <w:rsid w:val="00192120"/>
    <w:rsid w:val="0019254D"/>
    <w:rsid w:val="001928D0"/>
    <w:rsid w:val="00192BCB"/>
    <w:rsid w:val="00193467"/>
    <w:rsid w:val="00193B25"/>
    <w:rsid w:val="00193F50"/>
    <w:rsid w:val="00194125"/>
    <w:rsid w:val="00194C9D"/>
    <w:rsid w:val="00195110"/>
    <w:rsid w:val="00195350"/>
    <w:rsid w:val="00195CA4"/>
    <w:rsid w:val="00195D1B"/>
    <w:rsid w:val="001962C8"/>
    <w:rsid w:val="001963FA"/>
    <w:rsid w:val="00196BEC"/>
    <w:rsid w:val="001974E7"/>
    <w:rsid w:val="001975CC"/>
    <w:rsid w:val="00197696"/>
    <w:rsid w:val="00197A70"/>
    <w:rsid w:val="00197FC6"/>
    <w:rsid w:val="001A000B"/>
    <w:rsid w:val="001A0A7C"/>
    <w:rsid w:val="001A0AFD"/>
    <w:rsid w:val="001A0E36"/>
    <w:rsid w:val="001A11C1"/>
    <w:rsid w:val="001A2057"/>
    <w:rsid w:val="001A22CA"/>
    <w:rsid w:val="001A298C"/>
    <w:rsid w:val="001A2D26"/>
    <w:rsid w:val="001A3150"/>
    <w:rsid w:val="001A35E2"/>
    <w:rsid w:val="001A3B44"/>
    <w:rsid w:val="001A3CB2"/>
    <w:rsid w:val="001A3FCB"/>
    <w:rsid w:val="001A41A6"/>
    <w:rsid w:val="001A41CB"/>
    <w:rsid w:val="001A45FD"/>
    <w:rsid w:val="001A47CD"/>
    <w:rsid w:val="001A4D50"/>
    <w:rsid w:val="001A4FE3"/>
    <w:rsid w:val="001A555E"/>
    <w:rsid w:val="001A5841"/>
    <w:rsid w:val="001A5D79"/>
    <w:rsid w:val="001A5F02"/>
    <w:rsid w:val="001A5FA7"/>
    <w:rsid w:val="001A68A5"/>
    <w:rsid w:val="001A6905"/>
    <w:rsid w:val="001A6B57"/>
    <w:rsid w:val="001A6B92"/>
    <w:rsid w:val="001A6E2F"/>
    <w:rsid w:val="001A72EC"/>
    <w:rsid w:val="001A73AD"/>
    <w:rsid w:val="001A74D1"/>
    <w:rsid w:val="001A78D0"/>
    <w:rsid w:val="001A7D2E"/>
    <w:rsid w:val="001A7E7E"/>
    <w:rsid w:val="001B0AB0"/>
    <w:rsid w:val="001B13E1"/>
    <w:rsid w:val="001B26B1"/>
    <w:rsid w:val="001B2748"/>
    <w:rsid w:val="001B30EE"/>
    <w:rsid w:val="001B313B"/>
    <w:rsid w:val="001B3582"/>
    <w:rsid w:val="001B3B5E"/>
    <w:rsid w:val="001B4239"/>
    <w:rsid w:val="001B46FE"/>
    <w:rsid w:val="001B4719"/>
    <w:rsid w:val="001B4AAC"/>
    <w:rsid w:val="001B549C"/>
    <w:rsid w:val="001B5559"/>
    <w:rsid w:val="001B5D28"/>
    <w:rsid w:val="001B5E65"/>
    <w:rsid w:val="001B644B"/>
    <w:rsid w:val="001B7328"/>
    <w:rsid w:val="001B7A37"/>
    <w:rsid w:val="001B7CFA"/>
    <w:rsid w:val="001B7D98"/>
    <w:rsid w:val="001B7DF5"/>
    <w:rsid w:val="001B7EEB"/>
    <w:rsid w:val="001B7F59"/>
    <w:rsid w:val="001C05C7"/>
    <w:rsid w:val="001C06C9"/>
    <w:rsid w:val="001C06EB"/>
    <w:rsid w:val="001C0AA7"/>
    <w:rsid w:val="001C0B4E"/>
    <w:rsid w:val="001C14F2"/>
    <w:rsid w:val="001C155F"/>
    <w:rsid w:val="001C1749"/>
    <w:rsid w:val="001C1AF4"/>
    <w:rsid w:val="001C1B48"/>
    <w:rsid w:val="001C1C8D"/>
    <w:rsid w:val="001C1F7A"/>
    <w:rsid w:val="001C1FC2"/>
    <w:rsid w:val="001C3000"/>
    <w:rsid w:val="001C302C"/>
    <w:rsid w:val="001C3208"/>
    <w:rsid w:val="001C3DF1"/>
    <w:rsid w:val="001C3E8B"/>
    <w:rsid w:val="001C4189"/>
    <w:rsid w:val="001C42DF"/>
    <w:rsid w:val="001C440F"/>
    <w:rsid w:val="001C4457"/>
    <w:rsid w:val="001C4976"/>
    <w:rsid w:val="001C4AE6"/>
    <w:rsid w:val="001C4B14"/>
    <w:rsid w:val="001C4C7A"/>
    <w:rsid w:val="001C5293"/>
    <w:rsid w:val="001C56CA"/>
    <w:rsid w:val="001C574C"/>
    <w:rsid w:val="001C5853"/>
    <w:rsid w:val="001C5A0C"/>
    <w:rsid w:val="001C6059"/>
    <w:rsid w:val="001C61B0"/>
    <w:rsid w:val="001C6C13"/>
    <w:rsid w:val="001C721F"/>
    <w:rsid w:val="001C7A9B"/>
    <w:rsid w:val="001D034E"/>
    <w:rsid w:val="001D04DC"/>
    <w:rsid w:val="001D0A08"/>
    <w:rsid w:val="001D0D21"/>
    <w:rsid w:val="001D0DFB"/>
    <w:rsid w:val="001D1242"/>
    <w:rsid w:val="001D1545"/>
    <w:rsid w:val="001D1593"/>
    <w:rsid w:val="001D1B0A"/>
    <w:rsid w:val="001D1CCD"/>
    <w:rsid w:val="001D1D2D"/>
    <w:rsid w:val="001D226A"/>
    <w:rsid w:val="001D2A5F"/>
    <w:rsid w:val="001D2FDC"/>
    <w:rsid w:val="001D3017"/>
    <w:rsid w:val="001D34AA"/>
    <w:rsid w:val="001D361C"/>
    <w:rsid w:val="001D36D0"/>
    <w:rsid w:val="001D36EB"/>
    <w:rsid w:val="001D3E13"/>
    <w:rsid w:val="001D4C9F"/>
    <w:rsid w:val="001D4E25"/>
    <w:rsid w:val="001D4ECE"/>
    <w:rsid w:val="001D4F89"/>
    <w:rsid w:val="001D51F9"/>
    <w:rsid w:val="001D5316"/>
    <w:rsid w:val="001D5700"/>
    <w:rsid w:val="001D5C74"/>
    <w:rsid w:val="001D5DA1"/>
    <w:rsid w:val="001D6793"/>
    <w:rsid w:val="001D68AB"/>
    <w:rsid w:val="001D6F78"/>
    <w:rsid w:val="001D6FB0"/>
    <w:rsid w:val="001D7150"/>
    <w:rsid w:val="001D7157"/>
    <w:rsid w:val="001D7302"/>
    <w:rsid w:val="001D76ED"/>
    <w:rsid w:val="001D7DCB"/>
    <w:rsid w:val="001D7E88"/>
    <w:rsid w:val="001E02FE"/>
    <w:rsid w:val="001E0573"/>
    <w:rsid w:val="001E0672"/>
    <w:rsid w:val="001E0852"/>
    <w:rsid w:val="001E118D"/>
    <w:rsid w:val="001E201F"/>
    <w:rsid w:val="001E22E3"/>
    <w:rsid w:val="001E241A"/>
    <w:rsid w:val="001E2AC7"/>
    <w:rsid w:val="001E2D69"/>
    <w:rsid w:val="001E324D"/>
    <w:rsid w:val="001E32DC"/>
    <w:rsid w:val="001E355E"/>
    <w:rsid w:val="001E3956"/>
    <w:rsid w:val="001E3E42"/>
    <w:rsid w:val="001E3E6D"/>
    <w:rsid w:val="001E3F73"/>
    <w:rsid w:val="001E4EBC"/>
    <w:rsid w:val="001E557B"/>
    <w:rsid w:val="001E576C"/>
    <w:rsid w:val="001E5EB2"/>
    <w:rsid w:val="001E6903"/>
    <w:rsid w:val="001E6BC6"/>
    <w:rsid w:val="001E6C9E"/>
    <w:rsid w:val="001E71D8"/>
    <w:rsid w:val="001E7267"/>
    <w:rsid w:val="001E749C"/>
    <w:rsid w:val="001F0048"/>
    <w:rsid w:val="001F01EF"/>
    <w:rsid w:val="001F02EF"/>
    <w:rsid w:val="001F0320"/>
    <w:rsid w:val="001F06A8"/>
    <w:rsid w:val="001F08B8"/>
    <w:rsid w:val="001F0C5B"/>
    <w:rsid w:val="001F0DB8"/>
    <w:rsid w:val="001F10C4"/>
    <w:rsid w:val="001F111C"/>
    <w:rsid w:val="001F1912"/>
    <w:rsid w:val="001F19DE"/>
    <w:rsid w:val="001F1C5A"/>
    <w:rsid w:val="001F1CA9"/>
    <w:rsid w:val="001F1FFD"/>
    <w:rsid w:val="001F2578"/>
    <w:rsid w:val="001F29C8"/>
    <w:rsid w:val="001F2F41"/>
    <w:rsid w:val="001F3926"/>
    <w:rsid w:val="001F3B73"/>
    <w:rsid w:val="001F4013"/>
    <w:rsid w:val="001F4101"/>
    <w:rsid w:val="001F4133"/>
    <w:rsid w:val="001F42AC"/>
    <w:rsid w:val="001F4B4B"/>
    <w:rsid w:val="001F5D0D"/>
    <w:rsid w:val="001F61C3"/>
    <w:rsid w:val="001F6540"/>
    <w:rsid w:val="001F69A8"/>
    <w:rsid w:val="001F71DF"/>
    <w:rsid w:val="001F72BB"/>
    <w:rsid w:val="001F79A0"/>
    <w:rsid w:val="001F7BE1"/>
    <w:rsid w:val="001F7FD7"/>
    <w:rsid w:val="002004D9"/>
    <w:rsid w:val="00200565"/>
    <w:rsid w:val="00200EBE"/>
    <w:rsid w:val="002016E9"/>
    <w:rsid w:val="002017ED"/>
    <w:rsid w:val="00201E31"/>
    <w:rsid w:val="002022D9"/>
    <w:rsid w:val="0020288F"/>
    <w:rsid w:val="0020336B"/>
    <w:rsid w:val="00203711"/>
    <w:rsid w:val="00203A6B"/>
    <w:rsid w:val="00203D03"/>
    <w:rsid w:val="00203E06"/>
    <w:rsid w:val="00203E26"/>
    <w:rsid w:val="0020466B"/>
    <w:rsid w:val="0020493D"/>
    <w:rsid w:val="00204EC5"/>
    <w:rsid w:val="00205125"/>
    <w:rsid w:val="00205292"/>
    <w:rsid w:val="00205917"/>
    <w:rsid w:val="00205D50"/>
    <w:rsid w:val="00206558"/>
    <w:rsid w:val="002065CA"/>
    <w:rsid w:val="00206A93"/>
    <w:rsid w:val="002073D6"/>
    <w:rsid w:val="00207E19"/>
    <w:rsid w:val="00207FA7"/>
    <w:rsid w:val="002101F4"/>
    <w:rsid w:val="00210ADF"/>
    <w:rsid w:val="00210F2E"/>
    <w:rsid w:val="0021123A"/>
    <w:rsid w:val="002119F8"/>
    <w:rsid w:val="00212296"/>
    <w:rsid w:val="002123EE"/>
    <w:rsid w:val="00212D84"/>
    <w:rsid w:val="00212D8B"/>
    <w:rsid w:val="00213046"/>
    <w:rsid w:val="0021316D"/>
    <w:rsid w:val="002132C3"/>
    <w:rsid w:val="00213892"/>
    <w:rsid w:val="00213B63"/>
    <w:rsid w:val="00213BB4"/>
    <w:rsid w:val="0021465C"/>
    <w:rsid w:val="0021484B"/>
    <w:rsid w:val="00214F69"/>
    <w:rsid w:val="002152A4"/>
    <w:rsid w:val="00215525"/>
    <w:rsid w:val="00215CAC"/>
    <w:rsid w:val="00215CDC"/>
    <w:rsid w:val="0021618E"/>
    <w:rsid w:val="002163CC"/>
    <w:rsid w:val="00217091"/>
    <w:rsid w:val="002171CC"/>
    <w:rsid w:val="00217287"/>
    <w:rsid w:val="00217396"/>
    <w:rsid w:val="00217B2A"/>
    <w:rsid w:val="00217CBE"/>
    <w:rsid w:val="00217D42"/>
    <w:rsid w:val="00217E50"/>
    <w:rsid w:val="00217EB1"/>
    <w:rsid w:val="00220422"/>
    <w:rsid w:val="002205CE"/>
    <w:rsid w:val="00220ACD"/>
    <w:rsid w:val="00220DDC"/>
    <w:rsid w:val="00221172"/>
    <w:rsid w:val="002211F3"/>
    <w:rsid w:val="002215C9"/>
    <w:rsid w:val="00221660"/>
    <w:rsid w:val="002218E1"/>
    <w:rsid w:val="00221AE6"/>
    <w:rsid w:val="00221C18"/>
    <w:rsid w:val="0022218D"/>
    <w:rsid w:val="00222A6C"/>
    <w:rsid w:val="00223739"/>
    <w:rsid w:val="00223959"/>
    <w:rsid w:val="00223ECB"/>
    <w:rsid w:val="00224038"/>
    <w:rsid w:val="00224193"/>
    <w:rsid w:val="002245AF"/>
    <w:rsid w:val="0022480D"/>
    <w:rsid w:val="00224B95"/>
    <w:rsid w:val="00224CC6"/>
    <w:rsid w:val="002255BF"/>
    <w:rsid w:val="00225F5A"/>
    <w:rsid w:val="0022609C"/>
    <w:rsid w:val="00226674"/>
    <w:rsid w:val="00226C5D"/>
    <w:rsid w:val="00226C61"/>
    <w:rsid w:val="00226CE2"/>
    <w:rsid w:val="00226D9C"/>
    <w:rsid w:val="00227574"/>
    <w:rsid w:val="0022765D"/>
    <w:rsid w:val="002309F9"/>
    <w:rsid w:val="00230AAA"/>
    <w:rsid w:val="00230B3A"/>
    <w:rsid w:val="00231430"/>
    <w:rsid w:val="0023168A"/>
    <w:rsid w:val="0023233E"/>
    <w:rsid w:val="00232F98"/>
    <w:rsid w:val="002332CA"/>
    <w:rsid w:val="00233438"/>
    <w:rsid w:val="002336BA"/>
    <w:rsid w:val="00233D61"/>
    <w:rsid w:val="002344E2"/>
    <w:rsid w:val="002346CC"/>
    <w:rsid w:val="00234BD6"/>
    <w:rsid w:val="00234DFD"/>
    <w:rsid w:val="00234E83"/>
    <w:rsid w:val="0023527A"/>
    <w:rsid w:val="00236105"/>
    <w:rsid w:val="00236108"/>
    <w:rsid w:val="0023641C"/>
    <w:rsid w:val="00236B3A"/>
    <w:rsid w:val="00236BEF"/>
    <w:rsid w:val="002372F6"/>
    <w:rsid w:val="002406B6"/>
    <w:rsid w:val="002407F8"/>
    <w:rsid w:val="00240B3E"/>
    <w:rsid w:val="00240C06"/>
    <w:rsid w:val="00240F17"/>
    <w:rsid w:val="00241875"/>
    <w:rsid w:val="00241BB6"/>
    <w:rsid w:val="00241D2F"/>
    <w:rsid w:val="0024220A"/>
    <w:rsid w:val="00243862"/>
    <w:rsid w:val="00243D06"/>
    <w:rsid w:val="00243DB3"/>
    <w:rsid w:val="00244042"/>
    <w:rsid w:val="00244271"/>
    <w:rsid w:val="00244889"/>
    <w:rsid w:val="0024494E"/>
    <w:rsid w:val="00244A6E"/>
    <w:rsid w:val="00244B6A"/>
    <w:rsid w:val="00244E66"/>
    <w:rsid w:val="0024531C"/>
    <w:rsid w:val="00246155"/>
    <w:rsid w:val="00246B7C"/>
    <w:rsid w:val="00246CBB"/>
    <w:rsid w:val="0024717C"/>
    <w:rsid w:val="0024723F"/>
    <w:rsid w:val="00247856"/>
    <w:rsid w:val="00247E01"/>
    <w:rsid w:val="002502AC"/>
    <w:rsid w:val="00250AE9"/>
    <w:rsid w:val="00250B0F"/>
    <w:rsid w:val="00250D60"/>
    <w:rsid w:val="00251100"/>
    <w:rsid w:val="0025117C"/>
    <w:rsid w:val="00251773"/>
    <w:rsid w:val="0025195A"/>
    <w:rsid w:val="002519CC"/>
    <w:rsid w:val="002519F2"/>
    <w:rsid w:val="00251D27"/>
    <w:rsid w:val="00252634"/>
    <w:rsid w:val="00252716"/>
    <w:rsid w:val="0025278C"/>
    <w:rsid w:val="0025342A"/>
    <w:rsid w:val="00253ABF"/>
    <w:rsid w:val="00253AEF"/>
    <w:rsid w:val="00253CF3"/>
    <w:rsid w:val="00254A52"/>
    <w:rsid w:val="00254AB0"/>
    <w:rsid w:val="00254CE0"/>
    <w:rsid w:val="00255092"/>
    <w:rsid w:val="0025526E"/>
    <w:rsid w:val="00255748"/>
    <w:rsid w:val="002558DA"/>
    <w:rsid w:val="00255938"/>
    <w:rsid w:val="00255B69"/>
    <w:rsid w:val="002564FF"/>
    <w:rsid w:val="00256761"/>
    <w:rsid w:val="00256A53"/>
    <w:rsid w:val="002578E5"/>
    <w:rsid w:val="002579EB"/>
    <w:rsid w:val="00257A83"/>
    <w:rsid w:val="00257C4F"/>
    <w:rsid w:val="002603FC"/>
    <w:rsid w:val="0026090B"/>
    <w:rsid w:val="00260B67"/>
    <w:rsid w:val="00260DB1"/>
    <w:rsid w:val="00260EA0"/>
    <w:rsid w:val="00260F4A"/>
    <w:rsid w:val="00260FEB"/>
    <w:rsid w:val="002611BE"/>
    <w:rsid w:val="0026139A"/>
    <w:rsid w:val="00261CF5"/>
    <w:rsid w:val="00262B95"/>
    <w:rsid w:val="00262CF3"/>
    <w:rsid w:val="002633A3"/>
    <w:rsid w:val="002637A9"/>
    <w:rsid w:val="00263832"/>
    <w:rsid w:val="00263930"/>
    <w:rsid w:val="00263C8A"/>
    <w:rsid w:val="00263E38"/>
    <w:rsid w:val="00263F8B"/>
    <w:rsid w:val="002649D2"/>
    <w:rsid w:val="00264A5E"/>
    <w:rsid w:val="00264AF8"/>
    <w:rsid w:val="00265731"/>
    <w:rsid w:val="002657BD"/>
    <w:rsid w:val="00265C44"/>
    <w:rsid w:val="002664E8"/>
    <w:rsid w:val="0026650E"/>
    <w:rsid w:val="002669A1"/>
    <w:rsid w:val="00266D56"/>
    <w:rsid w:val="00266DAD"/>
    <w:rsid w:val="00266EB1"/>
    <w:rsid w:val="002670A4"/>
    <w:rsid w:val="00267298"/>
    <w:rsid w:val="002672A1"/>
    <w:rsid w:val="0026743F"/>
    <w:rsid w:val="002674CB"/>
    <w:rsid w:val="00267ABD"/>
    <w:rsid w:val="00267B4F"/>
    <w:rsid w:val="00267F8B"/>
    <w:rsid w:val="002701CA"/>
    <w:rsid w:val="0027022F"/>
    <w:rsid w:val="00270305"/>
    <w:rsid w:val="002704A9"/>
    <w:rsid w:val="0027067D"/>
    <w:rsid w:val="002708A8"/>
    <w:rsid w:val="002709F8"/>
    <w:rsid w:val="00270A5C"/>
    <w:rsid w:val="00270C56"/>
    <w:rsid w:val="00270DA6"/>
    <w:rsid w:val="00271054"/>
    <w:rsid w:val="002716A7"/>
    <w:rsid w:val="00271B4E"/>
    <w:rsid w:val="00272565"/>
    <w:rsid w:val="002727F9"/>
    <w:rsid w:val="00272B00"/>
    <w:rsid w:val="00272BDE"/>
    <w:rsid w:val="0027335A"/>
    <w:rsid w:val="00273B6E"/>
    <w:rsid w:val="00274538"/>
    <w:rsid w:val="0027459E"/>
    <w:rsid w:val="0027482E"/>
    <w:rsid w:val="00274B96"/>
    <w:rsid w:val="00274FD2"/>
    <w:rsid w:val="00275010"/>
    <w:rsid w:val="002751E7"/>
    <w:rsid w:val="002757DF"/>
    <w:rsid w:val="00275A0A"/>
    <w:rsid w:val="00275A32"/>
    <w:rsid w:val="0027627F"/>
    <w:rsid w:val="00276840"/>
    <w:rsid w:val="00276995"/>
    <w:rsid w:val="00276C72"/>
    <w:rsid w:val="00276FFC"/>
    <w:rsid w:val="00277256"/>
    <w:rsid w:val="00277852"/>
    <w:rsid w:val="00277905"/>
    <w:rsid w:val="0028036F"/>
    <w:rsid w:val="002805A1"/>
    <w:rsid w:val="00281713"/>
    <w:rsid w:val="00281DDE"/>
    <w:rsid w:val="002820EA"/>
    <w:rsid w:val="00282790"/>
    <w:rsid w:val="00282AE6"/>
    <w:rsid w:val="0028313A"/>
    <w:rsid w:val="002832BB"/>
    <w:rsid w:val="00283357"/>
    <w:rsid w:val="002837C3"/>
    <w:rsid w:val="00284345"/>
    <w:rsid w:val="00284490"/>
    <w:rsid w:val="00284C08"/>
    <w:rsid w:val="00285465"/>
    <w:rsid w:val="00285639"/>
    <w:rsid w:val="00285913"/>
    <w:rsid w:val="00285B4D"/>
    <w:rsid w:val="002861AC"/>
    <w:rsid w:val="00286D5A"/>
    <w:rsid w:val="00286FA5"/>
    <w:rsid w:val="00287434"/>
    <w:rsid w:val="002874BC"/>
    <w:rsid w:val="00287963"/>
    <w:rsid w:val="00287BA2"/>
    <w:rsid w:val="002903E1"/>
    <w:rsid w:val="0029046A"/>
    <w:rsid w:val="00290944"/>
    <w:rsid w:val="00290A35"/>
    <w:rsid w:val="00290A8F"/>
    <w:rsid w:val="00290B23"/>
    <w:rsid w:val="002911DF"/>
    <w:rsid w:val="00291532"/>
    <w:rsid w:val="00291AB1"/>
    <w:rsid w:val="0029210C"/>
    <w:rsid w:val="0029218F"/>
    <w:rsid w:val="00292B8E"/>
    <w:rsid w:val="00292C55"/>
    <w:rsid w:val="00292D51"/>
    <w:rsid w:val="00292F5A"/>
    <w:rsid w:val="00292F75"/>
    <w:rsid w:val="00293082"/>
    <w:rsid w:val="002930BD"/>
    <w:rsid w:val="00293162"/>
    <w:rsid w:val="00293322"/>
    <w:rsid w:val="00293565"/>
    <w:rsid w:val="00294249"/>
    <w:rsid w:val="00294352"/>
    <w:rsid w:val="002946BF"/>
    <w:rsid w:val="00294730"/>
    <w:rsid w:val="00294764"/>
    <w:rsid w:val="00294BAA"/>
    <w:rsid w:val="00294D82"/>
    <w:rsid w:val="00294E1D"/>
    <w:rsid w:val="00294E8D"/>
    <w:rsid w:val="00294F81"/>
    <w:rsid w:val="00295BEC"/>
    <w:rsid w:val="00295C7A"/>
    <w:rsid w:val="00295CC8"/>
    <w:rsid w:val="0029631A"/>
    <w:rsid w:val="00296367"/>
    <w:rsid w:val="0029638E"/>
    <w:rsid w:val="00296B9C"/>
    <w:rsid w:val="00296C90"/>
    <w:rsid w:val="00297049"/>
    <w:rsid w:val="002971FF"/>
    <w:rsid w:val="002979B8"/>
    <w:rsid w:val="00297ADE"/>
    <w:rsid w:val="00297FAF"/>
    <w:rsid w:val="002A0501"/>
    <w:rsid w:val="002A08EF"/>
    <w:rsid w:val="002A0D00"/>
    <w:rsid w:val="002A0E36"/>
    <w:rsid w:val="002A0EBB"/>
    <w:rsid w:val="002A0EF2"/>
    <w:rsid w:val="002A142F"/>
    <w:rsid w:val="002A1B7E"/>
    <w:rsid w:val="002A1BD3"/>
    <w:rsid w:val="002A1D24"/>
    <w:rsid w:val="002A2389"/>
    <w:rsid w:val="002A2648"/>
    <w:rsid w:val="002A2821"/>
    <w:rsid w:val="002A309C"/>
    <w:rsid w:val="002A30F6"/>
    <w:rsid w:val="002A3520"/>
    <w:rsid w:val="002A3A27"/>
    <w:rsid w:val="002A3E00"/>
    <w:rsid w:val="002A3E93"/>
    <w:rsid w:val="002A42B0"/>
    <w:rsid w:val="002A432E"/>
    <w:rsid w:val="002A49C6"/>
    <w:rsid w:val="002A56F4"/>
    <w:rsid w:val="002A5B29"/>
    <w:rsid w:val="002A6169"/>
    <w:rsid w:val="002A65E7"/>
    <w:rsid w:val="002A6B79"/>
    <w:rsid w:val="002A6F8E"/>
    <w:rsid w:val="002A6FEB"/>
    <w:rsid w:val="002A790C"/>
    <w:rsid w:val="002A7FA6"/>
    <w:rsid w:val="002B0091"/>
    <w:rsid w:val="002B018E"/>
    <w:rsid w:val="002B0198"/>
    <w:rsid w:val="002B0209"/>
    <w:rsid w:val="002B03B9"/>
    <w:rsid w:val="002B064C"/>
    <w:rsid w:val="002B10AF"/>
    <w:rsid w:val="002B1630"/>
    <w:rsid w:val="002B17E1"/>
    <w:rsid w:val="002B1F04"/>
    <w:rsid w:val="002B219B"/>
    <w:rsid w:val="002B256B"/>
    <w:rsid w:val="002B27CF"/>
    <w:rsid w:val="002B2BA1"/>
    <w:rsid w:val="002B2EB7"/>
    <w:rsid w:val="002B3448"/>
    <w:rsid w:val="002B35F1"/>
    <w:rsid w:val="002B3D6D"/>
    <w:rsid w:val="002B3F28"/>
    <w:rsid w:val="002B45B6"/>
    <w:rsid w:val="002B4ACB"/>
    <w:rsid w:val="002B4CA3"/>
    <w:rsid w:val="002B4E70"/>
    <w:rsid w:val="002B5151"/>
    <w:rsid w:val="002B59E0"/>
    <w:rsid w:val="002B5F5A"/>
    <w:rsid w:val="002B5FBF"/>
    <w:rsid w:val="002B64DD"/>
    <w:rsid w:val="002B651B"/>
    <w:rsid w:val="002B6B89"/>
    <w:rsid w:val="002B6D9C"/>
    <w:rsid w:val="002B6F5B"/>
    <w:rsid w:val="002B72F4"/>
    <w:rsid w:val="002B74C0"/>
    <w:rsid w:val="002C07CA"/>
    <w:rsid w:val="002C08F1"/>
    <w:rsid w:val="002C0A07"/>
    <w:rsid w:val="002C0CC0"/>
    <w:rsid w:val="002C1027"/>
    <w:rsid w:val="002C1653"/>
    <w:rsid w:val="002C16AF"/>
    <w:rsid w:val="002C17F0"/>
    <w:rsid w:val="002C1DD0"/>
    <w:rsid w:val="002C2109"/>
    <w:rsid w:val="002C2119"/>
    <w:rsid w:val="002C238C"/>
    <w:rsid w:val="002C2941"/>
    <w:rsid w:val="002C3965"/>
    <w:rsid w:val="002C3D4C"/>
    <w:rsid w:val="002C3FE8"/>
    <w:rsid w:val="002C4ABC"/>
    <w:rsid w:val="002C55E6"/>
    <w:rsid w:val="002C5BC8"/>
    <w:rsid w:val="002C6107"/>
    <w:rsid w:val="002C703F"/>
    <w:rsid w:val="002C72A7"/>
    <w:rsid w:val="002C75E0"/>
    <w:rsid w:val="002D03FE"/>
    <w:rsid w:val="002D08A2"/>
    <w:rsid w:val="002D0C61"/>
    <w:rsid w:val="002D0C96"/>
    <w:rsid w:val="002D146A"/>
    <w:rsid w:val="002D1547"/>
    <w:rsid w:val="002D156F"/>
    <w:rsid w:val="002D17EC"/>
    <w:rsid w:val="002D1902"/>
    <w:rsid w:val="002D1D60"/>
    <w:rsid w:val="002D1EE4"/>
    <w:rsid w:val="002D230E"/>
    <w:rsid w:val="002D2863"/>
    <w:rsid w:val="002D2A45"/>
    <w:rsid w:val="002D2B68"/>
    <w:rsid w:val="002D3135"/>
    <w:rsid w:val="002D3147"/>
    <w:rsid w:val="002D327B"/>
    <w:rsid w:val="002D33B4"/>
    <w:rsid w:val="002D34C7"/>
    <w:rsid w:val="002D351E"/>
    <w:rsid w:val="002D3AA5"/>
    <w:rsid w:val="002D3F3A"/>
    <w:rsid w:val="002D41DE"/>
    <w:rsid w:val="002D4420"/>
    <w:rsid w:val="002D488F"/>
    <w:rsid w:val="002D4A18"/>
    <w:rsid w:val="002D4ACD"/>
    <w:rsid w:val="002D4E87"/>
    <w:rsid w:val="002D4EA6"/>
    <w:rsid w:val="002D52CF"/>
    <w:rsid w:val="002D546B"/>
    <w:rsid w:val="002D54C0"/>
    <w:rsid w:val="002D5B06"/>
    <w:rsid w:val="002D5C79"/>
    <w:rsid w:val="002D5EFE"/>
    <w:rsid w:val="002D6133"/>
    <w:rsid w:val="002D648A"/>
    <w:rsid w:val="002D66CA"/>
    <w:rsid w:val="002D6A5E"/>
    <w:rsid w:val="002D6ACB"/>
    <w:rsid w:val="002D6CD1"/>
    <w:rsid w:val="002D6E55"/>
    <w:rsid w:val="002D77EC"/>
    <w:rsid w:val="002E0314"/>
    <w:rsid w:val="002E0940"/>
    <w:rsid w:val="002E0F1F"/>
    <w:rsid w:val="002E0F24"/>
    <w:rsid w:val="002E0FBA"/>
    <w:rsid w:val="002E0FF4"/>
    <w:rsid w:val="002E10F9"/>
    <w:rsid w:val="002E12CA"/>
    <w:rsid w:val="002E16B8"/>
    <w:rsid w:val="002E17B0"/>
    <w:rsid w:val="002E1A4B"/>
    <w:rsid w:val="002E1A4C"/>
    <w:rsid w:val="002E1E55"/>
    <w:rsid w:val="002E21BB"/>
    <w:rsid w:val="002E2802"/>
    <w:rsid w:val="002E2CB2"/>
    <w:rsid w:val="002E2E8E"/>
    <w:rsid w:val="002E2F27"/>
    <w:rsid w:val="002E30A8"/>
    <w:rsid w:val="002E315E"/>
    <w:rsid w:val="002E3320"/>
    <w:rsid w:val="002E332F"/>
    <w:rsid w:val="002E36D5"/>
    <w:rsid w:val="002E3929"/>
    <w:rsid w:val="002E3A37"/>
    <w:rsid w:val="002E3D24"/>
    <w:rsid w:val="002E3D97"/>
    <w:rsid w:val="002E4092"/>
    <w:rsid w:val="002E4388"/>
    <w:rsid w:val="002E4FEB"/>
    <w:rsid w:val="002E5027"/>
    <w:rsid w:val="002E5933"/>
    <w:rsid w:val="002E5BAE"/>
    <w:rsid w:val="002E63EA"/>
    <w:rsid w:val="002E677D"/>
    <w:rsid w:val="002E6976"/>
    <w:rsid w:val="002E6A0F"/>
    <w:rsid w:val="002E7469"/>
    <w:rsid w:val="002E7E5C"/>
    <w:rsid w:val="002F07F5"/>
    <w:rsid w:val="002F0B55"/>
    <w:rsid w:val="002F0BE6"/>
    <w:rsid w:val="002F1316"/>
    <w:rsid w:val="002F13BF"/>
    <w:rsid w:val="002F178A"/>
    <w:rsid w:val="002F20F8"/>
    <w:rsid w:val="002F234A"/>
    <w:rsid w:val="002F2808"/>
    <w:rsid w:val="002F2C23"/>
    <w:rsid w:val="002F302F"/>
    <w:rsid w:val="002F3397"/>
    <w:rsid w:val="002F34DA"/>
    <w:rsid w:val="002F3779"/>
    <w:rsid w:val="002F3D28"/>
    <w:rsid w:val="002F42D2"/>
    <w:rsid w:val="002F4A74"/>
    <w:rsid w:val="002F4D46"/>
    <w:rsid w:val="002F5C89"/>
    <w:rsid w:val="002F6848"/>
    <w:rsid w:val="002F6CB7"/>
    <w:rsid w:val="002F6EFB"/>
    <w:rsid w:val="002F75E7"/>
    <w:rsid w:val="002F7955"/>
    <w:rsid w:val="002F7ACA"/>
    <w:rsid w:val="003000EE"/>
    <w:rsid w:val="00300AA9"/>
    <w:rsid w:val="00300ABF"/>
    <w:rsid w:val="00300D25"/>
    <w:rsid w:val="00301154"/>
    <w:rsid w:val="0030142C"/>
    <w:rsid w:val="00301B6B"/>
    <w:rsid w:val="00301F9C"/>
    <w:rsid w:val="00302890"/>
    <w:rsid w:val="00302DD1"/>
    <w:rsid w:val="00302F50"/>
    <w:rsid w:val="00302F9F"/>
    <w:rsid w:val="00303020"/>
    <w:rsid w:val="003030DA"/>
    <w:rsid w:val="003031C3"/>
    <w:rsid w:val="003032BD"/>
    <w:rsid w:val="0030333A"/>
    <w:rsid w:val="0030373D"/>
    <w:rsid w:val="00303D70"/>
    <w:rsid w:val="00304245"/>
    <w:rsid w:val="003045FD"/>
    <w:rsid w:val="00304678"/>
    <w:rsid w:val="003047DC"/>
    <w:rsid w:val="00304830"/>
    <w:rsid w:val="00304D4E"/>
    <w:rsid w:val="00304D7F"/>
    <w:rsid w:val="00304DD9"/>
    <w:rsid w:val="0030530E"/>
    <w:rsid w:val="00305A8E"/>
    <w:rsid w:val="00307145"/>
    <w:rsid w:val="00307ABF"/>
    <w:rsid w:val="00307AD3"/>
    <w:rsid w:val="00307AFC"/>
    <w:rsid w:val="00310A5A"/>
    <w:rsid w:val="00310CC0"/>
    <w:rsid w:val="00311418"/>
    <w:rsid w:val="00311443"/>
    <w:rsid w:val="00311856"/>
    <w:rsid w:val="00311A7C"/>
    <w:rsid w:val="00311B4F"/>
    <w:rsid w:val="00311CC0"/>
    <w:rsid w:val="00311D31"/>
    <w:rsid w:val="00311DDE"/>
    <w:rsid w:val="00311F74"/>
    <w:rsid w:val="00312C16"/>
    <w:rsid w:val="00313215"/>
    <w:rsid w:val="0031328A"/>
    <w:rsid w:val="00313378"/>
    <w:rsid w:val="00313DF1"/>
    <w:rsid w:val="00314032"/>
    <w:rsid w:val="003142F3"/>
    <w:rsid w:val="003148B6"/>
    <w:rsid w:val="00314904"/>
    <w:rsid w:val="00314907"/>
    <w:rsid w:val="00314AB9"/>
    <w:rsid w:val="0031516F"/>
    <w:rsid w:val="0031595D"/>
    <w:rsid w:val="00315A9B"/>
    <w:rsid w:val="00315F09"/>
    <w:rsid w:val="00316036"/>
    <w:rsid w:val="00316A68"/>
    <w:rsid w:val="0031709F"/>
    <w:rsid w:val="00317659"/>
    <w:rsid w:val="00317791"/>
    <w:rsid w:val="003178C8"/>
    <w:rsid w:val="00317C34"/>
    <w:rsid w:val="00317CC1"/>
    <w:rsid w:val="00317E2D"/>
    <w:rsid w:val="00320159"/>
    <w:rsid w:val="00320727"/>
    <w:rsid w:val="0032092A"/>
    <w:rsid w:val="00320C62"/>
    <w:rsid w:val="00321B0A"/>
    <w:rsid w:val="0032214E"/>
    <w:rsid w:val="003224B1"/>
    <w:rsid w:val="00322DDF"/>
    <w:rsid w:val="00322F39"/>
    <w:rsid w:val="00323652"/>
    <w:rsid w:val="00323AA1"/>
    <w:rsid w:val="00323B4E"/>
    <w:rsid w:val="00323E09"/>
    <w:rsid w:val="00325E53"/>
    <w:rsid w:val="00326719"/>
    <w:rsid w:val="003267F1"/>
    <w:rsid w:val="00326A91"/>
    <w:rsid w:val="0032713A"/>
    <w:rsid w:val="00327151"/>
    <w:rsid w:val="00327153"/>
    <w:rsid w:val="0032732C"/>
    <w:rsid w:val="0032751C"/>
    <w:rsid w:val="0032771C"/>
    <w:rsid w:val="00327CDF"/>
    <w:rsid w:val="00327EDB"/>
    <w:rsid w:val="00330192"/>
    <w:rsid w:val="003306C9"/>
    <w:rsid w:val="003318E4"/>
    <w:rsid w:val="00331E42"/>
    <w:rsid w:val="00332155"/>
    <w:rsid w:val="003321F8"/>
    <w:rsid w:val="0033243C"/>
    <w:rsid w:val="003325BB"/>
    <w:rsid w:val="003327E2"/>
    <w:rsid w:val="00332836"/>
    <w:rsid w:val="003328CC"/>
    <w:rsid w:val="00332B37"/>
    <w:rsid w:val="0033343E"/>
    <w:rsid w:val="00333831"/>
    <w:rsid w:val="0033388C"/>
    <w:rsid w:val="0033391B"/>
    <w:rsid w:val="00333E9A"/>
    <w:rsid w:val="00334319"/>
    <w:rsid w:val="00334390"/>
    <w:rsid w:val="003343D7"/>
    <w:rsid w:val="00334D55"/>
    <w:rsid w:val="00334F21"/>
    <w:rsid w:val="003356B3"/>
    <w:rsid w:val="0033580A"/>
    <w:rsid w:val="00335952"/>
    <w:rsid w:val="00335980"/>
    <w:rsid w:val="00335B97"/>
    <w:rsid w:val="00336652"/>
    <w:rsid w:val="00336A44"/>
    <w:rsid w:val="00336C0F"/>
    <w:rsid w:val="0033727E"/>
    <w:rsid w:val="00337399"/>
    <w:rsid w:val="003378A7"/>
    <w:rsid w:val="00337E24"/>
    <w:rsid w:val="00337E87"/>
    <w:rsid w:val="0034003F"/>
    <w:rsid w:val="00340648"/>
    <w:rsid w:val="003407F5"/>
    <w:rsid w:val="00340D59"/>
    <w:rsid w:val="0034148F"/>
    <w:rsid w:val="00341B5C"/>
    <w:rsid w:val="0034269C"/>
    <w:rsid w:val="00342DEC"/>
    <w:rsid w:val="00342EB2"/>
    <w:rsid w:val="00343302"/>
    <w:rsid w:val="003433C0"/>
    <w:rsid w:val="003434AA"/>
    <w:rsid w:val="0034367F"/>
    <w:rsid w:val="00344143"/>
    <w:rsid w:val="0034422F"/>
    <w:rsid w:val="00344A98"/>
    <w:rsid w:val="00344DE9"/>
    <w:rsid w:val="00344FB3"/>
    <w:rsid w:val="00345133"/>
    <w:rsid w:val="00345501"/>
    <w:rsid w:val="0034559A"/>
    <w:rsid w:val="003455FD"/>
    <w:rsid w:val="0034566D"/>
    <w:rsid w:val="00345736"/>
    <w:rsid w:val="00345A48"/>
    <w:rsid w:val="00345EAE"/>
    <w:rsid w:val="00346258"/>
    <w:rsid w:val="003469A2"/>
    <w:rsid w:val="00346BC4"/>
    <w:rsid w:val="00346BD2"/>
    <w:rsid w:val="0034763C"/>
    <w:rsid w:val="003476B8"/>
    <w:rsid w:val="003479D1"/>
    <w:rsid w:val="00347E5A"/>
    <w:rsid w:val="00350192"/>
    <w:rsid w:val="00350713"/>
    <w:rsid w:val="00350735"/>
    <w:rsid w:val="00350C60"/>
    <w:rsid w:val="00350CEF"/>
    <w:rsid w:val="00351CB9"/>
    <w:rsid w:val="00352297"/>
    <w:rsid w:val="003525CA"/>
    <w:rsid w:val="00352B54"/>
    <w:rsid w:val="00352EA5"/>
    <w:rsid w:val="00353185"/>
    <w:rsid w:val="003533C6"/>
    <w:rsid w:val="003537BD"/>
    <w:rsid w:val="00353928"/>
    <w:rsid w:val="00353E17"/>
    <w:rsid w:val="003541E2"/>
    <w:rsid w:val="003543A8"/>
    <w:rsid w:val="00354460"/>
    <w:rsid w:val="00354701"/>
    <w:rsid w:val="00354C92"/>
    <w:rsid w:val="00354FD2"/>
    <w:rsid w:val="00355B40"/>
    <w:rsid w:val="00356B58"/>
    <w:rsid w:val="0035722A"/>
    <w:rsid w:val="0035723B"/>
    <w:rsid w:val="00357461"/>
    <w:rsid w:val="00357647"/>
    <w:rsid w:val="00357BD2"/>
    <w:rsid w:val="00357C8A"/>
    <w:rsid w:val="003608CB"/>
    <w:rsid w:val="00360AA7"/>
    <w:rsid w:val="00360AEE"/>
    <w:rsid w:val="00360DD7"/>
    <w:rsid w:val="00361315"/>
    <w:rsid w:val="00361524"/>
    <w:rsid w:val="003617EB"/>
    <w:rsid w:val="00361986"/>
    <w:rsid w:val="00361A35"/>
    <w:rsid w:val="003624D1"/>
    <w:rsid w:val="0036289C"/>
    <w:rsid w:val="00362A06"/>
    <w:rsid w:val="00363E5E"/>
    <w:rsid w:val="00364373"/>
    <w:rsid w:val="00364704"/>
    <w:rsid w:val="0036486F"/>
    <w:rsid w:val="003649EB"/>
    <w:rsid w:val="00364A1B"/>
    <w:rsid w:val="00364A31"/>
    <w:rsid w:val="00364A6A"/>
    <w:rsid w:val="00365109"/>
    <w:rsid w:val="003652B8"/>
    <w:rsid w:val="00365843"/>
    <w:rsid w:val="0036584E"/>
    <w:rsid w:val="00365E75"/>
    <w:rsid w:val="00365F7D"/>
    <w:rsid w:val="003665B7"/>
    <w:rsid w:val="003665EF"/>
    <w:rsid w:val="0036691F"/>
    <w:rsid w:val="00366B61"/>
    <w:rsid w:val="00366EC9"/>
    <w:rsid w:val="00367572"/>
    <w:rsid w:val="00367AE1"/>
    <w:rsid w:val="0037092B"/>
    <w:rsid w:val="00370E2E"/>
    <w:rsid w:val="0037104C"/>
    <w:rsid w:val="00371268"/>
    <w:rsid w:val="00371DBD"/>
    <w:rsid w:val="00371E54"/>
    <w:rsid w:val="00371EE1"/>
    <w:rsid w:val="00372680"/>
    <w:rsid w:val="0037285E"/>
    <w:rsid w:val="00372D98"/>
    <w:rsid w:val="00372E42"/>
    <w:rsid w:val="00372F02"/>
    <w:rsid w:val="00372F09"/>
    <w:rsid w:val="00372F90"/>
    <w:rsid w:val="0037317F"/>
    <w:rsid w:val="003732FA"/>
    <w:rsid w:val="00373830"/>
    <w:rsid w:val="003739AE"/>
    <w:rsid w:val="00373A95"/>
    <w:rsid w:val="00373C9B"/>
    <w:rsid w:val="00373E6E"/>
    <w:rsid w:val="00374353"/>
    <w:rsid w:val="00374796"/>
    <w:rsid w:val="003747DB"/>
    <w:rsid w:val="00374C0C"/>
    <w:rsid w:val="00374CC5"/>
    <w:rsid w:val="00374D85"/>
    <w:rsid w:val="00374DA1"/>
    <w:rsid w:val="003758D7"/>
    <w:rsid w:val="00375B30"/>
    <w:rsid w:val="0037665D"/>
    <w:rsid w:val="003766E4"/>
    <w:rsid w:val="00376CAE"/>
    <w:rsid w:val="00376EC0"/>
    <w:rsid w:val="0037720C"/>
    <w:rsid w:val="00377480"/>
    <w:rsid w:val="00377681"/>
    <w:rsid w:val="003777C4"/>
    <w:rsid w:val="00377DAE"/>
    <w:rsid w:val="0038028D"/>
    <w:rsid w:val="003804D0"/>
    <w:rsid w:val="0038055A"/>
    <w:rsid w:val="0038079F"/>
    <w:rsid w:val="00380832"/>
    <w:rsid w:val="00380C7E"/>
    <w:rsid w:val="0038121E"/>
    <w:rsid w:val="00381792"/>
    <w:rsid w:val="00381C4B"/>
    <w:rsid w:val="00381E46"/>
    <w:rsid w:val="00381F8E"/>
    <w:rsid w:val="00382411"/>
    <w:rsid w:val="00382780"/>
    <w:rsid w:val="00383904"/>
    <w:rsid w:val="00383C2B"/>
    <w:rsid w:val="00383E7E"/>
    <w:rsid w:val="0038471A"/>
    <w:rsid w:val="0038471D"/>
    <w:rsid w:val="00385007"/>
    <w:rsid w:val="00385190"/>
    <w:rsid w:val="00385338"/>
    <w:rsid w:val="00385972"/>
    <w:rsid w:val="00385E40"/>
    <w:rsid w:val="00386066"/>
    <w:rsid w:val="003865B0"/>
    <w:rsid w:val="003867C3"/>
    <w:rsid w:val="0038683E"/>
    <w:rsid w:val="003869D4"/>
    <w:rsid w:val="0038716F"/>
    <w:rsid w:val="00387B82"/>
    <w:rsid w:val="00390097"/>
    <w:rsid w:val="00390EDA"/>
    <w:rsid w:val="00390EF5"/>
    <w:rsid w:val="0039110E"/>
    <w:rsid w:val="00391507"/>
    <w:rsid w:val="00391601"/>
    <w:rsid w:val="00391878"/>
    <w:rsid w:val="00391909"/>
    <w:rsid w:val="00391B60"/>
    <w:rsid w:val="00391C70"/>
    <w:rsid w:val="00391EE5"/>
    <w:rsid w:val="00392346"/>
    <w:rsid w:val="00392A2D"/>
    <w:rsid w:val="00392BF1"/>
    <w:rsid w:val="00392F38"/>
    <w:rsid w:val="0039316D"/>
    <w:rsid w:val="0039320B"/>
    <w:rsid w:val="003932BB"/>
    <w:rsid w:val="003935C6"/>
    <w:rsid w:val="00393A73"/>
    <w:rsid w:val="00393B56"/>
    <w:rsid w:val="00393F7D"/>
    <w:rsid w:val="003943D4"/>
    <w:rsid w:val="00394459"/>
    <w:rsid w:val="0039468C"/>
    <w:rsid w:val="003946FE"/>
    <w:rsid w:val="00394850"/>
    <w:rsid w:val="0039498D"/>
    <w:rsid w:val="003952D0"/>
    <w:rsid w:val="00395888"/>
    <w:rsid w:val="00395D3F"/>
    <w:rsid w:val="003965A1"/>
    <w:rsid w:val="003965F9"/>
    <w:rsid w:val="00396CD2"/>
    <w:rsid w:val="00396DD8"/>
    <w:rsid w:val="00396ED5"/>
    <w:rsid w:val="00396FAD"/>
    <w:rsid w:val="00397566"/>
    <w:rsid w:val="00397FBC"/>
    <w:rsid w:val="003A0027"/>
    <w:rsid w:val="003A0378"/>
    <w:rsid w:val="003A070F"/>
    <w:rsid w:val="003A0A4E"/>
    <w:rsid w:val="003A0AB7"/>
    <w:rsid w:val="003A1310"/>
    <w:rsid w:val="003A1692"/>
    <w:rsid w:val="003A1C83"/>
    <w:rsid w:val="003A1DE0"/>
    <w:rsid w:val="003A1F27"/>
    <w:rsid w:val="003A1FAE"/>
    <w:rsid w:val="003A26AE"/>
    <w:rsid w:val="003A26CF"/>
    <w:rsid w:val="003A26D0"/>
    <w:rsid w:val="003A2B4E"/>
    <w:rsid w:val="003A2FA9"/>
    <w:rsid w:val="003A2FD5"/>
    <w:rsid w:val="003A36DB"/>
    <w:rsid w:val="003A4093"/>
    <w:rsid w:val="003A40F8"/>
    <w:rsid w:val="003A4291"/>
    <w:rsid w:val="003A4425"/>
    <w:rsid w:val="003A522E"/>
    <w:rsid w:val="003A5551"/>
    <w:rsid w:val="003A5781"/>
    <w:rsid w:val="003A5934"/>
    <w:rsid w:val="003A5D37"/>
    <w:rsid w:val="003A669F"/>
    <w:rsid w:val="003A6916"/>
    <w:rsid w:val="003B029F"/>
    <w:rsid w:val="003B0D6D"/>
    <w:rsid w:val="003B0EA7"/>
    <w:rsid w:val="003B1389"/>
    <w:rsid w:val="003B17C5"/>
    <w:rsid w:val="003B1C3E"/>
    <w:rsid w:val="003B227B"/>
    <w:rsid w:val="003B22C1"/>
    <w:rsid w:val="003B24E3"/>
    <w:rsid w:val="003B2641"/>
    <w:rsid w:val="003B274A"/>
    <w:rsid w:val="003B283B"/>
    <w:rsid w:val="003B2E76"/>
    <w:rsid w:val="003B374D"/>
    <w:rsid w:val="003B3A78"/>
    <w:rsid w:val="003B3D7A"/>
    <w:rsid w:val="003B449B"/>
    <w:rsid w:val="003B4587"/>
    <w:rsid w:val="003B4B04"/>
    <w:rsid w:val="003B4D08"/>
    <w:rsid w:val="003B4ECF"/>
    <w:rsid w:val="003B5A61"/>
    <w:rsid w:val="003B5F35"/>
    <w:rsid w:val="003B66AC"/>
    <w:rsid w:val="003B67ED"/>
    <w:rsid w:val="003B6A52"/>
    <w:rsid w:val="003B6DCC"/>
    <w:rsid w:val="003B6E80"/>
    <w:rsid w:val="003B71DA"/>
    <w:rsid w:val="003B748C"/>
    <w:rsid w:val="003B766D"/>
    <w:rsid w:val="003C0011"/>
    <w:rsid w:val="003C0054"/>
    <w:rsid w:val="003C0159"/>
    <w:rsid w:val="003C033D"/>
    <w:rsid w:val="003C0604"/>
    <w:rsid w:val="003C0936"/>
    <w:rsid w:val="003C0A11"/>
    <w:rsid w:val="003C0DD5"/>
    <w:rsid w:val="003C0DF4"/>
    <w:rsid w:val="003C0F68"/>
    <w:rsid w:val="003C10A8"/>
    <w:rsid w:val="003C135F"/>
    <w:rsid w:val="003C1A7E"/>
    <w:rsid w:val="003C20E1"/>
    <w:rsid w:val="003C21F6"/>
    <w:rsid w:val="003C2B67"/>
    <w:rsid w:val="003C2D6C"/>
    <w:rsid w:val="003C2E76"/>
    <w:rsid w:val="003C3A09"/>
    <w:rsid w:val="003C3BC5"/>
    <w:rsid w:val="003C5009"/>
    <w:rsid w:val="003C513F"/>
    <w:rsid w:val="003C56A1"/>
    <w:rsid w:val="003C599D"/>
    <w:rsid w:val="003C5A9D"/>
    <w:rsid w:val="003C5E1A"/>
    <w:rsid w:val="003C687F"/>
    <w:rsid w:val="003C69FD"/>
    <w:rsid w:val="003C6A3D"/>
    <w:rsid w:val="003C6A5B"/>
    <w:rsid w:val="003C6AE0"/>
    <w:rsid w:val="003C7885"/>
    <w:rsid w:val="003C7A87"/>
    <w:rsid w:val="003C7DAE"/>
    <w:rsid w:val="003D005C"/>
    <w:rsid w:val="003D0266"/>
    <w:rsid w:val="003D02D4"/>
    <w:rsid w:val="003D07E1"/>
    <w:rsid w:val="003D0871"/>
    <w:rsid w:val="003D0BAA"/>
    <w:rsid w:val="003D12E0"/>
    <w:rsid w:val="003D14FE"/>
    <w:rsid w:val="003D1FA5"/>
    <w:rsid w:val="003D20B1"/>
    <w:rsid w:val="003D2341"/>
    <w:rsid w:val="003D24B3"/>
    <w:rsid w:val="003D26D5"/>
    <w:rsid w:val="003D282B"/>
    <w:rsid w:val="003D3A6F"/>
    <w:rsid w:val="003D4238"/>
    <w:rsid w:val="003D4955"/>
    <w:rsid w:val="003D4B64"/>
    <w:rsid w:val="003D5282"/>
    <w:rsid w:val="003D574D"/>
    <w:rsid w:val="003D585E"/>
    <w:rsid w:val="003D5870"/>
    <w:rsid w:val="003D5C4E"/>
    <w:rsid w:val="003D5D23"/>
    <w:rsid w:val="003D6105"/>
    <w:rsid w:val="003D6260"/>
    <w:rsid w:val="003D6A37"/>
    <w:rsid w:val="003D6A41"/>
    <w:rsid w:val="003D6E05"/>
    <w:rsid w:val="003D73F2"/>
    <w:rsid w:val="003D7874"/>
    <w:rsid w:val="003D792A"/>
    <w:rsid w:val="003E0101"/>
    <w:rsid w:val="003E0472"/>
    <w:rsid w:val="003E08CE"/>
    <w:rsid w:val="003E08D9"/>
    <w:rsid w:val="003E0AE3"/>
    <w:rsid w:val="003E0DD1"/>
    <w:rsid w:val="003E0E53"/>
    <w:rsid w:val="003E146A"/>
    <w:rsid w:val="003E21C9"/>
    <w:rsid w:val="003E2253"/>
    <w:rsid w:val="003E2342"/>
    <w:rsid w:val="003E2397"/>
    <w:rsid w:val="003E239D"/>
    <w:rsid w:val="003E2603"/>
    <w:rsid w:val="003E2AA7"/>
    <w:rsid w:val="003E35C1"/>
    <w:rsid w:val="003E387D"/>
    <w:rsid w:val="003E3A47"/>
    <w:rsid w:val="003E3BF0"/>
    <w:rsid w:val="003E3C36"/>
    <w:rsid w:val="003E3DF4"/>
    <w:rsid w:val="003E3E6C"/>
    <w:rsid w:val="003E3EBF"/>
    <w:rsid w:val="003E438D"/>
    <w:rsid w:val="003E44E1"/>
    <w:rsid w:val="003E4500"/>
    <w:rsid w:val="003E4508"/>
    <w:rsid w:val="003E46BB"/>
    <w:rsid w:val="003E4AE3"/>
    <w:rsid w:val="003E4DE4"/>
    <w:rsid w:val="003E5634"/>
    <w:rsid w:val="003E5676"/>
    <w:rsid w:val="003E5835"/>
    <w:rsid w:val="003E59F8"/>
    <w:rsid w:val="003E5B76"/>
    <w:rsid w:val="003E6021"/>
    <w:rsid w:val="003E629B"/>
    <w:rsid w:val="003E62A1"/>
    <w:rsid w:val="003E6AAF"/>
    <w:rsid w:val="003E6B24"/>
    <w:rsid w:val="003E6F6E"/>
    <w:rsid w:val="003E6F83"/>
    <w:rsid w:val="003E72B7"/>
    <w:rsid w:val="003E7375"/>
    <w:rsid w:val="003E7780"/>
    <w:rsid w:val="003E7E39"/>
    <w:rsid w:val="003E7FCF"/>
    <w:rsid w:val="003F0D21"/>
    <w:rsid w:val="003F0FF8"/>
    <w:rsid w:val="003F121B"/>
    <w:rsid w:val="003F1EBA"/>
    <w:rsid w:val="003F2ED3"/>
    <w:rsid w:val="003F3550"/>
    <w:rsid w:val="003F363F"/>
    <w:rsid w:val="003F41A4"/>
    <w:rsid w:val="003F41AC"/>
    <w:rsid w:val="003F48AE"/>
    <w:rsid w:val="003F5059"/>
    <w:rsid w:val="003F51CF"/>
    <w:rsid w:val="003F5D6D"/>
    <w:rsid w:val="003F5EF1"/>
    <w:rsid w:val="003F60E7"/>
    <w:rsid w:val="003F60E9"/>
    <w:rsid w:val="003F61CA"/>
    <w:rsid w:val="003F63F5"/>
    <w:rsid w:val="003F6857"/>
    <w:rsid w:val="003F69F9"/>
    <w:rsid w:val="003F6DE4"/>
    <w:rsid w:val="003F6F9C"/>
    <w:rsid w:val="003F7B2B"/>
    <w:rsid w:val="003F7C0F"/>
    <w:rsid w:val="003F7C31"/>
    <w:rsid w:val="004001FC"/>
    <w:rsid w:val="00400663"/>
    <w:rsid w:val="0040098C"/>
    <w:rsid w:val="00400C83"/>
    <w:rsid w:val="00400E6D"/>
    <w:rsid w:val="00400FF9"/>
    <w:rsid w:val="00401323"/>
    <w:rsid w:val="0040169D"/>
    <w:rsid w:val="00401A71"/>
    <w:rsid w:val="00401B64"/>
    <w:rsid w:val="00401DAE"/>
    <w:rsid w:val="00402503"/>
    <w:rsid w:val="00402B2E"/>
    <w:rsid w:val="00402CBE"/>
    <w:rsid w:val="00402D09"/>
    <w:rsid w:val="00402FFD"/>
    <w:rsid w:val="004030F2"/>
    <w:rsid w:val="0040339D"/>
    <w:rsid w:val="00403E00"/>
    <w:rsid w:val="00404035"/>
    <w:rsid w:val="00405236"/>
    <w:rsid w:val="00405724"/>
    <w:rsid w:val="00405730"/>
    <w:rsid w:val="00405881"/>
    <w:rsid w:val="004063FC"/>
    <w:rsid w:val="0040685A"/>
    <w:rsid w:val="00406924"/>
    <w:rsid w:val="00406BF6"/>
    <w:rsid w:val="00406E50"/>
    <w:rsid w:val="004071FB"/>
    <w:rsid w:val="00407A1F"/>
    <w:rsid w:val="00407E8C"/>
    <w:rsid w:val="00407F45"/>
    <w:rsid w:val="00410C2F"/>
    <w:rsid w:val="00411424"/>
    <w:rsid w:val="004116CB"/>
    <w:rsid w:val="0041226A"/>
    <w:rsid w:val="00412524"/>
    <w:rsid w:val="00412D69"/>
    <w:rsid w:val="0041356C"/>
    <w:rsid w:val="00413994"/>
    <w:rsid w:val="00413C8D"/>
    <w:rsid w:val="0041494E"/>
    <w:rsid w:val="00414CD9"/>
    <w:rsid w:val="00414EC3"/>
    <w:rsid w:val="004154A3"/>
    <w:rsid w:val="00415C04"/>
    <w:rsid w:val="00415C45"/>
    <w:rsid w:val="00415D61"/>
    <w:rsid w:val="00415EA4"/>
    <w:rsid w:val="004165D9"/>
    <w:rsid w:val="00416921"/>
    <w:rsid w:val="00416B75"/>
    <w:rsid w:val="00416BD1"/>
    <w:rsid w:val="0041702B"/>
    <w:rsid w:val="0041788A"/>
    <w:rsid w:val="004179C1"/>
    <w:rsid w:val="00417C7C"/>
    <w:rsid w:val="00417CB0"/>
    <w:rsid w:val="00417E83"/>
    <w:rsid w:val="00417F07"/>
    <w:rsid w:val="004202A9"/>
    <w:rsid w:val="0042041D"/>
    <w:rsid w:val="00420B62"/>
    <w:rsid w:val="0042148C"/>
    <w:rsid w:val="004214FC"/>
    <w:rsid w:val="004217C9"/>
    <w:rsid w:val="00421848"/>
    <w:rsid w:val="00421B62"/>
    <w:rsid w:val="00421D89"/>
    <w:rsid w:val="004221B1"/>
    <w:rsid w:val="004221EE"/>
    <w:rsid w:val="00422333"/>
    <w:rsid w:val="00422C68"/>
    <w:rsid w:val="00422EA1"/>
    <w:rsid w:val="00422FAF"/>
    <w:rsid w:val="00422FC6"/>
    <w:rsid w:val="004230B6"/>
    <w:rsid w:val="0042325F"/>
    <w:rsid w:val="004233AF"/>
    <w:rsid w:val="0042355A"/>
    <w:rsid w:val="0042366D"/>
    <w:rsid w:val="00423BD3"/>
    <w:rsid w:val="00423BF7"/>
    <w:rsid w:val="00424108"/>
    <w:rsid w:val="00424C9E"/>
    <w:rsid w:val="0042596A"/>
    <w:rsid w:val="00425B99"/>
    <w:rsid w:val="00425D4D"/>
    <w:rsid w:val="00426453"/>
    <w:rsid w:val="00426549"/>
    <w:rsid w:val="0042654B"/>
    <w:rsid w:val="00426569"/>
    <w:rsid w:val="00426773"/>
    <w:rsid w:val="00426828"/>
    <w:rsid w:val="00426A32"/>
    <w:rsid w:val="00426B97"/>
    <w:rsid w:val="0042788D"/>
    <w:rsid w:val="00427959"/>
    <w:rsid w:val="004305CE"/>
    <w:rsid w:val="004310BF"/>
    <w:rsid w:val="00431BC6"/>
    <w:rsid w:val="00432364"/>
    <w:rsid w:val="00432446"/>
    <w:rsid w:val="00432D85"/>
    <w:rsid w:val="00432F00"/>
    <w:rsid w:val="0043326A"/>
    <w:rsid w:val="00433A41"/>
    <w:rsid w:val="00433AA3"/>
    <w:rsid w:val="00433AB6"/>
    <w:rsid w:val="00433D9A"/>
    <w:rsid w:val="00434085"/>
    <w:rsid w:val="004340B7"/>
    <w:rsid w:val="004340E2"/>
    <w:rsid w:val="0043447B"/>
    <w:rsid w:val="004345FD"/>
    <w:rsid w:val="004347C8"/>
    <w:rsid w:val="00434B4C"/>
    <w:rsid w:val="00434D11"/>
    <w:rsid w:val="004351BA"/>
    <w:rsid w:val="00435408"/>
    <w:rsid w:val="0043593D"/>
    <w:rsid w:val="00435FF5"/>
    <w:rsid w:val="00436078"/>
    <w:rsid w:val="004361C9"/>
    <w:rsid w:val="004362A4"/>
    <w:rsid w:val="004364C2"/>
    <w:rsid w:val="00436CAC"/>
    <w:rsid w:val="00436F61"/>
    <w:rsid w:val="0043727E"/>
    <w:rsid w:val="004378F8"/>
    <w:rsid w:val="004379AA"/>
    <w:rsid w:val="0044019C"/>
    <w:rsid w:val="00440F3F"/>
    <w:rsid w:val="004417C1"/>
    <w:rsid w:val="004422D3"/>
    <w:rsid w:val="00442655"/>
    <w:rsid w:val="00442685"/>
    <w:rsid w:val="00442E1F"/>
    <w:rsid w:val="00444331"/>
    <w:rsid w:val="00444570"/>
    <w:rsid w:val="0044480A"/>
    <w:rsid w:val="0044493E"/>
    <w:rsid w:val="00444B34"/>
    <w:rsid w:val="00444E5E"/>
    <w:rsid w:val="004459AB"/>
    <w:rsid w:val="004463E4"/>
    <w:rsid w:val="00446724"/>
    <w:rsid w:val="00447205"/>
    <w:rsid w:val="00447CA3"/>
    <w:rsid w:val="00447DE0"/>
    <w:rsid w:val="0045051F"/>
    <w:rsid w:val="004513DB"/>
    <w:rsid w:val="00451973"/>
    <w:rsid w:val="00451E6E"/>
    <w:rsid w:val="00452BB9"/>
    <w:rsid w:val="00452C57"/>
    <w:rsid w:val="004534F7"/>
    <w:rsid w:val="0045365E"/>
    <w:rsid w:val="00453F27"/>
    <w:rsid w:val="00454308"/>
    <w:rsid w:val="00454683"/>
    <w:rsid w:val="00454B4E"/>
    <w:rsid w:val="00454FEE"/>
    <w:rsid w:val="00455220"/>
    <w:rsid w:val="004557ED"/>
    <w:rsid w:val="00455866"/>
    <w:rsid w:val="00455B06"/>
    <w:rsid w:val="00455C7A"/>
    <w:rsid w:val="004562F0"/>
    <w:rsid w:val="004565BE"/>
    <w:rsid w:val="00456A17"/>
    <w:rsid w:val="00456A50"/>
    <w:rsid w:val="00456AE4"/>
    <w:rsid w:val="00457045"/>
    <w:rsid w:val="004570D8"/>
    <w:rsid w:val="004571A6"/>
    <w:rsid w:val="004576E2"/>
    <w:rsid w:val="0045780D"/>
    <w:rsid w:val="004579D7"/>
    <w:rsid w:val="004603CD"/>
    <w:rsid w:val="00460583"/>
    <w:rsid w:val="0046078D"/>
    <w:rsid w:val="004610FA"/>
    <w:rsid w:val="0046126F"/>
    <w:rsid w:val="004612FF"/>
    <w:rsid w:val="00461522"/>
    <w:rsid w:val="004618CB"/>
    <w:rsid w:val="00462403"/>
    <w:rsid w:val="00462421"/>
    <w:rsid w:val="0046254B"/>
    <w:rsid w:val="004629C7"/>
    <w:rsid w:val="00462AA4"/>
    <w:rsid w:val="00463237"/>
    <w:rsid w:val="004632E0"/>
    <w:rsid w:val="004637B5"/>
    <w:rsid w:val="00463BF8"/>
    <w:rsid w:val="00463EC3"/>
    <w:rsid w:val="004643C2"/>
    <w:rsid w:val="004646D0"/>
    <w:rsid w:val="00464C65"/>
    <w:rsid w:val="00464C77"/>
    <w:rsid w:val="00464DEA"/>
    <w:rsid w:val="00464EA9"/>
    <w:rsid w:val="0046519F"/>
    <w:rsid w:val="004659E0"/>
    <w:rsid w:val="00466242"/>
    <w:rsid w:val="004662DF"/>
    <w:rsid w:val="0046637D"/>
    <w:rsid w:val="00466BD1"/>
    <w:rsid w:val="00466CDF"/>
    <w:rsid w:val="00466CEA"/>
    <w:rsid w:val="00467011"/>
    <w:rsid w:val="004670A2"/>
    <w:rsid w:val="00467346"/>
    <w:rsid w:val="00467797"/>
    <w:rsid w:val="004700EF"/>
    <w:rsid w:val="00470722"/>
    <w:rsid w:val="0047137C"/>
    <w:rsid w:val="004719E4"/>
    <w:rsid w:val="00471AAC"/>
    <w:rsid w:val="00471DA3"/>
    <w:rsid w:val="00471DFB"/>
    <w:rsid w:val="00471F3F"/>
    <w:rsid w:val="0047232C"/>
    <w:rsid w:val="00472B2E"/>
    <w:rsid w:val="00472CBC"/>
    <w:rsid w:val="00472E6D"/>
    <w:rsid w:val="0047339D"/>
    <w:rsid w:val="00473567"/>
    <w:rsid w:val="0047377B"/>
    <w:rsid w:val="0047391C"/>
    <w:rsid w:val="00473B2C"/>
    <w:rsid w:val="00473E02"/>
    <w:rsid w:val="00473E75"/>
    <w:rsid w:val="00473F5A"/>
    <w:rsid w:val="00474090"/>
    <w:rsid w:val="004741ED"/>
    <w:rsid w:val="00474307"/>
    <w:rsid w:val="004744FF"/>
    <w:rsid w:val="00475111"/>
    <w:rsid w:val="0047516F"/>
    <w:rsid w:val="00475204"/>
    <w:rsid w:val="004754C3"/>
    <w:rsid w:val="00475A51"/>
    <w:rsid w:val="00475A6F"/>
    <w:rsid w:val="00475BE8"/>
    <w:rsid w:val="00475FED"/>
    <w:rsid w:val="00476083"/>
    <w:rsid w:val="004760C2"/>
    <w:rsid w:val="00476433"/>
    <w:rsid w:val="004766CE"/>
    <w:rsid w:val="00476AB1"/>
    <w:rsid w:val="0047702B"/>
    <w:rsid w:val="0047710A"/>
    <w:rsid w:val="004773E9"/>
    <w:rsid w:val="004773F3"/>
    <w:rsid w:val="00477506"/>
    <w:rsid w:val="00477704"/>
    <w:rsid w:val="004778A5"/>
    <w:rsid w:val="00477DFF"/>
    <w:rsid w:val="00477EE1"/>
    <w:rsid w:val="00477F67"/>
    <w:rsid w:val="0048004C"/>
    <w:rsid w:val="00480073"/>
    <w:rsid w:val="00480334"/>
    <w:rsid w:val="004804CB"/>
    <w:rsid w:val="00481455"/>
    <w:rsid w:val="00481755"/>
    <w:rsid w:val="0048189F"/>
    <w:rsid w:val="004818AE"/>
    <w:rsid w:val="00481AB0"/>
    <w:rsid w:val="00481E8B"/>
    <w:rsid w:val="00481F83"/>
    <w:rsid w:val="00482167"/>
    <w:rsid w:val="0048256F"/>
    <w:rsid w:val="00482681"/>
    <w:rsid w:val="004828C1"/>
    <w:rsid w:val="00482B3B"/>
    <w:rsid w:val="00482BC1"/>
    <w:rsid w:val="00482F67"/>
    <w:rsid w:val="0048304F"/>
    <w:rsid w:val="00483099"/>
    <w:rsid w:val="0048365A"/>
    <w:rsid w:val="004836E4"/>
    <w:rsid w:val="004844A6"/>
    <w:rsid w:val="00484818"/>
    <w:rsid w:val="00484C8F"/>
    <w:rsid w:val="004851DA"/>
    <w:rsid w:val="0048523D"/>
    <w:rsid w:val="00485489"/>
    <w:rsid w:val="00485A5F"/>
    <w:rsid w:val="00485BF1"/>
    <w:rsid w:val="0048694E"/>
    <w:rsid w:val="004871E3"/>
    <w:rsid w:val="00487473"/>
    <w:rsid w:val="004875A6"/>
    <w:rsid w:val="004905D1"/>
    <w:rsid w:val="00490AAE"/>
    <w:rsid w:val="00490B76"/>
    <w:rsid w:val="00490CB4"/>
    <w:rsid w:val="00490D04"/>
    <w:rsid w:val="00490D6C"/>
    <w:rsid w:val="00490E27"/>
    <w:rsid w:val="00490EB2"/>
    <w:rsid w:val="00490F23"/>
    <w:rsid w:val="004911B7"/>
    <w:rsid w:val="00491518"/>
    <w:rsid w:val="00491E31"/>
    <w:rsid w:val="004923FA"/>
    <w:rsid w:val="004926B3"/>
    <w:rsid w:val="00492896"/>
    <w:rsid w:val="00492C79"/>
    <w:rsid w:val="0049324C"/>
    <w:rsid w:val="00493670"/>
    <w:rsid w:val="004937F0"/>
    <w:rsid w:val="00493A3E"/>
    <w:rsid w:val="00493EE6"/>
    <w:rsid w:val="00494157"/>
    <w:rsid w:val="00494297"/>
    <w:rsid w:val="004946B4"/>
    <w:rsid w:val="00494882"/>
    <w:rsid w:val="00494B0B"/>
    <w:rsid w:val="004959BD"/>
    <w:rsid w:val="00495AA9"/>
    <w:rsid w:val="00495EF2"/>
    <w:rsid w:val="004961BC"/>
    <w:rsid w:val="00496470"/>
    <w:rsid w:val="004964AC"/>
    <w:rsid w:val="00496548"/>
    <w:rsid w:val="0049685A"/>
    <w:rsid w:val="00496970"/>
    <w:rsid w:val="0049756B"/>
    <w:rsid w:val="004A05EA"/>
    <w:rsid w:val="004A0729"/>
    <w:rsid w:val="004A0B3C"/>
    <w:rsid w:val="004A0CCF"/>
    <w:rsid w:val="004A1012"/>
    <w:rsid w:val="004A115E"/>
    <w:rsid w:val="004A12DE"/>
    <w:rsid w:val="004A140A"/>
    <w:rsid w:val="004A1472"/>
    <w:rsid w:val="004A175B"/>
    <w:rsid w:val="004A192E"/>
    <w:rsid w:val="004A1F53"/>
    <w:rsid w:val="004A1F98"/>
    <w:rsid w:val="004A2220"/>
    <w:rsid w:val="004A25F1"/>
    <w:rsid w:val="004A2985"/>
    <w:rsid w:val="004A2A07"/>
    <w:rsid w:val="004A2F0A"/>
    <w:rsid w:val="004A2F3E"/>
    <w:rsid w:val="004A3227"/>
    <w:rsid w:val="004A3D69"/>
    <w:rsid w:val="004A3E09"/>
    <w:rsid w:val="004A3F8C"/>
    <w:rsid w:val="004A4004"/>
    <w:rsid w:val="004A48B0"/>
    <w:rsid w:val="004A4C48"/>
    <w:rsid w:val="004A4FA7"/>
    <w:rsid w:val="004A512A"/>
    <w:rsid w:val="004A531E"/>
    <w:rsid w:val="004A620F"/>
    <w:rsid w:val="004A64AC"/>
    <w:rsid w:val="004A662C"/>
    <w:rsid w:val="004A677C"/>
    <w:rsid w:val="004A6972"/>
    <w:rsid w:val="004A6ABE"/>
    <w:rsid w:val="004A6B70"/>
    <w:rsid w:val="004A6D1F"/>
    <w:rsid w:val="004A6DD9"/>
    <w:rsid w:val="004A74FF"/>
    <w:rsid w:val="004A7579"/>
    <w:rsid w:val="004A7762"/>
    <w:rsid w:val="004A7D40"/>
    <w:rsid w:val="004B014E"/>
    <w:rsid w:val="004B07D3"/>
    <w:rsid w:val="004B0B0F"/>
    <w:rsid w:val="004B0CF9"/>
    <w:rsid w:val="004B0D5E"/>
    <w:rsid w:val="004B1203"/>
    <w:rsid w:val="004B1221"/>
    <w:rsid w:val="004B12D2"/>
    <w:rsid w:val="004B1653"/>
    <w:rsid w:val="004B1B1C"/>
    <w:rsid w:val="004B2181"/>
    <w:rsid w:val="004B2263"/>
    <w:rsid w:val="004B2314"/>
    <w:rsid w:val="004B24C9"/>
    <w:rsid w:val="004B2B24"/>
    <w:rsid w:val="004B2C5D"/>
    <w:rsid w:val="004B2D5A"/>
    <w:rsid w:val="004B2F39"/>
    <w:rsid w:val="004B2FF4"/>
    <w:rsid w:val="004B4270"/>
    <w:rsid w:val="004B42B9"/>
    <w:rsid w:val="004B42E5"/>
    <w:rsid w:val="004B4627"/>
    <w:rsid w:val="004B46E1"/>
    <w:rsid w:val="004B54F3"/>
    <w:rsid w:val="004B5690"/>
    <w:rsid w:val="004B5847"/>
    <w:rsid w:val="004B59BF"/>
    <w:rsid w:val="004B5D5A"/>
    <w:rsid w:val="004B5F15"/>
    <w:rsid w:val="004B62E5"/>
    <w:rsid w:val="004B6358"/>
    <w:rsid w:val="004B674D"/>
    <w:rsid w:val="004B6915"/>
    <w:rsid w:val="004B6FA9"/>
    <w:rsid w:val="004B72F2"/>
    <w:rsid w:val="004B7320"/>
    <w:rsid w:val="004B76B4"/>
    <w:rsid w:val="004B7930"/>
    <w:rsid w:val="004B7A49"/>
    <w:rsid w:val="004B7ED3"/>
    <w:rsid w:val="004B7F56"/>
    <w:rsid w:val="004C09DD"/>
    <w:rsid w:val="004C0C34"/>
    <w:rsid w:val="004C0F61"/>
    <w:rsid w:val="004C140C"/>
    <w:rsid w:val="004C143E"/>
    <w:rsid w:val="004C19FF"/>
    <w:rsid w:val="004C2295"/>
    <w:rsid w:val="004C231E"/>
    <w:rsid w:val="004C28AB"/>
    <w:rsid w:val="004C28C6"/>
    <w:rsid w:val="004C328C"/>
    <w:rsid w:val="004C32C0"/>
    <w:rsid w:val="004C35B0"/>
    <w:rsid w:val="004C37B0"/>
    <w:rsid w:val="004C38AF"/>
    <w:rsid w:val="004C39C5"/>
    <w:rsid w:val="004C3AED"/>
    <w:rsid w:val="004C41B4"/>
    <w:rsid w:val="004C468E"/>
    <w:rsid w:val="004C51F8"/>
    <w:rsid w:val="004C5486"/>
    <w:rsid w:val="004C5567"/>
    <w:rsid w:val="004C58A8"/>
    <w:rsid w:val="004C5D23"/>
    <w:rsid w:val="004C64D3"/>
    <w:rsid w:val="004C6A9D"/>
    <w:rsid w:val="004C6C3D"/>
    <w:rsid w:val="004C6C8A"/>
    <w:rsid w:val="004C76CC"/>
    <w:rsid w:val="004C77D6"/>
    <w:rsid w:val="004D050B"/>
    <w:rsid w:val="004D0547"/>
    <w:rsid w:val="004D0A58"/>
    <w:rsid w:val="004D0B48"/>
    <w:rsid w:val="004D0F39"/>
    <w:rsid w:val="004D1316"/>
    <w:rsid w:val="004D1505"/>
    <w:rsid w:val="004D179A"/>
    <w:rsid w:val="004D18F4"/>
    <w:rsid w:val="004D3184"/>
    <w:rsid w:val="004D3512"/>
    <w:rsid w:val="004D38E4"/>
    <w:rsid w:val="004D3B0C"/>
    <w:rsid w:val="004D3C3C"/>
    <w:rsid w:val="004D3DB5"/>
    <w:rsid w:val="004D4AEA"/>
    <w:rsid w:val="004D4C49"/>
    <w:rsid w:val="004D4E70"/>
    <w:rsid w:val="004D531A"/>
    <w:rsid w:val="004D562D"/>
    <w:rsid w:val="004D5704"/>
    <w:rsid w:val="004D6BB1"/>
    <w:rsid w:val="004D6DEF"/>
    <w:rsid w:val="004D6F6D"/>
    <w:rsid w:val="004D7465"/>
    <w:rsid w:val="004D7F42"/>
    <w:rsid w:val="004E014B"/>
    <w:rsid w:val="004E07CA"/>
    <w:rsid w:val="004E0B74"/>
    <w:rsid w:val="004E0D56"/>
    <w:rsid w:val="004E161F"/>
    <w:rsid w:val="004E18D8"/>
    <w:rsid w:val="004E1E78"/>
    <w:rsid w:val="004E2195"/>
    <w:rsid w:val="004E2394"/>
    <w:rsid w:val="004E2BA5"/>
    <w:rsid w:val="004E2E5D"/>
    <w:rsid w:val="004E2FD5"/>
    <w:rsid w:val="004E3060"/>
    <w:rsid w:val="004E3586"/>
    <w:rsid w:val="004E35F5"/>
    <w:rsid w:val="004E36B4"/>
    <w:rsid w:val="004E3FB1"/>
    <w:rsid w:val="004E437D"/>
    <w:rsid w:val="004E452F"/>
    <w:rsid w:val="004E4807"/>
    <w:rsid w:val="004E4933"/>
    <w:rsid w:val="004E4DE4"/>
    <w:rsid w:val="004E56D9"/>
    <w:rsid w:val="004E596B"/>
    <w:rsid w:val="004E5978"/>
    <w:rsid w:val="004E5AEF"/>
    <w:rsid w:val="004E65E1"/>
    <w:rsid w:val="004E6881"/>
    <w:rsid w:val="004E6E1D"/>
    <w:rsid w:val="004E7508"/>
    <w:rsid w:val="004E7713"/>
    <w:rsid w:val="004E777F"/>
    <w:rsid w:val="004E787D"/>
    <w:rsid w:val="004F0266"/>
    <w:rsid w:val="004F08A8"/>
    <w:rsid w:val="004F0982"/>
    <w:rsid w:val="004F15DA"/>
    <w:rsid w:val="004F1618"/>
    <w:rsid w:val="004F169E"/>
    <w:rsid w:val="004F24FB"/>
    <w:rsid w:val="004F2593"/>
    <w:rsid w:val="004F29CB"/>
    <w:rsid w:val="004F2A9A"/>
    <w:rsid w:val="004F2E34"/>
    <w:rsid w:val="004F33C5"/>
    <w:rsid w:val="004F3662"/>
    <w:rsid w:val="004F3AD6"/>
    <w:rsid w:val="004F3E1B"/>
    <w:rsid w:val="004F4CC2"/>
    <w:rsid w:val="004F4EF0"/>
    <w:rsid w:val="004F55B6"/>
    <w:rsid w:val="004F56F0"/>
    <w:rsid w:val="004F581C"/>
    <w:rsid w:val="004F5AE7"/>
    <w:rsid w:val="004F5C6A"/>
    <w:rsid w:val="004F5CBD"/>
    <w:rsid w:val="004F5E20"/>
    <w:rsid w:val="004F63E3"/>
    <w:rsid w:val="004F67F8"/>
    <w:rsid w:val="004F6A87"/>
    <w:rsid w:val="004F73E6"/>
    <w:rsid w:val="004F7425"/>
    <w:rsid w:val="004F77E7"/>
    <w:rsid w:val="004F7CC1"/>
    <w:rsid w:val="004F7DD3"/>
    <w:rsid w:val="005000C0"/>
    <w:rsid w:val="0050024B"/>
    <w:rsid w:val="00500405"/>
    <w:rsid w:val="00500916"/>
    <w:rsid w:val="00500995"/>
    <w:rsid w:val="00501113"/>
    <w:rsid w:val="00501722"/>
    <w:rsid w:val="00501A8D"/>
    <w:rsid w:val="00501DF1"/>
    <w:rsid w:val="00501F85"/>
    <w:rsid w:val="005027B6"/>
    <w:rsid w:val="005029B0"/>
    <w:rsid w:val="00502AA6"/>
    <w:rsid w:val="00503468"/>
    <w:rsid w:val="005035AC"/>
    <w:rsid w:val="00503ADC"/>
    <w:rsid w:val="00503DED"/>
    <w:rsid w:val="00503E5F"/>
    <w:rsid w:val="00503E8C"/>
    <w:rsid w:val="005040A9"/>
    <w:rsid w:val="00504772"/>
    <w:rsid w:val="00504AF7"/>
    <w:rsid w:val="00504F72"/>
    <w:rsid w:val="00505054"/>
    <w:rsid w:val="00505309"/>
    <w:rsid w:val="00505786"/>
    <w:rsid w:val="005057F4"/>
    <w:rsid w:val="0050583B"/>
    <w:rsid w:val="00505A97"/>
    <w:rsid w:val="00505AB9"/>
    <w:rsid w:val="005063D6"/>
    <w:rsid w:val="005071B6"/>
    <w:rsid w:val="00507229"/>
    <w:rsid w:val="005078AE"/>
    <w:rsid w:val="00507A88"/>
    <w:rsid w:val="00507FC9"/>
    <w:rsid w:val="0051056C"/>
    <w:rsid w:val="00510CCE"/>
    <w:rsid w:val="00511108"/>
    <w:rsid w:val="00511440"/>
    <w:rsid w:val="00511560"/>
    <w:rsid w:val="0051171B"/>
    <w:rsid w:val="00511F63"/>
    <w:rsid w:val="005125AC"/>
    <w:rsid w:val="00512AB2"/>
    <w:rsid w:val="00512B32"/>
    <w:rsid w:val="00512E21"/>
    <w:rsid w:val="0051303F"/>
    <w:rsid w:val="00513356"/>
    <w:rsid w:val="00513612"/>
    <w:rsid w:val="005139D3"/>
    <w:rsid w:val="00514311"/>
    <w:rsid w:val="00514ABA"/>
    <w:rsid w:val="005157A4"/>
    <w:rsid w:val="005157C2"/>
    <w:rsid w:val="0051580C"/>
    <w:rsid w:val="0051587A"/>
    <w:rsid w:val="005161F0"/>
    <w:rsid w:val="00516B13"/>
    <w:rsid w:val="00516BE3"/>
    <w:rsid w:val="00516BEA"/>
    <w:rsid w:val="00517358"/>
    <w:rsid w:val="00517BF3"/>
    <w:rsid w:val="0052021B"/>
    <w:rsid w:val="00520B91"/>
    <w:rsid w:val="00520DE2"/>
    <w:rsid w:val="005212A3"/>
    <w:rsid w:val="0052168E"/>
    <w:rsid w:val="005218D0"/>
    <w:rsid w:val="00521BE8"/>
    <w:rsid w:val="00521F71"/>
    <w:rsid w:val="00522A57"/>
    <w:rsid w:val="00522CC4"/>
    <w:rsid w:val="0052335A"/>
    <w:rsid w:val="005236FA"/>
    <w:rsid w:val="00523964"/>
    <w:rsid w:val="00523B88"/>
    <w:rsid w:val="00523C09"/>
    <w:rsid w:val="00523E69"/>
    <w:rsid w:val="00523E95"/>
    <w:rsid w:val="005240AC"/>
    <w:rsid w:val="0052447D"/>
    <w:rsid w:val="0052498A"/>
    <w:rsid w:val="00524B85"/>
    <w:rsid w:val="00524CED"/>
    <w:rsid w:val="0052517B"/>
    <w:rsid w:val="00525268"/>
    <w:rsid w:val="00525EA8"/>
    <w:rsid w:val="005260FA"/>
    <w:rsid w:val="00526500"/>
    <w:rsid w:val="0052659A"/>
    <w:rsid w:val="00527228"/>
    <w:rsid w:val="00527342"/>
    <w:rsid w:val="00527B9B"/>
    <w:rsid w:val="00527DF0"/>
    <w:rsid w:val="00527F26"/>
    <w:rsid w:val="00530444"/>
    <w:rsid w:val="00531397"/>
    <w:rsid w:val="005323AB"/>
    <w:rsid w:val="005327BA"/>
    <w:rsid w:val="00532B68"/>
    <w:rsid w:val="00532F6C"/>
    <w:rsid w:val="00533204"/>
    <w:rsid w:val="00533312"/>
    <w:rsid w:val="00533EC9"/>
    <w:rsid w:val="00533F27"/>
    <w:rsid w:val="00534484"/>
    <w:rsid w:val="00534856"/>
    <w:rsid w:val="00534C7B"/>
    <w:rsid w:val="00534DC4"/>
    <w:rsid w:val="005353F9"/>
    <w:rsid w:val="0053586C"/>
    <w:rsid w:val="00535AEE"/>
    <w:rsid w:val="00535C3E"/>
    <w:rsid w:val="00535E4E"/>
    <w:rsid w:val="00535F31"/>
    <w:rsid w:val="00536398"/>
    <w:rsid w:val="00536624"/>
    <w:rsid w:val="00536882"/>
    <w:rsid w:val="00536A91"/>
    <w:rsid w:val="00536BDE"/>
    <w:rsid w:val="0053711D"/>
    <w:rsid w:val="00537231"/>
    <w:rsid w:val="00537A22"/>
    <w:rsid w:val="00537CA9"/>
    <w:rsid w:val="00537CCB"/>
    <w:rsid w:val="00537DC5"/>
    <w:rsid w:val="005401A4"/>
    <w:rsid w:val="005406D8"/>
    <w:rsid w:val="00540B79"/>
    <w:rsid w:val="00540E61"/>
    <w:rsid w:val="005411E1"/>
    <w:rsid w:val="0054139E"/>
    <w:rsid w:val="00541967"/>
    <w:rsid w:val="00541BC4"/>
    <w:rsid w:val="00541D45"/>
    <w:rsid w:val="00541E8E"/>
    <w:rsid w:val="00541FB3"/>
    <w:rsid w:val="00542410"/>
    <w:rsid w:val="0054262E"/>
    <w:rsid w:val="00542CFA"/>
    <w:rsid w:val="00542D87"/>
    <w:rsid w:val="0054317F"/>
    <w:rsid w:val="005431DD"/>
    <w:rsid w:val="005433DB"/>
    <w:rsid w:val="00543C76"/>
    <w:rsid w:val="00543F35"/>
    <w:rsid w:val="005440A2"/>
    <w:rsid w:val="00544C0C"/>
    <w:rsid w:val="00544D27"/>
    <w:rsid w:val="00545594"/>
    <w:rsid w:val="00545C4B"/>
    <w:rsid w:val="00545E7E"/>
    <w:rsid w:val="00546AFE"/>
    <w:rsid w:val="00547113"/>
    <w:rsid w:val="00547393"/>
    <w:rsid w:val="00547561"/>
    <w:rsid w:val="00547653"/>
    <w:rsid w:val="00547B1B"/>
    <w:rsid w:val="00547E21"/>
    <w:rsid w:val="00550D9B"/>
    <w:rsid w:val="005513E8"/>
    <w:rsid w:val="005518AB"/>
    <w:rsid w:val="00551CD0"/>
    <w:rsid w:val="005526E4"/>
    <w:rsid w:val="00552A19"/>
    <w:rsid w:val="00552AD9"/>
    <w:rsid w:val="00552C86"/>
    <w:rsid w:val="00552C8A"/>
    <w:rsid w:val="00552DA0"/>
    <w:rsid w:val="00552DCC"/>
    <w:rsid w:val="00553198"/>
    <w:rsid w:val="0055363B"/>
    <w:rsid w:val="00553767"/>
    <w:rsid w:val="005537C9"/>
    <w:rsid w:val="00554421"/>
    <w:rsid w:val="00554687"/>
    <w:rsid w:val="005547D9"/>
    <w:rsid w:val="0055482B"/>
    <w:rsid w:val="00554CAC"/>
    <w:rsid w:val="00555246"/>
    <w:rsid w:val="00555737"/>
    <w:rsid w:val="00555763"/>
    <w:rsid w:val="005563AE"/>
    <w:rsid w:val="00556862"/>
    <w:rsid w:val="00556F6D"/>
    <w:rsid w:val="00556FAA"/>
    <w:rsid w:val="005574C3"/>
    <w:rsid w:val="00557B56"/>
    <w:rsid w:val="0056016C"/>
    <w:rsid w:val="00560F6F"/>
    <w:rsid w:val="005612B9"/>
    <w:rsid w:val="005614DC"/>
    <w:rsid w:val="0056183C"/>
    <w:rsid w:val="005618C6"/>
    <w:rsid w:val="00561993"/>
    <w:rsid w:val="00561C96"/>
    <w:rsid w:val="00562026"/>
    <w:rsid w:val="00562050"/>
    <w:rsid w:val="005620DB"/>
    <w:rsid w:val="005624E0"/>
    <w:rsid w:val="0056256C"/>
    <w:rsid w:val="005625E8"/>
    <w:rsid w:val="005625FB"/>
    <w:rsid w:val="00562701"/>
    <w:rsid w:val="00562C0C"/>
    <w:rsid w:val="00562D1B"/>
    <w:rsid w:val="005633B6"/>
    <w:rsid w:val="005634D7"/>
    <w:rsid w:val="00563594"/>
    <w:rsid w:val="00563607"/>
    <w:rsid w:val="00563991"/>
    <w:rsid w:val="00563E9F"/>
    <w:rsid w:val="00563FB8"/>
    <w:rsid w:val="00564046"/>
    <w:rsid w:val="0056405D"/>
    <w:rsid w:val="005640F7"/>
    <w:rsid w:val="00564827"/>
    <w:rsid w:val="00564900"/>
    <w:rsid w:val="00564E89"/>
    <w:rsid w:val="0056530B"/>
    <w:rsid w:val="00565A2A"/>
    <w:rsid w:val="00567491"/>
    <w:rsid w:val="0056765B"/>
    <w:rsid w:val="0056782C"/>
    <w:rsid w:val="0056794E"/>
    <w:rsid w:val="00567BFC"/>
    <w:rsid w:val="00567C85"/>
    <w:rsid w:val="00570160"/>
    <w:rsid w:val="0057031B"/>
    <w:rsid w:val="005703FE"/>
    <w:rsid w:val="0057089B"/>
    <w:rsid w:val="005709B8"/>
    <w:rsid w:val="00570FDB"/>
    <w:rsid w:val="00571142"/>
    <w:rsid w:val="00571294"/>
    <w:rsid w:val="005712F7"/>
    <w:rsid w:val="005717D5"/>
    <w:rsid w:val="00571986"/>
    <w:rsid w:val="00572135"/>
    <w:rsid w:val="005727AB"/>
    <w:rsid w:val="00572D9C"/>
    <w:rsid w:val="005732C1"/>
    <w:rsid w:val="0057357A"/>
    <w:rsid w:val="005737A8"/>
    <w:rsid w:val="00573831"/>
    <w:rsid w:val="00573D1E"/>
    <w:rsid w:val="00574070"/>
    <w:rsid w:val="0057423F"/>
    <w:rsid w:val="0057424D"/>
    <w:rsid w:val="00574885"/>
    <w:rsid w:val="005749B1"/>
    <w:rsid w:val="00574A9E"/>
    <w:rsid w:val="00574AF2"/>
    <w:rsid w:val="00574D24"/>
    <w:rsid w:val="005754B4"/>
    <w:rsid w:val="00575565"/>
    <w:rsid w:val="00575850"/>
    <w:rsid w:val="00575C7A"/>
    <w:rsid w:val="00575E8E"/>
    <w:rsid w:val="00575FDE"/>
    <w:rsid w:val="00576084"/>
    <w:rsid w:val="005767EE"/>
    <w:rsid w:val="00577204"/>
    <w:rsid w:val="00577875"/>
    <w:rsid w:val="00577D97"/>
    <w:rsid w:val="00577D9C"/>
    <w:rsid w:val="00580754"/>
    <w:rsid w:val="00580A75"/>
    <w:rsid w:val="00580CBD"/>
    <w:rsid w:val="00580CDE"/>
    <w:rsid w:val="00580D40"/>
    <w:rsid w:val="0058290F"/>
    <w:rsid w:val="00582AEC"/>
    <w:rsid w:val="0058393C"/>
    <w:rsid w:val="00583AAD"/>
    <w:rsid w:val="00583AB5"/>
    <w:rsid w:val="00583EB2"/>
    <w:rsid w:val="005843C4"/>
    <w:rsid w:val="005844F7"/>
    <w:rsid w:val="00584C55"/>
    <w:rsid w:val="0058567E"/>
    <w:rsid w:val="00585793"/>
    <w:rsid w:val="00585F92"/>
    <w:rsid w:val="00586352"/>
    <w:rsid w:val="00586540"/>
    <w:rsid w:val="0058662F"/>
    <w:rsid w:val="00586BBF"/>
    <w:rsid w:val="0058753E"/>
    <w:rsid w:val="0058777F"/>
    <w:rsid w:val="00587A0A"/>
    <w:rsid w:val="00587CEF"/>
    <w:rsid w:val="00587DC6"/>
    <w:rsid w:val="00590062"/>
    <w:rsid w:val="00590188"/>
    <w:rsid w:val="00590733"/>
    <w:rsid w:val="00590AAE"/>
    <w:rsid w:val="00590B42"/>
    <w:rsid w:val="00590E0A"/>
    <w:rsid w:val="00590F0B"/>
    <w:rsid w:val="00591090"/>
    <w:rsid w:val="005910C4"/>
    <w:rsid w:val="00591448"/>
    <w:rsid w:val="00591B0A"/>
    <w:rsid w:val="005926EE"/>
    <w:rsid w:val="00592817"/>
    <w:rsid w:val="00592ACB"/>
    <w:rsid w:val="00592E05"/>
    <w:rsid w:val="005933F9"/>
    <w:rsid w:val="0059363A"/>
    <w:rsid w:val="00593C62"/>
    <w:rsid w:val="005953AD"/>
    <w:rsid w:val="00596770"/>
    <w:rsid w:val="00596AEA"/>
    <w:rsid w:val="00596E00"/>
    <w:rsid w:val="005975DF"/>
    <w:rsid w:val="00597A68"/>
    <w:rsid w:val="00597BC2"/>
    <w:rsid w:val="005A00C2"/>
    <w:rsid w:val="005A02E1"/>
    <w:rsid w:val="005A02F5"/>
    <w:rsid w:val="005A0679"/>
    <w:rsid w:val="005A0AD6"/>
    <w:rsid w:val="005A0CB5"/>
    <w:rsid w:val="005A0DE8"/>
    <w:rsid w:val="005A0E90"/>
    <w:rsid w:val="005A1767"/>
    <w:rsid w:val="005A1D4A"/>
    <w:rsid w:val="005A232F"/>
    <w:rsid w:val="005A23A8"/>
    <w:rsid w:val="005A28E5"/>
    <w:rsid w:val="005A29DF"/>
    <w:rsid w:val="005A31DC"/>
    <w:rsid w:val="005A388B"/>
    <w:rsid w:val="005A3989"/>
    <w:rsid w:val="005A42AE"/>
    <w:rsid w:val="005A4691"/>
    <w:rsid w:val="005A4A35"/>
    <w:rsid w:val="005A4A89"/>
    <w:rsid w:val="005A56C6"/>
    <w:rsid w:val="005A57D9"/>
    <w:rsid w:val="005A6344"/>
    <w:rsid w:val="005A678C"/>
    <w:rsid w:val="005A697D"/>
    <w:rsid w:val="005A6DD3"/>
    <w:rsid w:val="005A749F"/>
    <w:rsid w:val="005A78E1"/>
    <w:rsid w:val="005A7B18"/>
    <w:rsid w:val="005B0256"/>
    <w:rsid w:val="005B04D2"/>
    <w:rsid w:val="005B0621"/>
    <w:rsid w:val="005B0B71"/>
    <w:rsid w:val="005B0B82"/>
    <w:rsid w:val="005B0C3B"/>
    <w:rsid w:val="005B0CE0"/>
    <w:rsid w:val="005B0EED"/>
    <w:rsid w:val="005B1707"/>
    <w:rsid w:val="005B1A64"/>
    <w:rsid w:val="005B1BF8"/>
    <w:rsid w:val="005B22DC"/>
    <w:rsid w:val="005B2352"/>
    <w:rsid w:val="005B26C9"/>
    <w:rsid w:val="005B2F9C"/>
    <w:rsid w:val="005B304F"/>
    <w:rsid w:val="005B435B"/>
    <w:rsid w:val="005B437E"/>
    <w:rsid w:val="005B472B"/>
    <w:rsid w:val="005B47F4"/>
    <w:rsid w:val="005B4F74"/>
    <w:rsid w:val="005B5AA7"/>
    <w:rsid w:val="005B5B75"/>
    <w:rsid w:val="005B608C"/>
    <w:rsid w:val="005B62B0"/>
    <w:rsid w:val="005B64E5"/>
    <w:rsid w:val="005B6CDD"/>
    <w:rsid w:val="005B6DC2"/>
    <w:rsid w:val="005B7018"/>
    <w:rsid w:val="005B70C9"/>
    <w:rsid w:val="005B73DA"/>
    <w:rsid w:val="005B7C49"/>
    <w:rsid w:val="005B7F08"/>
    <w:rsid w:val="005C00EC"/>
    <w:rsid w:val="005C0107"/>
    <w:rsid w:val="005C1034"/>
    <w:rsid w:val="005C111F"/>
    <w:rsid w:val="005C1667"/>
    <w:rsid w:val="005C16B7"/>
    <w:rsid w:val="005C1743"/>
    <w:rsid w:val="005C17CC"/>
    <w:rsid w:val="005C19C0"/>
    <w:rsid w:val="005C1EB2"/>
    <w:rsid w:val="005C2B9E"/>
    <w:rsid w:val="005C2D07"/>
    <w:rsid w:val="005C318F"/>
    <w:rsid w:val="005C327E"/>
    <w:rsid w:val="005C35B1"/>
    <w:rsid w:val="005C3DA9"/>
    <w:rsid w:val="005C41A2"/>
    <w:rsid w:val="005C42AE"/>
    <w:rsid w:val="005C4406"/>
    <w:rsid w:val="005C45B9"/>
    <w:rsid w:val="005C4689"/>
    <w:rsid w:val="005C4870"/>
    <w:rsid w:val="005C4894"/>
    <w:rsid w:val="005C4E7B"/>
    <w:rsid w:val="005C503D"/>
    <w:rsid w:val="005C5393"/>
    <w:rsid w:val="005C553A"/>
    <w:rsid w:val="005C627F"/>
    <w:rsid w:val="005C664F"/>
    <w:rsid w:val="005C6D71"/>
    <w:rsid w:val="005C710D"/>
    <w:rsid w:val="005C7677"/>
    <w:rsid w:val="005C790D"/>
    <w:rsid w:val="005C7BBF"/>
    <w:rsid w:val="005C7F51"/>
    <w:rsid w:val="005C7FD8"/>
    <w:rsid w:val="005D088A"/>
    <w:rsid w:val="005D0974"/>
    <w:rsid w:val="005D0AF0"/>
    <w:rsid w:val="005D0CA0"/>
    <w:rsid w:val="005D17E3"/>
    <w:rsid w:val="005D1977"/>
    <w:rsid w:val="005D25FB"/>
    <w:rsid w:val="005D291D"/>
    <w:rsid w:val="005D39B0"/>
    <w:rsid w:val="005D3C82"/>
    <w:rsid w:val="005D456E"/>
    <w:rsid w:val="005D49B3"/>
    <w:rsid w:val="005D4C0C"/>
    <w:rsid w:val="005D59A6"/>
    <w:rsid w:val="005D59DB"/>
    <w:rsid w:val="005D5B58"/>
    <w:rsid w:val="005D5E27"/>
    <w:rsid w:val="005D645C"/>
    <w:rsid w:val="005D64F4"/>
    <w:rsid w:val="005D6A18"/>
    <w:rsid w:val="005D6CCA"/>
    <w:rsid w:val="005D788F"/>
    <w:rsid w:val="005D791D"/>
    <w:rsid w:val="005D793F"/>
    <w:rsid w:val="005D7E80"/>
    <w:rsid w:val="005E04F2"/>
    <w:rsid w:val="005E06DF"/>
    <w:rsid w:val="005E1203"/>
    <w:rsid w:val="005E1793"/>
    <w:rsid w:val="005E1BD4"/>
    <w:rsid w:val="005E1C68"/>
    <w:rsid w:val="005E1DFC"/>
    <w:rsid w:val="005E231D"/>
    <w:rsid w:val="005E2995"/>
    <w:rsid w:val="005E2A60"/>
    <w:rsid w:val="005E2D6C"/>
    <w:rsid w:val="005E34B6"/>
    <w:rsid w:val="005E3DA2"/>
    <w:rsid w:val="005E3F59"/>
    <w:rsid w:val="005E3FB4"/>
    <w:rsid w:val="005E40C0"/>
    <w:rsid w:val="005E4AF5"/>
    <w:rsid w:val="005E4C64"/>
    <w:rsid w:val="005E54C0"/>
    <w:rsid w:val="005E5AA8"/>
    <w:rsid w:val="005E5B3D"/>
    <w:rsid w:val="005E5D5D"/>
    <w:rsid w:val="005E5E0B"/>
    <w:rsid w:val="005E700B"/>
    <w:rsid w:val="005E767E"/>
    <w:rsid w:val="005E7682"/>
    <w:rsid w:val="005E79C8"/>
    <w:rsid w:val="005F05C1"/>
    <w:rsid w:val="005F1063"/>
    <w:rsid w:val="005F1422"/>
    <w:rsid w:val="005F1427"/>
    <w:rsid w:val="005F2047"/>
    <w:rsid w:val="005F2334"/>
    <w:rsid w:val="005F25FD"/>
    <w:rsid w:val="005F328F"/>
    <w:rsid w:val="005F3DBD"/>
    <w:rsid w:val="005F4350"/>
    <w:rsid w:val="005F43F8"/>
    <w:rsid w:val="005F44A1"/>
    <w:rsid w:val="005F4EDC"/>
    <w:rsid w:val="005F52BB"/>
    <w:rsid w:val="005F5A63"/>
    <w:rsid w:val="005F5DCF"/>
    <w:rsid w:val="005F61DB"/>
    <w:rsid w:val="005F6BE3"/>
    <w:rsid w:val="005F6D62"/>
    <w:rsid w:val="005F6F48"/>
    <w:rsid w:val="005F7115"/>
    <w:rsid w:val="005F71B6"/>
    <w:rsid w:val="005F7314"/>
    <w:rsid w:val="005F747C"/>
    <w:rsid w:val="005F788F"/>
    <w:rsid w:val="005F7E3D"/>
    <w:rsid w:val="0060078E"/>
    <w:rsid w:val="0060080A"/>
    <w:rsid w:val="0060085F"/>
    <w:rsid w:val="00600FD9"/>
    <w:rsid w:val="00601234"/>
    <w:rsid w:val="00601C86"/>
    <w:rsid w:val="006021CE"/>
    <w:rsid w:val="00602922"/>
    <w:rsid w:val="00602C64"/>
    <w:rsid w:val="00602E1D"/>
    <w:rsid w:val="00602E47"/>
    <w:rsid w:val="0060340C"/>
    <w:rsid w:val="00603C97"/>
    <w:rsid w:val="00604781"/>
    <w:rsid w:val="00605152"/>
    <w:rsid w:val="00605818"/>
    <w:rsid w:val="00605EC3"/>
    <w:rsid w:val="0060602A"/>
    <w:rsid w:val="00606617"/>
    <w:rsid w:val="00606C1D"/>
    <w:rsid w:val="00607009"/>
    <w:rsid w:val="00607418"/>
    <w:rsid w:val="0060775B"/>
    <w:rsid w:val="006079C8"/>
    <w:rsid w:val="00607DCA"/>
    <w:rsid w:val="0061045F"/>
    <w:rsid w:val="00610515"/>
    <w:rsid w:val="006107D0"/>
    <w:rsid w:val="00610A58"/>
    <w:rsid w:val="00610A87"/>
    <w:rsid w:val="006113E3"/>
    <w:rsid w:val="006114B2"/>
    <w:rsid w:val="00611506"/>
    <w:rsid w:val="0061178A"/>
    <w:rsid w:val="00611A4A"/>
    <w:rsid w:val="00611CA4"/>
    <w:rsid w:val="00611E85"/>
    <w:rsid w:val="00612045"/>
    <w:rsid w:val="0061219E"/>
    <w:rsid w:val="00613030"/>
    <w:rsid w:val="006132FB"/>
    <w:rsid w:val="006133EA"/>
    <w:rsid w:val="00613531"/>
    <w:rsid w:val="00613697"/>
    <w:rsid w:val="00613E36"/>
    <w:rsid w:val="00614524"/>
    <w:rsid w:val="00614642"/>
    <w:rsid w:val="00614736"/>
    <w:rsid w:val="006149F7"/>
    <w:rsid w:val="0061501C"/>
    <w:rsid w:val="0061519A"/>
    <w:rsid w:val="006153A9"/>
    <w:rsid w:val="006153F5"/>
    <w:rsid w:val="0061586B"/>
    <w:rsid w:val="00615DAA"/>
    <w:rsid w:val="00615E81"/>
    <w:rsid w:val="00616EBF"/>
    <w:rsid w:val="006170FD"/>
    <w:rsid w:val="00617575"/>
    <w:rsid w:val="00617AA1"/>
    <w:rsid w:val="006209E7"/>
    <w:rsid w:val="00620A14"/>
    <w:rsid w:val="00620C0E"/>
    <w:rsid w:val="006216FE"/>
    <w:rsid w:val="006217C4"/>
    <w:rsid w:val="006217E8"/>
    <w:rsid w:val="0062191E"/>
    <w:rsid w:val="00621ABC"/>
    <w:rsid w:val="00621BE0"/>
    <w:rsid w:val="00622C8C"/>
    <w:rsid w:val="00622D35"/>
    <w:rsid w:val="006235F5"/>
    <w:rsid w:val="006238E3"/>
    <w:rsid w:val="00624730"/>
    <w:rsid w:val="00624753"/>
    <w:rsid w:val="0062485F"/>
    <w:rsid w:val="00624938"/>
    <w:rsid w:val="00624A4F"/>
    <w:rsid w:val="0062547D"/>
    <w:rsid w:val="00625601"/>
    <w:rsid w:val="0062673B"/>
    <w:rsid w:val="00626AD0"/>
    <w:rsid w:val="00626B17"/>
    <w:rsid w:val="00626FBA"/>
    <w:rsid w:val="00627704"/>
    <w:rsid w:val="00627D90"/>
    <w:rsid w:val="00627E9A"/>
    <w:rsid w:val="006300E8"/>
    <w:rsid w:val="0063048B"/>
    <w:rsid w:val="00630969"/>
    <w:rsid w:val="006311D8"/>
    <w:rsid w:val="0063149A"/>
    <w:rsid w:val="006318AD"/>
    <w:rsid w:val="00631A51"/>
    <w:rsid w:val="00632000"/>
    <w:rsid w:val="0063206D"/>
    <w:rsid w:val="0063235F"/>
    <w:rsid w:val="00632553"/>
    <w:rsid w:val="006325BB"/>
    <w:rsid w:val="00632B78"/>
    <w:rsid w:val="00632C37"/>
    <w:rsid w:val="00632DF1"/>
    <w:rsid w:val="00632E1A"/>
    <w:rsid w:val="00632ECF"/>
    <w:rsid w:val="00632F52"/>
    <w:rsid w:val="00633DD4"/>
    <w:rsid w:val="00633FA9"/>
    <w:rsid w:val="006340C5"/>
    <w:rsid w:val="006342FD"/>
    <w:rsid w:val="00634309"/>
    <w:rsid w:val="006345B1"/>
    <w:rsid w:val="006347E4"/>
    <w:rsid w:val="00634979"/>
    <w:rsid w:val="00634E32"/>
    <w:rsid w:val="00635423"/>
    <w:rsid w:val="0063573E"/>
    <w:rsid w:val="00635A83"/>
    <w:rsid w:val="00635BFC"/>
    <w:rsid w:val="00635C8C"/>
    <w:rsid w:val="00635DFA"/>
    <w:rsid w:val="00635E9B"/>
    <w:rsid w:val="00635F6D"/>
    <w:rsid w:val="00636073"/>
    <w:rsid w:val="006367EE"/>
    <w:rsid w:val="00636D1E"/>
    <w:rsid w:val="0063760E"/>
    <w:rsid w:val="00637EA8"/>
    <w:rsid w:val="006405B1"/>
    <w:rsid w:val="00640754"/>
    <w:rsid w:val="00640D09"/>
    <w:rsid w:val="00640FE0"/>
    <w:rsid w:val="006412AE"/>
    <w:rsid w:val="00641789"/>
    <w:rsid w:val="00642060"/>
    <w:rsid w:val="006421CA"/>
    <w:rsid w:val="0064223E"/>
    <w:rsid w:val="00642C4D"/>
    <w:rsid w:val="0064311C"/>
    <w:rsid w:val="006431AD"/>
    <w:rsid w:val="0064342B"/>
    <w:rsid w:val="0064348D"/>
    <w:rsid w:val="0064367B"/>
    <w:rsid w:val="0064391C"/>
    <w:rsid w:val="00643B00"/>
    <w:rsid w:val="00643C04"/>
    <w:rsid w:val="00643D97"/>
    <w:rsid w:val="00644215"/>
    <w:rsid w:val="006443ED"/>
    <w:rsid w:val="00644A8F"/>
    <w:rsid w:val="00645A9C"/>
    <w:rsid w:val="00645C9E"/>
    <w:rsid w:val="00645E42"/>
    <w:rsid w:val="006463B8"/>
    <w:rsid w:val="0064644B"/>
    <w:rsid w:val="00646455"/>
    <w:rsid w:val="006465C6"/>
    <w:rsid w:val="006468D9"/>
    <w:rsid w:val="00646CD7"/>
    <w:rsid w:val="006474FE"/>
    <w:rsid w:val="00647542"/>
    <w:rsid w:val="00647994"/>
    <w:rsid w:val="00647A4B"/>
    <w:rsid w:val="00647BB1"/>
    <w:rsid w:val="00647C5A"/>
    <w:rsid w:val="00650A8D"/>
    <w:rsid w:val="00650D18"/>
    <w:rsid w:val="00651108"/>
    <w:rsid w:val="00651409"/>
    <w:rsid w:val="00651562"/>
    <w:rsid w:val="00651E81"/>
    <w:rsid w:val="0065231A"/>
    <w:rsid w:val="006529F6"/>
    <w:rsid w:val="00652D6F"/>
    <w:rsid w:val="00652EEF"/>
    <w:rsid w:val="00652F4C"/>
    <w:rsid w:val="00653C51"/>
    <w:rsid w:val="00653CB6"/>
    <w:rsid w:val="00654370"/>
    <w:rsid w:val="006546B1"/>
    <w:rsid w:val="006547AE"/>
    <w:rsid w:val="0065484C"/>
    <w:rsid w:val="00654B25"/>
    <w:rsid w:val="00654C1D"/>
    <w:rsid w:val="00654D53"/>
    <w:rsid w:val="00654F53"/>
    <w:rsid w:val="006550ED"/>
    <w:rsid w:val="00655E22"/>
    <w:rsid w:val="006563FB"/>
    <w:rsid w:val="0065666A"/>
    <w:rsid w:val="00656DB6"/>
    <w:rsid w:val="006570B5"/>
    <w:rsid w:val="0065734B"/>
    <w:rsid w:val="006607BF"/>
    <w:rsid w:val="006623CA"/>
    <w:rsid w:val="006629CE"/>
    <w:rsid w:val="00662F29"/>
    <w:rsid w:val="006633AD"/>
    <w:rsid w:val="0066387B"/>
    <w:rsid w:val="00663F16"/>
    <w:rsid w:val="0066428C"/>
    <w:rsid w:val="00664B58"/>
    <w:rsid w:val="00664B97"/>
    <w:rsid w:val="00664C42"/>
    <w:rsid w:val="00664E27"/>
    <w:rsid w:val="006654B9"/>
    <w:rsid w:val="0066589F"/>
    <w:rsid w:val="00665C62"/>
    <w:rsid w:val="00665F22"/>
    <w:rsid w:val="00665FE4"/>
    <w:rsid w:val="006679F7"/>
    <w:rsid w:val="00667CE7"/>
    <w:rsid w:val="00667D70"/>
    <w:rsid w:val="00670516"/>
    <w:rsid w:val="0067062A"/>
    <w:rsid w:val="006706B3"/>
    <w:rsid w:val="00670AD4"/>
    <w:rsid w:val="006711E0"/>
    <w:rsid w:val="00671360"/>
    <w:rsid w:val="00671956"/>
    <w:rsid w:val="0067205A"/>
    <w:rsid w:val="00672509"/>
    <w:rsid w:val="0067259A"/>
    <w:rsid w:val="00672F47"/>
    <w:rsid w:val="0067361D"/>
    <w:rsid w:val="00673C9B"/>
    <w:rsid w:val="006743BC"/>
    <w:rsid w:val="00674450"/>
    <w:rsid w:val="0067457D"/>
    <w:rsid w:val="00674777"/>
    <w:rsid w:val="00674AE1"/>
    <w:rsid w:val="00674C6F"/>
    <w:rsid w:val="006752FF"/>
    <w:rsid w:val="006756DC"/>
    <w:rsid w:val="006758D1"/>
    <w:rsid w:val="00675C06"/>
    <w:rsid w:val="00675C39"/>
    <w:rsid w:val="00675DB5"/>
    <w:rsid w:val="0067605C"/>
    <w:rsid w:val="006760C5"/>
    <w:rsid w:val="006763F2"/>
    <w:rsid w:val="00676DBB"/>
    <w:rsid w:val="00677366"/>
    <w:rsid w:val="00677D43"/>
    <w:rsid w:val="006808AE"/>
    <w:rsid w:val="006809F8"/>
    <w:rsid w:val="00680BB3"/>
    <w:rsid w:val="006812CE"/>
    <w:rsid w:val="00681965"/>
    <w:rsid w:val="00681D99"/>
    <w:rsid w:val="0068202C"/>
    <w:rsid w:val="0068217D"/>
    <w:rsid w:val="00682AB7"/>
    <w:rsid w:val="00682B50"/>
    <w:rsid w:val="006837EE"/>
    <w:rsid w:val="00683B19"/>
    <w:rsid w:val="00683FFC"/>
    <w:rsid w:val="0068472D"/>
    <w:rsid w:val="00684D1D"/>
    <w:rsid w:val="0068508D"/>
    <w:rsid w:val="006851F6"/>
    <w:rsid w:val="00685217"/>
    <w:rsid w:val="006852FB"/>
    <w:rsid w:val="00685357"/>
    <w:rsid w:val="00685D15"/>
    <w:rsid w:val="00686F86"/>
    <w:rsid w:val="00686FAC"/>
    <w:rsid w:val="0068706B"/>
    <w:rsid w:val="00687110"/>
    <w:rsid w:val="006872D5"/>
    <w:rsid w:val="00687D76"/>
    <w:rsid w:val="00690040"/>
    <w:rsid w:val="00690058"/>
    <w:rsid w:val="00690C93"/>
    <w:rsid w:val="00690F85"/>
    <w:rsid w:val="00691422"/>
    <w:rsid w:val="00691BCE"/>
    <w:rsid w:val="00691C53"/>
    <w:rsid w:val="00692204"/>
    <w:rsid w:val="0069243E"/>
    <w:rsid w:val="00692AA6"/>
    <w:rsid w:val="00692B74"/>
    <w:rsid w:val="00692F06"/>
    <w:rsid w:val="00693082"/>
    <w:rsid w:val="006930C0"/>
    <w:rsid w:val="006934C4"/>
    <w:rsid w:val="00694145"/>
    <w:rsid w:val="0069422F"/>
    <w:rsid w:val="00694275"/>
    <w:rsid w:val="00694334"/>
    <w:rsid w:val="006944BE"/>
    <w:rsid w:val="00694539"/>
    <w:rsid w:val="006950A4"/>
    <w:rsid w:val="0069541A"/>
    <w:rsid w:val="00695E7B"/>
    <w:rsid w:val="00695FE0"/>
    <w:rsid w:val="006967FA"/>
    <w:rsid w:val="00696B04"/>
    <w:rsid w:val="00697126"/>
    <w:rsid w:val="006971B6"/>
    <w:rsid w:val="006971E9"/>
    <w:rsid w:val="006978BE"/>
    <w:rsid w:val="006A11DF"/>
    <w:rsid w:val="006A14B9"/>
    <w:rsid w:val="006A18D3"/>
    <w:rsid w:val="006A1E15"/>
    <w:rsid w:val="006A1EF6"/>
    <w:rsid w:val="006A21D0"/>
    <w:rsid w:val="006A2615"/>
    <w:rsid w:val="006A2E26"/>
    <w:rsid w:val="006A2F2D"/>
    <w:rsid w:val="006A3269"/>
    <w:rsid w:val="006A341A"/>
    <w:rsid w:val="006A3F10"/>
    <w:rsid w:val="006A461A"/>
    <w:rsid w:val="006A477C"/>
    <w:rsid w:val="006A479B"/>
    <w:rsid w:val="006A49FF"/>
    <w:rsid w:val="006A4F31"/>
    <w:rsid w:val="006A5BFC"/>
    <w:rsid w:val="006A5C8A"/>
    <w:rsid w:val="006A61E0"/>
    <w:rsid w:val="006A6352"/>
    <w:rsid w:val="006A7625"/>
    <w:rsid w:val="006A7C6D"/>
    <w:rsid w:val="006A7FE4"/>
    <w:rsid w:val="006B0352"/>
    <w:rsid w:val="006B0474"/>
    <w:rsid w:val="006B074B"/>
    <w:rsid w:val="006B0B5A"/>
    <w:rsid w:val="006B0D41"/>
    <w:rsid w:val="006B0E33"/>
    <w:rsid w:val="006B0E52"/>
    <w:rsid w:val="006B0E5E"/>
    <w:rsid w:val="006B0E87"/>
    <w:rsid w:val="006B0F44"/>
    <w:rsid w:val="006B1309"/>
    <w:rsid w:val="006B19F5"/>
    <w:rsid w:val="006B1EFA"/>
    <w:rsid w:val="006B228B"/>
    <w:rsid w:val="006B236A"/>
    <w:rsid w:val="006B23C8"/>
    <w:rsid w:val="006B240A"/>
    <w:rsid w:val="006B300F"/>
    <w:rsid w:val="006B3197"/>
    <w:rsid w:val="006B38F1"/>
    <w:rsid w:val="006B39FE"/>
    <w:rsid w:val="006B3BEC"/>
    <w:rsid w:val="006B3CE0"/>
    <w:rsid w:val="006B3F6B"/>
    <w:rsid w:val="006B4256"/>
    <w:rsid w:val="006B4452"/>
    <w:rsid w:val="006B47CB"/>
    <w:rsid w:val="006B4963"/>
    <w:rsid w:val="006B5021"/>
    <w:rsid w:val="006B50A5"/>
    <w:rsid w:val="006B5469"/>
    <w:rsid w:val="006B5842"/>
    <w:rsid w:val="006B5F83"/>
    <w:rsid w:val="006B5FA3"/>
    <w:rsid w:val="006B61BD"/>
    <w:rsid w:val="006B6FF5"/>
    <w:rsid w:val="006B73E9"/>
    <w:rsid w:val="006B7480"/>
    <w:rsid w:val="006B7587"/>
    <w:rsid w:val="006B7752"/>
    <w:rsid w:val="006B781F"/>
    <w:rsid w:val="006B7D46"/>
    <w:rsid w:val="006B7E6D"/>
    <w:rsid w:val="006C039F"/>
    <w:rsid w:val="006C0434"/>
    <w:rsid w:val="006C07F2"/>
    <w:rsid w:val="006C0D4A"/>
    <w:rsid w:val="006C0D7D"/>
    <w:rsid w:val="006C10DF"/>
    <w:rsid w:val="006C324A"/>
    <w:rsid w:val="006C3823"/>
    <w:rsid w:val="006C4138"/>
    <w:rsid w:val="006C4FAD"/>
    <w:rsid w:val="006C537A"/>
    <w:rsid w:val="006C5CFB"/>
    <w:rsid w:val="006C5E37"/>
    <w:rsid w:val="006C5FA7"/>
    <w:rsid w:val="006C6623"/>
    <w:rsid w:val="006C6E43"/>
    <w:rsid w:val="006C7294"/>
    <w:rsid w:val="006C7339"/>
    <w:rsid w:val="006C7807"/>
    <w:rsid w:val="006C7A88"/>
    <w:rsid w:val="006C7B86"/>
    <w:rsid w:val="006D08B8"/>
    <w:rsid w:val="006D1376"/>
    <w:rsid w:val="006D1623"/>
    <w:rsid w:val="006D19B9"/>
    <w:rsid w:val="006D1ABE"/>
    <w:rsid w:val="006D1C07"/>
    <w:rsid w:val="006D2644"/>
    <w:rsid w:val="006D2A5B"/>
    <w:rsid w:val="006D3C75"/>
    <w:rsid w:val="006D3EA9"/>
    <w:rsid w:val="006D4782"/>
    <w:rsid w:val="006D5348"/>
    <w:rsid w:val="006D53A0"/>
    <w:rsid w:val="006D568A"/>
    <w:rsid w:val="006D5732"/>
    <w:rsid w:val="006D5843"/>
    <w:rsid w:val="006D5ABB"/>
    <w:rsid w:val="006D5CB8"/>
    <w:rsid w:val="006D5EBA"/>
    <w:rsid w:val="006D6443"/>
    <w:rsid w:val="006D6E23"/>
    <w:rsid w:val="006D6E30"/>
    <w:rsid w:val="006D7549"/>
    <w:rsid w:val="006D7719"/>
    <w:rsid w:val="006D77D2"/>
    <w:rsid w:val="006D7ACB"/>
    <w:rsid w:val="006E068B"/>
    <w:rsid w:val="006E0702"/>
    <w:rsid w:val="006E07CA"/>
    <w:rsid w:val="006E09A3"/>
    <w:rsid w:val="006E0E38"/>
    <w:rsid w:val="006E1190"/>
    <w:rsid w:val="006E178F"/>
    <w:rsid w:val="006E197C"/>
    <w:rsid w:val="006E25A4"/>
    <w:rsid w:val="006E2D1C"/>
    <w:rsid w:val="006E324A"/>
    <w:rsid w:val="006E35CD"/>
    <w:rsid w:val="006E3CB9"/>
    <w:rsid w:val="006E3DA3"/>
    <w:rsid w:val="006E41B3"/>
    <w:rsid w:val="006E42B9"/>
    <w:rsid w:val="006E5DF9"/>
    <w:rsid w:val="006E5E25"/>
    <w:rsid w:val="006E645F"/>
    <w:rsid w:val="006E6792"/>
    <w:rsid w:val="006E691C"/>
    <w:rsid w:val="006E6A24"/>
    <w:rsid w:val="006E6C19"/>
    <w:rsid w:val="006E6F26"/>
    <w:rsid w:val="006E7023"/>
    <w:rsid w:val="006E7A00"/>
    <w:rsid w:val="006E7DE7"/>
    <w:rsid w:val="006F018E"/>
    <w:rsid w:val="006F02F8"/>
    <w:rsid w:val="006F047B"/>
    <w:rsid w:val="006F077B"/>
    <w:rsid w:val="006F0864"/>
    <w:rsid w:val="006F0A6E"/>
    <w:rsid w:val="006F12A3"/>
    <w:rsid w:val="006F13F2"/>
    <w:rsid w:val="006F1543"/>
    <w:rsid w:val="006F198E"/>
    <w:rsid w:val="006F19DA"/>
    <w:rsid w:val="006F2A5D"/>
    <w:rsid w:val="006F2CA9"/>
    <w:rsid w:val="006F2FD2"/>
    <w:rsid w:val="006F3A8C"/>
    <w:rsid w:val="006F3B52"/>
    <w:rsid w:val="006F3B6E"/>
    <w:rsid w:val="006F3BD5"/>
    <w:rsid w:val="006F3EBC"/>
    <w:rsid w:val="006F454D"/>
    <w:rsid w:val="006F477F"/>
    <w:rsid w:val="006F549F"/>
    <w:rsid w:val="006F5D5C"/>
    <w:rsid w:val="006F64F0"/>
    <w:rsid w:val="006F683D"/>
    <w:rsid w:val="006F6A4C"/>
    <w:rsid w:val="006F6C35"/>
    <w:rsid w:val="006F6EAA"/>
    <w:rsid w:val="006F7385"/>
    <w:rsid w:val="006F7E8F"/>
    <w:rsid w:val="007004B7"/>
    <w:rsid w:val="007008A5"/>
    <w:rsid w:val="00700BDA"/>
    <w:rsid w:val="00700F04"/>
    <w:rsid w:val="007010EB"/>
    <w:rsid w:val="00701462"/>
    <w:rsid w:val="00701473"/>
    <w:rsid w:val="00701581"/>
    <w:rsid w:val="0070165C"/>
    <w:rsid w:val="00701730"/>
    <w:rsid w:val="00701FE1"/>
    <w:rsid w:val="007024F4"/>
    <w:rsid w:val="007033B8"/>
    <w:rsid w:val="007038DD"/>
    <w:rsid w:val="00704347"/>
    <w:rsid w:val="007043DF"/>
    <w:rsid w:val="007048D6"/>
    <w:rsid w:val="00704949"/>
    <w:rsid w:val="00704FA0"/>
    <w:rsid w:val="007056DA"/>
    <w:rsid w:val="00705768"/>
    <w:rsid w:val="00705953"/>
    <w:rsid w:val="00705B21"/>
    <w:rsid w:val="00705ED0"/>
    <w:rsid w:val="00705F33"/>
    <w:rsid w:val="007071EA"/>
    <w:rsid w:val="007071EC"/>
    <w:rsid w:val="007071FF"/>
    <w:rsid w:val="00707599"/>
    <w:rsid w:val="00707D30"/>
    <w:rsid w:val="00710184"/>
    <w:rsid w:val="007108CE"/>
    <w:rsid w:val="00710B08"/>
    <w:rsid w:val="0071145D"/>
    <w:rsid w:val="007114C2"/>
    <w:rsid w:val="0071150E"/>
    <w:rsid w:val="007118CE"/>
    <w:rsid w:val="00711A7C"/>
    <w:rsid w:val="00711BCB"/>
    <w:rsid w:val="00711DF1"/>
    <w:rsid w:val="00712351"/>
    <w:rsid w:val="007124E5"/>
    <w:rsid w:val="00712523"/>
    <w:rsid w:val="007125C7"/>
    <w:rsid w:val="0071264A"/>
    <w:rsid w:val="0071302B"/>
    <w:rsid w:val="007131E7"/>
    <w:rsid w:val="007131F3"/>
    <w:rsid w:val="00713646"/>
    <w:rsid w:val="00713E8C"/>
    <w:rsid w:val="007141E9"/>
    <w:rsid w:val="00714998"/>
    <w:rsid w:val="00714CFB"/>
    <w:rsid w:val="00714F42"/>
    <w:rsid w:val="00715144"/>
    <w:rsid w:val="00715318"/>
    <w:rsid w:val="0071543A"/>
    <w:rsid w:val="00715822"/>
    <w:rsid w:val="00715D07"/>
    <w:rsid w:val="007163E4"/>
    <w:rsid w:val="0071672E"/>
    <w:rsid w:val="0071698A"/>
    <w:rsid w:val="00716D15"/>
    <w:rsid w:val="00716D18"/>
    <w:rsid w:val="00716E3B"/>
    <w:rsid w:val="007175E7"/>
    <w:rsid w:val="00717C15"/>
    <w:rsid w:val="00717E61"/>
    <w:rsid w:val="00717E66"/>
    <w:rsid w:val="0072008A"/>
    <w:rsid w:val="00720189"/>
    <w:rsid w:val="007202A2"/>
    <w:rsid w:val="00720C0D"/>
    <w:rsid w:val="00720E78"/>
    <w:rsid w:val="00721891"/>
    <w:rsid w:val="00721912"/>
    <w:rsid w:val="00721D24"/>
    <w:rsid w:val="00721D43"/>
    <w:rsid w:val="007220BF"/>
    <w:rsid w:val="007220E5"/>
    <w:rsid w:val="00722344"/>
    <w:rsid w:val="007227C6"/>
    <w:rsid w:val="007228CB"/>
    <w:rsid w:val="00722920"/>
    <w:rsid w:val="00723021"/>
    <w:rsid w:val="007232F2"/>
    <w:rsid w:val="00723328"/>
    <w:rsid w:val="007236D5"/>
    <w:rsid w:val="0072397B"/>
    <w:rsid w:val="00723DAA"/>
    <w:rsid w:val="007241C7"/>
    <w:rsid w:val="0072484A"/>
    <w:rsid w:val="007248B5"/>
    <w:rsid w:val="00724CCF"/>
    <w:rsid w:val="00724D56"/>
    <w:rsid w:val="00724E95"/>
    <w:rsid w:val="007254C5"/>
    <w:rsid w:val="00725F4F"/>
    <w:rsid w:val="0072621D"/>
    <w:rsid w:val="0072643A"/>
    <w:rsid w:val="0072691B"/>
    <w:rsid w:val="00726BEE"/>
    <w:rsid w:val="00726C15"/>
    <w:rsid w:val="00726C3B"/>
    <w:rsid w:val="00726D45"/>
    <w:rsid w:val="00726D9F"/>
    <w:rsid w:val="00726E7F"/>
    <w:rsid w:val="00727CED"/>
    <w:rsid w:val="00727D81"/>
    <w:rsid w:val="0073015E"/>
    <w:rsid w:val="0073110C"/>
    <w:rsid w:val="00731414"/>
    <w:rsid w:val="00731C7F"/>
    <w:rsid w:val="0073219D"/>
    <w:rsid w:val="007321BD"/>
    <w:rsid w:val="0073231F"/>
    <w:rsid w:val="00732326"/>
    <w:rsid w:val="0073282D"/>
    <w:rsid w:val="00732C2C"/>
    <w:rsid w:val="00732F36"/>
    <w:rsid w:val="007333D8"/>
    <w:rsid w:val="007335C0"/>
    <w:rsid w:val="007336C5"/>
    <w:rsid w:val="00733B0B"/>
    <w:rsid w:val="00733B8A"/>
    <w:rsid w:val="00733C85"/>
    <w:rsid w:val="00734A5D"/>
    <w:rsid w:val="00734CCF"/>
    <w:rsid w:val="007355D7"/>
    <w:rsid w:val="007356A7"/>
    <w:rsid w:val="0073614D"/>
    <w:rsid w:val="0073689B"/>
    <w:rsid w:val="00736FB7"/>
    <w:rsid w:val="00737296"/>
    <w:rsid w:val="00737666"/>
    <w:rsid w:val="0073792B"/>
    <w:rsid w:val="00737FDF"/>
    <w:rsid w:val="0074035D"/>
    <w:rsid w:val="00740574"/>
    <w:rsid w:val="00740A40"/>
    <w:rsid w:val="00740BC1"/>
    <w:rsid w:val="00741191"/>
    <w:rsid w:val="00741A8D"/>
    <w:rsid w:val="00742012"/>
    <w:rsid w:val="0074205F"/>
    <w:rsid w:val="0074219E"/>
    <w:rsid w:val="00743101"/>
    <w:rsid w:val="0074326B"/>
    <w:rsid w:val="007432AA"/>
    <w:rsid w:val="0074353E"/>
    <w:rsid w:val="007438EE"/>
    <w:rsid w:val="00743B54"/>
    <w:rsid w:val="00743D0D"/>
    <w:rsid w:val="00744192"/>
    <w:rsid w:val="007441EC"/>
    <w:rsid w:val="00744627"/>
    <w:rsid w:val="0074486F"/>
    <w:rsid w:val="00744998"/>
    <w:rsid w:val="00744D46"/>
    <w:rsid w:val="00744FF6"/>
    <w:rsid w:val="00744FFE"/>
    <w:rsid w:val="007451FB"/>
    <w:rsid w:val="007454B7"/>
    <w:rsid w:val="007455A7"/>
    <w:rsid w:val="00745BDD"/>
    <w:rsid w:val="0074636F"/>
    <w:rsid w:val="007464B4"/>
    <w:rsid w:val="00746820"/>
    <w:rsid w:val="00746865"/>
    <w:rsid w:val="00746E48"/>
    <w:rsid w:val="00747309"/>
    <w:rsid w:val="007479EF"/>
    <w:rsid w:val="00750A3B"/>
    <w:rsid w:val="00750A5B"/>
    <w:rsid w:val="00750B42"/>
    <w:rsid w:val="007514E0"/>
    <w:rsid w:val="007518EC"/>
    <w:rsid w:val="00752132"/>
    <w:rsid w:val="0075219E"/>
    <w:rsid w:val="007522F1"/>
    <w:rsid w:val="007525B9"/>
    <w:rsid w:val="007527FC"/>
    <w:rsid w:val="00752A45"/>
    <w:rsid w:val="00752D1B"/>
    <w:rsid w:val="007531DD"/>
    <w:rsid w:val="00753665"/>
    <w:rsid w:val="0075373D"/>
    <w:rsid w:val="007539BD"/>
    <w:rsid w:val="00753B98"/>
    <w:rsid w:val="00753DFC"/>
    <w:rsid w:val="00753FA9"/>
    <w:rsid w:val="00754261"/>
    <w:rsid w:val="0075439D"/>
    <w:rsid w:val="007546DC"/>
    <w:rsid w:val="0075480E"/>
    <w:rsid w:val="0075505A"/>
    <w:rsid w:val="00755264"/>
    <w:rsid w:val="0075557D"/>
    <w:rsid w:val="007558DF"/>
    <w:rsid w:val="00755919"/>
    <w:rsid w:val="00755A66"/>
    <w:rsid w:val="00755AEE"/>
    <w:rsid w:val="00755C45"/>
    <w:rsid w:val="00756B0F"/>
    <w:rsid w:val="00756B5D"/>
    <w:rsid w:val="00756D73"/>
    <w:rsid w:val="00756F34"/>
    <w:rsid w:val="00757085"/>
    <w:rsid w:val="00757146"/>
    <w:rsid w:val="00757C67"/>
    <w:rsid w:val="00760622"/>
    <w:rsid w:val="007610A8"/>
    <w:rsid w:val="00761316"/>
    <w:rsid w:val="00761838"/>
    <w:rsid w:val="007619B3"/>
    <w:rsid w:val="00761A1D"/>
    <w:rsid w:val="00761AFE"/>
    <w:rsid w:val="00761E1F"/>
    <w:rsid w:val="00761EA9"/>
    <w:rsid w:val="00761FD2"/>
    <w:rsid w:val="007620B1"/>
    <w:rsid w:val="00762A15"/>
    <w:rsid w:val="00762ED2"/>
    <w:rsid w:val="00762F0A"/>
    <w:rsid w:val="007630F7"/>
    <w:rsid w:val="00763763"/>
    <w:rsid w:val="007645FE"/>
    <w:rsid w:val="007649B1"/>
    <w:rsid w:val="00764E35"/>
    <w:rsid w:val="00764FE0"/>
    <w:rsid w:val="007651F9"/>
    <w:rsid w:val="00765276"/>
    <w:rsid w:val="00765629"/>
    <w:rsid w:val="00765ECC"/>
    <w:rsid w:val="00766064"/>
    <w:rsid w:val="007664EC"/>
    <w:rsid w:val="00766586"/>
    <w:rsid w:val="007668A6"/>
    <w:rsid w:val="00766AE6"/>
    <w:rsid w:val="00766BB2"/>
    <w:rsid w:val="00767A42"/>
    <w:rsid w:val="00770480"/>
    <w:rsid w:val="00770ADF"/>
    <w:rsid w:val="00770D4D"/>
    <w:rsid w:val="0077173E"/>
    <w:rsid w:val="0077188C"/>
    <w:rsid w:val="007721E9"/>
    <w:rsid w:val="0077231D"/>
    <w:rsid w:val="00772ABD"/>
    <w:rsid w:val="00772C76"/>
    <w:rsid w:val="0077303F"/>
    <w:rsid w:val="0077307F"/>
    <w:rsid w:val="0077325B"/>
    <w:rsid w:val="00773536"/>
    <w:rsid w:val="007735CC"/>
    <w:rsid w:val="00773B71"/>
    <w:rsid w:val="00773F0B"/>
    <w:rsid w:val="007740A4"/>
    <w:rsid w:val="0077424D"/>
    <w:rsid w:val="007744B1"/>
    <w:rsid w:val="007747B2"/>
    <w:rsid w:val="00774A46"/>
    <w:rsid w:val="00774C7D"/>
    <w:rsid w:val="00774CE5"/>
    <w:rsid w:val="00775079"/>
    <w:rsid w:val="0077513D"/>
    <w:rsid w:val="00775A20"/>
    <w:rsid w:val="00775CF3"/>
    <w:rsid w:val="00775EF3"/>
    <w:rsid w:val="00776044"/>
    <w:rsid w:val="00776C8D"/>
    <w:rsid w:val="00776FED"/>
    <w:rsid w:val="007770AB"/>
    <w:rsid w:val="00777347"/>
    <w:rsid w:val="007773FC"/>
    <w:rsid w:val="00777487"/>
    <w:rsid w:val="00777703"/>
    <w:rsid w:val="00777B8F"/>
    <w:rsid w:val="00777D45"/>
    <w:rsid w:val="00777F14"/>
    <w:rsid w:val="0078040B"/>
    <w:rsid w:val="00780927"/>
    <w:rsid w:val="00780FB2"/>
    <w:rsid w:val="00781407"/>
    <w:rsid w:val="0078163B"/>
    <w:rsid w:val="00781A98"/>
    <w:rsid w:val="007820D4"/>
    <w:rsid w:val="007820DD"/>
    <w:rsid w:val="0078227A"/>
    <w:rsid w:val="00783193"/>
    <w:rsid w:val="00783AA5"/>
    <w:rsid w:val="00783FC3"/>
    <w:rsid w:val="0078416D"/>
    <w:rsid w:val="007841D2"/>
    <w:rsid w:val="007841DC"/>
    <w:rsid w:val="00784599"/>
    <w:rsid w:val="0078470C"/>
    <w:rsid w:val="00784720"/>
    <w:rsid w:val="00784D3E"/>
    <w:rsid w:val="00784E04"/>
    <w:rsid w:val="00785003"/>
    <w:rsid w:val="0078511B"/>
    <w:rsid w:val="0078559F"/>
    <w:rsid w:val="0078564F"/>
    <w:rsid w:val="0078568C"/>
    <w:rsid w:val="00785700"/>
    <w:rsid w:val="007857BA"/>
    <w:rsid w:val="00785B42"/>
    <w:rsid w:val="00785C79"/>
    <w:rsid w:val="00785EEF"/>
    <w:rsid w:val="00786374"/>
    <w:rsid w:val="00786813"/>
    <w:rsid w:val="00786D77"/>
    <w:rsid w:val="0078748A"/>
    <w:rsid w:val="0078775F"/>
    <w:rsid w:val="007878C6"/>
    <w:rsid w:val="0079084C"/>
    <w:rsid w:val="0079088F"/>
    <w:rsid w:val="00790C11"/>
    <w:rsid w:val="00791025"/>
    <w:rsid w:val="00791312"/>
    <w:rsid w:val="007913C9"/>
    <w:rsid w:val="00791659"/>
    <w:rsid w:val="00791AAC"/>
    <w:rsid w:val="007920F4"/>
    <w:rsid w:val="007931F3"/>
    <w:rsid w:val="007933DE"/>
    <w:rsid w:val="00793471"/>
    <w:rsid w:val="00793586"/>
    <w:rsid w:val="00793594"/>
    <w:rsid w:val="007935F5"/>
    <w:rsid w:val="007935FE"/>
    <w:rsid w:val="0079383C"/>
    <w:rsid w:val="0079389A"/>
    <w:rsid w:val="00793DF6"/>
    <w:rsid w:val="007942E3"/>
    <w:rsid w:val="0079453C"/>
    <w:rsid w:val="00794AD2"/>
    <w:rsid w:val="00794D62"/>
    <w:rsid w:val="007950E6"/>
    <w:rsid w:val="0079515C"/>
    <w:rsid w:val="007954AD"/>
    <w:rsid w:val="00795978"/>
    <w:rsid w:val="00795C4F"/>
    <w:rsid w:val="00795CB2"/>
    <w:rsid w:val="00795CE2"/>
    <w:rsid w:val="00797924"/>
    <w:rsid w:val="00797A47"/>
    <w:rsid w:val="00797D9F"/>
    <w:rsid w:val="007A020D"/>
    <w:rsid w:val="007A07C8"/>
    <w:rsid w:val="007A09A7"/>
    <w:rsid w:val="007A1E74"/>
    <w:rsid w:val="007A20B6"/>
    <w:rsid w:val="007A2226"/>
    <w:rsid w:val="007A2931"/>
    <w:rsid w:val="007A2AA4"/>
    <w:rsid w:val="007A2E2C"/>
    <w:rsid w:val="007A2E54"/>
    <w:rsid w:val="007A2F89"/>
    <w:rsid w:val="007A2FE4"/>
    <w:rsid w:val="007A32C9"/>
    <w:rsid w:val="007A379E"/>
    <w:rsid w:val="007A3801"/>
    <w:rsid w:val="007A3A1B"/>
    <w:rsid w:val="007A448B"/>
    <w:rsid w:val="007A45A5"/>
    <w:rsid w:val="007A46F1"/>
    <w:rsid w:val="007A483F"/>
    <w:rsid w:val="007A4BAC"/>
    <w:rsid w:val="007A4DAF"/>
    <w:rsid w:val="007A510A"/>
    <w:rsid w:val="007A59BD"/>
    <w:rsid w:val="007A624B"/>
    <w:rsid w:val="007A6318"/>
    <w:rsid w:val="007A6BE7"/>
    <w:rsid w:val="007A6F12"/>
    <w:rsid w:val="007A730C"/>
    <w:rsid w:val="007A79AA"/>
    <w:rsid w:val="007A7B05"/>
    <w:rsid w:val="007A7DED"/>
    <w:rsid w:val="007A7E00"/>
    <w:rsid w:val="007A7FAC"/>
    <w:rsid w:val="007A7FD0"/>
    <w:rsid w:val="007B05C3"/>
    <w:rsid w:val="007B0719"/>
    <w:rsid w:val="007B0974"/>
    <w:rsid w:val="007B0A89"/>
    <w:rsid w:val="007B0B7F"/>
    <w:rsid w:val="007B0E9C"/>
    <w:rsid w:val="007B0F63"/>
    <w:rsid w:val="007B19E4"/>
    <w:rsid w:val="007B1A45"/>
    <w:rsid w:val="007B1BD6"/>
    <w:rsid w:val="007B21AA"/>
    <w:rsid w:val="007B2AE3"/>
    <w:rsid w:val="007B2B61"/>
    <w:rsid w:val="007B314B"/>
    <w:rsid w:val="007B3BA0"/>
    <w:rsid w:val="007B3CB7"/>
    <w:rsid w:val="007B3E56"/>
    <w:rsid w:val="007B4164"/>
    <w:rsid w:val="007B427A"/>
    <w:rsid w:val="007B482C"/>
    <w:rsid w:val="007B4F43"/>
    <w:rsid w:val="007B5668"/>
    <w:rsid w:val="007B5A74"/>
    <w:rsid w:val="007B5FD2"/>
    <w:rsid w:val="007B6A14"/>
    <w:rsid w:val="007B6A23"/>
    <w:rsid w:val="007B6F35"/>
    <w:rsid w:val="007B7209"/>
    <w:rsid w:val="007B73F4"/>
    <w:rsid w:val="007B7769"/>
    <w:rsid w:val="007B7945"/>
    <w:rsid w:val="007B7991"/>
    <w:rsid w:val="007B7C1D"/>
    <w:rsid w:val="007B7ECA"/>
    <w:rsid w:val="007C03BE"/>
    <w:rsid w:val="007C0427"/>
    <w:rsid w:val="007C0FCB"/>
    <w:rsid w:val="007C101C"/>
    <w:rsid w:val="007C10AF"/>
    <w:rsid w:val="007C1281"/>
    <w:rsid w:val="007C1720"/>
    <w:rsid w:val="007C1AE0"/>
    <w:rsid w:val="007C2646"/>
    <w:rsid w:val="007C2835"/>
    <w:rsid w:val="007C2FA7"/>
    <w:rsid w:val="007C3303"/>
    <w:rsid w:val="007C35BB"/>
    <w:rsid w:val="007C3690"/>
    <w:rsid w:val="007C4700"/>
    <w:rsid w:val="007C5072"/>
    <w:rsid w:val="007C5290"/>
    <w:rsid w:val="007C54A3"/>
    <w:rsid w:val="007C5FDA"/>
    <w:rsid w:val="007C640A"/>
    <w:rsid w:val="007C6482"/>
    <w:rsid w:val="007C67A0"/>
    <w:rsid w:val="007C6BFD"/>
    <w:rsid w:val="007C6F36"/>
    <w:rsid w:val="007C7780"/>
    <w:rsid w:val="007C794F"/>
    <w:rsid w:val="007C7ED9"/>
    <w:rsid w:val="007D0073"/>
    <w:rsid w:val="007D02C0"/>
    <w:rsid w:val="007D04DA"/>
    <w:rsid w:val="007D06DA"/>
    <w:rsid w:val="007D12DE"/>
    <w:rsid w:val="007D13C5"/>
    <w:rsid w:val="007D1E19"/>
    <w:rsid w:val="007D20CF"/>
    <w:rsid w:val="007D2777"/>
    <w:rsid w:val="007D285C"/>
    <w:rsid w:val="007D29AE"/>
    <w:rsid w:val="007D2A4A"/>
    <w:rsid w:val="007D3528"/>
    <w:rsid w:val="007D36DC"/>
    <w:rsid w:val="007D376C"/>
    <w:rsid w:val="007D3C7A"/>
    <w:rsid w:val="007D3D0D"/>
    <w:rsid w:val="007D3E1D"/>
    <w:rsid w:val="007D3E42"/>
    <w:rsid w:val="007D4346"/>
    <w:rsid w:val="007D462F"/>
    <w:rsid w:val="007D4DD5"/>
    <w:rsid w:val="007D50E3"/>
    <w:rsid w:val="007D5898"/>
    <w:rsid w:val="007D660A"/>
    <w:rsid w:val="007D6CFB"/>
    <w:rsid w:val="007D6DC2"/>
    <w:rsid w:val="007D7318"/>
    <w:rsid w:val="007E02C4"/>
    <w:rsid w:val="007E03D2"/>
    <w:rsid w:val="007E04C7"/>
    <w:rsid w:val="007E0766"/>
    <w:rsid w:val="007E0856"/>
    <w:rsid w:val="007E1333"/>
    <w:rsid w:val="007E14F7"/>
    <w:rsid w:val="007E18B7"/>
    <w:rsid w:val="007E1B7D"/>
    <w:rsid w:val="007E1D1B"/>
    <w:rsid w:val="007E1E9C"/>
    <w:rsid w:val="007E2540"/>
    <w:rsid w:val="007E274D"/>
    <w:rsid w:val="007E3007"/>
    <w:rsid w:val="007E3089"/>
    <w:rsid w:val="007E30C5"/>
    <w:rsid w:val="007E324C"/>
    <w:rsid w:val="007E3C10"/>
    <w:rsid w:val="007E3C2A"/>
    <w:rsid w:val="007E452C"/>
    <w:rsid w:val="007E456D"/>
    <w:rsid w:val="007E4606"/>
    <w:rsid w:val="007E57FB"/>
    <w:rsid w:val="007E5877"/>
    <w:rsid w:val="007E5B66"/>
    <w:rsid w:val="007E5DF2"/>
    <w:rsid w:val="007E5F06"/>
    <w:rsid w:val="007E5F89"/>
    <w:rsid w:val="007E664D"/>
    <w:rsid w:val="007E69CF"/>
    <w:rsid w:val="007E69F5"/>
    <w:rsid w:val="007E6A16"/>
    <w:rsid w:val="007E6B23"/>
    <w:rsid w:val="007E6D25"/>
    <w:rsid w:val="007E6E92"/>
    <w:rsid w:val="007E7033"/>
    <w:rsid w:val="007E72CA"/>
    <w:rsid w:val="007E779B"/>
    <w:rsid w:val="007F04DB"/>
    <w:rsid w:val="007F05E3"/>
    <w:rsid w:val="007F0E27"/>
    <w:rsid w:val="007F1079"/>
    <w:rsid w:val="007F11CF"/>
    <w:rsid w:val="007F1AD7"/>
    <w:rsid w:val="007F1C16"/>
    <w:rsid w:val="007F1F16"/>
    <w:rsid w:val="007F2D5C"/>
    <w:rsid w:val="007F3262"/>
    <w:rsid w:val="007F3578"/>
    <w:rsid w:val="007F367A"/>
    <w:rsid w:val="007F3ABB"/>
    <w:rsid w:val="007F3E1B"/>
    <w:rsid w:val="007F428A"/>
    <w:rsid w:val="007F4737"/>
    <w:rsid w:val="007F4876"/>
    <w:rsid w:val="007F4F67"/>
    <w:rsid w:val="007F5961"/>
    <w:rsid w:val="007F5AC8"/>
    <w:rsid w:val="007F5AE0"/>
    <w:rsid w:val="007F5B97"/>
    <w:rsid w:val="007F6082"/>
    <w:rsid w:val="007F62ED"/>
    <w:rsid w:val="007F6794"/>
    <w:rsid w:val="007F6DB6"/>
    <w:rsid w:val="007F6F17"/>
    <w:rsid w:val="007F70CF"/>
    <w:rsid w:val="007F79F2"/>
    <w:rsid w:val="007F7B9B"/>
    <w:rsid w:val="007F7C3D"/>
    <w:rsid w:val="007F7E4E"/>
    <w:rsid w:val="00800186"/>
    <w:rsid w:val="0080026A"/>
    <w:rsid w:val="00801312"/>
    <w:rsid w:val="008013D1"/>
    <w:rsid w:val="0080156C"/>
    <w:rsid w:val="00801EF3"/>
    <w:rsid w:val="008025C8"/>
    <w:rsid w:val="00802A71"/>
    <w:rsid w:val="00802B72"/>
    <w:rsid w:val="0080313D"/>
    <w:rsid w:val="0080323D"/>
    <w:rsid w:val="008033CC"/>
    <w:rsid w:val="008039E4"/>
    <w:rsid w:val="00803FEE"/>
    <w:rsid w:val="008046C8"/>
    <w:rsid w:val="00804B21"/>
    <w:rsid w:val="00804CB9"/>
    <w:rsid w:val="00805425"/>
    <w:rsid w:val="0080579C"/>
    <w:rsid w:val="008058F3"/>
    <w:rsid w:val="0080663F"/>
    <w:rsid w:val="00807346"/>
    <w:rsid w:val="008073E8"/>
    <w:rsid w:val="008103E1"/>
    <w:rsid w:val="00810870"/>
    <w:rsid w:val="0081108D"/>
    <w:rsid w:val="008112AE"/>
    <w:rsid w:val="00811418"/>
    <w:rsid w:val="008114B6"/>
    <w:rsid w:val="00811A44"/>
    <w:rsid w:val="00811F66"/>
    <w:rsid w:val="008127F7"/>
    <w:rsid w:val="00812FDA"/>
    <w:rsid w:val="008134E1"/>
    <w:rsid w:val="00813EED"/>
    <w:rsid w:val="00814002"/>
    <w:rsid w:val="0081434A"/>
    <w:rsid w:val="00814C00"/>
    <w:rsid w:val="00815029"/>
    <w:rsid w:val="00815059"/>
    <w:rsid w:val="008150A7"/>
    <w:rsid w:val="00815554"/>
    <w:rsid w:val="00815D75"/>
    <w:rsid w:val="008162ED"/>
    <w:rsid w:val="00816630"/>
    <w:rsid w:val="00817973"/>
    <w:rsid w:val="00817B0E"/>
    <w:rsid w:val="00817D32"/>
    <w:rsid w:val="008200AD"/>
    <w:rsid w:val="0082026E"/>
    <w:rsid w:val="0082041D"/>
    <w:rsid w:val="00820461"/>
    <w:rsid w:val="008209AE"/>
    <w:rsid w:val="00820EDE"/>
    <w:rsid w:val="00821421"/>
    <w:rsid w:val="008218DC"/>
    <w:rsid w:val="008219E4"/>
    <w:rsid w:val="00821B5C"/>
    <w:rsid w:val="00821CAB"/>
    <w:rsid w:val="00821D79"/>
    <w:rsid w:val="00821E8A"/>
    <w:rsid w:val="00822279"/>
    <w:rsid w:val="008222C4"/>
    <w:rsid w:val="008223FE"/>
    <w:rsid w:val="0082259F"/>
    <w:rsid w:val="00822F67"/>
    <w:rsid w:val="00823183"/>
    <w:rsid w:val="008234AE"/>
    <w:rsid w:val="0082368D"/>
    <w:rsid w:val="00823921"/>
    <w:rsid w:val="00823A06"/>
    <w:rsid w:val="00823A34"/>
    <w:rsid w:val="00823DBD"/>
    <w:rsid w:val="00823EF3"/>
    <w:rsid w:val="00824139"/>
    <w:rsid w:val="00824333"/>
    <w:rsid w:val="008244F9"/>
    <w:rsid w:val="008245D6"/>
    <w:rsid w:val="00824972"/>
    <w:rsid w:val="0082509C"/>
    <w:rsid w:val="008250B9"/>
    <w:rsid w:val="00825327"/>
    <w:rsid w:val="0082535D"/>
    <w:rsid w:val="008258D6"/>
    <w:rsid w:val="0082676D"/>
    <w:rsid w:val="008268DC"/>
    <w:rsid w:val="00826C29"/>
    <w:rsid w:val="00826D41"/>
    <w:rsid w:val="00826E1F"/>
    <w:rsid w:val="0082717C"/>
    <w:rsid w:val="0082730E"/>
    <w:rsid w:val="00827A7C"/>
    <w:rsid w:val="00827A8E"/>
    <w:rsid w:val="0083076C"/>
    <w:rsid w:val="00830C4D"/>
    <w:rsid w:val="0083133D"/>
    <w:rsid w:val="0083142E"/>
    <w:rsid w:val="0083158E"/>
    <w:rsid w:val="0083189E"/>
    <w:rsid w:val="00831DA7"/>
    <w:rsid w:val="00831F7A"/>
    <w:rsid w:val="00832433"/>
    <w:rsid w:val="008325E4"/>
    <w:rsid w:val="008332E0"/>
    <w:rsid w:val="00833505"/>
    <w:rsid w:val="0083377A"/>
    <w:rsid w:val="0083384B"/>
    <w:rsid w:val="00833DA0"/>
    <w:rsid w:val="008341D2"/>
    <w:rsid w:val="008341DE"/>
    <w:rsid w:val="00834BE0"/>
    <w:rsid w:val="00834CB8"/>
    <w:rsid w:val="0083532C"/>
    <w:rsid w:val="008357CF"/>
    <w:rsid w:val="008363A8"/>
    <w:rsid w:val="00836A09"/>
    <w:rsid w:val="00836E17"/>
    <w:rsid w:val="00836FB8"/>
    <w:rsid w:val="00837212"/>
    <w:rsid w:val="008402E1"/>
    <w:rsid w:val="0084030F"/>
    <w:rsid w:val="00840827"/>
    <w:rsid w:val="00840856"/>
    <w:rsid w:val="00840FBC"/>
    <w:rsid w:val="008410DB"/>
    <w:rsid w:val="00841B9A"/>
    <w:rsid w:val="008421AE"/>
    <w:rsid w:val="00842D44"/>
    <w:rsid w:val="00842D94"/>
    <w:rsid w:val="00842DF4"/>
    <w:rsid w:val="00843284"/>
    <w:rsid w:val="0084351E"/>
    <w:rsid w:val="00843669"/>
    <w:rsid w:val="00843735"/>
    <w:rsid w:val="0084393C"/>
    <w:rsid w:val="00843AAA"/>
    <w:rsid w:val="0084405B"/>
    <w:rsid w:val="008440F0"/>
    <w:rsid w:val="008444A5"/>
    <w:rsid w:val="008444C6"/>
    <w:rsid w:val="00844AA2"/>
    <w:rsid w:val="00845126"/>
    <w:rsid w:val="00845336"/>
    <w:rsid w:val="00845E10"/>
    <w:rsid w:val="008461E2"/>
    <w:rsid w:val="00846471"/>
    <w:rsid w:val="0084674D"/>
    <w:rsid w:val="00846AF0"/>
    <w:rsid w:val="00846AFD"/>
    <w:rsid w:val="00847389"/>
    <w:rsid w:val="00850458"/>
    <w:rsid w:val="008507DE"/>
    <w:rsid w:val="00851564"/>
    <w:rsid w:val="008515B5"/>
    <w:rsid w:val="00851B56"/>
    <w:rsid w:val="00851E45"/>
    <w:rsid w:val="00851F02"/>
    <w:rsid w:val="00852000"/>
    <w:rsid w:val="00852384"/>
    <w:rsid w:val="00852741"/>
    <w:rsid w:val="0085294F"/>
    <w:rsid w:val="0085295D"/>
    <w:rsid w:val="008529F7"/>
    <w:rsid w:val="00853322"/>
    <w:rsid w:val="00853442"/>
    <w:rsid w:val="00853744"/>
    <w:rsid w:val="008541B8"/>
    <w:rsid w:val="008545E2"/>
    <w:rsid w:val="008546E2"/>
    <w:rsid w:val="00854D28"/>
    <w:rsid w:val="00854D33"/>
    <w:rsid w:val="008555D2"/>
    <w:rsid w:val="008557D9"/>
    <w:rsid w:val="008559A4"/>
    <w:rsid w:val="00855D55"/>
    <w:rsid w:val="0085651F"/>
    <w:rsid w:val="00856F67"/>
    <w:rsid w:val="0085747D"/>
    <w:rsid w:val="00857646"/>
    <w:rsid w:val="008578F2"/>
    <w:rsid w:val="008603A5"/>
    <w:rsid w:val="008607EF"/>
    <w:rsid w:val="008610AF"/>
    <w:rsid w:val="0086113D"/>
    <w:rsid w:val="00861193"/>
    <w:rsid w:val="008619BD"/>
    <w:rsid w:val="00861B74"/>
    <w:rsid w:val="00861F91"/>
    <w:rsid w:val="00862577"/>
    <w:rsid w:val="008626CB"/>
    <w:rsid w:val="00862722"/>
    <w:rsid w:val="0086326A"/>
    <w:rsid w:val="00863592"/>
    <w:rsid w:val="008636DB"/>
    <w:rsid w:val="008636FE"/>
    <w:rsid w:val="008639E8"/>
    <w:rsid w:val="00864151"/>
    <w:rsid w:val="0086534B"/>
    <w:rsid w:val="008653D4"/>
    <w:rsid w:val="00865CD9"/>
    <w:rsid w:val="0086611B"/>
    <w:rsid w:val="0086699A"/>
    <w:rsid w:val="00866ED6"/>
    <w:rsid w:val="008670CF"/>
    <w:rsid w:val="0086739F"/>
    <w:rsid w:val="00867405"/>
    <w:rsid w:val="008674D2"/>
    <w:rsid w:val="008674FC"/>
    <w:rsid w:val="00867B7E"/>
    <w:rsid w:val="008702C7"/>
    <w:rsid w:val="00870326"/>
    <w:rsid w:val="0087048B"/>
    <w:rsid w:val="00870A83"/>
    <w:rsid w:val="00870D63"/>
    <w:rsid w:val="00870E49"/>
    <w:rsid w:val="00870F9C"/>
    <w:rsid w:val="008711BF"/>
    <w:rsid w:val="008716DA"/>
    <w:rsid w:val="00872160"/>
    <w:rsid w:val="0087248E"/>
    <w:rsid w:val="00872631"/>
    <w:rsid w:val="008726D2"/>
    <w:rsid w:val="00872EEA"/>
    <w:rsid w:val="0087302B"/>
    <w:rsid w:val="00873D5A"/>
    <w:rsid w:val="00873DD6"/>
    <w:rsid w:val="00873EE6"/>
    <w:rsid w:val="00874536"/>
    <w:rsid w:val="00874ECA"/>
    <w:rsid w:val="00874ECB"/>
    <w:rsid w:val="00874F27"/>
    <w:rsid w:val="008754F8"/>
    <w:rsid w:val="00875CD1"/>
    <w:rsid w:val="00875CFD"/>
    <w:rsid w:val="00876422"/>
    <w:rsid w:val="008766D5"/>
    <w:rsid w:val="008767D2"/>
    <w:rsid w:val="00876B85"/>
    <w:rsid w:val="0087706E"/>
    <w:rsid w:val="008771B2"/>
    <w:rsid w:val="008775C6"/>
    <w:rsid w:val="0087767A"/>
    <w:rsid w:val="008776BC"/>
    <w:rsid w:val="0087775A"/>
    <w:rsid w:val="00877976"/>
    <w:rsid w:val="008803A3"/>
    <w:rsid w:val="00880685"/>
    <w:rsid w:val="008806C9"/>
    <w:rsid w:val="008809F8"/>
    <w:rsid w:val="00880BE4"/>
    <w:rsid w:val="00881386"/>
    <w:rsid w:val="008817BC"/>
    <w:rsid w:val="008819CC"/>
    <w:rsid w:val="00882EDA"/>
    <w:rsid w:val="008830FF"/>
    <w:rsid w:val="00883413"/>
    <w:rsid w:val="00883FE5"/>
    <w:rsid w:val="008846DB"/>
    <w:rsid w:val="008847BB"/>
    <w:rsid w:val="008847D8"/>
    <w:rsid w:val="00884A61"/>
    <w:rsid w:val="00884AFE"/>
    <w:rsid w:val="00884CD1"/>
    <w:rsid w:val="008851A0"/>
    <w:rsid w:val="008851CC"/>
    <w:rsid w:val="008858C9"/>
    <w:rsid w:val="008862B8"/>
    <w:rsid w:val="008862DC"/>
    <w:rsid w:val="008867EA"/>
    <w:rsid w:val="00887656"/>
    <w:rsid w:val="00887B11"/>
    <w:rsid w:val="00887C3E"/>
    <w:rsid w:val="00887DC4"/>
    <w:rsid w:val="00887E7A"/>
    <w:rsid w:val="00887FF5"/>
    <w:rsid w:val="00890750"/>
    <w:rsid w:val="008907B9"/>
    <w:rsid w:val="00890DD4"/>
    <w:rsid w:val="00890F95"/>
    <w:rsid w:val="00892699"/>
    <w:rsid w:val="00892D94"/>
    <w:rsid w:val="00892E74"/>
    <w:rsid w:val="00892ED6"/>
    <w:rsid w:val="00893290"/>
    <w:rsid w:val="008936F5"/>
    <w:rsid w:val="00893898"/>
    <w:rsid w:val="00893D81"/>
    <w:rsid w:val="00893E1E"/>
    <w:rsid w:val="008940CB"/>
    <w:rsid w:val="00894B96"/>
    <w:rsid w:val="00894FE4"/>
    <w:rsid w:val="00895920"/>
    <w:rsid w:val="0089600F"/>
    <w:rsid w:val="008960C0"/>
    <w:rsid w:val="0089641F"/>
    <w:rsid w:val="00896695"/>
    <w:rsid w:val="008967DD"/>
    <w:rsid w:val="00897985"/>
    <w:rsid w:val="00897D91"/>
    <w:rsid w:val="00897F0F"/>
    <w:rsid w:val="008A03FD"/>
    <w:rsid w:val="008A07B6"/>
    <w:rsid w:val="008A0D87"/>
    <w:rsid w:val="008A1B8C"/>
    <w:rsid w:val="008A2271"/>
    <w:rsid w:val="008A22E6"/>
    <w:rsid w:val="008A2700"/>
    <w:rsid w:val="008A27D4"/>
    <w:rsid w:val="008A2952"/>
    <w:rsid w:val="008A2B2E"/>
    <w:rsid w:val="008A3401"/>
    <w:rsid w:val="008A348E"/>
    <w:rsid w:val="008A388C"/>
    <w:rsid w:val="008A39D0"/>
    <w:rsid w:val="008A3FDA"/>
    <w:rsid w:val="008A41F6"/>
    <w:rsid w:val="008A443E"/>
    <w:rsid w:val="008A4FC1"/>
    <w:rsid w:val="008A5463"/>
    <w:rsid w:val="008A59FA"/>
    <w:rsid w:val="008A5D05"/>
    <w:rsid w:val="008A5FA8"/>
    <w:rsid w:val="008A62C4"/>
    <w:rsid w:val="008A646C"/>
    <w:rsid w:val="008A67BF"/>
    <w:rsid w:val="008A6AE9"/>
    <w:rsid w:val="008A6E24"/>
    <w:rsid w:val="008A7151"/>
    <w:rsid w:val="008A7912"/>
    <w:rsid w:val="008B005E"/>
    <w:rsid w:val="008B040A"/>
    <w:rsid w:val="008B0BEF"/>
    <w:rsid w:val="008B0E0C"/>
    <w:rsid w:val="008B1589"/>
    <w:rsid w:val="008B1933"/>
    <w:rsid w:val="008B1CA5"/>
    <w:rsid w:val="008B1DE9"/>
    <w:rsid w:val="008B32DC"/>
    <w:rsid w:val="008B33A5"/>
    <w:rsid w:val="008B3502"/>
    <w:rsid w:val="008B4074"/>
    <w:rsid w:val="008B40A0"/>
    <w:rsid w:val="008B4277"/>
    <w:rsid w:val="008B4889"/>
    <w:rsid w:val="008B5168"/>
    <w:rsid w:val="008B5250"/>
    <w:rsid w:val="008B58D4"/>
    <w:rsid w:val="008B5BA9"/>
    <w:rsid w:val="008B5FC0"/>
    <w:rsid w:val="008B6894"/>
    <w:rsid w:val="008B68CE"/>
    <w:rsid w:val="008B6D8F"/>
    <w:rsid w:val="008B707E"/>
    <w:rsid w:val="008B70D5"/>
    <w:rsid w:val="008B79C6"/>
    <w:rsid w:val="008B7E68"/>
    <w:rsid w:val="008C0224"/>
    <w:rsid w:val="008C027C"/>
    <w:rsid w:val="008C04A4"/>
    <w:rsid w:val="008C0B6B"/>
    <w:rsid w:val="008C0F4C"/>
    <w:rsid w:val="008C1116"/>
    <w:rsid w:val="008C1150"/>
    <w:rsid w:val="008C1162"/>
    <w:rsid w:val="008C1714"/>
    <w:rsid w:val="008C1DB2"/>
    <w:rsid w:val="008C1EB9"/>
    <w:rsid w:val="008C2586"/>
    <w:rsid w:val="008C28C7"/>
    <w:rsid w:val="008C28D9"/>
    <w:rsid w:val="008C293A"/>
    <w:rsid w:val="008C2D34"/>
    <w:rsid w:val="008C352B"/>
    <w:rsid w:val="008C3D4D"/>
    <w:rsid w:val="008C3DC4"/>
    <w:rsid w:val="008C4210"/>
    <w:rsid w:val="008C4376"/>
    <w:rsid w:val="008C44F5"/>
    <w:rsid w:val="008C45E6"/>
    <w:rsid w:val="008C497D"/>
    <w:rsid w:val="008C4F21"/>
    <w:rsid w:val="008C5210"/>
    <w:rsid w:val="008C547D"/>
    <w:rsid w:val="008C556E"/>
    <w:rsid w:val="008C5B1B"/>
    <w:rsid w:val="008C5D3F"/>
    <w:rsid w:val="008C5F45"/>
    <w:rsid w:val="008C6150"/>
    <w:rsid w:val="008C664B"/>
    <w:rsid w:val="008C6BC0"/>
    <w:rsid w:val="008C6F16"/>
    <w:rsid w:val="008C6FE0"/>
    <w:rsid w:val="008C7D63"/>
    <w:rsid w:val="008C7D81"/>
    <w:rsid w:val="008C7F14"/>
    <w:rsid w:val="008C7F5E"/>
    <w:rsid w:val="008D0281"/>
    <w:rsid w:val="008D18E1"/>
    <w:rsid w:val="008D19E4"/>
    <w:rsid w:val="008D1A4E"/>
    <w:rsid w:val="008D1C8C"/>
    <w:rsid w:val="008D24FB"/>
    <w:rsid w:val="008D269F"/>
    <w:rsid w:val="008D2DD9"/>
    <w:rsid w:val="008D30B1"/>
    <w:rsid w:val="008D3D8B"/>
    <w:rsid w:val="008D4097"/>
    <w:rsid w:val="008D4407"/>
    <w:rsid w:val="008D44AB"/>
    <w:rsid w:val="008D47D6"/>
    <w:rsid w:val="008D4834"/>
    <w:rsid w:val="008D4B21"/>
    <w:rsid w:val="008D511E"/>
    <w:rsid w:val="008D52A7"/>
    <w:rsid w:val="008D56D6"/>
    <w:rsid w:val="008D5E6A"/>
    <w:rsid w:val="008D646F"/>
    <w:rsid w:val="008D64D4"/>
    <w:rsid w:val="008D65C8"/>
    <w:rsid w:val="008D65DD"/>
    <w:rsid w:val="008D68C7"/>
    <w:rsid w:val="008D69AB"/>
    <w:rsid w:val="008D6B2E"/>
    <w:rsid w:val="008D6C34"/>
    <w:rsid w:val="008D742F"/>
    <w:rsid w:val="008D7693"/>
    <w:rsid w:val="008D7EE4"/>
    <w:rsid w:val="008E0D5C"/>
    <w:rsid w:val="008E0EA4"/>
    <w:rsid w:val="008E0FAB"/>
    <w:rsid w:val="008E0FAF"/>
    <w:rsid w:val="008E0FC6"/>
    <w:rsid w:val="008E12D8"/>
    <w:rsid w:val="008E1630"/>
    <w:rsid w:val="008E1EC5"/>
    <w:rsid w:val="008E20A6"/>
    <w:rsid w:val="008E29D9"/>
    <w:rsid w:val="008E42F7"/>
    <w:rsid w:val="008E4E74"/>
    <w:rsid w:val="008E5414"/>
    <w:rsid w:val="008E5527"/>
    <w:rsid w:val="008E597D"/>
    <w:rsid w:val="008E5C56"/>
    <w:rsid w:val="008E65F4"/>
    <w:rsid w:val="008E68AA"/>
    <w:rsid w:val="008E699F"/>
    <w:rsid w:val="008E739E"/>
    <w:rsid w:val="008E7A9C"/>
    <w:rsid w:val="008E7C86"/>
    <w:rsid w:val="008F0065"/>
    <w:rsid w:val="008F0650"/>
    <w:rsid w:val="008F067B"/>
    <w:rsid w:val="008F0908"/>
    <w:rsid w:val="008F09F6"/>
    <w:rsid w:val="008F0D6B"/>
    <w:rsid w:val="008F0F65"/>
    <w:rsid w:val="008F13EB"/>
    <w:rsid w:val="008F1550"/>
    <w:rsid w:val="008F16C6"/>
    <w:rsid w:val="008F1923"/>
    <w:rsid w:val="008F1BD5"/>
    <w:rsid w:val="008F1E54"/>
    <w:rsid w:val="008F2A6C"/>
    <w:rsid w:val="008F2DFB"/>
    <w:rsid w:val="008F2F49"/>
    <w:rsid w:val="008F3992"/>
    <w:rsid w:val="008F3B79"/>
    <w:rsid w:val="008F41AC"/>
    <w:rsid w:val="008F4205"/>
    <w:rsid w:val="008F4767"/>
    <w:rsid w:val="008F4DF6"/>
    <w:rsid w:val="008F5031"/>
    <w:rsid w:val="008F57DC"/>
    <w:rsid w:val="008F58E3"/>
    <w:rsid w:val="008F626E"/>
    <w:rsid w:val="008F6BBE"/>
    <w:rsid w:val="008F6C28"/>
    <w:rsid w:val="008F6C9F"/>
    <w:rsid w:val="008F6E84"/>
    <w:rsid w:val="008F7032"/>
    <w:rsid w:val="008F710F"/>
    <w:rsid w:val="008F75ED"/>
    <w:rsid w:val="008F78C2"/>
    <w:rsid w:val="00900C69"/>
    <w:rsid w:val="00900F86"/>
    <w:rsid w:val="00901289"/>
    <w:rsid w:val="0090187A"/>
    <w:rsid w:val="00901C2D"/>
    <w:rsid w:val="009023FE"/>
    <w:rsid w:val="0090244D"/>
    <w:rsid w:val="009027C3"/>
    <w:rsid w:val="00902AB3"/>
    <w:rsid w:val="00902CD2"/>
    <w:rsid w:val="00902CED"/>
    <w:rsid w:val="00902E8B"/>
    <w:rsid w:val="00903318"/>
    <w:rsid w:val="00903F22"/>
    <w:rsid w:val="00903FD8"/>
    <w:rsid w:val="009040FF"/>
    <w:rsid w:val="009043DB"/>
    <w:rsid w:val="009044F8"/>
    <w:rsid w:val="00905094"/>
    <w:rsid w:val="009050B9"/>
    <w:rsid w:val="009054DA"/>
    <w:rsid w:val="0090565A"/>
    <w:rsid w:val="00905818"/>
    <w:rsid w:val="00905AA0"/>
    <w:rsid w:val="00905FDF"/>
    <w:rsid w:val="009063FF"/>
    <w:rsid w:val="009065AD"/>
    <w:rsid w:val="00906A32"/>
    <w:rsid w:val="00906D52"/>
    <w:rsid w:val="009076BE"/>
    <w:rsid w:val="0090789F"/>
    <w:rsid w:val="00907E3D"/>
    <w:rsid w:val="00907EC4"/>
    <w:rsid w:val="00910869"/>
    <w:rsid w:val="00910E9A"/>
    <w:rsid w:val="009120AD"/>
    <w:rsid w:val="009124F4"/>
    <w:rsid w:val="0091294A"/>
    <w:rsid w:val="00912E4C"/>
    <w:rsid w:val="00912FF9"/>
    <w:rsid w:val="00913191"/>
    <w:rsid w:val="0091340E"/>
    <w:rsid w:val="00913785"/>
    <w:rsid w:val="00913CD9"/>
    <w:rsid w:val="00913DCF"/>
    <w:rsid w:val="00913E58"/>
    <w:rsid w:val="00913EE7"/>
    <w:rsid w:val="009140AE"/>
    <w:rsid w:val="0091411A"/>
    <w:rsid w:val="00914235"/>
    <w:rsid w:val="00914519"/>
    <w:rsid w:val="00915034"/>
    <w:rsid w:val="00915331"/>
    <w:rsid w:val="00915A1E"/>
    <w:rsid w:val="00915E4D"/>
    <w:rsid w:val="00915FAF"/>
    <w:rsid w:val="0091607A"/>
    <w:rsid w:val="009166F8"/>
    <w:rsid w:val="00916792"/>
    <w:rsid w:val="009167A4"/>
    <w:rsid w:val="00917066"/>
    <w:rsid w:val="0091754F"/>
    <w:rsid w:val="00917670"/>
    <w:rsid w:val="009176E6"/>
    <w:rsid w:val="0091786C"/>
    <w:rsid w:val="00917928"/>
    <w:rsid w:val="00917B13"/>
    <w:rsid w:val="0092054B"/>
    <w:rsid w:val="00920F6A"/>
    <w:rsid w:val="00921045"/>
    <w:rsid w:val="0092126E"/>
    <w:rsid w:val="009215A5"/>
    <w:rsid w:val="0092193B"/>
    <w:rsid w:val="00921A95"/>
    <w:rsid w:val="00921C0E"/>
    <w:rsid w:val="00921C31"/>
    <w:rsid w:val="00921FFA"/>
    <w:rsid w:val="00922DB2"/>
    <w:rsid w:val="0092326D"/>
    <w:rsid w:val="00923721"/>
    <w:rsid w:val="009238CE"/>
    <w:rsid w:val="00923C44"/>
    <w:rsid w:val="00923EB4"/>
    <w:rsid w:val="009240B9"/>
    <w:rsid w:val="0092472D"/>
    <w:rsid w:val="00924858"/>
    <w:rsid w:val="00924C51"/>
    <w:rsid w:val="00924EF5"/>
    <w:rsid w:val="00924F47"/>
    <w:rsid w:val="0092558D"/>
    <w:rsid w:val="0092564E"/>
    <w:rsid w:val="00925954"/>
    <w:rsid w:val="00925B6E"/>
    <w:rsid w:val="00925BFC"/>
    <w:rsid w:val="009262F8"/>
    <w:rsid w:val="00926764"/>
    <w:rsid w:val="00926944"/>
    <w:rsid w:val="00926A29"/>
    <w:rsid w:val="009273F9"/>
    <w:rsid w:val="00927AEC"/>
    <w:rsid w:val="00927F47"/>
    <w:rsid w:val="0093066B"/>
    <w:rsid w:val="00930955"/>
    <w:rsid w:val="00930AA0"/>
    <w:rsid w:val="00930C8C"/>
    <w:rsid w:val="00930F4C"/>
    <w:rsid w:val="0093114A"/>
    <w:rsid w:val="009313D6"/>
    <w:rsid w:val="00931693"/>
    <w:rsid w:val="0093170A"/>
    <w:rsid w:val="00931744"/>
    <w:rsid w:val="00931883"/>
    <w:rsid w:val="0093219D"/>
    <w:rsid w:val="00932242"/>
    <w:rsid w:val="0093278F"/>
    <w:rsid w:val="00932EF4"/>
    <w:rsid w:val="00933220"/>
    <w:rsid w:val="00933257"/>
    <w:rsid w:val="00933630"/>
    <w:rsid w:val="00934399"/>
    <w:rsid w:val="00934750"/>
    <w:rsid w:val="009347DC"/>
    <w:rsid w:val="00934A06"/>
    <w:rsid w:val="00934CD4"/>
    <w:rsid w:val="00935415"/>
    <w:rsid w:val="00935486"/>
    <w:rsid w:val="00935881"/>
    <w:rsid w:val="00935C51"/>
    <w:rsid w:val="00936597"/>
    <w:rsid w:val="00936B23"/>
    <w:rsid w:val="00936C44"/>
    <w:rsid w:val="00936DD1"/>
    <w:rsid w:val="009371E4"/>
    <w:rsid w:val="00937A82"/>
    <w:rsid w:val="009404A0"/>
    <w:rsid w:val="00940577"/>
    <w:rsid w:val="0094087A"/>
    <w:rsid w:val="0094099A"/>
    <w:rsid w:val="00940CB9"/>
    <w:rsid w:val="00941125"/>
    <w:rsid w:val="009417D3"/>
    <w:rsid w:val="00943187"/>
    <w:rsid w:val="009431AF"/>
    <w:rsid w:val="0094323F"/>
    <w:rsid w:val="0094327C"/>
    <w:rsid w:val="00943536"/>
    <w:rsid w:val="00943664"/>
    <w:rsid w:val="0094372D"/>
    <w:rsid w:val="00943A43"/>
    <w:rsid w:val="00943C05"/>
    <w:rsid w:val="00943E1F"/>
    <w:rsid w:val="00944717"/>
    <w:rsid w:val="0094540B"/>
    <w:rsid w:val="00945831"/>
    <w:rsid w:val="00945B11"/>
    <w:rsid w:val="00945F32"/>
    <w:rsid w:val="0094660E"/>
    <w:rsid w:val="009466F0"/>
    <w:rsid w:val="00946843"/>
    <w:rsid w:val="00946FB9"/>
    <w:rsid w:val="009479A0"/>
    <w:rsid w:val="0095006B"/>
    <w:rsid w:val="0095082E"/>
    <w:rsid w:val="00950A32"/>
    <w:rsid w:val="00950BF8"/>
    <w:rsid w:val="00950EDC"/>
    <w:rsid w:val="009511D4"/>
    <w:rsid w:val="00951637"/>
    <w:rsid w:val="009516CC"/>
    <w:rsid w:val="0095182F"/>
    <w:rsid w:val="00951D2E"/>
    <w:rsid w:val="0095205F"/>
    <w:rsid w:val="009523C8"/>
    <w:rsid w:val="009524F8"/>
    <w:rsid w:val="0095251B"/>
    <w:rsid w:val="0095267C"/>
    <w:rsid w:val="00952FCD"/>
    <w:rsid w:val="00953225"/>
    <w:rsid w:val="0095334D"/>
    <w:rsid w:val="00953724"/>
    <w:rsid w:val="00953891"/>
    <w:rsid w:val="0095393E"/>
    <w:rsid w:val="00953E2E"/>
    <w:rsid w:val="00954309"/>
    <w:rsid w:val="00954536"/>
    <w:rsid w:val="00954806"/>
    <w:rsid w:val="0095489B"/>
    <w:rsid w:val="009554CE"/>
    <w:rsid w:val="00955503"/>
    <w:rsid w:val="00955A35"/>
    <w:rsid w:val="00955AEB"/>
    <w:rsid w:val="009560D3"/>
    <w:rsid w:val="009562D6"/>
    <w:rsid w:val="0095649A"/>
    <w:rsid w:val="00956605"/>
    <w:rsid w:val="00956AFB"/>
    <w:rsid w:val="00956EA5"/>
    <w:rsid w:val="00957087"/>
    <w:rsid w:val="009570B3"/>
    <w:rsid w:val="00957278"/>
    <w:rsid w:val="009572BA"/>
    <w:rsid w:val="00957907"/>
    <w:rsid w:val="009602B0"/>
    <w:rsid w:val="009606D9"/>
    <w:rsid w:val="0096076E"/>
    <w:rsid w:val="0096094E"/>
    <w:rsid w:val="00960B1A"/>
    <w:rsid w:val="00960C2F"/>
    <w:rsid w:val="00960D50"/>
    <w:rsid w:val="009610D4"/>
    <w:rsid w:val="0096120F"/>
    <w:rsid w:val="00961339"/>
    <w:rsid w:val="00961662"/>
    <w:rsid w:val="00961A9E"/>
    <w:rsid w:val="00961EEE"/>
    <w:rsid w:val="00962251"/>
    <w:rsid w:val="009622B0"/>
    <w:rsid w:val="00962332"/>
    <w:rsid w:val="00962845"/>
    <w:rsid w:val="00962A39"/>
    <w:rsid w:val="00962B3F"/>
    <w:rsid w:val="0096340E"/>
    <w:rsid w:val="00963599"/>
    <w:rsid w:val="00963E14"/>
    <w:rsid w:val="009640A8"/>
    <w:rsid w:val="00964135"/>
    <w:rsid w:val="009644A3"/>
    <w:rsid w:val="00964601"/>
    <w:rsid w:val="00964673"/>
    <w:rsid w:val="00964C03"/>
    <w:rsid w:val="009656A3"/>
    <w:rsid w:val="009657F4"/>
    <w:rsid w:val="00965CE1"/>
    <w:rsid w:val="00965CE6"/>
    <w:rsid w:val="00965ED1"/>
    <w:rsid w:val="00966045"/>
    <w:rsid w:val="0096611A"/>
    <w:rsid w:val="00966340"/>
    <w:rsid w:val="00966835"/>
    <w:rsid w:val="0096683C"/>
    <w:rsid w:val="00966ED0"/>
    <w:rsid w:val="00966F9F"/>
    <w:rsid w:val="00967309"/>
    <w:rsid w:val="0096745B"/>
    <w:rsid w:val="0096749F"/>
    <w:rsid w:val="00967A10"/>
    <w:rsid w:val="00967D37"/>
    <w:rsid w:val="00970434"/>
    <w:rsid w:val="009706D2"/>
    <w:rsid w:val="009707C6"/>
    <w:rsid w:val="00970924"/>
    <w:rsid w:val="00970A5E"/>
    <w:rsid w:val="00970C6A"/>
    <w:rsid w:val="009716F0"/>
    <w:rsid w:val="00971B51"/>
    <w:rsid w:val="009724FD"/>
    <w:rsid w:val="00972797"/>
    <w:rsid w:val="00972C79"/>
    <w:rsid w:val="00972DA4"/>
    <w:rsid w:val="009732DE"/>
    <w:rsid w:val="00973446"/>
    <w:rsid w:val="009739C0"/>
    <w:rsid w:val="00973AD8"/>
    <w:rsid w:val="00973DD5"/>
    <w:rsid w:val="00974CE8"/>
    <w:rsid w:val="00974D14"/>
    <w:rsid w:val="00975479"/>
    <w:rsid w:val="009756C9"/>
    <w:rsid w:val="00975BC4"/>
    <w:rsid w:val="00975DB1"/>
    <w:rsid w:val="0097601B"/>
    <w:rsid w:val="00976258"/>
    <w:rsid w:val="009766A2"/>
    <w:rsid w:val="00976A83"/>
    <w:rsid w:val="00976BAC"/>
    <w:rsid w:val="00976C37"/>
    <w:rsid w:val="00976CD0"/>
    <w:rsid w:val="009771BF"/>
    <w:rsid w:val="0097750D"/>
    <w:rsid w:val="0097798D"/>
    <w:rsid w:val="00977AD7"/>
    <w:rsid w:val="00977E97"/>
    <w:rsid w:val="009800FA"/>
    <w:rsid w:val="009808EE"/>
    <w:rsid w:val="00980939"/>
    <w:rsid w:val="00980D73"/>
    <w:rsid w:val="00980DA0"/>
    <w:rsid w:val="00980EFC"/>
    <w:rsid w:val="00980F9D"/>
    <w:rsid w:val="00981008"/>
    <w:rsid w:val="009813B0"/>
    <w:rsid w:val="009815B3"/>
    <w:rsid w:val="009816AC"/>
    <w:rsid w:val="009825F7"/>
    <w:rsid w:val="00982AB4"/>
    <w:rsid w:val="00982F37"/>
    <w:rsid w:val="00982F4E"/>
    <w:rsid w:val="009830C6"/>
    <w:rsid w:val="009831E6"/>
    <w:rsid w:val="00983BDE"/>
    <w:rsid w:val="00983D3C"/>
    <w:rsid w:val="00983EE4"/>
    <w:rsid w:val="00983F71"/>
    <w:rsid w:val="00984285"/>
    <w:rsid w:val="009842BA"/>
    <w:rsid w:val="009846C8"/>
    <w:rsid w:val="0098496F"/>
    <w:rsid w:val="00984A18"/>
    <w:rsid w:val="00984A45"/>
    <w:rsid w:val="00984EB6"/>
    <w:rsid w:val="00985242"/>
    <w:rsid w:val="0098573A"/>
    <w:rsid w:val="00985A60"/>
    <w:rsid w:val="00985AC8"/>
    <w:rsid w:val="00986546"/>
    <w:rsid w:val="009865E9"/>
    <w:rsid w:val="00986A21"/>
    <w:rsid w:val="00986E38"/>
    <w:rsid w:val="00986EFB"/>
    <w:rsid w:val="00986FFC"/>
    <w:rsid w:val="0098750C"/>
    <w:rsid w:val="009875F5"/>
    <w:rsid w:val="00987653"/>
    <w:rsid w:val="00987EEF"/>
    <w:rsid w:val="00987F16"/>
    <w:rsid w:val="0099004C"/>
    <w:rsid w:val="00990554"/>
    <w:rsid w:val="00990988"/>
    <w:rsid w:val="00990C36"/>
    <w:rsid w:val="00990D7F"/>
    <w:rsid w:val="00990E64"/>
    <w:rsid w:val="00990EA2"/>
    <w:rsid w:val="00990F07"/>
    <w:rsid w:val="00991822"/>
    <w:rsid w:val="00991BDB"/>
    <w:rsid w:val="00991DB9"/>
    <w:rsid w:val="009924FE"/>
    <w:rsid w:val="00992567"/>
    <w:rsid w:val="00992A97"/>
    <w:rsid w:val="0099322C"/>
    <w:rsid w:val="00993C70"/>
    <w:rsid w:val="009943E8"/>
    <w:rsid w:val="009945C0"/>
    <w:rsid w:val="009949FE"/>
    <w:rsid w:val="00994E25"/>
    <w:rsid w:val="009950D3"/>
    <w:rsid w:val="009957F5"/>
    <w:rsid w:val="00995A49"/>
    <w:rsid w:val="00995BB4"/>
    <w:rsid w:val="00995C45"/>
    <w:rsid w:val="0099634D"/>
    <w:rsid w:val="00996459"/>
    <w:rsid w:val="009966B8"/>
    <w:rsid w:val="00996714"/>
    <w:rsid w:val="00996FF5"/>
    <w:rsid w:val="009970A7"/>
    <w:rsid w:val="00997391"/>
    <w:rsid w:val="0099785E"/>
    <w:rsid w:val="00997A2D"/>
    <w:rsid w:val="00997BBE"/>
    <w:rsid w:val="00997DF8"/>
    <w:rsid w:val="00997E3E"/>
    <w:rsid w:val="009A01AE"/>
    <w:rsid w:val="009A043A"/>
    <w:rsid w:val="009A053F"/>
    <w:rsid w:val="009A0816"/>
    <w:rsid w:val="009A0A65"/>
    <w:rsid w:val="009A0BD7"/>
    <w:rsid w:val="009A0F42"/>
    <w:rsid w:val="009A11C2"/>
    <w:rsid w:val="009A1281"/>
    <w:rsid w:val="009A17DF"/>
    <w:rsid w:val="009A2810"/>
    <w:rsid w:val="009A3022"/>
    <w:rsid w:val="009A3B1F"/>
    <w:rsid w:val="009A4214"/>
    <w:rsid w:val="009A441F"/>
    <w:rsid w:val="009A4587"/>
    <w:rsid w:val="009A46A1"/>
    <w:rsid w:val="009A51A8"/>
    <w:rsid w:val="009A5651"/>
    <w:rsid w:val="009A5732"/>
    <w:rsid w:val="009A5799"/>
    <w:rsid w:val="009A5AF0"/>
    <w:rsid w:val="009A6215"/>
    <w:rsid w:val="009A6804"/>
    <w:rsid w:val="009A6CE3"/>
    <w:rsid w:val="009A6DF6"/>
    <w:rsid w:val="009A7047"/>
    <w:rsid w:val="009A7546"/>
    <w:rsid w:val="009A78B7"/>
    <w:rsid w:val="009A7B06"/>
    <w:rsid w:val="009B058A"/>
    <w:rsid w:val="009B065A"/>
    <w:rsid w:val="009B073A"/>
    <w:rsid w:val="009B0B3E"/>
    <w:rsid w:val="009B0BCC"/>
    <w:rsid w:val="009B0F30"/>
    <w:rsid w:val="009B1036"/>
    <w:rsid w:val="009B13BF"/>
    <w:rsid w:val="009B13FB"/>
    <w:rsid w:val="009B1788"/>
    <w:rsid w:val="009B1949"/>
    <w:rsid w:val="009B2005"/>
    <w:rsid w:val="009B2012"/>
    <w:rsid w:val="009B2041"/>
    <w:rsid w:val="009B2728"/>
    <w:rsid w:val="009B2D28"/>
    <w:rsid w:val="009B2EBC"/>
    <w:rsid w:val="009B2F3C"/>
    <w:rsid w:val="009B3307"/>
    <w:rsid w:val="009B331A"/>
    <w:rsid w:val="009B3722"/>
    <w:rsid w:val="009B3EDD"/>
    <w:rsid w:val="009B4359"/>
    <w:rsid w:val="009B44B0"/>
    <w:rsid w:val="009B48C0"/>
    <w:rsid w:val="009B562F"/>
    <w:rsid w:val="009B59B2"/>
    <w:rsid w:val="009B5A71"/>
    <w:rsid w:val="009B5D2A"/>
    <w:rsid w:val="009B5D3B"/>
    <w:rsid w:val="009B67CA"/>
    <w:rsid w:val="009B69B4"/>
    <w:rsid w:val="009B6B6E"/>
    <w:rsid w:val="009B715D"/>
    <w:rsid w:val="009B7F11"/>
    <w:rsid w:val="009C06B6"/>
    <w:rsid w:val="009C09B2"/>
    <w:rsid w:val="009C0AA3"/>
    <w:rsid w:val="009C0CE5"/>
    <w:rsid w:val="009C12F3"/>
    <w:rsid w:val="009C15F1"/>
    <w:rsid w:val="009C17C9"/>
    <w:rsid w:val="009C18AF"/>
    <w:rsid w:val="009C1A48"/>
    <w:rsid w:val="009C1B89"/>
    <w:rsid w:val="009C20EB"/>
    <w:rsid w:val="009C24AE"/>
    <w:rsid w:val="009C267A"/>
    <w:rsid w:val="009C2C44"/>
    <w:rsid w:val="009C2E2E"/>
    <w:rsid w:val="009C2F50"/>
    <w:rsid w:val="009C3166"/>
    <w:rsid w:val="009C377C"/>
    <w:rsid w:val="009C3973"/>
    <w:rsid w:val="009C3D95"/>
    <w:rsid w:val="009C3F26"/>
    <w:rsid w:val="009C4817"/>
    <w:rsid w:val="009C4A79"/>
    <w:rsid w:val="009C4CE5"/>
    <w:rsid w:val="009C50C4"/>
    <w:rsid w:val="009C539D"/>
    <w:rsid w:val="009C544F"/>
    <w:rsid w:val="009C572B"/>
    <w:rsid w:val="009C5B2D"/>
    <w:rsid w:val="009C5BF0"/>
    <w:rsid w:val="009C6225"/>
    <w:rsid w:val="009C62D6"/>
    <w:rsid w:val="009C64BC"/>
    <w:rsid w:val="009C666F"/>
    <w:rsid w:val="009C6B03"/>
    <w:rsid w:val="009C7086"/>
    <w:rsid w:val="009C7207"/>
    <w:rsid w:val="009C72B8"/>
    <w:rsid w:val="009C789B"/>
    <w:rsid w:val="009D0289"/>
    <w:rsid w:val="009D0343"/>
    <w:rsid w:val="009D0434"/>
    <w:rsid w:val="009D078D"/>
    <w:rsid w:val="009D0B93"/>
    <w:rsid w:val="009D0EFE"/>
    <w:rsid w:val="009D1002"/>
    <w:rsid w:val="009D1105"/>
    <w:rsid w:val="009D148F"/>
    <w:rsid w:val="009D1C95"/>
    <w:rsid w:val="009D1FF9"/>
    <w:rsid w:val="009D2A48"/>
    <w:rsid w:val="009D318F"/>
    <w:rsid w:val="009D3C07"/>
    <w:rsid w:val="009D3D4E"/>
    <w:rsid w:val="009D416A"/>
    <w:rsid w:val="009D4EB7"/>
    <w:rsid w:val="009D5855"/>
    <w:rsid w:val="009D5DD8"/>
    <w:rsid w:val="009D66FC"/>
    <w:rsid w:val="009D6801"/>
    <w:rsid w:val="009D6AA8"/>
    <w:rsid w:val="009D6B8A"/>
    <w:rsid w:val="009D6EC9"/>
    <w:rsid w:val="009D6F24"/>
    <w:rsid w:val="009D6F5B"/>
    <w:rsid w:val="009D7B23"/>
    <w:rsid w:val="009D7B2E"/>
    <w:rsid w:val="009D7BFC"/>
    <w:rsid w:val="009D7C09"/>
    <w:rsid w:val="009D7FC4"/>
    <w:rsid w:val="009E0252"/>
    <w:rsid w:val="009E0513"/>
    <w:rsid w:val="009E0EF3"/>
    <w:rsid w:val="009E0F57"/>
    <w:rsid w:val="009E186D"/>
    <w:rsid w:val="009E1922"/>
    <w:rsid w:val="009E1D57"/>
    <w:rsid w:val="009E2570"/>
    <w:rsid w:val="009E289D"/>
    <w:rsid w:val="009E2E6F"/>
    <w:rsid w:val="009E31B7"/>
    <w:rsid w:val="009E492E"/>
    <w:rsid w:val="009E5440"/>
    <w:rsid w:val="009E5774"/>
    <w:rsid w:val="009E577F"/>
    <w:rsid w:val="009E583E"/>
    <w:rsid w:val="009E5B28"/>
    <w:rsid w:val="009E5D2F"/>
    <w:rsid w:val="009E5EC4"/>
    <w:rsid w:val="009E6145"/>
    <w:rsid w:val="009E779E"/>
    <w:rsid w:val="009E79A1"/>
    <w:rsid w:val="009E7F08"/>
    <w:rsid w:val="009F0078"/>
    <w:rsid w:val="009F038F"/>
    <w:rsid w:val="009F0468"/>
    <w:rsid w:val="009F0497"/>
    <w:rsid w:val="009F07A3"/>
    <w:rsid w:val="009F0C7F"/>
    <w:rsid w:val="009F0CAF"/>
    <w:rsid w:val="009F0F73"/>
    <w:rsid w:val="009F173A"/>
    <w:rsid w:val="009F227A"/>
    <w:rsid w:val="009F2437"/>
    <w:rsid w:val="009F252A"/>
    <w:rsid w:val="009F29E7"/>
    <w:rsid w:val="009F2A26"/>
    <w:rsid w:val="009F2ACC"/>
    <w:rsid w:val="009F2E52"/>
    <w:rsid w:val="009F2EDE"/>
    <w:rsid w:val="009F310E"/>
    <w:rsid w:val="009F36D8"/>
    <w:rsid w:val="009F389F"/>
    <w:rsid w:val="009F4968"/>
    <w:rsid w:val="009F4BF3"/>
    <w:rsid w:val="009F58D2"/>
    <w:rsid w:val="009F5CD9"/>
    <w:rsid w:val="009F5D27"/>
    <w:rsid w:val="009F60EF"/>
    <w:rsid w:val="009F656D"/>
    <w:rsid w:val="009F6592"/>
    <w:rsid w:val="009F6648"/>
    <w:rsid w:val="009F6916"/>
    <w:rsid w:val="009F6A07"/>
    <w:rsid w:val="009F75E6"/>
    <w:rsid w:val="009F76B0"/>
    <w:rsid w:val="009F78D5"/>
    <w:rsid w:val="009F7AF8"/>
    <w:rsid w:val="009F7CDC"/>
    <w:rsid w:val="00A00336"/>
    <w:rsid w:val="00A003DA"/>
    <w:rsid w:val="00A009A9"/>
    <w:rsid w:val="00A00B62"/>
    <w:rsid w:val="00A012AA"/>
    <w:rsid w:val="00A0193B"/>
    <w:rsid w:val="00A0260C"/>
    <w:rsid w:val="00A02BC5"/>
    <w:rsid w:val="00A03119"/>
    <w:rsid w:val="00A03376"/>
    <w:rsid w:val="00A03B9E"/>
    <w:rsid w:val="00A03EA6"/>
    <w:rsid w:val="00A04707"/>
    <w:rsid w:val="00A04BC4"/>
    <w:rsid w:val="00A04BF6"/>
    <w:rsid w:val="00A04D72"/>
    <w:rsid w:val="00A04FAF"/>
    <w:rsid w:val="00A05036"/>
    <w:rsid w:val="00A05270"/>
    <w:rsid w:val="00A053F7"/>
    <w:rsid w:val="00A054D7"/>
    <w:rsid w:val="00A05A0D"/>
    <w:rsid w:val="00A05DAA"/>
    <w:rsid w:val="00A063D6"/>
    <w:rsid w:val="00A06539"/>
    <w:rsid w:val="00A06600"/>
    <w:rsid w:val="00A06A7D"/>
    <w:rsid w:val="00A06B47"/>
    <w:rsid w:val="00A06C40"/>
    <w:rsid w:val="00A0722B"/>
    <w:rsid w:val="00A0722D"/>
    <w:rsid w:val="00A074EF"/>
    <w:rsid w:val="00A0766C"/>
    <w:rsid w:val="00A078CF"/>
    <w:rsid w:val="00A109C9"/>
    <w:rsid w:val="00A10E38"/>
    <w:rsid w:val="00A11663"/>
    <w:rsid w:val="00A12296"/>
    <w:rsid w:val="00A12613"/>
    <w:rsid w:val="00A129E2"/>
    <w:rsid w:val="00A12B0C"/>
    <w:rsid w:val="00A13115"/>
    <w:rsid w:val="00A13A69"/>
    <w:rsid w:val="00A13AAA"/>
    <w:rsid w:val="00A13B50"/>
    <w:rsid w:val="00A140B3"/>
    <w:rsid w:val="00A141B9"/>
    <w:rsid w:val="00A141D1"/>
    <w:rsid w:val="00A142BF"/>
    <w:rsid w:val="00A1444B"/>
    <w:rsid w:val="00A14AFE"/>
    <w:rsid w:val="00A14B01"/>
    <w:rsid w:val="00A14C29"/>
    <w:rsid w:val="00A14DE6"/>
    <w:rsid w:val="00A1552C"/>
    <w:rsid w:val="00A16274"/>
    <w:rsid w:val="00A16846"/>
    <w:rsid w:val="00A170D4"/>
    <w:rsid w:val="00A170FC"/>
    <w:rsid w:val="00A173B5"/>
    <w:rsid w:val="00A173F4"/>
    <w:rsid w:val="00A176EE"/>
    <w:rsid w:val="00A208D3"/>
    <w:rsid w:val="00A20DFF"/>
    <w:rsid w:val="00A20E7C"/>
    <w:rsid w:val="00A20E99"/>
    <w:rsid w:val="00A21137"/>
    <w:rsid w:val="00A216E8"/>
    <w:rsid w:val="00A22175"/>
    <w:rsid w:val="00A23685"/>
    <w:rsid w:val="00A23B39"/>
    <w:rsid w:val="00A23B3F"/>
    <w:rsid w:val="00A23CF2"/>
    <w:rsid w:val="00A24194"/>
    <w:rsid w:val="00A242B4"/>
    <w:rsid w:val="00A244CD"/>
    <w:rsid w:val="00A24A00"/>
    <w:rsid w:val="00A24B51"/>
    <w:rsid w:val="00A24CAF"/>
    <w:rsid w:val="00A24CE9"/>
    <w:rsid w:val="00A253C8"/>
    <w:rsid w:val="00A254D1"/>
    <w:rsid w:val="00A257B6"/>
    <w:rsid w:val="00A259D7"/>
    <w:rsid w:val="00A25E95"/>
    <w:rsid w:val="00A260DE"/>
    <w:rsid w:val="00A26167"/>
    <w:rsid w:val="00A26579"/>
    <w:rsid w:val="00A266BD"/>
    <w:rsid w:val="00A26E50"/>
    <w:rsid w:val="00A270C9"/>
    <w:rsid w:val="00A27269"/>
    <w:rsid w:val="00A27281"/>
    <w:rsid w:val="00A272BC"/>
    <w:rsid w:val="00A27493"/>
    <w:rsid w:val="00A27511"/>
    <w:rsid w:val="00A2757E"/>
    <w:rsid w:val="00A278A6"/>
    <w:rsid w:val="00A27BE7"/>
    <w:rsid w:val="00A300A4"/>
    <w:rsid w:val="00A30123"/>
    <w:rsid w:val="00A3035A"/>
    <w:rsid w:val="00A30360"/>
    <w:rsid w:val="00A31025"/>
    <w:rsid w:val="00A31548"/>
    <w:rsid w:val="00A3196A"/>
    <w:rsid w:val="00A31BAE"/>
    <w:rsid w:val="00A31E2F"/>
    <w:rsid w:val="00A3205D"/>
    <w:rsid w:val="00A320F6"/>
    <w:rsid w:val="00A3243B"/>
    <w:rsid w:val="00A328CF"/>
    <w:rsid w:val="00A3292C"/>
    <w:rsid w:val="00A3297A"/>
    <w:rsid w:val="00A32C94"/>
    <w:rsid w:val="00A32E7B"/>
    <w:rsid w:val="00A34072"/>
    <w:rsid w:val="00A34537"/>
    <w:rsid w:val="00A3454E"/>
    <w:rsid w:val="00A34658"/>
    <w:rsid w:val="00A34A32"/>
    <w:rsid w:val="00A34AEF"/>
    <w:rsid w:val="00A34B2E"/>
    <w:rsid w:val="00A3502C"/>
    <w:rsid w:val="00A35108"/>
    <w:rsid w:val="00A36BA1"/>
    <w:rsid w:val="00A36BD5"/>
    <w:rsid w:val="00A36EC7"/>
    <w:rsid w:val="00A37E86"/>
    <w:rsid w:val="00A40443"/>
    <w:rsid w:val="00A4052D"/>
    <w:rsid w:val="00A4054B"/>
    <w:rsid w:val="00A40807"/>
    <w:rsid w:val="00A40E5A"/>
    <w:rsid w:val="00A41432"/>
    <w:rsid w:val="00A41761"/>
    <w:rsid w:val="00A417B9"/>
    <w:rsid w:val="00A41A85"/>
    <w:rsid w:val="00A42654"/>
    <w:rsid w:val="00A42CBD"/>
    <w:rsid w:val="00A4305E"/>
    <w:rsid w:val="00A43471"/>
    <w:rsid w:val="00A4373A"/>
    <w:rsid w:val="00A43814"/>
    <w:rsid w:val="00A439FE"/>
    <w:rsid w:val="00A44017"/>
    <w:rsid w:val="00A442D1"/>
    <w:rsid w:val="00A44598"/>
    <w:rsid w:val="00A44B9B"/>
    <w:rsid w:val="00A452CF"/>
    <w:rsid w:val="00A4538F"/>
    <w:rsid w:val="00A45648"/>
    <w:rsid w:val="00A459C0"/>
    <w:rsid w:val="00A45BAD"/>
    <w:rsid w:val="00A45D27"/>
    <w:rsid w:val="00A46826"/>
    <w:rsid w:val="00A46888"/>
    <w:rsid w:val="00A46C71"/>
    <w:rsid w:val="00A470DF"/>
    <w:rsid w:val="00A4712A"/>
    <w:rsid w:val="00A4716A"/>
    <w:rsid w:val="00A473E2"/>
    <w:rsid w:val="00A4761B"/>
    <w:rsid w:val="00A47BFF"/>
    <w:rsid w:val="00A47D9E"/>
    <w:rsid w:val="00A503CF"/>
    <w:rsid w:val="00A50489"/>
    <w:rsid w:val="00A506EA"/>
    <w:rsid w:val="00A50AE0"/>
    <w:rsid w:val="00A50F12"/>
    <w:rsid w:val="00A50F70"/>
    <w:rsid w:val="00A513CA"/>
    <w:rsid w:val="00A51999"/>
    <w:rsid w:val="00A52502"/>
    <w:rsid w:val="00A52547"/>
    <w:rsid w:val="00A52669"/>
    <w:rsid w:val="00A52727"/>
    <w:rsid w:val="00A52AF8"/>
    <w:rsid w:val="00A52DDF"/>
    <w:rsid w:val="00A52F86"/>
    <w:rsid w:val="00A5327E"/>
    <w:rsid w:val="00A53655"/>
    <w:rsid w:val="00A5368C"/>
    <w:rsid w:val="00A53AD5"/>
    <w:rsid w:val="00A53CF2"/>
    <w:rsid w:val="00A54052"/>
    <w:rsid w:val="00A54326"/>
    <w:rsid w:val="00A54550"/>
    <w:rsid w:val="00A54C6D"/>
    <w:rsid w:val="00A54F0C"/>
    <w:rsid w:val="00A54FA8"/>
    <w:rsid w:val="00A5539B"/>
    <w:rsid w:val="00A5540F"/>
    <w:rsid w:val="00A554D8"/>
    <w:rsid w:val="00A555A0"/>
    <w:rsid w:val="00A55803"/>
    <w:rsid w:val="00A55B8C"/>
    <w:rsid w:val="00A5670A"/>
    <w:rsid w:val="00A567D2"/>
    <w:rsid w:val="00A56A80"/>
    <w:rsid w:val="00A56CEF"/>
    <w:rsid w:val="00A571DC"/>
    <w:rsid w:val="00A57AFB"/>
    <w:rsid w:val="00A57D70"/>
    <w:rsid w:val="00A57DC4"/>
    <w:rsid w:val="00A601B6"/>
    <w:rsid w:val="00A60222"/>
    <w:rsid w:val="00A604B3"/>
    <w:rsid w:val="00A6083B"/>
    <w:rsid w:val="00A6090A"/>
    <w:rsid w:val="00A60928"/>
    <w:rsid w:val="00A6159C"/>
    <w:rsid w:val="00A61D25"/>
    <w:rsid w:val="00A61F0E"/>
    <w:rsid w:val="00A6200A"/>
    <w:rsid w:val="00A62CCC"/>
    <w:rsid w:val="00A62FF0"/>
    <w:rsid w:val="00A63129"/>
    <w:rsid w:val="00A63ED4"/>
    <w:rsid w:val="00A64240"/>
    <w:rsid w:val="00A643B1"/>
    <w:rsid w:val="00A6443C"/>
    <w:rsid w:val="00A64D82"/>
    <w:rsid w:val="00A653D7"/>
    <w:rsid w:val="00A658CB"/>
    <w:rsid w:val="00A65A15"/>
    <w:rsid w:val="00A65CDC"/>
    <w:rsid w:val="00A65E0F"/>
    <w:rsid w:val="00A66534"/>
    <w:rsid w:val="00A66609"/>
    <w:rsid w:val="00A666D1"/>
    <w:rsid w:val="00A6677C"/>
    <w:rsid w:val="00A669C2"/>
    <w:rsid w:val="00A66FEF"/>
    <w:rsid w:val="00A67076"/>
    <w:rsid w:val="00A67297"/>
    <w:rsid w:val="00A673CE"/>
    <w:rsid w:val="00A679CD"/>
    <w:rsid w:val="00A67EEB"/>
    <w:rsid w:val="00A70143"/>
    <w:rsid w:val="00A707B0"/>
    <w:rsid w:val="00A707CC"/>
    <w:rsid w:val="00A7093F"/>
    <w:rsid w:val="00A70DA2"/>
    <w:rsid w:val="00A71C99"/>
    <w:rsid w:val="00A71E55"/>
    <w:rsid w:val="00A71F6B"/>
    <w:rsid w:val="00A7259D"/>
    <w:rsid w:val="00A726F8"/>
    <w:rsid w:val="00A72B1D"/>
    <w:rsid w:val="00A72FB5"/>
    <w:rsid w:val="00A73018"/>
    <w:rsid w:val="00A73211"/>
    <w:rsid w:val="00A73ACB"/>
    <w:rsid w:val="00A73B80"/>
    <w:rsid w:val="00A73D9D"/>
    <w:rsid w:val="00A73E5D"/>
    <w:rsid w:val="00A73F2A"/>
    <w:rsid w:val="00A74031"/>
    <w:rsid w:val="00A741D1"/>
    <w:rsid w:val="00A7460F"/>
    <w:rsid w:val="00A750A7"/>
    <w:rsid w:val="00A76203"/>
    <w:rsid w:val="00A76AD0"/>
    <w:rsid w:val="00A770CC"/>
    <w:rsid w:val="00A77446"/>
    <w:rsid w:val="00A776EB"/>
    <w:rsid w:val="00A77B59"/>
    <w:rsid w:val="00A8015C"/>
    <w:rsid w:val="00A80433"/>
    <w:rsid w:val="00A80512"/>
    <w:rsid w:val="00A805CF"/>
    <w:rsid w:val="00A8068C"/>
    <w:rsid w:val="00A80738"/>
    <w:rsid w:val="00A80841"/>
    <w:rsid w:val="00A80964"/>
    <w:rsid w:val="00A80CC4"/>
    <w:rsid w:val="00A80EF2"/>
    <w:rsid w:val="00A80FE8"/>
    <w:rsid w:val="00A8195B"/>
    <w:rsid w:val="00A81B9A"/>
    <w:rsid w:val="00A81C70"/>
    <w:rsid w:val="00A81ED2"/>
    <w:rsid w:val="00A81FEF"/>
    <w:rsid w:val="00A82247"/>
    <w:rsid w:val="00A823B9"/>
    <w:rsid w:val="00A82484"/>
    <w:rsid w:val="00A82CDE"/>
    <w:rsid w:val="00A83606"/>
    <w:rsid w:val="00A83910"/>
    <w:rsid w:val="00A84280"/>
    <w:rsid w:val="00A844E2"/>
    <w:rsid w:val="00A8460E"/>
    <w:rsid w:val="00A84841"/>
    <w:rsid w:val="00A84948"/>
    <w:rsid w:val="00A84958"/>
    <w:rsid w:val="00A84B99"/>
    <w:rsid w:val="00A84BD7"/>
    <w:rsid w:val="00A84EA7"/>
    <w:rsid w:val="00A84F9E"/>
    <w:rsid w:val="00A85811"/>
    <w:rsid w:val="00A85B31"/>
    <w:rsid w:val="00A85B49"/>
    <w:rsid w:val="00A85B9A"/>
    <w:rsid w:val="00A85DE9"/>
    <w:rsid w:val="00A8697A"/>
    <w:rsid w:val="00A86BB9"/>
    <w:rsid w:val="00A86EAC"/>
    <w:rsid w:val="00A874CB"/>
    <w:rsid w:val="00A87C68"/>
    <w:rsid w:val="00A901BA"/>
    <w:rsid w:val="00A908C8"/>
    <w:rsid w:val="00A9099A"/>
    <w:rsid w:val="00A91286"/>
    <w:rsid w:val="00A913A0"/>
    <w:rsid w:val="00A914AE"/>
    <w:rsid w:val="00A921A4"/>
    <w:rsid w:val="00A9247D"/>
    <w:rsid w:val="00A927BF"/>
    <w:rsid w:val="00A92A8D"/>
    <w:rsid w:val="00A92B82"/>
    <w:rsid w:val="00A92BC4"/>
    <w:rsid w:val="00A92E9C"/>
    <w:rsid w:val="00A9302B"/>
    <w:rsid w:val="00A93659"/>
    <w:rsid w:val="00A936A1"/>
    <w:rsid w:val="00A936C4"/>
    <w:rsid w:val="00A939CC"/>
    <w:rsid w:val="00A93A80"/>
    <w:rsid w:val="00A940F7"/>
    <w:rsid w:val="00A951A6"/>
    <w:rsid w:val="00A9541D"/>
    <w:rsid w:val="00A95743"/>
    <w:rsid w:val="00A95BC5"/>
    <w:rsid w:val="00A9638C"/>
    <w:rsid w:val="00A9669D"/>
    <w:rsid w:val="00A9697C"/>
    <w:rsid w:val="00A96AED"/>
    <w:rsid w:val="00A96B94"/>
    <w:rsid w:val="00A96D62"/>
    <w:rsid w:val="00A97576"/>
    <w:rsid w:val="00A97578"/>
    <w:rsid w:val="00A9764F"/>
    <w:rsid w:val="00A97723"/>
    <w:rsid w:val="00A97744"/>
    <w:rsid w:val="00A97D8F"/>
    <w:rsid w:val="00AA024F"/>
    <w:rsid w:val="00AA0734"/>
    <w:rsid w:val="00AA1022"/>
    <w:rsid w:val="00AA11B8"/>
    <w:rsid w:val="00AA12E3"/>
    <w:rsid w:val="00AA15EE"/>
    <w:rsid w:val="00AA1D1E"/>
    <w:rsid w:val="00AA1D67"/>
    <w:rsid w:val="00AA220D"/>
    <w:rsid w:val="00AA2521"/>
    <w:rsid w:val="00AA25B3"/>
    <w:rsid w:val="00AA2BC5"/>
    <w:rsid w:val="00AA2E50"/>
    <w:rsid w:val="00AA2EBA"/>
    <w:rsid w:val="00AA309A"/>
    <w:rsid w:val="00AA3154"/>
    <w:rsid w:val="00AA36D2"/>
    <w:rsid w:val="00AA3930"/>
    <w:rsid w:val="00AA3CC6"/>
    <w:rsid w:val="00AA3D8A"/>
    <w:rsid w:val="00AA3DC8"/>
    <w:rsid w:val="00AA4058"/>
    <w:rsid w:val="00AA49D5"/>
    <w:rsid w:val="00AA4CA3"/>
    <w:rsid w:val="00AA5582"/>
    <w:rsid w:val="00AA565A"/>
    <w:rsid w:val="00AA5AF9"/>
    <w:rsid w:val="00AA5DCC"/>
    <w:rsid w:val="00AA622A"/>
    <w:rsid w:val="00AA6565"/>
    <w:rsid w:val="00AA6A44"/>
    <w:rsid w:val="00AA6C9E"/>
    <w:rsid w:val="00AA6EDB"/>
    <w:rsid w:val="00AA7710"/>
    <w:rsid w:val="00AA7945"/>
    <w:rsid w:val="00AA79B6"/>
    <w:rsid w:val="00AA7C4B"/>
    <w:rsid w:val="00AA7D9A"/>
    <w:rsid w:val="00AA7E14"/>
    <w:rsid w:val="00AA7E23"/>
    <w:rsid w:val="00AB014E"/>
    <w:rsid w:val="00AB01A3"/>
    <w:rsid w:val="00AB069B"/>
    <w:rsid w:val="00AB2239"/>
    <w:rsid w:val="00AB2492"/>
    <w:rsid w:val="00AB25F7"/>
    <w:rsid w:val="00AB2932"/>
    <w:rsid w:val="00AB2E7E"/>
    <w:rsid w:val="00AB309C"/>
    <w:rsid w:val="00AB30D5"/>
    <w:rsid w:val="00AB336F"/>
    <w:rsid w:val="00AB3436"/>
    <w:rsid w:val="00AB4064"/>
    <w:rsid w:val="00AB45F2"/>
    <w:rsid w:val="00AB49D4"/>
    <w:rsid w:val="00AB4B63"/>
    <w:rsid w:val="00AB4EE5"/>
    <w:rsid w:val="00AB4FD4"/>
    <w:rsid w:val="00AB4FD5"/>
    <w:rsid w:val="00AB50F0"/>
    <w:rsid w:val="00AB50FD"/>
    <w:rsid w:val="00AB539F"/>
    <w:rsid w:val="00AB5514"/>
    <w:rsid w:val="00AB5583"/>
    <w:rsid w:val="00AB5B10"/>
    <w:rsid w:val="00AB62E6"/>
    <w:rsid w:val="00AB6893"/>
    <w:rsid w:val="00AB68B7"/>
    <w:rsid w:val="00AB69F6"/>
    <w:rsid w:val="00AB7704"/>
    <w:rsid w:val="00AB7E74"/>
    <w:rsid w:val="00AC0141"/>
    <w:rsid w:val="00AC07BE"/>
    <w:rsid w:val="00AC08D0"/>
    <w:rsid w:val="00AC13F5"/>
    <w:rsid w:val="00AC155C"/>
    <w:rsid w:val="00AC159C"/>
    <w:rsid w:val="00AC15A2"/>
    <w:rsid w:val="00AC1913"/>
    <w:rsid w:val="00AC1920"/>
    <w:rsid w:val="00AC2397"/>
    <w:rsid w:val="00AC288F"/>
    <w:rsid w:val="00AC2B2E"/>
    <w:rsid w:val="00AC3B8E"/>
    <w:rsid w:val="00AC3C1E"/>
    <w:rsid w:val="00AC3C91"/>
    <w:rsid w:val="00AC3EF9"/>
    <w:rsid w:val="00AC4263"/>
    <w:rsid w:val="00AC436E"/>
    <w:rsid w:val="00AC4CD0"/>
    <w:rsid w:val="00AC54C2"/>
    <w:rsid w:val="00AC5513"/>
    <w:rsid w:val="00AC5F39"/>
    <w:rsid w:val="00AC6411"/>
    <w:rsid w:val="00AC6417"/>
    <w:rsid w:val="00AC6597"/>
    <w:rsid w:val="00AC67E6"/>
    <w:rsid w:val="00AC6846"/>
    <w:rsid w:val="00AC6CDB"/>
    <w:rsid w:val="00AC6FC2"/>
    <w:rsid w:val="00AC76CA"/>
    <w:rsid w:val="00AC7808"/>
    <w:rsid w:val="00AC7ABA"/>
    <w:rsid w:val="00AC7DAA"/>
    <w:rsid w:val="00AC7DAD"/>
    <w:rsid w:val="00AD0141"/>
    <w:rsid w:val="00AD023E"/>
    <w:rsid w:val="00AD09E5"/>
    <w:rsid w:val="00AD0D3A"/>
    <w:rsid w:val="00AD0D8C"/>
    <w:rsid w:val="00AD1114"/>
    <w:rsid w:val="00AD1A72"/>
    <w:rsid w:val="00AD1E40"/>
    <w:rsid w:val="00AD236A"/>
    <w:rsid w:val="00AD238B"/>
    <w:rsid w:val="00AD239C"/>
    <w:rsid w:val="00AD2A0C"/>
    <w:rsid w:val="00AD3257"/>
    <w:rsid w:val="00AD3316"/>
    <w:rsid w:val="00AD35A9"/>
    <w:rsid w:val="00AD3689"/>
    <w:rsid w:val="00AD4080"/>
    <w:rsid w:val="00AD4377"/>
    <w:rsid w:val="00AD4551"/>
    <w:rsid w:val="00AD465C"/>
    <w:rsid w:val="00AD4A3E"/>
    <w:rsid w:val="00AD4E73"/>
    <w:rsid w:val="00AD4F6F"/>
    <w:rsid w:val="00AD508F"/>
    <w:rsid w:val="00AD5162"/>
    <w:rsid w:val="00AD52AF"/>
    <w:rsid w:val="00AD53E7"/>
    <w:rsid w:val="00AD54AD"/>
    <w:rsid w:val="00AD54D9"/>
    <w:rsid w:val="00AD571B"/>
    <w:rsid w:val="00AD58EB"/>
    <w:rsid w:val="00AD5900"/>
    <w:rsid w:val="00AD5D18"/>
    <w:rsid w:val="00AD5EE5"/>
    <w:rsid w:val="00AD5F68"/>
    <w:rsid w:val="00AD6306"/>
    <w:rsid w:val="00AD6EF0"/>
    <w:rsid w:val="00AD7706"/>
    <w:rsid w:val="00AD7921"/>
    <w:rsid w:val="00AD79BC"/>
    <w:rsid w:val="00AE0020"/>
    <w:rsid w:val="00AE0256"/>
    <w:rsid w:val="00AE0CB8"/>
    <w:rsid w:val="00AE11B2"/>
    <w:rsid w:val="00AE1456"/>
    <w:rsid w:val="00AE19A0"/>
    <w:rsid w:val="00AE1A61"/>
    <w:rsid w:val="00AE20DC"/>
    <w:rsid w:val="00AE495A"/>
    <w:rsid w:val="00AE50EE"/>
    <w:rsid w:val="00AE5763"/>
    <w:rsid w:val="00AE5D6F"/>
    <w:rsid w:val="00AE5E4E"/>
    <w:rsid w:val="00AE63AA"/>
    <w:rsid w:val="00AE66AD"/>
    <w:rsid w:val="00AE6C7E"/>
    <w:rsid w:val="00AE740C"/>
    <w:rsid w:val="00AE7440"/>
    <w:rsid w:val="00AE74A8"/>
    <w:rsid w:val="00AE7C18"/>
    <w:rsid w:val="00AE7DB1"/>
    <w:rsid w:val="00AE7F3E"/>
    <w:rsid w:val="00AF01EE"/>
    <w:rsid w:val="00AF043E"/>
    <w:rsid w:val="00AF0A34"/>
    <w:rsid w:val="00AF0E7E"/>
    <w:rsid w:val="00AF0F6A"/>
    <w:rsid w:val="00AF186E"/>
    <w:rsid w:val="00AF19CB"/>
    <w:rsid w:val="00AF2665"/>
    <w:rsid w:val="00AF2852"/>
    <w:rsid w:val="00AF2892"/>
    <w:rsid w:val="00AF2FEA"/>
    <w:rsid w:val="00AF3A8D"/>
    <w:rsid w:val="00AF3C9F"/>
    <w:rsid w:val="00AF436C"/>
    <w:rsid w:val="00AF46D9"/>
    <w:rsid w:val="00AF4B14"/>
    <w:rsid w:val="00AF4DC3"/>
    <w:rsid w:val="00AF4F16"/>
    <w:rsid w:val="00AF4F2E"/>
    <w:rsid w:val="00AF5949"/>
    <w:rsid w:val="00AF598A"/>
    <w:rsid w:val="00AF5AF2"/>
    <w:rsid w:val="00AF631B"/>
    <w:rsid w:val="00AF6353"/>
    <w:rsid w:val="00AF6575"/>
    <w:rsid w:val="00AF68DB"/>
    <w:rsid w:val="00AF6CD8"/>
    <w:rsid w:val="00AF6DDA"/>
    <w:rsid w:val="00AF707B"/>
    <w:rsid w:val="00AF73E3"/>
    <w:rsid w:val="00AF7510"/>
    <w:rsid w:val="00AF799E"/>
    <w:rsid w:val="00AF7F2D"/>
    <w:rsid w:val="00B0059C"/>
    <w:rsid w:val="00B0061A"/>
    <w:rsid w:val="00B0081D"/>
    <w:rsid w:val="00B00C3C"/>
    <w:rsid w:val="00B01475"/>
    <w:rsid w:val="00B0166C"/>
    <w:rsid w:val="00B01947"/>
    <w:rsid w:val="00B01DFE"/>
    <w:rsid w:val="00B023B9"/>
    <w:rsid w:val="00B0277B"/>
    <w:rsid w:val="00B027DB"/>
    <w:rsid w:val="00B02BB0"/>
    <w:rsid w:val="00B02C7A"/>
    <w:rsid w:val="00B031CE"/>
    <w:rsid w:val="00B03569"/>
    <w:rsid w:val="00B03792"/>
    <w:rsid w:val="00B03873"/>
    <w:rsid w:val="00B03F0D"/>
    <w:rsid w:val="00B043EF"/>
    <w:rsid w:val="00B05DC5"/>
    <w:rsid w:val="00B05FFD"/>
    <w:rsid w:val="00B06187"/>
    <w:rsid w:val="00B06735"/>
    <w:rsid w:val="00B068AF"/>
    <w:rsid w:val="00B06AE2"/>
    <w:rsid w:val="00B07362"/>
    <w:rsid w:val="00B07382"/>
    <w:rsid w:val="00B07992"/>
    <w:rsid w:val="00B10C6B"/>
    <w:rsid w:val="00B11317"/>
    <w:rsid w:val="00B115ED"/>
    <w:rsid w:val="00B11DFF"/>
    <w:rsid w:val="00B12B5D"/>
    <w:rsid w:val="00B12C54"/>
    <w:rsid w:val="00B12CB5"/>
    <w:rsid w:val="00B136F0"/>
    <w:rsid w:val="00B13917"/>
    <w:rsid w:val="00B1392B"/>
    <w:rsid w:val="00B13B3E"/>
    <w:rsid w:val="00B13E4D"/>
    <w:rsid w:val="00B14196"/>
    <w:rsid w:val="00B142E7"/>
    <w:rsid w:val="00B143B3"/>
    <w:rsid w:val="00B143CD"/>
    <w:rsid w:val="00B143EC"/>
    <w:rsid w:val="00B144E5"/>
    <w:rsid w:val="00B14CE9"/>
    <w:rsid w:val="00B150D1"/>
    <w:rsid w:val="00B15564"/>
    <w:rsid w:val="00B161F2"/>
    <w:rsid w:val="00B1657D"/>
    <w:rsid w:val="00B16690"/>
    <w:rsid w:val="00B1673E"/>
    <w:rsid w:val="00B16A2C"/>
    <w:rsid w:val="00B16ACB"/>
    <w:rsid w:val="00B16B6A"/>
    <w:rsid w:val="00B16D6A"/>
    <w:rsid w:val="00B17509"/>
    <w:rsid w:val="00B17C40"/>
    <w:rsid w:val="00B17DC2"/>
    <w:rsid w:val="00B17E4B"/>
    <w:rsid w:val="00B203AC"/>
    <w:rsid w:val="00B20C7D"/>
    <w:rsid w:val="00B21027"/>
    <w:rsid w:val="00B2121A"/>
    <w:rsid w:val="00B2137C"/>
    <w:rsid w:val="00B21D44"/>
    <w:rsid w:val="00B21F40"/>
    <w:rsid w:val="00B220D6"/>
    <w:rsid w:val="00B22A2C"/>
    <w:rsid w:val="00B22B73"/>
    <w:rsid w:val="00B231AB"/>
    <w:rsid w:val="00B23411"/>
    <w:rsid w:val="00B23A63"/>
    <w:rsid w:val="00B23B99"/>
    <w:rsid w:val="00B23C39"/>
    <w:rsid w:val="00B23C62"/>
    <w:rsid w:val="00B240B7"/>
    <w:rsid w:val="00B24181"/>
    <w:rsid w:val="00B24744"/>
    <w:rsid w:val="00B2484B"/>
    <w:rsid w:val="00B24FA2"/>
    <w:rsid w:val="00B2518F"/>
    <w:rsid w:val="00B255DB"/>
    <w:rsid w:val="00B2576B"/>
    <w:rsid w:val="00B25A75"/>
    <w:rsid w:val="00B25EFC"/>
    <w:rsid w:val="00B26155"/>
    <w:rsid w:val="00B26340"/>
    <w:rsid w:val="00B26650"/>
    <w:rsid w:val="00B26B86"/>
    <w:rsid w:val="00B26D24"/>
    <w:rsid w:val="00B2712E"/>
    <w:rsid w:val="00B2755F"/>
    <w:rsid w:val="00B27AD1"/>
    <w:rsid w:val="00B27D3D"/>
    <w:rsid w:val="00B27F3C"/>
    <w:rsid w:val="00B3048F"/>
    <w:rsid w:val="00B30601"/>
    <w:rsid w:val="00B308DE"/>
    <w:rsid w:val="00B311DF"/>
    <w:rsid w:val="00B316E2"/>
    <w:rsid w:val="00B31766"/>
    <w:rsid w:val="00B31B0C"/>
    <w:rsid w:val="00B32508"/>
    <w:rsid w:val="00B33726"/>
    <w:rsid w:val="00B33D4C"/>
    <w:rsid w:val="00B3418F"/>
    <w:rsid w:val="00B34849"/>
    <w:rsid w:val="00B34A77"/>
    <w:rsid w:val="00B34EA2"/>
    <w:rsid w:val="00B34FE3"/>
    <w:rsid w:val="00B353B6"/>
    <w:rsid w:val="00B35792"/>
    <w:rsid w:val="00B35BC1"/>
    <w:rsid w:val="00B36494"/>
    <w:rsid w:val="00B36DC2"/>
    <w:rsid w:val="00B36FC9"/>
    <w:rsid w:val="00B37322"/>
    <w:rsid w:val="00B37BEE"/>
    <w:rsid w:val="00B37E20"/>
    <w:rsid w:val="00B40322"/>
    <w:rsid w:val="00B40460"/>
    <w:rsid w:val="00B404FE"/>
    <w:rsid w:val="00B4095A"/>
    <w:rsid w:val="00B40A2D"/>
    <w:rsid w:val="00B40A37"/>
    <w:rsid w:val="00B40F58"/>
    <w:rsid w:val="00B40FE4"/>
    <w:rsid w:val="00B41980"/>
    <w:rsid w:val="00B42071"/>
    <w:rsid w:val="00B42307"/>
    <w:rsid w:val="00B4234A"/>
    <w:rsid w:val="00B4236D"/>
    <w:rsid w:val="00B423ED"/>
    <w:rsid w:val="00B4241E"/>
    <w:rsid w:val="00B42701"/>
    <w:rsid w:val="00B42B5B"/>
    <w:rsid w:val="00B42C50"/>
    <w:rsid w:val="00B4364B"/>
    <w:rsid w:val="00B4390B"/>
    <w:rsid w:val="00B43A46"/>
    <w:rsid w:val="00B43AE6"/>
    <w:rsid w:val="00B43E31"/>
    <w:rsid w:val="00B44CF9"/>
    <w:rsid w:val="00B44E16"/>
    <w:rsid w:val="00B44E96"/>
    <w:rsid w:val="00B452B5"/>
    <w:rsid w:val="00B4559B"/>
    <w:rsid w:val="00B45906"/>
    <w:rsid w:val="00B45EC2"/>
    <w:rsid w:val="00B46039"/>
    <w:rsid w:val="00B46313"/>
    <w:rsid w:val="00B469A6"/>
    <w:rsid w:val="00B46DC2"/>
    <w:rsid w:val="00B47102"/>
    <w:rsid w:val="00B476D9"/>
    <w:rsid w:val="00B479ED"/>
    <w:rsid w:val="00B47A0C"/>
    <w:rsid w:val="00B47B7F"/>
    <w:rsid w:val="00B509A1"/>
    <w:rsid w:val="00B512DF"/>
    <w:rsid w:val="00B515E7"/>
    <w:rsid w:val="00B518DF"/>
    <w:rsid w:val="00B51AA2"/>
    <w:rsid w:val="00B51FEF"/>
    <w:rsid w:val="00B52186"/>
    <w:rsid w:val="00B5224C"/>
    <w:rsid w:val="00B52D2C"/>
    <w:rsid w:val="00B52DD5"/>
    <w:rsid w:val="00B530A6"/>
    <w:rsid w:val="00B53232"/>
    <w:rsid w:val="00B532A9"/>
    <w:rsid w:val="00B532FA"/>
    <w:rsid w:val="00B53388"/>
    <w:rsid w:val="00B53AC1"/>
    <w:rsid w:val="00B53DA4"/>
    <w:rsid w:val="00B54289"/>
    <w:rsid w:val="00B545E3"/>
    <w:rsid w:val="00B548CF"/>
    <w:rsid w:val="00B548D7"/>
    <w:rsid w:val="00B55016"/>
    <w:rsid w:val="00B551AD"/>
    <w:rsid w:val="00B5530D"/>
    <w:rsid w:val="00B55726"/>
    <w:rsid w:val="00B557E0"/>
    <w:rsid w:val="00B55E41"/>
    <w:rsid w:val="00B55F51"/>
    <w:rsid w:val="00B56011"/>
    <w:rsid w:val="00B56201"/>
    <w:rsid w:val="00B5620B"/>
    <w:rsid w:val="00B563FD"/>
    <w:rsid w:val="00B5675C"/>
    <w:rsid w:val="00B5678E"/>
    <w:rsid w:val="00B567CD"/>
    <w:rsid w:val="00B56CB3"/>
    <w:rsid w:val="00B56E31"/>
    <w:rsid w:val="00B573EB"/>
    <w:rsid w:val="00B5792E"/>
    <w:rsid w:val="00B57AD8"/>
    <w:rsid w:val="00B57D57"/>
    <w:rsid w:val="00B57FB8"/>
    <w:rsid w:val="00B60473"/>
    <w:rsid w:val="00B60506"/>
    <w:rsid w:val="00B60520"/>
    <w:rsid w:val="00B60E69"/>
    <w:rsid w:val="00B61308"/>
    <w:rsid w:val="00B61496"/>
    <w:rsid w:val="00B61876"/>
    <w:rsid w:val="00B61BB5"/>
    <w:rsid w:val="00B61C2F"/>
    <w:rsid w:val="00B620E6"/>
    <w:rsid w:val="00B62740"/>
    <w:rsid w:val="00B62DDC"/>
    <w:rsid w:val="00B6308E"/>
    <w:rsid w:val="00B6334C"/>
    <w:rsid w:val="00B63507"/>
    <w:rsid w:val="00B636AB"/>
    <w:rsid w:val="00B63868"/>
    <w:rsid w:val="00B648F0"/>
    <w:rsid w:val="00B64FE0"/>
    <w:rsid w:val="00B65983"/>
    <w:rsid w:val="00B65AF0"/>
    <w:rsid w:val="00B65F8E"/>
    <w:rsid w:val="00B66287"/>
    <w:rsid w:val="00B6640F"/>
    <w:rsid w:val="00B66656"/>
    <w:rsid w:val="00B67BE6"/>
    <w:rsid w:val="00B67DD3"/>
    <w:rsid w:val="00B67FF2"/>
    <w:rsid w:val="00B70BA7"/>
    <w:rsid w:val="00B70DCF"/>
    <w:rsid w:val="00B70F91"/>
    <w:rsid w:val="00B71781"/>
    <w:rsid w:val="00B718FF"/>
    <w:rsid w:val="00B72785"/>
    <w:rsid w:val="00B72D8D"/>
    <w:rsid w:val="00B73324"/>
    <w:rsid w:val="00B74598"/>
    <w:rsid w:val="00B75626"/>
    <w:rsid w:val="00B7594E"/>
    <w:rsid w:val="00B75C4F"/>
    <w:rsid w:val="00B760F7"/>
    <w:rsid w:val="00B76A1B"/>
    <w:rsid w:val="00B76BE2"/>
    <w:rsid w:val="00B76E04"/>
    <w:rsid w:val="00B77193"/>
    <w:rsid w:val="00B77196"/>
    <w:rsid w:val="00B773C5"/>
    <w:rsid w:val="00B775F1"/>
    <w:rsid w:val="00B7783D"/>
    <w:rsid w:val="00B779DC"/>
    <w:rsid w:val="00B77A0E"/>
    <w:rsid w:val="00B77B58"/>
    <w:rsid w:val="00B805BC"/>
    <w:rsid w:val="00B80B48"/>
    <w:rsid w:val="00B80F8B"/>
    <w:rsid w:val="00B810E8"/>
    <w:rsid w:val="00B818DC"/>
    <w:rsid w:val="00B81D88"/>
    <w:rsid w:val="00B81EA8"/>
    <w:rsid w:val="00B81EE9"/>
    <w:rsid w:val="00B826A0"/>
    <w:rsid w:val="00B82B37"/>
    <w:rsid w:val="00B82E2D"/>
    <w:rsid w:val="00B83234"/>
    <w:rsid w:val="00B835F7"/>
    <w:rsid w:val="00B835FB"/>
    <w:rsid w:val="00B840E3"/>
    <w:rsid w:val="00B8454F"/>
    <w:rsid w:val="00B856FF"/>
    <w:rsid w:val="00B85754"/>
    <w:rsid w:val="00B86256"/>
    <w:rsid w:val="00B8638F"/>
    <w:rsid w:val="00B866D7"/>
    <w:rsid w:val="00B8699E"/>
    <w:rsid w:val="00B869BD"/>
    <w:rsid w:val="00B86CDB"/>
    <w:rsid w:val="00B87299"/>
    <w:rsid w:val="00B87955"/>
    <w:rsid w:val="00B87BF8"/>
    <w:rsid w:val="00B87C10"/>
    <w:rsid w:val="00B87C57"/>
    <w:rsid w:val="00B87FE9"/>
    <w:rsid w:val="00B90798"/>
    <w:rsid w:val="00B91011"/>
    <w:rsid w:val="00B9119C"/>
    <w:rsid w:val="00B911A3"/>
    <w:rsid w:val="00B9127F"/>
    <w:rsid w:val="00B91581"/>
    <w:rsid w:val="00B9164B"/>
    <w:rsid w:val="00B91717"/>
    <w:rsid w:val="00B91F1C"/>
    <w:rsid w:val="00B92907"/>
    <w:rsid w:val="00B92C88"/>
    <w:rsid w:val="00B92CD5"/>
    <w:rsid w:val="00B930B8"/>
    <w:rsid w:val="00B931ED"/>
    <w:rsid w:val="00B9336F"/>
    <w:rsid w:val="00B933AE"/>
    <w:rsid w:val="00B93483"/>
    <w:rsid w:val="00B93AE4"/>
    <w:rsid w:val="00B93D5F"/>
    <w:rsid w:val="00B93E88"/>
    <w:rsid w:val="00B93F85"/>
    <w:rsid w:val="00B941C9"/>
    <w:rsid w:val="00B949D6"/>
    <w:rsid w:val="00B94A2D"/>
    <w:rsid w:val="00B94DC3"/>
    <w:rsid w:val="00B951AC"/>
    <w:rsid w:val="00B9556F"/>
    <w:rsid w:val="00B95890"/>
    <w:rsid w:val="00B95E97"/>
    <w:rsid w:val="00B963EF"/>
    <w:rsid w:val="00B968D9"/>
    <w:rsid w:val="00B96A57"/>
    <w:rsid w:val="00B96D51"/>
    <w:rsid w:val="00B96FB7"/>
    <w:rsid w:val="00B97D47"/>
    <w:rsid w:val="00BA0465"/>
    <w:rsid w:val="00BA0CF0"/>
    <w:rsid w:val="00BA0F69"/>
    <w:rsid w:val="00BA11B5"/>
    <w:rsid w:val="00BA22A6"/>
    <w:rsid w:val="00BA2DBD"/>
    <w:rsid w:val="00BA3780"/>
    <w:rsid w:val="00BA3A41"/>
    <w:rsid w:val="00BA3E30"/>
    <w:rsid w:val="00BA4522"/>
    <w:rsid w:val="00BA4AC7"/>
    <w:rsid w:val="00BA4BE4"/>
    <w:rsid w:val="00BA4BE5"/>
    <w:rsid w:val="00BA4C57"/>
    <w:rsid w:val="00BA4CA0"/>
    <w:rsid w:val="00BA4ECB"/>
    <w:rsid w:val="00BA51BE"/>
    <w:rsid w:val="00BA5332"/>
    <w:rsid w:val="00BA57DD"/>
    <w:rsid w:val="00BA586A"/>
    <w:rsid w:val="00BA5CBB"/>
    <w:rsid w:val="00BA5D70"/>
    <w:rsid w:val="00BA64F6"/>
    <w:rsid w:val="00BA6686"/>
    <w:rsid w:val="00BA6D55"/>
    <w:rsid w:val="00BA6E5C"/>
    <w:rsid w:val="00BA6F01"/>
    <w:rsid w:val="00BA6F1C"/>
    <w:rsid w:val="00BA7295"/>
    <w:rsid w:val="00BA7599"/>
    <w:rsid w:val="00BA75B1"/>
    <w:rsid w:val="00BA7BB1"/>
    <w:rsid w:val="00BA7BB6"/>
    <w:rsid w:val="00BB0224"/>
    <w:rsid w:val="00BB0252"/>
    <w:rsid w:val="00BB07A2"/>
    <w:rsid w:val="00BB0A4C"/>
    <w:rsid w:val="00BB101A"/>
    <w:rsid w:val="00BB19C5"/>
    <w:rsid w:val="00BB1BE5"/>
    <w:rsid w:val="00BB2024"/>
    <w:rsid w:val="00BB23B5"/>
    <w:rsid w:val="00BB25DE"/>
    <w:rsid w:val="00BB2727"/>
    <w:rsid w:val="00BB28F8"/>
    <w:rsid w:val="00BB33DD"/>
    <w:rsid w:val="00BB3BD9"/>
    <w:rsid w:val="00BB3C84"/>
    <w:rsid w:val="00BB3F8D"/>
    <w:rsid w:val="00BB4027"/>
    <w:rsid w:val="00BB4799"/>
    <w:rsid w:val="00BB4801"/>
    <w:rsid w:val="00BB4FAC"/>
    <w:rsid w:val="00BB5473"/>
    <w:rsid w:val="00BB56D8"/>
    <w:rsid w:val="00BB6342"/>
    <w:rsid w:val="00BB639F"/>
    <w:rsid w:val="00BB6632"/>
    <w:rsid w:val="00BB6899"/>
    <w:rsid w:val="00BB6D6E"/>
    <w:rsid w:val="00BB6FFC"/>
    <w:rsid w:val="00BB7409"/>
    <w:rsid w:val="00BB7C27"/>
    <w:rsid w:val="00BB7DE3"/>
    <w:rsid w:val="00BC0333"/>
    <w:rsid w:val="00BC15BD"/>
    <w:rsid w:val="00BC19AF"/>
    <w:rsid w:val="00BC1D61"/>
    <w:rsid w:val="00BC2567"/>
    <w:rsid w:val="00BC25F7"/>
    <w:rsid w:val="00BC2E9B"/>
    <w:rsid w:val="00BC33B9"/>
    <w:rsid w:val="00BC3728"/>
    <w:rsid w:val="00BC3B66"/>
    <w:rsid w:val="00BC40C0"/>
    <w:rsid w:val="00BC41A0"/>
    <w:rsid w:val="00BC440C"/>
    <w:rsid w:val="00BC451D"/>
    <w:rsid w:val="00BC462D"/>
    <w:rsid w:val="00BC48D2"/>
    <w:rsid w:val="00BC4975"/>
    <w:rsid w:val="00BC4FC5"/>
    <w:rsid w:val="00BC50E9"/>
    <w:rsid w:val="00BC57C9"/>
    <w:rsid w:val="00BC5B4E"/>
    <w:rsid w:val="00BC698D"/>
    <w:rsid w:val="00BC6B56"/>
    <w:rsid w:val="00BC71D8"/>
    <w:rsid w:val="00BC722B"/>
    <w:rsid w:val="00BC7DD8"/>
    <w:rsid w:val="00BD051D"/>
    <w:rsid w:val="00BD09DD"/>
    <w:rsid w:val="00BD09E5"/>
    <w:rsid w:val="00BD14E6"/>
    <w:rsid w:val="00BD15B8"/>
    <w:rsid w:val="00BD18B2"/>
    <w:rsid w:val="00BD1B51"/>
    <w:rsid w:val="00BD1BC7"/>
    <w:rsid w:val="00BD20A8"/>
    <w:rsid w:val="00BD21F7"/>
    <w:rsid w:val="00BD266B"/>
    <w:rsid w:val="00BD267D"/>
    <w:rsid w:val="00BD2C3D"/>
    <w:rsid w:val="00BD2D5F"/>
    <w:rsid w:val="00BD2EC7"/>
    <w:rsid w:val="00BD345F"/>
    <w:rsid w:val="00BD402F"/>
    <w:rsid w:val="00BD40A3"/>
    <w:rsid w:val="00BD4247"/>
    <w:rsid w:val="00BD438B"/>
    <w:rsid w:val="00BD4571"/>
    <w:rsid w:val="00BD493F"/>
    <w:rsid w:val="00BD4F24"/>
    <w:rsid w:val="00BD51DB"/>
    <w:rsid w:val="00BD5425"/>
    <w:rsid w:val="00BD58C5"/>
    <w:rsid w:val="00BD6211"/>
    <w:rsid w:val="00BD6404"/>
    <w:rsid w:val="00BD69EC"/>
    <w:rsid w:val="00BD7AA4"/>
    <w:rsid w:val="00BE04D0"/>
    <w:rsid w:val="00BE0851"/>
    <w:rsid w:val="00BE0C81"/>
    <w:rsid w:val="00BE0D1F"/>
    <w:rsid w:val="00BE1D71"/>
    <w:rsid w:val="00BE1E21"/>
    <w:rsid w:val="00BE2115"/>
    <w:rsid w:val="00BE22EF"/>
    <w:rsid w:val="00BE252D"/>
    <w:rsid w:val="00BE2AFF"/>
    <w:rsid w:val="00BE2C7A"/>
    <w:rsid w:val="00BE2D8E"/>
    <w:rsid w:val="00BE3134"/>
    <w:rsid w:val="00BE33C1"/>
    <w:rsid w:val="00BE348E"/>
    <w:rsid w:val="00BE3A0B"/>
    <w:rsid w:val="00BE3B73"/>
    <w:rsid w:val="00BE3CF8"/>
    <w:rsid w:val="00BE4577"/>
    <w:rsid w:val="00BE4929"/>
    <w:rsid w:val="00BE4D5F"/>
    <w:rsid w:val="00BE50FF"/>
    <w:rsid w:val="00BE5369"/>
    <w:rsid w:val="00BE5FEB"/>
    <w:rsid w:val="00BE62B3"/>
    <w:rsid w:val="00BE63B1"/>
    <w:rsid w:val="00BE6508"/>
    <w:rsid w:val="00BE6586"/>
    <w:rsid w:val="00BE6665"/>
    <w:rsid w:val="00BE6A04"/>
    <w:rsid w:val="00BE6ABD"/>
    <w:rsid w:val="00BE6C37"/>
    <w:rsid w:val="00BE6C4D"/>
    <w:rsid w:val="00BE6E95"/>
    <w:rsid w:val="00BE6F93"/>
    <w:rsid w:val="00BE6FD1"/>
    <w:rsid w:val="00BE74CE"/>
    <w:rsid w:val="00BE7C51"/>
    <w:rsid w:val="00BE7C60"/>
    <w:rsid w:val="00BE7F05"/>
    <w:rsid w:val="00BF0008"/>
    <w:rsid w:val="00BF04B0"/>
    <w:rsid w:val="00BF06AE"/>
    <w:rsid w:val="00BF0A4D"/>
    <w:rsid w:val="00BF0CA7"/>
    <w:rsid w:val="00BF0CD5"/>
    <w:rsid w:val="00BF1018"/>
    <w:rsid w:val="00BF10C3"/>
    <w:rsid w:val="00BF1565"/>
    <w:rsid w:val="00BF1B0F"/>
    <w:rsid w:val="00BF22AA"/>
    <w:rsid w:val="00BF23E4"/>
    <w:rsid w:val="00BF265E"/>
    <w:rsid w:val="00BF2BA2"/>
    <w:rsid w:val="00BF30D1"/>
    <w:rsid w:val="00BF30DF"/>
    <w:rsid w:val="00BF3188"/>
    <w:rsid w:val="00BF322B"/>
    <w:rsid w:val="00BF3B65"/>
    <w:rsid w:val="00BF3B9A"/>
    <w:rsid w:val="00BF3C39"/>
    <w:rsid w:val="00BF441B"/>
    <w:rsid w:val="00BF4493"/>
    <w:rsid w:val="00BF4738"/>
    <w:rsid w:val="00BF482A"/>
    <w:rsid w:val="00BF4BB3"/>
    <w:rsid w:val="00BF4BC9"/>
    <w:rsid w:val="00BF550E"/>
    <w:rsid w:val="00BF5C3D"/>
    <w:rsid w:val="00BF6440"/>
    <w:rsid w:val="00BF650C"/>
    <w:rsid w:val="00BF66AB"/>
    <w:rsid w:val="00BF6916"/>
    <w:rsid w:val="00BF6A46"/>
    <w:rsid w:val="00BF6B2C"/>
    <w:rsid w:val="00BF73BF"/>
    <w:rsid w:val="00BF767F"/>
    <w:rsid w:val="00BF76B1"/>
    <w:rsid w:val="00BF7BC5"/>
    <w:rsid w:val="00BF7C06"/>
    <w:rsid w:val="00BF7EB7"/>
    <w:rsid w:val="00C00205"/>
    <w:rsid w:val="00C00293"/>
    <w:rsid w:val="00C00DAD"/>
    <w:rsid w:val="00C00FC3"/>
    <w:rsid w:val="00C0176D"/>
    <w:rsid w:val="00C01C5C"/>
    <w:rsid w:val="00C01D04"/>
    <w:rsid w:val="00C01EA0"/>
    <w:rsid w:val="00C023FE"/>
    <w:rsid w:val="00C02696"/>
    <w:rsid w:val="00C02B6D"/>
    <w:rsid w:val="00C02E5B"/>
    <w:rsid w:val="00C03140"/>
    <w:rsid w:val="00C031F5"/>
    <w:rsid w:val="00C034A8"/>
    <w:rsid w:val="00C034DF"/>
    <w:rsid w:val="00C03C6D"/>
    <w:rsid w:val="00C0401B"/>
    <w:rsid w:val="00C04056"/>
    <w:rsid w:val="00C042F7"/>
    <w:rsid w:val="00C044E9"/>
    <w:rsid w:val="00C04599"/>
    <w:rsid w:val="00C047D5"/>
    <w:rsid w:val="00C04D5C"/>
    <w:rsid w:val="00C050E6"/>
    <w:rsid w:val="00C0539D"/>
    <w:rsid w:val="00C0559D"/>
    <w:rsid w:val="00C05827"/>
    <w:rsid w:val="00C05D06"/>
    <w:rsid w:val="00C05FC2"/>
    <w:rsid w:val="00C06652"/>
    <w:rsid w:val="00C069E3"/>
    <w:rsid w:val="00C06A17"/>
    <w:rsid w:val="00C06F70"/>
    <w:rsid w:val="00C070A2"/>
    <w:rsid w:val="00C077CA"/>
    <w:rsid w:val="00C07AE5"/>
    <w:rsid w:val="00C07B6C"/>
    <w:rsid w:val="00C07BF6"/>
    <w:rsid w:val="00C07E5B"/>
    <w:rsid w:val="00C103CA"/>
    <w:rsid w:val="00C10C46"/>
    <w:rsid w:val="00C10D51"/>
    <w:rsid w:val="00C11195"/>
    <w:rsid w:val="00C11471"/>
    <w:rsid w:val="00C11BCE"/>
    <w:rsid w:val="00C120F5"/>
    <w:rsid w:val="00C121A7"/>
    <w:rsid w:val="00C12237"/>
    <w:rsid w:val="00C124A1"/>
    <w:rsid w:val="00C12990"/>
    <w:rsid w:val="00C1304B"/>
    <w:rsid w:val="00C13156"/>
    <w:rsid w:val="00C13A19"/>
    <w:rsid w:val="00C13A3C"/>
    <w:rsid w:val="00C13ABA"/>
    <w:rsid w:val="00C13FFD"/>
    <w:rsid w:val="00C140EB"/>
    <w:rsid w:val="00C14312"/>
    <w:rsid w:val="00C14BEB"/>
    <w:rsid w:val="00C15363"/>
    <w:rsid w:val="00C155E7"/>
    <w:rsid w:val="00C15BCE"/>
    <w:rsid w:val="00C15FEF"/>
    <w:rsid w:val="00C1628F"/>
    <w:rsid w:val="00C16483"/>
    <w:rsid w:val="00C166E2"/>
    <w:rsid w:val="00C16D27"/>
    <w:rsid w:val="00C16FDD"/>
    <w:rsid w:val="00C17E15"/>
    <w:rsid w:val="00C17E4E"/>
    <w:rsid w:val="00C20181"/>
    <w:rsid w:val="00C2048F"/>
    <w:rsid w:val="00C20ADB"/>
    <w:rsid w:val="00C20E8B"/>
    <w:rsid w:val="00C21C40"/>
    <w:rsid w:val="00C21D99"/>
    <w:rsid w:val="00C21E06"/>
    <w:rsid w:val="00C22657"/>
    <w:rsid w:val="00C22792"/>
    <w:rsid w:val="00C228A5"/>
    <w:rsid w:val="00C2293A"/>
    <w:rsid w:val="00C2294C"/>
    <w:rsid w:val="00C23629"/>
    <w:rsid w:val="00C23787"/>
    <w:rsid w:val="00C23D9E"/>
    <w:rsid w:val="00C24403"/>
    <w:rsid w:val="00C24F31"/>
    <w:rsid w:val="00C25334"/>
    <w:rsid w:val="00C25564"/>
    <w:rsid w:val="00C25891"/>
    <w:rsid w:val="00C258DF"/>
    <w:rsid w:val="00C25BD2"/>
    <w:rsid w:val="00C263A1"/>
    <w:rsid w:val="00C26E16"/>
    <w:rsid w:val="00C272CC"/>
    <w:rsid w:val="00C274D6"/>
    <w:rsid w:val="00C27B47"/>
    <w:rsid w:val="00C27B5E"/>
    <w:rsid w:val="00C27B9C"/>
    <w:rsid w:val="00C27C67"/>
    <w:rsid w:val="00C30054"/>
    <w:rsid w:val="00C30191"/>
    <w:rsid w:val="00C3078E"/>
    <w:rsid w:val="00C30AF0"/>
    <w:rsid w:val="00C30D59"/>
    <w:rsid w:val="00C30F03"/>
    <w:rsid w:val="00C31169"/>
    <w:rsid w:val="00C31558"/>
    <w:rsid w:val="00C31605"/>
    <w:rsid w:val="00C31727"/>
    <w:rsid w:val="00C3198D"/>
    <w:rsid w:val="00C31C69"/>
    <w:rsid w:val="00C32ECB"/>
    <w:rsid w:val="00C3374A"/>
    <w:rsid w:val="00C33B52"/>
    <w:rsid w:val="00C3409F"/>
    <w:rsid w:val="00C34248"/>
    <w:rsid w:val="00C3435F"/>
    <w:rsid w:val="00C34AC5"/>
    <w:rsid w:val="00C34C76"/>
    <w:rsid w:val="00C34DCA"/>
    <w:rsid w:val="00C35232"/>
    <w:rsid w:val="00C35AE9"/>
    <w:rsid w:val="00C363B2"/>
    <w:rsid w:val="00C36474"/>
    <w:rsid w:val="00C366AD"/>
    <w:rsid w:val="00C36893"/>
    <w:rsid w:val="00C36A00"/>
    <w:rsid w:val="00C37026"/>
    <w:rsid w:val="00C373B7"/>
    <w:rsid w:val="00C374BC"/>
    <w:rsid w:val="00C37567"/>
    <w:rsid w:val="00C37582"/>
    <w:rsid w:val="00C3799A"/>
    <w:rsid w:val="00C37DA1"/>
    <w:rsid w:val="00C37EA6"/>
    <w:rsid w:val="00C40AC3"/>
    <w:rsid w:val="00C40FA8"/>
    <w:rsid w:val="00C41B6E"/>
    <w:rsid w:val="00C423F0"/>
    <w:rsid w:val="00C42EDA"/>
    <w:rsid w:val="00C42F9F"/>
    <w:rsid w:val="00C4329E"/>
    <w:rsid w:val="00C4335C"/>
    <w:rsid w:val="00C434E1"/>
    <w:rsid w:val="00C43A92"/>
    <w:rsid w:val="00C43E52"/>
    <w:rsid w:val="00C43FC4"/>
    <w:rsid w:val="00C44283"/>
    <w:rsid w:val="00C44337"/>
    <w:rsid w:val="00C44357"/>
    <w:rsid w:val="00C446D6"/>
    <w:rsid w:val="00C44B66"/>
    <w:rsid w:val="00C4513D"/>
    <w:rsid w:val="00C452A5"/>
    <w:rsid w:val="00C45448"/>
    <w:rsid w:val="00C4555C"/>
    <w:rsid w:val="00C45BD8"/>
    <w:rsid w:val="00C46274"/>
    <w:rsid w:val="00C4733A"/>
    <w:rsid w:val="00C47C95"/>
    <w:rsid w:val="00C5041F"/>
    <w:rsid w:val="00C50BA2"/>
    <w:rsid w:val="00C50F0D"/>
    <w:rsid w:val="00C51171"/>
    <w:rsid w:val="00C51257"/>
    <w:rsid w:val="00C5147F"/>
    <w:rsid w:val="00C515B8"/>
    <w:rsid w:val="00C519D5"/>
    <w:rsid w:val="00C52005"/>
    <w:rsid w:val="00C52017"/>
    <w:rsid w:val="00C5247F"/>
    <w:rsid w:val="00C524E4"/>
    <w:rsid w:val="00C526E8"/>
    <w:rsid w:val="00C52EAA"/>
    <w:rsid w:val="00C52F74"/>
    <w:rsid w:val="00C536AA"/>
    <w:rsid w:val="00C53D0F"/>
    <w:rsid w:val="00C53D71"/>
    <w:rsid w:val="00C53F12"/>
    <w:rsid w:val="00C53F33"/>
    <w:rsid w:val="00C54063"/>
    <w:rsid w:val="00C54337"/>
    <w:rsid w:val="00C5451B"/>
    <w:rsid w:val="00C5482B"/>
    <w:rsid w:val="00C54E2E"/>
    <w:rsid w:val="00C560E2"/>
    <w:rsid w:val="00C566DE"/>
    <w:rsid w:val="00C56D31"/>
    <w:rsid w:val="00C56F46"/>
    <w:rsid w:val="00C5703E"/>
    <w:rsid w:val="00C5788E"/>
    <w:rsid w:val="00C601CD"/>
    <w:rsid w:val="00C60287"/>
    <w:rsid w:val="00C60896"/>
    <w:rsid w:val="00C60B98"/>
    <w:rsid w:val="00C60BA2"/>
    <w:rsid w:val="00C60C29"/>
    <w:rsid w:val="00C60F59"/>
    <w:rsid w:val="00C61468"/>
    <w:rsid w:val="00C616AF"/>
    <w:rsid w:val="00C61EDA"/>
    <w:rsid w:val="00C61EE6"/>
    <w:rsid w:val="00C62039"/>
    <w:rsid w:val="00C62343"/>
    <w:rsid w:val="00C62529"/>
    <w:rsid w:val="00C62828"/>
    <w:rsid w:val="00C62967"/>
    <w:rsid w:val="00C62B5A"/>
    <w:rsid w:val="00C62E88"/>
    <w:rsid w:val="00C63211"/>
    <w:rsid w:val="00C63375"/>
    <w:rsid w:val="00C633C7"/>
    <w:rsid w:val="00C63FDA"/>
    <w:rsid w:val="00C64182"/>
    <w:rsid w:val="00C64877"/>
    <w:rsid w:val="00C64E15"/>
    <w:rsid w:val="00C64EE7"/>
    <w:rsid w:val="00C65034"/>
    <w:rsid w:val="00C650C8"/>
    <w:rsid w:val="00C658D2"/>
    <w:rsid w:val="00C65ABE"/>
    <w:rsid w:val="00C65E04"/>
    <w:rsid w:val="00C6624B"/>
    <w:rsid w:val="00C667DA"/>
    <w:rsid w:val="00C668E5"/>
    <w:rsid w:val="00C66B69"/>
    <w:rsid w:val="00C66DFE"/>
    <w:rsid w:val="00C66FDA"/>
    <w:rsid w:val="00C6705C"/>
    <w:rsid w:val="00C6709B"/>
    <w:rsid w:val="00C67438"/>
    <w:rsid w:val="00C67880"/>
    <w:rsid w:val="00C67BA2"/>
    <w:rsid w:val="00C67D3B"/>
    <w:rsid w:val="00C700C9"/>
    <w:rsid w:val="00C70208"/>
    <w:rsid w:val="00C7052F"/>
    <w:rsid w:val="00C716DB"/>
    <w:rsid w:val="00C725C8"/>
    <w:rsid w:val="00C72C6F"/>
    <w:rsid w:val="00C72E8B"/>
    <w:rsid w:val="00C72EE7"/>
    <w:rsid w:val="00C72EEE"/>
    <w:rsid w:val="00C72FD9"/>
    <w:rsid w:val="00C73A96"/>
    <w:rsid w:val="00C73BCB"/>
    <w:rsid w:val="00C74B99"/>
    <w:rsid w:val="00C75164"/>
    <w:rsid w:val="00C75667"/>
    <w:rsid w:val="00C75821"/>
    <w:rsid w:val="00C75D9C"/>
    <w:rsid w:val="00C75DE9"/>
    <w:rsid w:val="00C76092"/>
    <w:rsid w:val="00C764EC"/>
    <w:rsid w:val="00C76639"/>
    <w:rsid w:val="00C76649"/>
    <w:rsid w:val="00C76B02"/>
    <w:rsid w:val="00C77A98"/>
    <w:rsid w:val="00C77BFF"/>
    <w:rsid w:val="00C77C22"/>
    <w:rsid w:val="00C77F0A"/>
    <w:rsid w:val="00C803A8"/>
    <w:rsid w:val="00C80CDE"/>
    <w:rsid w:val="00C818EB"/>
    <w:rsid w:val="00C819E3"/>
    <w:rsid w:val="00C81BA1"/>
    <w:rsid w:val="00C81CA5"/>
    <w:rsid w:val="00C82072"/>
    <w:rsid w:val="00C82202"/>
    <w:rsid w:val="00C82603"/>
    <w:rsid w:val="00C826AC"/>
    <w:rsid w:val="00C82995"/>
    <w:rsid w:val="00C82AEB"/>
    <w:rsid w:val="00C83332"/>
    <w:rsid w:val="00C83599"/>
    <w:rsid w:val="00C8378E"/>
    <w:rsid w:val="00C838F0"/>
    <w:rsid w:val="00C83E21"/>
    <w:rsid w:val="00C83F96"/>
    <w:rsid w:val="00C843B7"/>
    <w:rsid w:val="00C847A3"/>
    <w:rsid w:val="00C84A89"/>
    <w:rsid w:val="00C84DA2"/>
    <w:rsid w:val="00C84F90"/>
    <w:rsid w:val="00C8507B"/>
    <w:rsid w:val="00C850E5"/>
    <w:rsid w:val="00C85178"/>
    <w:rsid w:val="00C85956"/>
    <w:rsid w:val="00C8616C"/>
    <w:rsid w:val="00C870DF"/>
    <w:rsid w:val="00C8715F"/>
    <w:rsid w:val="00C87458"/>
    <w:rsid w:val="00C87599"/>
    <w:rsid w:val="00C87D43"/>
    <w:rsid w:val="00C9055E"/>
    <w:rsid w:val="00C90E16"/>
    <w:rsid w:val="00C91ADC"/>
    <w:rsid w:val="00C9209D"/>
    <w:rsid w:val="00C9249F"/>
    <w:rsid w:val="00C92894"/>
    <w:rsid w:val="00C92DB1"/>
    <w:rsid w:val="00C93136"/>
    <w:rsid w:val="00C935A3"/>
    <w:rsid w:val="00C936A4"/>
    <w:rsid w:val="00C938AF"/>
    <w:rsid w:val="00C93C16"/>
    <w:rsid w:val="00C93E03"/>
    <w:rsid w:val="00C94192"/>
    <w:rsid w:val="00C94784"/>
    <w:rsid w:val="00C9486F"/>
    <w:rsid w:val="00C9488B"/>
    <w:rsid w:val="00C94A9D"/>
    <w:rsid w:val="00C94FFB"/>
    <w:rsid w:val="00C952C3"/>
    <w:rsid w:val="00C955A7"/>
    <w:rsid w:val="00C95985"/>
    <w:rsid w:val="00C959BF"/>
    <w:rsid w:val="00C95B22"/>
    <w:rsid w:val="00C95D46"/>
    <w:rsid w:val="00C95E5E"/>
    <w:rsid w:val="00C95F6D"/>
    <w:rsid w:val="00C965CC"/>
    <w:rsid w:val="00C96BED"/>
    <w:rsid w:val="00C96D69"/>
    <w:rsid w:val="00C9713C"/>
    <w:rsid w:val="00C9720F"/>
    <w:rsid w:val="00C97249"/>
    <w:rsid w:val="00C97D5F"/>
    <w:rsid w:val="00CA05CE"/>
    <w:rsid w:val="00CA0778"/>
    <w:rsid w:val="00CA0A01"/>
    <w:rsid w:val="00CA0F65"/>
    <w:rsid w:val="00CA1710"/>
    <w:rsid w:val="00CA190F"/>
    <w:rsid w:val="00CA1B8A"/>
    <w:rsid w:val="00CA1CD1"/>
    <w:rsid w:val="00CA1D09"/>
    <w:rsid w:val="00CA1D13"/>
    <w:rsid w:val="00CA1FEE"/>
    <w:rsid w:val="00CA2725"/>
    <w:rsid w:val="00CA2819"/>
    <w:rsid w:val="00CA28CD"/>
    <w:rsid w:val="00CA2A1E"/>
    <w:rsid w:val="00CA2AEA"/>
    <w:rsid w:val="00CA2FF6"/>
    <w:rsid w:val="00CA35EE"/>
    <w:rsid w:val="00CA38F6"/>
    <w:rsid w:val="00CA397F"/>
    <w:rsid w:val="00CA3C7F"/>
    <w:rsid w:val="00CA4547"/>
    <w:rsid w:val="00CA4594"/>
    <w:rsid w:val="00CA4742"/>
    <w:rsid w:val="00CA47DB"/>
    <w:rsid w:val="00CA4989"/>
    <w:rsid w:val="00CA4EF3"/>
    <w:rsid w:val="00CA5012"/>
    <w:rsid w:val="00CA5072"/>
    <w:rsid w:val="00CA5238"/>
    <w:rsid w:val="00CA575F"/>
    <w:rsid w:val="00CA5DDD"/>
    <w:rsid w:val="00CA6185"/>
    <w:rsid w:val="00CA6230"/>
    <w:rsid w:val="00CA669A"/>
    <w:rsid w:val="00CA6936"/>
    <w:rsid w:val="00CA7197"/>
    <w:rsid w:val="00CA7607"/>
    <w:rsid w:val="00CA7AFD"/>
    <w:rsid w:val="00CA7B02"/>
    <w:rsid w:val="00CA7D87"/>
    <w:rsid w:val="00CB0923"/>
    <w:rsid w:val="00CB0ACB"/>
    <w:rsid w:val="00CB0E49"/>
    <w:rsid w:val="00CB10B3"/>
    <w:rsid w:val="00CB1280"/>
    <w:rsid w:val="00CB139C"/>
    <w:rsid w:val="00CB1650"/>
    <w:rsid w:val="00CB168D"/>
    <w:rsid w:val="00CB169E"/>
    <w:rsid w:val="00CB184B"/>
    <w:rsid w:val="00CB1BF5"/>
    <w:rsid w:val="00CB22D7"/>
    <w:rsid w:val="00CB246B"/>
    <w:rsid w:val="00CB2CC4"/>
    <w:rsid w:val="00CB2E40"/>
    <w:rsid w:val="00CB35B9"/>
    <w:rsid w:val="00CB37FE"/>
    <w:rsid w:val="00CB39D7"/>
    <w:rsid w:val="00CB3A1B"/>
    <w:rsid w:val="00CB3AE9"/>
    <w:rsid w:val="00CB3BFC"/>
    <w:rsid w:val="00CB3C89"/>
    <w:rsid w:val="00CB3F4D"/>
    <w:rsid w:val="00CB40B4"/>
    <w:rsid w:val="00CB40FF"/>
    <w:rsid w:val="00CB42F5"/>
    <w:rsid w:val="00CB4481"/>
    <w:rsid w:val="00CB4D05"/>
    <w:rsid w:val="00CB4E1E"/>
    <w:rsid w:val="00CB4F00"/>
    <w:rsid w:val="00CB4F4B"/>
    <w:rsid w:val="00CB51C2"/>
    <w:rsid w:val="00CB54C7"/>
    <w:rsid w:val="00CB57F8"/>
    <w:rsid w:val="00CB5D29"/>
    <w:rsid w:val="00CB5EA7"/>
    <w:rsid w:val="00CB6198"/>
    <w:rsid w:val="00CB6644"/>
    <w:rsid w:val="00CB698B"/>
    <w:rsid w:val="00CB6AC9"/>
    <w:rsid w:val="00CB6B7C"/>
    <w:rsid w:val="00CB6BF7"/>
    <w:rsid w:val="00CB6CA0"/>
    <w:rsid w:val="00CB6DC2"/>
    <w:rsid w:val="00CB6DFD"/>
    <w:rsid w:val="00CB7039"/>
    <w:rsid w:val="00CB7646"/>
    <w:rsid w:val="00CB77D5"/>
    <w:rsid w:val="00CB7882"/>
    <w:rsid w:val="00CB78C4"/>
    <w:rsid w:val="00CC06BE"/>
    <w:rsid w:val="00CC0BBC"/>
    <w:rsid w:val="00CC139B"/>
    <w:rsid w:val="00CC1B5D"/>
    <w:rsid w:val="00CC1CA5"/>
    <w:rsid w:val="00CC261F"/>
    <w:rsid w:val="00CC2830"/>
    <w:rsid w:val="00CC2A3F"/>
    <w:rsid w:val="00CC301C"/>
    <w:rsid w:val="00CC3128"/>
    <w:rsid w:val="00CC388F"/>
    <w:rsid w:val="00CC38B2"/>
    <w:rsid w:val="00CC398C"/>
    <w:rsid w:val="00CC3B76"/>
    <w:rsid w:val="00CC3BB2"/>
    <w:rsid w:val="00CC413A"/>
    <w:rsid w:val="00CC4271"/>
    <w:rsid w:val="00CC4F1E"/>
    <w:rsid w:val="00CC52BD"/>
    <w:rsid w:val="00CC5349"/>
    <w:rsid w:val="00CC5B69"/>
    <w:rsid w:val="00CC5D6E"/>
    <w:rsid w:val="00CC5D7B"/>
    <w:rsid w:val="00CC5E39"/>
    <w:rsid w:val="00CC5EB6"/>
    <w:rsid w:val="00CC6240"/>
    <w:rsid w:val="00CC638B"/>
    <w:rsid w:val="00CC656B"/>
    <w:rsid w:val="00CC670B"/>
    <w:rsid w:val="00CC6BCB"/>
    <w:rsid w:val="00CC7021"/>
    <w:rsid w:val="00CC7080"/>
    <w:rsid w:val="00CC7137"/>
    <w:rsid w:val="00CC7169"/>
    <w:rsid w:val="00CC71B8"/>
    <w:rsid w:val="00CC762A"/>
    <w:rsid w:val="00CC7E00"/>
    <w:rsid w:val="00CD01FD"/>
    <w:rsid w:val="00CD07D7"/>
    <w:rsid w:val="00CD081C"/>
    <w:rsid w:val="00CD0AEC"/>
    <w:rsid w:val="00CD0C32"/>
    <w:rsid w:val="00CD0EE9"/>
    <w:rsid w:val="00CD0FB3"/>
    <w:rsid w:val="00CD0FDE"/>
    <w:rsid w:val="00CD1188"/>
    <w:rsid w:val="00CD13F8"/>
    <w:rsid w:val="00CD15E1"/>
    <w:rsid w:val="00CD1DE8"/>
    <w:rsid w:val="00CD1EEC"/>
    <w:rsid w:val="00CD22C8"/>
    <w:rsid w:val="00CD25A0"/>
    <w:rsid w:val="00CD2A9F"/>
    <w:rsid w:val="00CD2B25"/>
    <w:rsid w:val="00CD2C28"/>
    <w:rsid w:val="00CD2FDB"/>
    <w:rsid w:val="00CD324D"/>
    <w:rsid w:val="00CD3CDC"/>
    <w:rsid w:val="00CD3E8E"/>
    <w:rsid w:val="00CD424D"/>
    <w:rsid w:val="00CD4444"/>
    <w:rsid w:val="00CD447D"/>
    <w:rsid w:val="00CD5320"/>
    <w:rsid w:val="00CD5555"/>
    <w:rsid w:val="00CD56E1"/>
    <w:rsid w:val="00CD5C2F"/>
    <w:rsid w:val="00CD5F4A"/>
    <w:rsid w:val="00CD6A88"/>
    <w:rsid w:val="00CD71A0"/>
    <w:rsid w:val="00CD741B"/>
    <w:rsid w:val="00CD7A67"/>
    <w:rsid w:val="00CD7E8C"/>
    <w:rsid w:val="00CE0BF8"/>
    <w:rsid w:val="00CE0DF7"/>
    <w:rsid w:val="00CE13EE"/>
    <w:rsid w:val="00CE14D5"/>
    <w:rsid w:val="00CE1A45"/>
    <w:rsid w:val="00CE1AB2"/>
    <w:rsid w:val="00CE1B28"/>
    <w:rsid w:val="00CE1FD0"/>
    <w:rsid w:val="00CE21EF"/>
    <w:rsid w:val="00CE24A3"/>
    <w:rsid w:val="00CE2DD3"/>
    <w:rsid w:val="00CE2E15"/>
    <w:rsid w:val="00CE39A0"/>
    <w:rsid w:val="00CE3C35"/>
    <w:rsid w:val="00CE4996"/>
    <w:rsid w:val="00CE5016"/>
    <w:rsid w:val="00CE53DA"/>
    <w:rsid w:val="00CE5509"/>
    <w:rsid w:val="00CE5659"/>
    <w:rsid w:val="00CE5B91"/>
    <w:rsid w:val="00CE5BD8"/>
    <w:rsid w:val="00CE5F36"/>
    <w:rsid w:val="00CE6116"/>
    <w:rsid w:val="00CE62AE"/>
    <w:rsid w:val="00CE6A43"/>
    <w:rsid w:val="00CE7017"/>
    <w:rsid w:val="00CE7454"/>
    <w:rsid w:val="00CE75BC"/>
    <w:rsid w:val="00CE7CF4"/>
    <w:rsid w:val="00CF0142"/>
    <w:rsid w:val="00CF025C"/>
    <w:rsid w:val="00CF06EC"/>
    <w:rsid w:val="00CF0DC0"/>
    <w:rsid w:val="00CF139D"/>
    <w:rsid w:val="00CF13CA"/>
    <w:rsid w:val="00CF16FA"/>
    <w:rsid w:val="00CF1838"/>
    <w:rsid w:val="00CF1DF3"/>
    <w:rsid w:val="00CF2054"/>
    <w:rsid w:val="00CF25DC"/>
    <w:rsid w:val="00CF286E"/>
    <w:rsid w:val="00CF2AFD"/>
    <w:rsid w:val="00CF2B3B"/>
    <w:rsid w:val="00CF2C8B"/>
    <w:rsid w:val="00CF2D9D"/>
    <w:rsid w:val="00CF308F"/>
    <w:rsid w:val="00CF3794"/>
    <w:rsid w:val="00CF3A4C"/>
    <w:rsid w:val="00CF44FA"/>
    <w:rsid w:val="00CF5996"/>
    <w:rsid w:val="00CF66B1"/>
    <w:rsid w:val="00CF6AE8"/>
    <w:rsid w:val="00CF6CCD"/>
    <w:rsid w:val="00CF6E43"/>
    <w:rsid w:val="00CF7499"/>
    <w:rsid w:val="00CF75AA"/>
    <w:rsid w:val="00D002E7"/>
    <w:rsid w:val="00D00389"/>
    <w:rsid w:val="00D0069E"/>
    <w:rsid w:val="00D008B9"/>
    <w:rsid w:val="00D00F80"/>
    <w:rsid w:val="00D016B1"/>
    <w:rsid w:val="00D01B3E"/>
    <w:rsid w:val="00D01FBE"/>
    <w:rsid w:val="00D03092"/>
    <w:rsid w:val="00D034DC"/>
    <w:rsid w:val="00D036EC"/>
    <w:rsid w:val="00D039CC"/>
    <w:rsid w:val="00D042C2"/>
    <w:rsid w:val="00D042F6"/>
    <w:rsid w:val="00D047EF"/>
    <w:rsid w:val="00D0483C"/>
    <w:rsid w:val="00D04F87"/>
    <w:rsid w:val="00D0510D"/>
    <w:rsid w:val="00D05790"/>
    <w:rsid w:val="00D059B0"/>
    <w:rsid w:val="00D06222"/>
    <w:rsid w:val="00D0623A"/>
    <w:rsid w:val="00D062DD"/>
    <w:rsid w:val="00D0682C"/>
    <w:rsid w:val="00D06C38"/>
    <w:rsid w:val="00D071EA"/>
    <w:rsid w:val="00D07C89"/>
    <w:rsid w:val="00D104B6"/>
    <w:rsid w:val="00D105EB"/>
    <w:rsid w:val="00D11324"/>
    <w:rsid w:val="00D1153A"/>
    <w:rsid w:val="00D11600"/>
    <w:rsid w:val="00D11602"/>
    <w:rsid w:val="00D11713"/>
    <w:rsid w:val="00D11D14"/>
    <w:rsid w:val="00D11E5D"/>
    <w:rsid w:val="00D12089"/>
    <w:rsid w:val="00D1246B"/>
    <w:rsid w:val="00D13961"/>
    <w:rsid w:val="00D13BD1"/>
    <w:rsid w:val="00D1402C"/>
    <w:rsid w:val="00D1407C"/>
    <w:rsid w:val="00D14710"/>
    <w:rsid w:val="00D14A2C"/>
    <w:rsid w:val="00D14D4C"/>
    <w:rsid w:val="00D14D66"/>
    <w:rsid w:val="00D14E83"/>
    <w:rsid w:val="00D15852"/>
    <w:rsid w:val="00D15CEE"/>
    <w:rsid w:val="00D16219"/>
    <w:rsid w:val="00D162B8"/>
    <w:rsid w:val="00D168AF"/>
    <w:rsid w:val="00D1698D"/>
    <w:rsid w:val="00D16EEF"/>
    <w:rsid w:val="00D1741E"/>
    <w:rsid w:val="00D1759D"/>
    <w:rsid w:val="00D17CC6"/>
    <w:rsid w:val="00D201E9"/>
    <w:rsid w:val="00D2037A"/>
    <w:rsid w:val="00D20624"/>
    <w:rsid w:val="00D20654"/>
    <w:rsid w:val="00D20F13"/>
    <w:rsid w:val="00D21207"/>
    <w:rsid w:val="00D21226"/>
    <w:rsid w:val="00D214EA"/>
    <w:rsid w:val="00D21986"/>
    <w:rsid w:val="00D222A7"/>
    <w:rsid w:val="00D22D3E"/>
    <w:rsid w:val="00D23552"/>
    <w:rsid w:val="00D23651"/>
    <w:rsid w:val="00D243EB"/>
    <w:rsid w:val="00D249C0"/>
    <w:rsid w:val="00D24BA2"/>
    <w:rsid w:val="00D24D42"/>
    <w:rsid w:val="00D2503C"/>
    <w:rsid w:val="00D251A2"/>
    <w:rsid w:val="00D25475"/>
    <w:rsid w:val="00D25F16"/>
    <w:rsid w:val="00D260A5"/>
    <w:rsid w:val="00D26138"/>
    <w:rsid w:val="00D262E0"/>
    <w:rsid w:val="00D263C5"/>
    <w:rsid w:val="00D2643C"/>
    <w:rsid w:val="00D26513"/>
    <w:rsid w:val="00D26838"/>
    <w:rsid w:val="00D26933"/>
    <w:rsid w:val="00D27215"/>
    <w:rsid w:val="00D275E9"/>
    <w:rsid w:val="00D276C3"/>
    <w:rsid w:val="00D276E0"/>
    <w:rsid w:val="00D2773D"/>
    <w:rsid w:val="00D30192"/>
    <w:rsid w:val="00D30280"/>
    <w:rsid w:val="00D306BF"/>
    <w:rsid w:val="00D30A32"/>
    <w:rsid w:val="00D30D7A"/>
    <w:rsid w:val="00D31A77"/>
    <w:rsid w:val="00D31D8D"/>
    <w:rsid w:val="00D32004"/>
    <w:rsid w:val="00D322B0"/>
    <w:rsid w:val="00D32486"/>
    <w:rsid w:val="00D32829"/>
    <w:rsid w:val="00D32860"/>
    <w:rsid w:val="00D33657"/>
    <w:rsid w:val="00D339E6"/>
    <w:rsid w:val="00D33E4E"/>
    <w:rsid w:val="00D3427C"/>
    <w:rsid w:val="00D34433"/>
    <w:rsid w:val="00D34547"/>
    <w:rsid w:val="00D3466E"/>
    <w:rsid w:val="00D34B7C"/>
    <w:rsid w:val="00D34F96"/>
    <w:rsid w:val="00D35943"/>
    <w:rsid w:val="00D35C9F"/>
    <w:rsid w:val="00D36130"/>
    <w:rsid w:val="00D3655E"/>
    <w:rsid w:val="00D368C8"/>
    <w:rsid w:val="00D36AFD"/>
    <w:rsid w:val="00D36F07"/>
    <w:rsid w:val="00D37601"/>
    <w:rsid w:val="00D37C0E"/>
    <w:rsid w:val="00D401A4"/>
    <w:rsid w:val="00D40322"/>
    <w:rsid w:val="00D403E0"/>
    <w:rsid w:val="00D40779"/>
    <w:rsid w:val="00D409F1"/>
    <w:rsid w:val="00D413E8"/>
    <w:rsid w:val="00D41A6C"/>
    <w:rsid w:val="00D41B58"/>
    <w:rsid w:val="00D41C74"/>
    <w:rsid w:val="00D41CC7"/>
    <w:rsid w:val="00D41FFC"/>
    <w:rsid w:val="00D42522"/>
    <w:rsid w:val="00D42DE2"/>
    <w:rsid w:val="00D430B4"/>
    <w:rsid w:val="00D4360E"/>
    <w:rsid w:val="00D442F9"/>
    <w:rsid w:val="00D44569"/>
    <w:rsid w:val="00D44DB6"/>
    <w:rsid w:val="00D4508F"/>
    <w:rsid w:val="00D450B2"/>
    <w:rsid w:val="00D45133"/>
    <w:rsid w:val="00D45815"/>
    <w:rsid w:val="00D45B99"/>
    <w:rsid w:val="00D46791"/>
    <w:rsid w:val="00D46A65"/>
    <w:rsid w:val="00D46C60"/>
    <w:rsid w:val="00D46ECF"/>
    <w:rsid w:val="00D479BD"/>
    <w:rsid w:val="00D47AD8"/>
    <w:rsid w:val="00D47CF5"/>
    <w:rsid w:val="00D47FD1"/>
    <w:rsid w:val="00D5050B"/>
    <w:rsid w:val="00D50C69"/>
    <w:rsid w:val="00D50DBC"/>
    <w:rsid w:val="00D51066"/>
    <w:rsid w:val="00D51256"/>
    <w:rsid w:val="00D518B7"/>
    <w:rsid w:val="00D51A47"/>
    <w:rsid w:val="00D51B49"/>
    <w:rsid w:val="00D51BDD"/>
    <w:rsid w:val="00D51C16"/>
    <w:rsid w:val="00D51F3D"/>
    <w:rsid w:val="00D5221C"/>
    <w:rsid w:val="00D527EC"/>
    <w:rsid w:val="00D527EF"/>
    <w:rsid w:val="00D52838"/>
    <w:rsid w:val="00D52E37"/>
    <w:rsid w:val="00D535FE"/>
    <w:rsid w:val="00D5360C"/>
    <w:rsid w:val="00D5389D"/>
    <w:rsid w:val="00D53AAA"/>
    <w:rsid w:val="00D53C6F"/>
    <w:rsid w:val="00D5496C"/>
    <w:rsid w:val="00D54B0C"/>
    <w:rsid w:val="00D54EED"/>
    <w:rsid w:val="00D55926"/>
    <w:rsid w:val="00D560D4"/>
    <w:rsid w:val="00D564E1"/>
    <w:rsid w:val="00D5686A"/>
    <w:rsid w:val="00D56FB3"/>
    <w:rsid w:val="00D57654"/>
    <w:rsid w:val="00D57659"/>
    <w:rsid w:val="00D5768D"/>
    <w:rsid w:val="00D57E20"/>
    <w:rsid w:val="00D60247"/>
    <w:rsid w:val="00D60369"/>
    <w:rsid w:val="00D60515"/>
    <w:rsid w:val="00D60820"/>
    <w:rsid w:val="00D609EF"/>
    <w:rsid w:val="00D60B85"/>
    <w:rsid w:val="00D6159C"/>
    <w:rsid w:val="00D61936"/>
    <w:rsid w:val="00D619A6"/>
    <w:rsid w:val="00D62253"/>
    <w:rsid w:val="00D62A2A"/>
    <w:rsid w:val="00D62AEC"/>
    <w:rsid w:val="00D62C2A"/>
    <w:rsid w:val="00D62D41"/>
    <w:rsid w:val="00D62D55"/>
    <w:rsid w:val="00D630A3"/>
    <w:rsid w:val="00D64733"/>
    <w:rsid w:val="00D64980"/>
    <w:rsid w:val="00D64A15"/>
    <w:rsid w:val="00D64A50"/>
    <w:rsid w:val="00D64E38"/>
    <w:rsid w:val="00D657B7"/>
    <w:rsid w:val="00D659DC"/>
    <w:rsid w:val="00D65A3C"/>
    <w:rsid w:val="00D660F5"/>
    <w:rsid w:val="00D66C85"/>
    <w:rsid w:val="00D67312"/>
    <w:rsid w:val="00D67487"/>
    <w:rsid w:val="00D67A03"/>
    <w:rsid w:val="00D67FF3"/>
    <w:rsid w:val="00D70319"/>
    <w:rsid w:val="00D70568"/>
    <w:rsid w:val="00D70987"/>
    <w:rsid w:val="00D70B59"/>
    <w:rsid w:val="00D70C95"/>
    <w:rsid w:val="00D70DDB"/>
    <w:rsid w:val="00D7117B"/>
    <w:rsid w:val="00D71252"/>
    <w:rsid w:val="00D713A3"/>
    <w:rsid w:val="00D71536"/>
    <w:rsid w:val="00D717E2"/>
    <w:rsid w:val="00D71D33"/>
    <w:rsid w:val="00D7218E"/>
    <w:rsid w:val="00D72215"/>
    <w:rsid w:val="00D72694"/>
    <w:rsid w:val="00D72BD1"/>
    <w:rsid w:val="00D72E8E"/>
    <w:rsid w:val="00D73CA0"/>
    <w:rsid w:val="00D73F42"/>
    <w:rsid w:val="00D742F5"/>
    <w:rsid w:val="00D746FB"/>
    <w:rsid w:val="00D74A92"/>
    <w:rsid w:val="00D74B8C"/>
    <w:rsid w:val="00D75398"/>
    <w:rsid w:val="00D758B8"/>
    <w:rsid w:val="00D75DE3"/>
    <w:rsid w:val="00D7603E"/>
    <w:rsid w:val="00D76082"/>
    <w:rsid w:val="00D7648C"/>
    <w:rsid w:val="00D766A5"/>
    <w:rsid w:val="00D76E49"/>
    <w:rsid w:val="00D775F2"/>
    <w:rsid w:val="00D77854"/>
    <w:rsid w:val="00D77C0D"/>
    <w:rsid w:val="00D77FA1"/>
    <w:rsid w:val="00D8060D"/>
    <w:rsid w:val="00D80762"/>
    <w:rsid w:val="00D80F40"/>
    <w:rsid w:val="00D815C5"/>
    <w:rsid w:val="00D81659"/>
    <w:rsid w:val="00D819FF"/>
    <w:rsid w:val="00D81B24"/>
    <w:rsid w:val="00D82374"/>
    <w:rsid w:val="00D827B0"/>
    <w:rsid w:val="00D82962"/>
    <w:rsid w:val="00D8328C"/>
    <w:rsid w:val="00D83535"/>
    <w:rsid w:val="00D83596"/>
    <w:rsid w:val="00D8361D"/>
    <w:rsid w:val="00D83637"/>
    <w:rsid w:val="00D836CD"/>
    <w:rsid w:val="00D84082"/>
    <w:rsid w:val="00D840E8"/>
    <w:rsid w:val="00D84221"/>
    <w:rsid w:val="00D843ED"/>
    <w:rsid w:val="00D84704"/>
    <w:rsid w:val="00D848F9"/>
    <w:rsid w:val="00D84CDE"/>
    <w:rsid w:val="00D84FFA"/>
    <w:rsid w:val="00D8586D"/>
    <w:rsid w:val="00D85F7F"/>
    <w:rsid w:val="00D85FFF"/>
    <w:rsid w:val="00D8622E"/>
    <w:rsid w:val="00D862AF"/>
    <w:rsid w:val="00D870A1"/>
    <w:rsid w:val="00D871BB"/>
    <w:rsid w:val="00D872C3"/>
    <w:rsid w:val="00D8795F"/>
    <w:rsid w:val="00D879C5"/>
    <w:rsid w:val="00D87DE6"/>
    <w:rsid w:val="00D903FA"/>
    <w:rsid w:val="00D9061A"/>
    <w:rsid w:val="00D9071D"/>
    <w:rsid w:val="00D90746"/>
    <w:rsid w:val="00D90DAF"/>
    <w:rsid w:val="00D9135E"/>
    <w:rsid w:val="00D91E11"/>
    <w:rsid w:val="00D92FA2"/>
    <w:rsid w:val="00D93198"/>
    <w:rsid w:val="00D93338"/>
    <w:rsid w:val="00D935B8"/>
    <w:rsid w:val="00D937B8"/>
    <w:rsid w:val="00D939E0"/>
    <w:rsid w:val="00D93AC2"/>
    <w:rsid w:val="00D93E89"/>
    <w:rsid w:val="00D93ED4"/>
    <w:rsid w:val="00D93F3E"/>
    <w:rsid w:val="00D94323"/>
    <w:rsid w:val="00D943F1"/>
    <w:rsid w:val="00D948C3"/>
    <w:rsid w:val="00D94BCE"/>
    <w:rsid w:val="00D94BF7"/>
    <w:rsid w:val="00D9560A"/>
    <w:rsid w:val="00D95E16"/>
    <w:rsid w:val="00D9740E"/>
    <w:rsid w:val="00D975D2"/>
    <w:rsid w:val="00D97942"/>
    <w:rsid w:val="00D979C7"/>
    <w:rsid w:val="00DA01EE"/>
    <w:rsid w:val="00DA0D77"/>
    <w:rsid w:val="00DA151D"/>
    <w:rsid w:val="00DA15E1"/>
    <w:rsid w:val="00DA1639"/>
    <w:rsid w:val="00DA1E83"/>
    <w:rsid w:val="00DA1EA2"/>
    <w:rsid w:val="00DA2103"/>
    <w:rsid w:val="00DA2114"/>
    <w:rsid w:val="00DA23EE"/>
    <w:rsid w:val="00DA25F9"/>
    <w:rsid w:val="00DA29E3"/>
    <w:rsid w:val="00DA32E8"/>
    <w:rsid w:val="00DA32EE"/>
    <w:rsid w:val="00DA37D6"/>
    <w:rsid w:val="00DA3AD6"/>
    <w:rsid w:val="00DA3CF4"/>
    <w:rsid w:val="00DA3EA4"/>
    <w:rsid w:val="00DA4134"/>
    <w:rsid w:val="00DA43F4"/>
    <w:rsid w:val="00DA4A47"/>
    <w:rsid w:val="00DA4CB8"/>
    <w:rsid w:val="00DA5AF9"/>
    <w:rsid w:val="00DA5B87"/>
    <w:rsid w:val="00DA5BFC"/>
    <w:rsid w:val="00DA5C54"/>
    <w:rsid w:val="00DA6073"/>
    <w:rsid w:val="00DA6558"/>
    <w:rsid w:val="00DA65A4"/>
    <w:rsid w:val="00DB06BF"/>
    <w:rsid w:val="00DB09A5"/>
    <w:rsid w:val="00DB0B8F"/>
    <w:rsid w:val="00DB1025"/>
    <w:rsid w:val="00DB2101"/>
    <w:rsid w:val="00DB22D5"/>
    <w:rsid w:val="00DB23AB"/>
    <w:rsid w:val="00DB2438"/>
    <w:rsid w:val="00DB2910"/>
    <w:rsid w:val="00DB2950"/>
    <w:rsid w:val="00DB2C88"/>
    <w:rsid w:val="00DB2CCB"/>
    <w:rsid w:val="00DB30BB"/>
    <w:rsid w:val="00DB36CB"/>
    <w:rsid w:val="00DB3A10"/>
    <w:rsid w:val="00DB3B1D"/>
    <w:rsid w:val="00DB3DDB"/>
    <w:rsid w:val="00DB3F4F"/>
    <w:rsid w:val="00DB50B4"/>
    <w:rsid w:val="00DB50EE"/>
    <w:rsid w:val="00DB51AA"/>
    <w:rsid w:val="00DB55F2"/>
    <w:rsid w:val="00DB575F"/>
    <w:rsid w:val="00DB583C"/>
    <w:rsid w:val="00DB5AAF"/>
    <w:rsid w:val="00DB5B67"/>
    <w:rsid w:val="00DB5BC2"/>
    <w:rsid w:val="00DB68B6"/>
    <w:rsid w:val="00DB6924"/>
    <w:rsid w:val="00DB7A01"/>
    <w:rsid w:val="00DB7BBE"/>
    <w:rsid w:val="00DC03CA"/>
    <w:rsid w:val="00DC0DA0"/>
    <w:rsid w:val="00DC205B"/>
    <w:rsid w:val="00DC22FC"/>
    <w:rsid w:val="00DC2FC0"/>
    <w:rsid w:val="00DC3574"/>
    <w:rsid w:val="00DC3FBB"/>
    <w:rsid w:val="00DC4145"/>
    <w:rsid w:val="00DC41BA"/>
    <w:rsid w:val="00DC41D8"/>
    <w:rsid w:val="00DC424A"/>
    <w:rsid w:val="00DC42C9"/>
    <w:rsid w:val="00DC46E5"/>
    <w:rsid w:val="00DC5337"/>
    <w:rsid w:val="00DC565E"/>
    <w:rsid w:val="00DC57AF"/>
    <w:rsid w:val="00DC59F4"/>
    <w:rsid w:val="00DC5F24"/>
    <w:rsid w:val="00DC5F43"/>
    <w:rsid w:val="00DC6232"/>
    <w:rsid w:val="00DC66A5"/>
    <w:rsid w:val="00DC6860"/>
    <w:rsid w:val="00DC6B42"/>
    <w:rsid w:val="00DC6EDD"/>
    <w:rsid w:val="00DC772E"/>
    <w:rsid w:val="00DC7ACF"/>
    <w:rsid w:val="00DD00B4"/>
    <w:rsid w:val="00DD059F"/>
    <w:rsid w:val="00DD06B0"/>
    <w:rsid w:val="00DD1285"/>
    <w:rsid w:val="00DD169D"/>
    <w:rsid w:val="00DD1CBC"/>
    <w:rsid w:val="00DD20E9"/>
    <w:rsid w:val="00DD2671"/>
    <w:rsid w:val="00DD28D0"/>
    <w:rsid w:val="00DD296C"/>
    <w:rsid w:val="00DD2B76"/>
    <w:rsid w:val="00DD2D02"/>
    <w:rsid w:val="00DD372F"/>
    <w:rsid w:val="00DD3A69"/>
    <w:rsid w:val="00DD3F25"/>
    <w:rsid w:val="00DD4338"/>
    <w:rsid w:val="00DD437C"/>
    <w:rsid w:val="00DD4563"/>
    <w:rsid w:val="00DD4893"/>
    <w:rsid w:val="00DD5393"/>
    <w:rsid w:val="00DD5402"/>
    <w:rsid w:val="00DD6147"/>
    <w:rsid w:val="00DD645A"/>
    <w:rsid w:val="00DD6AC2"/>
    <w:rsid w:val="00DD6D15"/>
    <w:rsid w:val="00DD7517"/>
    <w:rsid w:val="00DD76A1"/>
    <w:rsid w:val="00DD7757"/>
    <w:rsid w:val="00DD7824"/>
    <w:rsid w:val="00DE00CD"/>
    <w:rsid w:val="00DE024E"/>
    <w:rsid w:val="00DE0735"/>
    <w:rsid w:val="00DE09F7"/>
    <w:rsid w:val="00DE0DD3"/>
    <w:rsid w:val="00DE1139"/>
    <w:rsid w:val="00DE132E"/>
    <w:rsid w:val="00DE1401"/>
    <w:rsid w:val="00DE143C"/>
    <w:rsid w:val="00DE212A"/>
    <w:rsid w:val="00DE2B4B"/>
    <w:rsid w:val="00DE2DED"/>
    <w:rsid w:val="00DE317B"/>
    <w:rsid w:val="00DE3698"/>
    <w:rsid w:val="00DE3760"/>
    <w:rsid w:val="00DE3789"/>
    <w:rsid w:val="00DE3B56"/>
    <w:rsid w:val="00DE444B"/>
    <w:rsid w:val="00DE482B"/>
    <w:rsid w:val="00DE4BF2"/>
    <w:rsid w:val="00DE4C98"/>
    <w:rsid w:val="00DE4FE2"/>
    <w:rsid w:val="00DE5C33"/>
    <w:rsid w:val="00DE5D39"/>
    <w:rsid w:val="00DE6904"/>
    <w:rsid w:val="00DE6AC5"/>
    <w:rsid w:val="00DE6B02"/>
    <w:rsid w:val="00DE7EA9"/>
    <w:rsid w:val="00DF0594"/>
    <w:rsid w:val="00DF076A"/>
    <w:rsid w:val="00DF0855"/>
    <w:rsid w:val="00DF0E14"/>
    <w:rsid w:val="00DF199A"/>
    <w:rsid w:val="00DF1D7A"/>
    <w:rsid w:val="00DF1EDF"/>
    <w:rsid w:val="00DF1F75"/>
    <w:rsid w:val="00DF1FF7"/>
    <w:rsid w:val="00DF24DA"/>
    <w:rsid w:val="00DF283C"/>
    <w:rsid w:val="00DF2A89"/>
    <w:rsid w:val="00DF3036"/>
    <w:rsid w:val="00DF3486"/>
    <w:rsid w:val="00DF36DB"/>
    <w:rsid w:val="00DF379E"/>
    <w:rsid w:val="00DF4A00"/>
    <w:rsid w:val="00DF4A74"/>
    <w:rsid w:val="00DF5496"/>
    <w:rsid w:val="00DF621D"/>
    <w:rsid w:val="00DF6652"/>
    <w:rsid w:val="00DF67D6"/>
    <w:rsid w:val="00DF6CFD"/>
    <w:rsid w:val="00DF6D26"/>
    <w:rsid w:val="00DF6DCE"/>
    <w:rsid w:val="00DF7180"/>
    <w:rsid w:val="00DF71C2"/>
    <w:rsid w:val="00DF7442"/>
    <w:rsid w:val="00DF7E15"/>
    <w:rsid w:val="00E003B5"/>
    <w:rsid w:val="00E004B2"/>
    <w:rsid w:val="00E0055B"/>
    <w:rsid w:val="00E006F9"/>
    <w:rsid w:val="00E00F0F"/>
    <w:rsid w:val="00E00F98"/>
    <w:rsid w:val="00E011D5"/>
    <w:rsid w:val="00E01653"/>
    <w:rsid w:val="00E01CF7"/>
    <w:rsid w:val="00E02017"/>
    <w:rsid w:val="00E0256B"/>
    <w:rsid w:val="00E048CF"/>
    <w:rsid w:val="00E05187"/>
    <w:rsid w:val="00E0558C"/>
    <w:rsid w:val="00E05A8A"/>
    <w:rsid w:val="00E05ABE"/>
    <w:rsid w:val="00E05B81"/>
    <w:rsid w:val="00E05D09"/>
    <w:rsid w:val="00E05FEA"/>
    <w:rsid w:val="00E0623F"/>
    <w:rsid w:val="00E06340"/>
    <w:rsid w:val="00E06345"/>
    <w:rsid w:val="00E066AB"/>
    <w:rsid w:val="00E068B5"/>
    <w:rsid w:val="00E069E4"/>
    <w:rsid w:val="00E06B30"/>
    <w:rsid w:val="00E06D38"/>
    <w:rsid w:val="00E0722B"/>
    <w:rsid w:val="00E0736D"/>
    <w:rsid w:val="00E075C1"/>
    <w:rsid w:val="00E079F7"/>
    <w:rsid w:val="00E07D5C"/>
    <w:rsid w:val="00E103B4"/>
    <w:rsid w:val="00E1049D"/>
    <w:rsid w:val="00E104CA"/>
    <w:rsid w:val="00E10943"/>
    <w:rsid w:val="00E1095B"/>
    <w:rsid w:val="00E10AE4"/>
    <w:rsid w:val="00E10BAA"/>
    <w:rsid w:val="00E117D6"/>
    <w:rsid w:val="00E118A7"/>
    <w:rsid w:val="00E11919"/>
    <w:rsid w:val="00E11B0D"/>
    <w:rsid w:val="00E12B18"/>
    <w:rsid w:val="00E12D33"/>
    <w:rsid w:val="00E12DAD"/>
    <w:rsid w:val="00E12F5A"/>
    <w:rsid w:val="00E1305D"/>
    <w:rsid w:val="00E1357C"/>
    <w:rsid w:val="00E138B7"/>
    <w:rsid w:val="00E13DFA"/>
    <w:rsid w:val="00E13EFF"/>
    <w:rsid w:val="00E142F8"/>
    <w:rsid w:val="00E145BD"/>
    <w:rsid w:val="00E14942"/>
    <w:rsid w:val="00E156D8"/>
    <w:rsid w:val="00E1570E"/>
    <w:rsid w:val="00E15A1F"/>
    <w:rsid w:val="00E15A39"/>
    <w:rsid w:val="00E162D3"/>
    <w:rsid w:val="00E169B1"/>
    <w:rsid w:val="00E16D2F"/>
    <w:rsid w:val="00E17423"/>
    <w:rsid w:val="00E176D4"/>
    <w:rsid w:val="00E17848"/>
    <w:rsid w:val="00E179C3"/>
    <w:rsid w:val="00E17E17"/>
    <w:rsid w:val="00E200F2"/>
    <w:rsid w:val="00E20119"/>
    <w:rsid w:val="00E201B6"/>
    <w:rsid w:val="00E20408"/>
    <w:rsid w:val="00E2079F"/>
    <w:rsid w:val="00E20970"/>
    <w:rsid w:val="00E20A50"/>
    <w:rsid w:val="00E20D2A"/>
    <w:rsid w:val="00E21179"/>
    <w:rsid w:val="00E213C8"/>
    <w:rsid w:val="00E21A85"/>
    <w:rsid w:val="00E22432"/>
    <w:rsid w:val="00E2265A"/>
    <w:rsid w:val="00E22711"/>
    <w:rsid w:val="00E22DEE"/>
    <w:rsid w:val="00E23340"/>
    <w:rsid w:val="00E234A4"/>
    <w:rsid w:val="00E236A1"/>
    <w:rsid w:val="00E236C0"/>
    <w:rsid w:val="00E2378D"/>
    <w:rsid w:val="00E23DD9"/>
    <w:rsid w:val="00E23FD5"/>
    <w:rsid w:val="00E24115"/>
    <w:rsid w:val="00E24296"/>
    <w:rsid w:val="00E24724"/>
    <w:rsid w:val="00E247A4"/>
    <w:rsid w:val="00E25D86"/>
    <w:rsid w:val="00E2675C"/>
    <w:rsid w:val="00E26819"/>
    <w:rsid w:val="00E26A1C"/>
    <w:rsid w:val="00E26CF6"/>
    <w:rsid w:val="00E26DD1"/>
    <w:rsid w:val="00E278C8"/>
    <w:rsid w:val="00E27B50"/>
    <w:rsid w:val="00E27D0C"/>
    <w:rsid w:val="00E27DAC"/>
    <w:rsid w:val="00E3022A"/>
    <w:rsid w:val="00E303E8"/>
    <w:rsid w:val="00E30722"/>
    <w:rsid w:val="00E30B7B"/>
    <w:rsid w:val="00E32162"/>
    <w:rsid w:val="00E321A8"/>
    <w:rsid w:val="00E32712"/>
    <w:rsid w:val="00E32759"/>
    <w:rsid w:val="00E3289E"/>
    <w:rsid w:val="00E32A06"/>
    <w:rsid w:val="00E32DE8"/>
    <w:rsid w:val="00E3326F"/>
    <w:rsid w:val="00E33366"/>
    <w:rsid w:val="00E33656"/>
    <w:rsid w:val="00E33C14"/>
    <w:rsid w:val="00E34527"/>
    <w:rsid w:val="00E3491A"/>
    <w:rsid w:val="00E34984"/>
    <w:rsid w:val="00E35053"/>
    <w:rsid w:val="00E3573D"/>
    <w:rsid w:val="00E35BC7"/>
    <w:rsid w:val="00E35CE1"/>
    <w:rsid w:val="00E35FF0"/>
    <w:rsid w:val="00E3609E"/>
    <w:rsid w:val="00E3616F"/>
    <w:rsid w:val="00E361FF"/>
    <w:rsid w:val="00E368AB"/>
    <w:rsid w:val="00E37010"/>
    <w:rsid w:val="00E37028"/>
    <w:rsid w:val="00E372AF"/>
    <w:rsid w:val="00E379F3"/>
    <w:rsid w:val="00E40643"/>
    <w:rsid w:val="00E4081A"/>
    <w:rsid w:val="00E40984"/>
    <w:rsid w:val="00E40F14"/>
    <w:rsid w:val="00E41408"/>
    <w:rsid w:val="00E41569"/>
    <w:rsid w:val="00E419CE"/>
    <w:rsid w:val="00E41A90"/>
    <w:rsid w:val="00E41B57"/>
    <w:rsid w:val="00E41F4B"/>
    <w:rsid w:val="00E41FAD"/>
    <w:rsid w:val="00E42360"/>
    <w:rsid w:val="00E42414"/>
    <w:rsid w:val="00E426F8"/>
    <w:rsid w:val="00E4299A"/>
    <w:rsid w:val="00E43346"/>
    <w:rsid w:val="00E43647"/>
    <w:rsid w:val="00E43819"/>
    <w:rsid w:val="00E43A6D"/>
    <w:rsid w:val="00E43A83"/>
    <w:rsid w:val="00E444D8"/>
    <w:rsid w:val="00E450D2"/>
    <w:rsid w:val="00E45325"/>
    <w:rsid w:val="00E4555E"/>
    <w:rsid w:val="00E46238"/>
    <w:rsid w:val="00E466C1"/>
    <w:rsid w:val="00E46C84"/>
    <w:rsid w:val="00E46CF1"/>
    <w:rsid w:val="00E46D23"/>
    <w:rsid w:val="00E46EA0"/>
    <w:rsid w:val="00E4769F"/>
    <w:rsid w:val="00E4794F"/>
    <w:rsid w:val="00E47AEB"/>
    <w:rsid w:val="00E47E60"/>
    <w:rsid w:val="00E47F50"/>
    <w:rsid w:val="00E50EB4"/>
    <w:rsid w:val="00E50FCC"/>
    <w:rsid w:val="00E516C9"/>
    <w:rsid w:val="00E520A2"/>
    <w:rsid w:val="00E52618"/>
    <w:rsid w:val="00E5299F"/>
    <w:rsid w:val="00E52EEF"/>
    <w:rsid w:val="00E531E5"/>
    <w:rsid w:val="00E53A3F"/>
    <w:rsid w:val="00E53A54"/>
    <w:rsid w:val="00E53BAF"/>
    <w:rsid w:val="00E546E4"/>
    <w:rsid w:val="00E546FD"/>
    <w:rsid w:val="00E54965"/>
    <w:rsid w:val="00E54AE6"/>
    <w:rsid w:val="00E54B1C"/>
    <w:rsid w:val="00E54C1D"/>
    <w:rsid w:val="00E55412"/>
    <w:rsid w:val="00E55423"/>
    <w:rsid w:val="00E5580B"/>
    <w:rsid w:val="00E5590E"/>
    <w:rsid w:val="00E55BB3"/>
    <w:rsid w:val="00E55F93"/>
    <w:rsid w:val="00E567F2"/>
    <w:rsid w:val="00E56D4B"/>
    <w:rsid w:val="00E5702E"/>
    <w:rsid w:val="00E570B2"/>
    <w:rsid w:val="00E57205"/>
    <w:rsid w:val="00E57824"/>
    <w:rsid w:val="00E60095"/>
    <w:rsid w:val="00E6025A"/>
    <w:rsid w:val="00E60464"/>
    <w:rsid w:val="00E605E3"/>
    <w:rsid w:val="00E60706"/>
    <w:rsid w:val="00E6103C"/>
    <w:rsid w:val="00E611F8"/>
    <w:rsid w:val="00E61B9A"/>
    <w:rsid w:val="00E61CE3"/>
    <w:rsid w:val="00E62BDB"/>
    <w:rsid w:val="00E63194"/>
    <w:rsid w:val="00E6322C"/>
    <w:rsid w:val="00E63275"/>
    <w:rsid w:val="00E6330A"/>
    <w:rsid w:val="00E6346D"/>
    <w:rsid w:val="00E63E85"/>
    <w:rsid w:val="00E63F32"/>
    <w:rsid w:val="00E63FF8"/>
    <w:rsid w:val="00E6435F"/>
    <w:rsid w:val="00E64540"/>
    <w:rsid w:val="00E64A50"/>
    <w:rsid w:val="00E64B3E"/>
    <w:rsid w:val="00E64D0F"/>
    <w:rsid w:val="00E64D2C"/>
    <w:rsid w:val="00E64D44"/>
    <w:rsid w:val="00E65385"/>
    <w:rsid w:val="00E653C3"/>
    <w:rsid w:val="00E653D5"/>
    <w:rsid w:val="00E660AB"/>
    <w:rsid w:val="00E66215"/>
    <w:rsid w:val="00E666B7"/>
    <w:rsid w:val="00E668D7"/>
    <w:rsid w:val="00E66A45"/>
    <w:rsid w:val="00E6718F"/>
    <w:rsid w:val="00E671DB"/>
    <w:rsid w:val="00E67DCF"/>
    <w:rsid w:val="00E700C4"/>
    <w:rsid w:val="00E7067A"/>
    <w:rsid w:val="00E7077B"/>
    <w:rsid w:val="00E70984"/>
    <w:rsid w:val="00E70B6C"/>
    <w:rsid w:val="00E70D03"/>
    <w:rsid w:val="00E714EA"/>
    <w:rsid w:val="00E71932"/>
    <w:rsid w:val="00E71AA7"/>
    <w:rsid w:val="00E71AFD"/>
    <w:rsid w:val="00E72022"/>
    <w:rsid w:val="00E72081"/>
    <w:rsid w:val="00E7239D"/>
    <w:rsid w:val="00E724CA"/>
    <w:rsid w:val="00E72836"/>
    <w:rsid w:val="00E72AD4"/>
    <w:rsid w:val="00E72B4D"/>
    <w:rsid w:val="00E72EB2"/>
    <w:rsid w:val="00E732B2"/>
    <w:rsid w:val="00E747FA"/>
    <w:rsid w:val="00E749A1"/>
    <w:rsid w:val="00E74CEA"/>
    <w:rsid w:val="00E75114"/>
    <w:rsid w:val="00E759B1"/>
    <w:rsid w:val="00E75F11"/>
    <w:rsid w:val="00E7638D"/>
    <w:rsid w:val="00E763E0"/>
    <w:rsid w:val="00E76595"/>
    <w:rsid w:val="00E7677C"/>
    <w:rsid w:val="00E76927"/>
    <w:rsid w:val="00E7700E"/>
    <w:rsid w:val="00E7735F"/>
    <w:rsid w:val="00E774B7"/>
    <w:rsid w:val="00E77668"/>
    <w:rsid w:val="00E77734"/>
    <w:rsid w:val="00E77892"/>
    <w:rsid w:val="00E7795D"/>
    <w:rsid w:val="00E77BFA"/>
    <w:rsid w:val="00E77D03"/>
    <w:rsid w:val="00E77F8F"/>
    <w:rsid w:val="00E802A4"/>
    <w:rsid w:val="00E807B3"/>
    <w:rsid w:val="00E80C98"/>
    <w:rsid w:val="00E80D08"/>
    <w:rsid w:val="00E814DD"/>
    <w:rsid w:val="00E81A76"/>
    <w:rsid w:val="00E81FE9"/>
    <w:rsid w:val="00E82161"/>
    <w:rsid w:val="00E82B94"/>
    <w:rsid w:val="00E82C54"/>
    <w:rsid w:val="00E82F66"/>
    <w:rsid w:val="00E8306C"/>
    <w:rsid w:val="00E83C3E"/>
    <w:rsid w:val="00E84198"/>
    <w:rsid w:val="00E8424E"/>
    <w:rsid w:val="00E84735"/>
    <w:rsid w:val="00E84962"/>
    <w:rsid w:val="00E84C91"/>
    <w:rsid w:val="00E85737"/>
    <w:rsid w:val="00E85CD0"/>
    <w:rsid w:val="00E86C08"/>
    <w:rsid w:val="00E86E8E"/>
    <w:rsid w:val="00E87115"/>
    <w:rsid w:val="00E87471"/>
    <w:rsid w:val="00E8782E"/>
    <w:rsid w:val="00E87887"/>
    <w:rsid w:val="00E87A48"/>
    <w:rsid w:val="00E9002D"/>
    <w:rsid w:val="00E90189"/>
    <w:rsid w:val="00E9094D"/>
    <w:rsid w:val="00E9168D"/>
    <w:rsid w:val="00E91968"/>
    <w:rsid w:val="00E91D16"/>
    <w:rsid w:val="00E92226"/>
    <w:rsid w:val="00E9238D"/>
    <w:rsid w:val="00E927D8"/>
    <w:rsid w:val="00E928AC"/>
    <w:rsid w:val="00E92A67"/>
    <w:rsid w:val="00E92B96"/>
    <w:rsid w:val="00E92D74"/>
    <w:rsid w:val="00E934F3"/>
    <w:rsid w:val="00E93590"/>
    <w:rsid w:val="00E9365F"/>
    <w:rsid w:val="00E93AFD"/>
    <w:rsid w:val="00E93C72"/>
    <w:rsid w:val="00E93ECC"/>
    <w:rsid w:val="00E93F05"/>
    <w:rsid w:val="00E945A9"/>
    <w:rsid w:val="00E9472D"/>
    <w:rsid w:val="00E94C5B"/>
    <w:rsid w:val="00E94D07"/>
    <w:rsid w:val="00E94FAE"/>
    <w:rsid w:val="00E9553D"/>
    <w:rsid w:val="00E956C7"/>
    <w:rsid w:val="00E963D8"/>
    <w:rsid w:val="00E96623"/>
    <w:rsid w:val="00E9732B"/>
    <w:rsid w:val="00E9781C"/>
    <w:rsid w:val="00E978A8"/>
    <w:rsid w:val="00E9799A"/>
    <w:rsid w:val="00E97AA9"/>
    <w:rsid w:val="00E97E50"/>
    <w:rsid w:val="00E97E9E"/>
    <w:rsid w:val="00EA05A2"/>
    <w:rsid w:val="00EA08D2"/>
    <w:rsid w:val="00EA112F"/>
    <w:rsid w:val="00EA157A"/>
    <w:rsid w:val="00EA16FC"/>
    <w:rsid w:val="00EA1732"/>
    <w:rsid w:val="00EA1A0E"/>
    <w:rsid w:val="00EA1B9B"/>
    <w:rsid w:val="00EA1D4E"/>
    <w:rsid w:val="00EA27BD"/>
    <w:rsid w:val="00EA293E"/>
    <w:rsid w:val="00EA2B2F"/>
    <w:rsid w:val="00EA3103"/>
    <w:rsid w:val="00EA3259"/>
    <w:rsid w:val="00EA3288"/>
    <w:rsid w:val="00EA3364"/>
    <w:rsid w:val="00EA3DAA"/>
    <w:rsid w:val="00EA3E72"/>
    <w:rsid w:val="00EA456A"/>
    <w:rsid w:val="00EA47CD"/>
    <w:rsid w:val="00EA49D1"/>
    <w:rsid w:val="00EA4EAD"/>
    <w:rsid w:val="00EA50B9"/>
    <w:rsid w:val="00EA50D3"/>
    <w:rsid w:val="00EA5953"/>
    <w:rsid w:val="00EA5AC3"/>
    <w:rsid w:val="00EA5C36"/>
    <w:rsid w:val="00EA600D"/>
    <w:rsid w:val="00EA6116"/>
    <w:rsid w:val="00EA642B"/>
    <w:rsid w:val="00EA6643"/>
    <w:rsid w:val="00EA68B9"/>
    <w:rsid w:val="00EA691F"/>
    <w:rsid w:val="00EA6BB9"/>
    <w:rsid w:val="00EA6C3F"/>
    <w:rsid w:val="00EA6C60"/>
    <w:rsid w:val="00EA72FC"/>
    <w:rsid w:val="00EA738A"/>
    <w:rsid w:val="00EA78FE"/>
    <w:rsid w:val="00EA7B62"/>
    <w:rsid w:val="00EA7B89"/>
    <w:rsid w:val="00EA7E0F"/>
    <w:rsid w:val="00EA7FA0"/>
    <w:rsid w:val="00EB0495"/>
    <w:rsid w:val="00EB05BC"/>
    <w:rsid w:val="00EB080B"/>
    <w:rsid w:val="00EB08AE"/>
    <w:rsid w:val="00EB0F3D"/>
    <w:rsid w:val="00EB11F8"/>
    <w:rsid w:val="00EB22E4"/>
    <w:rsid w:val="00EB2577"/>
    <w:rsid w:val="00EB25F5"/>
    <w:rsid w:val="00EB28E9"/>
    <w:rsid w:val="00EB2A7C"/>
    <w:rsid w:val="00EB3471"/>
    <w:rsid w:val="00EB3867"/>
    <w:rsid w:val="00EB41FD"/>
    <w:rsid w:val="00EB4502"/>
    <w:rsid w:val="00EB47D2"/>
    <w:rsid w:val="00EB5215"/>
    <w:rsid w:val="00EB588D"/>
    <w:rsid w:val="00EB6784"/>
    <w:rsid w:val="00EB6BCF"/>
    <w:rsid w:val="00EB6FE8"/>
    <w:rsid w:val="00EB6FFB"/>
    <w:rsid w:val="00EB75F0"/>
    <w:rsid w:val="00EB7C09"/>
    <w:rsid w:val="00EC05E9"/>
    <w:rsid w:val="00EC0794"/>
    <w:rsid w:val="00EC0FDB"/>
    <w:rsid w:val="00EC11FB"/>
    <w:rsid w:val="00EC1301"/>
    <w:rsid w:val="00EC15D7"/>
    <w:rsid w:val="00EC18CD"/>
    <w:rsid w:val="00EC1D27"/>
    <w:rsid w:val="00EC245D"/>
    <w:rsid w:val="00EC2496"/>
    <w:rsid w:val="00EC309F"/>
    <w:rsid w:val="00EC3215"/>
    <w:rsid w:val="00EC355B"/>
    <w:rsid w:val="00EC3F94"/>
    <w:rsid w:val="00EC41C4"/>
    <w:rsid w:val="00EC4403"/>
    <w:rsid w:val="00EC480A"/>
    <w:rsid w:val="00EC4EF1"/>
    <w:rsid w:val="00EC5076"/>
    <w:rsid w:val="00EC51D6"/>
    <w:rsid w:val="00EC523B"/>
    <w:rsid w:val="00EC53B1"/>
    <w:rsid w:val="00EC55C3"/>
    <w:rsid w:val="00EC5820"/>
    <w:rsid w:val="00EC5A9D"/>
    <w:rsid w:val="00EC63DB"/>
    <w:rsid w:val="00EC759F"/>
    <w:rsid w:val="00EC794B"/>
    <w:rsid w:val="00ED05B4"/>
    <w:rsid w:val="00ED0768"/>
    <w:rsid w:val="00ED0A05"/>
    <w:rsid w:val="00ED1291"/>
    <w:rsid w:val="00ED1908"/>
    <w:rsid w:val="00ED1DD4"/>
    <w:rsid w:val="00ED2A3D"/>
    <w:rsid w:val="00ED2B29"/>
    <w:rsid w:val="00ED2D50"/>
    <w:rsid w:val="00ED356F"/>
    <w:rsid w:val="00ED371C"/>
    <w:rsid w:val="00ED3BCA"/>
    <w:rsid w:val="00ED3D95"/>
    <w:rsid w:val="00ED3EE9"/>
    <w:rsid w:val="00ED464D"/>
    <w:rsid w:val="00ED47DF"/>
    <w:rsid w:val="00ED4BF6"/>
    <w:rsid w:val="00ED4E03"/>
    <w:rsid w:val="00ED5289"/>
    <w:rsid w:val="00ED5415"/>
    <w:rsid w:val="00ED55FA"/>
    <w:rsid w:val="00ED56C2"/>
    <w:rsid w:val="00ED585D"/>
    <w:rsid w:val="00ED613D"/>
    <w:rsid w:val="00ED61D0"/>
    <w:rsid w:val="00ED6363"/>
    <w:rsid w:val="00ED63A0"/>
    <w:rsid w:val="00ED6B96"/>
    <w:rsid w:val="00ED6D55"/>
    <w:rsid w:val="00ED7497"/>
    <w:rsid w:val="00ED787C"/>
    <w:rsid w:val="00ED7E93"/>
    <w:rsid w:val="00EE036D"/>
    <w:rsid w:val="00EE0E92"/>
    <w:rsid w:val="00EE12DC"/>
    <w:rsid w:val="00EE165E"/>
    <w:rsid w:val="00EE1932"/>
    <w:rsid w:val="00EE1BEF"/>
    <w:rsid w:val="00EE207A"/>
    <w:rsid w:val="00EE20E2"/>
    <w:rsid w:val="00EE219A"/>
    <w:rsid w:val="00EE25AE"/>
    <w:rsid w:val="00EE268F"/>
    <w:rsid w:val="00EE2D2D"/>
    <w:rsid w:val="00EE2F8E"/>
    <w:rsid w:val="00EE32CA"/>
    <w:rsid w:val="00EE40CF"/>
    <w:rsid w:val="00EE4169"/>
    <w:rsid w:val="00EE45CD"/>
    <w:rsid w:val="00EE4813"/>
    <w:rsid w:val="00EE4C73"/>
    <w:rsid w:val="00EE4EEA"/>
    <w:rsid w:val="00EE5ABD"/>
    <w:rsid w:val="00EE5D2C"/>
    <w:rsid w:val="00EE5E97"/>
    <w:rsid w:val="00EE627C"/>
    <w:rsid w:val="00EE65BD"/>
    <w:rsid w:val="00EE6618"/>
    <w:rsid w:val="00EE66D3"/>
    <w:rsid w:val="00EE6C13"/>
    <w:rsid w:val="00EE6EA7"/>
    <w:rsid w:val="00EE7B1C"/>
    <w:rsid w:val="00EE7C33"/>
    <w:rsid w:val="00EF0196"/>
    <w:rsid w:val="00EF0796"/>
    <w:rsid w:val="00EF0962"/>
    <w:rsid w:val="00EF17DC"/>
    <w:rsid w:val="00EF1FEB"/>
    <w:rsid w:val="00EF2220"/>
    <w:rsid w:val="00EF261C"/>
    <w:rsid w:val="00EF2FD3"/>
    <w:rsid w:val="00EF303E"/>
    <w:rsid w:val="00EF329A"/>
    <w:rsid w:val="00EF3582"/>
    <w:rsid w:val="00EF404D"/>
    <w:rsid w:val="00EF40FF"/>
    <w:rsid w:val="00EF427E"/>
    <w:rsid w:val="00EF4CA3"/>
    <w:rsid w:val="00EF4D00"/>
    <w:rsid w:val="00EF544F"/>
    <w:rsid w:val="00EF5DC1"/>
    <w:rsid w:val="00EF6516"/>
    <w:rsid w:val="00EF6523"/>
    <w:rsid w:val="00EF65F3"/>
    <w:rsid w:val="00EF69DA"/>
    <w:rsid w:val="00EF6C17"/>
    <w:rsid w:val="00EF6C9B"/>
    <w:rsid w:val="00EF6EB3"/>
    <w:rsid w:val="00EF7290"/>
    <w:rsid w:val="00EF7650"/>
    <w:rsid w:val="00EF7B56"/>
    <w:rsid w:val="00EF7FEE"/>
    <w:rsid w:val="00F00333"/>
    <w:rsid w:val="00F010CB"/>
    <w:rsid w:val="00F013D5"/>
    <w:rsid w:val="00F01580"/>
    <w:rsid w:val="00F01642"/>
    <w:rsid w:val="00F017FB"/>
    <w:rsid w:val="00F0185B"/>
    <w:rsid w:val="00F01C0B"/>
    <w:rsid w:val="00F01D14"/>
    <w:rsid w:val="00F01E70"/>
    <w:rsid w:val="00F02253"/>
    <w:rsid w:val="00F02646"/>
    <w:rsid w:val="00F02A42"/>
    <w:rsid w:val="00F02A46"/>
    <w:rsid w:val="00F02C7D"/>
    <w:rsid w:val="00F0313C"/>
    <w:rsid w:val="00F03155"/>
    <w:rsid w:val="00F034D8"/>
    <w:rsid w:val="00F036CD"/>
    <w:rsid w:val="00F03A74"/>
    <w:rsid w:val="00F03AE1"/>
    <w:rsid w:val="00F03BAE"/>
    <w:rsid w:val="00F03BD7"/>
    <w:rsid w:val="00F0436E"/>
    <w:rsid w:val="00F046F4"/>
    <w:rsid w:val="00F047B4"/>
    <w:rsid w:val="00F048D9"/>
    <w:rsid w:val="00F048F4"/>
    <w:rsid w:val="00F04ADD"/>
    <w:rsid w:val="00F04B16"/>
    <w:rsid w:val="00F054FC"/>
    <w:rsid w:val="00F0566A"/>
    <w:rsid w:val="00F05A73"/>
    <w:rsid w:val="00F05D9F"/>
    <w:rsid w:val="00F05E80"/>
    <w:rsid w:val="00F05EE9"/>
    <w:rsid w:val="00F06802"/>
    <w:rsid w:val="00F06D1E"/>
    <w:rsid w:val="00F06EA5"/>
    <w:rsid w:val="00F072B6"/>
    <w:rsid w:val="00F0741A"/>
    <w:rsid w:val="00F0765C"/>
    <w:rsid w:val="00F07724"/>
    <w:rsid w:val="00F077BE"/>
    <w:rsid w:val="00F07C8A"/>
    <w:rsid w:val="00F07F4A"/>
    <w:rsid w:val="00F1011B"/>
    <w:rsid w:val="00F101BA"/>
    <w:rsid w:val="00F101F2"/>
    <w:rsid w:val="00F108F3"/>
    <w:rsid w:val="00F10C49"/>
    <w:rsid w:val="00F10FD0"/>
    <w:rsid w:val="00F11164"/>
    <w:rsid w:val="00F11357"/>
    <w:rsid w:val="00F1138F"/>
    <w:rsid w:val="00F11655"/>
    <w:rsid w:val="00F1165A"/>
    <w:rsid w:val="00F11DC0"/>
    <w:rsid w:val="00F121F8"/>
    <w:rsid w:val="00F1226E"/>
    <w:rsid w:val="00F126F0"/>
    <w:rsid w:val="00F1348D"/>
    <w:rsid w:val="00F134E1"/>
    <w:rsid w:val="00F13C80"/>
    <w:rsid w:val="00F14019"/>
    <w:rsid w:val="00F14054"/>
    <w:rsid w:val="00F14175"/>
    <w:rsid w:val="00F141F7"/>
    <w:rsid w:val="00F143B0"/>
    <w:rsid w:val="00F1472A"/>
    <w:rsid w:val="00F14BBD"/>
    <w:rsid w:val="00F152A8"/>
    <w:rsid w:val="00F153C3"/>
    <w:rsid w:val="00F1589A"/>
    <w:rsid w:val="00F158D7"/>
    <w:rsid w:val="00F1649A"/>
    <w:rsid w:val="00F167B7"/>
    <w:rsid w:val="00F16940"/>
    <w:rsid w:val="00F16AF4"/>
    <w:rsid w:val="00F16CD8"/>
    <w:rsid w:val="00F17589"/>
    <w:rsid w:val="00F175D8"/>
    <w:rsid w:val="00F1788A"/>
    <w:rsid w:val="00F178AB"/>
    <w:rsid w:val="00F1796A"/>
    <w:rsid w:val="00F17C5C"/>
    <w:rsid w:val="00F201E1"/>
    <w:rsid w:val="00F20267"/>
    <w:rsid w:val="00F2045F"/>
    <w:rsid w:val="00F208DA"/>
    <w:rsid w:val="00F20955"/>
    <w:rsid w:val="00F20BBE"/>
    <w:rsid w:val="00F20D27"/>
    <w:rsid w:val="00F20E35"/>
    <w:rsid w:val="00F21098"/>
    <w:rsid w:val="00F210D7"/>
    <w:rsid w:val="00F213F2"/>
    <w:rsid w:val="00F21A7E"/>
    <w:rsid w:val="00F21CC7"/>
    <w:rsid w:val="00F221FA"/>
    <w:rsid w:val="00F22265"/>
    <w:rsid w:val="00F22300"/>
    <w:rsid w:val="00F22855"/>
    <w:rsid w:val="00F228D4"/>
    <w:rsid w:val="00F22C8F"/>
    <w:rsid w:val="00F22DEB"/>
    <w:rsid w:val="00F22EAD"/>
    <w:rsid w:val="00F23508"/>
    <w:rsid w:val="00F235CF"/>
    <w:rsid w:val="00F236E5"/>
    <w:rsid w:val="00F238CD"/>
    <w:rsid w:val="00F23978"/>
    <w:rsid w:val="00F23DAD"/>
    <w:rsid w:val="00F23FAA"/>
    <w:rsid w:val="00F243BF"/>
    <w:rsid w:val="00F246AD"/>
    <w:rsid w:val="00F24D4A"/>
    <w:rsid w:val="00F25285"/>
    <w:rsid w:val="00F25397"/>
    <w:rsid w:val="00F25453"/>
    <w:rsid w:val="00F254C8"/>
    <w:rsid w:val="00F2568E"/>
    <w:rsid w:val="00F256EA"/>
    <w:rsid w:val="00F265BE"/>
    <w:rsid w:val="00F266DF"/>
    <w:rsid w:val="00F26ACF"/>
    <w:rsid w:val="00F270CF"/>
    <w:rsid w:val="00F2720C"/>
    <w:rsid w:val="00F2766C"/>
    <w:rsid w:val="00F27ADE"/>
    <w:rsid w:val="00F302A8"/>
    <w:rsid w:val="00F302AF"/>
    <w:rsid w:val="00F3037E"/>
    <w:rsid w:val="00F30F59"/>
    <w:rsid w:val="00F315B2"/>
    <w:rsid w:val="00F316D0"/>
    <w:rsid w:val="00F31D6D"/>
    <w:rsid w:val="00F31F63"/>
    <w:rsid w:val="00F32188"/>
    <w:rsid w:val="00F32192"/>
    <w:rsid w:val="00F32A17"/>
    <w:rsid w:val="00F32AFC"/>
    <w:rsid w:val="00F32B45"/>
    <w:rsid w:val="00F32D8D"/>
    <w:rsid w:val="00F331C9"/>
    <w:rsid w:val="00F337C0"/>
    <w:rsid w:val="00F338F4"/>
    <w:rsid w:val="00F33E29"/>
    <w:rsid w:val="00F342C9"/>
    <w:rsid w:val="00F3446D"/>
    <w:rsid w:val="00F345B7"/>
    <w:rsid w:val="00F34B9A"/>
    <w:rsid w:val="00F353A2"/>
    <w:rsid w:val="00F35862"/>
    <w:rsid w:val="00F3598D"/>
    <w:rsid w:val="00F36475"/>
    <w:rsid w:val="00F366E7"/>
    <w:rsid w:val="00F36A07"/>
    <w:rsid w:val="00F36D08"/>
    <w:rsid w:val="00F37246"/>
    <w:rsid w:val="00F372B0"/>
    <w:rsid w:val="00F3771E"/>
    <w:rsid w:val="00F37DBA"/>
    <w:rsid w:val="00F40222"/>
    <w:rsid w:val="00F407E6"/>
    <w:rsid w:val="00F4099C"/>
    <w:rsid w:val="00F4116D"/>
    <w:rsid w:val="00F41949"/>
    <w:rsid w:val="00F419F0"/>
    <w:rsid w:val="00F41A05"/>
    <w:rsid w:val="00F41ABA"/>
    <w:rsid w:val="00F41CCF"/>
    <w:rsid w:val="00F41D6C"/>
    <w:rsid w:val="00F422E8"/>
    <w:rsid w:val="00F42460"/>
    <w:rsid w:val="00F42744"/>
    <w:rsid w:val="00F42888"/>
    <w:rsid w:val="00F42A18"/>
    <w:rsid w:val="00F42ABE"/>
    <w:rsid w:val="00F42FC9"/>
    <w:rsid w:val="00F4323C"/>
    <w:rsid w:val="00F4332C"/>
    <w:rsid w:val="00F438E6"/>
    <w:rsid w:val="00F43938"/>
    <w:rsid w:val="00F43A79"/>
    <w:rsid w:val="00F43ECA"/>
    <w:rsid w:val="00F43F66"/>
    <w:rsid w:val="00F44822"/>
    <w:rsid w:val="00F448DB"/>
    <w:rsid w:val="00F44A5D"/>
    <w:rsid w:val="00F44DE1"/>
    <w:rsid w:val="00F44F4C"/>
    <w:rsid w:val="00F45374"/>
    <w:rsid w:val="00F45417"/>
    <w:rsid w:val="00F458B0"/>
    <w:rsid w:val="00F46952"/>
    <w:rsid w:val="00F46A53"/>
    <w:rsid w:val="00F46B9D"/>
    <w:rsid w:val="00F46D2F"/>
    <w:rsid w:val="00F46DA9"/>
    <w:rsid w:val="00F46E59"/>
    <w:rsid w:val="00F47456"/>
    <w:rsid w:val="00F474D2"/>
    <w:rsid w:val="00F47AFE"/>
    <w:rsid w:val="00F47FF9"/>
    <w:rsid w:val="00F500EA"/>
    <w:rsid w:val="00F506E7"/>
    <w:rsid w:val="00F508D3"/>
    <w:rsid w:val="00F50B37"/>
    <w:rsid w:val="00F50CE5"/>
    <w:rsid w:val="00F5161C"/>
    <w:rsid w:val="00F516C6"/>
    <w:rsid w:val="00F51DE9"/>
    <w:rsid w:val="00F51E5F"/>
    <w:rsid w:val="00F522B9"/>
    <w:rsid w:val="00F52480"/>
    <w:rsid w:val="00F5268A"/>
    <w:rsid w:val="00F52AE6"/>
    <w:rsid w:val="00F52D38"/>
    <w:rsid w:val="00F52EC8"/>
    <w:rsid w:val="00F5312B"/>
    <w:rsid w:val="00F536FC"/>
    <w:rsid w:val="00F537CB"/>
    <w:rsid w:val="00F53CD7"/>
    <w:rsid w:val="00F541A4"/>
    <w:rsid w:val="00F545A1"/>
    <w:rsid w:val="00F549E1"/>
    <w:rsid w:val="00F54BDA"/>
    <w:rsid w:val="00F552C0"/>
    <w:rsid w:val="00F55B2A"/>
    <w:rsid w:val="00F55F83"/>
    <w:rsid w:val="00F561A7"/>
    <w:rsid w:val="00F563C5"/>
    <w:rsid w:val="00F56F86"/>
    <w:rsid w:val="00F576EF"/>
    <w:rsid w:val="00F57D32"/>
    <w:rsid w:val="00F57E9C"/>
    <w:rsid w:val="00F604FF"/>
    <w:rsid w:val="00F605DB"/>
    <w:rsid w:val="00F6061B"/>
    <w:rsid w:val="00F60E79"/>
    <w:rsid w:val="00F619EE"/>
    <w:rsid w:val="00F61C7C"/>
    <w:rsid w:val="00F61D10"/>
    <w:rsid w:val="00F62059"/>
    <w:rsid w:val="00F62EB9"/>
    <w:rsid w:val="00F634AE"/>
    <w:rsid w:val="00F63B67"/>
    <w:rsid w:val="00F63C23"/>
    <w:rsid w:val="00F63E47"/>
    <w:rsid w:val="00F644CF"/>
    <w:rsid w:val="00F644F2"/>
    <w:rsid w:val="00F6455F"/>
    <w:rsid w:val="00F645FB"/>
    <w:rsid w:val="00F64AB8"/>
    <w:rsid w:val="00F652EA"/>
    <w:rsid w:val="00F65359"/>
    <w:rsid w:val="00F65697"/>
    <w:rsid w:val="00F65C0D"/>
    <w:rsid w:val="00F66170"/>
    <w:rsid w:val="00F663CD"/>
    <w:rsid w:val="00F665C1"/>
    <w:rsid w:val="00F669AE"/>
    <w:rsid w:val="00F66D1B"/>
    <w:rsid w:val="00F66D5C"/>
    <w:rsid w:val="00F670AA"/>
    <w:rsid w:val="00F67207"/>
    <w:rsid w:val="00F67444"/>
    <w:rsid w:val="00F67474"/>
    <w:rsid w:val="00F67953"/>
    <w:rsid w:val="00F67DC1"/>
    <w:rsid w:val="00F67E95"/>
    <w:rsid w:val="00F707CC"/>
    <w:rsid w:val="00F70AF0"/>
    <w:rsid w:val="00F71201"/>
    <w:rsid w:val="00F712CB"/>
    <w:rsid w:val="00F7132A"/>
    <w:rsid w:val="00F7167C"/>
    <w:rsid w:val="00F71AB7"/>
    <w:rsid w:val="00F71D77"/>
    <w:rsid w:val="00F72335"/>
    <w:rsid w:val="00F73252"/>
    <w:rsid w:val="00F73476"/>
    <w:rsid w:val="00F738B8"/>
    <w:rsid w:val="00F73960"/>
    <w:rsid w:val="00F73B7A"/>
    <w:rsid w:val="00F7443F"/>
    <w:rsid w:val="00F7450F"/>
    <w:rsid w:val="00F74560"/>
    <w:rsid w:val="00F746ED"/>
    <w:rsid w:val="00F7472E"/>
    <w:rsid w:val="00F748EE"/>
    <w:rsid w:val="00F75384"/>
    <w:rsid w:val="00F759E9"/>
    <w:rsid w:val="00F75AF6"/>
    <w:rsid w:val="00F765EA"/>
    <w:rsid w:val="00F767FA"/>
    <w:rsid w:val="00F768D1"/>
    <w:rsid w:val="00F76C09"/>
    <w:rsid w:val="00F76C6D"/>
    <w:rsid w:val="00F76D91"/>
    <w:rsid w:val="00F7720C"/>
    <w:rsid w:val="00F77C81"/>
    <w:rsid w:val="00F8002E"/>
    <w:rsid w:val="00F8023C"/>
    <w:rsid w:val="00F803B2"/>
    <w:rsid w:val="00F8051E"/>
    <w:rsid w:val="00F80B74"/>
    <w:rsid w:val="00F80D5F"/>
    <w:rsid w:val="00F81024"/>
    <w:rsid w:val="00F81069"/>
    <w:rsid w:val="00F81333"/>
    <w:rsid w:val="00F8154E"/>
    <w:rsid w:val="00F81A9E"/>
    <w:rsid w:val="00F81BCF"/>
    <w:rsid w:val="00F81CAD"/>
    <w:rsid w:val="00F8206A"/>
    <w:rsid w:val="00F82730"/>
    <w:rsid w:val="00F829DA"/>
    <w:rsid w:val="00F829EB"/>
    <w:rsid w:val="00F82B7E"/>
    <w:rsid w:val="00F82F09"/>
    <w:rsid w:val="00F82F6D"/>
    <w:rsid w:val="00F832C0"/>
    <w:rsid w:val="00F83BA5"/>
    <w:rsid w:val="00F8444D"/>
    <w:rsid w:val="00F844D0"/>
    <w:rsid w:val="00F84E23"/>
    <w:rsid w:val="00F84F14"/>
    <w:rsid w:val="00F854CC"/>
    <w:rsid w:val="00F855E3"/>
    <w:rsid w:val="00F85611"/>
    <w:rsid w:val="00F86775"/>
    <w:rsid w:val="00F86877"/>
    <w:rsid w:val="00F86915"/>
    <w:rsid w:val="00F86C31"/>
    <w:rsid w:val="00F86E4A"/>
    <w:rsid w:val="00F877FE"/>
    <w:rsid w:val="00F87BD1"/>
    <w:rsid w:val="00F87C79"/>
    <w:rsid w:val="00F87E7D"/>
    <w:rsid w:val="00F903C2"/>
    <w:rsid w:val="00F9045F"/>
    <w:rsid w:val="00F907BC"/>
    <w:rsid w:val="00F90935"/>
    <w:rsid w:val="00F90C2A"/>
    <w:rsid w:val="00F90D53"/>
    <w:rsid w:val="00F90F06"/>
    <w:rsid w:val="00F90F74"/>
    <w:rsid w:val="00F9107B"/>
    <w:rsid w:val="00F91108"/>
    <w:rsid w:val="00F915BD"/>
    <w:rsid w:val="00F91CA8"/>
    <w:rsid w:val="00F925CD"/>
    <w:rsid w:val="00F92729"/>
    <w:rsid w:val="00F92D5D"/>
    <w:rsid w:val="00F92F35"/>
    <w:rsid w:val="00F93C71"/>
    <w:rsid w:val="00F9405C"/>
    <w:rsid w:val="00F940AA"/>
    <w:rsid w:val="00F948B3"/>
    <w:rsid w:val="00F948D9"/>
    <w:rsid w:val="00F94A31"/>
    <w:rsid w:val="00F94A90"/>
    <w:rsid w:val="00F94B02"/>
    <w:rsid w:val="00F9529C"/>
    <w:rsid w:val="00F95688"/>
    <w:rsid w:val="00F95AD0"/>
    <w:rsid w:val="00F95C4F"/>
    <w:rsid w:val="00F95DD0"/>
    <w:rsid w:val="00F96436"/>
    <w:rsid w:val="00F96D9C"/>
    <w:rsid w:val="00F96FA7"/>
    <w:rsid w:val="00F979D2"/>
    <w:rsid w:val="00F97E6C"/>
    <w:rsid w:val="00FA0285"/>
    <w:rsid w:val="00FA10E2"/>
    <w:rsid w:val="00FA13FD"/>
    <w:rsid w:val="00FA1517"/>
    <w:rsid w:val="00FA1E16"/>
    <w:rsid w:val="00FA1EDF"/>
    <w:rsid w:val="00FA2332"/>
    <w:rsid w:val="00FA23E4"/>
    <w:rsid w:val="00FA251C"/>
    <w:rsid w:val="00FA28CD"/>
    <w:rsid w:val="00FA2D18"/>
    <w:rsid w:val="00FA2D5C"/>
    <w:rsid w:val="00FA35D4"/>
    <w:rsid w:val="00FA3AE3"/>
    <w:rsid w:val="00FA3CE9"/>
    <w:rsid w:val="00FA3E2D"/>
    <w:rsid w:val="00FA3F17"/>
    <w:rsid w:val="00FA4EBB"/>
    <w:rsid w:val="00FA52FE"/>
    <w:rsid w:val="00FA58AE"/>
    <w:rsid w:val="00FA59E7"/>
    <w:rsid w:val="00FA5A1D"/>
    <w:rsid w:val="00FA5D11"/>
    <w:rsid w:val="00FA6118"/>
    <w:rsid w:val="00FA6402"/>
    <w:rsid w:val="00FA7211"/>
    <w:rsid w:val="00FA7315"/>
    <w:rsid w:val="00FA7778"/>
    <w:rsid w:val="00FA7918"/>
    <w:rsid w:val="00FA79C3"/>
    <w:rsid w:val="00FA7ED4"/>
    <w:rsid w:val="00FB0BFE"/>
    <w:rsid w:val="00FB0DB5"/>
    <w:rsid w:val="00FB0F8A"/>
    <w:rsid w:val="00FB17FD"/>
    <w:rsid w:val="00FB19B7"/>
    <w:rsid w:val="00FB19D0"/>
    <w:rsid w:val="00FB2599"/>
    <w:rsid w:val="00FB290D"/>
    <w:rsid w:val="00FB2C2F"/>
    <w:rsid w:val="00FB2D75"/>
    <w:rsid w:val="00FB2F3F"/>
    <w:rsid w:val="00FB34C1"/>
    <w:rsid w:val="00FB3961"/>
    <w:rsid w:val="00FB3BB7"/>
    <w:rsid w:val="00FB444A"/>
    <w:rsid w:val="00FB4F93"/>
    <w:rsid w:val="00FB537E"/>
    <w:rsid w:val="00FB55B0"/>
    <w:rsid w:val="00FB5C3D"/>
    <w:rsid w:val="00FB5CBD"/>
    <w:rsid w:val="00FB630D"/>
    <w:rsid w:val="00FB6403"/>
    <w:rsid w:val="00FB6748"/>
    <w:rsid w:val="00FB6851"/>
    <w:rsid w:val="00FB6D4F"/>
    <w:rsid w:val="00FB71EE"/>
    <w:rsid w:val="00FB73F8"/>
    <w:rsid w:val="00FB78DB"/>
    <w:rsid w:val="00FB7A8B"/>
    <w:rsid w:val="00FB7D98"/>
    <w:rsid w:val="00FB7FEB"/>
    <w:rsid w:val="00FC01BF"/>
    <w:rsid w:val="00FC0DA5"/>
    <w:rsid w:val="00FC0FD2"/>
    <w:rsid w:val="00FC1704"/>
    <w:rsid w:val="00FC19B6"/>
    <w:rsid w:val="00FC1DFC"/>
    <w:rsid w:val="00FC2157"/>
    <w:rsid w:val="00FC2AC8"/>
    <w:rsid w:val="00FC2F7B"/>
    <w:rsid w:val="00FC31EC"/>
    <w:rsid w:val="00FC3967"/>
    <w:rsid w:val="00FC3DD1"/>
    <w:rsid w:val="00FC4441"/>
    <w:rsid w:val="00FC4483"/>
    <w:rsid w:val="00FC44CB"/>
    <w:rsid w:val="00FC4668"/>
    <w:rsid w:val="00FC4A60"/>
    <w:rsid w:val="00FC4E40"/>
    <w:rsid w:val="00FC562F"/>
    <w:rsid w:val="00FC5A5F"/>
    <w:rsid w:val="00FC6309"/>
    <w:rsid w:val="00FC63FD"/>
    <w:rsid w:val="00FC6483"/>
    <w:rsid w:val="00FC67E1"/>
    <w:rsid w:val="00FC6AE4"/>
    <w:rsid w:val="00FC6BF5"/>
    <w:rsid w:val="00FC724D"/>
    <w:rsid w:val="00FC780B"/>
    <w:rsid w:val="00FC794B"/>
    <w:rsid w:val="00FC7CEA"/>
    <w:rsid w:val="00FD01A7"/>
    <w:rsid w:val="00FD038A"/>
    <w:rsid w:val="00FD05C4"/>
    <w:rsid w:val="00FD05E2"/>
    <w:rsid w:val="00FD07AF"/>
    <w:rsid w:val="00FD0919"/>
    <w:rsid w:val="00FD0B09"/>
    <w:rsid w:val="00FD14AD"/>
    <w:rsid w:val="00FD1B8F"/>
    <w:rsid w:val="00FD1ECF"/>
    <w:rsid w:val="00FD1F68"/>
    <w:rsid w:val="00FD24DC"/>
    <w:rsid w:val="00FD2570"/>
    <w:rsid w:val="00FD2840"/>
    <w:rsid w:val="00FD294D"/>
    <w:rsid w:val="00FD2C41"/>
    <w:rsid w:val="00FD37A4"/>
    <w:rsid w:val="00FD37F2"/>
    <w:rsid w:val="00FD38B6"/>
    <w:rsid w:val="00FD3FA3"/>
    <w:rsid w:val="00FD41C4"/>
    <w:rsid w:val="00FD421C"/>
    <w:rsid w:val="00FD491C"/>
    <w:rsid w:val="00FD4B7F"/>
    <w:rsid w:val="00FD5078"/>
    <w:rsid w:val="00FD5822"/>
    <w:rsid w:val="00FD5909"/>
    <w:rsid w:val="00FD596A"/>
    <w:rsid w:val="00FD5AB3"/>
    <w:rsid w:val="00FD5FA0"/>
    <w:rsid w:val="00FD615E"/>
    <w:rsid w:val="00FD6705"/>
    <w:rsid w:val="00FD6A93"/>
    <w:rsid w:val="00FD6BE0"/>
    <w:rsid w:val="00FD6C2D"/>
    <w:rsid w:val="00FD6C86"/>
    <w:rsid w:val="00FD7525"/>
    <w:rsid w:val="00FD7587"/>
    <w:rsid w:val="00FD76F8"/>
    <w:rsid w:val="00FE021B"/>
    <w:rsid w:val="00FE05F6"/>
    <w:rsid w:val="00FE09B5"/>
    <w:rsid w:val="00FE0B2D"/>
    <w:rsid w:val="00FE0D1C"/>
    <w:rsid w:val="00FE1548"/>
    <w:rsid w:val="00FE1855"/>
    <w:rsid w:val="00FE1AC9"/>
    <w:rsid w:val="00FE2004"/>
    <w:rsid w:val="00FE22C6"/>
    <w:rsid w:val="00FE2A28"/>
    <w:rsid w:val="00FE2B0D"/>
    <w:rsid w:val="00FE2D0C"/>
    <w:rsid w:val="00FE2E1C"/>
    <w:rsid w:val="00FE313C"/>
    <w:rsid w:val="00FE34C8"/>
    <w:rsid w:val="00FE3657"/>
    <w:rsid w:val="00FE3AA6"/>
    <w:rsid w:val="00FE3B98"/>
    <w:rsid w:val="00FE3BBA"/>
    <w:rsid w:val="00FE3BFC"/>
    <w:rsid w:val="00FE3E5B"/>
    <w:rsid w:val="00FE3EB5"/>
    <w:rsid w:val="00FE40A7"/>
    <w:rsid w:val="00FE415F"/>
    <w:rsid w:val="00FE451B"/>
    <w:rsid w:val="00FE475D"/>
    <w:rsid w:val="00FE4760"/>
    <w:rsid w:val="00FE49B1"/>
    <w:rsid w:val="00FE5286"/>
    <w:rsid w:val="00FE5E8A"/>
    <w:rsid w:val="00FE609A"/>
    <w:rsid w:val="00FE612F"/>
    <w:rsid w:val="00FE6226"/>
    <w:rsid w:val="00FE64E3"/>
    <w:rsid w:val="00FE6E3C"/>
    <w:rsid w:val="00FE71BD"/>
    <w:rsid w:val="00FE74F3"/>
    <w:rsid w:val="00FE7710"/>
    <w:rsid w:val="00FE7BD0"/>
    <w:rsid w:val="00FF00AE"/>
    <w:rsid w:val="00FF0686"/>
    <w:rsid w:val="00FF0C45"/>
    <w:rsid w:val="00FF0E65"/>
    <w:rsid w:val="00FF0EF5"/>
    <w:rsid w:val="00FF0F5B"/>
    <w:rsid w:val="00FF131C"/>
    <w:rsid w:val="00FF175A"/>
    <w:rsid w:val="00FF2101"/>
    <w:rsid w:val="00FF239F"/>
    <w:rsid w:val="00FF2951"/>
    <w:rsid w:val="00FF2976"/>
    <w:rsid w:val="00FF2B61"/>
    <w:rsid w:val="00FF2D5C"/>
    <w:rsid w:val="00FF314F"/>
    <w:rsid w:val="00FF37E3"/>
    <w:rsid w:val="00FF3A79"/>
    <w:rsid w:val="00FF4269"/>
    <w:rsid w:val="00FF436F"/>
    <w:rsid w:val="00FF44EF"/>
    <w:rsid w:val="00FF47AC"/>
    <w:rsid w:val="00FF4C3C"/>
    <w:rsid w:val="00FF4E4F"/>
    <w:rsid w:val="00FF5081"/>
    <w:rsid w:val="00FF523B"/>
    <w:rsid w:val="00FF5781"/>
    <w:rsid w:val="00FF5861"/>
    <w:rsid w:val="00FF5EED"/>
    <w:rsid w:val="00FF6240"/>
    <w:rsid w:val="00FF62F7"/>
    <w:rsid w:val="00FF64B1"/>
    <w:rsid w:val="00FF6592"/>
    <w:rsid w:val="00FF69CA"/>
    <w:rsid w:val="00FF6A1C"/>
    <w:rsid w:val="00FF6BEC"/>
    <w:rsid w:val="00FF70F3"/>
    <w:rsid w:val="00FF76CA"/>
    <w:rsid w:val="00FF7D1E"/>
    <w:rsid w:val="00FF7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color="none [3213]">
      <v:fill color="white" on="f"/>
      <v:stroke color="none [3213]"/>
    </o:shapedefaults>
    <o:shapelayout v:ext="edit">
      <o:idmap v:ext="edit" data="2"/>
    </o:shapelayout>
  </w:shapeDefaults>
  <w:decimalSymbol w:val=","/>
  <w:listSeparator w:val=";"/>
  <w14:docId w14:val="3E0CFFC5"/>
  <w15:docId w15:val="{ABAD3A7F-5BFB-4374-B748-05D56E91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BFC"/>
    <w:rPr>
      <w:rFonts w:ascii="Arial" w:hAnsi="Arial" w:cs="Arial"/>
      <w:sz w:val="24"/>
    </w:rPr>
  </w:style>
  <w:style w:type="paragraph" w:styleId="Titolo1">
    <w:name w:val="heading 1"/>
    <w:basedOn w:val="Normale"/>
    <w:next w:val="Normale"/>
    <w:qFormat/>
    <w:rsid w:val="00DA5BFC"/>
    <w:pPr>
      <w:keepNext/>
      <w:outlineLvl w:val="0"/>
    </w:pPr>
    <w:rPr>
      <w:rFonts w:ascii="Times New Roman" w:hAnsi="Times New Roman" w:cs="Times New Roman"/>
      <w:i/>
      <w:iCs/>
      <w:sz w:val="22"/>
    </w:rPr>
  </w:style>
  <w:style w:type="paragraph" w:styleId="Titolo2">
    <w:name w:val="heading 2"/>
    <w:basedOn w:val="Normale"/>
    <w:next w:val="Normale"/>
    <w:qFormat/>
    <w:rsid w:val="00DA5BFC"/>
    <w:pPr>
      <w:keepNext/>
      <w:jc w:val="both"/>
      <w:outlineLvl w:val="1"/>
    </w:pPr>
    <w:rPr>
      <w:rFonts w:ascii="Times New Roman" w:hAnsi="Times New Roman"/>
      <w:sz w:val="28"/>
    </w:rPr>
  </w:style>
  <w:style w:type="paragraph" w:styleId="Titolo3">
    <w:name w:val="heading 3"/>
    <w:basedOn w:val="Normale"/>
    <w:next w:val="Normale"/>
    <w:qFormat/>
    <w:rsid w:val="00DA5BFC"/>
    <w:pPr>
      <w:keepNext/>
      <w:outlineLvl w:val="2"/>
    </w:pPr>
    <w:rPr>
      <w:rFonts w:ascii="Times New Roman" w:hAnsi="Times New Roman"/>
      <w:sz w:val="28"/>
    </w:rPr>
  </w:style>
  <w:style w:type="paragraph" w:styleId="Titolo4">
    <w:name w:val="heading 4"/>
    <w:basedOn w:val="Normale"/>
    <w:next w:val="Normale"/>
    <w:qFormat/>
    <w:rsid w:val="00DA5BFC"/>
    <w:pPr>
      <w:keepNext/>
      <w:outlineLvl w:val="3"/>
    </w:pPr>
    <w:rPr>
      <w:rFonts w:ascii="Times New Roman" w:hAnsi="Times New Roman"/>
      <w:b/>
      <w:sz w:val="28"/>
    </w:rPr>
  </w:style>
  <w:style w:type="paragraph" w:styleId="Titolo5">
    <w:name w:val="heading 5"/>
    <w:basedOn w:val="Normale"/>
    <w:next w:val="Normale"/>
    <w:qFormat/>
    <w:rsid w:val="00DA5BFC"/>
    <w:pPr>
      <w:keepNext/>
      <w:jc w:val="right"/>
      <w:outlineLvl w:val="4"/>
    </w:pPr>
    <w:rPr>
      <w:b/>
      <w:bCs/>
      <w:sz w:val="14"/>
      <w:szCs w:val="14"/>
    </w:rPr>
  </w:style>
  <w:style w:type="paragraph" w:styleId="Titolo6">
    <w:name w:val="heading 6"/>
    <w:basedOn w:val="Normale"/>
    <w:next w:val="Normale"/>
    <w:qFormat/>
    <w:rsid w:val="00DA5BFC"/>
    <w:pPr>
      <w:keepNext/>
      <w:spacing w:before="60"/>
      <w:ind w:left="-72"/>
      <w:outlineLvl w:val="5"/>
    </w:pPr>
    <w:rPr>
      <w:rFonts w:cs="Times New Roman"/>
      <w:sz w:val="14"/>
    </w:rPr>
  </w:style>
  <w:style w:type="paragraph" w:styleId="Titolo7">
    <w:name w:val="heading 7"/>
    <w:basedOn w:val="Normale"/>
    <w:next w:val="Normale"/>
    <w:qFormat/>
    <w:rsid w:val="00DA5BFC"/>
    <w:pPr>
      <w:keepNext/>
      <w:ind w:left="2124"/>
      <w:jc w:val="both"/>
      <w:outlineLvl w:val="6"/>
    </w:pPr>
    <w:rPr>
      <w:rFonts w:ascii="Times New Roman" w:hAnsi="Times New Roman" w:cs="Times New Roman"/>
      <w:b/>
    </w:rPr>
  </w:style>
  <w:style w:type="paragraph" w:styleId="Titolo8">
    <w:name w:val="heading 8"/>
    <w:basedOn w:val="Normale"/>
    <w:next w:val="Normale"/>
    <w:qFormat/>
    <w:rsid w:val="00DA5BFC"/>
    <w:pPr>
      <w:keepNext/>
      <w:outlineLvl w:val="7"/>
    </w:pPr>
    <w:rPr>
      <w:rFonts w:ascii="Times New Roman" w:hAnsi="Times New Roman" w:cs="Times New Roman"/>
      <w:b/>
      <w:bCs/>
    </w:rPr>
  </w:style>
  <w:style w:type="paragraph" w:styleId="Titolo9">
    <w:name w:val="heading 9"/>
    <w:basedOn w:val="Normale"/>
    <w:next w:val="Normale"/>
    <w:qFormat/>
    <w:rsid w:val="00DA5BFC"/>
    <w:pPr>
      <w:keepNext/>
      <w:jc w:val="center"/>
      <w:outlineLvl w:val="8"/>
    </w:pPr>
    <w:rPr>
      <w:rFonts w:ascii="Times New Roman" w:hAnsi="Times New Roman"/>
      <w:b/>
      <w:sz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DA5BFC"/>
    <w:pPr>
      <w:widowControl w:val="0"/>
      <w:tabs>
        <w:tab w:val="left" w:pos="-1800"/>
        <w:tab w:val="left" w:pos="-1092"/>
        <w:tab w:val="left" w:pos="-384"/>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ind w:firstLine="323"/>
      <w:jc w:val="both"/>
    </w:pPr>
    <w:rPr>
      <w:rFonts w:cs="Times New Roman"/>
      <w:sz w:val="20"/>
    </w:rPr>
  </w:style>
  <w:style w:type="paragraph" w:styleId="Corpotesto">
    <w:name w:val="Body Text"/>
    <w:basedOn w:val="Normale"/>
    <w:rsid w:val="00DA5BFC"/>
    <w:pPr>
      <w:jc w:val="both"/>
    </w:pPr>
    <w:rPr>
      <w:rFonts w:ascii="Times New Roman" w:hAnsi="Times New Roman"/>
    </w:rPr>
  </w:style>
  <w:style w:type="paragraph" w:styleId="Corpodeltesto2">
    <w:name w:val="Body Text 2"/>
    <w:basedOn w:val="Normale"/>
    <w:rsid w:val="00DA5BFC"/>
    <w:pPr>
      <w:widowControl w:val="0"/>
      <w:tabs>
        <w:tab w:val="left" w:pos="-1800"/>
        <w:tab w:val="left" w:pos="-1092"/>
        <w:tab w:val="left" w:pos="-384"/>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pPr>
    <w:rPr>
      <w:sz w:val="20"/>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DA5BFC"/>
    <w:pPr>
      <w:widowControl w:val="0"/>
    </w:pPr>
    <w:rPr>
      <w:rFonts w:ascii="Comic Sans MS" w:hAnsi="Comic Sans MS" w:cs="Times New Roman"/>
      <w:sz w:val="20"/>
    </w:rPr>
  </w:style>
  <w:style w:type="paragraph" w:styleId="Pidipagina">
    <w:name w:val="footer"/>
    <w:basedOn w:val="Normale"/>
    <w:link w:val="PidipaginaCarattere"/>
    <w:rsid w:val="00DA5BFC"/>
    <w:pPr>
      <w:tabs>
        <w:tab w:val="center" w:pos="4819"/>
        <w:tab w:val="right" w:pos="9638"/>
      </w:tabs>
    </w:pPr>
  </w:style>
  <w:style w:type="character" w:styleId="Numeropagina">
    <w:name w:val="page number"/>
    <w:basedOn w:val="Carpredefinitoparagrafo"/>
    <w:rsid w:val="00DA5BFC"/>
  </w:style>
  <w:style w:type="paragraph" w:styleId="Intestazione">
    <w:name w:val="header"/>
    <w:basedOn w:val="Normale"/>
    <w:rsid w:val="00DA5BFC"/>
    <w:pPr>
      <w:tabs>
        <w:tab w:val="center" w:pos="4819"/>
        <w:tab w:val="right" w:pos="9638"/>
      </w:tabs>
    </w:pPr>
  </w:style>
  <w:style w:type="paragraph" w:styleId="Corpodeltesto3">
    <w:name w:val="Body Text 3"/>
    <w:basedOn w:val="Normale"/>
    <w:rsid w:val="00DA5BFC"/>
    <w:pPr>
      <w:jc w:val="both"/>
    </w:pPr>
    <w:rPr>
      <w:sz w:val="22"/>
    </w:rPr>
  </w:style>
  <w:style w:type="paragraph" w:styleId="Titolo">
    <w:name w:val="Title"/>
    <w:basedOn w:val="Normale"/>
    <w:qFormat/>
    <w:rsid w:val="00DA5BFC"/>
    <w:pPr>
      <w:jc w:val="center"/>
    </w:pPr>
    <w:rPr>
      <w:rFonts w:ascii="Times New Roman" w:hAnsi="Times New Roman"/>
      <w:b/>
    </w:rPr>
  </w:style>
  <w:style w:type="character" w:styleId="Collegamentoipertestuale">
    <w:name w:val="Hyperlink"/>
    <w:uiPriority w:val="99"/>
    <w:rsid w:val="00DA5BFC"/>
    <w:rPr>
      <w:color w:val="0000FF"/>
      <w:u w:val="single"/>
    </w:rPr>
  </w:style>
  <w:style w:type="paragraph" w:styleId="Testonormale">
    <w:name w:val="Plain Text"/>
    <w:basedOn w:val="Normale"/>
    <w:link w:val="TestonormaleCarattere"/>
    <w:rsid w:val="00DA5BFC"/>
    <w:rPr>
      <w:rFonts w:ascii="Courier New" w:hAnsi="Courier New"/>
      <w:sz w:val="20"/>
    </w:rPr>
  </w:style>
  <w:style w:type="paragraph" w:styleId="Testodelblocco">
    <w:name w:val="Block Text"/>
    <w:basedOn w:val="Normale"/>
    <w:rsid w:val="00DA5BFC"/>
    <w:pPr>
      <w:widowControl w:val="0"/>
      <w:tabs>
        <w:tab w:val="left" w:pos="-1839"/>
        <w:tab w:val="left" w:pos="-1131"/>
        <w:tab w:val="left" w:pos="-423"/>
        <w:tab w:val="left" w:pos="0"/>
        <w:tab w:val="left" w:pos="709"/>
        <w:tab w:val="left" w:pos="993"/>
        <w:tab w:val="left" w:pos="1701"/>
        <w:tab w:val="left" w:pos="2415"/>
        <w:tab w:val="left" w:pos="3123"/>
        <w:tab w:val="left" w:pos="3831"/>
        <w:tab w:val="left" w:pos="4539"/>
        <w:tab w:val="left" w:pos="5247"/>
        <w:tab w:val="left" w:pos="5955"/>
        <w:tab w:val="left" w:pos="6669"/>
        <w:tab w:val="left" w:pos="7377"/>
        <w:tab w:val="left" w:pos="8085"/>
        <w:tab w:val="left" w:pos="8793"/>
      </w:tabs>
      <w:ind w:left="-40" w:right="28" w:firstLine="397"/>
      <w:jc w:val="both"/>
    </w:pPr>
    <w:rPr>
      <w:rFonts w:ascii="Times New Roman" w:hAnsi="Times New Roman" w:cs="Times New Roman"/>
      <w:sz w:val="22"/>
    </w:rPr>
  </w:style>
  <w:style w:type="paragraph" w:styleId="Rientrocorpodeltesto3">
    <w:name w:val="Body Text Indent 3"/>
    <w:basedOn w:val="Normale"/>
    <w:rsid w:val="00DA5BFC"/>
    <w:pPr>
      <w:widowControl w:val="0"/>
      <w:tabs>
        <w:tab w:val="left" w:pos="-1416"/>
        <w:tab w:val="left" w:pos="-708"/>
        <w:tab w:val="left" w:pos="0"/>
        <w:tab w:val="left" w:pos="708"/>
        <w:tab w:val="left" w:pos="1416"/>
        <w:tab w:val="left" w:pos="2124"/>
        <w:tab w:val="left" w:pos="2838"/>
        <w:tab w:val="left" w:pos="3546"/>
        <w:tab w:val="left" w:pos="4254"/>
        <w:tab w:val="left" w:pos="4962"/>
        <w:tab w:val="left" w:pos="5670"/>
        <w:tab w:val="left" w:pos="6378"/>
        <w:tab w:val="left" w:pos="7092"/>
        <w:tab w:val="left" w:pos="7800"/>
      </w:tabs>
      <w:ind w:firstLine="709"/>
      <w:jc w:val="both"/>
    </w:pPr>
    <w:rPr>
      <w:rFonts w:cs="Times New Roman"/>
      <w:sz w:val="20"/>
    </w:rPr>
  </w:style>
  <w:style w:type="paragraph" w:styleId="Didascalia">
    <w:name w:val="caption"/>
    <w:basedOn w:val="Normale"/>
    <w:next w:val="Normale"/>
    <w:qFormat/>
    <w:rsid w:val="00DA5BFC"/>
    <w:pPr>
      <w:widowControl w:val="0"/>
      <w:spacing w:before="120" w:after="120" w:line="240" w:lineRule="exact"/>
      <w:jc w:val="both"/>
    </w:pPr>
    <w:rPr>
      <w:rFonts w:ascii="Times New Roman" w:hAnsi="Times New Roman" w:cs="Times New Roman"/>
      <w:b/>
      <w:snapToGrid w:val="0"/>
      <w:sz w:val="23"/>
    </w:rPr>
  </w:style>
  <w:style w:type="paragraph" w:styleId="Rientrocorpodeltesto2">
    <w:name w:val="Body Text Indent 2"/>
    <w:basedOn w:val="Normale"/>
    <w:rsid w:val="00DA5BFC"/>
    <w:pPr>
      <w:widowControl w:val="0"/>
      <w:tabs>
        <w:tab w:val="left" w:pos="-2363"/>
        <w:tab w:val="left" w:pos="-1655"/>
        <w:tab w:val="left" w:pos="-947"/>
        <w:tab w:val="left" w:pos="0"/>
        <w:tab w:val="left" w:pos="469"/>
        <w:tab w:val="left" w:pos="1177"/>
        <w:tab w:val="left" w:pos="1891"/>
        <w:tab w:val="left" w:pos="2599"/>
        <w:tab w:val="left" w:pos="3307"/>
        <w:tab w:val="left" w:pos="4015"/>
        <w:tab w:val="left" w:pos="4723"/>
        <w:tab w:val="left" w:pos="5431"/>
        <w:tab w:val="left" w:pos="6145"/>
        <w:tab w:val="left" w:pos="6853"/>
        <w:tab w:val="left" w:pos="7561"/>
        <w:tab w:val="left" w:pos="8269"/>
      </w:tabs>
      <w:ind w:right="28" w:firstLine="709"/>
      <w:jc w:val="both"/>
    </w:pPr>
    <w:rPr>
      <w:rFonts w:ascii="Times New Roman" w:hAnsi="Times New Roman" w:cs="Times New Roman"/>
      <w:sz w:val="22"/>
    </w:rPr>
  </w:style>
  <w:style w:type="paragraph" w:customStyle="1" w:styleId="font5">
    <w:name w:val="font5"/>
    <w:basedOn w:val="Normale"/>
    <w:rsid w:val="00DA5BFC"/>
    <w:pPr>
      <w:spacing w:before="100" w:beforeAutospacing="1" w:after="100" w:afterAutospacing="1"/>
    </w:pPr>
    <w:rPr>
      <w:rFonts w:eastAsia="Arial Unicode MS"/>
      <w:sz w:val="16"/>
      <w:szCs w:val="16"/>
    </w:rPr>
  </w:style>
  <w:style w:type="paragraph" w:customStyle="1" w:styleId="font6">
    <w:name w:val="font6"/>
    <w:basedOn w:val="Normale"/>
    <w:rsid w:val="00DA5BFC"/>
    <w:pPr>
      <w:spacing w:before="100" w:beforeAutospacing="1" w:after="100" w:afterAutospacing="1"/>
    </w:pPr>
    <w:rPr>
      <w:rFonts w:eastAsia="Arial Unicode MS"/>
      <w:i/>
      <w:iCs/>
      <w:sz w:val="16"/>
      <w:szCs w:val="16"/>
    </w:rPr>
  </w:style>
  <w:style w:type="paragraph" w:customStyle="1" w:styleId="xl24">
    <w:name w:val="xl24"/>
    <w:basedOn w:val="Normale"/>
    <w:rsid w:val="00DA5BFC"/>
    <w:pPr>
      <w:spacing w:before="100" w:beforeAutospacing="1" w:after="100" w:afterAutospacing="1"/>
      <w:textAlignment w:val="top"/>
    </w:pPr>
    <w:rPr>
      <w:rFonts w:eastAsia="Arial Unicode MS"/>
      <w:szCs w:val="24"/>
    </w:rPr>
  </w:style>
  <w:style w:type="paragraph" w:customStyle="1" w:styleId="xl25">
    <w:name w:val="xl25"/>
    <w:basedOn w:val="Normale"/>
    <w:rsid w:val="00DA5BFC"/>
    <w:pPr>
      <w:spacing w:before="100" w:beforeAutospacing="1" w:after="100" w:afterAutospacing="1"/>
      <w:jc w:val="right"/>
    </w:pPr>
    <w:rPr>
      <w:rFonts w:eastAsia="Arial Unicode MS"/>
      <w:szCs w:val="24"/>
    </w:rPr>
  </w:style>
  <w:style w:type="paragraph" w:customStyle="1" w:styleId="xl27">
    <w:name w:val="xl27"/>
    <w:basedOn w:val="Normale"/>
    <w:rsid w:val="00DA5BFC"/>
    <w:pPr>
      <w:spacing w:before="100" w:beforeAutospacing="1" w:after="100" w:afterAutospacing="1"/>
    </w:pPr>
    <w:rPr>
      <w:rFonts w:eastAsia="Arial Unicode MS"/>
      <w:szCs w:val="24"/>
    </w:rPr>
  </w:style>
  <w:style w:type="paragraph" w:customStyle="1" w:styleId="xl28">
    <w:name w:val="xl28"/>
    <w:basedOn w:val="Normale"/>
    <w:rsid w:val="00DA5BFC"/>
    <w:pPr>
      <w:spacing w:before="100" w:beforeAutospacing="1" w:after="100" w:afterAutospacing="1"/>
      <w:jc w:val="right"/>
    </w:pPr>
    <w:rPr>
      <w:rFonts w:eastAsia="Arial Unicode MS"/>
      <w:szCs w:val="24"/>
    </w:rPr>
  </w:style>
  <w:style w:type="paragraph" w:customStyle="1" w:styleId="xl29">
    <w:name w:val="xl29"/>
    <w:basedOn w:val="Normale"/>
    <w:rsid w:val="00DA5BFC"/>
    <w:pPr>
      <w:spacing w:before="100" w:beforeAutospacing="1" w:after="100" w:afterAutospacing="1"/>
    </w:pPr>
    <w:rPr>
      <w:rFonts w:eastAsia="Arial Unicode MS"/>
      <w:szCs w:val="24"/>
    </w:rPr>
  </w:style>
  <w:style w:type="paragraph" w:customStyle="1" w:styleId="xl30">
    <w:name w:val="xl30"/>
    <w:basedOn w:val="Normale"/>
    <w:rsid w:val="00DA5BFC"/>
    <w:pPr>
      <w:spacing w:before="100" w:beforeAutospacing="1" w:after="100" w:afterAutospacing="1"/>
      <w:jc w:val="right"/>
    </w:pPr>
    <w:rPr>
      <w:rFonts w:eastAsia="Arial Unicode MS"/>
      <w:szCs w:val="24"/>
    </w:rPr>
  </w:style>
  <w:style w:type="paragraph" w:customStyle="1" w:styleId="xl31">
    <w:name w:val="xl31"/>
    <w:basedOn w:val="Normale"/>
    <w:rsid w:val="00DA5BFC"/>
    <w:pPr>
      <w:spacing w:before="100" w:beforeAutospacing="1" w:after="100" w:afterAutospacing="1"/>
    </w:pPr>
    <w:rPr>
      <w:rFonts w:ascii="Times New Roman" w:eastAsia="Arial Unicode MS" w:hAnsi="Times New Roman" w:cs="Times New Roman"/>
      <w:szCs w:val="24"/>
    </w:rPr>
  </w:style>
  <w:style w:type="paragraph" w:customStyle="1" w:styleId="xl32">
    <w:name w:val="xl32"/>
    <w:basedOn w:val="Normale"/>
    <w:rsid w:val="00DA5BFC"/>
    <w:pPr>
      <w:spacing w:before="100" w:beforeAutospacing="1" w:after="100" w:afterAutospacing="1"/>
    </w:pPr>
    <w:rPr>
      <w:rFonts w:eastAsia="Arial Unicode MS"/>
      <w:sz w:val="16"/>
      <w:szCs w:val="16"/>
    </w:rPr>
  </w:style>
  <w:style w:type="paragraph" w:customStyle="1" w:styleId="xl33">
    <w:name w:val="xl33"/>
    <w:basedOn w:val="Normale"/>
    <w:rsid w:val="00DA5BFC"/>
    <w:pPr>
      <w:spacing w:before="100" w:beforeAutospacing="1" w:after="100" w:afterAutospacing="1"/>
      <w:jc w:val="right"/>
    </w:pPr>
    <w:rPr>
      <w:rFonts w:eastAsia="Arial Unicode MS"/>
      <w:sz w:val="16"/>
      <w:szCs w:val="16"/>
    </w:rPr>
  </w:style>
  <w:style w:type="paragraph" w:customStyle="1" w:styleId="xl34">
    <w:name w:val="xl34"/>
    <w:basedOn w:val="Normale"/>
    <w:rsid w:val="00DA5BFC"/>
    <w:pPr>
      <w:pBdr>
        <w:bottom w:val="single" w:sz="4" w:space="0" w:color="auto"/>
      </w:pBdr>
      <w:spacing w:before="100" w:beforeAutospacing="1" w:after="100" w:afterAutospacing="1"/>
    </w:pPr>
    <w:rPr>
      <w:rFonts w:eastAsia="Arial Unicode MS"/>
      <w:sz w:val="16"/>
      <w:szCs w:val="16"/>
    </w:rPr>
  </w:style>
  <w:style w:type="paragraph" w:customStyle="1" w:styleId="xl35">
    <w:name w:val="xl35"/>
    <w:basedOn w:val="Normale"/>
    <w:rsid w:val="00DA5BFC"/>
    <w:pPr>
      <w:pBdr>
        <w:bottom w:val="single" w:sz="4" w:space="0" w:color="auto"/>
      </w:pBdr>
      <w:spacing w:before="100" w:beforeAutospacing="1" w:after="100" w:afterAutospacing="1"/>
    </w:pPr>
    <w:rPr>
      <w:rFonts w:eastAsia="Arial Unicode MS"/>
      <w:b/>
      <w:bCs/>
      <w:sz w:val="16"/>
      <w:szCs w:val="16"/>
    </w:rPr>
  </w:style>
  <w:style w:type="paragraph" w:customStyle="1" w:styleId="xl36">
    <w:name w:val="xl36"/>
    <w:basedOn w:val="Normale"/>
    <w:rsid w:val="00DA5BFC"/>
    <w:pPr>
      <w:pBdr>
        <w:bottom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e"/>
    <w:rsid w:val="00DA5BFC"/>
    <w:pPr>
      <w:spacing w:before="100" w:beforeAutospacing="1" w:after="100" w:afterAutospacing="1"/>
    </w:pPr>
    <w:rPr>
      <w:rFonts w:eastAsia="Arial Unicode MS"/>
      <w:szCs w:val="24"/>
    </w:rPr>
  </w:style>
  <w:style w:type="paragraph" w:customStyle="1" w:styleId="xl41">
    <w:name w:val="xl41"/>
    <w:basedOn w:val="Normale"/>
    <w:rsid w:val="00DA5BFC"/>
    <w:pPr>
      <w:spacing w:before="100" w:beforeAutospacing="1" w:after="100" w:afterAutospacing="1"/>
      <w:jc w:val="center"/>
    </w:pPr>
    <w:rPr>
      <w:sz w:val="14"/>
      <w:szCs w:val="14"/>
    </w:rPr>
  </w:style>
  <w:style w:type="paragraph" w:customStyle="1" w:styleId="xl39">
    <w:name w:val="xl39"/>
    <w:basedOn w:val="Normale"/>
    <w:rsid w:val="00DA5BFC"/>
    <w:pPr>
      <w:spacing w:before="100" w:beforeAutospacing="1" w:after="100" w:afterAutospacing="1"/>
      <w:jc w:val="right"/>
    </w:pPr>
    <w:rPr>
      <w:rFonts w:eastAsia="Arial Unicode MS"/>
      <w:sz w:val="14"/>
      <w:szCs w:val="14"/>
    </w:rPr>
  </w:style>
  <w:style w:type="character" w:styleId="Rimandonotaapidipagina">
    <w:name w:val="footnote reference"/>
    <w:aliases w:val="Inf_Note a piè di pagina,Rimando nota a piè di pagina_relazione"/>
    <w:uiPriority w:val="99"/>
    <w:rsid w:val="00DA5BFC"/>
    <w:rPr>
      <w:vertAlign w:val="superscript"/>
    </w:rPr>
  </w:style>
  <w:style w:type="paragraph" w:styleId="Sottotitolo">
    <w:name w:val="Subtitle"/>
    <w:basedOn w:val="Normale"/>
    <w:qFormat/>
    <w:rsid w:val="00DA5BFC"/>
    <w:pPr>
      <w:jc w:val="both"/>
    </w:pPr>
    <w:rPr>
      <w:rFonts w:ascii="Times New Roman" w:hAnsi="Times New Roman" w:cs="Times New Roman"/>
      <w:b/>
    </w:rPr>
  </w:style>
  <w:style w:type="paragraph" w:customStyle="1" w:styleId="Stile6">
    <w:name w:val="Stile6"/>
    <w:basedOn w:val="Normale"/>
    <w:rsid w:val="00DA5BFC"/>
    <w:pPr>
      <w:widowControl w:val="0"/>
      <w:spacing w:line="-200" w:lineRule="auto"/>
      <w:ind w:left="384" w:hanging="384"/>
      <w:jc w:val="both"/>
    </w:pPr>
    <w:rPr>
      <w:rFonts w:ascii="Helvetica" w:hAnsi="Helvetica" w:cs="Times New Roman"/>
      <w:snapToGrid w:val="0"/>
      <w:color w:val="000000"/>
      <w:sz w:val="18"/>
    </w:rPr>
  </w:style>
  <w:style w:type="paragraph" w:customStyle="1" w:styleId="xl22">
    <w:name w:val="xl22"/>
    <w:basedOn w:val="Normale"/>
    <w:rsid w:val="00DA5BFC"/>
    <w:pPr>
      <w:spacing w:before="100" w:beforeAutospacing="1" w:after="100" w:afterAutospacing="1"/>
    </w:pPr>
    <w:rPr>
      <w:rFonts w:eastAsia="Arial Unicode MS"/>
      <w:sz w:val="14"/>
      <w:szCs w:val="14"/>
    </w:rPr>
  </w:style>
  <w:style w:type="paragraph" w:customStyle="1" w:styleId="xl23">
    <w:name w:val="xl23"/>
    <w:basedOn w:val="Normale"/>
    <w:rsid w:val="00DA5BFC"/>
    <w:pPr>
      <w:spacing w:before="100" w:beforeAutospacing="1" w:after="100" w:afterAutospacing="1"/>
    </w:pPr>
    <w:rPr>
      <w:rFonts w:ascii="Arial Unicode MS" w:eastAsia="Arial Unicode MS" w:hAnsi="Arial Unicode MS" w:cs="Arial Unicode MS"/>
      <w:b/>
      <w:bCs/>
      <w:sz w:val="18"/>
      <w:szCs w:val="18"/>
    </w:rPr>
  </w:style>
  <w:style w:type="paragraph" w:customStyle="1" w:styleId="xl37">
    <w:name w:val="xl37"/>
    <w:basedOn w:val="Normale"/>
    <w:rsid w:val="00DA5BFC"/>
    <w:pPr>
      <w:spacing w:before="100" w:beforeAutospacing="1" w:after="100" w:afterAutospacing="1"/>
    </w:pPr>
    <w:rPr>
      <w:rFonts w:ascii="Arial Unicode MS" w:eastAsia="Arial Unicode MS" w:hAnsi="Arial Unicode MS" w:cs="Arial Unicode MS"/>
      <w:b/>
      <w:bCs/>
      <w:sz w:val="14"/>
      <w:szCs w:val="14"/>
    </w:rPr>
  </w:style>
  <w:style w:type="paragraph" w:customStyle="1" w:styleId="xl38">
    <w:name w:val="xl38"/>
    <w:basedOn w:val="Normale"/>
    <w:rsid w:val="00DA5BFC"/>
    <w:pPr>
      <w:pBdr>
        <w:bottom w:val="single" w:sz="4" w:space="0" w:color="auto"/>
      </w:pBdr>
      <w:spacing w:before="100" w:beforeAutospacing="1" w:after="100" w:afterAutospacing="1"/>
    </w:pPr>
    <w:rPr>
      <w:rFonts w:eastAsia="Arial Unicode MS"/>
      <w:sz w:val="14"/>
      <w:szCs w:val="14"/>
    </w:rPr>
  </w:style>
  <w:style w:type="paragraph" w:customStyle="1" w:styleId="xl40">
    <w:name w:val="xl40"/>
    <w:basedOn w:val="Normale"/>
    <w:rsid w:val="00DA5BFC"/>
    <w:pPr>
      <w:spacing w:before="100" w:beforeAutospacing="1" w:after="100" w:afterAutospacing="1"/>
      <w:jc w:val="both"/>
      <w:textAlignment w:val="top"/>
    </w:pPr>
    <w:rPr>
      <w:rFonts w:eastAsia="Arial Unicode MS"/>
      <w:sz w:val="14"/>
      <w:szCs w:val="14"/>
    </w:rPr>
  </w:style>
  <w:style w:type="paragraph" w:customStyle="1" w:styleId="xl42">
    <w:name w:val="xl42"/>
    <w:basedOn w:val="Normale"/>
    <w:rsid w:val="00DA5BFC"/>
    <w:pPr>
      <w:spacing w:before="100" w:beforeAutospacing="1" w:after="100" w:afterAutospacing="1"/>
    </w:pPr>
    <w:rPr>
      <w:rFonts w:eastAsia="Arial Unicode MS"/>
      <w:sz w:val="18"/>
      <w:szCs w:val="18"/>
    </w:rPr>
  </w:style>
  <w:style w:type="paragraph" w:customStyle="1" w:styleId="xl43">
    <w:name w:val="xl43"/>
    <w:basedOn w:val="Normale"/>
    <w:rsid w:val="00DA5BFC"/>
    <w:pPr>
      <w:pBdr>
        <w:top w:val="single" w:sz="4" w:space="0" w:color="auto"/>
      </w:pBdr>
      <w:spacing w:before="100" w:beforeAutospacing="1" w:after="100" w:afterAutospacing="1"/>
      <w:textAlignment w:val="center"/>
    </w:pPr>
    <w:rPr>
      <w:rFonts w:eastAsia="Arial Unicode MS"/>
      <w:sz w:val="14"/>
      <w:szCs w:val="14"/>
    </w:rPr>
  </w:style>
  <w:style w:type="paragraph" w:customStyle="1" w:styleId="xl44">
    <w:name w:val="xl44"/>
    <w:basedOn w:val="Normale"/>
    <w:rsid w:val="00DA5BFC"/>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5">
    <w:name w:val="xl45"/>
    <w:basedOn w:val="Normale"/>
    <w:rsid w:val="00DA5BFC"/>
    <w:pPr>
      <w:spacing w:before="100" w:beforeAutospacing="1" w:after="100" w:afterAutospacing="1"/>
      <w:jc w:val="center"/>
      <w:textAlignment w:val="center"/>
    </w:pPr>
    <w:rPr>
      <w:rFonts w:eastAsia="Arial Unicode MS"/>
      <w:b/>
      <w:bCs/>
      <w:sz w:val="28"/>
      <w:szCs w:val="28"/>
    </w:rPr>
  </w:style>
  <w:style w:type="character" w:styleId="Collegamentovisitato">
    <w:name w:val="FollowedHyperlink"/>
    <w:rsid w:val="00DA5BFC"/>
    <w:rPr>
      <w:color w:val="800080"/>
      <w:u w:val="single"/>
    </w:rPr>
  </w:style>
  <w:style w:type="paragraph" w:customStyle="1" w:styleId="xl46">
    <w:name w:val="xl46"/>
    <w:basedOn w:val="Normale"/>
    <w:rsid w:val="00DA5BFC"/>
    <w:pPr>
      <w:spacing w:before="100" w:beforeAutospacing="1" w:after="100" w:afterAutospacing="1"/>
      <w:textAlignment w:val="center"/>
    </w:pPr>
    <w:rPr>
      <w:rFonts w:eastAsia="Arial Unicode MS"/>
      <w:sz w:val="14"/>
      <w:szCs w:val="14"/>
    </w:rPr>
  </w:style>
  <w:style w:type="paragraph" w:customStyle="1" w:styleId="xl47">
    <w:name w:val="xl47"/>
    <w:basedOn w:val="Normale"/>
    <w:rsid w:val="00DA5BFC"/>
    <w:pPr>
      <w:spacing w:before="100" w:beforeAutospacing="1" w:after="100" w:afterAutospacing="1"/>
      <w:textAlignment w:val="center"/>
    </w:pPr>
    <w:rPr>
      <w:rFonts w:eastAsia="Arial Unicode MS"/>
      <w:sz w:val="14"/>
      <w:szCs w:val="14"/>
    </w:rPr>
  </w:style>
  <w:style w:type="paragraph" w:customStyle="1" w:styleId="xl48">
    <w:name w:val="xl48"/>
    <w:basedOn w:val="Normale"/>
    <w:rsid w:val="00DA5BFC"/>
    <w:pPr>
      <w:pBdr>
        <w:top w:val="single" w:sz="4" w:space="0" w:color="auto"/>
      </w:pBdr>
      <w:spacing w:before="100" w:beforeAutospacing="1" w:after="100" w:afterAutospacing="1"/>
      <w:textAlignment w:val="center"/>
    </w:pPr>
    <w:rPr>
      <w:rFonts w:eastAsia="Arial Unicode MS"/>
      <w:sz w:val="14"/>
      <w:szCs w:val="14"/>
    </w:rPr>
  </w:style>
  <w:style w:type="paragraph" w:customStyle="1" w:styleId="xl49">
    <w:name w:val="xl49"/>
    <w:basedOn w:val="Normale"/>
    <w:rsid w:val="00DA5BFC"/>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styleId="Testofumetto">
    <w:name w:val="Balloon Text"/>
    <w:basedOn w:val="Normale"/>
    <w:link w:val="TestofumettoCarattere"/>
    <w:uiPriority w:val="99"/>
    <w:semiHidden/>
    <w:rsid w:val="00DA5BFC"/>
    <w:rPr>
      <w:rFonts w:ascii="Tahoma" w:hAnsi="Tahoma" w:cs="Tahoma"/>
      <w:sz w:val="16"/>
      <w:szCs w:val="16"/>
    </w:rPr>
  </w:style>
  <w:style w:type="character" w:styleId="Enfasigrassetto">
    <w:name w:val="Strong"/>
    <w:uiPriority w:val="22"/>
    <w:qFormat/>
    <w:rsid w:val="000A1832"/>
    <w:rPr>
      <w:b/>
      <w:bCs/>
    </w:rPr>
  </w:style>
  <w:style w:type="table" w:styleId="Grigliatabella">
    <w:name w:val="Table Grid"/>
    <w:basedOn w:val="Tabellanormale"/>
    <w:rsid w:val="00F6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CA4547"/>
    <w:pPr>
      <w:spacing w:before="100" w:beforeAutospacing="1" w:after="100" w:afterAutospacing="1"/>
    </w:pPr>
    <w:rPr>
      <w:rFonts w:ascii="Times New Roman" w:hAnsi="Times New Roman" w:cs="Times New Roman"/>
      <w:szCs w:val="24"/>
    </w:rPr>
  </w:style>
  <w:style w:type="paragraph" w:customStyle="1" w:styleId="Default">
    <w:name w:val="Default"/>
    <w:rsid w:val="00EF0796"/>
    <w:pPr>
      <w:autoSpaceDE w:val="0"/>
      <w:autoSpaceDN w:val="0"/>
      <w:adjustRightInd w:val="0"/>
    </w:pPr>
    <w:rPr>
      <w:color w:val="000000"/>
      <w:sz w:val="24"/>
      <w:szCs w:val="24"/>
    </w:rPr>
  </w:style>
  <w:style w:type="character" w:styleId="Rimandocommento">
    <w:name w:val="annotation reference"/>
    <w:semiHidden/>
    <w:rsid w:val="00364373"/>
    <w:rPr>
      <w:sz w:val="16"/>
      <w:szCs w:val="16"/>
    </w:rPr>
  </w:style>
  <w:style w:type="paragraph" w:styleId="Testocommento">
    <w:name w:val="annotation text"/>
    <w:basedOn w:val="Normale"/>
    <w:link w:val="TestocommentoCarattere"/>
    <w:semiHidden/>
    <w:rsid w:val="00364373"/>
    <w:rPr>
      <w:sz w:val="20"/>
    </w:rPr>
  </w:style>
  <w:style w:type="paragraph" w:customStyle="1" w:styleId="Sfondoacolori-Colore11">
    <w:name w:val="Sfondo a colori - Colore 11"/>
    <w:hidden/>
    <w:uiPriority w:val="99"/>
    <w:semiHidden/>
    <w:rsid w:val="00593C62"/>
    <w:rPr>
      <w:rFonts w:ascii="Arial" w:hAnsi="Arial" w:cs="Arial"/>
      <w:sz w:val="24"/>
    </w:rPr>
  </w:style>
  <w:style w:type="paragraph" w:styleId="Soggettocommento">
    <w:name w:val="annotation subject"/>
    <w:basedOn w:val="Testocommento"/>
    <w:next w:val="Testocommento"/>
    <w:semiHidden/>
    <w:rsid w:val="005E4C64"/>
    <w:rPr>
      <w:b/>
      <w:bCs/>
    </w:rPr>
  </w:style>
  <w:style w:type="character" w:customStyle="1" w:styleId="hps">
    <w:name w:val="hps"/>
    <w:rsid w:val="007B21AA"/>
  </w:style>
  <w:style w:type="character" w:customStyle="1" w:styleId="atn">
    <w:name w:val="atn"/>
    <w:rsid w:val="003A1C83"/>
  </w:style>
  <w:style w:type="character" w:customStyle="1" w:styleId="st">
    <w:name w:val="st"/>
    <w:rsid w:val="00BE7C60"/>
  </w:style>
  <w:style w:type="character" w:styleId="Enfasicorsivo">
    <w:name w:val="Emphasis"/>
    <w:uiPriority w:val="20"/>
    <w:qFormat/>
    <w:rsid w:val="00BE7C60"/>
    <w:rPr>
      <w:i/>
      <w:iCs/>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rsid w:val="00F46A53"/>
    <w:rPr>
      <w:rFonts w:ascii="Comic Sans MS" w:hAnsi="Comic Sans MS" w:cs="Arial"/>
    </w:rPr>
  </w:style>
  <w:style w:type="paragraph" w:customStyle="1" w:styleId="Elencoacolori-Colore11">
    <w:name w:val="Elenco a colori - Colore 11"/>
    <w:basedOn w:val="Normale"/>
    <w:uiPriority w:val="34"/>
    <w:qFormat/>
    <w:rsid w:val="001E3F73"/>
    <w:pPr>
      <w:spacing w:after="200" w:line="276" w:lineRule="auto"/>
      <w:ind w:left="720"/>
      <w:contextualSpacing/>
    </w:pPr>
    <w:rPr>
      <w:rFonts w:ascii="Calibri" w:hAnsi="Calibri" w:cs="Times New Roman"/>
      <w:sz w:val="22"/>
      <w:szCs w:val="22"/>
    </w:rPr>
  </w:style>
  <w:style w:type="paragraph" w:customStyle="1" w:styleId="Pa5">
    <w:name w:val="Pa5"/>
    <w:basedOn w:val="Default"/>
    <w:next w:val="Default"/>
    <w:uiPriority w:val="99"/>
    <w:rsid w:val="00761A1D"/>
    <w:pPr>
      <w:spacing w:line="221" w:lineRule="atLeast"/>
    </w:pPr>
    <w:rPr>
      <w:rFonts w:ascii="Arial" w:hAnsi="Arial" w:cs="Arial"/>
      <w:color w:val="auto"/>
    </w:rPr>
  </w:style>
  <w:style w:type="character" w:customStyle="1" w:styleId="A5">
    <w:name w:val="A5"/>
    <w:uiPriority w:val="99"/>
    <w:rsid w:val="00761A1D"/>
    <w:rPr>
      <w:color w:val="000000"/>
      <w:sz w:val="18"/>
      <w:szCs w:val="18"/>
    </w:rPr>
  </w:style>
  <w:style w:type="character" w:customStyle="1" w:styleId="A2">
    <w:name w:val="A2"/>
    <w:uiPriority w:val="99"/>
    <w:rsid w:val="00761A1D"/>
    <w:rPr>
      <w:rFonts w:ascii="Wingdings" w:hAnsi="Wingdings" w:cs="Wingdings"/>
      <w:color w:val="000000"/>
    </w:rPr>
  </w:style>
  <w:style w:type="character" w:customStyle="1" w:styleId="at1">
    <w:name w:val="a__t1"/>
    <w:rsid w:val="009E5B28"/>
  </w:style>
  <w:style w:type="paragraph" w:customStyle="1" w:styleId="grassetto1">
    <w:name w:val="grassetto1"/>
    <w:basedOn w:val="Normale"/>
    <w:rsid w:val="00B00C3C"/>
    <w:pPr>
      <w:spacing w:after="24"/>
    </w:pPr>
    <w:rPr>
      <w:rFonts w:ascii="Times New Roman" w:hAnsi="Times New Roman" w:cs="Times New Roman"/>
      <w:b/>
      <w:bCs/>
      <w:szCs w:val="24"/>
    </w:rPr>
  </w:style>
  <w:style w:type="paragraph" w:customStyle="1" w:styleId="Sfondoacolori-Colore12">
    <w:name w:val="Sfondo a colori - Colore 12"/>
    <w:hidden/>
    <w:uiPriority w:val="99"/>
    <w:semiHidden/>
    <w:rsid w:val="00181F48"/>
    <w:rPr>
      <w:rFonts w:ascii="Arial" w:hAnsi="Arial" w:cs="Arial"/>
      <w:sz w:val="24"/>
    </w:rPr>
  </w:style>
  <w:style w:type="character" w:customStyle="1" w:styleId="PidipaginaCarattere">
    <w:name w:val="Piè di pagina Carattere"/>
    <w:link w:val="Pidipagina"/>
    <w:rsid w:val="00FF314F"/>
    <w:rPr>
      <w:rFonts w:ascii="Arial" w:hAnsi="Arial" w:cs="Arial"/>
      <w:sz w:val="24"/>
    </w:rPr>
  </w:style>
  <w:style w:type="paragraph" w:styleId="Revisione">
    <w:name w:val="Revision"/>
    <w:hidden/>
    <w:uiPriority w:val="99"/>
    <w:semiHidden/>
    <w:rsid w:val="003B5A61"/>
    <w:rPr>
      <w:rFonts w:ascii="Arial" w:hAnsi="Arial" w:cs="Arial"/>
      <w:sz w:val="24"/>
    </w:rPr>
  </w:style>
  <w:style w:type="paragraph" w:styleId="Paragrafoelenco">
    <w:name w:val="List Paragraph"/>
    <w:basedOn w:val="Normale"/>
    <w:uiPriority w:val="34"/>
    <w:qFormat/>
    <w:rsid w:val="00E63FF8"/>
    <w:pPr>
      <w:ind w:left="720"/>
      <w:contextualSpacing/>
    </w:pPr>
  </w:style>
  <w:style w:type="character" w:customStyle="1" w:styleId="TestonormaleCarattere">
    <w:name w:val="Testo normale Carattere"/>
    <w:basedOn w:val="Carpredefinitoparagrafo"/>
    <w:link w:val="Testonormale"/>
    <w:rsid w:val="003952D0"/>
    <w:rPr>
      <w:rFonts w:ascii="Courier New" w:hAnsi="Courier New" w:cs="Arial"/>
    </w:rPr>
  </w:style>
  <w:style w:type="paragraph" w:styleId="PreformattatoHTML">
    <w:name w:val="HTML Preformatted"/>
    <w:basedOn w:val="Normale"/>
    <w:link w:val="PreformattatoHTMLCarattere"/>
    <w:uiPriority w:val="99"/>
    <w:unhideWhenUsed/>
    <w:rsid w:val="0081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8162ED"/>
    <w:rPr>
      <w:rFonts w:ascii="Courier New" w:hAnsi="Courier New" w:cs="Courier New"/>
    </w:rPr>
  </w:style>
  <w:style w:type="character" w:customStyle="1" w:styleId="text111">
    <w:name w:val="text111"/>
    <w:basedOn w:val="Carpredefinitoparagrafo"/>
    <w:rsid w:val="00D82962"/>
    <w:rPr>
      <w:rFonts w:ascii="Verdana" w:hAnsi="Verdana" w:hint="default"/>
      <w:color w:val="003399"/>
      <w:sz w:val="17"/>
      <w:szCs w:val="17"/>
    </w:rPr>
  </w:style>
  <w:style w:type="paragraph" w:styleId="Testonotadichiusura">
    <w:name w:val="endnote text"/>
    <w:basedOn w:val="Normale"/>
    <w:link w:val="TestonotadichiusuraCarattere"/>
    <w:uiPriority w:val="99"/>
    <w:semiHidden/>
    <w:unhideWhenUsed/>
    <w:rsid w:val="00971B51"/>
    <w:rPr>
      <w:sz w:val="20"/>
    </w:rPr>
  </w:style>
  <w:style w:type="character" w:customStyle="1" w:styleId="TestonotadichiusuraCarattere">
    <w:name w:val="Testo nota di chiusura Carattere"/>
    <w:basedOn w:val="Carpredefinitoparagrafo"/>
    <w:link w:val="Testonotadichiusura"/>
    <w:uiPriority w:val="99"/>
    <w:semiHidden/>
    <w:rsid w:val="00971B51"/>
    <w:rPr>
      <w:rFonts w:ascii="Arial" w:hAnsi="Arial" w:cs="Arial"/>
    </w:rPr>
  </w:style>
  <w:style w:type="character" w:styleId="Rimandonotadichiusura">
    <w:name w:val="endnote reference"/>
    <w:basedOn w:val="Carpredefinitoparagrafo"/>
    <w:uiPriority w:val="99"/>
    <w:semiHidden/>
    <w:unhideWhenUsed/>
    <w:rsid w:val="00971B51"/>
    <w:rPr>
      <w:vertAlign w:val="superscript"/>
    </w:rPr>
  </w:style>
  <w:style w:type="character" w:customStyle="1" w:styleId="TestofumettoCarattere">
    <w:name w:val="Testo fumetto Carattere"/>
    <w:basedOn w:val="Carpredefinitoparagrafo"/>
    <w:link w:val="Testofumetto"/>
    <w:uiPriority w:val="99"/>
    <w:semiHidden/>
    <w:rsid w:val="004C39C5"/>
    <w:rPr>
      <w:rFonts w:ascii="Tahoma" w:hAnsi="Tahoma" w:cs="Tahoma"/>
      <w:sz w:val="16"/>
      <w:szCs w:val="16"/>
    </w:rPr>
  </w:style>
  <w:style w:type="character" w:customStyle="1" w:styleId="TestocommentoCarattere">
    <w:name w:val="Testo commento Carattere"/>
    <w:basedOn w:val="Carpredefinitoparagrafo"/>
    <w:link w:val="Testocommento"/>
    <w:semiHidden/>
    <w:rsid w:val="00DC59F4"/>
    <w:rPr>
      <w:rFonts w:ascii="Arial" w:hAnsi="Arial" w:cs="Arial"/>
    </w:rPr>
  </w:style>
  <w:style w:type="paragraph" w:customStyle="1" w:styleId="ocali">
    <w:name w:val="ocali"/>
    <w:basedOn w:val="Testocommento"/>
    <w:qFormat/>
    <w:rsid w:val="009606D9"/>
  </w:style>
  <w:style w:type="paragraph" w:customStyle="1" w:styleId="Rientrocorpodeltesto31">
    <w:name w:val="Rientro corpo del testo 31"/>
    <w:basedOn w:val="Normale"/>
    <w:uiPriority w:val="99"/>
    <w:rsid w:val="00E27D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567"/>
      <w:jc w:val="both"/>
    </w:pPr>
    <w:rPr>
      <w:rFonts w:ascii="Times New Roman" w:hAnsi="Times New Roman" w:cs="Times New Roman"/>
      <w:spacing w:val="-3"/>
      <w:sz w:val="22"/>
      <w:lang w:eastAsia="ar-SA"/>
    </w:rPr>
  </w:style>
  <w:style w:type="character" w:customStyle="1" w:styleId="object3">
    <w:name w:val="object3"/>
    <w:basedOn w:val="Carpredefinitoparagrafo"/>
    <w:rsid w:val="007E5DF2"/>
  </w:style>
  <w:style w:type="character" w:customStyle="1" w:styleId="object4">
    <w:name w:val="object4"/>
    <w:basedOn w:val="Carpredefinitoparagrafo"/>
    <w:rsid w:val="000C276B"/>
  </w:style>
  <w:style w:type="character" w:customStyle="1" w:styleId="st1">
    <w:name w:val="st1"/>
    <w:basedOn w:val="Carpredefinitoparagrafo"/>
    <w:rsid w:val="007321BD"/>
  </w:style>
  <w:style w:type="character" w:customStyle="1" w:styleId="e24kjd">
    <w:name w:val="e24kjd"/>
    <w:basedOn w:val="Carpredefinitoparagrafo"/>
    <w:rsid w:val="00454FEE"/>
  </w:style>
  <w:style w:type="character" w:customStyle="1" w:styleId="y2iqfc">
    <w:name w:val="y2iqfc"/>
    <w:basedOn w:val="Carpredefinitoparagrafo"/>
    <w:rsid w:val="00802B72"/>
  </w:style>
  <w:style w:type="character" w:customStyle="1" w:styleId="object">
    <w:name w:val="object"/>
    <w:basedOn w:val="Carpredefinitoparagrafo"/>
    <w:rsid w:val="00F7450F"/>
  </w:style>
  <w:style w:type="character" w:styleId="Testosegnaposto">
    <w:name w:val="Placeholder Text"/>
    <w:basedOn w:val="Carpredefinitoparagrafo"/>
    <w:uiPriority w:val="99"/>
    <w:semiHidden/>
    <w:rsid w:val="00B24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107">
      <w:bodyDiv w:val="1"/>
      <w:marLeft w:val="0"/>
      <w:marRight w:val="0"/>
      <w:marTop w:val="0"/>
      <w:marBottom w:val="0"/>
      <w:divBdr>
        <w:top w:val="none" w:sz="0" w:space="0" w:color="auto"/>
        <w:left w:val="none" w:sz="0" w:space="0" w:color="auto"/>
        <w:bottom w:val="none" w:sz="0" w:space="0" w:color="auto"/>
        <w:right w:val="none" w:sz="0" w:space="0" w:color="auto"/>
      </w:divBdr>
    </w:div>
    <w:div w:id="13463304">
      <w:bodyDiv w:val="1"/>
      <w:marLeft w:val="0"/>
      <w:marRight w:val="0"/>
      <w:marTop w:val="0"/>
      <w:marBottom w:val="0"/>
      <w:divBdr>
        <w:top w:val="none" w:sz="0" w:space="0" w:color="auto"/>
        <w:left w:val="none" w:sz="0" w:space="0" w:color="auto"/>
        <w:bottom w:val="none" w:sz="0" w:space="0" w:color="auto"/>
        <w:right w:val="none" w:sz="0" w:space="0" w:color="auto"/>
      </w:divBdr>
    </w:div>
    <w:div w:id="68776317">
      <w:bodyDiv w:val="1"/>
      <w:marLeft w:val="0"/>
      <w:marRight w:val="0"/>
      <w:marTop w:val="0"/>
      <w:marBottom w:val="0"/>
      <w:divBdr>
        <w:top w:val="none" w:sz="0" w:space="0" w:color="auto"/>
        <w:left w:val="none" w:sz="0" w:space="0" w:color="auto"/>
        <w:bottom w:val="none" w:sz="0" w:space="0" w:color="auto"/>
        <w:right w:val="none" w:sz="0" w:space="0" w:color="auto"/>
      </w:divBdr>
      <w:divsChild>
        <w:div w:id="765541804">
          <w:marLeft w:val="0"/>
          <w:marRight w:val="0"/>
          <w:marTop w:val="0"/>
          <w:marBottom w:val="0"/>
          <w:divBdr>
            <w:top w:val="none" w:sz="0" w:space="0" w:color="auto"/>
            <w:left w:val="none" w:sz="0" w:space="0" w:color="auto"/>
            <w:bottom w:val="none" w:sz="0" w:space="0" w:color="auto"/>
            <w:right w:val="none" w:sz="0" w:space="0" w:color="auto"/>
          </w:divBdr>
          <w:divsChild>
            <w:div w:id="126628678">
              <w:marLeft w:val="0"/>
              <w:marRight w:val="0"/>
              <w:marTop w:val="0"/>
              <w:marBottom w:val="0"/>
              <w:divBdr>
                <w:top w:val="none" w:sz="0" w:space="0" w:color="auto"/>
                <w:left w:val="none" w:sz="0" w:space="0" w:color="auto"/>
                <w:bottom w:val="none" w:sz="0" w:space="0" w:color="auto"/>
                <w:right w:val="none" w:sz="0" w:space="0" w:color="auto"/>
              </w:divBdr>
              <w:divsChild>
                <w:div w:id="1941404043">
                  <w:marLeft w:val="0"/>
                  <w:marRight w:val="0"/>
                  <w:marTop w:val="0"/>
                  <w:marBottom w:val="0"/>
                  <w:divBdr>
                    <w:top w:val="none" w:sz="0" w:space="0" w:color="auto"/>
                    <w:left w:val="none" w:sz="0" w:space="0" w:color="auto"/>
                    <w:bottom w:val="none" w:sz="0" w:space="0" w:color="auto"/>
                    <w:right w:val="none" w:sz="0" w:space="0" w:color="auto"/>
                  </w:divBdr>
                  <w:divsChild>
                    <w:div w:id="905994730">
                      <w:marLeft w:val="0"/>
                      <w:marRight w:val="0"/>
                      <w:marTop w:val="0"/>
                      <w:marBottom w:val="0"/>
                      <w:divBdr>
                        <w:top w:val="none" w:sz="0" w:space="0" w:color="auto"/>
                        <w:left w:val="none" w:sz="0" w:space="0" w:color="auto"/>
                        <w:bottom w:val="none" w:sz="0" w:space="0" w:color="auto"/>
                        <w:right w:val="none" w:sz="0" w:space="0" w:color="auto"/>
                      </w:divBdr>
                      <w:divsChild>
                        <w:div w:id="1550919380">
                          <w:marLeft w:val="0"/>
                          <w:marRight w:val="0"/>
                          <w:marTop w:val="0"/>
                          <w:marBottom w:val="0"/>
                          <w:divBdr>
                            <w:top w:val="none" w:sz="0" w:space="0" w:color="auto"/>
                            <w:left w:val="none" w:sz="0" w:space="0" w:color="auto"/>
                            <w:bottom w:val="none" w:sz="0" w:space="0" w:color="auto"/>
                            <w:right w:val="none" w:sz="0" w:space="0" w:color="auto"/>
                          </w:divBdr>
                          <w:divsChild>
                            <w:div w:id="2000308752">
                              <w:marLeft w:val="0"/>
                              <w:marRight w:val="0"/>
                              <w:marTop w:val="0"/>
                              <w:marBottom w:val="0"/>
                              <w:divBdr>
                                <w:top w:val="none" w:sz="0" w:space="0" w:color="auto"/>
                                <w:left w:val="none" w:sz="0" w:space="0" w:color="auto"/>
                                <w:bottom w:val="none" w:sz="0" w:space="0" w:color="auto"/>
                                <w:right w:val="none" w:sz="0" w:space="0" w:color="auto"/>
                              </w:divBdr>
                              <w:divsChild>
                                <w:div w:id="1719865268">
                                  <w:marLeft w:val="0"/>
                                  <w:marRight w:val="0"/>
                                  <w:marTop w:val="0"/>
                                  <w:marBottom w:val="0"/>
                                  <w:divBdr>
                                    <w:top w:val="none" w:sz="0" w:space="0" w:color="auto"/>
                                    <w:left w:val="none" w:sz="0" w:space="0" w:color="auto"/>
                                    <w:bottom w:val="none" w:sz="0" w:space="0" w:color="auto"/>
                                    <w:right w:val="none" w:sz="0" w:space="0" w:color="auto"/>
                                  </w:divBdr>
                                  <w:divsChild>
                                    <w:div w:id="864100670">
                                      <w:marLeft w:val="0"/>
                                      <w:marRight w:val="0"/>
                                      <w:marTop w:val="0"/>
                                      <w:marBottom w:val="0"/>
                                      <w:divBdr>
                                        <w:top w:val="none" w:sz="0" w:space="0" w:color="auto"/>
                                        <w:left w:val="none" w:sz="0" w:space="0" w:color="auto"/>
                                        <w:bottom w:val="none" w:sz="0" w:space="0" w:color="auto"/>
                                        <w:right w:val="none" w:sz="0" w:space="0" w:color="auto"/>
                                      </w:divBdr>
                                      <w:divsChild>
                                        <w:div w:id="959146430">
                                          <w:marLeft w:val="0"/>
                                          <w:marRight w:val="0"/>
                                          <w:marTop w:val="0"/>
                                          <w:marBottom w:val="0"/>
                                          <w:divBdr>
                                            <w:top w:val="none" w:sz="0" w:space="0" w:color="auto"/>
                                            <w:left w:val="none" w:sz="0" w:space="0" w:color="auto"/>
                                            <w:bottom w:val="none" w:sz="0" w:space="0" w:color="auto"/>
                                            <w:right w:val="none" w:sz="0" w:space="0" w:color="auto"/>
                                          </w:divBdr>
                                          <w:divsChild>
                                            <w:div w:id="339242717">
                                              <w:marLeft w:val="0"/>
                                              <w:marRight w:val="0"/>
                                              <w:marTop w:val="0"/>
                                              <w:marBottom w:val="0"/>
                                              <w:divBdr>
                                                <w:top w:val="none" w:sz="0" w:space="0" w:color="auto"/>
                                                <w:left w:val="none" w:sz="0" w:space="0" w:color="auto"/>
                                                <w:bottom w:val="none" w:sz="0" w:space="0" w:color="auto"/>
                                                <w:right w:val="none" w:sz="0" w:space="0" w:color="auto"/>
                                              </w:divBdr>
                                              <w:divsChild>
                                                <w:div w:id="549077257">
                                                  <w:marLeft w:val="0"/>
                                                  <w:marRight w:val="0"/>
                                                  <w:marTop w:val="0"/>
                                                  <w:marBottom w:val="0"/>
                                                  <w:divBdr>
                                                    <w:top w:val="none" w:sz="0" w:space="0" w:color="auto"/>
                                                    <w:left w:val="none" w:sz="0" w:space="0" w:color="auto"/>
                                                    <w:bottom w:val="none" w:sz="0" w:space="0" w:color="auto"/>
                                                    <w:right w:val="none" w:sz="0" w:space="0" w:color="auto"/>
                                                  </w:divBdr>
                                                </w:div>
                                                <w:div w:id="391664200">
                                                  <w:marLeft w:val="0"/>
                                                  <w:marRight w:val="0"/>
                                                  <w:marTop w:val="0"/>
                                                  <w:marBottom w:val="0"/>
                                                  <w:divBdr>
                                                    <w:top w:val="none" w:sz="0" w:space="0" w:color="auto"/>
                                                    <w:left w:val="none" w:sz="0" w:space="0" w:color="auto"/>
                                                    <w:bottom w:val="none" w:sz="0" w:space="0" w:color="auto"/>
                                                    <w:right w:val="none" w:sz="0" w:space="0" w:color="auto"/>
                                                  </w:divBdr>
                                                </w:div>
                                                <w:div w:id="799500317">
                                                  <w:marLeft w:val="0"/>
                                                  <w:marRight w:val="0"/>
                                                  <w:marTop w:val="0"/>
                                                  <w:marBottom w:val="0"/>
                                                  <w:divBdr>
                                                    <w:top w:val="none" w:sz="0" w:space="0" w:color="auto"/>
                                                    <w:left w:val="none" w:sz="0" w:space="0" w:color="auto"/>
                                                    <w:bottom w:val="none" w:sz="0" w:space="0" w:color="auto"/>
                                                    <w:right w:val="none" w:sz="0" w:space="0" w:color="auto"/>
                                                  </w:divBdr>
                                                </w:div>
                                                <w:div w:id="1103961377">
                                                  <w:marLeft w:val="0"/>
                                                  <w:marRight w:val="0"/>
                                                  <w:marTop w:val="0"/>
                                                  <w:marBottom w:val="0"/>
                                                  <w:divBdr>
                                                    <w:top w:val="none" w:sz="0" w:space="0" w:color="auto"/>
                                                    <w:left w:val="none" w:sz="0" w:space="0" w:color="auto"/>
                                                    <w:bottom w:val="none" w:sz="0" w:space="0" w:color="auto"/>
                                                    <w:right w:val="none" w:sz="0" w:space="0" w:color="auto"/>
                                                  </w:divBdr>
                                                </w:div>
                                                <w:div w:id="319820364">
                                                  <w:marLeft w:val="0"/>
                                                  <w:marRight w:val="0"/>
                                                  <w:marTop w:val="0"/>
                                                  <w:marBottom w:val="0"/>
                                                  <w:divBdr>
                                                    <w:top w:val="none" w:sz="0" w:space="0" w:color="auto"/>
                                                    <w:left w:val="none" w:sz="0" w:space="0" w:color="auto"/>
                                                    <w:bottom w:val="none" w:sz="0" w:space="0" w:color="auto"/>
                                                    <w:right w:val="none" w:sz="0" w:space="0" w:color="auto"/>
                                                  </w:divBdr>
                                                </w:div>
                                                <w:div w:id="1692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21163">
      <w:bodyDiv w:val="1"/>
      <w:marLeft w:val="0"/>
      <w:marRight w:val="0"/>
      <w:marTop w:val="0"/>
      <w:marBottom w:val="0"/>
      <w:divBdr>
        <w:top w:val="none" w:sz="0" w:space="0" w:color="auto"/>
        <w:left w:val="none" w:sz="0" w:space="0" w:color="auto"/>
        <w:bottom w:val="none" w:sz="0" w:space="0" w:color="auto"/>
        <w:right w:val="none" w:sz="0" w:space="0" w:color="auto"/>
      </w:divBdr>
    </w:div>
    <w:div w:id="80833285">
      <w:bodyDiv w:val="1"/>
      <w:marLeft w:val="0"/>
      <w:marRight w:val="0"/>
      <w:marTop w:val="0"/>
      <w:marBottom w:val="0"/>
      <w:divBdr>
        <w:top w:val="none" w:sz="0" w:space="0" w:color="auto"/>
        <w:left w:val="none" w:sz="0" w:space="0" w:color="auto"/>
        <w:bottom w:val="none" w:sz="0" w:space="0" w:color="auto"/>
        <w:right w:val="none" w:sz="0" w:space="0" w:color="auto"/>
      </w:divBdr>
    </w:div>
    <w:div w:id="88430794">
      <w:bodyDiv w:val="1"/>
      <w:marLeft w:val="0"/>
      <w:marRight w:val="0"/>
      <w:marTop w:val="0"/>
      <w:marBottom w:val="0"/>
      <w:divBdr>
        <w:top w:val="none" w:sz="0" w:space="0" w:color="auto"/>
        <w:left w:val="none" w:sz="0" w:space="0" w:color="auto"/>
        <w:bottom w:val="none" w:sz="0" w:space="0" w:color="auto"/>
        <w:right w:val="none" w:sz="0" w:space="0" w:color="auto"/>
      </w:divBdr>
    </w:div>
    <w:div w:id="101263586">
      <w:bodyDiv w:val="1"/>
      <w:marLeft w:val="0"/>
      <w:marRight w:val="0"/>
      <w:marTop w:val="0"/>
      <w:marBottom w:val="0"/>
      <w:divBdr>
        <w:top w:val="none" w:sz="0" w:space="0" w:color="auto"/>
        <w:left w:val="none" w:sz="0" w:space="0" w:color="auto"/>
        <w:bottom w:val="none" w:sz="0" w:space="0" w:color="auto"/>
        <w:right w:val="none" w:sz="0" w:space="0" w:color="auto"/>
      </w:divBdr>
    </w:div>
    <w:div w:id="122357460">
      <w:bodyDiv w:val="1"/>
      <w:marLeft w:val="0"/>
      <w:marRight w:val="0"/>
      <w:marTop w:val="0"/>
      <w:marBottom w:val="0"/>
      <w:divBdr>
        <w:top w:val="none" w:sz="0" w:space="0" w:color="auto"/>
        <w:left w:val="none" w:sz="0" w:space="0" w:color="auto"/>
        <w:bottom w:val="none" w:sz="0" w:space="0" w:color="auto"/>
        <w:right w:val="none" w:sz="0" w:space="0" w:color="auto"/>
      </w:divBdr>
    </w:div>
    <w:div w:id="128286054">
      <w:bodyDiv w:val="1"/>
      <w:marLeft w:val="0"/>
      <w:marRight w:val="0"/>
      <w:marTop w:val="0"/>
      <w:marBottom w:val="0"/>
      <w:divBdr>
        <w:top w:val="none" w:sz="0" w:space="0" w:color="auto"/>
        <w:left w:val="none" w:sz="0" w:space="0" w:color="auto"/>
        <w:bottom w:val="none" w:sz="0" w:space="0" w:color="auto"/>
        <w:right w:val="none" w:sz="0" w:space="0" w:color="auto"/>
      </w:divBdr>
    </w:div>
    <w:div w:id="146939677">
      <w:bodyDiv w:val="1"/>
      <w:marLeft w:val="0"/>
      <w:marRight w:val="0"/>
      <w:marTop w:val="0"/>
      <w:marBottom w:val="0"/>
      <w:divBdr>
        <w:top w:val="none" w:sz="0" w:space="0" w:color="auto"/>
        <w:left w:val="none" w:sz="0" w:space="0" w:color="auto"/>
        <w:bottom w:val="none" w:sz="0" w:space="0" w:color="auto"/>
        <w:right w:val="none" w:sz="0" w:space="0" w:color="auto"/>
      </w:divBdr>
    </w:div>
    <w:div w:id="150340479">
      <w:bodyDiv w:val="1"/>
      <w:marLeft w:val="0"/>
      <w:marRight w:val="0"/>
      <w:marTop w:val="0"/>
      <w:marBottom w:val="0"/>
      <w:divBdr>
        <w:top w:val="none" w:sz="0" w:space="0" w:color="auto"/>
        <w:left w:val="none" w:sz="0" w:space="0" w:color="auto"/>
        <w:bottom w:val="none" w:sz="0" w:space="0" w:color="auto"/>
        <w:right w:val="none" w:sz="0" w:space="0" w:color="auto"/>
      </w:divBdr>
    </w:div>
    <w:div w:id="180319007">
      <w:bodyDiv w:val="1"/>
      <w:marLeft w:val="0"/>
      <w:marRight w:val="0"/>
      <w:marTop w:val="0"/>
      <w:marBottom w:val="0"/>
      <w:divBdr>
        <w:top w:val="none" w:sz="0" w:space="0" w:color="auto"/>
        <w:left w:val="none" w:sz="0" w:space="0" w:color="auto"/>
        <w:bottom w:val="none" w:sz="0" w:space="0" w:color="auto"/>
        <w:right w:val="none" w:sz="0" w:space="0" w:color="auto"/>
      </w:divBdr>
    </w:div>
    <w:div w:id="188833161">
      <w:bodyDiv w:val="1"/>
      <w:marLeft w:val="0"/>
      <w:marRight w:val="0"/>
      <w:marTop w:val="0"/>
      <w:marBottom w:val="0"/>
      <w:divBdr>
        <w:top w:val="none" w:sz="0" w:space="0" w:color="auto"/>
        <w:left w:val="none" w:sz="0" w:space="0" w:color="auto"/>
        <w:bottom w:val="none" w:sz="0" w:space="0" w:color="auto"/>
        <w:right w:val="none" w:sz="0" w:space="0" w:color="auto"/>
      </w:divBdr>
    </w:div>
    <w:div w:id="204299516">
      <w:bodyDiv w:val="1"/>
      <w:marLeft w:val="0"/>
      <w:marRight w:val="0"/>
      <w:marTop w:val="0"/>
      <w:marBottom w:val="0"/>
      <w:divBdr>
        <w:top w:val="none" w:sz="0" w:space="0" w:color="auto"/>
        <w:left w:val="none" w:sz="0" w:space="0" w:color="auto"/>
        <w:bottom w:val="none" w:sz="0" w:space="0" w:color="auto"/>
        <w:right w:val="none" w:sz="0" w:space="0" w:color="auto"/>
      </w:divBdr>
      <w:divsChild>
        <w:div w:id="1029376157">
          <w:marLeft w:val="0"/>
          <w:marRight w:val="0"/>
          <w:marTop w:val="0"/>
          <w:marBottom w:val="0"/>
          <w:divBdr>
            <w:top w:val="none" w:sz="0" w:space="0" w:color="auto"/>
            <w:left w:val="none" w:sz="0" w:space="0" w:color="auto"/>
            <w:bottom w:val="none" w:sz="0" w:space="0" w:color="auto"/>
            <w:right w:val="none" w:sz="0" w:space="0" w:color="auto"/>
          </w:divBdr>
          <w:divsChild>
            <w:div w:id="1813448429">
              <w:marLeft w:val="0"/>
              <w:marRight w:val="0"/>
              <w:marTop w:val="0"/>
              <w:marBottom w:val="0"/>
              <w:divBdr>
                <w:top w:val="none" w:sz="0" w:space="0" w:color="auto"/>
                <w:left w:val="none" w:sz="0" w:space="0" w:color="auto"/>
                <w:bottom w:val="none" w:sz="0" w:space="0" w:color="auto"/>
                <w:right w:val="none" w:sz="0" w:space="0" w:color="auto"/>
              </w:divBdr>
              <w:divsChild>
                <w:div w:id="74667447">
                  <w:marLeft w:val="0"/>
                  <w:marRight w:val="0"/>
                  <w:marTop w:val="0"/>
                  <w:marBottom w:val="0"/>
                  <w:divBdr>
                    <w:top w:val="none" w:sz="0" w:space="0" w:color="auto"/>
                    <w:left w:val="none" w:sz="0" w:space="0" w:color="auto"/>
                    <w:bottom w:val="none" w:sz="0" w:space="0" w:color="auto"/>
                    <w:right w:val="none" w:sz="0" w:space="0" w:color="auto"/>
                  </w:divBdr>
                  <w:divsChild>
                    <w:div w:id="1983610015">
                      <w:marLeft w:val="0"/>
                      <w:marRight w:val="0"/>
                      <w:marTop w:val="0"/>
                      <w:marBottom w:val="0"/>
                      <w:divBdr>
                        <w:top w:val="none" w:sz="0" w:space="0" w:color="auto"/>
                        <w:left w:val="none" w:sz="0" w:space="0" w:color="auto"/>
                        <w:bottom w:val="none" w:sz="0" w:space="0" w:color="auto"/>
                        <w:right w:val="none" w:sz="0" w:space="0" w:color="auto"/>
                      </w:divBdr>
                      <w:divsChild>
                        <w:div w:id="1338462800">
                          <w:marLeft w:val="0"/>
                          <w:marRight w:val="0"/>
                          <w:marTop w:val="0"/>
                          <w:marBottom w:val="0"/>
                          <w:divBdr>
                            <w:top w:val="none" w:sz="0" w:space="0" w:color="auto"/>
                            <w:left w:val="none" w:sz="0" w:space="0" w:color="auto"/>
                            <w:bottom w:val="none" w:sz="0" w:space="0" w:color="auto"/>
                            <w:right w:val="none" w:sz="0" w:space="0" w:color="auto"/>
                          </w:divBdr>
                          <w:divsChild>
                            <w:div w:id="385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2405">
      <w:bodyDiv w:val="1"/>
      <w:marLeft w:val="0"/>
      <w:marRight w:val="0"/>
      <w:marTop w:val="0"/>
      <w:marBottom w:val="0"/>
      <w:divBdr>
        <w:top w:val="none" w:sz="0" w:space="0" w:color="auto"/>
        <w:left w:val="none" w:sz="0" w:space="0" w:color="auto"/>
        <w:bottom w:val="none" w:sz="0" w:space="0" w:color="auto"/>
        <w:right w:val="none" w:sz="0" w:space="0" w:color="auto"/>
      </w:divBdr>
      <w:divsChild>
        <w:div w:id="1720935031">
          <w:marLeft w:val="0"/>
          <w:marRight w:val="0"/>
          <w:marTop w:val="0"/>
          <w:marBottom w:val="0"/>
          <w:divBdr>
            <w:top w:val="none" w:sz="0" w:space="0" w:color="auto"/>
            <w:left w:val="none" w:sz="0" w:space="0" w:color="auto"/>
            <w:bottom w:val="none" w:sz="0" w:space="0" w:color="auto"/>
            <w:right w:val="none" w:sz="0" w:space="0" w:color="auto"/>
          </w:divBdr>
          <w:divsChild>
            <w:div w:id="51973604">
              <w:marLeft w:val="0"/>
              <w:marRight w:val="0"/>
              <w:marTop w:val="0"/>
              <w:marBottom w:val="0"/>
              <w:divBdr>
                <w:top w:val="none" w:sz="0" w:space="0" w:color="auto"/>
                <w:left w:val="none" w:sz="0" w:space="0" w:color="auto"/>
                <w:bottom w:val="none" w:sz="0" w:space="0" w:color="auto"/>
                <w:right w:val="none" w:sz="0" w:space="0" w:color="auto"/>
              </w:divBdr>
              <w:divsChild>
                <w:div w:id="1148787140">
                  <w:marLeft w:val="-120"/>
                  <w:marRight w:val="-120"/>
                  <w:marTop w:val="0"/>
                  <w:marBottom w:val="0"/>
                  <w:divBdr>
                    <w:top w:val="none" w:sz="0" w:space="0" w:color="auto"/>
                    <w:left w:val="none" w:sz="0" w:space="0" w:color="auto"/>
                    <w:bottom w:val="none" w:sz="0" w:space="0" w:color="auto"/>
                    <w:right w:val="none" w:sz="0" w:space="0" w:color="auto"/>
                  </w:divBdr>
                  <w:divsChild>
                    <w:div w:id="343628051">
                      <w:marLeft w:val="0"/>
                      <w:marRight w:val="0"/>
                      <w:marTop w:val="0"/>
                      <w:marBottom w:val="0"/>
                      <w:divBdr>
                        <w:top w:val="none" w:sz="0" w:space="0" w:color="auto"/>
                        <w:left w:val="none" w:sz="0" w:space="0" w:color="auto"/>
                        <w:bottom w:val="none" w:sz="0" w:space="0" w:color="auto"/>
                        <w:right w:val="none" w:sz="0" w:space="0" w:color="auto"/>
                      </w:divBdr>
                      <w:divsChild>
                        <w:div w:id="9843719">
                          <w:marLeft w:val="0"/>
                          <w:marRight w:val="0"/>
                          <w:marTop w:val="0"/>
                          <w:marBottom w:val="0"/>
                          <w:divBdr>
                            <w:top w:val="none" w:sz="0" w:space="0" w:color="auto"/>
                            <w:left w:val="none" w:sz="0" w:space="0" w:color="auto"/>
                            <w:bottom w:val="none" w:sz="0" w:space="0" w:color="auto"/>
                            <w:right w:val="none" w:sz="0" w:space="0" w:color="auto"/>
                          </w:divBdr>
                          <w:divsChild>
                            <w:div w:id="665550129">
                              <w:marLeft w:val="0"/>
                              <w:marRight w:val="0"/>
                              <w:marTop w:val="0"/>
                              <w:marBottom w:val="0"/>
                              <w:divBdr>
                                <w:top w:val="none" w:sz="0" w:space="0" w:color="auto"/>
                                <w:left w:val="none" w:sz="0" w:space="0" w:color="auto"/>
                                <w:bottom w:val="none" w:sz="0" w:space="0" w:color="auto"/>
                                <w:right w:val="none" w:sz="0" w:space="0" w:color="auto"/>
                              </w:divBdr>
                              <w:divsChild>
                                <w:div w:id="2109887114">
                                  <w:marLeft w:val="0"/>
                                  <w:marRight w:val="0"/>
                                  <w:marTop w:val="0"/>
                                  <w:marBottom w:val="0"/>
                                  <w:divBdr>
                                    <w:top w:val="none" w:sz="0" w:space="0" w:color="auto"/>
                                    <w:left w:val="none" w:sz="0" w:space="0" w:color="auto"/>
                                    <w:bottom w:val="none" w:sz="0" w:space="0" w:color="auto"/>
                                    <w:right w:val="none" w:sz="0" w:space="0" w:color="auto"/>
                                  </w:divBdr>
                                  <w:divsChild>
                                    <w:div w:id="1010983926">
                                      <w:marLeft w:val="0"/>
                                      <w:marRight w:val="0"/>
                                      <w:marTop w:val="0"/>
                                      <w:marBottom w:val="0"/>
                                      <w:divBdr>
                                        <w:top w:val="none" w:sz="0" w:space="0" w:color="auto"/>
                                        <w:left w:val="none" w:sz="0" w:space="0" w:color="auto"/>
                                        <w:bottom w:val="none" w:sz="0" w:space="0" w:color="auto"/>
                                        <w:right w:val="none" w:sz="0" w:space="0" w:color="auto"/>
                                      </w:divBdr>
                                      <w:divsChild>
                                        <w:div w:id="16677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909966">
      <w:bodyDiv w:val="1"/>
      <w:marLeft w:val="0"/>
      <w:marRight w:val="0"/>
      <w:marTop w:val="0"/>
      <w:marBottom w:val="0"/>
      <w:divBdr>
        <w:top w:val="none" w:sz="0" w:space="0" w:color="auto"/>
        <w:left w:val="none" w:sz="0" w:space="0" w:color="auto"/>
        <w:bottom w:val="none" w:sz="0" w:space="0" w:color="auto"/>
        <w:right w:val="none" w:sz="0" w:space="0" w:color="auto"/>
      </w:divBdr>
      <w:divsChild>
        <w:div w:id="64497477">
          <w:marLeft w:val="0"/>
          <w:marRight w:val="0"/>
          <w:marTop w:val="0"/>
          <w:marBottom w:val="0"/>
          <w:divBdr>
            <w:top w:val="none" w:sz="0" w:space="0" w:color="auto"/>
            <w:left w:val="none" w:sz="0" w:space="0" w:color="auto"/>
            <w:bottom w:val="none" w:sz="0" w:space="0" w:color="auto"/>
            <w:right w:val="none" w:sz="0" w:space="0" w:color="auto"/>
          </w:divBdr>
          <w:divsChild>
            <w:div w:id="16690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3260">
      <w:bodyDiv w:val="1"/>
      <w:marLeft w:val="0"/>
      <w:marRight w:val="0"/>
      <w:marTop w:val="975"/>
      <w:marBottom w:val="0"/>
      <w:divBdr>
        <w:top w:val="none" w:sz="0" w:space="0" w:color="auto"/>
        <w:left w:val="none" w:sz="0" w:space="0" w:color="auto"/>
        <w:bottom w:val="none" w:sz="0" w:space="0" w:color="auto"/>
        <w:right w:val="none" w:sz="0" w:space="0" w:color="auto"/>
      </w:divBdr>
      <w:divsChild>
        <w:div w:id="101728891">
          <w:marLeft w:val="0"/>
          <w:marRight w:val="0"/>
          <w:marTop w:val="0"/>
          <w:marBottom w:val="0"/>
          <w:divBdr>
            <w:top w:val="none" w:sz="0" w:space="0" w:color="auto"/>
            <w:left w:val="none" w:sz="0" w:space="0" w:color="auto"/>
            <w:bottom w:val="none" w:sz="0" w:space="0" w:color="auto"/>
            <w:right w:val="none" w:sz="0" w:space="0" w:color="auto"/>
          </w:divBdr>
          <w:divsChild>
            <w:div w:id="1450201391">
              <w:marLeft w:val="0"/>
              <w:marRight w:val="0"/>
              <w:marTop w:val="0"/>
              <w:marBottom w:val="0"/>
              <w:divBdr>
                <w:top w:val="none" w:sz="0" w:space="0" w:color="auto"/>
                <w:left w:val="none" w:sz="0" w:space="0" w:color="auto"/>
                <w:bottom w:val="none" w:sz="0" w:space="0" w:color="auto"/>
                <w:right w:val="none" w:sz="0" w:space="0" w:color="auto"/>
              </w:divBdr>
              <w:divsChild>
                <w:div w:id="71514512">
                  <w:marLeft w:val="0"/>
                  <w:marRight w:val="0"/>
                  <w:marTop w:val="0"/>
                  <w:marBottom w:val="0"/>
                  <w:divBdr>
                    <w:top w:val="none" w:sz="0" w:space="0" w:color="auto"/>
                    <w:left w:val="none" w:sz="0" w:space="0" w:color="auto"/>
                    <w:bottom w:val="none" w:sz="0" w:space="0" w:color="auto"/>
                    <w:right w:val="none" w:sz="0" w:space="0" w:color="auto"/>
                  </w:divBdr>
                  <w:divsChild>
                    <w:div w:id="14531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8353">
      <w:bodyDiv w:val="1"/>
      <w:marLeft w:val="0"/>
      <w:marRight w:val="0"/>
      <w:marTop w:val="0"/>
      <w:marBottom w:val="0"/>
      <w:divBdr>
        <w:top w:val="none" w:sz="0" w:space="0" w:color="auto"/>
        <w:left w:val="none" w:sz="0" w:space="0" w:color="auto"/>
        <w:bottom w:val="none" w:sz="0" w:space="0" w:color="auto"/>
        <w:right w:val="none" w:sz="0" w:space="0" w:color="auto"/>
      </w:divBdr>
    </w:div>
    <w:div w:id="319118366">
      <w:bodyDiv w:val="1"/>
      <w:marLeft w:val="0"/>
      <w:marRight w:val="0"/>
      <w:marTop w:val="0"/>
      <w:marBottom w:val="0"/>
      <w:divBdr>
        <w:top w:val="none" w:sz="0" w:space="0" w:color="auto"/>
        <w:left w:val="none" w:sz="0" w:space="0" w:color="auto"/>
        <w:bottom w:val="none" w:sz="0" w:space="0" w:color="auto"/>
        <w:right w:val="none" w:sz="0" w:space="0" w:color="auto"/>
      </w:divBdr>
    </w:div>
    <w:div w:id="340590663">
      <w:bodyDiv w:val="1"/>
      <w:marLeft w:val="0"/>
      <w:marRight w:val="0"/>
      <w:marTop w:val="0"/>
      <w:marBottom w:val="0"/>
      <w:divBdr>
        <w:top w:val="none" w:sz="0" w:space="0" w:color="auto"/>
        <w:left w:val="none" w:sz="0" w:space="0" w:color="auto"/>
        <w:bottom w:val="none" w:sz="0" w:space="0" w:color="auto"/>
        <w:right w:val="none" w:sz="0" w:space="0" w:color="auto"/>
      </w:divBdr>
    </w:div>
    <w:div w:id="354499836">
      <w:bodyDiv w:val="1"/>
      <w:marLeft w:val="0"/>
      <w:marRight w:val="0"/>
      <w:marTop w:val="0"/>
      <w:marBottom w:val="0"/>
      <w:divBdr>
        <w:top w:val="none" w:sz="0" w:space="0" w:color="auto"/>
        <w:left w:val="none" w:sz="0" w:space="0" w:color="auto"/>
        <w:bottom w:val="none" w:sz="0" w:space="0" w:color="auto"/>
        <w:right w:val="none" w:sz="0" w:space="0" w:color="auto"/>
      </w:divBdr>
    </w:div>
    <w:div w:id="364986495">
      <w:bodyDiv w:val="1"/>
      <w:marLeft w:val="0"/>
      <w:marRight w:val="0"/>
      <w:marTop w:val="0"/>
      <w:marBottom w:val="0"/>
      <w:divBdr>
        <w:top w:val="none" w:sz="0" w:space="0" w:color="auto"/>
        <w:left w:val="none" w:sz="0" w:space="0" w:color="auto"/>
        <w:bottom w:val="none" w:sz="0" w:space="0" w:color="auto"/>
        <w:right w:val="none" w:sz="0" w:space="0" w:color="auto"/>
      </w:divBdr>
    </w:div>
    <w:div w:id="367950455">
      <w:bodyDiv w:val="1"/>
      <w:marLeft w:val="0"/>
      <w:marRight w:val="0"/>
      <w:marTop w:val="0"/>
      <w:marBottom w:val="0"/>
      <w:divBdr>
        <w:top w:val="none" w:sz="0" w:space="0" w:color="auto"/>
        <w:left w:val="none" w:sz="0" w:space="0" w:color="auto"/>
        <w:bottom w:val="none" w:sz="0" w:space="0" w:color="auto"/>
        <w:right w:val="none" w:sz="0" w:space="0" w:color="auto"/>
      </w:divBdr>
    </w:div>
    <w:div w:id="393546792">
      <w:bodyDiv w:val="1"/>
      <w:marLeft w:val="0"/>
      <w:marRight w:val="0"/>
      <w:marTop w:val="0"/>
      <w:marBottom w:val="0"/>
      <w:divBdr>
        <w:top w:val="none" w:sz="0" w:space="0" w:color="auto"/>
        <w:left w:val="none" w:sz="0" w:space="0" w:color="auto"/>
        <w:bottom w:val="none" w:sz="0" w:space="0" w:color="auto"/>
        <w:right w:val="none" w:sz="0" w:space="0" w:color="auto"/>
      </w:divBdr>
    </w:div>
    <w:div w:id="404108615">
      <w:bodyDiv w:val="1"/>
      <w:marLeft w:val="0"/>
      <w:marRight w:val="0"/>
      <w:marTop w:val="0"/>
      <w:marBottom w:val="0"/>
      <w:divBdr>
        <w:top w:val="none" w:sz="0" w:space="0" w:color="auto"/>
        <w:left w:val="none" w:sz="0" w:space="0" w:color="auto"/>
        <w:bottom w:val="none" w:sz="0" w:space="0" w:color="auto"/>
        <w:right w:val="none" w:sz="0" w:space="0" w:color="auto"/>
      </w:divBdr>
    </w:div>
    <w:div w:id="427848878">
      <w:bodyDiv w:val="1"/>
      <w:marLeft w:val="0"/>
      <w:marRight w:val="0"/>
      <w:marTop w:val="0"/>
      <w:marBottom w:val="0"/>
      <w:divBdr>
        <w:top w:val="none" w:sz="0" w:space="0" w:color="auto"/>
        <w:left w:val="none" w:sz="0" w:space="0" w:color="auto"/>
        <w:bottom w:val="none" w:sz="0" w:space="0" w:color="auto"/>
        <w:right w:val="none" w:sz="0" w:space="0" w:color="auto"/>
      </w:divBdr>
    </w:div>
    <w:div w:id="447359894">
      <w:bodyDiv w:val="1"/>
      <w:marLeft w:val="0"/>
      <w:marRight w:val="0"/>
      <w:marTop w:val="0"/>
      <w:marBottom w:val="0"/>
      <w:divBdr>
        <w:top w:val="none" w:sz="0" w:space="0" w:color="auto"/>
        <w:left w:val="none" w:sz="0" w:space="0" w:color="auto"/>
        <w:bottom w:val="none" w:sz="0" w:space="0" w:color="auto"/>
        <w:right w:val="none" w:sz="0" w:space="0" w:color="auto"/>
      </w:divBdr>
    </w:div>
    <w:div w:id="472069058">
      <w:bodyDiv w:val="1"/>
      <w:marLeft w:val="0"/>
      <w:marRight w:val="0"/>
      <w:marTop w:val="0"/>
      <w:marBottom w:val="0"/>
      <w:divBdr>
        <w:top w:val="none" w:sz="0" w:space="0" w:color="auto"/>
        <w:left w:val="none" w:sz="0" w:space="0" w:color="auto"/>
        <w:bottom w:val="none" w:sz="0" w:space="0" w:color="auto"/>
        <w:right w:val="none" w:sz="0" w:space="0" w:color="auto"/>
      </w:divBdr>
    </w:div>
    <w:div w:id="490491006">
      <w:bodyDiv w:val="1"/>
      <w:marLeft w:val="0"/>
      <w:marRight w:val="0"/>
      <w:marTop w:val="0"/>
      <w:marBottom w:val="0"/>
      <w:divBdr>
        <w:top w:val="none" w:sz="0" w:space="0" w:color="auto"/>
        <w:left w:val="none" w:sz="0" w:space="0" w:color="auto"/>
        <w:bottom w:val="none" w:sz="0" w:space="0" w:color="auto"/>
        <w:right w:val="none" w:sz="0" w:space="0" w:color="auto"/>
      </w:divBdr>
    </w:div>
    <w:div w:id="505946354">
      <w:bodyDiv w:val="1"/>
      <w:marLeft w:val="0"/>
      <w:marRight w:val="0"/>
      <w:marTop w:val="0"/>
      <w:marBottom w:val="0"/>
      <w:divBdr>
        <w:top w:val="none" w:sz="0" w:space="0" w:color="auto"/>
        <w:left w:val="none" w:sz="0" w:space="0" w:color="auto"/>
        <w:bottom w:val="none" w:sz="0" w:space="0" w:color="auto"/>
        <w:right w:val="none" w:sz="0" w:space="0" w:color="auto"/>
      </w:divBdr>
    </w:div>
    <w:div w:id="519592642">
      <w:bodyDiv w:val="1"/>
      <w:marLeft w:val="0"/>
      <w:marRight w:val="0"/>
      <w:marTop w:val="0"/>
      <w:marBottom w:val="0"/>
      <w:divBdr>
        <w:top w:val="none" w:sz="0" w:space="0" w:color="auto"/>
        <w:left w:val="none" w:sz="0" w:space="0" w:color="auto"/>
        <w:bottom w:val="none" w:sz="0" w:space="0" w:color="auto"/>
        <w:right w:val="none" w:sz="0" w:space="0" w:color="auto"/>
      </w:divBdr>
    </w:div>
    <w:div w:id="531694973">
      <w:bodyDiv w:val="1"/>
      <w:marLeft w:val="0"/>
      <w:marRight w:val="0"/>
      <w:marTop w:val="0"/>
      <w:marBottom w:val="0"/>
      <w:divBdr>
        <w:top w:val="none" w:sz="0" w:space="0" w:color="auto"/>
        <w:left w:val="none" w:sz="0" w:space="0" w:color="auto"/>
        <w:bottom w:val="none" w:sz="0" w:space="0" w:color="auto"/>
        <w:right w:val="none" w:sz="0" w:space="0" w:color="auto"/>
      </w:divBdr>
      <w:divsChild>
        <w:div w:id="112330309">
          <w:marLeft w:val="0"/>
          <w:marRight w:val="0"/>
          <w:marTop w:val="0"/>
          <w:marBottom w:val="0"/>
          <w:divBdr>
            <w:top w:val="none" w:sz="0" w:space="0" w:color="auto"/>
            <w:left w:val="none" w:sz="0" w:space="0" w:color="auto"/>
            <w:bottom w:val="none" w:sz="0" w:space="0" w:color="auto"/>
            <w:right w:val="none" w:sz="0" w:space="0" w:color="auto"/>
          </w:divBdr>
          <w:divsChild>
            <w:div w:id="1019508971">
              <w:marLeft w:val="0"/>
              <w:marRight w:val="0"/>
              <w:marTop w:val="0"/>
              <w:marBottom w:val="0"/>
              <w:divBdr>
                <w:top w:val="none" w:sz="0" w:space="0" w:color="auto"/>
                <w:left w:val="none" w:sz="0" w:space="0" w:color="auto"/>
                <w:bottom w:val="none" w:sz="0" w:space="0" w:color="auto"/>
                <w:right w:val="none" w:sz="0" w:space="0" w:color="auto"/>
              </w:divBdr>
              <w:divsChild>
                <w:div w:id="1519199359">
                  <w:marLeft w:val="0"/>
                  <w:marRight w:val="0"/>
                  <w:marTop w:val="0"/>
                  <w:marBottom w:val="0"/>
                  <w:divBdr>
                    <w:top w:val="none" w:sz="0" w:space="0" w:color="auto"/>
                    <w:left w:val="none" w:sz="0" w:space="0" w:color="auto"/>
                    <w:bottom w:val="none" w:sz="0" w:space="0" w:color="auto"/>
                    <w:right w:val="none" w:sz="0" w:space="0" w:color="auto"/>
                  </w:divBdr>
                  <w:divsChild>
                    <w:div w:id="492599340">
                      <w:marLeft w:val="0"/>
                      <w:marRight w:val="0"/>
                      <w:marTop w:val="0"/>
                      <w:marBottom w:val="0"/>
                      <w:divBdr>
                        <w:top w:val="none" w:sz="0" w:space="0" w:color="auto"/>
                        <w:left w:val="none" w:sz="0" w:space="0" w:color="auto"/>
                        <w:bottom w:val="none" w:sz="0" w:space="0" w:color="auto"/>
                        <w:right w:val="none" w:sz="0" w:space="0" w:color="auto"/>
                      </w:divBdr>
                      <w:divsChild>
                        <w:div w:id="109476403">
                          <w:marLeft w:val="0"/>
                          <w:marRight w:val="0"/>
                          <w:marTop w:val="0"/>
                          <w:marBottom w:val="0"/>
                          <w:divBdr>
                            <w:top w:val="none" w:sz="0" w:space="0" w:color="auto"/>
                            <w:left w:val="none" w:sz="0" w:space="0" w:color="auto"/>
                            <w:bottom w:val="none" w:sz="0" w:space="0" w:color="auto"/>
                            <w:right w:val="none" w:sz="0" w:space="0" w:color="auto"/>
                          </w:divBdr>
                          <w:divsChild>
                            <w:div w:id="1231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8116">
      <w:bodyDiv w:val="1"/>
      <w:marLeft w:val="0"/>
      <w:marRight w:val="0"/>
      <w:marTop w:val="0"/>
      <w:marBottom w:val="0"/>
      <w:divBdr>
        <w:top w:val="none" w:sz="0" w:space="0" w:color="auto"/>
        <w:left w:val="none" w:sz="0" w:space="0" w:color="auto"/>
        <w:bottom w:val="none" w:sz="0" w:space="0" w:color="auto"/>
        <w:right w:val="none" w:sz="0" w:space="0" w:color="auto"/>
      </w:divBdr>
    </w:div>
    <w:div w:id="543905643">
      <w:bodyDiv w:val="1"/>
      <w:marLeft w:val="0"/>
      <w:marRight w:val="0"/>
      <w:marTop w:val="0"/>
      <w:marBottom w:val="0"/>
      <w:divBdr>
        <w:top w:val="none" w:sz="0" w:space="0" w:color="auto"/>
        <w:left w:val="none" w:sz="0" w:space="0" w:color="auto"/>
        <w:bottom w:val="none" w:sz="0" w:space="0" w:color="auto"/>
        <w:right w:val="none" w:sz="0" w:space="0" w:color="auto"/>
      </w:divBdr>
    </w:div>
    <w:div w:id="560561731">
      <w:bodyDiv w:val="1"/>
      <w:marLeft w:val="0"/>
      <w:marRight w:val="0"/>
      <w:marTop w:val="0"/>
      <w:marBottom w:val="0"/>
      <w:divBdr>
        <w:top w:val="none" w:sz="0" w:space="0" w:color="auto"/>
        <w:left w:val="none" w:sz="0" w:space="0" w:color="auto"/>
        <w:bottom w:val="none" w:sz="0" w:space="0" w:color="auto"/>
        <w:right w:val="none" w:sz="0" w:space="0" w:color="auto"/>
      </w:divBdr>
    </w:div>
    <w:div w:id="563763560">
      <w:bodyDiv w:val="1"/>
      <w:marLeft w:val="0"/>
      <w:marRight w:val="0"/>
      <w:marTop w:val="0"/>
      <w:marBottom w:val="0"/>
      <w:divBdr>
        <w:top w:val="none" w:sz="0" w:space="0" w:color="auto"/>
        <w:left w:val="none" w:sz="0" w:space="0" w:color="auto"/>
        <w:bottom w:val="none" w:sz="0" w:space="0" w:color="auto"/>
        <w:right w:val="none" w:sz="0" w:space="0" w:color="auto"/>
      </w:divBdr>
    </w:div>
    <w:div w:id="581648714">
      <w:bodyDiv w:val="1"/>
      <w:marLeft w:val="0"/>
      <w:marRight w:val="0"/>
      <w:marTop w:val="0"/>
      <w:marBottom w:val="0"/>
      <w:divBdr>
        <w:top w:val="none" w:sz="0" w:space="0" w:color="auto"/>
        <w:left w:val="none" w:sz="0" w:space="0" w:color="auto"/>
        <w:bottom w:val="none" w:sz="0" w:space="0" w:color="auto"/>
        <w:right w:val="none" w:sz="0" w:space="0" w:color="auto"/>
      </w:divBdr>
    </w:div>
    <w:div w:id="587080488">
      <w:bodyDiv w:val="1"/>
      <w:marLeft w:val="0"/>
      <w:marRight w:val="0"/>
      <w:marTop w:val="0"/>
      <w:marBottom w:val="0"/>
      <w:divBdr>
        <w:top w:val="none" w:sz="0" w:space="0" w:color="auto"/>
        <w:left w:val="none" w:sz="0" w:space="0" w:color="auto"/>
        <w:bottom w:val="none" w:sz="0" w:space="0" w:color="auto"/>
        <w:right w:val="none" w:sz="0" w:space="0" w:color="auto"/>
      </w:divBdr>
      <w:divsChild>
        <w:div w:id="1702048122">
          <w:marLeft w:val="0"/>
          <w:marRight w:val="0"/>
          <w:marTop w:val="0"/>
          <w:marBottom w:val="0"/>
          <w:divBdr>
            <w:top w:val="none" w:sz="0" w:space="0" w:color="auto"/>
            <w:left w:val="none" w:sz="0" w:space="0" w:color="auto"/>
            <w:bottom w:val="none" w:sz="0" w:space="0" w:color="auto"/>
            <w:right w:val="none" w:sz="0" w:space="0" w:color="auto"/>
          </w:divBdr>
          <w:divsChild>
            <w:div w:id="2054689289">
              <w:marLeft w:val="0"/>
              <w:marRight w:val="0"/>
              <w:marTop w:val="0"/>
              <w:marBottom w:val="0"/>
              <w:divBdr>
                <w:top w:val="none" w:sz="0" w:space="0" w:color="auto"/>
                <w:left w:val="none" w:sz="0" w:space="0" w:color="auto"/>
                <w:bottom w:val="none" w:sz="0" w:space="0" w:color="auto"/>
                <w:right w:val="none" w:sz="0" w:space="0" w:color="auto"/>
              </w:divBdr>
              <w:divsChild>
                <w:div w:id="1759978655">
                  <w:marLeft w:val="0"/>
                  <w:marRight w:val="0"/>
                  <w:marTop w:val="0"/>
                  <w:marBottom w:val="0"/>
                  <w:divBdr>
                    <w:top w:val="none" w:sz="0" w:space="0" w:color="auto"/>
                    <w:left w:val="none" w:sz="0" w:space="0" w:color="auto"/>
                    <w:bottom w:val="none" w:sz="0" w:space="0" w:color="auto"/>
                    <w:right w:val="none" w:sz="0" w:space="0" w:color="auto"/>
                  </w:divBdr>
                  <w:divsChild>
                    <w:div w:id="572742008">
                      <w:marLeft w:val="0"/>
                      <w:marRight w:val="0"/>
                      <w:marTop w:val="0"/>
                      <w:marBottom w:val="0"/>
                      <w:divBdr>
                        <w:top w:val="none" w:sz="0" w:space="0" w:color="auto"/>
                        <w:left w:val="none" w:sz="0" w:space="0" w:color="auto"/>
                        <w:bottom w:val="none" w:sz="0" w:space="0" w:color="auto"/>
                        <w:right w:val="none" w:sz="0" w:space="0" w:color="auto"/>
                      </w:divBdr>
                      <w:divsChild>
                        <w:div w:id="278027428">
                          <w:marLeft w:val="0"/>
                          <w:marRight w:val="0"/>
                          <w:marTop w:val="0"/>
                          <w:marBottom w:val="0"/>
                          <w:divBdr>
                            <w:top w:val="none" w:sz="0" w:space="0" w:color="auto"/>
                            <w:left w:val="none" w:sz="0" w:space="0" w:color="auto"/>
                            <w:bottom w:val="none" w:sz="0" w:space="0" w:color="auto"/>
                            <w:right w:val="none" w:sz="0" w:space="0" w:color="auto"/>
                          </w:divBdr>
                          <w:divsChild>
                            <w:div w:id="969477712">
                              <w:marLeft w:val="0"/>
                              <w:marRight w:val="0"/>
                              <w:marTop w:val="0"/>
                              <w:marBottom w:val="0"/>
                              <w:divBdr>
                                <w:top w:val="none" w:sz="0" w:space="0" w:color="auto"/>
                                <w:left w:val="none" w:sz="0" w:space="0" w:color="auto"/>
                                <w:bottom w:val="none" w:sz="0" w:space="0" w:color="auto"/>
                                <w:right w:val="none" w:sz="0" w:space="0" w:color="auto"/>
                              </w:divBdr>
                              <w:divsChild>
                                <w:div w:id="101807631">
                                  <w:marLeft w:val="0"/>
                                  <w:marRight w:val="0"/>
                                  <w:marTop w:val="0"/>
                                  <w:marBottom w:val="0"/>
                                  <w:divBdr>
                                    <w:top w:val="none" w:sz="0" w:space="0" w:color="auto"/>
                                    <w:left w:val="none" w:sz="0" w:space="0" w:color="auto"/>
                                    <w:bottom w:val="none" w:sz="0" w:space="0" w:color="auto"/>
                                    <w:right w:val="none" w:sz="0" w:space="0" w:color="auto"/>
                                  </w:divBdr>
                                  <w:divsChild>
                                    <w:div w:id="60443970">
                                      <w:marLeft w:val="0"/>
                                      <w:marRight w:val="0"/>
                                      <w:marTop w:val="0"/>
                                      <w:marBottom w:val="0"/>
                                      <w:divBdr>
                                        <w:top w:val="none" w:sz="0" w:space="0" w:color="auto"/>
                                        <w:left w:val="none" w:sz="0" w:space="0" w:color="auto"/>
                                        <w:bottom w:val="none" w:sz="0" w:space="0" w:color="auto"/>
                                        <w:right w:val="none" w:sz="0" w:space="0" w:color="auto"/>
                                      </w:divBdr>
                                      <w:divsChild>
                                        <w:div w:id="1022321534">
                                          <w:marLeft w:val="0"/>
                                          <w:marRight w:val="0"/>
                                          <w:marTop w:val="0"/>
                                          <w:marBottom w:val="0"/>
                                          <w:divBdr>
                                            <w:top w:val="none" w:sz="0" w:space="0" w:color="auto"/>
                                            <w:left w:val="none" w:sz="0" w:space="0" w:color="auto"/>
                                            <w:bottom w:val="none" w:sz="0" w:space="0" w:color="auto"/>
                                            <w:right w:val="none" w:sz="0" w:space="0" w:color="auto"/>
                                          </w:divBdr>
                                          <w:divsChild>
                                            <w:div w:id="708606255">
                                              <w:marLeft w:val="0"/>
                                              <w:marRight w:val="0"/>
                                              <w:marTop w:val="0"/>
                                              <w:marBottom w:val="0"/>
                                              <w:divBdr>
                                                <w:top w:val="none" w:sz="0" w:space="0" w:color="auto"/>
                                                <w:left w:val="none" w:sz="0" w:space="0" w:color="auto"/>
                                                <w:bottom w:val="none" w:sz="0" w:space="0" w:color="auto"/>
                                                <w:right w:val="none" w:sz="0" w:space="0" w:color="auto"/>
                                              </w:divBdr>
                                              <w:divsChild>
                                                <w:div w:id="1947880593">
                                                  <w:marLeft w:val="0"/>
                                                  <w:marRight w:val="0"/>
                                                  <w:marTop w:val="0"/>
                                                  <w:marBottom w:val="0"/>
                                                  <w:divBdr>
                                                    <w:top w:val="none" w:sz="0" w:space="0" w:color="auto"/>
                                                    <w:left w:val="none" w:sz="0" w:space="0" w:color="auto"/>
                                                    <w:bottom w:val="none" w:sz="0" w:space="0" w:color="auto"/>
                                                    <w:right w:val="none" w:sz="0" w:space="0" w:color="auto"/>
                                                  </w:divBdr>
                                                </w:div>
                                                <w:div w:id="1905528958">
                                                  <w:marLeft w:val="0"/>
                                                  <w:marRight w:val="0"/>
                                                  <w:marTop w:val="0"/>
                                                  <w:marBottom w:val="0"/>
                                                  <w:divBdr>
                                                    <w:top w:val="none" w:sz="0" w:space="0" w:color="auto"/>
                                                    <w:left w:val="none" w:sz="0" w:space="0" w:color="auto"/>
                                                    <w:bottom w:val="none" w:sz="0" w:space="0" w:color="auto"/>
                                                    <w:right w:val="none" w:sz="0" w:space="0" w:color="auto"/>
                                                  </w:divBdr>
                                                </w:div>
                                                <w:div w:id="1006248027">
                                                  <w:marLeft w:val="0"/>
                                                  <w:marRight w:val="0"/>
                                                  <w:marTop w:val="0"/>
                                                  <w:marBottom w:val="0"/>
                                                  <w:divBdr>
                                                    <w:top w:val="none" w:sz="0" w:space="0" w:color="auto"/>
                                                    <w:left w:val="none" w:sz="0" w:space="0" w:color="auto"/>
                                                    <w:bottom w:val="none" w:sz="0" w:space="0" w:color="auto"/>
                                                    <w:right w:val="none" w:sz="0" w:space="0" w:color="auto"/>
                                                  </w:divBdr>
                                                </w:div>
                                                <w:div w:id="1523592430">
                                                  <w:marLeft w:val="0"/>
                                                  <w:marRight w:val="0"/>
                                                  <w:marTop w:val="0"/>
                                                  <w:marBottom w:val="0"/>
                                                  <w:divBdr>
                                                    <w:top w:val="none" w:sz="0" w:space="0" w:color="auto"/>
                                                    <w:left w:val="none" w:sz="0" w:space="0" w:color="auto"/>
                                                    <w:bottom w:val="none" w:sz="0" w:space="0" w:color="auto"/>
                                                    <w:right w:val="none" w:sz="0" w:space="0" w:color="auto"/>
                                                  </w:divBdr>
                                                </w:div>
                                                <w:div w:id="1259406597">
                                                  <w:marLeft w:val="0"/>
                                                  <w:marRight w:val="0"/>
                                                  <w:marTop w:val="0"/>
                                                  <w:marBottom w:val="0"/>
                                                  <w:divBdr>
                                                    <w:top w:val="none" w:sz="0" w:space="0" w:color="auto"/>
                                                    <w:left w:val="none" w:sz="0" w:space="0" w:color="auto"/>
                                                    <w:bottom w:val="none" w:sz="0" w:space="0" w:color="auto"/>
                                                    <w:right w:val="none" w:sz="0" w:space="0" w:color="auto"/>
                                                  </w:divBdr>
                                                </w:div>
                                                <w:div w:id="3775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730733">
      <w:bodyDiv w:val="1"/>
      <w:marLeft w:val="0"/>
      <w:marRight w:val="0"/>
      <w:marTop w:val="0"/>
      <w:marBottom w:val="0"/>
      <w:divBdr>
        <w:top w:val="none" w:sz="0" w:space="0" w:color="auto"/>
        <w:left w:val="none" w:sz="0" w:space="0" w:color="auto"/>
        <w:bottom w:val="none" w:sz="0" w:space="0" w:color="auto"/>
        <w:right w:val="none" w:sz="0" w:space="0" w:color="auto"/>
      </w:divBdr>
    </w:div>
    <w:div w:id="608855473">
      <w:bodyDiv w:val="1"/>
      <w:marLeft w:val="0"/>
      <w:marRight w:val="0"/>
      <w:marTop w:val="0"/>
      <w:marBottom w:val="0"/>
      <w:divBdr>
        <w:top w:val="none" w:sz="0" w:space="0" w:color="auto"/>
        <w:left w:val="none" w:sz="0" w:space="0" w:color="auto"/>
        <w:bottom w:val="none" w:sz="0" w:space="0" w:color="auto"/>
        <w:right w:val="none" w:sz="0" w:space="0" w:color="auto"/>
      </w:divBdr>
    </w:div>
    <w:div w:id="611129879">
      <w:bodyDiv w:val="1"/>
      <w:marLeft w:val="0"/>
      <w:marRight w:val="0"/>
      <w:marTop w:val="0"/>
      <w:marBottom w:val="0"/>
      <w:divBdr>
        <w:top w:val="none" w:sz="0" w:space="0" w:color="auto"/>
        <w:left w:val="none" w:sz="0" w:space="0" w:color="auto"/>
        <w:bottom w:val="none" w:sz="0" w:space="0" w:color="auto"/>
        <w:right w:val="none" w:sz="0" w:space="0" w:color="auto"/>
      </w:divBdr>
    </w:div>
    <w:div w:id="620265141">
      <w:bodyDiv w:val="1"/>
      <w:marLeft w:val="0"/>
      <w:marRight w:val="0"/>
      <w:marTop w:val="0"/>
      <w:marBottom w:val="0"/>
      <w:divBdr>
        <w:top w:val="none" w:sz="0" w:space="0" w:color="auto"/>
        <w:left w:val="none" w:sz="0" w:space="0" w:color="auto"/>
        <w:bottom w:val="none" w:sz="0" w:space="0" w:color="auto"/>
        <w:right w:val="none" w:sz="0" w:space="0" w:color="auto"/>
      </w:divBdr>
    </w:div>
    <w:div w:id="633413972">
      <w:bodyDiv w:val="1"/>
      <w:marLeft w:val="0"/>
      <w:marRight w:val="0"/>
      <w:marTop w:val="0"/>
      <w:marBottom w:val="0"/>
      <w:divBdr>
        <w:top w:val="none" w:sz="0" w:space="0" w:color="auto"/>
        <w:left w:val="none" w:sz="0" w:space="0" w:color="auto"/>
        <w:bottom w:val="none" w:sz="0" w:space="0" w:color="auto"/>
        <w:right w:val="none" w:sz="0" w:space="0" w:color="auto"/>
      </w:divBdr>
    </w:div>
    <w:div w:id="644046420">
      <w:bodyDiv w:val="1"/>
      <w:marLeft w:val="0"/>
      <w:marRight w:val="0"/>
      <w:marTop w:val="0"/>
      <w:marBottom w:val="0"/>
      <w:divBdr>
        <w:top w:val="none" w:sz="0" w:space="0" w:color="auto"/>
        <w:left w:val="none" w:sz="0" w:space="0" w:color="auto"/>
        <w:bottom w:val="none" w:sz="0" w:space="0" w:color="auto"/>
        <w:right w:val="none" w:sz="0" w:space="0" w:color="auto"/>
      </w:divBdr>
    </w:div>
    <w:div w:id="651717431">
      <w:bodyDiv w:val="1"/>
      <w:marLeft w:val="0"/>
      <w:marRight w:val="0"/>
      <w:marTop w:val="0"/>
      <w:marBottom w:val="0"/>
      <w:divBdr>
        <w:top w:val="none" w:sz="0" w:space="0" w:color="auto"/>
        <w:left w:val="none" w:sz="0" w:space="0" w:color="auto"/>
        <w:bottom w:val="none" w:sz="0" w:space="0" w:color="auto"/>
        <w:right w:val="none" w:sz="0" w:space="0" w:color="auto"/>
      </w:divBdr>
    </w:div>
    <w:div w:id="680201659">
      <w:bodyDiv w:val="1"/>
      <w:marLeft w:val="0"/>
      <w:marRight w:val="0"/>
      <w:marTop w:val="0"/>
      <w:marBottom w:val="0"/>
      <w:divBdr>
        <w:top w:val="none" w:sz="0" w:space="0" w:color="auto"/>
        <w:left w:val="none" w:sz="0" w:space="0" w:color="auto"/>
        <w:bottom w:val="none" w:sz="0" w:space="0" w:color="auto"/>
        <w:right w:val="none" w:sz="0" w:space="0" w:color="auto"/>
      </w:divBdr>
    </w:div>
    <w:div w:id="688023398">
      <w:bodyDiv w:val="1"/>
      <w:marLeft w:val="0"/>
      <w:marRight w:val="0"/>
      <w:marTop w:val="0"/>
      <w:marBottom w:val="0"/>
      <w:divBdr>
        <w:top w:val="none" w:sz="0" w:space="0" w:color="auto"/>
        <w:left w:val="none" w:sz="0" w:space="0" w:color="auto"/>
        <w:bottom w:val="none" w:sz="0" w:space="0" w:color="auto"/>
        <w:right w:val="none" w:sz="0" w:space="0" w:color="auto"/>
      </w:divBdr>
    </w:div>
    <w:div w:id="693776210">
      <w:bodyDiv w:val="1"/>
      <w:marLeft w:val="0"/>
      <w:marRight w:val="0"/>
      <w:marTop w:val="0"/>
      <w:marBottom w:val="0"/>
      <w:divBdr>
        <w:top w:val="none" w:sz="0" w:space="0" w:color="auto"/>
        <w:left w:val="none" w:sz="0" w:space="0" w:color="auto"/>
        <w:bottom w:val="none" w:sz="0" w:space="0" w:color="auto"/>
        <w:right w:val="none" w:sz="0" w:space="0" w:color="auto"/>
      </w:divBdr>
    </w:div>
    <w:div w:id="700085536">
      <w:bodyDiv w:val="1"/>
      <w:marLeft w:val="0"/>
      <w:marRight w:val="0"/>
      <w:marTop w:val="0"/>
      <w:marBottom w:val="0"/>
      <w:divBdr>
        <w:top w:val="none" w:sz="0" w:space="0" w:color="auto"/>
        <w:left w:val="none" w:sz="0" w:space="0" w:color="auto"/>
        <w:bottom w:val="none" w:sz="0" w:space="0" w:color="auto"/>
        <w:right w:val="none" w:sz="0" w:space="0" w:color="auto"/>
      </w:divBdr>
    </w:div>
    <w:div w:id="732503741">
      <w:bodyDiv w:val="1"/>
      <w:marLeft w:val="0"/>
      <w:marRight w:val="0"/>
      <w:marTop w:val="0"/>
      <w:marBottom w:val="0"/>
      <w:divBdr>
        <w:top w:val="none" w:sz="0" w:space="0" w:color="auto"/>
        <w:left w:val="none" w:sz="0" w:space="0" w:color="auto"/>
        <w:bottom w:val="none" w:sz="0" w:space="0" w:color="auto"/>
        <w:right w:val="none" w:sz="0" w:space="0" w:color="auto"/>
      </w:divBdr>
    </w:div>
    <w:div w:id="757677435">
      <w:bodyDiv w:val="1"/>
      <w:marLeft w:val="0"/>
      <w:marRight w:val="0"/>
      <w:marTop w:val="0"/>
      <w:marBottom w:val="0"/>
      <w:divBdr>
        <w:top w:val="none" w:sz="0" w:space="0" w:color="auto"/>
        <w:left w:val="none" w:sz="0" w:space="0" w:color="auto"/>
        <w:bottom w:val="none" w:sz="0" w:space="0" w:color="auto"/>
        <w:right w:val="none" w:sz="0" w:space="0" w:color="auto"/>
      </w:divBdr>
      <w:divsChild>
        <w:div w:id="1660772810">
          <w:marLeft w:val="0"/>
          <w:marRight w:val="0"/>
          <w:marTop w:val="0"/>
          <w:marBottom w:val="0"/>
          <w:divBdr>
            <w:top w:val="none" w:sz="0" w:space="0" w:color="auto"/>
            <w:left w:val="none" w:sz="0" w:space="0" w:color="auto"/>
            <w:bottom w:val="none" w:sz="0" w:space="0" w:color="auto"/>
            <w:right w:val="none" w:sz="0" w:space="0" w:color="auto"/>
          </w:divBdr>
          <w:divsChild>
            <w:div w:id="2064139188">
              <w:marLeft w:val="0"/>
              <w:marRight w:val="0"/>
              <w:marTop w:val="0"/>
              <w:marBottom w:val="0"/>
              <w:divBdr>
                <w:top w:val="none" w:sz="0" w:space="0" w:color="auto"/>
                <w:left w:val="none" w:sz="0" w:space="0" w:color="auto"/>
                <w:bottom w:val="none" w:sz="0" w:space="0" w:color="auto"/>
                <w:right w:val="none" w:sz="0" w:space="0" w:color="auto"/>
              </w:divBdr>
              <w:divsChild>
                <w:div w:id="48503286">
                  <w:marLeft w:val="0"/>
                  <w:marRight w:val="0"/>
                  <w:marTop w:val="0"/>
                  <w:marBottom w:val="0"/>
                  <w:divBdr>
                    <w:top w:val="none" w:sz="0" w:space="0" w:color="auto"/>
                    <w:left w:val="none" w:sz="0" w:space="0" w:color="auto"/>
                    <w:bottom w:val="none" w:sz="0" w:space="0" w:color="auto"/>
                    <w:right w:val="none" w:sz="0" w:space="0" w:color="auto"/>
                  </w:divBdr>
                </w:div>
                <w:div w:id="389884751">
                  <w:marLeft w:val="0"/>
                  <w:marRight w:val="0"/>
                  <w:marTop w:val="0"/>
                  <w:marBottom w:val="0"/>
                  <w:divBdr>
                    <w:top w:val="none" w:sz="0" w:space="0" w:color="auto"/>
                    <w:left w:val="none" w:sz="0" w:space="0" w:color="auto"/>
                    <w:bottom w:val="none" w:sz="0" w:space="0" w:color="auto"/>
                    <w:right w:val="none" w:sz="0" w:space="0" w:color="auto"/>
                  </w:divBdr>
                </w:div>
                <w:div w:id="1805001537">
                  <w:marLeft w:val="0"/>
                  <w:marRight w:val="0"/>
                  <w:marTop w:val="0"/>
                  <w:marBottom w:val="0"/>
                  <w:divBdr>
                    <w:top w:val="none" w:sz="0" w:space="0" w:color="auto"/>
                    <w:left w:val="none" w:sz="0" w:space="0" w:color="auto"/>
                    <w:bottom w:val="none" w:sz="0" w:space="0" w:color="auto"/>
                    <w:right w:val="none" w:sz="0" w:space="0" w:color="auto"/>
                  </w:divBdr>
                </w:div>
                <w:div w:id="19238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2788">
      <w:bodyDiv w:val="1"/>
      <w:marLeft w:val="0"/>
      <w:marRight w:val="0"/>
      <w:marTop w:val="0"/>
      <w:marBottom w:val="0"/>
      <w:divBdr>
        <w:top w:val="none" w:sz="0" w:space="0" w:color="auto"/>
        <w:left w:val="none" w:sz="0" w:space="0" w:color="auto"/>
        <w:bottom w:val="none" w:sz="0" w:space="0" w:color="auto"/>
        <w:right w:val="none" w:sz="0" w:space="0" w:color="auto"/>
      </w:divBdr>
    </w:div>
    <w:div w:id="785663526">
      <w:bodyDiv w:val="1"/>
      <w:marLeft w:val="0"/>
      <w:marRight w:val="0"/>
      <w:marTop w:val="0"/>
      <w:marBottom w:val="0"/>
      <w:divBdr>
        <w:top w:val="none" w:sz="0" w:space="0" w:color="auto"/>
        <w:left w:val="none" w:sz="0" w:space="0" w:color="auto"/>
        <w:bottom w:val="none" w:sz="0" w:space="0" w:color="auto"/>
        <w:right w:val="none" w:sz="0" w:space="0" w:color="auto"/>
      </w:divBdr>
    </w:div>
    <w:div w:id="785975657">
      <w:bodyDiv w:val="1"/>
      <w:marLeft w:val="0"/>
      <w:marRight w:val="0"/>
      <w:marTop w:val="0"/>
      <w:marBottom w:val="0"/>
      <w:divBdr>
        <w:top w:val="none" w:sz="0" w:space="0" w:color="auto"/>
        <w:left w:val="none" w:sz="0" w:space="0" w:color="auto"/>
        <w:bottom w:val="none" w:sz="0" w:space="0" w:color="auto"/>
        <w:right w:val="none" w:sz="0" w:space="0" w:color="auto"/>
      </w:divBdr>
    </w:div>
    <w:div w:id="788088317">
      <w:bodyDiv w:val="1"/>
      <w:marLeft w:val="0"/>
      <w:marRight w:val="0"/>
      <w:marTop w:val="0"/>
      <w:marBottom w:val="0"/>
      <w:divBdr>
        <w:top w:val="none" w:sz="0" w:space="0" w:color="auto"/>
        <w:left w:val="none" w:sz="0" w:space="0" w:color="auto"/>
        <w:bottom w:val="none" w:sz="0" w:space="0" w:color="auto"/>
        <w:right w:val="none" w:sz="0" w:space="0" w:color="auto"/>
      </w:divBdr>
    </w:div>
    <w:div w:id="790050123">
      <w:bodyDiv w:val="1"/>
      <w:marLeft w:val="0"/>
      <w:marRight w:val="0"/>
      <w:marTop w:val="0"/>
      <w:marBottom w:val="0"/>
      <w:divBdr>
        <w:top w:val="none" w:sz="0" w:space="0" w:color="auto"/>
        <w:left w:val="none" w:sz="0" w:space="0" w:color="auto"/>
        <w:bottom w:val="none" w:sz="0" w:space="0" w:color="auto"/>
        <w:right w:val="none" w:sz="0" w:space="0" w:color="auto"/>
      </w:divBdr>
    </w:div>
    <w:div w:id="811755284">
      <w:bodyDiv w:val="1"/>
      <w:marLeft w:val="0"/>
      <w:marRight w:val="0"/>
      <w:marTop w:val="0"/>
      <w:marBottom w:val="0"/>
      <w:divBdr>
        <w:top w:val="none" w:sz="0" w:space="0" w:color="auto"/>
        <w:left w:val="none" w:sz="0" w:space="0" w:color="auto"/>
        <w:bottom w:val="none" w:sz="0" w:space="0" w:color="auto"/>
        <w:right w:val="none" w:sz="0" w:space="0" w:color="auto"/>
      </w:divBdr>
    </w:div>
    <w:div w:id="814418657">
      <w:bodyDiv w:val="1"/>
      <w:marLeft w:val="0"/>
      <w:marRight w:val="0"/>
      <w:marTop w:val="0"/>
      <w:marBottom w:val="0"/>
      <w:divBdr>
        <w:top w:val="none" w:sz="0" w:space="0" w:color="auto"/>
        <w:left w:val="none" w:sz="0" w:space="0" w:color="auto"/>
        <w:bottom w:val="none" w:sz="0" w:space="0" w:color="auto"/>
        <w:right w:val="none" w:sz="0" w:space="0" w:color="auto"/>
      </w:divBdr>
    </w:div>
    <w:div w:id="817185441">
      <w:bodyDiv w:val="1"/>
      <w:marLeft w:val="0"/>
      <w:marRight w:val="0"/>
      <w:marTop w:val="0"/>
      <w:marBottom w:val="0"/>
      <w:divBdr>
        <w:top w:val="none" w:sz="0" w:space="0" w:color="auto"/>
        <w:left w:val="none" w:sz="0" w:space="0" w:color="auto"/>
        <w:bottom w:val="none" w:sz="0" w:space="0" w:color="auto"/>
        <w:right w:val="none" w:sz="0" w:space="0" w:color="auto"/>
      </w:divBdr>
    </w:div>
    <w:div w:id="828594466">
      <w:bodyDiv w:val="1"/>
      <w:marLeft w:val="0"/>
      <w:marRight w:val="0"/>
      <w:marTop w:val="0"/>
      <w:marBottom w:val="0"/>
      <w:divBdr>
        <w:top w:val="none" w:sz="0" w:space="0" w:color="auto"/>
        <w:left w:val="none" w:sz="0" w:space="0" w:color="auto"/>
        <w:bottom w:val="none" w:sz="0" w:space="0" w:color="auto"/>
        <w:right w:val="none" w:sz="0" w:space="0" w:color="auto"/>
      </w:divBdr>
      <w:divsChild>
        <w:div w:id="12391373">
          <w:marLeft w:val="0"/>
          <w:marRight w:val="0"/>
          <w:marTop w:val="0"/>
          <w:marBottom w:val="0"/>
          <w:divBdr>
            <w:top w:val="none" w:sz="0" w:space="0" w:color="auto"/>
            <w:left w:val="none" w:sz="0" w:space="0" w:color="auto"/>
            <w:bottom w:val="none" w:sz="0" w:space="0" w:color="auto"/>
            <w:right w:val="none" w:sz="0" w:space="0" w:color="auto"/>
          </w:divBdr>
        </w:div>
        <w:div w:id="466551951">
          <w:marLeft w:val="0"/>
          <w:marRight w:val="0"/>
          <w:marTop w:val="0"/>
          <w:marBottom w:val="0"/>
          <w:divBdr>
            <w:top w:val="none" w:sz="0" w:space="0" w:color="auto"/>
            <w:left w:val="none" w:sz="0" w:space="0" w:color="auto"/>
            <w:bottom w:val="none" w:sz="0" w:space="0" w:color="auto"/>
            <w:right w:val="none" w:sz="0" w:space="0" w:color="auto"/>
          </w:divBdr>
        </w:div>
        <w:div w:id="793868236">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1716078304">
          <w:marLeft w:val="0"/>
          <w:marRight w:val="0"/>
          <w:marTop w:val="0"/>
          <w:marBottom w:val="0"/>
          <w:divBdr>
            <w:top w:val="none" w:sz="0" w:space="0" w:color="auto"/>
            <w:left w:val="none" w:sz="0" w:space="0" w:color="auto"/>
            <w:bottom w:val="none" w:sz="0" w:space="0" w:color="auto"/>
            <w:right w:val="none" w:sz="0" w:space="0" w:color="auto"/>
          </w:divBdr>
        </w:div>
        <w:div w:id="1877737821">
          <w:marLeft w:val="0"/>
          <w:marRight w:val="0"/>
          <w:marTop w:val="0"/>
          <w:marBottom w:val="0"/>
          <w:divBdr>
            <w:top w:val="none" w:sz="0" w:space="0" w:color="auto"/>
            <w:left w:val="none" w:sz="0" w:space="0" w:color="auto"/>
            <w:bottom w:val="none" w:sz="0" w:space="0" w:color="auto"/>
            <w:right w:val="none" w:sz="0" w:space="0" w:color="auto"/>
          </w:divBdr>
        </w:div>
      </w:divsChild>
    </w:div>
    <w:div w:id="848833905">
      <w:bodyDiv w:val="1"/>
      <w:marLeft w:val="0"/>
      <w:marRight w:val="0"/>
      <w:marTop w:val="0"/>
      <w:marBottom w:val="0"/>
      <w:divBdr>
        <w:top w:val="none" w:sz="0" w:space="0" w:color="auto"/>
        <w:left w:val="none" w:sz="0" w:space="0" w:color="auto"/>
        <w:bottom w:val="none" w:sz="0" w:space="0" w:color="auto"/>
        <w:right w:val="none" w:sz="0" w:space="0" w:color="auto"/>
      </w:divBdr>
      <w:divsChild>
        <w:div w:id="1398092649">
          <w:marLeft w:val="0"/>
          <w:marRight w:val="0"/>
          <w:marTop w:val="0"/>
          <w:marBottom w:val="0"/>
          <w:divBdr>
            <w:top w:val="none" w:sz="0" w:space="0" w:color="auto"/>
            <w:left w:val="none" w:sz="0" w:space="0" w:color="auto"/>
            <w:bottom w:val="none" w:sz="0" w:space="0" w:color="auto"/>
            <w:right w:val="none" w:sz="0" w:space="0" w:color="auto"/>
          </w:divBdr>
        </w:div>
        <w:div w:id="1331251006">
          <w:marLeft w:val="0"/>
          <w:marRight w:val="0"/>
          <w:marTop w:val="0"/>
          <w:marBottom w:val="0"/>
          <w:divBdr>
            <w:top w:val="none" w:sz="0" w:space="0" w:color="auto"/>
            <w:left w:val="none" w:sz="0" w:space="0" w:color="auto"/>
            <w:bottom w:val="none" w:sz="0" w:space="0" w:color="auto"/>
            <w:right w:val="none" w:sz="0" w:space="0" w:color="auto"/>
          </w:divBdr>
        </w:div>
      </w:divsChild>
    </w:div>
    <w:div w:id="869495227">
      <w:bodyDiv w:val="1"/>
      <w:marLeft w:val="0"/>
      <w:marRight w:val="0"/>
      <w:marTop w:val="0"/>
      <w:marBottom w:val="0"/>
      <w:divBdr>
        <w:top w:val="none" w:sz="0" w:space="0" w:color="auto"/>
        <w:left w:val="none" w:sz="0" w:space="0" w:color="auto"/>
        <w:bottom w:val="none" w:sz="0" w:space="0" w:color="auto"/>
        <w:right w:val="none" w:sz="0" w:space="0" w:color="auto"/>
      </w:divBdr>
    </w:div>
    <w:div w:id="892735338">
      <w:bodyDiv w:val="1"/>
      <w:marLeft w:val="0"/>
      <w:marRight w:val="0"/>
      <w:marTop w:val="0"/>
      <w:marBottom w:val="0"/>
      <w:divBdr>
        <w:top w:val="none" w:sz="0" w:space="0" w:color="auto"/>
        <w:left w:val="none" w:sz="0" w:space="0" w:color="auto"/>
        <w:bottom w:val="none" w:sz="0" w:space="0" w:color="auto"/>
        <w:right w:val="none" w:sz="0" w:space="0" w:color="auto"/>
      </w:divBdr>
      <w:divsChild>
        <w:div w:id="405148137">
          <w:marLeft w:val="0"/>
          <w:marRight w:val="0"/>
          <w:marTop w:val="0"/>
          <w:marBottom w:val="0"/>
          <w:divBdr>
            <w:top w:val="none" w:sz="0" w:space="0" w:color="auto"/>
            <w:left w:val="none" w:sz="0" w:space="0" w:color="auto"/>
            <w:bottom w:val="none" w:sz="0" w:space="0" w:color="auto"/>
            <w:right w:val="none" w:sz="0" w:space="0" w:color="auto"/>
          </w:divBdr>
        </w:div>
        <w:div w:id="2063629365">
          <w:marLeft w:val="0"/>
          <w:marRight w:val="0"/>
          <w:marTop w:val="0"/>
          <w:marBottom w:val="0"/>
          <w:divBdr>
            <w:top w:val="none" w:sz="0" w:space="0" w:color="auto"/>
            <w:left w:val="none" w:sz="0" w:space="0" w:color="auto"/>
            <w:bottom w:val="none" w:sz="0" w:space="0" w:color="auto"/>
            <w:right w:val="none" w:sz="0" w:space="0" w:color="auto"/>
          </w:divBdr>
        </w:div>
      </w:divsChild>
    </w:div>
    <w:div w:id="911113339">
      <w:bodyDiv w:val="1"/>
      <w:marLeft w:val="0"/>
      <w:marRight w:val="0"/>
      <w:marTop w:val="0"/>
      <w:marBottom w:val="0"/>
      <w:divBdr>
        <w:top w:val="none" w:sz="0" w:space="0" w:color="auto"/>
        <w:left w:val="none" w:sz="0" w:space="0" w:color="auto"/>
        <w:bottom w:val="none" w:sz="0" w:space="0" w:color="auto"/>
        <w:right w:val="none" w:sz="0" w:space="0" w:color="auto"/>
      </w:divBdr>
    </w:div>
    <w:div w:id="921908229">
      <w:bodyDiv w:val="1"/>
      <w:marLeft w:val="0"/>
      <w:marRight w:val="0"/>
      <w:marTop w:val="0"/>
      <w:marBottom w:val="0"/>
      <w:divBdr>
        <w:top w:val="none" w:sz="0" w:space="0" w:color="auto"/>
        <w:left w:val="none" w:sz="0" w:space="0" w:color="auto"/>
        <w:bottom w:val="none" w:sz="0" w:space="0" w:color="auto"/>
        <w:right w:val="none" w:sz="0" w:space="0" w:color="auto"/>
      </w:divBdr>
    </w:div>
    <w:div w:id="935945421">
      <w:bodyDiv w:val="1"/>
      <w:marLeft w:val="0"/>
      <w:marRight w:val="0"/>
      <w:marTop w:val="0"/>
      <w:marBottom w:val="0"/>
      <w:divBdr>
        <w:top w:val="none" w:sz="0" w:space="0" w:color="auto"/>
        <w:left w:val="none" w:sz="0" w:space="0" w:color="auto"/>
        <w:bottom w:val="none" w:sz="0" w:space="0" w:color="auto"/>
        <w:right w:val="none" w:sz="0" w:space="0" w:color="auto"/>
      </w:divBdr>
    </w:div>
    <w:div w:id="959916340">
      <w:bodyDiv w:val="1"/>
      <w:marLeft w:val="0"/>
      <w:marRight w:val="0"/>
      <w:marTop w:val="0"/>
      <w:marBottom w:val="0"/>
      <w:divBdr>
        <w:top w:val="none" w:sz="0" w:space="0" w:color="auto"/>
        <w:left w:val="none" w:sz="0" w:space="0" w:color="auto"/>
        <w:bottom w:val="none" w:sz="0" w:space="0" w:color="auto"/>
        <w:right w:val="none" w:sz="0" w:space="0" w:color="auto"/>
      </w:divBdr>
    </w:div>
    <w:div w:id="989018359">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8">
          <w:marLeft w:val="0"/>
          <w:marRight w:val="0"/>
          <w:marTop w:val="0"/>
          <w:marBottom w:val="0"/>
          <w:divBdr>
            <w:top w:val="none" w:sz="0" w:space="0" w:color="auto"/>
            <w:left w:val="none" w:sz="0" w:space="0" w:color="auto"/>
            <w:bottom w:val="none" w:sz="0" w:space="0" w:color="auto"/>
            <w:right w:val="none" w:sz="0" w:space="0" w:color="auto"/>
          </w:divBdr>
          <w:divsChild>
            <w:div w:id="723718848">
              <w:marLeft w:val="0"/>
              <w:marRight w:val="0"/>
              <w:marTop w:val="0"/>
              <w:marBottom w:val="0"/>
              <w:divBdr>
                <w:top w:val="none" w:sz="0" w:space="0" w:color="auto"/>
                <w:left w:val="none" w:sz="0" w:space="0" w:color="auto"/>
                <w:bottom w:val="none" w:sz="0" w:space="0" w:color="auto"/>
                <w:right w:val="none" w:sz="0" w:space="0" w:color="auto"/>
              </w:divBdr>
              <w:divsChild>
                <w:div w:id="980692703">
                  <w:marLeft w:val="0"/>
                  <w:marRight w:val="0"/>
                  <w:marTop w:val="0"/>
                  <w:marBottom w:val="0"/>
                  <w:divBdr>
                    <w:top w:val="none" w:sz="0" w:space="0" w:color="auto"/>
                    <w:left w:val="none" w:sz="0" w:space="0" w:color="auto"/>
                    <w:bottom w:val="none" w:sz="0" w:space="0" w:color="auto"/>
                    <w:right w:val="none" w:sz="0" w:space="0" w:color="auto"/>
                  </w:divBdr>
                  <w:divsChild>
                    <w:div w:id="2083989985">
                      <w:marLeft w:val="0"/>
                      <w:marRight w:val="0"/>
                      <w:marTop w:val="0"/>
                      <w:marBottom w:val="0"/>
                      <w:divBdr>
                        <w:top w:val="none" w:sz="0" w:space="0" w:color="auto"/>
                        <w:left w:val="none" w:sz="0" w:space="0" w:color="auto"/>
                        <w:bottom w:val="none" w:sz="0" w:space="0" w:color="auto"/>
                        <w:right w:val="none" w:sz="0" w:space="0" w:color="auto"/>
                      </w:divBdr>
                      <w:divsChild>
                        <w:div w:id="10769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20946">
      <w:bodyDiv w:val="1"/>
      <w:marLeft w:val="0"/>
      <w:marRight w:val="0"/>
      <w:marTop w:val="0"/>
      <w:marBottom w:val="0"/>
      <w:divBdr>
        <w:top w:val="none" w:sz="0" w:space="0" w:color="auto"/>
        <w:left w:val="none" w:sz="0" w:space="0" w:color="auto"/>
        <w:bottom w:val="none" w:sz="0" w:space="0" w:color="auto"/>
        <w:right w:val="none" w:sz="0" w:space="0" w:color="auto"/>
      </w:divBdr>
    </w:div>
    <w:div w:id="1003244332">
      <w:bodyDiv w:val="1"/>
      <w:marLeft w:val="0"/>
      <w:marRight w:val="0"/>
      <w:marTop w:val="0"/>
      <w:marBottom w:val="0"/>
      <w:divBdr>
        <w:top w:val="none" w:sz="0" w:space="0" w:color="auto"/>
        <w:left w:val="none" w:sz="0" w:space="0" w:color="auto"/>
        <w:bottom w:val="none" w:sz="0" w:space="0" w:color="auto"/>
        <w:right w:val="none" w:sz="0" w:space="0" w:color="auto"/>
      </w:divBdr>
    </w:div>
    <w:div w:id="1014890700">
      <w:bodyDiv w:val="1"/>
      <w:marLeft w:val="0"/>
      <w:marRight w:val="0"/>
      <w:marTop w:val="0"/>
      <w:marBottom w:val="0"/>
      <w:divBdr>
        <w:top w:val="none" w:sz="0" w:space="0" w:color="auto"/>
        <w:left w:val="none" w:sz="0" w:space="0" w:color="auto"/>
        <w:bottom w:val="none" w:sz="0" w:space="0" w:color="auto"/>
        <w:right w:val="none" w:sz="0" w:space="0" w:color="auto"/>
      </w:divBdr>
    </w:div>
    <w:div w:id="1043748591">
      <w:bodyDiv w:val="1"/>
      <w:marLeft w:val="0"/>
      <w:marRight w:val="0"/>
      <w:marTop w:val="0"/>
      <w:marBottom w:val="0"/>
      <w:divBdr>
        <w:top w:val="none" w:sz="0" w:space="0" w:color="auto"/>
        <w:left w:val="none" w:sz="0" w:space="0" w:color="auto"/>
        <w:bottom w:val="none" w:sz="0" w:space="0" w:color="auto"/>
        <w:right w:val="none" w:sz="0" w:space="0" w:color="auto"/>
      </w:divBdr>
    </w:div>
    <w:div w:id="1049302713">
      <w:bodyDiv w:val="1"/>
      <w:marLeft w:val="0"/>
      <w:marRight w:val="0"/>
      <w:marTop w:val="0"/>
      <w:marBottom w:val="0"/>
      <w:divBdr>
        <w:top w:val="none" w:sz="0" w:space="0" w:color="auto"/>
        <w:left w:val="none" w:sz="0" w:space="0" w:color="auto"/>
        <w:bottom w:val="none" w:sz="0" w:space="0" w:color="auto"/>
        <w:right w:val="none" w:sz="0" w:space="0" w:color="auto"/>
      </w:divBdr>
    </w:div>
    <w:div w:id="1078481778">
      <w:bodyDiv w:val="1"/>
      <w:marLeft w:val="0"/>
      <w:marRight w:val="0"/>
      <w:marTop w:val="0"/>
      <w:marBottom w:val="0"/>
      <w:divBdr>
        <w:top w:val="none" w:sz="0" w:space="0" w:color="auto"/>
        <w:left w:val="none" w:sz="0" w:space="0" w:color="auto"/>
        <w:bottom w:val="none" w:sz="0" w:space="0" w:color="auto"/>
        <w:right w:val="none" w:sz="0" w:space="0" w:color="auto"/>
      </w:divBdr>
    </w:div>
    <w:div w:id="1084455634">
      <w:bodyDiv w:val="1"/>
      <w:marLeft w:val="0"/>
      <w:marRight w:val="0"/>
      <w:marTop w:val="0"/>
      <w:marBottom w:val="0"/>
      <w:divBdr>
        <w:top w:val="none" w:sz="0" w:space="0" w:color="auto"/>
        <w:left w:val="none" w:sz="0" w:space="0" w:color="auto"/>
        <w:bottom w:val="none" w:sz="0" w:space="0" w:color="auto"/>
        <w:right w:val="none" w:sz="0" w:space="0" w:color="auto"/>
      </w:divBdr>
    </w:div>
    <w:div w:id="1090544794">
      <w:bodyDiv w:val="1"/>
      <w:marLeft w:val="0"/>
      <w:marRight w:val="0"/>
      <w:marTop w:val="0"/>
      <w:marBottom w:val="0"/>
      <w:divBdr>
        <w:top w:val="none" w:sz="0" w:space="0" w:color="auto"/>
        <w:left w:val="none" w:sz="0" w:space="0" w:color="auto"/>
        <w:bottom w:val="none" w:sz="0" w:space="0" w:color="auto"/>
        <w:right w:val="none" w:sz="0" w:space="0" w:color="auto"/>
      </w:divBdr>
    </w:div>
    <w:div w:id="1099524913">
      <w:bodyDiv w:val="1"/>
      <w:marLeft w:val="0"/>
      <w:marRight w:val="0"/>
      <w:marTop w:val="0"/>
      <w:marBottom w:val="0"/>
      <w:divBdr>
        <w:top w:val="none" w:sz="0" w:space="0" w:color="auto"/>
        <w:left w:val="none" w:sz="0" w:space="0" w:color="auto"/>
        <w:bottom w:val="none" w:sz="0" w:space="0" w:color="auto"/>
        <w:right w:val="none" w:sz="0" w:space="0" w:color="auto"/>
      </w:divBdr>
    </w:div>
    <w:div w:id="1121338237">
      <w:bodyDiv w:val="1"/>
      <w:marLeft w:val="0"/>
      <w:marRight w:val="0"/>
      <w:marTop w:val="0"/>
      <w:marBottom w:val="0"/>
      <w:divBdr>
        <w:top w:val="none" w:sz="0" w:space="0" w:color="auto"/>
        <w:left w:val="none" w:sz="0" w:space="0" w:color="auto"/>
        <w:bottom w:val="none" w:sz="0" w:space="0" w:color="auto"/>
        <w:right w:val="none" w:sz="0" w:space="0" w:color="auto"/>
      </w:divBdr>
    </w:div>
    <w:div w:id="1123578875">
      <w:bodyDiv w:val="1"/>
      <w:marLeft w:val="0"/>
      <w:marRight w:val="0"/>
      <w:marTop w:val="0"/>
      <w:marBottom w:val="0"/>
      <w:divBdr>
        <w:top w:val="none" w:sz="0" w:space="0" w:color="auto"/>
        <w:left w:val="none" w:sz="0" w:space="0" w:color="auto"/>
        <w:bottom w:val="none" w:sz="0" w:space="0" w:color="auto"/>
        <w:right w:val="none" w:sz="0" w:space="0" w:color="auto"/>
      </w:divBdr>
    </w:div>
    <w:div w:id="1137920807">
      <w:bodyDiv w:val="1"/>
      <w:marLeft w:val="0"/>
      <w:marRight w:val="0"/>
      <w:marTop w:val="0"/>
      <w:marBottom w:val="0"/>
      <w:divBdr>
        <w:top w:val="none" w:sz="0" w:space="0" w:color="auto"/>
        <w:left w:val="none" w:sz="0" w:space="0" w:color="auto"/>
        <w:bottom w:val="none" w:sz="0" w:space="0" w:color="auto"/>
        <w:right w:val="none" w:sz="0" w:space="0" w:color="auto"/>
      </w:divBdr>
    </w:div>
    <w:div w:id="1152915780">
      <w:bodyDiv w:val="1"/>
      <w:marLeft w:val="0"/>
      <w:marRight w:val="0"/>
      <w:marTop w:val="0"/>
      <w:marBottom w:val="0"/>
      <w:divBdr>
        <w:top w:val="none" w:sz="0" w:space="0" w:color="auto"/>
        <w:left w:val="none" w:sz="0" w:space="0" w:color="auto"/>
        <w:bottom w:val="none" w:sz="0" w:space="0" w:color="auto"/>
        <w:right w:val="none" w:sz="0" w:space="0" w:color="auto"/>
      </w:divBdr>
    </w:div>
    <w:div w:id="1169756182">
      <w:bodyDiv w:val="1"/>
      <w:marLeft w:val="0"/>
      <w:marRight w:val="0"/>
      <w:marTop w:val="0"/>
      <w:marBottom w:val="0"/>
      <w:divBdr>
        <w:top w:val="none" w:sz="0" w:space="0" w:color="auto"/>
        <w:left w:val="none" w:sz="0" w:space="0" w:color="auto"/>
        <w:bottom w:val="none" w:sz="0" w:space="0" w:color="auto"/>
        <w:right w:val="none" w:sz="0" w:space="0" w:color="auto"/>
      </w:divBdr>
    </w:div>
    <w:div w:id="1199859466">
      <w:bodyDiv w:val="1"/>
      <w:marLeft w:val="0"/>
      <w:marRight w:val="0"/>
      <w:marTop w:val="0"/>
      <w:marBottom w:val="0"/>
      <w:divBdr>
        <w:top w:val="none" w:sz="0" w:space="0" w:color="auto"/>
        <w:left w:val="none" w:sz="0" w:space="0" w:color="auto"/>
        <w:bottom w:val="none" w:sz="0" w:space="0" w:color="auto"/>
        <w:right w:val="none" w:sz="0" w:space="0" w:color="auto"/>
      </w:divBdr>
    </w:div>
    <w:div w:id="1201363574">
      <w:bodyDiv w:val="1"/>
      <w:marLeft w:val="0"/>
      <w:marRight w:val="0"/>
      <w:marTop w:val="0"/>
      <w:marBottom w:val="0"/>
      <w:divBdr>
        <w:top w:val="none" w:sz="0" w:space="0" w:color="auto"/>
        <w:left w:val="none" w:sz="0" w:space="0" w:color="auto"/>
        <w:bottom w:val="none" w:sz="0" w:space="0" w:color="auto"/>
        <w:right w:val="none" w:sz="0" w:space="0" w:color="auto"/>
      </w:divBdr>
    </w:div>
    <w:div w:id="1207256827">
      <w:bodyDiv w:val="1"/>
      <w:marLeft w:val="0"/>
      <w:marRight w:val="0"/>
      <w:marTop w:val="0"/>
      <w:marBottom w:val="0"/>
      <w:divBdr>
        <w:top w:val="none" w:sz="0" w:space="0" w:color="auto"/>
        <w:left w:val="none" w:sz="0" w:space="0" w:color="auto"/>
        <w:bottom w:val="none" w:sz="0" w:space="0" w:color="auto"/>
        <w:right w:val="none" w:sz="0" w:space="0" w:color="auto"/>
      </w:divBdr>
    </w:div>
    <w:div w:id="1214929971">
      <w:bodyDiv w:val="1"/>
      <w:marLeft w:val="0"/>
      <w:marRight w:val="0"/>
      <w:marTop w:val="0"/>
      <w:marBottom w:val="0"/>
      <w:divBdr>
        <w:top w:val="none" w:sz="0" w:space="0" w:color="auto"/>
        <w:left w:val="none" w:sz="0" w:space="0" w:color="auto"/>
        <w:bottom w:val="none" w:sz="0" w:space="0" w:color="auto"/>
        <w:right w:val="none" w:sz="0" w:space="0" w:color="auto"/>
      </w:divBdr>
    </w:div>
    <w:div w:id="1225261756">
      <w:bodyDiv w:val="1"/>
      <w:marLeft w:val="0"/>
      <w:marRight w:val="0"/>
      <w:marTop w:val="0"/>
      <w:marBottom w:val="0"/>
      <w:divBdr>
        <w:top w:val="none" w:sz="0" w:space="0" w:color="auto"/>
        <w:left w:val="none" w:sz="0" w:space="0" w:color="auto"/>
        <w:bottom w:val="none" w:sz="0" w:space="0" w:color="auto"/>
        <w:right w:val="none" w:sz="0" w:space="0" w:color="auto"/>
      </w:divBdr>
      <w:divsChild>
        <w:div w:id="1991667254">
          <w:marLeft w:val="0"/>
          <w:marRight w:val="0"/>
          <w:marTop w:val="0"/>
          <w:marBottom w:val="0"/>
          <w:divBdr>
            <w:top w:val="none" w:sz="0" w:space="0" w:color="auto"/>
            <w:left w:val="none" w:sz="0" w:space="0" w:color="auto"/>
            <w:bottom w:val="none" w:sz="0" w:space="0" w:color="auto"/>
            <w:right w:val="none" w:sz="0" w:space="0" w:color="auto"/>
          </w:divBdr>
          <w:divsChild>
            <w:div w:id="673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3773">
      <w:bodyDiv w:val="1"/>
      <w:marLeft w:val="0"/>
      <w:marRight w:val="0"/>
      <w:marTop w:val="0"/>
      <w:marBottom w:val="0"/>
      <w:divBdr>
        <w:top w:val="none" w:sz="0" w:space="0" w:color="auto"/>
        <w:left w:val="none" w:sz="0" w:space="0" w:color="auto"/>
        <w:bottom w:val="none" w:sz="0" w:space="0" w:color="auto"/>
        <w:right w:val="none" w:sz="0" w:space="0" w:color="auto"/>
      </w:divBdr>
    </w:div>
    <w:div w:id="1238592019">
      <w:bodyDiv w:val="1"/>
      <w:marLeft w:val="0"/>
      <w:marRight w:val="0"/>
      <w:marTop w:val="0"/>
      <w:marBottom w:val="0"/>
      <w:divBdr>
        <w:top w:val="none" w:sz="0" w:space="0" w:color="auto"/>
        <w:left w:val="none" w:sz="0" w:space="0" w:color="auto"/>
        <w:bottom w:val="none" w:sz="0" w:space="0" w:color="auto"/>
        <w:right w:val="none" w:sz="0" w:space="0" w:color="auto"/>
      </w:divBdr>
    </w:div>
    <w:div w:id="1261259911">
      <w:bodyDiv w:val="1"/>
      <w:marLeft w:val="0"/>
      <w:marRight w:val="0"/>
      <w:marTop w:val="0"/>
      <w:marBottom w:val="0"/>
      <w:divBdr>
        <w:top w:val="none" w:sz="0" w:space="0" w:color="auto"/>
        <w:left w:val="none" w:sz="0" w:space="0" w:color="auto"/>
        <w:bottom w:val="none" w:sz="0" w:space="0" w:color="auto"/>
        <w:right w:val="none" w:sz="0" w:space="0" w:color="auto"/>
      </w:divBdr>
    </w:div>
    <w:div w:id="1262641341">
      <w:bodyDiv w:val="1"/>
      <w:marLeft w:val="0"/>
      <w:marRight w:val="0"/>
      <w:marTop w:val="0"/>
      <w:marBottom w:val="0"/>
      <w:divBdr>
        <w:top w:val="none" w:sz="0" w:space="0" w:color="auto"/>
        <w:left w:val="none" w:sz="0" w:space="0" w:color="auto"/>
        <w:bottom w:val="none" w:sz="0" w:space="0" w:color="auto"/>
        <w:right w:val="none" w:sz="0" w:space="0" w:color="auto"/>
      </w:divBdr>
    </w:div>
    <w:div w:id="1295403191">
      <w:bodyDiv w:val="1"/>
      <w:marLeft w:val="0"/>
      <w:marRight w:val="0"/>
      <w:marTop w:val="0"/>
      <w:marBottom w:val="0"/>
      <w:divBdr>
        <w:top w:val="none" w:sz="0" w:space="0" w:color="auto"/>
        <w:left w:val="none" w:sz="0" w:space="0" w:color="auto"/>
        <w:bottom w:val="none" w:sz="0" w:space="0" w:color="auto"/>
        <w:right w:val="none" w:sz="0" w:space="0" w:color="auto"/>
      </w:divBdr>
    </w:div>
    <w:div w:id="1331635947">
      <w:bodyDiv w:val="1"/>
      <w:marLeft w:val="0"/>
      <w:marRight w:val="0"/>
      <w:marTop w:val="0"/>
      <w:marBottom w:val="0"/>
      <w:divBdr>
        <w:top w:val="none" w:sz="0" w:space="0" w:color="auto"/>
        <w:left w:val="none" w:sz="0" w:space="0" w:color="auto"/>
        <w:bottom w:val="none" w:sz="0" w:space="0" w:color="auto"/>
        <w:right w:val="none" w:sz="0" w:space="0" w:color="auto"/>
      </w:divBdr>
    </w:div>
    <w:div w:id="1350179481">
      <w:bodyDiv w:val="1"/>
      <w:marLeft w:val="0"/>
      <w:marRight w:val="0"/>
      <w:marTop w:val="0"/>
      <w:marBottom w:val="0"/>
      <w:divBdr>
        <w:top w:val="none" w:sz="0" w:space="0" w:color="auto"/>
        <w:left w:val="none" w:sz="0" w:space="0" w:color="auto"/>
        <w:bottom w:val="none" w:sz="0" w:space="0" w:color="auto"/>
        <w:right w:val="none" w:sz="0" w:space="0" w:color="auto"/>
      </w:divBdr>
    </w:div>
    <w:div w:id="1354187819">
      <w:bodyDiv w:val="1"/>
      <w:marLeft w:val="0"/>
      <w:marRight w:val="0"/>
      <w:marTop w:val="0"/>
      <w:marBottom w:val="0"/>
      <w:divBdr>
        <w:top w:val="none" w:sz="0" w:space="0" w:color="auto"/>
        <w:left w:val="none" w:sz="0" w:space="0" w:color="auto"/>
        <w:bottom w:val="none" w:sz="0" w:space="0" w:color="auto"/>
        <w:right w:val="none" w:sz="0" w:space="0" w:color="auto"/>
      </w:divBdr>
    </w:div>
    <w:div w:id="1395926820">
      <w:bodyDiv w:val="1"/>
      <w:marLeft w:val="0"/>
      <w:marRight w:val="0"/>
      <w:marTop w:val="0"/>
      <w:marBottom w:val="0"/>
      <w:divBdr>
        <w:top w:val="none" w:sz="0" w:space="0" w:color="auto"/>
        <w:left w:val="none" w:sz="0" w:space="0" w:color="auto"/>
        <w:bottom w:val="none" w:sz="0" w:space="0" w:color="auto"/>
        <w:right w:val="none" w:sz="0" w:space="0" w:color="auto"/>
      </w:divBdr>
    </w:div>
    <w:div w:id="1396780996">
      <w:bodyDiv w:val="1"/>
      <w:marLeft w:val="0"/>
      <w:marRight w:val="0"/>
      <w:marTop w:val="0"/>
      <w:marBottom w:val="0"/>
      <w:divBdr>
        <w:top w:val="none" w:sz="0" w:space="0" w:color="auto"/>
        <w:left w:val="none" w:sz="0" w:space="0" w:color="auto"/>
        <w:bottom w:val="none" w:sz="0" w:space="0" w:color="auto"/>
        <w:right w:val="none" w:sz="0" w:space="0" w:color="auto"/>
      </w:divBdr>
    </w:div>
    <w:div w:id="1404372757">
      <w:bodyDiv w:val="1"/>
      <w:marLeft w:val="0"/>
      <w:marRight w:val="0"/>
      <w:marTop w:val="0"/>
      <w:marBottom w:val="0"/>
      <w:divBdr>
        <w:top w:val="none" w:sz="0" w:space="0" w:color="auto"/>
        <w:left w:val="none" w:sz="0" w:space="0" w:color="auto"/>
        <w:bottom w:val="none" w:sz="0" w:space="0" w:color="auto"/>
        <w:right w:val="none" w:sz="0" w:space="0" w:color="auto"/>
      </w:divBdr>
    </w:div>
    <w:div w:id="1431006272">
      <w:bodyDiv w:val="1"/>
      <w:marLeft w:val="0"/>
      <w:marRight w:val="0"/>
      <w:marTop w:val="0"/>
      <w:marBottom w:val="0"/>
      <w:divBdr>
        <w:top w:val="none" w:sz="0" w:space="0" w:color="auto"/>
        <w:left w:val="none" w:sz="0" w:space="0" w:color="auto"/>
        <w:bottom w:val="none" w:sz="0" w:space="0" w:color="auto"/>
        <w:right w:val="none" w:sz="0" w:space="0" w:color="auto"/>
      </w:divBdr>
      <w:divsChild>
        <w:div w:id="1666741976">
          <w:marLeft w:val="0"/>
          <w:marRight w:val="0"/>
          <w:marTop w:val="0"/>
          <w:marBottom w:val="0"/>
          <w:divBdr>
            <w:top w:val="none" w:sz="0" w:space="0" w:color="auto"/>
            <w:left w:val="none" w:sz="0" w:space="0" w:color="auto"/>
            <w:bottom w:val="none" w:sz="0" w:space="0" w:color="auto"/>
            <w:right w:val="none" w:sz="0" w:space="0" w:color="auto"/>
          </w:divBdr>
          <w:divsChild>
            <w:div w:id="927470903">
              <w:marLeft w:val="0"/>
              <w:marRight w:val="0"/>
              <w:marTop w:val="0"/>
              <w:marBottom w:val="0"/>
              <w:divBdr>
                <w:top w:val="none" w:sz="0" w:space="0" w:color="auto"/>
                <w:left w:val="none" w:sz="0" w:space="0" w:color="auto"/>
                <w:bottom w:val="none" w:sz="0" w:space="0" w:color="auto"/>
                <w:right w:val="none" w:sz="0" w:space="0" w:color="auto"/>
              </w:divBdr>
              <w:divsChild>
                <w:div w:id="156201104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433011091">
      <w:bodyDiv w:val="1"/>
      <w:marLeft w:val="0"/>
      <w:marRight w:val="0"/>
      <w:marTop w:val="0"/>
      <w:marBottom w:val="0"/>
      <w:divBdr>
        <w:top w:val="none" w:sz="0" w:space="0" w:color="auto"/>
        <w:left w:val="none" w:sz="0" w:space="0" w:color="auto"/>
        <w:bottom w:val="none" w:sz="0" w:space="0" w:color="auto"/>
        <w:right w:val="none" w:sz="0" w:space="0" w:color="auto"/>
      </w:divBdr>
    </w:div>
    <w:div w:id="1435008301">
      <w:bodyDiv w:val="1"/>
      <w:marLeft w:val="0"/>
      <w:marRight w:val="0"/>
      <w:marTop w:val="0"/>
      <w:marBottom w:val="0"/>
      <w:divBdr>
        <w:top w:val="none" w:sz="0" w:space="0" w:color="auto"/>
        <w:left w:val="none" w:sz="0" w:space="0" w:color="auto"/>
        <w:bottom w:val="none" w:sz="0" w:space="0" w:color="auto"/>
        <w:right w:val="none" w:sz="0" w:space="0" w:color="auto"/>
      </w:divBdr>
    </w:div>
    <w:div w:id="1448423616">
      <w:bodyDiv w:val="1"/>
      <w:marLeft w:val="0"/>
      <w:marRight w:val="0"/>
      <w:marTop w:val="0"/>
      <w:marBottom w:val="0"/>
      <w:divBdr>
        <w:top w:val="none" w:sz="0" w:space="0" w:color="auto"/>
        <w:left w:val="none" w:sz="0" w:space="0" w:color="auto"/>
        <w:bottom w:val="none" w:sz="0" w:space="0" w:color="auto"/>
        <w:right w:val="none" w:sz="0" w:space="0" w:color="auto"/>
      </w:divBdr>
    </w:div>
    <w:div w:id="1453019118">
      <w:bodyDiv w:val="1"/>
      <w:marLeft w:val="0"/>
      <w:marRight w:val="0"/>
      <w:marTop w:val="0"/>
      <w:marBottom w:val="0"/>
      <w:divBdr>
        <w:top w:val="none" w:sz="0" w:space="0" w:color="auto"/>
        <w:left w:val="none" w:sz="0" w:space="0" w:color="auto"/>
        <w:bottom w:val="none" w:sz="0" w:space="0" w:color="auto"/>
        <w:right w:val="none" w:sz="0" w:space="0" w:color="auto"/>
      </w:divBdr>
    </w:div>
    <w:div w:id="1453133013">
      <w:bodyDiv w:val="1"/>
      <w:marLeft w:val="0"/>
      <w:marRight w:val="0"/>
      <w:marTop w:val="0"/>
      <w:marBottom w:val="0"/>
      <w:divBdr>
        <w:top w:val="none" w:sz="0" w:space="0" w:color="auto"/>
        <w:left w:val="none" w:sz="0" w:space="0" w:color="auto"/>
        <w:bottom w:val="none" w:sz="0" w:space="0" w:color="auto"/>
        <w:right w:val="none" w:sz="0" w:space="0" w:color="auto"/>
      </w:divBdr>
    </w:div>
    <w:div w:id="1467041634">
      <w:bodyDiv w:val="1"/>
      <w:marLeft w:val="0"/>
      <w:marRight w:val="0"/>
      <w:marTop w:val="0"/>
      <w:marBottom w:val="0"/>
      <w:divBdr>
        <w:top w:val="none" w:sz="0" w:space="0" w:color="auto"/>
        <w:left w:val="none" w:sz="0" w:space="0" w:color="auto"/>
        <w:bottom w:val="none" w:sz="0" w:space="0" w:color="auto"/>
        <w:right w:val="none" w:sz="0" w:space="0" w:color="auto"/>
      </w:divBdr>
    </w:div>
    <w:div w:id="1475677413">
      <w:bodyDiv w:val="1"/>
      <w:marLeft w:val="0"/>
      <w:marRight w:val="0"/>
      <w:marTop w:val="0"/>
      <w:marBottom w:val="0"/>
      <w:divBdr>
        <w:top w:val="none" w:sz="0" w:space="0" w:color="auto"/>
        <w:left w:val="none" w:sz="0" w:space="0" w:color="auto"/>
        <w:bottom w:val="none" w:sz="0" w:space="0" w:color="auto"/>
        <w:right w:val="none" w:sz="0" w:space="0" w:color="auto"/>
      </w:divBdr>
    </w:div>
    <w:div w:id="1477994494">
      <w:bodyDiv w:val="1"/>
      <w:marLeft w:val="0"/>
      <w:marRight w:val="0"/>
      <w:marTop w:val="0"/>
      <w:marBottom w:val="0"/>
      <w:divBdr>
        <w:top w:val="none" w:sz="0" w:space="0" w:color="auto"/>
        <w:left w:val="none" w:sz="0" w:space="0" w:color="auto"/>
        <w:bottom w:val="none" w:sz="0" w:space="0" w:color="auto"/>
        <w:right w:val="none" w:sz="0" w:space="0" w:color="auto"/>
      </w:divBdr>
    </w:div>
    <w:div w:id="1478650536">
      <w:bodyDiv w:val="1"/>
      <w:marLeft w:val="0"/>
      <w:marRight w:val="0"/>
      <w:marTop w:val="0"/>
      <w:marBottom w:val="0"/>
      <w:divBdr>
        <w:top w:val="none" w:sz="0" w:space="0" w:color="auto"/>
        <w:left w:val="none" w:sz="0" w:space="0" w:color="auto"/>
        <w:bottom w:val="none" w:sz="0" w:space="0" w:color="auto"/>
        <w:right w:val="none" w:sz="0" w:space="0" w:color="auto"/>
      </w:divBdr>
      <w:divsChild>
        <w:div w:id="1475954255">
          <w:marLeft w:val="0"/>
          <w:marRight w:val="0"/>
          <w:marTop w:val="0"/>
          <w:marBottom w:val="0"/>
          <w:divBdr>
            <w:top w:val="none" w:sz="0" w:space="0" w:color="auto"/>
            <w:left w:val="none" w:sz="0" w:space="0" w:color="auto"/>
            <w:bottom w:val="none" w:sz="0" w:space="0" w:color="auto"/>
            <w:right w:val="none" w:sz="0" w:space="0" w:color="auto"/>
          </w:divBdr>
          <w:divsChild>
            <w:div w:id="306665894">
              <w:marLeft w:val="0"/>
              <w:marRight w:val="0"/>
              <w:marTop w:val="0"/>
              <w:marBottom w:val="0"/>
              <w:divBdr>
                <w:top w:val="none" w:sz="0" w:space="0" w:color="auto"/>
                <w:left w:val="none" w:sz="0" w:space="0" w:color="auto"/>
                <w:bottom w:val="none" w:sz="0" w:space="0" w:color="auto"/>
                <w:right w:val="none" w:sz="0" w:space="0" w:color="auto"/>
              </w:divBdr>
            </w:div>
            <w:div w:id="431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9489">
      <w:bodyDiv w:val="1"/>
      <w:marLeft w:val="0"/>
      <w:marRight w:val="0"/>
      <w:marTop w:val="0"/>
      <w:marBottom w:val="0"/>
      <w:divBdr>
        <w:top w:val="none" w:sz="0" w:space="0" w:color="auto"/>
        <w:left w:val="none" w:sz="0" w:space="0" w:color="auto"/>
        <w:bottom w:val="none" w:sz="0" w:space="0" w:color="auto"/>
        <w:right w:val="none" w:sz="0" w:space="0" w:color="auto"/>
      </w:divBdr>
    </w:div>
    <w:div w:id="1494567846">
      <w:bodyDiv w:val="1"/>
      <w:marLeft w:val="0"/>
      <w:marRight w:val="0"/>
      <w:marTop w:val="0"/>
      <w:marBottom w:val="0"/>
      <w:divBdr>
        <w:top w:val="none" w:sz="0" w:space="0" w:color="auto"/>
        <w:left w:val="none" w:sz="0" w:space="0" w:color="auto"/>
        <w:bottom w:val="none" w:sz="0" w:space="0" w:color="auto"/>
        <w:right w:val="none" w:sz="0" w:space="0" w:color="auto"/>
      </w:divBdr>
    </w:div>
    <w:div w:id="1498958830">
      <w:bodyDiv w:val="1"/>
      <w:marLeft w:val="0"/>
      <w:marRight w:val="0"/>
      <w:marTop w:val="0"/>
      <w:marBottom w:val="0"/>
      <w:divBdr>
        <w:top w:val="none" w:sz="0" w:space="0" w:color="auto"/>
        <w:left w:val="none" w:sz="0" w:space="0" w:color="auto"/>
        <w:bottom w:val="none" w:sz="0" w:space="0" w:color="auto"/>
        <w:right w:val="none" w:sz="0" w:space="0" w:color="auto"/>
      </w:divBdr>
    </w:div>
    <w:div w:id="1499350695">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32303178">
      <w:bodyDiv w:val="1"/>
      <w:marLeft w:val="0"/>
      <w:marRight w:val="0"/>
      <w:marTop w:val="0"/>
      <w:marBottom w:val="0"/>
      <w:divBdr>
        <w:top w:val="none" w:sz="0" w:space="0" w:color="auto"/>
        <w:left w:val="none" w:sz="0" w:space="0" w:color="auto"/>
        <w:bottom w:val="none" w:sz="0" w:space="0" w:color="auto"/>
        <w:right w:val="none" w:sz="0" w:space="0" w:color="auto"/>
      </w:divBdr>
    </w:div>
    <w:div w:id="1533612526">
      <w:bodyDiv w:val="1"/>
      <w:marLeft w:val="0"/>
      <w:marRight w:val="0"/>
      <w:marTop w:val="0"/>
      <w:marBottom w:val="0"/>
      <w:divBdr>
        <w:top w:val="none" w:sz="0" w:space="0" w:color="auto"/>
        <w:left w:val="none" w:sz="0" w:space="0" w:color="auto"/>
        <w:bottom w:val="none" w:sz="0" w:space="0" w:color="auto"/>
        <w:right w:val="none" w:sz="0" w:space="0" w:color="auto"/>
      </w:divBdr>
      <w:divsChild>
        <w:div w:id="2139109399">
          <w:marLeft w:val="0"/>
          <w:marRight w:val="0"/>
          <w:marTop w:val="0"/>
          <w:marBottom w:val="0"/>
          <w:divBdr>
            <w:top w:val="none" w:sz="0" w:space="0" w:color="auto"/>
            <w:left w:val="none" w:sz="0" w:space="0" w:color="auto"/>
            <w:bottom w:val="none" w:sz="0" w:space="0" w:color="auto"/>
            <w:right w:val="none" w:sz="0" w:space="0" w:color="auto"/>
          </w:divBdr>
          <w:divsChild>
            <w:div w:id="13528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8325">
      <w:bodyDiv w:val="1"/>
      <w:marLeft w:val="0"/>
      <w:marRight w:val="0"/>
      <w:marTop w:val="0"/>
      <w:marBottom w:val="0"/>
      <w:divBdr>
        <w:top w:val="none" w:sz="0" w:space="0" w:color="auto"/>
        <w:left w:val="none" w:sz="0" w:space="0" w:color="auto"/>
        <w:bottom w:val="none" w:sz="0" w:space="0" w:color="auto"/>
        <w:right w:val="none" w:sz="0" w:space="0" w:color="auto"/>
      </w:divBdr>
    </w:div>
    <w:div w:id="1539466359">
      <w:bodyDiv w:val="1"/>
      <w:marLeft w:val="0"/>
      <w:marRight w:val="0"/>
      <w:marTop w:val="0"/>
      <w:marBottom w:val="0"/>
      <w:divBdr>
        <w:top w:val="none" w:sz="0" w:space="0" w:color="auto"/>
        <w:left w:val="none" w:sz="0" w:space="0" w:color="auto"/>
        <w:bottom w:val="none" w:sz="0" w:space="0" w:color="auto"/>
        <w:right w:val="none" w:sz="0" w:space="0" w:color="auto"/>
      </w:divBdr>
    </w:div>
    <w:div w:id="1559050045">
      <w:bodyDiv w:val="1"/>
      <w:marLeft w:val="0"/>
      <w:marRight w:val="0"/>
      <w:marTop w:val="0"/>
      <w:marBottom w:val="0"/>
      <w:divBdr>
        <w:top w:val="none" w:sz="0" w:space="0" w:color="auto"/>
        <w:left w:val="none" w:sz="0" w:space="0" w:color="auto"/>
        <w:bottom w:val="none" w:sz="0" w:space="0" w:color="auto"/>
        <w:right w:val="none" w:sz="0" w:space="0" w:color="auto"/>
      </w:divBdr>
    </w:div>
    <w:div w:id="1569463568">
      <w:bodyDiv w:val="1"/>
      <w:marLeft w:val="0"/>
      <w:marRight w:val="0"/>
      <w:marTop w:val="0"/>
      <w:marBottom w:val="0"/>
      <w:divBdr>
        <w:top w:val="none" w:sz="0" w:space="0" w:color="auto"/>
        <w:left w:val="none" w:sz="0" w:space="0" w:color="auto"/>
        <w:bottom w:val="none" w:sz="0" w:space="0" w:color="auto"/>
        <w:right w:val="none" w:sz="0" w:space="0" w:color="auto"/>
      </w:divBdr>
    </w:div>
    <w:div w:id="1582565710">
      <w:bodyDiv w:val="1"/>
      <w:marLeft w:val="0"/>
      <w:marRight w:val="0"/>
      <w:marTop w:val="0"/>
      <w:marBottom w:val="0"/>
      <w:divBdr>
        <w:top w:val="none" w:sz="0" w:space="0" w:color="auto"/>
        <w:left w:val="none" w:sz="0" w:space="0" w:color="auto"/>
        <w:bottom w:val="none" w:sz="0" w:space="0" w:color="auto"/>
        <w:right w:val="none" w:sz="0" w:space="0" w:color="auto"/>
      </w:divBdr>
    </w:div>
    <w:div w:id="1587113746">
      <w:bodyDiv w:val="1"/>
      <w:marLeft w:val="0"/>
      <w:marRight w:val="0"/>
      <w:marTop w:val="0"/>
      <w:marBottom w:val="0"/>
      <w:divBdr>
        <w:top w:val="none" w:sz="0" w:space="0" w:color="auto"/>
        <w:left w:val="none" w:sz="0" w:space="0" w:color="auto"/>
        <w:bottom w:val="none" w:sz="0" w:space="0" w:color="auto"/>
        <w:right w:val="none" w:sz="0" w:space="0" w:color="auto"/>
      </w:divBdr>
    </w:div>
    <w:div w:id="1589584349">
      <w:bodyDiv w:val="1"/>
      <w:marLeft w:val="0"/>
      <w:marRight w:val="0"/>
      <w:marTop w:val="0"/>
      <w:marBottom w:val="0"/>
      <w:divBdr>
        <w:top w:val="none" w:sz="0" w:space="0" w:color="auto"/>
        <w:left w:val="none" w:sz="0" w:space="0" w:color="auto"/>
        <w:bottom w:val="none" w:sz="0" w:space="0" w:color="auto"/>
        <w:right w:val="none" w:sz="0" w:space="0" w:color="auto"/>
      </w:divBdr>
    </w:div>
    <w:div w:id="1625425129">
      <w:bodyDiv w:val="1"/>
      <w:marLeft w:val="0"/>
      <w:marRight w:val="0"/>
      <w:marTop w:val="0"/>
      <w:marBottom w:val="0"/>
      <w:divBdr>
        <w:top w:val="none" w:sz="0" w:space="0" w:color="auto"/>
        <w:left w:val="none" w:sz="0" w:space="0" w:color="auto"/>
        <w:bottom w:val="none" w:sz="0" w:space="0" w:color="auto"/>
        <w:right w:val="none" w:sz="0" w:space="0" w:color="auto"/>
      </w:divBdr>
    </w:div>
    <w:div w:id="1648584341">
      <w:bodyDiv w:val="1"/>
      <w:marLeft w:val="0"/>
      <w:marRight w:val="0"/>
      <w:marTop w:val="0"/>
      <w:marBottom w:val="0"/>
      <w:divBdr>
        <w:top w:val="none" w:sz="0" w:space="0" w:color="auto"/>
        <w:left w:val="none" w:sz="0" w:space="0" w:color="auto"/>
        <w:bottom w:val="none" w:sz="0" w:space="0" w:color="auto"/>
        <w:right w:val="none" w:sz="0" w:space="0" w:color="auto"/>
      </w:divBdr>
    </w:div>
    <w:div w:id="1665432601">
      <w:bodyDiv w:val="1"/>
      <w:marLeft w:val="0"/>
      <w:marRight w:val="0"/>
      <w:marTop w:val="0"/>
      <w:marBottom w:val="0"/>
      <w:divBdr>
        <w:top w:val="none" w:sz="0" w:space="0" w:color="auto"/>
        <w:left w:val="none" w:sz="0" w:space="0" w:color="auto"/>
        <w:bottom w:val="none" w:sz="0" w:space="0" w:color="auto"/>
        <w:right w:val="none" w:sz="0" w:space="0" w:color="auto"/>
      </w:divBdr>
    </w:div>
    <w:div w:id="1682849682">
      <w:bodyDiv w:val="1"/>
      <w:marLeft w:val="0"/>
      <w:marRight w:val="0"/>
      <w:marTop w:val="0"/>
      <w:marBottom w:val="0"/>
      <w:divBdr>
        <w:top w:val="none" w:sz="0" w:space="0" w:color="auto"/>
        <w:left w:val="none" w:sz="0" w:space="0" w:color="auto"/>
        <w:bottom w:val="none" w:sz="0" w:space="0" w:color="auto"/>
        <w:right w:val="none" w:sz="0" w:space="0" w:color="auto"/>
      </w:divBdr>
    </w:div>
    <w:div w:id="1703625752">
      <w:bodyDiv w:val="1"/>
      <w:marLeft w:val="0"/>
      <w:marRight w:val="0"/>
      <w:marTop w:val="0"/>
      <w:marBottom w:val="0"/>
      <w:divBdr>
        <w:top w:val="none" w:sz="0" w:space="0" w:color="auto"/>
        <w:left w:val="none" w:sz="0" w:space="0" w:color="auto"/>
        <w:bottom w:val="none" w:sz="0" w:space="0" w:color="auto"/>
        <w:right w:val="none" w:sz="0" w:space="0" w:color="auto"/>
      </w:divBdr>
    </w:div>
    <w:div w:id="1714884647">
      <w:bodyDiv w:val="1"/>
      <w:marLeft w:val="0"/>
      <w:marRight w:val="0"/>
      <w:marTop w:val="0"/>
      <w:marBottom w:val="0"/>
      <w:divBdr>
        <w:top w:val="none" w:sz="0" w:space="0" w:color="auto"/>
        <w:left w:val="none" w:sz="0" w:space="0" w:color="auto"/>
        <w:bottom w:val="none" w:sz="0" w:space="0" w:color="auto"/>
        <w:right w:val="none" w:sz="0" w:space="0" w:color="auto"/>
      </w:divBdr>
    </w:div>
    <w:div w:id="1722944746">
      <w:bodyDiv w:val="1"/>
      <w:marLeft w:val="0"/>
      <w:marRight w:val="0"/>
      <w:marTop w:val="0"/>
      <w:marBottom w:val="0"/>
      <w:divBdr>
        <w:top w:val="none" w:sz="0" w:space="0" w:color="auto"/>
        <w:left w:val="none" w:sz="0" w:space="0" w:color="auto"/>
        <w:bottom w:val="none" w:sz="0" w:space="0" w:color="auto"/>
        <w:right w:val="none" w:sz="0" w:space="0" w:color="auto"/>
      </w:divBdr>
    </w:div>
    <w:div w:id="1745377599">
      <w:bodyDiv w:val="1"/>
      <w:marLeft w:val="0"/>
      <w:marRight w:val="0"/>
      <w:marTop w:val="0"/>
      <w:marBottom w:val="0"/>
      <w:divBdr>
        <w:top w:val="none" w:sz="0" w:space="0" w:color="auto"/>
        <w:left w:val="none" w:sz="0" w:space="0" w:color="auto"/>
        <w:bottom w:val="none" w:sz="0" w:space="0" w:color="auto"/>
        <w:right w:val="none" w:sz="0" w:space="0" w:color="auto"/>
      </w:divBdr>
    </w:div>
    <w:div w:id="1746027147">
      <w:bodyDiv w:val="1"/>
      <w:marLeft w:val="0"/>
      <w:marRight w:val="0"/>
      <w:marTop w:val="0"/>
      <w:marBottom w:val="0"/>
      <w:divBdr>
        <w:top w:val="none" w:sz="0" w:space="0" w:color="auto"/>
        <w:left w:val="none" w:sz="0" w:space="0" w:color="auto"/>
        <w:bottom w:val="none" w:sz="0" w:space="0" w:color="auto"/>
        <w:right w:val="none" w:sz="0" w:space="0" w:color="auto"/>
      </w:divBdr>
      <w:divsChild>
        <w:div w:id="1384526017">
          <w:marLeft w:val="0"/>
          <w:marRight w:val="0"/>
          <w:marTop w:val="0"/>
          <w:marBottom w:val="0"/>
          <w:divBdr>
            <w:top w:val="none" w:sz="0" w:space="0" w:color="auto"/>
            <w:left w:val="none" w:sz="0" w:space="0" w:color="auto"/>
            <w:bottom w:val="none" w:sz="0" w:space="0" w:color="auto"/>
            <w:right w:val="none" w:sz="0" w:space="0" w:color="auto"/>
          </w:divBdr>
          <w:divsChild>
            <w:div w:id="1706564105">
              <w:marLeft w:val="0"/>
              <w:marRight w:val="0"/>
              <w:marTop w:val="0"/>
              <w:marBottom w:val="0"/>
              <w:divBdr>
                <w:top w:val="none" w:sz="0" w:space="0" w:color="auto"/>
                <w:left w:val="none" w:sz="0" w:space="0" w:color="auto"/>
                <w:bottom w:val="none" w:sz="0" w:space="0" w:color="auto"/>
                <w:right w:val="none" w:sz="0" w:space="0" w:color="auto"/>
              </w:divBdr>
              <w:divsChild>
                <w:div w:id="10443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2855">
      <w:bodyDiv w:val="1"/>
      <w:marLeft w:val="0"/>
      <w:marRight w:val="0"/>
      <w:marTop w:val="0"/>
      <w:marBottom w:val="0"/>
      <w:divBdr>
        <w:top w:val="none" w:sz="0" w:space="0" w:color="auto"/>
        <w:left w:val="none" w:sz="0" w:space="0" w:color="auto"/>
        <w:bottom w:val="none" w:sz="0" w:space="0" w:color="auto"/>
        <w:right w:val="none" w:sz="0" w:space="0" w:color="auto"/>
      </w:divBdr>
    </w:div>
    <w:div w:id="1781103521">
      <w:bodyDiv w:val="1"/>
      <w:marLeft w:val="0"/>
      <w:marRight w:val="0"/>
      <w:marTop w:val="0"/>
      <w:marBottom w:val="0"/>
      <w:divBdr>
        <w:top w:val="none" w:sz="0" w:space="0" w:color="auto"/>
        <w:left w:val="none" w:sz="0" w:space="0" w:color="auto"/>
        <w:bottom w:val="none" w:sz="0" w:space="0" w:color="auto"/>
        <w:right w:val="none" w:sz="0" w:space="0" w:color="auto"/>
      </w:divBdr>
    </w:div>
    <w:div w:id="1784183511">
      <w:bodyDiv w:val="1"/>
      <w:marLeft w:val="0"/>
      <w:marRight w:val="0"/>
      <w:marTop w:val="0"/>
      <w:marBottom w:val="0"/>
      <w:divBdr>
        <w:top w:val="none" w:sz="0" w:space="0" w:color="auto"/>
        <w:left w:val="none" w:sz="0" w:space="0" w:color="auto"/>
        <w:bottom w:val="none" w:sz="0" w:space="0" w:color="auto"/>
        <w:right w:val="none" w:sz="0" w:space="0" w:color="auto"/>
      </w:divBdr>
    </w:div>
    <w:div w:id="1804695546">
      <w:bodyDiv w:val="1"/>
      <w:marLeft w:val="0"/>
      <w:marRight w:val="0"/>
      <w:marTop w:val="0"/>
      <w:marBottom w:val="0"/>
      <w:divBdr>
        <w:top w:val="none" w:sz="0" w:space="0" w:color="auto"/>
        <w:left w:val="none" w:sz="0" w:space="0" w:color="auto"/>
        <w:bottom w:val="none" w:sz="0" w:space="0" w:color="auto"/>
        <w:right w:val="none" w:sz="0" w:space="0" w:color="auto"/>
      </w:divBdr>
    </w:div>
    <w:div w:id="1834370438">
      <w:bodyDiv w:val="1"/>
      <w:marLeft w:val="0"/>
      <w:marRight w:val="0"/>
      <w:marTop w:val="0"/>
      <w:marBottom w:val="0"/>
      <w:divBdr>
        <w:top w:val="none" w:sz="0" w:space="0" w:color="auto"/>
        <w:left w:val="none" w:sz="0" w:space="0" w:color="auto"/>
        <w:bottom w:val="none" w:sz="0" w:space="0" w:color="auto"/>
        <w:right w:val="none" w:sz="0" w:space="0" w:color="auto"/>
      </w:divBdr>
      <w:divsChild>
        <w:div w:id="114107761">
          <w:marLeft w:val="0"/>
          <w:marRight w:val="0"/>
          <w:marTop w:val="0"/>
          <w:marBottom w:val="0"/>
          <w:divBdr>
            <w:top w:val="none" w:sz="0" w:space="0" w:color="auto"/>
            <w:left w:val="none" w:sz="0" w:space="0" w:color="auto"/>
            <w:bottom w:val="none" w:sz="0" w:space="0" w:color="auto"/>
            <w:right w:val="none" w:sz="0" w:space="0" w:color="auto"/>
          </w:divBdr>
          <w:divsChild>
            <w:div w:id="192812677">
              <w:marLeft w:val="0"/>
              <w:marRight w:val="0"/>
              <w:marTop w:val="0"/>
              <w:marBottom w:val="0"/>
              <w:divBdr>
                <w:top w:val="none" w:sz="0" w:space="0" w:color="auto"/>
                <w:left w:val="none" w:sz="0" w:space="0" w:color="auto"/>
                <w:bottom w:val="none" w:sz="0" w:space="0" w:color="auto"/>
                <w:right w:val="none" w:sz="0" w:space="0" w:color="auto"/>
              </w:divBdr>
            </w:div>
            <w:div w:id="417793590">
              <w:marLeft w:val="0"/>
              <w:marRight w:val="0"/>
              <w:marTop w:val="0"/>
              <w:marBottom w:val="0"/>
              <w:divBdr>
                <w:top w:val="none" w:sz="0" w:space="0" w:color="auto"/>
                <w:left w:val="none" w:sz="0" w:space="0" w:color="auto"/>
                <w:bottom w:val="none" w:sz="0" w:space="0" w:color="auto"/>
                <w:right w:val="none" w:sz="0" w:space="0" w:color="auto"/>
              </w:divBdr>
            </w:div>
            <w:div w:id="759132954">
              <w:marLeft w:val="0"/>
              <w:marRight w:val="0"/>
              <w:marTop w:val="0"/>
              <w:marBottom w:val="0"/>
              <w:divBdr>
                <w:top w:val="none" w:sz="0" w:space="0" w:color="auto"/>
                <w:left w:val="none" w:sz="0" w:space="0" w:color="auto"/>
                <w:bottom w:val="none" w:sz="0" w:space="0" w:color="auto"/>
                <w:right w:val="none" w:sz="0" w:space="0" w:color="auto"/>
              </w:divBdr>
            </w:div>
            <w:div w:id="894001276">
              <w:marLeft w:val="0"/>
              <w:marRight w:val="0"/>
              <w:marTop w:val="0"/>
              <w:marBottom w:val="0"/>
              <w:divBdr>
                <w:top w:val="none" w:sz="0" w:space="0" w:color="auto"/>
                <w:left w:val="none" w:sz="0" w:space="0" w:color="auto"/>
                <w:bottom w:val="none" w:sz="0" w:space="0" w:color="auto"/>
                <w:right w:val="none" w:sz="0" w:space="0" w:color="auto"/>
              </w:divBdr>
            </w:div>
            <w:div w:id="1246111461">
              <w:marLeft w:val="0"/>
              <w:marRight w:val="0"/>
              <w:marTop w:val="0"/>
              <w:marBottom w:val="0"/>
              <w:divBdr>
                <w:top w:val="none" w:sz="0" w:space="0" w:color="auto"/>
                <w:left w:val="none" w:sz="0" w:space="0" w:color="auto"/>
                <w:bottom w:val="none" w:sz="0" w:space="0" w:color="auto"/>
                <w:right w:val="none" w:sz="0" w:space="0" w:color="auto"/>
              </w:divBdr>
            </w:div>
            <w:div w:id="1437019203">
              <w:marLeft w:val="0"/>
              <w:marRight w:val="0"/>
              <w:marTop w:val="0"/>
              <w:marBottom w:val="0"/>
              <w:divBdr>
                <w:top w:val="none" w:sz="0" w:space="0" w:color="auto"/>
                <w:left w:val="none" w:sz="0" w:space="0" w:color="auto"/>
                <w:bottom w:val="none" w:sz="0" w:space="0" w:color="auto"/>
                <w:right w:val="none" w:sz="0" w:space="0" w:color="auto"/>
              </w:divBdr>
            </w:div>
            <w:div w:id="14921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151">
      <w:bodyDiv w:val="1"/>
      <w:marLeft w:val="0"/>
      <w:marRight w:val="0"/>
      <w:marTop w:val="0"/>
      <w:marBottom w:val="0"/>
      <w:divBdr>
        <w:top w:val="none" w:sz="0" w:space="0" w:color="auto"/>
        <w:left w:val="none" w:sz="0" w:space="0" w:color="auto"/>
        <w:bottom w:val="none" w:sz="0" w:space="0" w:color="auto"/>
        <w:right w:val="none" w:sz="0" w:space="0" w:color="auto"/>
      </w:divBdr>
    </w:div>
    <w:div w:id="1872647543">
      <w:bodyDiv w:val="1"/>
      <w:marLeft w:val="0"/>
      <w:marRight w:val="0"/>
      <w:marTop w:val="0"/>
      <w:marBottom w:val="0"/>
      <w:divBdr>
        <w:top w:val="none" w:sz="0" w:space="0" w:color="auto"/>
        <w:left w:val="none" w:sz="0" w:space="0" w:color="auto"/>
        <w:bottom w:val="none" w:sz="0" w:space="0" w:color="auto"/>
        <w:right w:val="none" w:sz="0" w:space="0" w:color="auto"/>
      </w:divBdr>
    </w:div>
    <w:div w:id="1888100979">
      <w:bodyDiv w:val="1"/>
      <w:marLeft w:val="0"/>
      <w:marRight w:val="0"/>
      <w:marTop w:val="0"/>
      <w:marBottom w:val="0"/>
      <w:divBdr>
        <w:top w:val="none" w:sz="0" w:space="0" w:color="auto"/>
        <w:left w:val="none" w:sz="0" w:space="0" w:color="auto"/>
        <w:bottom w:val="none" w:sz="0" w:space="0" w:color="auto"/>
        <w:right w:val="none" w:sz="0" w:space="0" w:color="auto"/>
      </w:divBdr>
    </w:div>
    <w:div w:id="1933973702">
      <w:bodyDiv w:val="1"/>
      <w:marLeft w:val="0"/>
      <w:marRight w:val="0"/>
      <w:marTop w:val="0"/>
      <w:marBottom w:val="0"/>
      <w:divBdr>
        <w:top w:val="none" w:sz="0" w:space="0" w:color="auto"/>
        <w:left w:val="none" w:sz="0" w:space="0" w:color="auto"/>
        <w:bottom w:val="none" w:sz="0" w:space="0" w:color="auto"/>
        <w:right w:val="none" w:sz="0" w:space="0" w:color="auto"/>
      </w:divBdr>
    </w:div>
    <w:div w:id="1945260277">
      <w:bodyDiv w:val="1"/>
      <w:marLeft w:val="0"/>
      <w:marRight w:val="0"/>
      <w:marTop w:val="0"/>
      <w:marBottom w:val="0"/>
      <w:divBdr>
        <w:top w:val="none" w:sz="0" w:space="0" w:color="auto"/>
        <w:left w:val="none" w:sz="0" w:space="0" w:color="auto"/>
        <w:bottom w:val="none" w:sz="0" w:space="0" w:color="auto"/>
        <w:right w:val="none" w:sz="0" w:space="0" w:color="auto"/>
      </w:divBdr>
    </w:div>
    <w:div w:id="1950814168">
      <w:bodyDiv w:val="1"/>
      <w:marLeft w:val="0"/>
      <w:marRight w:val="0"/>
      <w:marTop w:val="0"/>
      <w:marBottom w:val="0"/>
      <w:divBdr>
        <w:top w:val="none" w:sz="0" w:space="0" w:color="auto"/>
        <w:left w:val="none" w:sz="0" w:space="0" w:color="auto"/>
        <w:bottom w:val="none" w:sz="0" w:space="0" w:color="auto"/>
        <w:right w:val="none" w:sz="0" w:space="0" w:color="auto"/>
      </w:divBdr>
    </w:div>
    <w:div w:id="1953172727">
      <w:bodyDiv w:val="1"/>
      <w:marLeft w:val="0"/>
      <w:marRight w:val="0"/>
      <w:marTop w:val="0"/>
      <w:marBottom w:val="0"/>
      <w:divBdr>
        <w:top w:val="none" w:sz="0" w:space="0" w:color="auto"/>
        <w:left w:val="none" w:sz="0" w:space="0" w:color="auto"/>
        <w:bottom w:val="none" w:sz="0" w:space="0" w:color="auto"/>
        <w:right w:val="none" w:sz="0" w:space="0" w:color="auto"/>
      </w:divBdr>
      <w:divsChild>
        <w:div w:id="489832385">
          <w:marLeft w:val="0"/>
          <w:marRight w:val="0"/>
          <w:marTop w:val="0"/>
          <w:marBottom w:val="0"/>
          <w:divBdr>
            <w:top w:val="none" w:sz="0" w:space="0" w:color="auto"/>
            <w:left w:val="none" w:sz="0" w:space="0" w:color="auto"/>
            <w:bottom w:val="none" w:sz="0" w:space="0" w:color="auto"/>
            <w:right w:val="none" w:sz="0" w:space="0" w:color="auto"/>
          </w:divBdr>
        </w:div>
      </w:divsChild>
    </w:div>
    <w:div w:id="1955405693">
      <w:bodyDiv w:val="1"/>
      <w:marLeft w:val="0"/>
      <w:marRight w:val="0"/>
      <w:marTop w:val="0"/>
      <w:marBottom w:val="0"/>
      <w:divBdr>
        <w:top w:val="none" w:sz="0" w:space="0" w:color="auto"/>
        <w:left w:val="none" w:sz="0" w:space="0" w:color="auto"/>
        <w:bottom w:val="none" w:sz="0" w:space="0" w:color="auto"/>
        <w:right w:val="none" w:sz="0" w:space="0" w:color="auto"/>
      </w:divBdr>
      <w:divsChild>
        <w:div w:id="1471676966">
          <w:marLeft w:val="0"/>
          <w:marRight w:val="0"/>
          <w:marTop w:val="0"/>
          <w:marBottom w:val="0"/>
          <w:divBdr>
            <w:top w:val="none" w:sz="0" w:space="0" w:color="auto"/>
            <w:left w:val="none" w:sz="0" w:space="0" w:color="auto"/>
            <w:bottom w:val="none" w:sz="0" w:space="0" w:color="auto"/>
            <w:right w:val="none" w:sz="0" w:space="0" w:color="auto"/>
          </w:divBdr>
          <w:divsChild>
            <w:div w:id="1954558621">
              <w:marLeft w:val="0"/>
              <w:marRight w:val="0"/>
              <w:marTop w:val="0"/>
              <w:marBottom w:val="0"/>
              <w:divBdr>
                <w:top w:val="none" w:sz="0" w:space="0" w:color="auto"/>
                <w:left w:val="none" w:sz="0" w:space="0" w:color="auto"/>
                <w:bottom w:val="none" w:sz="0" w:space="0" w:color="auto"/>
                <w:right w:val="none" w:sz="0" w:space="0" w:color="auto"/>
              </w:divBdr>
              <w:divsChild>
                <w:div w:id="941453443">
                  <w:marLeft w:val="0"/>
                  <w:marRight w:val="0"/>
                  <w:marTop w:val="0"/>
                  <w:marBottom w:val="0"/>
                  <w:divBdr>
                    <w:top w:val="none" w:sz="0" w:space="0" w:color="auto"/>
                    <w:left w:val="none" w:sz="0" w:space="0" w:color="auto"/>
                    <w:bottom w:val="none" w:sz="0" w:space="0" w:color="auto"/>
                    <w:right w:val="none" w:sz="0" w:space="0" w:color="auto"/>
                  </w:divBdr>
                  <w:divsChild>
                    <w:div w:id="603997767">
                      <w:marLeft w:val="0"/>
                      <w:marRight w:val="0"/>
                      <w:marTop w:val="0"/>
                      <w:marBottom w:val="0"/>
                      <w:divBdr>
                        <w:top w:val="none" w:sz="0" w:space="0" w:color="auto"/>
                        <w:left w:val="none" w:sz="0" w:space="0" w:color="auto"/>
                        <w:bottom w:val="none" w:sz="0" w:space="0" w:color="auto"/>
                        <w:right w:val="none" w:sz="0" w:space="0" w:color="auto"/>
                      </w:divBdr>
                      <w:divsChild>
                        <w:div w:id="1574704160">
                          <w:marLeft w:val="0"/>
                          <w:marRight w:val="0"/>
                          <w:marTop w:val="0"/>
                          <w:marBottom w:val="0"/>
                          <w:divBdr>
                            <w:top w:val="none" w:sz="0" w:space="0" w:color="auto"/>
                            <w:left w:val="none" w:sz="0" w:space="0" w:color="auto"/>
                            <w:bottom w:val="none" w:sz="0" w:space="0" w:color="auto"/>
                            <w:right w:val="none" w:sz="0" w:space="0" w:color="auto"/>
                          </w:divBdr>
                          <w:divsChild>
                            <w:div w:id="1565216008">
                              <w:marLeft w:val="0"/>
                              <w:marRight w:val="0"/>
                              <w:marTop w:val="0"/>
                              <w:marBottom w:val="0"/>
                              <w:divBdr>
                                <w:top w:val="none" w:sz="0" w:space="0" w:color="auto"/>
                                <w:left w:val="none" w:sz="0" w:space="0" w:color="auto"/>
                                <w:bottom w:val="none" w:sz="0" w:space="0" w:color="auto"/>
                                <w:right w:val="none" w:sz="0" w:space="0" w:color="auto"/>
                              </w:divBdr>
                              <w:divsChild>
                                <w:div w:id="2044475378">
                                  <w:marLeft w:val="-120"/>
                                  <w:marRight w:val="-120"/>
                                  <w:marTop w:val="0"/>
                                  <w:marBottom w:val="0"/>
                                  <w:divBdr>
                                    <w:top w:val="none" w:sz="0" w:space="0" w:color="auto"/>
                                    <w:left w:val="none" w:sz="0" w:space="0" w:color="auto"/>
                                    <w:bottom w:val="none" w:sz="0" w:space="0" w:color="auto"/>
                                    <w:right w:val="none" w:sz="0" w:space="0" w:color="auto"/>
                                  </w:divBdr>
                                  <w:divsChild>
                                    <w:div w:id="1263147883">
                                      <w:marLeft w:val="0"/>
                                      <w:marRight w:val="0"/>
                                      <w:marTop w:val="0"/>
                                      <w:marBottom w:val="0"/>
                                      <w:divBdr>
                                        <w:top w:val="none" w:sz="0" w:space="0" w:color="auto"/>
                                        <w:left w:val="none" w:sz="0" w:space="0" w:color="auto"/>
                                        <w:bottom w:val="none" w:sz="0" w:space="0" w:color="auto"/>
                                        <w:right w:val="none" w:sz="0" w:space="0" w:color="auto"/>
                                      </w:divBdr>
                                      <w:divsChild>
                                        <w:div w:id="210263262">
                                          <w:marLeft w:val="0"/>
                                          <w:marRight w:val="0"/>
                                          <w:marTop w:val="0"/>
                                          <w:marBottom w:val="0"/>
                                          <w:divBdr>
                                            <w:top w:val="none" w:sz="0" w:space="0" w:color="auto"/>
                                            <w:left w:val="none" w:sz="0" w:space="0" w:color="auto"/>
                                            <w:bottom w:val="none" w:sz="0" w:space="0" w:color="auto"/>
                                            <w:right w:val="none" w:sz="0" w:space="0" w:color="auto"/>
                                          </w:divBdr>
                                          <w:divsChild>
                                            <w:div w:id="2132361618">
                                              <w:marLeft w:val="0"/>
                                              <w:marRight w:val="0"/>
                                              <w:marTop w:val="0"/>
                                              <w:marBottom w:val="0"/>
                                              <w:divBdr>
                                                <w:top w:val="none" w:sz="0" w:space="0" w:color="auto"/>
                                                <w:left w:val="none" w:sz="0" w:space="0" w:color="auto"/>
                                                <w:bottom w:val="none" w:sz="0" w:space="0" w:color="auto"/>
                                                <w:right w:val="none" w:sz="0" w:space="0" w:color="auto"/>
                                              </w:divBdr>
                                              <w:divsChild>
                                                <w:div w:id="716198647">
                                                  <w:marLeft w:val="0"/>
                                                  <w:marRight w:val="0"/>
                                                  <w:marTop w:val="0"/>
                                                  <w:marBottom w:val="0"/>
                                                  <w:divBdr>
                                                    <w:top w:val="none" w:sz="0" w:space="0" w:color="auto"/>
                                                    <w:left w:val="none" w:sz="0" w:space="0" w:color="auto"/>
                                                    <w:bottom w:val="none" w:sz="0" w:space="0" w:color="auto"/>
                                                    <w:right w:val="none" w:sz="0" w:space="0" w:color="auto"/>
                                                  </w:divBdr>
                                                  <w:divsChild>
                                                    <w:div w:id="19322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571498">
      <w:bodyDiv w:val="1"/>
      <w:marLeft w:val="0"/>
      <w:marRight w:val="0"/>
      <w:marTop w:val="0"/>
      <w:marBottom w:val="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sChild>
            <w:div w:id="396363241">
              <w:marLeft w:val="0"/>
              <w:marRight w:val="0"/>
              <w:marTop w:val="0"/>
              <w:marBottom w:val="0"/>
              <w:divBdr>
                <w:top w:val="none" w:sz="0" w:space="0" w:color="auto"/>
                <w:left w:val="none" w:sz="0" w:space="0" w:color="auto"/>
                <w:bottom w:val="none" w:sz="0" w:space="0" w:color="auto"/>
                <w:right w:val="none" w:sz="0" w:space="0" w:color="auto"/>
              </w:divBdr>
              <w:divsChild>
                <w:div w:id="1339309494">
                  <w:marLeft w:val="0"/>
                  <w:marRight w:val="0"/>
                  <w:marTop w:val="600"/>
                  <w:marBottom w:val="300"/>
                  <w:divBdr>
                    <w:top w:val="none" w:sz="0" w:space="0" w:color="auto"/>
                    <w:left w:val="none" w:sz="0" w:space="0" w:color="auto"/>
                    <w:bottom w:val="none" w:sz="0" w:space="0" w:color="auto"/>
                    <w:right w:val="none" w:sz="0" w:space="0" w:color="auto"/>
                  </w:divBdr>
                  <w:divsChild>
                    <w:div w:id="228612811">
                      <w:marLeft w:val="0"/>
                      <w:marRight w:val="0"/>
                      <w:marTop w:val="0"/>
                      <w:marBottom w:val="0"/>
                      <w:divBdr>
                        <w:top w:val="none" w:sz="0" w:space="0" w:color="auto"/>
                        <w:left w:val="none" w:sz="0" w:space="0" w:color="auto"/>
                        <w:bottom w:val="none" w:sz="0" w:space="0" w:color="auto"/>
                        <w:right w:val="none" w:sz="0" w:space="0" w:color="auto"/>
                      </w:divBdr>
                      <w:divsChild>
                        <w:div w:id="877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99031">
      <w:bodyDiv w:val="1"/>
      <w:marLeft w:val="0"/>
      <w:marRight w:val="0"/>
      <w:marTop w:val="0"/>
      <w:marBottom w:val="0"/>
      <w:divBdr>
        <w:top w:val="none" w:sz="0" w:space="0" w:color="auto"/>
        <w:left w:val="none" w:sz="0" w:space="0" w:color="auto"/>
        <w:bottom w:val="none" w:sz="0" w:space="0" w:color="auto"/>
        <w:right w:val="none" w:sz="0" w:space="0" w:color="auto"/>
      </w:divBdr>
      <w:divsChild>
        <w:div w:id="22678765">
          <w:marLeft w:val="0"/>
          <w:marRight w:val="0"/>
          <w:marTop w:val="0"/>
          <w:marBottom w:val="0"/>
          <w:divBdr>
            <w:top w:val="none" w:sz="0" w:space="0" w:color="auto"/>
            <w:left w:val="none" w:sz="0" w:space="0" w:color="auto"/>
            <w:bottom w:val="none" w:sz="0" w:space="0" w:color="auto"/>
            <w:right w:val="none" w:sz="0" w:space="0" w:color="auto"/>
          </w:divBdr>
          <w:divsChild>
            <w:div w:id="381561535">
              <w:marLeft w:val="0"/>
              <w:marRight w:val="0"/>
              <w:marTop w:val="0"/>
              <w:marBottom w:val="0"/>
              <w:divBdr>
                <w:top w:val="none" w:sz="0" w:space="0" w:color="auto"/>
                <w:left w:val="none" w:sz="0" w:space="0" w:color="auto"/>
                <w:bottom w:val="none" w:sz="0" w:space="0" w:color="auto"/>
                <w:right w:val="none" w:sz="0" w:space="0" w:color="auto"/>
              </w:divBdr>
              <w:divsChild>
                <w:div w:id="19071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3000">
      <w:bodyDiv w:val="1"/>
      <w:marLeft w:val="0"/>
      <w:marRight w:val="0"/>
      <w:marTop w:val="0"/>
      <w:marBottom w:val="0"/>
      <w:divBdr>
        <w:top w:val="none" w:sz="0" w:space="0" w:color="auto"/>
        <w:left w:val="none" w:sz="0" w:space="0" w:color="auto"/>
        <w:bottom w:val="none" w:sz="0" w:space="0" w:color="auto"/>
        <w:right w:val="none" w:sz="0" w:space="0" w:color="auto"/>
      </w:divBdr>
    </w:div>
    <w:div w:id="2064602141">
      <w:bodyDiv w:val="1"/>
      <w:marLeft w:val="0"/>
      <w:marRight w:val="0"/>
      <w:marTop w:val="0"/>
      <w:marBottom w:val="0"/>
      <w:divBdr>
        <w:top w:val="none" w:sz="0" w:space="0" w:color="auto"/>
        <w:left w:val="none" w:sz="0" w:space="0" w:color="auto"/>
        <w:bottom w:val="none" w:sz="0" w:space="0" w:color="auto"/>
        <w:right w:val="none" w:sz="0" w:space="0" w:color="auto"/>
      </w:divBdr>
    </w:div>
    <w:div w:id="2075658203">
      <w:bodyDiv w:val="1"/>
      <w:marLeft w:val="0"/>
      <w:marRight w:val="0"/>
      <w:marTop w:val="0"/>
      <w:marBottom w:val="0"/>
      <w:divBdr>
        <w:top w:val="none" w:sz="0" w:space="0" w:color="auto"/>
        <w:left w:val="none" w:sz="0" w:space="0" w:color="auto"/>
        <w:bottom w:val="none" w:sz="0" w:space="0" w:color="auto"/>
        <w:right w:val="none" w:sz="0" w:space="0" w:color="auto"/>
      </w:divBdr>
    </w:div>
    <w:div w:id="2112385221">
      <w:bodyDiv w:val="1"/>
      <w:marLeft w:val="0"/>
      <w:marRight w:val="0"/>
      <w:marTop w:val="0"/>
      <w:marBottom w:val="0"/>
      <w:divBdr>
        <w:top w:val="none" w:sz="0" w:space="0" w:color="auto"/>
        <w:left w:val="none" w:sz="0" w:space="0" w:color="auto"/>
        <w:bottom w:val="none" w:sz="0" w:space="0" w:color="auto"/>
        <w:right w:val="none" w:sz="0" w:space="0" w:color="auto"/>
      </w:divBdr>
    </w:div>
    <w:div w:id="2134277749">
      <w:bodyDiv w:val="1"/>
      <w:marLeft w:val="0"/>
      <w:marRight w:val="0"/>
      <w:marTop w:val="0"/>
      <w:marBottom w:val="0"/>
      <w:divBdr>
        <w:top w:val="none" w:sz="0" w:space="0" w:color="auto"/>
        <w:left w:val="none" w:sz="0" w:space="0" w:color="auto"/>
        <w:bottom w:val="none" w:sz="0" w:space="0" w:color="auto"/>
        <w:right w:val="none" w:sz="0" w:space="0" w:color="auto"/>
      </w:divBdr>
    </w:div>
    <w:div w:id="21391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sc.eu/14th-annual-road-safety-performance-index-pin-report/" TargetMode="External"/><Relationship Id="rId18" Type="http://schemas.openxmlformats.org/officeDocument/2006/relationships/chart" Target="charts/chart5.xml"/><Relationship Id="rId26" Type="http://schemas.openxmlformats.org/officeDocument/2006/relationships/hyperlink" Target="https://gino.istat.it/incidenti" TargetMode="External"/><Relationship Id="rId39" Type="http://schemas.openxmlformats.org/officeDocument/2006/relationships/footer" Target="footer1.xml"/><Relationship Id="rId21" Type="http://schemas.openxmlformats.org/officeDocument/2006/relationships/chart" Target="charts/chart7.xml"/><Relationship Id="rId34" Type="http://schemas.openxmlformats.org/officeDocument/2006/relationships/image" Target="media/image8.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6.xml"/><Relationship Id="rId29" Type="http://schemas.openxmlformats.org/officeDocument/2006/relationships/oleObject" Target="embeddings/oleObject1.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image" Target="media/image7.wmf"/><Relationship Id="rId37" Type="http://schemas.openxmlformats.org/officeDocument/2006/relationships/hyperlink" Target="http://www.istat.it/it/archivio/87539"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chart" Target="charts/chart9.xml"/><Relationship Id="rId28" Type="http://schemas.openxmlformats.org/officeDocument/2006/relationships/image" Target="media/image5.wmf"/><Relationship Id="rId36" Type="http://schemas.openxmlformats.org/officeDocument/2006/relationships/hyperlink" Target="http://www.istat.it/it/archivio/76750" TargetMode="External"/><Relationship Id="rId10" Type="http://schemas.openxmlformats.org/officeDocument/2006/relationships/hyperlink" Target="https://transport.ec.europa.eu/news/preliminary-2021-eu-road-safety-statistics-2022-03-28_en" TargetMode="External"/><Relationship Id="rId19" Type="http://schemas.openxmlformats.org/officeDocument/2006/relationships/image" Target="media/image3.jpeg"/><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etsc.eu/16th-annual-road-safety-performance-index-pin-report/" TargetMode="Externa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image" Target="media/image4.jpeg"/><Relationship Id="rId30" Type="http://schemas.openxmlformats.org/officeDocument/2006/relationships/image" Target="media/image6.wmf"/><Relationship Id="rId35" Type="http://schemas.openxmlformats.org/officeDocument/2006/relationships/oleObject" Target="embeddings/oleObject4.bin"/><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etsc.eu/16th-annual-road-safety-performance-index-pin-report/" TargetMode="External"/><Relationship Id="rId17" Type="http://schemas.openxmlformats.org/officeDocument/2006/relationships/chart" Target="charts/chart4.xml"/><Relationship Id="rId25" Type="http://schemas.openxmlformats.org/officeDocument/2006/relationships/hyperlink" Target="https://www.istat.it/it/archivio/257382" TargetMode="External"/><Relationship Id="rId33" Type="http://schemas.openxmlformats.org/officeDocument/2006/relationships/oleObject" Target="embeddings/oleObject3.bin"/><Relationship Id="rId38" Type="http://schemas.openxmlformats.org/officeDocument/2006/relationships/hyperlink" Target="http://ec.europa.eu/transport/road_safety/specialist/statistics/index_en.ht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s://www.istat.it/it/benessere-e-sostenibilit%C3%A0/obiettivi-di-sviluppo-sostenibile" TargetMode="External"/><Relationship Id="rId1" Type="http://schemas.openxmlformats.org/officeDocument/2006/relationships/hyperlink" Target="https://www.aci.it/index.php?id=1215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zal\Downloads\Grafici_incidenti%20stradali_report_IT_ENanno202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enzal\Downloads\Grafici_incidenti%20stradali_report_IT_ENanno202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enzal\Downloads\Grafici_incidenti%20stradali_report_IT_ENanno202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zal\Downloads\Grafici_incidenti%20stradali_report_IT_ENanno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zal\Downloads\Grafici_incidenti%20stradali_report_IT_ENanno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nzal\Downloads\Grafici_incidenti%20stradali_report_IT_ENanno202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enzal\Downloads\Grafici_incidenti%20stradali_report_IT_ENanno2021.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E:\PC%20portatile%20DELL%20(cartelle%20importanti)\1%20dati%202021\Grafici_incidenti%20stradali_report_IT_ENanno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zal\Downloads\Grafici_incidenti%20stradali_report_IT_ENanno202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enzal\Downloads\Grafici_incidenti%20stradali_report_IT_ENanno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003641029533234E-2"/>
          <c:y val="3.4838152522534631E-2"/>
          <c:w val="0.73574823424022417"/>
          <c:h val="0.80066473269788641"/>
        </c:manualLayout>
      </c:layout>
      <c:barChart>
        <c:barDir val="col"/>
        <c:grouping val="clustered"/>
        <c:varyColors val="0"/>
        <c:ser>
          <c:idx val="1"/>
          <c:order val="1"/>
          <c:tx>
            <c:strRef>
              <c:f>'figura 1 IT_2021'!$C$1</c:f>
              <c:strCache>
                <c:ptCount val="1"/>
                <c:pt idx="0">
                  <c:v>Vittime</c:v>
                </c:pt>
              </c:strCache>
            </c:strRef>
          </c:tx>
          <c:spPr>
            <a:solidFill>
              <a:schemeClr val="bg1">
                <a:lumMod val="65000"/>
              </a:schemeClr>
            </a:solidFill>
            <a:scene3d>
              <a:camera prst="orthographicFront"/>
              <a:lightRig rig="threePt" dir="t"/>
            </a:scene3d>
            <a:sp3d/>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54-4D14-9D91-C0B67389F633}"/>
                </c:ext>
              </c:extLst>
            </c:dLbl>
            <c:dLbl>
              <c:idx val="10"/>
              <c:layout>
                <c:manualLayout>
                  <c:x val="-5.2667567515819389E-4"/>
                  <c:y val="2.8013484427401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54-4D14-9D91-C0B67389F633}"/>
                </c:ext>
              </c:extLst>
            </c:dLbl>
            <c:dLbl>
              <c:idx val="11"/>
              <c:layout>
                <c:manualLayout>
                  <c:x val="8.9687303467227541E-3"/>
                  <c:y val="4.54812877091344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54-4D14-9D91-C0B67389F633}"/>
                </c:ext>
              </c:extLst>
            </c:dLbl>
            <c:numFmt formatCode="#,##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'figura 1 IT_2021'!$A$11:$A$31</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'figura 1 IT_2021'!$C$11:$C$31</c:f>
              <c:numCache>
                <c:formatCode>General</c:formatCode>
                <c:ptCount val="21"/>
                <c:pt idx="0">
                  <c:v>4114</c:v>
                </c:pt>
                <c:pt idx="1">
                  <c:v>3860</c:v>
                </c:pt>
                <c:pt idx="2">
                  <c:v>3753</c:v>
                </c:pt>
                <c:pt idx="3">
                  <c:v>3401</c:v>
                </c:pt>
                <c:pt idx="4">
                  <c:v>3381</c:v>
                </c:pt>
                <c:pt idx="5">
                  <c:v>3428</c:v>
                </c:pt>
                <c:pt idx="6">
                  <c:v>3283</c:v>
                </c:pt>
                <c:pt idx="7">
                  <c:v>3378</c:v>
                </c:pt>
                <c:pt idx="8">
                  <c:v>3334</c:v>
                </c:pt>
                <c:pt idx="9">
                  <c:v>3173</c:v>
                </c:pt>
                <c:pt idx="10">
                  <c:v>2395</c:v>
                </c:pt>
                <c:pt idx="11">
                  <c:v>2875</c:v>
                </c:pt>
              </c:numCache>
            </c:numRef>
          </c:val>
          <c:extLst>
            <c:ext xmlns:c16="http://schemas.microsoft.com/office/drawing/2014/chart" uri="{C3380CC4-5D6E-409C-BE32-E72D297353CC}">
              <c16:uniqueId val="{00000003-5154-4D14-9D91-C0B67389F633}"/>
            </c:ext>
          </c:extLst>
        </c:ser>
        <c:ser>
          <c:idx val="3"/>
          <c:order val="3"/>
          <c:tx>
            <c:strRef>
              <c:f>'figura 1 IT_2021'!$F$1</c:f>
              <c:strCache>
                <c:ptCount val="1"/>
                <c:pt idx="0">
                  <c:v>Target 2030 di dimezzamento delle vittime</c:v>
                </c:pt>
              </c:strCache>
            </c:strRef>
          </c:tx>
          <c:spPr>
            <a:noFill/>
            <a:ln w="12700">
              <a:solidFill>
                <a:srgbClr val="C00000"/>
              </a:solidFill>
              <a:prstDash val="dash"/>
            </a:ln>
          </c:spPr>
          <c:invertIfNegative val="0"/>
          <c:dLbls>
            <c:dLbl>
              <c:idx val="9"/>
              <c:layout>
                <c:manualLayout>
                  <c:x val="-1.1059236436505523E-2"/>
                  <c:y val="1.5734008280140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54-4D14-9D91-C0B67389F633}"/>
                </c:ext>
              </c:extLst>
            </c:dLbl>
            <c:dLbl>
              <c:idx val="11"/>
              <c:layout>
                <c:manualLayout>
                  <c:x val="4.8399284186019789E-3"/>
                  <c:y val="0.152015373465972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54-4D14-9D91-C0B67389F633}"/>
                </c:ext>
              </c:extLst>
            </c:dLbl>
            <c:dLbl>
              <c:idx val="20"/>
              <c:layout>
                <c:manualLayout>
                  <c:x val="-7.115838065522532E-3"/>
                  <c:y val="1.8813489360374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54-4D14-9D91-C0B67389F633}"/>
                </c:ext>
              </c:extLst>
            </c:dLbl>
            <c:numFmt formatCode="#,##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'figura 1 IT_2021'!$A$11:$A$31</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'figura 1 IT_2021'!$F$11:$F$31</c:f>
              <c:numCache>
                <c:formatCode>General</c:formatCode>
                <c:ptCount val="21"/>
                <c:pt idx="9" formatCode="0">
                  <c:v>3173</c:v>
                </c:pt>
                <c:pt idx="10" formatCode="0">
                  <c:v>2960.4090000000001</c:v>
                </c:pt>
                <c:pt idx="11" formatCode="0">
                  <c:v>2762.0615969999999</c:v>
                </c:pt>
                <c:pt idx="12" formatCode="0">
                  <c:v>2577.0034700010001</c:v>
                </c:pt>
                <c:pt idx="13" formatCode="0">
                  <c:v>2404.344237510933</c:v>
                </c:pt>
                <c:pt idx="14" formatCode="0">
                  <c:v>2243.2531735977004</c:v>
                </c:pt>
                <c:pt idx="15" formatCode="0">
                  <c:v>2092.9552109666547</c:v>
                </c:pt>
                <c:pt idx="16" formatCode="0">
                  <c:v>1952.7272118318888</c:v>
                </c:pt>
                <c:pt idx="17" formatCode="0">
                  <c:v>1821.8944886391523</c:v>
                </c:pt>
                <c:pt idx="18" formatCode="0">
                  <c:v>1699.8275579003291</c:v>
                </c:pt>
                <c:pt idx="19" formatCode="0">
                  <c:v>1585.9391115210071</c:v>
                </c:pt>
                <c:pt idx="20" formatCode="0">
                  <c:v>1585.9391115210071</c:v>
                </c:pt>
              </c:numCache>
            </c:numRef>
          </c:val>
          <c:extLst>
            <c:ext xmlns:c16="http://schemas.microsoft.com/office/drawing/2014/chart" uri="{C3380CC4-5D6E-409C-BE32-E72D297353CC}">
              <c16:uniqueId val="{00000007-5154-4D14-9D91-C0B67389F633}"/>
            </c:ext>
          </c:extLst>
        </c:ser>
        <c:dLbls>
          <c:showLegendKey val="0"/>
          <c:showVal val="0"/>
          <c:showCatName val="0"/>
          <c:showSerName val="0"/>
          <c:showPercent val="0"/>
          <c:showBubbleSize val="0"/>
        </c:dLbls>
        <c:gapWidth val="28"/>
        <c:overlap val="52"/>
        <c:axId val="673474384"/>
        <c:axId val="673471120"/>
      </c:barChart>
      <c:lineChart>
        <c:grouping val="standard"/>
        <c:varyColors val="0"/>
        <c:ser>
          <c:idx val="0"/>
          <c:order val="0"/>
          <c:tx>
            <c:strRef>
              <c:f>'figura 1 IT_2021'!$B$1</c:f>
              <c:strCache>
                <c:ptCount val="1"/>
                <c:pt idx="0">
                  <c:v>Incidenti</c:v>
                </c:pt>
              </c:strCache>
            </c:strRef>
          </c:tx>
          <c:spPr>
            <a:ln>
              <a:solidFill>
                <a:schemeClr val="accent1"/>
              </a:solidFill>
            </a:ln>
          </c:spPr>
          <c:marker>
            <c:symbol val="none"/>
          </c:marker>
          <c:dPt>
            <c:idx val="0"/>
            <c:marker>
              <c:symbol val="circle"/>
              <c:size val="5"/>
            </c:marker>
            <c:bubble3D val="0"/>
            <c:extLst>
              <c:ext xmlns:c16="http://schemas.microsoft.com/office/drawing/2014/chart" uri="{C3380CC4-5D6E-409C-BE32-E72D297353CC}">
                <c16:uniqueId val="{00000008-5154-4D14-9D91-C0B67389F633}"/>
              </c:ext>
            </c:extLst>
          </c:dPt>
          <c:dPt>
            <c:idx val="9"/>
            <c:marker>
              <c:symbol val="circle"/>
              <c:size val="6"/>
            </c:marker>
            <c:bubble3D val="0"/>
            <c:extLst>
              <c:ext xmlns:c16="http://schemas.microsoft.com/office/drawing/2014/chart" uri="{C3380CC4-5D6E-409C-BE32-E72D297353CC}">
                <c16:uniqueId val="{00000009-5154-4D14-9D91-C0B67389F633}"/>
              </c:ext>
            </c:extLst>
          </c:dPt>
          <c:dPt>
            <c:idx val="10"/>
            <c:marker>
              <c:symbol val="circle"/>
              <c:size val="7"/>
            </c:marker>
            <c:bubble3D val="0"/>
            <c:extLst>
              <c:ext xmlns:c16="http://schemas.microsoft.com/office/drawing/2014/chart" uri="{C3380CC4-5D6E-409C-BE32-E72D297353CC}">
                <c16:uniqueId val="{0000000A-5154-4D14-9D91-C0B67389F633}"/>
              </c:ext>
            </c:extLst>
          </c:dPt>
          <c:dPt>
            <c:idx val="11"/>
            <c:marker>
              <c:symbol val="circle"/>
              <c:size val="7"/>
            </c:marker>
            <c:bubble3D val="0"/>
            <c:extLst>
              <c:ext xmlns:c16="http://schemas.microsoft.com/office/drawing/2014/chart" uri="{C3380CC4-5D6E-409C-BE32-E72D297353CC}">
                <c16:uniqueId val="{0000000B-5154-4D14-9D91-C0B67389F633}"/>
              </c:ext>
            </c:extLst>
          </c:dPt>
          <c:dPt>
            <c:idx val="14"/>
            <c:bubble3D val="0"/>
            <c:extLst>
              <c:ext xmlns:c16="http://schemas.microsoft.com/office/drawing/2014/chart" uri="{C3380CC4-5D6E-409C-BE32-E72D297353CC}">
                <c16:uniqueId val="{0000000C-5154-4D14-9D91-C0B67389F633}"/>
              </c:ext>
            </c:extLst>
          </c:dPt>
          <c:dPt>
            <c:idx val="15"/>
            <c:bubble3D val="0"/>
            <c:extLst>
              <c:ext xmlns:c16="http://schemas.microsoft.com/office/drawing/2014/chart" uri="{C3380CC4-5D6E-409C-BE32-E72D297353CC}">
                <c16:uniqueId val="{0000000D-5154-4D14-9D91-C0B67389F633}"/>
              </c:ext>
            </c:extLst>
          </c:dPt>
          <c:dPt>
            <c:idx val="16"/>
            <c:bubble3D val="0"/>
            <c:extLst>
              <c:ext xmlns:c16="http://schemas.microsoft.com/office/drawing/2014/chart" uri="{C3380CC4-5D6E-409C-BE32-E72D297353CC}">
                <c16:uniqueId val="{0000000E-5154-4D14-9D91-C0B67389F633}"/>
              </c:ext>
            </c:extLst>
          </c:dPt>
          <c:dPt>
            <c:idx val="17"/>
            <c:bubble3D val="0"/>
            <c:extLst>
              <c:ext xmlns:c16="http://schemas.microsoft.com/office/drawing/2014/chart" uri="{C3380CC4-5D6E-409C-BE32-E72D297353CC}">
                <c16:uniqueId val="{0000000F-5154-4D14-9D91-C0B67389F633}"/>
              </c:ext>
            </c:extLst>
          </c:dPt>
          <c:dPt>
            <c:idx val="18"/>
            <c:bubble3D val="0"/>
            <c:extLst>
              <c:ext xmlns:c16="http://schemas.microsoft.com/office/drawing/2014/chart" uri="{C3380CC4-5D6E-409C-BE32-E72D297353CC}">
                <c16:uniqueId val="{00000010-5154-4D14-9D91-C0B67389F633}"/>
              </c:ext>
            </c:extLst>
          </c:dPt>
          <c:dPt>
            <c:idx val="19"/>
            <c:bubble3D val="0"/>
            <c:extLst>
              <c:ext xmlns:c16="http://schemas.microsoft.com/office/drawing/2014/chart" uri="{C3380CC4-5D6E-409C-BE32-E72D297353CC}">
                <c16:uniqueId val="{00000011-5154-4D14-9D91-C0B67389F633}"/>
              </c:ext>
            </c:extLst>
          </c:dPt>
          <c:dPt>
            <c:idx val="20"/>
            <c:bubble3D val="0"/>
            <c:extLst>
              <c:ext xmlns:c16="http://schemas.microsoft.com/office/drawing/2014/chart" uri="{C3380CC4-5D6E-409C-BE32-E72D297353CC}">
                <c16:uniqueId val="{00000012-5154-4D14-9D91-C0B67389F633}"/>
              </c:ext>
            </c:extLst>
          </c:dPt>
          <c:dLbls>
            <c:dLbl>
              <c:idx val="0"/>
              <c:delete val="1"/>
              <c:extLst>
                <c:ext xmlns:c15="http://schemas.microsoft.com/office/drawing/2012/chart" uri="{CE6537A1-D6FC-4f65-9D91-7224C49458BB}"/>
                <c:ext xmlns:c16="http://schemas.microsoft.com/office/drawing/2014/chart" uri="{C3380CC4-5D6E-409C-BE32-E72D297353CC}">
                  <c16:uniqueId val="{00000008-5154-4D14-9D91-C0B67389F633}"/>
                </c:ext>
              </c:extLst>
            </c:dLbl>
            <c:dLbl>
              <c:idx val="1"/>
              <c:delete val="1"/>
              <c:extLst>
                <c:ext xmlns:c15="http://schemas.microsoft.com/office/drawing/2012/chart" uri="{CE6537A1-D6FC-4f65-9D91-7224C49458BB}"/>
                <c:ext xmlns:c16="http://schemas.microsoft.com/office/drawing/2014/chart" uri="{C3380CC4-5D6E-409C-BE32-E72D297353CC}">
                  <c16:uniqueId val="{00000013-5154-4D14-9D91-C0B67389F633}"/>
                </c:ext>
              </c:extLst>
            </c:dLbl>
            <c:dLbl>
              <c:idx val="2"/>
              <c:delete val="1"/>
              <c:extLst>
                <c:ext xmlns:c15="http://schemas.microsoft.com/office/drawing/2012/chart" uri="{CE6537A1-D6FC-4f65-9D91-7224C49458BB}"/>
                <c:ext xmlns:c16="http://schemas.microsoft.com/office/drawing/2014/chart" uri="{C3380CC4-5D6E-409C-BE32-E72D297353CC}">
                  <c16:uniqueId val="{00000014-5154-4D14-9D91-C0B67389F633}"/>
                </c:ext>
              </c:extLst>
            </c:dLbl>
            <c:dLbl>
              <c:idx val="3"/>
              <c:delete val="1"/>
              <c:extLst>
                <c:ext xmlns:c15="http://schemas.microsoft.com/office/drawing/2012/chart" uri="{CE6537A1-D6FC-4f65-9D91-7224C49458BB}"/>
                <c:ext xmlns:c16="http://schemas.microsoft.com/office/drawing/2014/chart" uri="{C3380CC4-5D6E-409C-BE32-E72D297353CC}">
                  <c16:uniqueId val="{00000015-5154-4D14-9D91-C0B67389F633}"/>
                </c:ext>
              </c:extLst>
            </c:dLbl>
            <c:dLbl>
              <c:idx val="4"/>
              <c:delete val="1"/>
              <c:extLst>
                <c:ext xmlns:c15="http://schemas.microsoft.com/office/drawing/2012/chart" uri="{CE6537A1-D6FC-4f65-9D91-7224C49458BB}"/>
                <c:ext xmlns:c16="http://schemas.microsoft.com/office/drawing/2014/chart" uri="{C3380CC4-5D6E-409C-BE32-E72D297353CC}">
                  <c16:uniqueId val="{00000016-5154-4D14-9D91-C0B67389F633}"/>
                </c:ext>
              </c:extLst>
            </c:dLbl>
            <c:dLbl>
              <c:idx val="5"/>
              <c:delete val="1"/>
              <c:extLst>
                <c:ext xmlns:c15="http://schemas.microsoft.com/office/drawing/2012/chart" uri="{CE6537A1-D6FC-4f65-9D91-7224C49458BB}"/>
                <c:ext xmlns:c16="http://schemas.microsoft.com/office/drawing/2014/chart" uri="{C3380CC4-5D6E-409C-BE32-E72D297353CC}">
                  <c16:uniqueId val="{00000017-5154-4D14-9D91-C0B67389F633}"/>
                </c:ext>
              </c:extLst>
            </c:dLbl>
            <c:dLbl>
              <c:idx val="6"/>
              <c:delete val="1"/>
              <c:extLst>
                <c:ext xmlns:c15="http://schemas.microsoft.com/office/drawing/2012/chart" uri="{CE6537A1-D6FC-4f65-9D91-7224C49458BB}"/>
                <c:ext xmlns:c16="http://schemas.microsoft.com/office/drawing/2014/chart" uri="{C3380CC4-5D6E-409C-BE32-E72D297353CC}">
                  <c16:uniqueId val="{00000018-5154-4D14-9D91-C0B67389F633}"/>
                </c:ext>
              </c:extLst>
            </c:dLbl>
            <c:dLbl>
              <c:idx val="7"/>
              <c:delete val="1"/>
              <c:extLst>
                <c:ext xmlns:c15="http://schemas.microsoft.com/office/drawing/2012/chart" uri="{CE6537A1-D6FC-4f65-9D91-7224C49458BB}"/>
                <c:ext xmlns:c16="http://schemas.microsoft.com/office/drawing/2014/chart" uri="{C3380CC4-5D6E-409C-BE32-E72D297353CC}">
                  <c16:uniqueId val="{00000019-5154-4D14-9D91-C0B67389F633}"/>
                </c:ext>
              </c:extLst>
            </c:dLbl>
            <c:dLbl>
              <c:idx val="8"/>
              <c:layout>
                <c:manualLayout>
                  <c:x val="-2.7785815122593972E-2"/>
                  <c:y val="-2.533428287023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154-4D14-9D91-C0B67389F633}"/>
                </c:ext>
              </c:extLst>
            </c:dLbl>
            <c:dLbl>
              <c:idx val="9"/>
              <c:delete val="1"/>
              <c:extLst>
                <c:ext xmlns:c15="http://schemas.microsoft.com/office/drawing/2012/chart" uri="{CE6537A1-D6FC-4f65-9D91-7224C49458BB}"/>
                <c:ext xmlns:c16="http://schemas.microsoft.com/office/drawing/2014/chart" uri="{C3380CC4-5D6E-409C-BE32-E72D297353CC}">
                  <c16:uniqueId val="{00000009-5154-4D14-9D91-C0B67389F633}"/>
                </c:ext>
              </c:extLst>
            </c:dLbl>
            <c:dLbl>
              <c:idx val="10"/>
              <c:layout>
                <c:manualLayout>
                  <c:x val="-3.2545162957021187E-2"/>
                  <c:y val="-7.4255024092137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154-4D14-9D91-C0B67389F633}"/>
                </c:ext>
              </c:extLst>
            </c:dLbl>
            <c:dLbl>
              <c:idx val="11"/>
              <c:layout>
                <c:manualLayout>
                  <c:x val="-8.6830672258106801E-3"/>
                  <c:y val="-1.688952191348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54-4D14-9D91-C0B67389F633}"/>
                </c:ext>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'figura 1 IT_2021'!$A$11:$A$31</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'figura 1 IT_2021'!$B$11:$B$31</c:f>
              <c:numCache>
                <c:formatCode>General</c:formatCode>
                <c:ptCount val="21"/>
                <c:pt idx="0">
                  <c:v>212997</c:v>
                </c:pt>
                <c:pt idx="1">
                  <c:v>205638</c:v>
                </c:pt>
                <c:pt idx="2">
                  <c:v>188228</c:v>
                </c:pt>
                <c:pt idx="3">
                  <c:v>181660</c:v>
                </c:pt>
                <c:pt idx="4">
                  <c:v>177031</c:v>
                </c:pt>
                <c:pt idx="5">
                  <c:v>174539</c:v>
                </c:pt>
                <c:pt idx="6">
                  <c:v>175791</c:v>
                </c:pt>
                <c:pt idx="7">
                  <c:v>174933</c:v>
                </c:pt>
                <c:pt idx="8">
                  <c:v>172553</c:v>
                </c:pt>
                <c:pt idx="9">
                  <c:v>172183</c:v>
                </c:pt>
                <c:pt idx="10">
                  <c:v>118298</c:v>
                </c:pt>
                <c:pt idx="11">
                  <c:v>151875</c:v>
                </c:pt>
              </c:numCache>
            </c:numRef>
          </c:val>
          <c:smooth val="0"/>
          <c:extLst>
            <c:ext xmlns:c16="http://schemas.microsoft.com/office/drawing/2014/chart" uri="{C3380CC4-5D6E-409C-BE32-E72D297353CC}">
              <c16:uniqueId val="{0000001B-5154-4D14-9D91-C0B67389F633}"/>
            </c:ext>
          </c:extLst>
        </c:ser>
        <c:ser>
          <c:idx val="2"/>
          <c:order val="2"/>
          <c:tx>
            <c:strRef>
              <c:f>'figura 1 IT_2021'!$D$1</c:f>
              <c:strCache>
                <c:ptCount val="1"/>
                <c:pt idx="0">
                  <c:v>Feriti</c:v>
                </c:pt>
              </c:strCache>
            </c:strRef>
          </c:tx>
          <c:spPr>
            <a:ln>
              <a:solidFill>
                <a:srgbClr val="002060"/>
              </a:solidFill>
            </a:ln>
          </c:spPr>
          <c:marker>
            <c:symbol val="none"/>
          </c:marker>
          <c:dPt>
            <c:idx val="0"/>
            <c:marker>
              <c:symbol val="triangle"/>
              <c:size val="5"/>
              <c:spPr>
                <a:solidFill>
                  <a:srgbClr val="002060"/>
                </a:solidFill>
                <a:ln>
                  <a:solidFill>
                    <a:srgbClr val="002060"/>
                  </a:solidFill>
                </a:ln>
              </c:spPr>
            </c:marker>
            <c:bubble3D val="0"/>
            <c:extLst>
              <c:ext xmlns:c16="http://schemas.microsoft.com/office/drawing/2014/chart" uri="{C3380CC4-5D6E-409C-BE32-E72D297353CC}">
                <c16:uniqueId val="{0000001C-5154-4D14-9D91-C0B67389F633}"/>
              </c:ext>
            </c:extLst>
          </c:dPt>
          <c:dPt>
            <c:idx val="9"/>
            <c:marker>
              <c:symbol val="triangle"/>
              <c:size val="5"/>
              <c:spPr>
                <a:solidFill>
                  <a:srgbClr val="002060"/>
                </a:solidFill>
                <a:ln>
                  <a:solidFill>
                    <a:srgbClr val="002060"/>
                  </a:solidFill>
                </a:ln>
              </c:spPr>
            </c:marker>
            <c:bubble3D val="0"/>
            <c:extLst>
              <c:ext xmlns:c16="http://schemas.microsoft.com/office/drawing/2014/chart" uri="{C3380CC4-5D6E-409C-BE32-E72D297353CC}">
                <c16:uniqueId val="{0000001D-5154-4D14-9D91-C0B67389F633}"/>
              </c:ext>
            </c:extLst>
          </c:dPt>
          <c:dPt>
            <c:idx val="10"/>
            <c:marker>
              <c:symbol val="triangle"/>
              <c:size val="5"/>
              <c:spPr>
                <a:solidFill>
                  <a:srgbClr val="002060"/>
                </a:solidFill>
                <a:ln>
                  <a:solidFill>
                    <a:srgbClr val="002060"/>
                  </a:solidFill>
                </a:ln>
              </c:spPr>
            </c:marker>
            <c:bubble3D val="0"/>
            <c:extLst>
              <c:ext xmlns:c16="http://schemas.microsoft.com/office/drawing/2014/chart" uri="{C3380CC4-5D6E-409C-BE32-E72D297353CC}">
                <c16:uniqueId val="{0000001E-5154-4D14-9D91-C0B67389F633}"/>
              </c:ext>
            </c:extLst>
          </c:dPt>
          <c:dPt>
            <c:idx val="11"/>
            <c:marker>
              <c:symbol val="triangle"/>
              <c:size val="5"/>
              <c:spPr>
                <a:solidFill>
                  <a:srgbClr val="002060"/>
                </a:solidFill>
                <a:ln>
                  <a:solidFill>
                    <a:srgbClr val="002060"/>
                  </a:solidFill>
                </a:ln>
              </c:spPr>
            </c:marker>
            <c:bubble3D val="0"/>
            <c:extLst>
              <c:ext xmlns:c16="http://schemas.microsoft.com/office/drawing/2014/chart" uri="{C3380CC4-5D6E-409C-BE32-E72D297353CC}">
                <c16:uniqueId val="{0000001F-5154-4D14-9D91-C0B67389F633}"/>
              </c:ext>
            </c:extLst>
          </c:dPt>
          <c:dPt>
            <c:idx val="14"/>
            <c:bubble3D val="0"/>
            <c:extLst>
              <c:ext xmlns:c16="http://schemas.microsoft.com/office/drawing/2014/chart" uri="{C3380CC4-5D6E-409C-BE32-E72D297353CC}">
                <c16:uniqueId val="{00000020-5154-4D14-9D91-C0B67389F633}"/>
              </c:ext>
            </c:extLst>
          </c:dPt>
          <c:dPt>
            <c:idx val="15"/>
            <c:bubble3D val="0"/>
            <c:extLst>
              <c:ext xmlns:c16="http://schemas.microsoft.com/office/drawing/2014/chart" uri="{C3380CC4-5D6E-409C-BE32-E72D297353CC}">
                <c16:uniqueId val="{00000021-5154-4D14-9D91-C0B67389F633}"/>
              </c:ext>
            </c:extLst>
          </c:dPt>
          <c:dPt>
            <c:idx val="16"/>
            <c:bubble3D val="0"/>
            <c:extLst>
              <c:ext xmlns:c16="http://schemas.microsoft.com/office/drawing/2014/chart" uri="{C3380CC4-5D6E-409C-BE32-E72D297353CC}">
                <c16:uniqueId val="{00000022-5154-4D14-9D91-C0B67389F633}"/>
              </c:ext>
            </c:extLst>
          </c:dPt>
          <c:dPt>
            <c:idx val="17"/>
            <c:bubble3D val="0"/>
            <c:extLst>
              <c:ext xmlns:c16="http://schemas.microsoft.com/office/drawing/2014/chart" uri="{C3380CC4-5D6E-409C-BE32-E72D297353CC}">
                <c16:uniqueId val="{00000023-5154-4D14-9D91-C0B67389F633}"/>
              </c:ext>
            </c:extLst>
          </c:dPt>
          <c:dPt>
            <c:idx val="18"/>
            <c:bubble3D val="0"/>
            <c:extLst>
              <c:ext xmlns:c16="http://schemas.microsoft.com/office/drawing/2014/chart" uri="{C3380CC4-5D6E-409C-BE32-E72D297353CC}">
                <c16:uniqueId val="{00000024-5154-4D14-9D91-C0B67389F633}"/>
              </c:ext>
            </c:extLst>
          </c:dPt>
          <c:dPt>
            <c:idx val="19"/>
            <c:bubble3D val="0"/>
            <c:extLst>
              <c:ext xmlns:c16="http://schemas.microsoft.com/office/drawing/2014/chart" uri="{C3380CC4-5D6E-409C-BE32-E72D297353CC}">
                <c16:uniqueId val="{00000025-5154-4D14-9D91-C0B67389F633}"/>
              </c:ext>
            </c:extLst>
          </c:dPt>
          <c:dPt>
            <c:idx val="20"/>
            <c:bubble3D val="0"/>
            <c:extLst>
              <c:ext xmlns:c16="http://schemas.microsoft.com/office/drawing/2014/chart" uri="{C3380CC4-5D6E-409C-BE32-E72D297353CC}">
                <c16:uniqueId val="{00000026-5154-4D14-9D91-C0B67389F633}"/>
              </c:ext>
            </c:extLst>
          </c:dPt>
          <c:dLbls>
            <c:dLbl>
              <c:idx val="9"/>
              <c:layout>
                <c:manualLayout>
                  <c:x val="-5.2098403354863758E-2"/>
                  <c:y val="-4.2223804783724353E-2"/>
                </c:manualLayout>
              </c:layout>
              <c:numFmt formatCode="#,##0" sourceLinked="0"/>
              <c:spPr>
                <a:noFill/>
                <a:ln>
                  <a:noFill/>
                </a:ln>
                <a:effectLst/>
              </c:spPr>
              <c:txPr>
                <a:bodyPr/>
                <a:lstStyle/>
                <a:p>
                  <a:pPr>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154-4D14-9D91-C0B67389F633}"/>
                </c:ext>
              </c:extLst>
            </c:dLbl>
            <c:dLbl>
              <c:idx val="10"/>
              <c:layout>
                <c:manualLayout>
                  <c:x val="-3.3960257244084933E-2"/>
                  <c:y val="-0.13191491362087202"/>
                </c:manualLayout>
              </c:layout>
              <c:numFmt formatCode="#,##0" sourceLinked="0"/>
              <c:spPr>
                <a:noFill/>
                <a:ln>
                  <a:noFill/>
                </a:ln>
                <a:effectLst/>
              </c:spPr>
              <c:txPr>
                <a:bodyPr/>
                <a:lstStyle/>
                <a:p>
                  <a:pPr>
                    <a:defRPr/>
                  </a:pPr>
                  <a:endParaRPr lang="it-I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154-4D14-9D91-C0B67389F633}"/>
                </c:ext>
              </c:extLst>
            </c:dLbl>
            <c:dLbl>
              <c:idx val="11"/>
              <c:layout>
                <c:manualLayout>
                  <c:x val="-8.6829988552026022E-3"/>
                  <c:y val="-6.9669277893145184E-2"/>
                </c:manualLayout>
              </c:layout>
              <c:numFmt formatCode="#,##0" sourceLinked="0"/>
              <c:spPr>
                <a:noFill/>
                <a:ln w="19050">
                  <a:noFill/>
                </a:ln>
                <a:effectLst/>
              </c:spPr>
              <c:txPr>
                <a:bodyPr/>
                <a:lstStyle/>
                <a:p>
                  <a:pPr>
                    <a:defRPr/>
                  </a:pPr>
                  <a:endParaRPr lang="it-IT"/>
                </a:p>
              </c:txPr>
              <c:showLegendKey val="0"/>
              <c:showVal val="1"/>
              <c:showCatName val="0"/>
              <c:showSerName val="0"/>
              <c:showPercent val="0"/>
              <c:showBubbleSize val="0"/>
              <c:extLst>
                <c:ext xmlns:c15="http://schemas.microsoft.com/office/drawing/2012/chart" uri="{CE6537A1-D6FC-4f65-9D91-7224C49458BB}">
                  <c15:layout>
                    <c:manualLayout>
                      <c:w val="6.7632478992446954E-2"/>
                      <c:h val="6.8423841887477216E-2"/>
                    </c:manualLayout>
                  </c15:layout>
                </c:ext>
                <c:ext xmlns:c16="http://schemas.microsoft.com/office/drawing/2014/chart" uri="{C3380CC4-5D6E-409C-BE32-E72D297353CC}">
                  <c16:uniqueId val="{0000001F-5154-4D14-9D91-C0B67389F63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'figura 1 IT_2021'!$A$11:$A$31</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'figura 1 IT_2021'!$D$11:$D$31</c:f>
              <c:numCache>
                <c:formatCode>General</c:formatCode>
                <c:ptCount val="21"/>
                <c:pt idx="0">
                  <c:v>304720</c:v>
                </c:pt>
                <c:pt idx="1">
                  <c:v>292019</c:v>
                </c:pt>
                <c:pt idx="2">
                  <c:v>266864</c:v>
                </c:pt>
                <c:pt idx="3">
                  <c:v>258093</c:v>
                </c:pt>
                <c:pt idx="4">
                  <c:v>251147</c:v>
                </c:pt>
                <c:pt idx="5">
                  <c:v>246920</c:v>
                </c:pt>
                <c:pt idx="6">
                  <c:v>249175</c:v>
                </c:pt>
                <c:pt idx="7">
                  <c:v>246750</c:v>
                </c:pt>
                <c:pt idx="8">
                  <c:v>242919</c:v>
                </c:pt>
                <c:pt idx="9">
                  <c:v>241384</c:v>
                </c:pt>
                <c:pt idx="10">
                  <c:v>159248</c:v>
                </c:pt>
                <c:pt idx="11">
                  <c:v>204728</c:v>
                </c:pt>
              </c:numCache>
            </c:numRef>
          </c:val>
          <c:smooth val="0"/>
          <c:extLst>
            <c:ext xmlns:c16="http://schemas.microsoft.com/office/drawing/2014/chart" uri="{C3380CC4-5D6E-409C-BE32-E72D297353CC}">
              <c16:uniqueId val="{00000027-5154-4D14-9D91-C0B67389F633}"/>
            </c:ext>
          </c:extLst>
        </c:ser>
        <c:dLbls>
          <c:showLegendKey val="0"/>
          <c:showVal val="0"/>
          <c:showCatName val="0"/>
          <c:showSerName val="0"/>
          <c:showPercent val="0"/>
          <c:showBubbleSize val="0"/>
        </c:dLbls>
        <c:marker val="1"/>
        <c:smooth val="0"/>
        <c:axId val="673467856"/>
        <c:axId val="673470576"/>
      </c:lineChart>
      <c:catAx>
        <c:axId val="673467856"/>
        <c:scaling>
          <c:orientation val="minMax"/>
        </c:scaling>
        <c:delete val="0"/>
        <c:axPos val="b"/>
        <c:numFmt formatCode="General" sourceLinked="1"/>
        <c:majorTickMark val="out"/>
        <c:minorTickMark val="none"/>
        <c:tickLblPos val="nextTo"/>
        <c:txPr>
          <a:bodyPr rot="-5400000" vert="horz"/>
          <a:lstStyle/>
          <a:p>
            <a:pPr>
              <a:defRPr/>
            </a:pPr>
            <a:endParaRPr lang="it-IT"/>
          </a:p>
        </c:txPr>
        <c:crossAx val="673470576"/>
        <c:crosses val="autoZero"/>
        <c:auto val="1"/>
        <c:lblAlgn val="ctr"/>
        <c:lblOffset val="100"/>
        <c:noMultiLvlLbl val="0"/>
      </c:catAx>
      <c:valAx>
        <c:axId val="673470576"/>
        <c:scaling>
          <c:orientation val="minMax"/>
          <c:max val="320000"/>
          <c:min val="0"/>
        </c:scaling>
        <c:delete val="0"/>
        <c:axPos val="l"/>
        <c:majorGridlines>
          <c:spPr>
            <a:ln>
              <a:noFill/>
            </a:ln>
          </c:spPr>
        </c:majorGridlines>
        <c:numFmt formatCode="#,##0" sourceLinked="0"/>
        <c:majorTickMark val="out"/>
        <c:minorTickMark val="none"/>
        <c:tickLblPos val="nextTo"/>
        <c:crossAx val="673467856"/>
        <c:crosses val="autoZero"/>
        <c:crossBetween val="between"/>
      </c:valAx>
      <c:valAx>
        <c:axId val="673471120"/>
        <c:scaling>
          <c:orientation val="minMax"/>
          <c:max val="8000"/>
          <c:min val="0"/>
        </c:scaling>
        <c:delete val="0"/>
        <c:axPos val="r"/>
        <c:numFmt formatCode="#,##0" sourceLinked="0"/>
        <c:majorTickMark val="out"/>
        <c:minorTickMark val="none"/>
        <c:tickLblPos val="nextTo"/>
        <c:crossAx val="673474384"/>
        <c:crosses val="max"/>
        <c:crossBetween val="between"/>
      </c:valAx>
      <c:catAx>
        <c:axId val="673474384"/>
        <c:scaling>
          <c:orientation val="minMax"/>
        </c:scaling>
        <c:delete val="1"/>
        <c:axPos val="b"/>
        <c:numFmt formatCode="General" sourceLinked="1"/>
        <c:majorTickMark val="out"/>
        <c:minorTickMark val="none"/>
        <c:tickLblPos val="nextTo"/>
        <c:crossAx val="673471120"/>
        <c:crosses val="autoZero"/>
        <c:auto val="1"/>
        <c:lblAlgn val="ctr"/>
        <c:lblOffset val="100"/>
        <c:noMultiLvlLbl val="0"/>
      </c:catAx>
      <c:spPr>
        <a:noFill/>
      </c:spPr>
    </c:plotArea>
    <c:legend>
      <c:legendPos val="r"/>
      <c:layout>
        <c:manualLayout>
          <c:xMode val="edge"/>
          <c:yMode val="edge"/>
          <c:x val="0.8573496029731803"/>
          <c:y val="0.12337478612597153"/>
          <c:w val="0.14082572645870872"/>
          <c:h val="0.73860705103345758"/>
        </c:manualLayout>
      </c:layout>
      <c:overlay val="0"/>
      <c:txPr>
        <a:bodyPr/>
        <a:lstStyle/>
        <a:p>
          <a:pPr>
            <a:defRPr sz="800"/>
          </a:pPr>
          <a:endParaRPr lang="it-IT"/>
        </a:p>
      </c:txPr>
    </c:legend>
    <c:plotVisOnly val="1"/>
    <c:dispBlanksAs val="gap"/>
    <c:showDLblsOverMax val="0"/>
  </c:chart>
  <c:spPr>
    <a:noFill/>
    <a:ln w="3175">
      <a:solidFill>
        <a:schemeClr val="bg1">
          <a:lumMod val="75000"/>
        </a:schemeClr>
      </a:solidFill>
    </a:ln>
  </c:spPr>
  <c:txPr>
    <a:bodyPr/>
    <a:lstStyle/>
    <a:p>
      <a:pPr>
        <a:defRPr sz="700">
          <a:latin typeface="Arial Narrow" panose="020B0606020202030204" pitchFamily="34" charset="0"/>
        </a:defRPr>
      </a:pPr>
      <a:endParaRPr lang="it-IT"/>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52281204083939E-2"/>
          <c:y val="3.3934161844227297E-2"/>
          <c:w val="0.73594795865827789"/>
          <c:h val="0.92658508047939803"/>
        </c:manualLayout>
      </c:layout>
      <c:doughnutChart>
        <c:varyColors val="1"/>
        <c:ser>
          <c:idx val="0"/>
          <c:order val="0"/>
          <c:dPt>
            <c:idx val="0"/>
            <c:bubble3D val="0"/>
            <c:spPr>
              <a:solidFill>
                <a:schemeClr val="bg1">
                  <a:lumMod val="50000"/>
                </a:schemeClr>
              </a:solidFill>
            </c:spPr>
            <c:extLst>
              <c:ext xmlns:c16="http://schemas.microsoft.com/office/drawing/2014/chart" uri="{C3380CC4-5D6E-409C-BE32-E72D297353CC}">
                <c16:uniqueId val="{00000001-D400-4512-86EF-AE954273B32C}"/>
              </c:ext>
            </c:extLst>
          </c:dPt>
          <c:dPt>
            <c:idx val="1"/>
            <c:bubble3D val="0"/>
            <c:spPr>
              <a:solidFill>
                <a:srgbClr val="002060"/>
              </a:solidFill>
            </c:spPr>
            <c:extLst>
              <c:ext xmlns:c16="http://schemas.microsoft.com/office/drawing/2014/chart" uri="{C3380CC4-5D6E-409C-BE32-E72D297353CC}">
                <c16:uniqueId val="{00000003-D400-4512-86EF-AE954273B32C}"/>
              </c:ext>
            </c:extLst>
          </c:dPt>
          <c:dPt>
            <c:idx val="2"/>
            <c:bubble3D val="0"/>
            <c:spPr>
              <a:solidFill>
                <a:schemeClr val="accent1"/>
              </a:solidFill>
            </c:spPr>
            <c:extLst>
              <c:ext xmlns:c16="http://schemas.microsoft.com/office/drawing/2014/chart" uri="{C3380CC4-5D6E-409C-BE32-E72D297353CC}">
                <c16:uniqueId val="{00000005-D400-4512-86EF-AE954273B32C}"/>
              </c:ext>
            </c:extLst>
          </c:dPt>
          <c:dLbls>
            <c:dLbl>
              <c:idx val="2"/>
              <c:tx>
                <c:rich>
                  <a:bodyPr/>
                  <a:lstStyle/>
                  <a:p>
                    <a:r>
                      <a:rPr lang="en-US"/>
                      <a:t>69,7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400-4512-86EF-AE954273B32C}"/>
                </c:ext>
              </c:extLst>
            </c:dLbl>
            <c:spPr>
              <a:noFill/>
              <a:ln>
                <a:noFill/>
              </a:ln>
              <a:effectLst/>
            </c:spPr>
            <c:txPr>
              <a:bodyPr wrap="square" lIns="38100" tIns="19050" rIns="38100" bIns="19050" anchor="ctr">
                <a:spAutoFit/>
              </a:bodyPr>
              <a:lstStyle/>
              <a:p>
                <a:pPr>
                  <a:defRPr sz="800" b="1">
                    <a:solidFill>
                      <a:schemeClr val="bg1"/>
                    </a:solidFill>
                    <a:latin typeface="Arial Narrow" panose="020B0606020202030204" pitchFamily="34" charset="0"/>
                  </a:defRPr>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'figura 11IT_2021'!$D$6:$F$6</c:f>
              <c:strCache>
                <c:ptCount val="3"/>
                <c:pt idx="0">
                  <c:v>Autostrade</c:v>
                </c:pt>
                <c:pt idx="1">
                  <c:v>Strade extraurbane</c:v>
                </c:pt>
                <c:pt idx="2">
                  <c:v>Strade urbane</c:v>
                </c:pt>
              </c:strCache>
            </c:strRef>
          </c:cat>
          <c:val>
            <c:numRef>
              <c:f>'figura 11IT_2021'!$D$4:$F$4</c:f>
              <c:numCache>
                <c:formatCode>0.0</c:formatCode>
                <c:ptCount val="3"/>
                <c:pt idx="0">
                  <c:v>5.872670079324763</c:v>
                </c:pt>
                <c:pt idx="1">
                  <c:v>24.410925716072057</c:v>
                </c:pt>
                <c:pt idx="2">
                  <c:v>69.71640420460318</c:v>
                </c:pt>
              </c:numCache>
            </c:numRef>
          </c:val>
          <c:extLst>
            <c:ext xmlns:c16="http://schemas.microsoft.com/office/drawing/2014/chart" uri="{C3380CC4-5D6E-409C-BE32-E72D297353CC}">
              <c16:uniqueId val="{00000006-D400-4512-86EF-AE954273B32C}"/>
            </c:ext>
          </c:extLst>
        </c:ser>
        <c:dLbls>
          <c:showLegendKey val="0"/>
          <c:showVal val="0"/>
          <c:showCatName val="0"/>
          <c:showSerName val="0"/>
          <c:showPercent val="0"/>
          <c:showBubbleSize val="0"/>
          <c:showLeaderLines val="1"/>
        </c:dLbls>
        <c:firstSliceAng val="0"/>
        <c:holeSize val="50"/>
      </c:doughnutChart>
      <c:spPr>
        <a:noFill/>
        <a:ln w="25400">
          <a:noFill/>
        </a:ln>
      </c:spPr>
    </c:plotArea>
    <c:legend>
      <c:legendPos val="r"/>
      <c:layout>
        <c:manualLayout>
          <c:xMode val="edge"/>
          <c:yMode val="edge"/>
          <c:x val="0.71448004344284555"/>
          <c:y val="0.12842403549113884"/>
          <c:w val="0.26490406371617342"/>
          <c:h val="0.74343901702552673"/>
        </c:manualLayout>
      </c:layout>
      <c:overlay val="0"/>
      <c:txPr>
        <a:bodyPr/>
        <a:lstStyle/>
        <a:p>
          <a:pPr>
            <a:defRPr sz="800">
              <a:latin typeface="Arial Narrow" panose="020B0606020202030204" pitchFamily="34" charset="0"/>
              <a:cs typeface="Arial" panose="020B0604020202020204" pitchFamily="34" charset="0"/>
            </a:defRPr>
          </a:pPr>
          <a:endParaRPr lang="it-IT"/>
        </a:p>
      </c:tx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474228395061726E-2"/>
          <c:y val="0.12436072886339979"/>
          <c:w val="0.9387189588571605"/>
          <c:h val="0.65854926699401783"/>
        </c:manualLayout>
      </c:layout>
      <c:barChart>
        <c:barDir val="col"/>
        <c:grouping val="clustered"/>
        <c:varyColors val="0"/>
        <c:ser>
          <c:idx val="0"/>
          <c:order val="0"/>
          <c:tx>
            <c:strRef>
              <c:f>'figura 2 IT 2021'!$B$2</c:f>
              <c:strCache>
                <c:ptCount val="1"/>
                <c:pt idx="0">
                  <c:v>tasso di mortalità stradale 2010</c:v>
                </c:pt>
              </c:strCache>
            </c:strRef>
          </c:tx>
          <c:spPr>
            <a:solidFill>
              <a:schemeClr val="bg1">
                <a:lumMod val="65000"/>
              </a:schemeClr>
            </a:solidFill>
            <a:ln>
              <a:noFill/>
            </a:ln>
            <a:effectLst/>
          </c:spPr>
          <c:invertIfNegative val="0"/>
          <c:dLbls>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5C-4188-8B87-38893B3CE8F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Narrow" panose="020B0606020202030204" pitchFamily="34" charset="0"/>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'figura 2 IT 2021'!$A$3:$A$30</c:f>
              <c:strCache>
                <c:ptCount val="28"/>
                <c:pt idx="0">
                  <c:v>Romania</c:v>
                </c:pt>
                <c:pt idx="1">
                  <c:v>Bulgaria</c:v>
                </c:pt>
                <c:pt idx="2">
                  <c:v>Lussemburgo</c:v>
                </c:pt>
                <c:pt idx="3">
                  <c:v>Croazia</c:v>
                </c:pt>
                <c:pt idx="4">
                  <c:v>Polonia</c:v>
                </c:pt>
                <c:pt idx="5">
                  <c:v>Grecia</c:v>
                </c:pt>
                <c:pt idx="6">
                  <c:v>Ungheria</c:v>
                </c:pt>
                <c:pt idx="7">
                  <c:v>Slovenia</c:v>
                </c:pt>
                <c:pt idx="8">
                  <c:v>Lettonia</c:v>
                </c:pt>
                <c:pt idx="9">
                  <c:v>Portogallo</c:v>
                </c:pt>
                <c:pt idx="10">
                  <c:v>Cipro</c:v>
                </c:pt>
                <c:pt idx="11">
                  <c:v>Repubblica Ceca</c:v>
                </c:pt>
                <c:pt idx="12">
                  <c:v>Italia</c:v>
                </c:pt>
                <c:pt idx="13">
                  <c:v>Francia</c:v>
                </c:pt>
                <c:pt idx="14">
                  <c:v>Belgio</c:v>
                </c:pt>
                <c:pt idx="15">
                  <c:v>Estonia</c:v>
                </c:pt>
                <c:pt idx="16">
                  <c:v>Slovacchia</c:v>
                </c:pt>
                <c:pt idx="17">
                  <c:v>Austria</c:v>
                </c:pt>
                <c:pt idx="18">
                  <c:v>Finlandia</c:v>
                </c:pt>
                <c:pt idx="19">
                  <c:v>Lituania</c:v>
                </c:pt>
                <c:pt idx="20">
                  <c:v>Paesi Bassi</c:v>
                </c:pt>
                <c:pt idx="21">
                  <c:v>Spagna</c:v>
                </c:pt>
                <c:pt idx="22">
                  <c:v>Germania</c:v>
                </c:pt>
                <c:pt idx="23">
                  <c:v>Irlanda</c:v>
                </c:pt>
                <c:pt idx="24">
                  <c:v>Danimarca</c:v>
                </c:pt>
                <c:pt idx="25">
                  <c:v>Svezia</c:v>
                </c:pt>
                <c:pt idx="26">
                  <c:v>Malta</c:v>
                </c:pt>
                <c:pt idx="27">
                  <c:v>Ue27</c:v>
                </c:pt>
              </c:strCache>
            </c:strRef>
          </c:cat>
          <c:val>
            <c:numRef>
              <c:f>'figura 2 IT 2021'!$B$3:$B$30</c:f>
              <c:numCache>
                <c:formatCode>General</c:formatCode>
                <c:ptCount val="28"/>
                <c:pt idx="0">
                  <c:v>117.1</c:v>
                </c:pt>
                <c:pt idx="1">
                  <c:v>104.6</c:v>
                </c:pt>
                <c:pt idx="2">
                  <c:v>63.7</c:v>
                </c:pt>
                <c:pt idx="3">
                  <c:v>99</c:v>
                </c:pt>
                <c:pt idx="4">
                  <c:v>102.4</c:v>
                </c:pt>
                <c:pt idx="5">
                  <c:v>112.5</c:v>
                </c:pt>
                <c:pt idx="6">
                  <c:v>73.900000000000006</c:v>
                </c:pt>
                <c:pt idx="7">
                  <c:v>67.400000000000006</c:v>
                </c:pt>
                <c:pt idx="8">
                  <c:v>102.8</c:v>
                </c:pt>
                <c:pt idx="9">
                  <c:v>88.6</c:v>
                </c:pt>
                <c:pt idx="10">
                  <c:v>73.2</c:v>
                </c:pt>
                <c:pt idx="11">
                  <c:v>76.7</c:v>
                </c:pt>
                <c:pt idx="12">
                  <c:v>69.5</c:v>
                </c:pt>
                <c:pt idx="13">
                  <c:v>63.6</c:v>
                </c:pt>
                <c:pt idx="14">
                  <c:v>78.400000000000006</c:v>
                </c:pt>
                <c:pt idx="15">
                  <c:v>59.3</c:v>
                </c:pt>
                <c:pt idx="16">
                  <c:v>64</c:v>
                </c:pt>
                <c:pt idx="17">
                  <c:v>65.900000000000006</c:v>
                </c:pt>
                <c:pt idx="18">
                  <c:v>50.8</c:v>
                </c:pt>
                <c:pt idx="19">
                  <c:v>95.2</c:v>
                </c:pt>
                <c:pt idx="20">
                  <c:v>38.6</c:v>
                </c:pt>
                <c:pt idx="21">
                  <c:v>53.3</c:v>
                </c:pt>
                <c:pt idx="22">
                  <c:v>44.6</c:v>
                </c:pt>
                <c:pt idx="23">
                  <c:v>46.6</c:v>
                </c:pt>
                <c:pt idx="24">
                  <c:v>46.1</c:v>
                </c:pt>
                <c:pt idx="25">
                  <c:v>28.5</c:v>
                </c:pt>
                <c:pt idx="26">
                  <c:v>36.200000000000003</c:v>
                </c:pt>
                <c:pt idx="27">
                  <c:v>67.599999999999994</c:v>
                </c:pt>
              </c:numCache>
            </c:numRef>
          </c:val>
          <c:extLst>
            <c:ext xmlns:c16="http://schemas.microsoft.com/office/drawing/2014/chart" uri="{C3380CC4-5D6E-409C-BE32-E72D297353CC}">
              <c16:uniqueId val="{00000001-D65C-4188-8B87-38893B3CE8FE}"/>
            </c:ext>
          </c:extLst>
        </c:ser>
        <c:ser>
          <c:idx val="1"/>
          <c:order val="1"/>
          <c:tx>
            <c:strRef>
              <c:f>'figura 2 IT 2021'!$C$2</c:f>
              <c:strCache>
                <c:ptCount val="1"/>
                <c:pt idx="0">
                  <c:v>tasso di mortalità stradale 2020</c:v>
                </c:pt>
              </c:strCache>
            </c:strRef>
          </c:tx>
          <c:spPr>
            <a:solidFill>
              <a:schemeClr val="accent1">
                <a:lumMod val="40000"/>
                <a:lumOff val="60000"/>
              </a:schemeClr>
            </a:solidFill>
            <a:ln>
              <a:noFill/>
            </a:ln>
            <a:effectLst/>
          </c:spPr>
          <c:invertIfNegative val="0"/>
          <c:dLbls>
            <c:dLbl>
              <c:idx val="12"/>
              <c:layout>
                <c:manualLayout>
                  <c:x val="-7.2689517885341729E-3"/>
                  <c:y val="-7.735874111135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5C-4188-8B87-38893B3CE8F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Narrow" panose="020B0606020202030204" pitchFamily="34" charset="0"/>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'figura 2 IT 2021'!$A$3:$A$30</c:f>
              <c:strCache>
                <c:ptCount val="28"/>
                <c:pt idx="0">
                  <c:v>Romania</c:v>
                </c:pt>
                <c:pt idx="1">
                  <c:v>Bulgaria</c:v>
                </c:pt>
                <c:pt idx="2">
                  <c:v>Lussemburgo</c:v>
                </c:pt>
                <c:pt idx="3">
                  <c:v>Croazia</c:v>
                </c:pt>
                <c:pt idx="4">
                  <c:v>Polonia</c:v>
                </c:pt>
                <c:pt idx="5">
                  <c:v>Grecia</c:v>
                </c:pt>
                <c:pt idx="6">
                  <c:v>Ungheria</c:v>
                </c:pt>
                <c:pt idx="7">
                  <c:v>Slovenia</c:v>
                </c:pt>
                <c:pt idx="8">
                  <c:v>Lettonia</c:v>
                </c:pt>
                <c:pt idx="9">
                  <c:v>Portogallo</c:v>
                </c:pt>
                <c:pt idx="10">
                  <c:v>Cipro</c:v>
                </c:pt>
                <c:pt idx="11">
                  <c:v>Repubblica Ceca</c:v>
                </c:pt>
                <c:pt idx="12">
                  <c:v>Italia</c:v>
                </c:pt>
                <c:pt idx="13">
                  <c:v>Francia</c:v>
                </c:pt>
                <c:pt idx="14">
                  <c:v>Belgio</c:v>
                </c:pt>
                <c:pt idx="15">
                  <c:v>Estonia</c:v>
                </c:pt>
                <c:pt idx="16">
                  <c:v>Slovacchia</c:v>
                </c:pt>
                <c:pt idx="17">
                  <c:v>Austria</c:v>
                </c:pt>
                <c:pt idx="18">
                  <c:v>Finlandia</c:v>
                </c:pt>
                <c:pt idx="19">
                  <c:v>Lituania</c:v>
                </c:pt>
                <c:pt idx="20">
                  <c:v>Paesi Bassi</c:v>
                </c:pt>
                <c:pt idx="21">
                  <c:v>Spagna</c:v>
                </c:pt>
                <c:pt idx="22">
                  <c:v>Germania</c:v>
                </c:pt>
                <c:pt idx="23">
                  <c:v>Irlanda</c:v>
                </c:pt>
                <c:pt idx="24">
                  <c:v>Danimarca</c:v>
                </c:pt>
                <c:pt idx="25">
                  <c:v>Svezia</c:v>
                </c:pt>
                <c:pt idx="26">
                  <c:v>Malta</c:v>
                </c:pt>
                <c:pt idx="27">
                  <c:v>Ue27</c:v>
                </c:pt>
              </c:strCache>
            </c:strRef>
          </c:cat>
          <c:val>
            <c:numRef>
              <c:f>'figura 2 IT 2021'!$C$3:$C$30</c:f>
              <c:numCache>
                <c:formatCode>General</c:formatCode>
                <c:ptCount val="28"/>
                <c:pt idx="0">
                  <c:v>85.2</c:v>
                </c:pt>
                <c:pt idx="1">
                  <c:v>66.599999999999994</c:v>
                </c:pt>
                <c:pt idx="2">
                  <c:v>41.5</c:v>
                </c:pt>
                <c:pt idx="3">
                  <c:v>58.4</c:v>
                </c:pt>
                <c:pt idx="4">
                  <c:v>65.599999999999994</c:v>
                </c:pt>
                <c:pt idx="5">
                  <c:v>54</c:v>
                </c:pt>
                <c:pt idx="6">
                  <c:v>47.5</c:v>
                </c:pt>
                <c:pt idx="7">
                  <c:v>38.200000000000003</c:v>
                </c:pt>
                <c:pt idx="8">
                  <c:v>72.900000000000006</c:v>
                </c:pt>
                <c:pt idx="9">
                  <c:v>46.5</c:v>
                </c:pt>
                <c:pt idx="10">
                  <c:v>54.1</c:v>
                </c:pt>
                <c:pt idx="11">
                  <c:v>48.3</c:v>
                </c:pt>
                <c:pt idx="12">
                  <c:v>40.299999999999997</c:v>
                </c:pt>
                <c:pt idx="13">
                  <c:v>39</c:v>
                </c:pt>
                <c:pt idx="14">
                  <c:v>42</c:v>
                </c:pt>
                <c:pt idx="15">
                  <c:v>45.1</c:v>
                </c:pt>
                <c:pt idx="16">
                  <c:v>41</c:v>
                </c:pt>
                <c:pt idx="17">
                  <c:v>38.6</c:v>
                </c:pt>
                <c:pt idx="18">
                  <c:v>40</c:v>
                </c:pt>
                <c:pt idx="19">
                  <c:v>62.6</c:v>
                </c:pt>
                <c:pt idx="20">
                  <c:v>35</c:v>
                </c:pt>
                <c:pt idx="21">
                  <c:v>28.9</c:v>
                </c:pt>
                <c:pt idx="22">
                  <c:v>32.799999999999997</c:v>
                </c:pt>
                <c:pt idx="23">
                  <c:v>30</c:v>
                </c:pt>
                <c:pt idx="24">
                  <c:v>26.6</c:v>
                </c:pt>
                <c:pt idx="25">
                  <c:v>19.8</c:v>
                </c:pt>
                <c:pt idx="26">
                  <c:v>23.3</c:v>
                </c:pt>
                <c:pt idx="27">
                  <c:v>42.3</c:v>
                </c:pt>
              </c:numCache>
            </c:numRef>
          </c:val>
          <c:extLst>
            <c:ext xmlns:c16="http://schemas.microsoft.com/office/drawing/2014/chart" uri="{C3380CC4-5D6E-409C-BE32-E72D297353CC}">
              <c16:uniqueId val="{00000003-D65C-4188-8B87-38893B3CE8FE}"/>
            </c:ext>
          </c:extLst>
        </c:ser>
        <c:ser>
          <c:idx val="2"/>
          <c:order val="2"/>
          <c:tx>
            <c:strRef>
              <c:f>'figura 2 IT 2021'!$D$2</c:f>
              <c:strCache>
                <c:ptCount val="1"/>
                <c:pt idx="0">
                  <c:v>tasso di mortalità stradale 2021</c:v>
                </c:pt>
              </c:strCache>
            </c:strRef>
          </c:tx>
          <c:spPr>
            <a:solidFill>
              <a:srgbClr val="002060"/>
            </a:solidFill>
            <a:ln>
              <a:noFill/>
            </a:ln>
            <a:effectLst/>
          </c:spPr>
          <c:invertIfNegative val="0"/>
          <c:dLbls>
            <c:dLbl>
              <c:idx val="12"/>
              <c:layout>
                <c:manualLayout>
                  <c:x val="1.4537903577067812E-3"/>
                  <c:y val="-2.3207622333407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5C-4188-8B87-38893B3CE8F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Narrow" panose="020B0606020202030204" pitchFamily="34" charset="0"/>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'figura 2 IT 2021'!$A$3:$A$30</c:f>
              <c:strCache>
                <c:ptCount val="28"/>
                <c:pt idx="0">
                  <c:v>Romania</c:v>
                </c:pt>
                <c:pt idx="1">
                  <c:v>Bulgaria</c:v>
                </c:pt>
                <c:pt idx="2">
                  <c:v>Lussemburgo</c:v>
                </c:pt>
                <c:pt idx="3">
                  <c:v>Croazia</c:v>
                </c:pt>
                <c:pt idx="4">
                  <c:v>Polonia</c:v>
                </c:pt>
                <c:pt idx="5">
                  <c:v>Grecia</c:v>
                </c:pt>
                <c:pt idx="6">
                  <c:v>Ungheria</c:v>
                </c:pt>
                <c:pt idx="7">
                  <c:v>Slovenia</c:v>
                </c:pt>
                <c:pt idx="8">
                  <c:v>Lettonia</c:v>
                </c:pt>
                <c:pt idx="9">
                  <c:v>Portogallo</c:v>
                </c:pt>
                <c:pt idx="10">
                  <c:v>Cipro</c:v>
                </c:pt>
                <c:pt idx="11">
                  <c:v>Repubblica Ceca</c:v>
                </c:pt>
                <c:pt idx="12">
                  <c:v>Italia</c:v>
                </c:pt>
                <c:pt idx="13">
                  <c:v>Francia</c:v>
                </c:pt>
                <c:pt idx="14">
                  <c:v>Belgio</c:v>
                </c:pt>
                <c:pt idx="15">
                  <c:v>Estonia</c:v>
                </c:pt>
                <c:pt idx="16">
                  <c:v>Slovacchia</c:v>
                </c:pt>
                <c:pt idx="17">
                  <c:v>Austria</c:v>
                </c:pt>
                <c:pt idx="18">
                  <c:v>Finlandia</c:v>
                </c:pt>
                <c:pt idx="19">
                  <c:v>Lituania</c:v>
                </c:pt>
                <c:pt idx="20">
                  <c:v>Paesi Bassi</c:v>
                </c:pt>
                <c:pt idx="21">
                  <c:v>Spagna</c:v>
                </c:pt>
                <c:pt idx="22">
                  <c:v>Germania</c:v>
                </c:pt>
                <c:pt idx="23">
                  <c:v>Irlanda</c:v>
                </c:pt>
                <c:pt idx="24">
                  <c:v>Danimarca</c:v>
                </c:pt>
                <c:pt idx="25">
                  <c:v>Svezia</c:v>
                </c:pt>
                <c:pt idx="26">
                  <c:v>Malta</c:v>
                </c:pt>
                <c:pt idx="27">
                  <c:v>Ue27</c:v>
                </c:pt>
              </c:strCache>
            </c:strRef>
          </c:cat>
          <c:val>
            <c:numRef>
              <c:f>'figura 2 IT 2021'!$D$3:$D$30</c:f>
              <c:numCache>
                <c:formatCode>General</c:formatCode>
                <c:ptCount val="28"/>
                <c:pt idx="0">
                  <c:v>92.7</c:v>
                </c:pt>
                <c:pt idx="1">
                  <c:v>81.099999999999994</c:v>
                </c:pt>
                <c:pt idx="2">
                  <c:v>77.599999999999994</c:v>
                </c:pt>
                <c:pt idx="3">
                  <c:v>72.3</c:v>
                </c:pt>
                <c:pt idx="4">
                  <c:v>59.3</c:v>
                </c:pt>
                <c:pt idx="5">
                  <c:v>56.9</c:v>
                </c:pt>
                <c:pt idx="6">
                  <c:v>55.9</c:v>
                </c:pt>
                <c:pt idx="7">
                  <c:v>54.1</c:v>
                </c:pt>
                <c:pt idx="8">
                  <c:v>52.6</c:v>
                </c:pt>
                <c:pt idx="9">
                  <c:v>52.1</c:v>
                </c:pt>
                <c:pt idx="10">
                  <c:v>50.2</c:v>
                </c:pt>
                <c:pt idx="11">
                  <c:v>49.6</c:v>
                </c:pt>
                <c:pt idx="12">
                  <c:v>48.6</c:v>
                </c:pt>
                <c:pt idx="13">
                  <c:v>45</c:v>
                </c:pt>
                <c:pt idx="14">
                  <c:v>41.8</c:v>
                </c:pt>
                <c:pt idx="15">
                  <c:v>41.4</c:v>
                </c:pt>
                <c:pt idx="16">
                  <c:v>41.4</c:v>
                </c:pt>
                <c:pt idx="17">
                  <c:v>40.5</c:v>
                </c:pt>
                <c:pt idx="18">
                  <c:v>40.299999999999997</c:v>
                </c:pt>
                <c:pt idx="19">
                  <c:v>37.799999999999997</c:v>
                </c:pt>
                <c:pt idx="20">
                  <c:v>33.299999999999997</c:v>
                </c:pt>
                <c:pt idx="21">
                  <c:v>31.8</c:v>
                </c:pt>
                <c:pt idx="22">
                  <c:v>30.9</c:v>
                </c:pt>
                <c:pt idx="23">
                  <c:v>27.4</c:v>
                </c:pt>
                <c:pt idx="24">
                  <c:v>23.1</c:v>
                </c:pt>
                <c:pt idx="25">
                  <c:v>18.5</c:v>
                </c:pt>
                <c:pt idx="26">
                  <c:v>17.399999999999999</c:v>
                </c:pt>
                <c:pt idx="27">
                  <c:v>44.7</c:v>
                </c:pt>
              </c:numCache>
            </c:numRef>
          </c:val>
          <c:extLst>
            <c:ext xmlns:c16="http://schemas.microsoft.com/office/drawing/2014/chart" uri="{C3380CC4-5D6E-409C-BE32-E72D297353CC}">
              <c16:uniqueId val="{00000005-D65C-4188-8B87-38893B3CE8FE}"/>
            </c:ext>
          </c:extLst>
        </c:ser>
        <c:dLbls>
          <c:showLegendKey val="0"/>
          <c:showVal val="0"/>
          <c:showCatName val="0"/>
          <c:showSerName val="0"/>
          <c:showPercent val="0"/>
          <c:showBubbleSize val="0"/>
        </c:dLbls>
        <c:gapWidth val="90"/>
        <c:axId val="673472208"/>
        <c:axId val="673474928"/>
      </c:barChart>
      <c:catAx>
        <c:axId val="67347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it-IT"/>
          </a:p>
        </c:txPr>
        <c:crossAx val="673474928"/>
        <c:crosses val="autoZero"/>
        <c:auto val="1"/>
        <c:lblAlgn val="ctr"/>
        <c:lblOffset val="100"/>
        <c:noMultiLvlLbl val="0"/>
      </c:catAx>
      <c:valAx>
        <c:axId val="673474928"/>
        <c:scaling>
          <c:orientation val="minMax"/>
          <c:max val="120"/>
        </c:scaling>
        <c:delete val="0"/>
        <c:axPos val="l"/>
        <c:majorGridlines>
          <c:spPr>
            <a:ln w="3175" cap="flat" cmpd="sng" algn="ctr">
              <a:solidFill>
                <a:schemeClr val="bg1">
                  <a:lumMod val="85000"/>
                </a:schemeClr>
              </a:solidFill>
              <a:round/>
            </a:ln>
            <a:effectLst/>
          </c:spPr>
        </c:majorGridlines>
        <c:numFmt formatCode="General" sourceLinked="1"/>
        <c:majorTickMark val="out"/>
        <c:minorTickMark val="none"/>
        <c:tickLblPos val="nextTo"/>
        <c:spPr>
          <a:noFill/>
          <a:ln w="6350">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it-IT"/>
          </a:p>
        </c:txPr>
        <c:crossAx val="673472208"/>
        <c:crosses val="autoZero"/>
        <c:crossBetween val="between"/>
      </c:valAx>
      <c:spPr>
        <a:noFill/>
        <a:ln w="3175">
          <a:solidFill>
            <a:schemeClr val="bg1">
              <a:lumMod val="85000"/>
            </a:schemeClr>
          </a:solidFill>
        </a:ln>
        <a:effectLst/>
      </c:spPr>
    </c:plotArea>
    <c:legend>
      <c:legendPos val="t"/>
      <c:layout>
        <c:manualLayout>
          <c:xMode val="edge"/>
          <c:yMode val="edge"/>
          <c:x val="0.19355077160493828"/>
          <c:y val="2.7354976485153143E-2"/>
          <c:w val="0.70096666666666663"/>
          <c:h val="8.801435185185185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legend>
    <c:plotVisOnly val="1"/>
    <c:dispBlanksAs val="gap"/>
    <c:showDLblsOverMax val="0"/>
  </c:chart>
  <c:spPr>
    <a:noFill/>
    <a:ln w="3175" cap="flat" cmpd="sng" algn="ctr">
      <a:solidFill>
        <a:schemeClr val="bg1">
          <a:lumMod val="85000"/>
        </a:schemeClr>
      </a:solidFill>
      <a:round/>
    </a:ln>
    <a:effectLst/>
  </c:spPr>
  <c:txPr>
    <a:bodyPr/>
    <a:lstStyle/>
    <a:p>
      <a:pPr>
        <a:defRPr sz="700">
          <a:solidFill>
            <a:sysClr val="windowText" lastClr="000000"/>
          </a:solidFill>
          <a:latin typeface="Arial Narrow" panose="020B0606020202030204" pitchFamily="34" charset="0"/>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45554344630162E-2"/>
          <c:y val="0.11755555555555555"/>
          <c:w val="0.84742179535536133"/>
          <c:h val="0.71518657407407404"/>
        </c:manualLayout>
      </c:layout>
      <c:barChart>
        <c:barDir val="bar"/>
        <c:grouping val="clustered"/>
        <c:varyColors val="0"/>
        <c:ser>
          <c:idx val="0"/>
          <c:order val="0"/>
          <c:tx>
            <c:v>Donne 2010</c:v>
          </c:tx>
          <c:spPr>
            <a:solidFill>
              <a:schemeClr val="bg1">
                <a:lumMod val="65000"/>
              </a:schemeClr>
            </a:solidFill>
            <a:ln w="22225">
              <a:noFill/>
              <a:prstDash val="dash"/>
            </a:ln>
          </c:spPr>
          <c:invertIfNegative val="0"/>
          <c:cat>
            <c:strRef>
              <c:f>'figura 3 IT_2021'!$A$35:$A$43</c:f>
              <c:strCache>
                <c:ptCount val="9"/>
                <c:pt idx="0">
                  <c:v>0-9</c:v>
                </c:pt>
                <c:pt idx="1">
                  <c:v> 10-19</c:v>
                </c:pt>
                <c:pt idx="2">
                  <c:v>20-29</c:v>
                </c:pt>
                <c:pt idx="3">
                  <c:v>30-39</c:v>
                </c:pt>
                <c:pt idx="4">
                  <c:v>40-49</c:v>
                </c:pt>
                <c:pt idx="5">
                  <c:v>50-59</c:v>
                </c:pt>
                <c:pt idx="6">
                  <c:v>60-69</c:v>
                </c:pt>
                <c:pt idx="7">
                  <c:v>70-79</c:v>
                </c:pt>
                <c:pt idx="8">
                  <c:v>80+</c:v>
                </c:pt>
              </c:strCache>
            </c:strRef>
          </c:cat>
          <c:val>
            <c:numRef>
              <c:f>'figura 3 IT_2021'!$F$35:$F$43</c:f>
              <c:numCache>
                <c:formatCode>#,##0</c:formatCode>
                <c:ptCount val="9"/>
                <c:pt idx="0">
                  <c:v>2.0757020757020754</c:v>
                </c:pt>
                <c:pt idx="1">
                  <c:v>7.9365079365079358</c:v>
                </c:pt>
                <c:pt idx="2">
                  <c:v>14.896214896214897</c:v>
                </c:pt>
                <c:pt idx="3">
                  <c:v>11.355311355311356</c:v>
                </c:pt>
                <c:pt idx="4">
                  <c:v>10.866910866910867</c:v>
                </c:pt>
                <c:pt idx="5">
                  <c:v>10.012210012210012</c:v>
                </c:pt>
                <c:pt idx="6">
                  <c:v>11.843711843711842</c:v>
                </c:pt>
                <c:pt idx="7">
                  <c:v>16.483516483516482</c:v>
                </c:pt>
                <c:pt idx="8">
                  <c:v>14.529914529914532</c:v>
                </c:pt>
              </c:numCache>
            </c:numRef>
          </c:val>
          <c:extLst>
            <c:ext xmlns:c16="http://schemas.microsoft.com/office/drawing/2014/chart" uri="{C3380CC4-5D6E-409C-BE32-E72D297353CC}">
              <c16:uniqueId val="{00000000-0117-4A3B-BC5A-F19350C83168}"/>
            </c:ext>
          </c:extLst>
        </c:ser>
        <c:ser>
          <c:idx val="1"/>
          <c:order val="1"/>
          <c:tx>
            <c:v>Donne 2021</c:v>
          </c:tx>
          <c:spPr>
            <a:solidFill>
              <a:schemeClr val="bg1">
                <a:lumMod val="85000"/>
              </a:schemeClr>
            </a:solidFill>
            <a:ln w="38100">
              <a:noFill/>
            </a:ln>
          </c:spPr>
          <c:invertIfNegative val="0"/>
          <c:cat>
            <c:strRef>
              <c:f>'figura 3 IT_2021'!$A$35:$A$43</c:f>
              <c:strCache>
                <c:ptCount val="9"/>
                <c:pt idx="0">
                  <c:v>0-9</c:v>
                </c:pt>
                <c:pt idx="1">
                  <c:v> 10-19</c:v>
                </c:pt>
                <c:pt idx="2">
                  <c:v>20-29</c:v>
                </c:pt>
                <c:pt idx="3">
                  <c:v>30-39</c:v>
                </c:pt>
                <c:pt idx="4">
                  <c:v>40-49</c:v>
                </c:pt>
                <c:pt idx="5">
                  <c:v>50-59</c:v>
                </c:pt>
                <c:pt idx="6">
                  <c:v>60-69</c:v>
                </c:pt>
                <c:pt idx="7">
                  <c:v>70-79</c:v>
                </c:pt>
                <c:pt idx="8">
                  <c:v>80+</c:v>
                </c:pt>
              </c:strCache>
            </c:strRef>
          </c:cat>
          <c:val>
            <c:numRef>
              <c:f>'figura 3 IT_2021'!$G$35:$G$43</c:f>
              <c:numCache>
                <c:formatCode>#,##0</c:formatCode>
                <c:ptCount val="9"/>
                <c:pt idx="0">
                  <c:v>0.85653104925053536</c:v>
                </c:pt>
                <c:pt idx="1">
                  <c:v>6.209850107066381</c:v>
                </c:pt>
                <c:pt idx="2">
                  <c:v>16.916488222698074</c:v>
                </c:pt>
                <c:pt idx="3">
                  <c:v>6.8522483940042829</c:v>
                </c:pt>
                <c:pt idx="4">
                  <c:v>9.6359743040685224</c:v>
                </c:pt>
                <c:pt idx="5">
                  <c:v>12.205567451820128</c:v>
                </c:pt>
                <c:pt idx="6">
                  <c:v>11.563169164882227</c:v>
                </c:pt>
                <c:pt idx="7">
                  <c:v>17.344753747323342</c:v>
                </c:pt>
                <c:pt idx="8">
                  <c:v>18.41541755888651</c:v>
                </c:pt>
              </c:numCache>
            </c:numRef>
          </c:val>
          <c:extLst>
            <c:ext xmlns:c16="http://schemas.microsoft.com/office/drawing/2014/chart" uri="{C3380CC4-5D6E-409C-BE32-E72D297353CC}">
              <c16:uniqueId val="{00000001-0117-4A3B-BC5A-F19350C83168}"/>
            </c:ext>
          </c:extLst>
        </c:ser>
        <c:ser>
          <c:idx val="2"/>
          <c:order val="2"/>
          <c:tx>
            <c:v>Uomini 2010</c:v>
          </c:tx>
          <c:spPr>
            <a:solidFill>
              <a:schemeClr val="accent1">
                <a:lumMod val="75000"/>
              </a:schemeClr>
            </a:solidFill>
          </c:spPr>
          <c:invertIfNegative val="0"/>
          <c:cat>
            <c:strRef>
              <c:f>'figura 3 IT_2021'!$A$35:$A$43</c:f>
              <c:strCache>
                <c:ptCount val="9"/>
                <c:pt idx="0">
                  <c:v>0-9</c:v>
                </c:pt>
                <c:pt idx="1">
                  <c:v> 10-19</c:v>
                </c:pt>
                <c:pt idx="2">
                  <c:v>20-29</c:v>
                </c:pt>
                <c:pt idx="3">
                  <c:v>30-39</c:v>
                </c:pt>
                <c:pt idx="4">
                  <c:v>40-49</c:v>
                </c:pt>
                <c:pt idx="5">
                  <c:v>50-59</c:v>
                </c:pt>
                <c:pt idx="6">
                  <c:v>60-69</c:v>
                </c:pt>
                <c:pt idx="7">
                  <c:v>70-79</c:v>
                </c:pt>
                <c:pt idx="8">
                  <c:v>80+</c:v>
                </c:pt>
              </c:strCache>
            </c:strRef>
          </c:cat>
          <c:val>
            <c:numRef>
              <c:f>'figura 3 IT_2021'!$H$35:$H$43</c:f>
              <c:numCache>
                <c:formatCode>#,##0</c:formatCode>
                <c:ptCount val="9"/>
                <c:pt idx="0">
                  <c:v>-0.7497656982193065</c:v>
                </c:pt>
                <c:pt idx="1">
                  <c:v>-7.5601374570446733</c:v>
                </c:pt>
                <c:pt idx="2">
                  <c:v>-19.337706966572945</c:v>
                </c:pt>
                <c:pt idx="3">
                  <c:v>-17.213370821618241</c:v>
                </c:pt>
                <c:pt idx="4">
                  <c:v>-15.276476101218369</c:v>
                </c:pt>
                <c:pt idx="5">
                  <c:v>-11.277725710715401</c:v>
                </c:pt>
                <c:pt idx="6">
                  <c:v>-9.0909090909090917</c:v>
                </c:pt>
                <c:pt idx="7">
                  <c:v>-11.121524523586379</c:v>
                </c:pt>
                <c:pt idx="8">
                  <c:v>-8.3723836301155892</c:v>
                </c:pt>
              </c:numCache>
            </c:numRef>
          </c:val>
          <c:extLst>
            <c:ext xmlns:c16="http://schemas.microsoft.com/office/drawing/2014/chart" uri="{C3380CC4-5D6E-409C-BE32-E72D297353CC}">
              <c16:uniqueId val="{00000002-0117-4A3B-BC5A-F19350C83168}"/>
            </c:ext>
          </c:extLst>
        </c:ser>
        <c:ser>
          <c:idx val="3"/>
          <c:order val="3"/>
          <c:tx>
            <c:v>Uomini 2021</c:v>
          </c:tx>
          <c:spPr>
            <a:solidFill>
              <a:schemeClr val="accent1">
                <a:lumMod val="40000"/>
                <a:lumOff val="60000"/>
              </a:schemeClr>
            </a:solidFill>
            <a:ln w="38100">
              <a:noFill/>
            </a:ln>
          </c:spPr>
          <c:invertIfNegative val="0"/>
          <c:cat>
            <c:strRef>
              <c:f>'figura 3 IT_2021'!$A$35:$A$43</c:f>
              <c:strCache>
                <c:ptCount val="9"/>
                <c:pt idx="0">
                  <c:v>0-9</c:v>
                </c:pt>
                <c:pt idx="1">
                  <c:v> 10-19</c:v>
                </c:pt>
                <c:pt idx="2">
                  <c:v>20-29</c:v>
                </c:pt>
                <c:pt idx="3">
                  <c:v>30-39</c:v>
                </c:pt>
                <c:pt idx="4">
                  <c:v>40-49</c:v>
                </c:pt>
                <c:pt idx="5">
                  <c:v>50-59</c:v>
                </c:pt>
                <c:pt idx="6">
                  <c:v>60-69</c:v>
                </c:pt>
                <c:pt idx="7">
                  <c:v>70-79</c:v>
                </c:pt>
                <c:pt idx="8">
                  <c:v>80+</c:v>
                </c:pt>
              </c:strCache>
            </c:strRef>
          </c:cat>
          <c:val>
            <c:numRef>
              <c:f>'figura 3 IT_2021'!$I$35:$I$43</c:f>
              <c:numCache>
                <c:formatCode>#,##0</c:formatCode>
                <c:ptCount val="9"/>
                <c:pt idx="0">
                  <c:v>-0.29723991507431002</c:v>
                </c:pt>
                <c:pt idx="1">
                  <c:v>-5.6900212314225058</c:v>
                </c:pt>
                <c:pt idx="2">
                  <c:v>-14.479830148619957</c:v>
                </c:pt>
                <c:pt idx="3">
                  <c:v>-13.163481953290871</c:v>
                </c:pt>
                <c:pt idx="4">
                  <c:v>-15.116772823779193</c:v>
                </c:pt>
                <c:pt idx="5">
                  <c:v>-16.390658174097663</c:v>
                </c:pt>
                <c:pt idx="6">
                  <c:v>-12.059447983014863</c:v>
                </c:pt>
                <c:pt idx="7">
                  <c:v>-11.337579617834395</c:v>
                </c:pt>
                <c:pt idx="8">
                  <c:v>-11.464968152866243</c:v>
                </c:pt>
              </c:numCache>
            </c:numRef>
          </c:val>
          <c:extLst>
            <c:ext xmlns:c16="http://schemas.microsoft.com/office/drawing/2014/chart" uri="{C3380CC4-5D6E-409C-BE32-E72D297353CC}">
              <c16:uniqueId val="{00000003-0117-4A3B-BC5A-F19350C83168}"/>
            </c:ext>
          </c:extLst>
        </c:ser>
        <c:dLbls>
          <c:showLegendKey val="0"/>
          <c:showVal val="0"/>
          <c:showCatName val="0"/>
          <c:showSerName val="0"/>
          <c:showPercent val="0"/>
          <c:showBubbleSize val="0"/>
        </c:dLbls>
        <c:gapWidth val="0"/>
        <c:overlap val="5"/>
        <c:axId val="618559008"/>
        <c:axId val="618559552"/>
      </c:barChart>
      <c:catAx>
        <c:axId val="618559008"/>
        <c:scaling>
          <c:orientation val="minMax"/>
        </c:scaling>
        <c:delete val="0"/>
        <c:axPos val="l"/>
        <c:numFmt formatCode="General" sourceLinked="1"/>
        <c:majorTickMark val="in"/>
        <c:minorTickMark val="none"/>
        <c:tickLblPos val="high"/>
        <c:spPr>
          <a:ln w="3175">
            <a:solidFill>
              <a:schemeClr val="bg1">
                <a:lumMod val="85000"/>
              </a:schemeClr>
            </a:solidFill>
            <a:prstDash val="solid"/>
          </a:ln>
        </c:spPr>
        <c:txPr>
          <a:bodyPr rot="0" vert="horz"/>
          <a:lstStyle/>
          <a:p>
            <a:pPr>
              <a:defRPr/>
            </a:pPr>
            <a:endParaRPr lang="it-IT"/>
          </a:p>
        </c:txPr>
        <c:crossAx val="618559552"/>
        <c:crossesAt val="0"/>
        <c:auto val="1"/>
        <c:lblAlgn val="ctr"/>
        <c:lblOffset val="100"/>
        <c:tickLblSkip val="1"/>
        <c:tickMarkSkip val="1"/>
        <c:noMultiLvlLbl val="0"/>
      </c:catAx>
      <c:valAx>
        <c:axId val="618559552"/>
        <c:scaling>
          <c:orientation val="minMax"/>
        </c:scaling>
        <c:delete val="0"/>
        <c:axPos val="b"/>
        <c:majorGridlines>
          <c:spPr>
            <a:ln w="3175">
              <a:solidFill>
                <a:schemeClr val="bg1">
                  <a:lumMod val="85000"/>
                </a:schemeClr>
              </a:solidFill>
            </a:ln>
          </c:spPr>
        </c:majorGridlines>
        <c:numFmt formatCode="#,##0.0;[Black]#,##0.0" sourceLinked="0"/>
        <c:majorTickMark val="out"/>
        <c:minorTickMark val="none"/>
        <c:tickLblPos val="nextTo"/>
        <c:spPr>
          <a:ln w="3175">
            <a:solidFill>
              <a:schemeClr val="bg1">
                <a:lumMod val="85000"/>
              </a:schemeClr>
            </a:solidFill>
            <a:prstDash val="solid"/>
          </a:ln>
        </c:spPr>
        <c:txPr>
          <a:bodyPr rot="0" vert="horz"/>
          <a:lstStyle/>
          <a:p>
            <a:pPr>
              <a:defRPr/>
            </a:pPr>
            <a:endParaRPr lang="it-IT"/>
          </a:p>
        </c:txPr>
        <c:crossAx val="618559008"/>
        <c:crosses val="autoZero"/>
        <c:crossBetween val="between"/>
      </c:valAx>
      <c:spPr>
        <a:noFill/>
        <a:ln w="3175">
          <a:solidFill>
            <a:schemeClr val="bg1">
              <a:lumMod val="85000"/>
            </a:schemeClr>
          </a:solidFill>
          <a:prstDash val="solid"/>
        </a:ln>
      </c:spPr>
    </c:plotArea>
    <c:legend>
      <c:legendPos val="b"/>
      <c:layout>
        <c:manualLayout>
          <c:xMode val="edge"/>
          <c:yMode val="edge"/>
          <c:x val="5.6346274155165653E-3"/>
          <c:y val="0.93106650493729814"/>
          <c:w val="0.96122626436468039"/>
          <c:h val="5.8449884107581125E-2"/>
        </c:manualLayout>
      </c:layout>
      <c:overlay val="0"/>
    </c:legend>
    <c:plotVisOnly val="1"/>
    <c:dispBlanksAs val="gap"/>
    <c:showDLblsOverMax val="0"/>
  </c:chart>
  <c:spPr>
    <a:noFill/>
    <a:ln w="3175">
      <a:noFill/>
    </a:ln>
  </c:spPr>
  <c:txPr>
    <a:bodyPr/>
    <a:lstStyle/>
    <a:p>
      <a:pPr>
        <a:defRPr sz="700" b="0" i="0" u="none" strike="noStrike" baseline="0">
          <a:solidFill>
            <a:srgbClr val="000000"/>
          </a:solidFill>
          <a:latin typeface="Arial Narrow" panose="020B0606020202030204" pitchFamily="34" charset="0"/>
          <a:ea typeface="Verdana"/>
          <a:cs typeface="Arial" panose="020B0604020202020204" pitchFamily="34" charset="0"/>
        </a:defRPr>
      </a:pPr>
      <a:endParaRPr lang="it-I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801820371847274E-2"/>
          <c:y val="2.8502457988366502E-2"/>
          <c:w val="0.88859548611111117"/>
          <c:h val="0.84255834931376639"/>
        </c:manualLayout>
      </c:layout>
      <c:barChart>
        <c:barDir val="col"/>
        <c:grouping val="clustered"/>
        <c:varyColors val="0"/>
        <c:ser>
          <c:idx val="0"/>
          <c:order val="0"/>
          <c:tx>
            <c:strRef>
              <c:f>'figura 6-7 IT 2021'!$B$26</c:f>
              <c:strCache>
                <c:ptCount val="1"/>
                <c:pt idx="0">
                  <c:v>Feriti</c:v>
                </c:pt>
              </c:strCache>
            </c:strRef>
          </c:tx>
          <c:spPr>
            <a:solidFill>
              <a:schemeClr val="tx2">
                <a:lumMod val="40000"/>
                <a:lumOff val="60000"/>
              </a:schemeClr>
            </a:solidFill>
          </c:spPr>
          <c:invertIfNegative val="0"/>
          <c:cat>
            <c:strRef>
              <c:f>'figura 6-7 IT 2021'!$A$27:$A$43</c:f>
              <c:strCache>
                <c:ptCount val="17"/>
                <c:pt idx="0">
                  <c:v> 0-9</c:v>
                </c:pt>
                <c:pt idx="1">
                  <c:v> 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'figura 6-7 IT 2021'!$B$27:$B$44</c:f>
              <c:numCache>
                <c:formatCode>0.00</c:formatCode>
                <c:ptCount val="18"/>
                <c:pt idx="0">
                  <c:v>8.021259826043288E-2</c:v>
                </c:pt>
                <c:pt idx="1">
                  <c:v>0.72540088861608853</c:v>
                </c:pt>
                <c:pt idx="2">
                  <c:v>7.7192419560713956</c:v>
                </c:pt>
                <c:pt idx="3">
                  <c:v>11.766141913523844</c:v>
                </c:pt>
                <c:pt idx="4">
                  <c:v>10.640375534460029</c:v>
                </c:pt>
                <c:pt idx="5">
                  <c:v>9.254441336690638</c:v>
                </c:pt>
                <c:pt idx="6">
                  <c:v>8.2974701644009503</c:v>
                </c:pt>
                <c:pt idx="7">
                  <c:v>8.5729830019041771</c:v>
                </c:pt>
                <c:pt idx="8">
                  <c:v>9.5662242186246687</c:v>
                </c:pt>
                <c:pt idx="9">
                  <c:v>9.1651612273225034</c:v>
                </c:pt>
                <c:pt idx="10">
                  <c:v>7.9773172722136589</c:v>
                </c:pt>
                <c:pt idx="11">
                  <c:v>5.4167916355697541</c:v>
                </c:pt>
                <c:pt idx="12">
                  <c:v>3.6242144396626887</c:v>
                </c:pt>
                <c:pt idx="13">
                  <c:v>2.7920959203175024</c:v>
                </c:pt>
                <c:pt idx="14">
                  <c:v>2.0701825359736068</c:v>
                </c:pt>
                <c:pt idx="15">
                  <c:v>1.5247368678026629</c:v>
                </c:pt>
                <c:pt idx="16">
                  <c:v>0.80700848858539853</c:v>
                </c:pt>
              </c:numCache>
            </c:numRef>
          </c:val>
          <c:extLst>
            <c:ext xmlns:c16="http://schemas.microsoft.com/office/drawing/2014/chart" uri="{C3380CC4-5D6E-409C-BE32-E72D297353CC}">
              <c16:uniqueId val="{00000000-0D0B-4495-996B-A2858F759AB0}"/>
            </c:ext>
          </c:extLst>
        </c:ser>
        <c:ser>
          <c:idx val="1"/>
          <c:order val="1"/>
          <c:tx>
            <c:strRef>
              <c:f>'figura 6-7 IT 2021'!$C$26</c:f>
              <c:strCache>
                <c:ptCount val="1"/>
                <c:pt idx="0">
                  <c:v>Incolumi</c:v>
                </c:pt>
              </c:strCache>
            </c:strRef>
          </c:tx>
          <c:spPr>
            <a:solidFill>
              <a:schemeClr val="bg1">
                <a:lumMod val="65000"/>
              </a:schemeClr>
            </a:solidFill>
          </c:spPr>
          <c:invertIfNegative val="0"/>
          <c:cat>
            <c:strRef>
              <c:f>'figura 6-7 IT 2021'!$A$27:$A$43</c:f>
              <c:strCache>
                <c:ptCount val="17"/>
                <c:pt idx="0">
                  <c:v> 0-9</c:v>
                </c:pt>
                <c:pt idx="1">
                  <c:v> 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'figura 6-7 IT 2021'!$C$27:$C$43</c:f>
              <c:numCache>
                <c:formatCode>0.00</c:formatCode>
                <c:ptCount val="17"/>
                <c:pt idx="0">
                  <c:v>1.0771040813959269E-2</c:v>
                </c:pt>
                <c:pt idx="1">
                  <c:v>9.0311034517043101E-2</c:v>
                </c:pt>
                <c:pt idx="2">
                  <c:v>2.3795714782839248</c:v>
                </c:pt>
                <c:pt idx="3">
                  <c:v>9.2133826039405431</c:v>
                </c:pt>
                <c:pt idx="4">
                  <c:v>8.6822874376522439</c:v>
                </c:pt>
                <c:pt idx="5">
                  <c:v>8.3956120436807122</c:v>
                </c:pt>
                <c:pt idx="6">
                  <c:v>8.3185576747808501</c:v>
                </c:pt>
                <c:pt idx="7">
                  <c:v>9.3517490513198673</c:v>
                </c:pt>
                <c:pt idx="8">
                  <c:v>10.977347672626642</c:v>
                </c:pt>
                <c:pt idx="9">
                  <c:v>10.654216448207865</c:v>
                </c:pt>
                <c:pt idx="10">
                  <c:v>9.6931081909622687</c:v>
                </c:pt>
                <c:pt idx="11">
                  <c:v>6.8818665385188993</c:v>
                </c:pt>
                <c:pt idx="12">
                  <c:v>4.8428256582763023</c:v>
                </c:pt>
                <c:pt idx="13">
                  <c:v>4.1311084229539166</c:v>
                </c:pt>
                <c:pt idx="14">
                  <c:v>3.0912887136063101</c:v>
                </c:pt>
                <c:pt idx="15">
                  <c:v>2.2163487828723882</c:v>
                </c:pt>
                <c:pt idx="16">
                  <c:v>1.0696472069862628</c:v>
                </c:pt>
              </c:numCache>
            </c:numRef>
          </c:val>
          <c:extLst>
            <c:ext xmlns:c16="http://schemas.microsoft.com/office/drawing/2014/chart" uri="{C3380CC4-5D6E-409C-BE32-E72D297353CC}">
              <c16:uniqueId val="{00000001-0D0B-4495-996B-A2858F759AB0}"/>
            </c:ext>
          </c:extLst>
        </c:ser>
        <c:ser>
          <c:idx val="2"/>
          <c:order val="2"/>
          <c:tx>
            <c:strRef>
              <c:f>'figura 6-7 IT 2021'!$D$26</c:f>
              <c:strCache>
                <c:ptCount val="1"/>
                <c:pt idx="0">
                  <c:v>Morti</c:v>
                </c:pt>
              </c:strCache>
            </c:strRef>
          </c:tx>
          <c:spPr>
            <a:solidFill>
              <a:schemeClr val="tx2"/>
            </a:solidFill>
          </c:spPr>
          <c:invertIfNegative val="0"/>
          <c:cat>
            <c:strRef>
              <c:f>'figura 6-7 IT 2021'!$A$27:$A$43</c:f>
              <c:strCache>
                <c:ptCount val="17"/>
                <c:pt idx="0">
                  <c:v> 0-9</c:v>
                </c:pt>
                <c:pt idx="1">
                  <c:v> 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'figura 6-7 IT 2021'!$D$27:$D$43</c:f>
              <c:numCache>
                <c:formatCode>0.00</c:formatCode>
                <c:ptCount val="17"/>
                <c:pt idx="0">
                  <c:v>4.9309664694280081E-2</c:v>
                </c:pt>
                <c:pt idx="1">
                  <c:v>0.4437869822485207</c:v>
                </c:pt>
                <c:pt idx="2">
                  <c:v>4.1420118343195274</c:v>
                </c:pt>
                <c:pt idx="3">
                  <c:v>7.9388560157790931</c:v>
                </c:pt>
                <c:pt idx="4">
                  <c:v>7.5936883629191323</c:v>
                </c:pt>
                <c:pt idx="5">
                  <c:v>7.1992110453648923</c:v>
                </c:pt>
                <c:pt idx="6">
                  <c:v>6.8540433925049316</c:v>
                </c:pt>
                <c:pt idx="7">
                  <c:v>8.0867850098619325</c:v>
                </c:pt>
                <c:pt idx="8">
                  <c:v>8.3333333333333321</c:v>
                </c:pt>
                <c:pt idx="9">
                  <c:v>8.5798816568047336</c:v>
                </c:pt>
                <c:pt idx="10">
                  <c:v>8.5798816568047336</c:v>
                </c:pt>
                <c:pt idx="11">
                  <c:v>6.5581854043392509</c:v>
                </c:pt>
                <c:pt idx="12">
                  <c:v>5.9664694280078896</c:v>
                </c:pt>
                <c:pt idx="13">
                  <c:v>6.8047337278106506</c:v>
                </c:pt>
                <c:pt idx="14">
                  <c:v>4.6844181459566077</c:v>
                </c:pt>
                <c:pt idx="15">
                  <c:v>4.4378698224852071</c:v>
                </c:pt>
                <c:pt idx="16">
                  <c:v>3.7475345167652856</c:v>
                </c:pt>
              </c:numCache>
            </c:numRef>
          </c:val>
          <c:extLst>
            <c:ext xmlns:c16="http://schemas.microsoft.com/office/drawing/2014/chart" uri="{C3380CC4-5D6E-409C-BE32-E72D297353CC}">
              <c16:uniqueId val="{00000002-0D0B-4495-996B-A2858F759AB0}"/>
            </c:ext>
          </c:extLst>
        </c:ser>
        <c:dLbls>
          <c:showLegendKey val="0"/>
          <c:showVal val="0"/>
          <c:showCatName val="0"/>
          <c:showSerName val="0"/>
          <c:showPercent val="0"/>
          <c:showBubbleSize val="0"/>
        </c:dLbls>
        <c:gapWidth val="60"/>
        <c:axId val="618558464"/>
        <c:axId val="618556288"/>
      </c:barChart>
      <c:catAx>
        <c:axId val="618558464"/>
        <c:scaling>
          <c:orientation val="minMax"/>
        </c:scaling>
        <c:delete val="0"/>
        <c:axPos val="b"/>
        <c:numFmt formatCode="General" sourceLinked="0"/>
        <c:majorTickMark val="out"/>
        <c:minorTickMark val="none"/>
        <c:tickLblPos val="nextTo"/>
        <c:spPr>
          <a:ln w="3175">
            <a:solidFill>
              <a:schemeClr val="bg1">
                <a:lumMod val="85000"/>
              </a:schemeClr>
            </a:solidFill>
          </a:ln>
        </c:spPr>
        <c:txPr>
          <a:bodyPr rot="-5400000" vert="horz"/>
          <a:lstStyle/>
          <a:p>
            <a:pPr>
              <a:defRPr/>
            </a:pPr>
            <a:endParaRPr lang="it-IT"/>
          </a:p>
        </c:txPr>
        <c:crossAx val="618556288"/>
        <c:crosses val="autoZero"/>
        <c:auto val="1"/>
        <c:lblAlgn val="ctr"/>
        <c:lblOffset val="100"/>
        <c:noMultiLvlLbl val="0"/>
      </c:catAx>
      <c:valAx>
        <c:axId val="618556288"/>
        <c:scaling>
          <c:orientation val="minMax"/>
          <c:max val="12"/>
        </c:scaling>
        <c:delete val="0"/>
        <c:axPos val="l"/>
        <c:majorGridlines>
          <c:spPr>
            <a:ln w="3175">
              <a:solidFill>
                <a:schemeClr val="bg1">
                  <a:lumMod val="85000"/>
                </a:schemeClr>
              </a:solidFill>
            </a:ln>
          </c:spPr>
        </c:majorGridlines>
        <c:numFmt formatCode="0.0" sourceLinked="0"/>
        <c:majorTickMark val="out"/>
        <c:minorTickMark val="none"/>
        <c:tickLblPos val="nextTo"/>
        <c:spPr>
          <a:ln w="3175">
            <a:solidFill>
              <a:schemeClr val="bg1">
                <a:lumMod val="85000"/>
              </a:schemeClr>
            </a:solidFill>
          </a:ln>
        </c:spPr>
        <c:crossAx val="618558464"/>
        <c:crosses val="autoZero"/>
        <c:crossBetween val="between"/>
      </c:valAx>
      <c:spPr>
        <a:noFill/>
        <a:ln w="3175">
          <a:solidFill>
            <a:schemeClr val="bg1">
              <a:lumMod val="85000"/>
            </a:schemeClr>
          </a:solidFill>
        </a:ln>
      </c:spPr>
    </c:plotArea>
    <c:legend>
      <c:legendPos val="r"/>
      <c:layout>
        <c:manualLayout>
          <c:xMode val="edge"/>
          <c:yMode val="edge"/>
          <c:x val="0.70173749229527116"/>
          <c:y val="3.3947866190351603E-2"/>
          <c:w val="0.2351954861111111"/>
          <c:h val="0.27837111270182135"/>
        </c:manualLayout>
      </c:layout>
      <c:overlay val="0"/>
    </c:legend>
    <c:plotVisOnly val="1"/>
    <c:dispBlanksAs val="gap"/>
    <c:showDLblsOverMax val="0"/>
  </c:chart>
  <c:spPr>
    <a:noFill/>
    <a:ln>
      <a:noFill/>
    </a:ln>
  </c:spPr>
  <c:txPr>
    <a:bodyPr/>
    <a:lstStyle/>
    <a:p>
      <a:pPr>
        <a:defRPr sz="800">
          <a:latin typeface="Arial Narrow" panose="020B0606020202030204" pitchFamily="34" charset="0"/>
          <a:cs typeface="Arial" panose="020B0604020202020204" pitchFamily="34" charset="0"/>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848143982002244E-2"/>
          <c:y val="2.6171877030222706E-2"/>
          <c:w val="0.81296244219472569"/>
          <c:h val="0.80863491073516802"/>
        </c:manualLayout>
      </c:layout>
      <c:barChart>
        <c:barDir val="col"/>
        <c:grouping val="clustered"/>
        <c:varyColors val="0"/>
        <c:ser>
          <c:idx val="2"/>
          <c:order val="2"/>
          <c:tx>
            <c:strRef>
              <c:f>'figura 6-7 IT 2021'!$D$2</c:f>
              <c:strCache>
                <c:ptCount val="1"/>
                <c:pt idx="0">
                  <c:v>Maschi Italiani</c:v>
                </c:pt>
              </c:strCache>
            </c:strRef>
          </c:tx>
          <c:spPr>
            <a:solidFill>
              <a:schemeClr val="tx2"/>
            </a:solidFill>
            <a:ln w="38100">
              <a:solidFill>
                <a:schemeClr val="tx2"/>
              </a:solidFill>
            </a:ln>
          </c:spPr>
          <c:invertIfNegative val="0"/>
          <c:cat>
            <c:strRef>
              <c:f>'figura 6-7 IT 2021'!$A$3:$A$19</c:f>
              <c:strCache>
                <c:ptCount val="17"/>
                <c:pt idx="0">
                  <c:v>0-9</c:v>
                </c:pt>
                <c:pt idx="1">
                  <c:v> 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'figura 6-7 IT 2021'!$D$3:$D$19</c:f>
              <c:numCache>
                <c:formatCode>General</c:formatCode>
                <c:ptCount val="17"/>
                <c:pt idx="0">
                  <c:v>80</c:v>
                </c:pt>
                <c:pt idx="1">
                  <c:v>902</c:v>
                </c:pt>
                <c:pt idx="2">
                  <c:v>11096</c:v>
                </c:pt>
                <c:pt idx="3">
                  <c:v>19100</c:v>
                </c:pt>
                <c:pt idx="4">
                  <c:v>16296</c:v>
                </c:pt>
                <c:pt idx="5">
                  <c:v>14471</c:v>
                </c:pt>
                <c:pt idx="6">
                  <c:v>13305</c:v>
                </c:pt>
                <c:pt idx="7">
                  <c:v>14601</c:v>
                </c:pt>
                <c:pt idx="8">
                  <c:v>17403</c:v>
                </c:pt>
                <c:pt idx="9">
                  <c:v>17297</c:v>
                </c:pt>
                <c:pt idx="10">
                  <c:v>16327</c:v>
                </c:pt>
                <c:pt idx="11">
                  <c:v>11916</c:v>
                </c:pt>
                <c:pt idx="12">
                  <c:v>8500</c:v>
                </c:pt>
                <c:pt idx="13">
                  <c:v>7171</c:v>
                </c:pt>
                <c:pt idx="14">
                  <c:v>5340</c:v>
                </c:pt>
                <c:pt idx="15">
                  <c:v>4082</c:v>
                </c:pt>
                <c:pt idx="16">
                  <c:v>2176</c:v>
                </c:pt>
              </c:numCache>
            </c:numRef>
          </c:val>
          <c:extLst>
            <c:ext xmlns:c16="http://schemas.microsoft.com/office/drawing/2014/chart" uri="{C3380CC4-5D6E-409C-BE32-E72D297353CC}">
              <c16:uniqueId val="{00000000-715E-4033-82DA-02E9382CAE1E}"/>
            </c:ext>
          </c:extLst>
        </c:ser>
        <c:ser>
          <c:idx val="3"/>
          <c:order val="3"/>
          <c:tx>
            <c:strRef>
              <c:f>'figura 6-7 IT 2021'!$E$2</c:f>
              <c:strCache>
                <c:ptCount val="1"/>
                <c:pt idx="0">
                  <c:v>Femmine Italiane</c:v>
                </c:pt>
              </c:strCache>
            </c:strRef>
          </c:tx>
          <c:spPr>
            <a:solidFill>
              <a:schemeClr val="bg1">
                <a:lumMod val="75000"/>
              </a:schemeClr>
            </a:solidFill>
            <a:ln w="38100">
              <a:solidFill>
                <a:schemeClr val="bg1">
                  <a:lumMod val="75000"/>
                </a:schemeClr>
              </a:solidFill>
            </a:ln>
          </c:spPr>
          <c:invertIfNegative val="0"/>
          <c:cat>
            <c:strRef>
              <c:f>'figura 6-7 IT 2021'!$A$3:$A$19</c:f>
              <c:strCache>
                <c:ptCount val="17"/>
                <c:pt idx="0">
                  <c:v>0-9</c:v>
                </c:pt>
                <c:pt idx="1">
                  <c:v> 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'figura 6-7 IT 2021'!$E$3:$E$19</c:f>
              <c:numCache>
                <c:formatCode>General</c:formatCode>
                <c:ptCount val="17"/>
                <c:pt idx="0">
                  <c:v>30</c:v>
                </c:pt>
                <c:pt idx="1">
                  <c:v>181</c:v>
                </c:pt>
                <c:pt idx="2">
                  <c:v>2328</c:v>
                </c:pt>
                <c:pt idx="3">
                  <c:v>5979</c:v>
                </c:pt>
                <c:pt idx="4">
                  <c:v>5790</c:v>
                </c:pt>
                <c:pt idx="5">
                  <c:v>5153</c:v>
                </c:pt>
                <c:pt idx="6">
                  <c:v>4838</c:v>
                </c:pt>
                <c:pt idx="7">
                  <c:v>5209</c:v>
                </c:pt>
                <c:pt idx="8">
                  <c:v>6277</c:v>
                </c:pt>
                <c:pt idx="9">
                  <c:v>5922</c:v>
                </c:pt>
                <c:pt idx="10">
                  <c:v>4916</c:v>
                </c:pt>
                <c:pt idx="11">
                  <c:v>3070</c:v>
                </c:pt>
                <c:pt idx="12">
                  <c:v>2077</c:v>
                </c:pt>
                <c:pt idx="13">
                  <c:v>1665</c:v>
                </c:pt>
                <c:pt idx="14">
                  <c:v>1291</c:v>
                </c:pt>
                <c:pt idx="15">
                  <c:v>763</c:v>
                </c:pt>
                <c:pt idx="16">
                  <c:v>298</c:v>
                </c:pt>
              </c:numCache>
            </c:numRef>
          </c:val>
          <c:extLst>
            <c:ext xmlns:c16="http://schemas.microsoft.com/office/drawing/2014/chart" uri="{C3380CC4-5D6E-409C-BE32-E72D297353CC}">
              <c16:uniqueId val="{00000001-715E-4033-82DA-02E9382CAE1E}"/>
            </c:ext>
          </c:extLst>
        </c:ser>
        <c:dLbls>
          <c:showLegendKey val="0"/>
          <c:showVal val="0"/>
          <c:showCatName val="0"/>
          <c:showSerName val="0"/>
          <c:showPercent val="0"/>
          <c:showBubbleSize val="0"/>
        </c:dLbls>
        <c:gapWidth val="150"/>
        <c:axId val="618554656"/>
        <c:axId val="618557376"/>
      </c:barChart>
      <c:lineChart>
        <c:grouping val="standard"/>
        <c:varyColors val="0"/>
        <c:ser>
          <c:idx val="0"/>
          <c:order val="0"/>
          <c:tx>
            <c:strRef>
              <c:f>'figura 6-7 IT 2021'!$B$2</c:f>
              <c:strCache>
                <c:ptCount val="1"/>
                <c:pt idx="0">
                  <c:v>Maschi Stranieri</c:v>
                </c:pt>
              </c:strCache>
            </c:strRef>
          </c:tx>
          <c:spPr>
            <a:ln w="12700">
              <a:solidFill>
                <a:schemeClr val="tx2"/>
              </a:solidFill>
            </a:ln>
          </c:spPr>
          <c:marker>
            <c:symbol val="triangle"/>
            <c:size val="5"/>
            <c:spPr>
              <a:solidFill>
                <a:schemeClr val="tx2"/>
              </a:solidFill>
              <a:ln>
                <a:solidFill>
                  <a:schemeClr val="tx2"/>
                </a:solidFill>
              </a:ln>
            </c:spPr>
          </c:marker>
          <c:cat>
            <c:strRef>
              <c:f>'figura 6-7 IT 2021'!$A$3:$A$19</c:f>
              <c:strCache>
                <c:ptCount val="17"/>
                <c:pt idx="0">
                  <c:v>0-9</c:v>
                </c:pt>
                <c:pt idx="1">
                  <c:v> 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'figura 6-7 IT 2021'!$B$3:$B$19</c:f>
              <c:numCache>
                <c:formatCode>General</c:formatCode>
                <c:ptCount val="17"/>
                <c:pt idx="0">
                  <c:v>14</c:v>
                </c:pt>
                <c:pt idx="1">
                  <c:v>63</c:v>
                </c:pt>
                <c:pt idx="2">
                  <c:v>513</c:v>
                </c:pt>
                <c:pt idx="3">
                  <c:v>2613</c:v>
                </c:pt>
                <c:pt idx="4">
                  <c:v>3126</c:v>
                </c:pt>
                <c:pt idx="5">
                  <c:v>3104</c:v>
                </c:pt>
                <c:pt idx="6">
                  <c:v>3085</c:v>
                </c:pt>
                <c:pt idx="7">
                  <c:v>3023</c:v>
                </c:pt>
                <c:pt idx="8">
                  <c:v>2646</c:v>
                </c:pt>
                <c:pt idx="9">
                  <c:v>2281</c:v>
                </c:pt>
                <c:pt idx="10">
                  <c:v>1635</c:v>
                </c:pt>
                <c:pt idx="11">
                  <c:v>964</c:v>
                </c:pt>
                <c:pt idx="12">
                  <c:v>468</c:v>
                </c:pt>
                <c:pt idx="13">
                  <c:v>227</c:v>
                </c:pt>
                <c:pt idx="14">
                  <c:v>126</c:v>
                </c:pt>
                <c:pt idx="15">
                  <c:v>84</c:v>
                </c:pt>
                <c:pt idx="16">
                  <c:v>45</c:v>
                </c:pt>
              </c:numCache>
            </c:numRef>
          </c:val>
          <c:smooth val="0"/>
          <c:extLst>
            <c:ext xmlns:c16="http://schemas.microsoft.com/office/drawing/2014/chart" uri="{C3380CC4-5D6E-409C-BE32-E72D297353CC}">
              <c16:uniqueId val="{00000002-715E-4033-82DA-02E9382CAE1E}"/>
            </c:ext>
          </c:extLst>
        </c:ser>
        <c:ser>
          <c:idx val="1"/>
          <c:order val="1"/>
          <c:tx>
            <c:strRef>
              <c:f>'figura 6-7 IT 2021'!$C$2</c:f>
              <c:strCache>
                <c:ptCount val="1"/>
                <c:pt idx="0">
                  <c:v>Femmine Straniere</c:v>
                </c:pt>
              </c:strCache>
            </c:strRef>
          </c:tx>
          <c:spPr>
            <a:ln w="12700">
              <a:solidFill>
                <a:schemeClr val="bg1">
                  <a:lumMod val="50000"/>
                </a:schemeClr>
              </a:solidFill>
            </a:ln>
          </c:spPr>
          <c:marker>
            <c:symbol val="square"/>
            <c:size val="5"/>
            <c:spPr>
              <a:solidFill>
                <a:schemeClr val="bg1">
                  <a:lumMod val="50000"/>
                </a:schemeClr>
              </a:solidFill>
              <a:ln>
                <a:solidFill>
                  <a:schemeClr val="bg1">
                    <a:lumMod val="50000"/>
                  </a:schemeClr>
                </a:solidFill>
              </a:ln>
            </c:spPr>
          </c:marker>
          <c:cat>
            <c:strRef>
              <c:f>'figura 6-7 IT 2021'!$A$3:$A$19</c:f>
              <c:strCache>
                <c:ptCount val="17"/>
                <c:pt idx="0">
                  <c:v>0-9</c:v>
                </c:pt>
                <c:pt idx="1">
                  <c:v> 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'figura 6-7 IT 2021'!$C$3:$C$19</c:f>
              <c:numCache>
                <c:formatCode>General</c:formatCode>
                <c:ptCount val="17"/>
                <c:pt idx="0">
                  <c:v>5</c:v>
                </c:pt>
                <c:pt idx="1">
                  <c:v>12</c:v>
                </c:pt>
                <c:pt idx="2">
                  <c:v>86</c:v>
                </c:pt>
                <c:pt idx="3">
                  <c:v>458</c:v>
                </c:pt>
                <c:pt idx="4">
                  <c:v>676</c:v>
                </c:pt>
                <c:pt idx="5">
                  <c:v>819</c:v>
                </c:pt>
                <c:pt idx="6">
                  <c:v>847</c:v>
                </c:pt>
                <c:pt idx="7">
                  <c:v>909</c:v>
                </c:pt>
                <c:pt idx="8">
                  <c:v>807</c:v>
                </c:pt>
                <c:pt idx="9">
                  <c:v>673</c:v>
                </c:pt>
                <c:pt idx="10">
                  <c:v>432</c:v>
                </c:pt>
                <c:pt idx="11">
                  <c:v>255</c:v>
                </c:pt>
                <c:pt idx="12">
                  <c:v>117</c:v>
                </c:pt>
                <c:pt idx="13">
                  <c:v>64</c:v>
                </c:pt>
                <c:pt idx="14">
                  <c:v>37</c:v>
                </c:pt>
                <c:pt idx="15">
                  <c:v>22</c:v>
                </c:pt>
                <c:pt idx="16">
                  <c:v>5</c:v>
                </c:pt>
              </c:numCache>
            </c:numRef>
          </c:val>
          <c:smooth val="0"/>
          <c:extLst>
            <c:ext xmlns:c16="http://schemas.microsoft.com/office/drawing/2014/chart" uri="{C3380CC4-5D6E-409C-BE32-E72D297353CC}">
              <c16:uniqueId val="{00000003-715E-4033-82DA-02E9382CAE1E}"/>
            </c:ext>
          </c:extLst>
        </c:ser>
        <c:dLbls>
          <c:showLegendKey val="0"/>
          <c:showVal val="0"/>
          <c:showCatName val="0"/>
          <c:showSerName val="0"/>
          <c:showPercent val="0"/>
          <c:showBubbleSize val="0"/>
        </c:dLbls>
        <c:marker val="1"/>
        <c:smooth val="0"/>
        <c:axId val="618553024"/>
        <c:axId val="618557920"/>
      </c:lineChart>
      <c:catAx>
        <c:axId val="618554656"/>
        <c:scaling>
          <c:orientation val="minMax"/>
        </c:scaling>
        <c:delete val="0"/>
        <c:axPos val="b"/>
        <c:numFmt formatCode="General" sourceLinked="0"/>
        <c:majorTickMark val="out"/>
        <c:minorTickMark val="none"/>
        <c:tickLblPos val="nextTo"/>
        <c:spPr>
          <a:ln w="3175">
            <a:solidFill>
              <a:schemeClr val="bg1">
                <a:lumMod val="85000"/>
              </a:schemeClr>
            </a:solidFill>
          </a:ln>
        </c:spPr>
        <c:txPr>
          <a:bodyPr rot="-5400000" vert="horz"/>
          <a:lstStyle/>
          <a:p>
            <a:pPr>
              <a:defRPr sz="800"/>
            </a:pPr>
            <a:endParaRPr lang="it-IT"/>
          </a:p>
        </c:txPr>
        <c:crossAx val="618557376"/>
        <c:crosses val="autoZero"/>
        <c:auto val="1"/>
        <c:lblAlgn val="ctr"/>
        <c:lblOffset val="100"/>
        <c:noMultiLvlLbl val="0"/>
      </c:catAx>
      <c:valAx>
        <c:axId val="618557376"/>
        <c:scaling>
          <c:orientation val="minMax"/>
          <c:max val="25000"/>
          <c:min val="0"/>
        </c:scaling>
        <c:delete val="0"/>
        <c:axPos val="l"/>
        <c:majorGridlines>
          <c:spPr>
            <a:ln>
              <a:noFill/>
            </a:ln>
          </c:spPr>
        </c:majorGridlines>
        <c:numFmt formatCode="#,##0" sourceLinked="0"/>
        <c:majorTickMark val="out"/>
        <c:minorTickMark val="none"/>
        <c:tickLblPos val="nextTo"/>
        <c:spPr>
          <a:ln w="3175">
            <a:solidFill>
              <a:schemeClr val="bg1">
                <a:lumMod val="85000"/>
              </a:schemeClr>
            </a:solidFill>
          </a:ln>
        </c:spPr>
        <c:crossAx val="618554656"/>
        <c:crosses val="autoZero"/>
        <c:crossBetween val="between"/>
      </c:valAx>
      <c:valAx>
        <c:axId val="618557920"/>
        <c:scaling>
          <c:orientation val="minMax"/>
        </c:scaling>
        <c:delete val="0"/>
        <c:axPos val="r"/>
        <c:numFmt formatCode="#,##0" sourceLinked="0"/>
        <c:majorTickMark val="out"/>
        <c:minorTickMark val="none"/>
        <c:tickLblPos val="nextTo"/>
        <c:spPr>
          <a:ln w="3175">
            <a:solidFill>
              <a:schemeClr val="bg1">
                <a:lumMod val="85000"/>
              </a:schemeClr>
            </a:solidFill>
          </a:ln>
        </c:spPr>
        <c:crossAx val="618553024"/>
        <c:crosses val="max"/>
        <c:crossBetween val="between"/>
      </c:valAx>
      <c:catAx>
        <c:axId val="618553024"/>
        <c:scaling>
          <c:orientation val="minMax"/>
        </c:scaling>
        <c:delete val="1"/>
        <c:axPos val="b"/>
        <c:numFmt formatCode="General" sourceLinked="1"/>
        <c:majorTickMark val="out"/>
        <c:minorTickMark val="none"/>
        <c:tickLblPos val="nextTo"/>
        <c:crossAx val="618557920"/>
        <c:crosses val="autoZero"/>
        <c:auto val="1"/>
        <c:lblAlgn val="ctr"/>
        <c:lblOffset val="100"/>
        <c:noMultiLvlLbl val="0"/>
      </c:catAx>
      <c:spPr>
        <a:noFill/>
        <a:ln>
          <a:noFill/>
        </a:ln>
      </c:spPr>
    </c:plotArea>
    <c:legend>
      <c:legendPos val="r"/>
      <c:layout>
        <c:manualLayout>
          <c:xMode val="edge"/>
          <c:yMode val="edge"/>
          <c:x val="0.5982142857142857"/>
          <c:y val="8.430965931238793E-2"/>
          <c:w val="0.31285339332583428"/>
          <c:h val="0.36680387723811753"/>
        </c:manualLayout>
      </c:layout>
      <c:overlay val="0"/>
    </c:legend>
    <c:plotVisOnly val="1"/>
    <c:dispBlanksAs val="gap"/>
    <c:showDLblsOverMax val="0"/>
  </c:chart>
  <c:spPr>
    <a:noFill/>
    <a:ln>
      <a:noFill/>
    </a:ln>
  </c:spPr>
  <c:txPr>
    <a:bodyPr/>
    <a:lstStyle/>
    <a:p>
      <a:pPr>
        <a:defRPr sz="700">
          <a:latin typeface="Arial Narrow" panose="020B0606020202030204" pitchFamily="34" charset="0"/>
          <a:cs typeface="Arial" panose="020B0604020202020204" pitchFamily="34" charset="0"/>
        </a:defRPr>
      </a:pPr>
      <a:endParaRPr lang="it-IT"/>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77556016633537E-2"/>
          <c:y val="0.14332467062306867"/>
          <c:w val="0.89800310793565363"/>
          <c:h val="0.73625951928422739"/>
        </c:manualLayout>
      </c:layout>
      <c:lineChart>
        <c:grouping val="standard"/>
        <c:varyColors val="0"/>
        <c:ser>
          <c:idx val="1"/>
          <c:order val="0"/>
          <c:tx>
            <c:strRef>
              <c:f>'figura 9 IT 2021'!$E$5</c:f>
              <c:strCache>
                <c:ptCount val="1"/>
                <c:pt idx="0">
                  <c:v>Anno 2019</c:v>
                </c:pt>
              </c:strCache>
            </c:strRef>
          </c:tx>
          <c:spPr>
            <a:ln w="12700" cap="rnd">
              <a:solidFill>
                <a:schemeClr val="bg1">
                  <a:lumMod val="65000"/>
                </a:schemeClr>
              </a:solidFill>
              <a:round/>
            </a:ln>
            <a:effectLst/>
          </c:spPr>
          <c:marker>
            <c:symbol val="circle"/>
            <c:size val="5"/>
            <c:spPr>
              <a:solidFill>
                <a:schemeClr val="bg1">
                  <a:lumMod val="65000"/>
                </a:schemeClr>
              </a:solidFill>
              <a:ln w="6350">
                <a:solidFill>
                  <a:schemeClr val="bg1">
                    <a:lumMod val="65000"/>
                  </a:schemeClr>
                </a:solidFill>
              </a:ln>
              <a:effectLst/>
            </c:spPr>
          </c:marker>
          <c:cat>
            <c:numRef>
              <c:f>'figura 9 IT 2021'!$A$6:$A$29</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'figura 9 IT 2021'!$E$6:$E$29</c:f>
              <c:numCache>
                <c:formatCode>0.0</c:formatCode>
                <c:ptCount val="24"/>
                <c:pt idx="0">
                  <c:v>1.7683373443549231</c:v>
                </c:pt>
                <c:pt idx="1">
                  <c:v>1.8270493995093766</c:v>
                </c:pt>
                <c:pt idx="2">
                  <c:v>1.2992222105960727</c:v>
                </c:pt>
                <c:pt idx="3">
                  <c:v>0.99926755257926125</c:v>
                </c:pt>
                <c:pt idx="4">
                  <c:v>0.82836315440689201</c:v>
                </c:pt>
                <c:pt idx="5">
                  <c:v>0.79232209084673233</c:v>
                </c:pt>
                <c:pt idx="6">
                  <c:v>1.1062281283061863</c:v>
                </c:pt>
                <c:pt idx="7">
                  <c:v>1.8869240696173832</c:v>
                </c:pt>
                <c:pt idx="8">
                  <c:v>4.8928650320300422</c:v>
                </c:pt>
                <c:pt idx="9">
                  <c:v>6.5850510969272076</c:v>
                </c:pt>
                <c:pt idx="10">
                  <c:v>5.9485194098566492</c:v>
                </c:pt>
                <c:pt idx="11">
                  <c:v>6.1577901014962855</c:v>
                </c:pt>
                <c:pt idx="12">
                  <c:v>6.3641542557520374</c:v>
                </c:pt>
                <c:pt idx="13">
                  <c:v>6.456582144559543</c:v>
                </c:pt>
                <c:pt idx="14">
                  <c:v>6.1234929603664563</c:v>
                </c:pt>
                <c:pt idx="15">
                  <c:v>5.8340018369316269</c:v>
                </c:pt>
                <c:pt idx="16">
                  <c:v>5.9473567949030963</c:v>
                </c:pt>
                <c:pt idx="17">
                  <c:v>6.4373989978259107</c:v>
                </c:pt>
                <c:pt idx="18">
                  <c:v>7.9633311243649212</c:v>
                </c:pt>
                <c:pt idx="19">
                  <c:v>7.2802948391522211</c:v>
                </c:pt>
                <c:pt idx="20">
                  <c:v>5.3840698499064095</c:v>
                </c:pt>
                <c:pt idx="21">
                  <c:v>3.5988745887249602</c:v>
                </c:pt>
                <c:pt idx="22">
                  <c:v>2.5531024380035574</c:v>
                </c:pt>
                <c:pt idx="23">
                  <c:v>1.9654005789822471</c:v>
                </c:pt>
              </c:numCache>
            </c:numRef>
          </c:val>
          <c:smooth val="0"/>
          <c:extLst>
            <c:ext xmlns:c16="http://schemas.microsoft.com/office/drawing/2014/chart" uri="{C3380CC4-5D6E-409C-BE32-E72D297353CC}">
              <c16:uniqueId val="{00000000-42D9-4A5F-9802-E56C2C58DA72}"/>
            </c:ext>
          </c:extLst>
        </c:ser>
        <c:ser>
          <c:idx val="2"/>
          <c:order val="1"/>
          <c:tx>
            <c:strRef>
              <c:f>'figura 9 IT 2021'!$F$5</c:f>
              <c:strCache>
                <c:ptCount val="1"/>
                <c:pt idx="0">
                  <c:v>Anno 2020</c:v>
                </c:pt>
              </c:strCache>
            </c:strRef>
          </c:tx>
          <c:spPr>
            <a:ln w="12700" cap="rnd">
              <a:solidFill>
                <a:srgbClr val="002060"/>
              </a:solidFill>
              <a:round/>
            </a:ln>
            <a:effectLst/>
          </c:spPr>
          <c:marker>
            <c:symbol val="triangle"/>
            <c:size val="5"/>
            <c:spPr>
              <a:solidFill>
                <a:srgbClr val="002060"/>
              </a:solidFill>
              <a:ln w="9525">
                <a:solidFill>
                  <a:srgbClr val="002060"/>
                </a:solidFill>
              </a:ln>
              <a:effectLst/>
            </c:spPr>
          </c:marker>
          <c:cat>
            <c:numRef>
              <c:f>'figura 9 IT 2021'!$A$6:$A$29</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'figura 9 IT 2021'!$F$6:$F$29</c:f>
              <c:numCache>
                <c:formatCode>0.0</c:formatCode>
                <c:ptCount val="24"/>
                <c:pt idx="0">
                  <c:v>1.6143147233999167</c:v>
                </c:pt>
                <c:pt idx="1">
                  <c:v>1.5811787896038134</c:v>
                </c:pt>
                <c:pt idx="2">
                  <c:v>1.1776001087538341</c:v>
                </c:pt>
                <c:pt idx="3">
                  <c:v>0.94225001486868831</c:v>
                </c:pt>
                <c:pt idx="4">
                  <c:v>0.65847047928154501</c:v>
                </c:pt>
                <c:pt idx="5">
                  <c:v>0.58115330042397007</c:v>
                </c:pt>
                <c:pt idx="6">
                  <c:v>0.97113775202426567</c:v>
                </c:pt>
                <c:pt idx="7">
                  <c:v>1.9150870455491644</c:v>
                </c:pt>
                <c:pt idx="8">
                  <c:v>4.4155755881628247</c:v>
                </c:pt>
                <c:pt idx="9">
                  <c:v>5.9041436910031688</c:v>
                </c:pt>
                <c:pt idx="10">
                  <c:v>5.9262343135339046</c:v>
                </c:pt>
                <c:pt idx="11">
                  <c:v>6.6203896445958685</c:v>
                </c:pt>
                <c:pt idx="12">
                  <c:v>6.7971146248417549</c:v>
                </c:pt>
                <c:pt idx="13">
                  <c:v>6.8056110181228062</c:v>
                </c:pt>
                <c:pt idx="14">
                  <c:v>6.1930210625589437</c:v>
                </c:pt>
                <c:pt idx="15">
                  <c:v>5.8208790368488579</c:v>
                </c:pt>
                <c:pt idx="16">
                  <c:v>6.1055082117641062</c:v>
                </c:pt>
                <c:pt idx="17">
                  <c:v>6.6084946940023954</c:v>
                </c:pt>
                <c:pt idx="18">
                  <c:v>8.0087003067197973</c:v>
                </c:pt>
                <c:pt idx="19">
                  <c:v>7.5439475942462417</c:v>
                </c:pt>
                <c:pt idx="20">
                  <c:v>5.6526504498840247</c:v>
                </c:pt>
                <c:pt idx="21">
                  <c:v>3.5557405881203428</c:v>
                </c:pt>
                <c:pt idx="22">
                  <c:v>2.6959055880778608</c:v>
                </c:pt>
                <c:pt idx="23">
                  <c:v>1.9048913736119018</c:v>
                </c:pt>
              </c:numCache>
            </c:numRef>
          </c:val>
          <c:smooth val="0"/>
          <c:extLst>
            <c:ext xmlns:c16="http://schemas.microsoft.com/office/drawing/2014/chart" uri="{C3380CC4-5D6E-409C-BE32-E72D297353CC}">
              <c16:uniqueId val="{00000001-42D9-4A5F-9802-E56C2C58DA72}"/>
            </c:ext>
          </c:extLst>
        </c:ser>
        <c:ser>
          <c:idx val="0"/>
          <c:order val="2"/>
          <c:tx>
            <c:strRef>
              <c:f>'figura 9 IT 2021'!$D$5</c:f>
              <c:strCache>
                <c:ptCount val="1"/>
                <c:pt idx="0">
                  <c:v>Anno 2021</c:v>
                </c:pt>
              </c:strCache>
            </c:strRef>
          </c:tx>
          <c:spPr>
            <a:ln w="12700" cap="rnd">
              <a:solidFill>
                <a:schemeClr val="accent1"/>
              </a:solidFill>
              <a:round/>
            </a:ln>
            <a:effectLst/>
          </c:spPr>
          <c:marker>
            <c:symbol val="circle"/>
            <c:size val="5"/>
            <c:spPr>
              <a:solidFill>
                <a:schemeClr val="accent1"/>
              </a:solidFill>
              <a:ln w="6350">
                <a:solidFill>
                  <a:schemeClr val="accent1"/>
                </a:solidFill>
              </a:ln>
              <a:effectLst/>
            </c:spPr>
          </c:marker>
          <c:cat>
            <c:numRef>
              <c:f>'figura 9 IT 2021'!$A$6:$A$29</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'figura 9 IT 2021'!$G$6:$G$29</c:f>
              <c:numCache>
                <c:formatCode>0.0</c:formatCode>
                <c:ptCount val="24"/>
                <c:pt idx="0">
                  <c:v>1.6446189977045655</c:v>
                </c:pt>
                <c:pt idx="1">
                  <c:v>1.6452824180344181</c:v>
                </c:pt>
                <c:pt idx="2">
                  <c:v>1.1390927063568934</c:v>
                </c:pt>
                <c:pt idx="3">
                  <c:v>0.9122029535473084</c:v>
                </c:pt>
                <c:pt idx="4">
                  <c:v>0.72511842052887865</c:v>
                </c:pt>
                <c:pt idx="5">
                  <c:v>0.6123369644539387</c:v>
                </c:pt>
                <c:pt idx="6">
                  <c:v>1.0064086403863759</c:v>
                </c:pt>
                <c:pt idx="7">
                  <c:v>1.8728355911738559</c:v>
                </c:pt>
                <c:pt idx="8">
                  <c:v>4.7580506057027616</c:v>
                </c:pt>
                <c:pt idx="9">
                  <c:v>5.9913489988987223</c:v>
                </c:pt>
                <c:pt idx="10">
                  <c:v>5.5216474053630904</c:v>
                </c:pt>
                <c:pt idx="11">
                  <c:v>6.0285005373704674</c:v>
                </c:pt>
                <c:pt idx="12">
                  <c:v>6.3124444385473755</c:v>
                </c:pt>
                <c:pt idx="13">
                  <c:v>6.7828094524128595</c:v>
                </c:pt>
                <c:pt idx="14">
                  <c:v>6.2733026390860713</c:v>
                </c:pt>
                <c:pt idx="15">
                  <c:v>5.7246540262979817</c:v>
                </c:pt>
                <c:pt idx="16">
                  <c:v>6.1538869797126061</c:v>
                </c:pt>
                <c:pt idx="17">
                  <c:v>6.6527790677617524</c:v>
                </c:pt>
                <c:pt idx="18">
                  <c:v>8.144811389600223</c:v>
                </c:pt>
                <c:pt idx="19">
                  <c:v>7.6008067191211008</c:v>
                </c:pt>
                <c:pt idx="20">
                  <c:v>5.7624689850995798</c:v>
                </c:pt>
                <c:pt idx="21">
                  <c:v>3.7416906603685964</c:v>
                </c:pt>
                <c:pt idx="22">
                  <c:v>2.9057810447543355</c:v>
                </c:pt>
                <c:pt idx="23">
                  <c:v>2.087120357716242</c:v>
                </c:pt>
              </c:numCache>
            </c:numRef>
          </c:val>
          <c:smooth val="0"/>
          <c:extLst>
            <c:ext xmlns:c16="http://schemas.microsoft.com/office/drawing/2014/chart" uri="{C3380CC4-5D6E-409C-BE32-E72D297353CC}">
              <c16:uniqueId val="{00000002-42D9-4A5F-9802-E56C2C58DA72}"/>
            </c:ext>
          </c:extLst>
        </c:ser>
        <c:dLbls>
          <c:showLegendKey val="0"/>
          <c:showVal val="0"/>
          <c:showCatName val="0"/>
          <c:showSerName val="0"/>
          <c:showPercent val="0"/>
          <c:showBubbleSize val="0"/>
        </c:dLbls>
        <c:marker val="1"/>
        <c:smooth val="0"/>
        <c:axId val="669774880"/>
        <c:axId val="669769984"/>
      </c:lineChart>
      <c:catAx>
        <c:axId val="669774880"/>
        <c:scaling>
          <c:orientation val="minMax"/>
        </c:scaling>
        <c:delete val="0"/>
        <c:axPos val="b"/>
        <c:majorGridlines>
          <c:spPr>
            <a:ln w="3175" cap="flat" cmpd="sng" algn="ctr">
              <a:solidFill>
                <a:schemeClr val="bg1">
                  <a:lumMod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669769984"/>
        <c:crosses val="autoZero"/>
        <c:auto val="1"/>
        <c:lblAlgn val="ctr"/>
        <c:lblOffset val="100"/>
        <c:noMultiLvlLbl val="0"/>
      </c:catAx>
      <c:valAx>
        <c:axId val="669769984"/>
        <c:scaling>
          <c:orientation val="minMax"/>
        </c:scaling>
        <c:delete val="0"/>
        <c:axPos val="l"/>
        <c:majorGridlines>
          <c:spPr>
            <a:ln w="3175" cap="flat" cmpd="sng" algn="ctr">
              <a:solidFill>
                <a:schemeClr val="bg1">
                  <a:lumMod val="85000"/>
                </a:schemeClr>
              </a:solidFill>
              <a:round/>
            </a:ln>
            <a:effectLst/>
          </c:spPr>
        </c:majorGridlines>
        <c:numFmt formatCode="0.0"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669774880"/>
        <c:crosses val="autoZero"/>
        <c:crossBetween val="between"/>
      </c:valAx>
      <c:spPr>
        <a:noFill/>
        <a:ln>
          <a:noFill/>
        </a:ln>
        <a:effectLst/>
      </c:spPr>
    </c:plotArea>
    <c:legend>
      <c:legendPos val="t"/>
      <c:layout>
        <c:manualLayout>
          <c:xMode val="edge"/>
          <c:yMode val="edge"/>
          <c:x val="6.2744411850479478E-2"/>
          <c:y val="2.6272577996715927E-2"/>
          <c:w val="0.87451083320467293"/>
          <c:h val="9.832098573885160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33134012912868E-2"/>
          <c:y val="0.21036339529723733"/>
          <c:w val="0.95168434346688657"/>
          <c:h val="0.65276889357902423"/>
        </c:manualLayout>
      </c:layout>
      <c:barChart>
        <c:barDir val="col"/>
        <c:grouping val="clustered"/>
        <c:varyColors val="0"/>
        <c:ser>
          <c:idx val="2"/>
          <c:order val="2"/>
          <c:tx>
            <c:strRef>
              <c:f>'figura 10 IT 2021'!$P$1</c:f>
              <c:strCache>
                <c:ptCount val="1"/>
                <c:pt idx="0">
                  <c:v>Periodo tra tramonto e alba - 2021</c:v>
                </c:pt>
              </c:strCache>
            </c:strRef>
          </c:tx>
          <c:spPr>
            <a:solidFill>
              <a:schemeClr val="bg1">
                <a:lumMod val="65000"/>
              </a:schemeClr>
            </a:solidFill>
            <a:ln>
              <a:noFill/>
            </a:ln>
          </c:spPr>
          <c:invertIfNegative val="0"/>
          <c:dLbls>
            <c:dLbl>
              <c:idx val="0"/>
              <c:layout>
                <c:manualLayout>
                  <c:x val="-1.0273514705744698E-2"/>
                  <c:y val="-2.30642510102416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7F-49E1-86D3-8586DCBFE3AB}"/>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'figura 10 IT 2021'!$P$3:$P$14</c:f>
              <c:numCache>
                <c:formatCode>0.0</c:formatCode>
                <c:ptCount val="12"/>
                <c:pt idx="0">
                  <c:v>40.601212746742355</c:v>
                </c:pt>
                <c:pt idx="1">
                  <c:v>32.865354852973688</c:v>
                </c:pt>
                <c:pt idx="2">
                  <c:v>23.404500865551068</c:v>
                </c:pt>
                <c:pt idx="3">
                  <c:v>17.431286400326965</c:v>
                </c:pt>
                <c:pt idx="4">
                  <c:v>16.956952704616256</c:v>
                </c:pt>
                <c:pt idx="5">
                  <c:v>17.079941952173638</c:v>
                </c:pt>
                <c:pt idx="6">
                  <c:v>19.461190655614168</c:v>
                </c:pt>
                <c:pt idx="7">
                  <c:v>22.971899154807485</c:v>
                </c:pt>
                <c:pt idx="8">
                  <c:v>23.898237179487182</c:v>
                </c:pt>
                <c:pt idx="9">
                  <c:v>31.174868831772596</c:v>
                </c:pt>
                <c:pt idx="10">
                  <c:v>42.261386713083844</c:v>
                </c:pt>
                <c:pt idx="11">
                  <c:v>46.135958452833115</c:v>
                </c:pt>
              </c:numCache>
            </c:numRef>
          </c:val>
          <c:extLst>
            <c:ext xmlns:c16="http://schemas.microsoft.com/office/drawing/2014/chart" uri="{C3380CC4-5D6E-409C-BE32-E72D297353CC}">
              <c16:uniqueId val="{00000002-FE51-4A84-B644-022F6D01C4DA}"/>
            </c:ext>
          </c:extLst>
        </c:ser>
        <c:ser>
          <c:idx val="3"/>
          <c:order val="3"/>
          <c:tx>
            <c:strRef>
              <c:f>'figura 10 IT 2021'!$V$1</c:f>
              <c:strCache>
                <c:ptCount val="1"/>
                <c:pt idx="0">
                  <c:v>Periodo dalle 22 alle 6 del mattino . - 2021</c:v>
                </c:pt>
              </c:strCache>
            </c:strRef>
          </c:tx>
          <c:spPr>
            <a:solidFill>
              <a:srgbClr val="002060"/>
            </a:solidFill>
            <a:ln>
              <a:noFill/>
            </a:ln>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'figura 10 IT 2021'!$V$3:$V$14</c:f>
              <c:numCache>
                <c:formatCode>0.0</c:formatCode>
                <c:ptCount val="12"/>
                <c:pt idx="0">
                  <c:v>4.0381886208231199</c:v>
                </c:pt>
                <c:pt idx="1">
                  <c:v>3.7143488834844125</c:v>
                </c:pt>
                <c:pt idx="2">
                  <c:v>3.796884016156953</c:v>
                </c:pt>
                <c:pt idx="3">
                  <c:v>4.1790129763972619</c:v>
                </c:pt>
                <c:pt idx="4">
                  <c:v>6.9527046162560184</c:v>
                </c:pt>
                <c:pt idx="5">
                  <c:v>11.224682945296232</c:v>
                </c:pt>
                <c:pt idx="6">
                  <c:v>14.161014820396886</c:v>
                </c:pt>
                <c:pt idx="7">
                  <c:v>14.830600303402441</c:v>
                </c:pt>
                <c:pt idx="8">
                  <c:v>11.438301282051281</c:v>
                </c:pt>
                <c:pt idx="9">
                  <c:v>10.772398220096965</c:v>
                </c:pt>
                <c:pt idx="10">
                  <c:v>11.009573542210619</c:v>
                </c:pt>
                <c:pt idx="11">
                  <c:v>10.952639330284473</c:v>
                </c:pt>
              </c:numCache>
            </c:numRef>
          </c:val>
          <c:extLst>
            <c:ext xmlns:c16="http://schemas.microsoft.com/office/drawing/2014/chart" uri="{C3380CC4-5D6E-409C-BE32-E72D297353CC}">
              <c16:uniqueId val="{00000003-FE51-4A84-B644-022F6D01C4DA}"/>
            </c:ext>
          </c:extLst>
        </c:ser>
        <c:dLbls>
          <c:showLegendKey val="0"/>
          <c:showVal val="0"/>
          <c:showCatName val="0"/>
          <c:showSerName val="0"/>
          <c:showPercent val="0"/>
          <c:showBubbleSize val="0"/>
        </c:dLbls>
        <c:gapWidth val="22"/>
        <c:axId val="669773248"/>
        <c:axId val="669768896"/>
      </c:barChart>
      <c:lineChart>
        <c:grouping val="standard"/>
        <c:varyColors val="0"/>
        <c:ser>
          <c:idx val="0"/>
          <c:order val="0"/>
          <c:tx>
            <c:strRef>
              <c:f>'figura 10 IT 2021'!$B$1</c:f>
              <c:strCache>
                <c:ptCount val="1"/>
                <c:pt idx="0">
                  <c:v>Periodo tra tramonto e alba - 2020</c:v>
                </c:pt>
              </c:strCache>
            </c:strRef>
          </c:tx>
          <c:spPr>
            <a:ln>
              <a:noFill/>
            </a:ln>
            <a:effectLst/>
          </c:spPr>
          <c:marker>
            <c:symbol val="diamond"/>
            <c:size val="5"/>
          </c:marker>
          <c:cat>
            <c:strRef>
              <c:f>'figura 10 IT 2021'!$A$3:$A$14</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'figura 10 IT 2021'!$B$3:$B$14</c:f>
              <c:numCache>
                <c:formatCode>0.0</c:formatCode>
                <c:ptCount val="12"/>
                <c:pt idx="0">
                  <c:v>43.067944977073779</c:v>
                </c:pt>
                <c:pt idx="1">
                  <c:v>35.544807446614342</c:v>
                </c:pt>
                <c:pt idx="2">
                  <c:v>31.305817040791695</c:v>
                </c:pt>
                <c:pt idx="3">
                  <c:v>16.044444444444444</c:v>
                </c:pt>
                <c:pt idx="4">
                  <c:v>14.7158026233604</c:v>
                </c:pt>
                <c:pt idx="5">
                  <c:v>16.043519557896555</c:v>
                </c:pt>
                <c:pt idx="6">
                  <c:v>17.537391304347828</c:v>
                </c:pt>
                <c:pt idx="7">
                  <c:v>20.77106518282989</c:v>
                </c:pt>
                <c:pt idx="8">
                  <c:v>22.457373616512115</c:v>
                </c:pt>
                <c:pt idx="9">
                  <c:v>29.231682496607871</c:v>
                </c:pt>
                <c:pt idx="10">
                  <c:v>34.905660377358487</c:v>
                </c:pt>
                <c:pt idx="11">
                  <c:v>44.472005669737776</c:v>
                </c:pt>
              </c:numCache>
            </c:numRef>
          </c:val>
          <c:smooth val="0"/>
          <c:extLst>
            <c:ext xmlns:c16="http://schemas.microsoft.com/office/drawing/2014/chart" uri="{C3380CC4-5D6E-409C-BE32-E72D297353CC}">
              <c16:uniqueId val="{00000000-FE51-4A84-B644-022F6D01C4DA}"/>
            </c:ext>
          </c:extLst>
        </c:ser>
        <c:ser>
          <c:idx val="1"/>
          <c:order val="1"/>
          <c:tx>
            <c:strRef>
              <c:f>'figura 10 IT 2021'!$H$1</c:f>
              <c:strCache>
                <c:ptCount val="1"/>
                <c:pt idx="0">
                  <c:v>Periodo dalle 22 alle 6 del mattino - 2020</c:v>
                </c:pt>
              </c:strCache>
            </c:strRef>
          </c:tx>
          <c:spPr>
            <a:ln>
              <a:noFill/>
            </a:ln>
            <a:effectLst/>
          </c:spPr>
          <c:marker>
            <c:symbol val="circle"/>
            <c:size val="5"/>
          </c:marker>
          <c:cat>
            <c:strRef>
              <c:f>'figura 10 IT 2021'!$A$3:$A$14</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'figura 10 IT 2021'!$H$3:$H$14</c:f>
              <c:numCache>
                <c:formatCode>0.0</c:formatCode>
                <c:ptCount val="12"/>
                <c:pt idx="0">
                  <c:v>9.9208003334722807</c:v>
                </c:pt>
                <c:pt idx="1">
                  <c:v>9.8284358459572907</c:v>
                </c:pt>
                <c:pt idx="2">
                  <c:v>11.416847694907071</c:v>
                </c:pt>
                <c:pt idx="3">
                  <c:v>6.4888888888888889</c:v>
                </c:pt>
                <c:pt idx="4">
                  <c:v>7.3579013116801999</c:v>
                </c:pt>
                <c:pt idx="5">
                  <c:v>10.629479319575166</c:v>
                </c:pt>
                <c:pt idx="6">
                  <c:v>11.867826086956521</c:v>
                </c:pt>
                <c:pt idx="7">
                  <c:v>12.631160572337045</c:v>
                </c:pt>
                <c:pt idx="8">
                  <c:v>10.364941669159437</c:v>
                </c:pt>
                <c:pt idx="9">
                  <c:v>8.9467435549525103</c:v>
                </c:pt>
                <c:pt idx="10">
                  <c:v>3.7868721764549562</c:v>
                </c:pt>
                <c:pt idx="11">
                  <c:v>3.6971415072052918</c:v>
                </c:pt>
              </c:numCache>
            </c:numRef>
          </c:val>
          <c:smooth val="0"/>
          <c:extLst>
            <c:ext xmlns:c16="http://schemas.microsoft.com/office/drawing/2014/chart" uri="{C3380CC4-5D6E-409C-BE32-E72D297353CC}">
              <c16:uniqueId val="{00000001-FE51-4A84-B644-022F6D01C4DA}"/>
            </c:ext>
          </c:extLst>
        </c:ser>
        <c:dLbls>
          <c:showLegendKey val="0"/>
          <c:showVal val="0"/>
          <c:showCatName val="0"/>
          <c:showSerName val="0"/>
          <c:showPercent val="0"/>
          <c:showBubbleSize val="0"/>
        </c:dLbls>
        <c:marker val="1"/>
        <c:smooth val="0"/>
        <c:axId val="669773248"/>
        <c:axId val="669768896"/>
      </c:lineChart>
      <c:catAx>
        <c:axId val="66977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t-IT"/>
          </a:p>
        </c:txPr>
        <c:crossAx val="669768896"/>
        <c:crosses val="autoZero"/>
        <c:auto val="1"/>
        <c:lblAlgn val="ctr"/>
        <c:lblOffset val="100"/>
        <c:noMultiLvlLbl val="0"/>
      </c:catAx>
      <c:valAx>
        <c:axId val="669768896"/>
        <c:scaling>
          <c:orientation val="minMax"/>
        </c:scaling>
        <c:delete val="1"/>
        <c:axPos val="l"/>
        <c:majorGridlines>
          <c:spPr>
            <a:ln w="9525" cap="flat" cmpd="sng" algn="ctr">
              <a:noFill/>
              <a:round/>
            </a:ln>
            <a:effectLst/>
          </c:spPr>
        </c:majorGridlines>
        <c:numFmt formatCode="0.0" sourceLinked="0"/>
        <c:majorTickMark val="none"/>
        <c:minorTickMark val="none"/>
        <c:tickLblPos val="nextTo"/>
        <c:crossAx val="669773248"/>
        <c:crosses val="autoZero"/>
        <c:crossBetween val="between"/>
      </c:valAx>
      <c:spPr>
        <a:noFill/>
        <a:ln>
          <a:noFill/>
        </a:ln>
        <a:effectLst/>
      </c:spPr>
    </c:plotArea>
    <c:legend>
      <c:legendPos val="t"/>
      <c:layout>
        <c:manualLayout>
          <c:xMode val="edge"/>
          <c:yMode val="edge"/>
          <c:x val="3.8113586865471615E-3"/>
          <c:y val="1.1532125505120719E-2"/>
          <c:w val="0.99618864131345286"/>
          <c:h val="0.12426928592688799"/>
        </c:manualLayout>
      </c:layout>
      <c:overlay val="0"/>
      <c:spPr>
        <a:noFill/>
        <a:ln>
          <a:noFill/>
        </a:ln>
        <a:effectLst/>
      </c:spPr>
      <c:txPr>
        <a:bodyPr rot="0" vert="horz"/>
        <a:lstStyle/>
        <a:p>
          <a:pPr>
            <a:defRPr sz="600"/>
          </a:pPr>
          <a:endParaRPr lang="it-IT"/>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024394009572309E-2"/>
          <c:y val="4.2816304588432462E-2"/>
          <c:w val="0.87744634861818738"/>
          <c:h val="0.92387060051228531"/>
        </c:manualLayout>
      </c:layout>
      <c:doughnutChart>
        <c:varyColors val="1"/>
        <c:ser>
          <c:idx val="0"/>
          <c:order val="0"/>
          <c:dPt>
            <c:idx val="0"/>
            <c:bubble3D val="0"/>
            <c:spPr>
              <a:solidFill>
                <a:schemeClr val="bg1">
                  <a:lumMod val="50000"/>
                </a:schemeClr>
              </a:solidFill>
            </c:spPr>
            <c:extLst>
              <c:ext xmlns:c16="http://schemas.microsoft.com/office/drawing/2014/chart" uri="{C3380CC4-5D6E-409C-BE32-E72D297353CC}">
                <c16:uniqueId val="{00000001-C15E-48EB-866F-9D7F205E5C2D}"/>
              </c:ext>
            </c:extLst>
          </c:dPt>
          <c:dPt>
            <c:idx val="1"/>
            <c:bubble3D val="0"/>
            <c:spPr>
              <a:solidFill>
                <a:srgbClr val="002060"/>
              </a:solidFill>
            </c:spPr>
            <c:extLst>
              <c:ext xmlns:c16="http://schemas.microsoft.com/office/drawing/2014/chart" uri="{C3380CC4-5D6E-409C-BE32-E72D297353CC}">
                <c16:uniqueId val="{00000003-C15E-48EB-866F-9D7F205E5C2D}"/>
              </c:ext>
            </c:extLst>
          </c:dPt>
          <c:dPt>
            <c:idx val="2"/>
            <c:bubble3D val="0"/>
            <c:spPr>
              <a:solidFill>
                <a:schemeClr val="accent1"/>
              </a:solidFill>
            </c:spPr>
            <c:extLst>
              <c:ext xmlns:c16="http://schemas.microsoft.com/office/drawing/2014/chart" uri="{C3380CC4-5D6E-409C-BE32-E72D297353CC}">
                <c16:uniqueId val="{00000005-C15E-48EB-866F-9D7F205E5C2D}"/>
              </c:ext>
            </c:extLst>
          </c:dPt>
          <c:dLbls>
            <c:spPr>
              <a:noFill/>
              <a:ln>
                <a:noFill/>
              </a:ln>
              <a:effectLst/>
            </c:spPr>
            <c:txPr>
              <a:bodyPr wrap="square" lIns="38100" tIns="19050" rIns="38100" bIns="19050" anchor="ctr">
                <a:spAutoFit/>
              </a:bodyPr>
              <a:lstStyle/>
              <a:p>
                <a:pPr>
                  <a:defRPr sz="800" b="1">
                    <a:solidFill>
                      <a:schemeClr val="bg1"/>
                    </a:solidFill>
                    <a:latin typeface="Arial Narrow" panose="020B0606020202030204" pitchFamily="34" charset="0"/>
                  </a:defRPr>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'figura 11IT_2021'!$D$6:$F$6</c:f>
              <c:strCache>
                <c:ptCount val="3"/>
                <c:pt idx="0">
                  <c:v>Autostrade</c:v>
                </c:pt>
                <c:pt idx="1">
                  <c:v>Strade extraurbane</c:v>
                </c:pt>
                <c:pt idx="2">
                  <c:v>Strade urbane</c:v>
                </c:pt>
              </c:strCache>
            </c:strRef>
          </c:cat>
          <c:val>
            <c:numRef>
              <c:f>'figura 11IT_2021'!$D$2:$F$2</c:f>
              <c:numCache>
                <c:formatCode>0.0</c:formatCode>
                <c:ptCount val="3"/>
                <c:pt idx="0">
                  <c:v>5.0245267489711933</c:v>
                </c:pt>
                <c:pt idx="1">
                  <c:v>21.920658436213991</c:v>
                </c:pt>
                <c:pt idx="2">
                  <c:v>73.054814814814819</c:v>
                </c:pt>
              </c:numCache>
            </c:numRef>
          </c:val>
          <c:extLst>
            <c:ext xmlns:c16="http://schemas.microsoft.com/office/drawing/2014/chart" uri="{C3380CC4-5D6E-409C-BE32-E72D297353CC}">
              <c16:uniqueId val="{00000006-C15E-48EB-866F-9D7F205E5C2D}"/>
            </c:ext>
          </c:extLst>
        </c:ser>
        <c:dLbls>
          <c:showLegendKey val="0"/>
          <c:showVal val="0"/>
          <c:showCatName val="0"/>
          <c:showSerName val="0"/>
          <c:showPercent val="0"/>
          <c:showBubbleSize val="0"/>
          <c:showLeaderLines val="1"/>
        </c:dLbls>
        <c:firstSliceAng val="0"/>
        <c:holeSize val="50"/>
      </c:doughnutChart>
      <c:spPr>
        <a:noFill/>
        <a:ln w="25400">
          <a:noFill/>
        </a:ln>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9306702515844E-2"/>
          <c:y val="5.2266388388198463E-2"/>
          <c:w val="0.91351001856475245"/>
          <c:h val="0.90250387376276742"/>
        </c:manualLayout>
      </c:layout>
      <c:doughnutChart>
        <c:varyColors val="1"/>
        <c:ser>
          <c:idx val="0"/>
          <c:order val="0"/>
          <c:spPr>
            <a:solidFill>
              <a:srgbClr val="002060"/>
            </a:solidFill>
          </c:spPr>
          <c:dPt>
            <c:idx val="0"/>
            <c:bubble3D val="0"/>
            <c:spPr>
              <a:solidFill>
                <a:schemeClr val="bg1">
                  <a:lumMod val="50000"/>
                </a:schemeClr>
              </a:solidFill>
            </c:spPr>
            <c:extLst>
              <c:ext xmlns:c16="http://schemas.microsoft.com/office/drawing/2014/chart" uri="{C3380CC4-5D6E-409C-BE32-E72D297353CC}">
                <c16:uniqueId val="{00000001-9813-44C4-B381-2D6EC294848A}"/>
              </c:ext>
            </c:extLst>
          </c:dPt>
          <c:dPt>
            <c:idx val="1"/>
            <c:bubble3D val="0"/>
            <c:extLst>
              <c:ext xmlns:c16="http://schemas.microsoft.com/office/drawing/2014/chart" uri="{C3380CC4-5D6E-409C-BE32-E72D297353CC}">
                <c16:uniqueId val="{00000002-9813-44C4-B381-2D6EC294848A}"/>
              </c:ext>
            </c:extLst>
          </c:dPt>
          <c:dPt>
            <c:idx val="2"/>
            <c:bubble3D val="0"/>
            <c:spPr>
              <a:solidFill>
                <a:schemeClr val="accent1"/>
              </a:solidFill>
            </c:spPr>
            <c:extLst>
              <c:ext xmlns:c16="http://schemas.microsoft.com/office/drawing/2014/chart" uri="{C3380CC4-5D6E-409C-BE32-E72D297353CC}">
                <c16:uniqueId val="{00000004-9813-44C4-B381-2D6EC294848A}"/>
              </c:ext>
            </c:extLst>
          </c:dPt>
          <c:dLbls>
            <c:dLbl>
              <c:idx val="2"/>
              <c:tx>
                <c:rich>
                  <a:bodyPr/>
                  <a:lstStyle/>
                  <a:p>
                    <a:r>
                      <a:rPr lang="en-US"/>
                      <a:t>43,9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813-44C4-B381-2D6EC294848A}"/>
                </c:ext>
              </c:extLst>
            </c:dLbl>
            <c:spPr>
              <a:noFill/>
              <a:ln>
                <a:noFill/>
              </a:ln>
              <a:effectLst/>
            </c:spPr>
            <c:txPr>
              <a:bodyPr wrap="square" lIns="38100" tIns="19050" rIns="38100" bIns="19050" anchor="ctr">
                <a:spAutoFit/>
              </a:bodyPr>
              <a:lstStyle/>
              <a:p>
                <a:pPr>
                  <a:defRPr sz="800" b="1">
                    <a:solidFill>
                      <a:schemeClr val="bg1"/>
                    </a:solidFill>
                    <a:latin typeface="Arial Narrow" panose="020B0606020202030204" pitchFamily="34" charset="0"/>
                  </a:defRPr>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'figura 11IT_2021'!$D$6:$F$6</c:f>
              <c:strCache>
                <c:ptCount val="3"/>
                <c:pt idx="0">
                  <c:v>Autostrade</c:v>
                </c:pt>
                <c:pt idx="1">
                  <c:v>Strade extraurbane</c:v>
                </c:pt>
                <c:pt idx="2">
                  <c:v>Strade urbane</c:v>
                </c:pt>
              </c:strCache>
            </c:strRef>
          </c:cat>
          <c:val>
            <c:numRef>
              <c:f>'figura 11IT_2021'!$D$3:$F$3</c:f>
              <c:numCache>
                <c:formatCode>0.0</c:formatCode>
                <c:ptCount val="3"/>
                <c:pt idx="0">
                  <c:v>8.5565217391304351</c:v>
                </c:pt>
                <c:pt idx="1">
                  <c:v>47.478260869565219</c:v>
                </c:pt>
                <c:pt idx="2">
                  <c:v>43.965217391304343</c:v>
                </c:pt>
              </c:numCache>
            </c:numRef>
          </c:val>
          <c:extLst>
            <c:ext xmlns:c16="http://schemas.microsoft.com/office/drawing/2014/chart" uri="{C3380CC4-5D6E-409C-BE32-E72D297353CC}">
              <c16:uniqueId val="{00000005-9813-44C4-B381-2D6EC294848A}"/>
            </c:ext>
          </c:extLst>
        </c:ser>
        <c:dLbls>
          <c:showLegendKey val="0"/>
          <c:showVal val="0"/>
          <c:showCatName val="0"/>
          <c:showSerName val="0"/>
          <c:showPercent val="0"/>
          <c:showBubbleSize val="0"/>
          <c:showLeaderLines val="1"/>
        </c:dLbls>
        <c:firstSliceAng val="0"/>
        <c:holeSize val="50"/>
      </c:doughnutChart>
      <c:spPr>
        <a:noFill/>
        <a:ln w="25400">
          <a:noFill/>
        </a:ln>
      </c:spPr>
    </c:plotArea>
    <c:plotVisOnly val="1"/>
    <c:dispBlanksAs val="gap"/>
    <c:showDLblsOverMax val="0"/>
  </c:chart>
  <c:spPr>
    <a:noFill/>
    <a:ln>
      <a:noFill/>
    </a:ln>
  </c:sp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0.49696</cdr:x>
      <cdr:y>0.00498</cdr:y>
    </cdr:from>
    <cdr:to>
      <cdr:x>0.79475</cdr:x>
      <cdr:y>0.08539</cdr:y>
    </cdr:to>
    <cdr:sp macro="" textlink="">
      <cdr:nvSpPr>
        <cdr:cNvPr id="3" name="CasellaDiTesto 2"/>
        <cdr:cNvSpPr txBox="1">
          <a:spLocks xmlns:a="http://schemas.openxmlformats.org/drawingml/2006/main" noChangeArrowheads="1"/>
        </cdr:cNvSpPr>
      </cdr:nvSpPr>
      <cdr:spPr bwMode="auto">
        <a:xfrm xmlns:a="http://schemas.openxmlformats.org/drawingml/2006/main">
          <a:off x="5493568" y="14151"/>
          <a:ext cx="3291857" cy="2284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rtl="0">
            <a:defRPr sz="1000"/>
          </a:pPr>
          <a:r>
            <a:rPr lang="it-IT" sz="800" b="1" i="0" u="none" strike="noStrike" baseline="0">
              <a:solidFill>
                <a:srgbClr val="000000"/>
              </a:solidFill>
              <a:latin typeface="Arial Narrow" panose="020B0606020202030204" pitchFamily="34" charset="0"/>
              <a:cs typeface="Arial"/>
            </a:rPr>
            <a:t>Scala Serie Morti</a:t>
          </a:r>
          <a:endParaRPr lang="it-IT" sz="800" b="1">
            <a:latin typeface="Arial Narrow" panose="020B0606020202030204" pitchFamily="34" charset="0"/>
          </a:endParaRPr>
        </a:p>
      </cdr:txBody>
    </cdr:sp>
  </cdr:relSizeAnchor>
  <cdr:relSizeAnchor xmlns:cdr="http://schemas.openxmlformats.org/drawingml/2006/chartDrawing">
    <cdr:from>
      <cdr:x>0.07805</cdr:x>
      <cdr:y>0</cdr:y>
    </cdr:from>
    <cdr:to>
      <cdr:x>0.34774</cdr:x>
      <cdr:y>0.10303</cdr:y>
    </cdr:to>
    <cdr:sp macro="" textlink="">
      <cdr:nvSpPr>
        <cdr:cNvPr id="4" name="CasellaDiTesto 1"/>
        <cdr:cNvSpPr txBox="1">
          <a:spLocks xmlns:a="http://schemas.openxmlformats.org/drawingml/2006/main" noChangeArrowheads="1"/>
        </cdr:cNvSpPr>
      </cdr:nvSpPr>
      <cdr:spPr bwMode="auto">
        <a:xfrm xmlns:a="http://schemas.openxmlformats.org/drawingml/2006/main">
          <a:off x="487440" y="0"/>
          <a:ext cx="1684260" cy="1619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rtl="0">
            <a:defRPr sz="1000"/>
          </a:pPr>
          <a:r>
            <a:rPr lang="it-IT" sz="800" b="1" i="0" u="none" strike="noStrike" baseline="0">
              <a:solidFill>
                <a:srgbClr val="000000"/>
              </a:solidFill>
              <a:latin typeface="Arial Narrow" panose="020B0606020202030204" pitchFamily="34" charset="0"/>
              <a:cs typeface="Arial"/>
            </a:rPr>
            <a:t>Scala Serie Incidenti e Feriti</a:t>
          </a:r>
          <a:endParaRPr lang="it-IT" sz="800" b="1">
            <a:latin typeface="Arial Narrow" panose="020B0606020202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0.03204</cdr:x>
      <cdr:y>0</cdr:y>
    </cdr:from>
    <cdr:to>
      <cdr:x>0.21563</cdr:x>
      <cdr:y>0.11412</cdr:y>
    </cdr:to>
    <cdr:sp macro="" textlink="">
      <cdr:nvSpPr>
        <cdr:cNvPr id="2" name="CasellaDiTesto 1"/>
        <cdr:cNvSpPr txBox="1"/>
      </cdr:nvSpPr>
      <cdr:spPr>
        <a:xfrm xmlns:a="http://schemas.openxmlformats.org/drawingml/2006/main">
          <a:off x="92266" y="0"/>
          <a:ext cx="528689" cy="219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800" b="1">
              <a:latin typeface="Arial Narrow" panose="020B0606020202030204" pitchFamily="34" charset="0"/>
              <a:cs typeface="Times New Roman" panose="02020603050405020304" pitchFamily="18" charset="0"/>
            </a:rPr>
            <a:t>Uomini</a:t>
          </a:r>
        </a:p>
        <a:p xmlns:a="http://schemas.openxmlformats.org/drawingml/2006/main">
          <a:endParaRPr lang="it-IT" sz="1400" b="1">
            <a:latin typeface="Arial Narrow" panose="020B0606020202030204" pitchFamily="34" charset="0"/>
          </a:endParaRPr>
        </a:p>
      </cdr:txBody>
    </cdr:sp>
  </cdr:relSizeAnchor>
  <cdr:relSizeAnchor xmlns:cdr="http://schemas.openxmlformats.org/drawingml/2006/chartDrawing">
    <cdr:from>
      <cdr:x>0.70541</cdr:x>
      <cdr:y>0.00971</cdr:y>
    </cdr:from>
    <cdr:to>
      <cdr:x>0.889</cdr:x>
      <cdr:y>0.06961</cdr:y>
    </cdr:to>
    <cdr:sp macro="" textlink="">
      <cdr:nvSpPr>
        <cdr:cNvPr id="3" name="CasellaDiTesto 1"/>
        <cdr:cNvSpPr txBox="1"/>
      </cdr:nvSpPr>
      <cdr:spPr>
        <a:xfrm xmlns:a="http://schemas.openxmlformats.org/drawingml/2006/main">
          <a:off x="3725471" y="40822"/>
          <a:ext cx="969589" cy="251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it-IT" sz="800" b="1">
              <a:latin typeface="Arial Narrow" panose="020B0606020202030204" pitchFamily="34" charset="0"/>
              <a:cs typeface="Times New Roman" panose="02020603050405020304" pitchFamily="18" charset="0"/>
            </a:rPr>
            <a:t>Donne</a:t>
          </a:r>
        </a:p>
        <a:p xmlns:a="http://schemas.openxmlformats.org/drawingml/2006/main">
          <a:endParaRPr lang="it-IT" sz="1400" b="1">
            <a:latin typeface="Arial Narrow" panose="020B0606020202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0.062</cdr:x>
      <cdr:y>0</cdr:y>
    </cdr:from>
    <cdr:to>
      <cdr:x>0.46435</cdr:x>
      <cdr:y>0.06995</cdr:y>
    </cdr:to>
    <cdr:sp macro="" textlink="">
      <cdr:nvSpPr>
        <cdr:cNvPr id="2" name="CasellaDiTesto 1"/>
        <cdr:cNvSpPr txBox="1"/>
      </cdr:nvSpPr>
      <cdr:spPr>
        <a:xfrm xmlns:a="http://schemas.openxmlformats.org/drawingml/2006/main">
          <a:off x="198432" y="-2032000"/>
          <a:ext cx="1287681" cy="1345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700" b="1">
              <a:latin typeface="Arial" panose="020B0604020202020204" pitchFamily="34" charset="0"/>
              <a:cs typeface="Arial" panose="020B0604020202020204" pitchFamily="34" charset="0"/>
            </a:rPr>
            <a:t>Scala conducenti italiani</a:t>
          </a:r>
        </a:p>
      </cdr:txBody>
    </cdr:sp>
  </cdr:relSizeAnchor>
  <cdr:relSizeAnchor xmlns:cdr="http://schemas.openxmlformats.org/drawingml/2006/chartDrawing">
    <cdr:from>
      <cdr:x>0.47507</cdr:x>
      <cdr:y>0</cdr:y>
    </cdr:from>
    <cdr:to>
      <cdr:x>0.93042</cdr:x>
      <cdr:y>0.10079</cdr:y>
    </cdr:to>
    <cdr:sp macro="" textlink="">
      <cdr:nvSpPr>
        <cdr:cNvPr id="3" name="CasellaDiTesto 1"/>
        <cdr:cNvSpPr txBox="1"/>
      </cdr:nvSpPr>
      <cdr:spPr>
        <a:xfrm xmlns:a="http://schemas.openxmlformats.org/drawingml/2006/main">
          <a:off x="1451040" y="0"/>
          <a:ext cx="1390798" cy="2176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it-IT" sz="700" b="1">
              <a:latin typeface="Arial" panose="020B0604020202020204" pitchFamily="34" charset="0"/>
              <a:cs typeface="Arial" panose="020B0604020202020204" pitchFamily="34" charset="0"/>
            </a:rPr>
            <a:t>Scala conducenti stranieri</a:t>
          </a:r>
        </a:p>
      </cdr:txBody>
    </cdr:sp>
  </cdr:relSizeAnchor>
</c:userShapes>
</file>

<file path=word/drawings/drawing4.xml><?xml version="1.0" encoding="utf-8"?>
<c:userShapes xmlns:c="http://schemas.openxmlformats.org/drawingml/2006/chart">
  <cdr:relSizeAnchor xmlns:cdr="http://schemas.openxmlformats.org/drawingml/2006/chartDrawing">
    <cdr:from>
      <cdr:x>0.34183</cdr:x>
      <cdr:y>0.43919</cdr:y>
    </cdr:from>
    <cdr:to>
      <cdr:x>0.67482</cdr:x>
      <cdr:y>0.61508</cdr:y>
    </cdr:to>
    <cdr:sp macro="" textlink="">
      <cdr:nvSpPr>
        <cdr:cNvPr id="2" name="Casella di testo 54"/>
        <cdr:cNvSpPr txBox="1"/>
      </cdr:nvSpPr>
      <cdr:spPr>
        <a:xfrm xmlns:a="http://schemas.openxmlformats.org/drawingml/2006/main">
          <a:off x="543740" y="702791"/>
          <a:ext cx="529679" cy="281459"/>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it-IT" sz="800" b="1">
              <a:latin typeface="Arial" panose="020B0604020202020204" pitchFamily="34" charset="0"/>
              <a:cs typeface="Arial" panose="020B0604020202020204" pitchFamily="34" charset="0"/>
            </a:rPr>
            <a:t>Morti</a:t>
          </a:r>
        </a:p>
      </cdr:txBody>
    </cdr:sp>
  </cdr:relSizeAnchor>
</c:userShapes>
</file>

<file path=word/drawings/drawing5.xml><?xml version="1.0" encoding="utf-8"?>
<c:userShapes xmlns:c="http://schemas.openxmlformats.org/drawingml/2006/chart">
  <cdr:relSizeAnchor xmlns:cdr="http://schemas.openxmlformats.org/drawingml/2006/chartDrawing">
    <cdr:from>
      <cdr:x>0.2448</cdr:x>
      <cdr:y>0.42884</cdr:y>
    </cdr:from>
    <cdr:to>
      <cdr:x>0.52973</cdr:x>
      <cdr:y>0.60005</cdr:y>
    </cdr:to>
    <cdr:sp macro="" textlink="">
      <cdr:nvSpPr>
        <cdr:cNvPr id="2" name="Casella di testo 54"/>
        <cdr:cNvSpPr txBox="1"/>
      </cdr:nvSpPr>
      <cdr:spPr>
        <a:xfrm xmlns:a="http://schemas.openxmlformats.org/drawingml/2006/main">
          <a:off x="561953" y="678058"/>
          <a:ext cx="654064" cy="270708"/>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it-IT" sz="800" b="1">
              <a:latin typeface="Arial" panose="020B0604020202020204" pitchFamily="34" charset="0"/>
              <a:cs typeface="Arial" panose="020B0604020202020204" pitchFamily="34" charset="0"/>
            </a:rPr>
            <a:t>Feriti</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807A-947A-4699-ACE8-5C66682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12878</Words>
  <Characters>73410</Characters>
  <Application>Microsoft Office Word</Application>
  <DocSecurity>0</DocSecurity>
  <Lines>611</Lines>
  <Paragraphs>172</Paragraphs>
  <ScaleCrop>false</ScaleCrop>
  <HeadingPairs>
    <vt:vector size="2" baseType="variant">
      <vt:variant>
        <vt:lpstr>Titolo</vt:lpstr>
      </vt:variant>
      <vt:variant>
        <vt:i4>1</vt:i4>
      </vt:variant>
    </vt:vector>
  </HeadingPairs>
  <TitlesOfParts>
    <vt:vector size="1" baseType="lpstr">
      <vt:lpstr>Statistica in breve</vt:lpstr>
    </vt:vector>
  </TitlesOfParts>
  <Company>due</Company>
  <LinksUpToDate>false</LinksUpToDate>
  <CharactersWithSpaces>86116</CharactersWithSpaces>
  <SharedDoc>false</SharedDoc>
  <HLinks>
    <vt:vector size="24" baseType="variant">
      <vt:variant>
        <vt:i4>327754</vt:i4>
      </vt:variant>
      <vt:variant>
        <vt:i4>18</vt:i4>
      </vt:variant>
      <vt:variant>
        <vt:i4>0</vt:i4>
      </vt:variant>
      <vt:variant>
        <vt:i4>5</vt:i4>
      </vt:variant>
      <vt:variant>
        <vt:lpwstr>http://etsc.eu/10th-annual-road-safety-performance-index-pin-report/</vt:lpwstr>
      </vt:variant>
      <vt:variant>
        <vt:lpwstr/>
      </vt:variant>
      <vt:variant>
        <vt:i4>4915228</vt:i4>
      </vt:variant>
      <vt:variant>
        <vt:i4>12</vt:i4>
      </vt:variant>
      <vt:variant>
        <vt:i4>0</vt:i4>
      </vt:variant>
      <vt:variant>
        <vt:i4>5</vt:i4>
      </vt:variant>
      <vt:variant>
        <vt:lpwstr>http://europa.eu/rapid/press-release_IP-16-863_en.htm</vt:lpwstr>
      </vt:variant>
      <vt:variant>
        <vt:lpwstr/>
      </vt:variant>
      <vt:variant>
        <vt:i4>327754</vt:i4>
      </vt:variant>
      <vt:variant>
        <vt:i4>9</vt:i4>
      </vt:variant>
      <vt:variant>
        <vt:i4>0</vt:i4>
      </vt:variant>
      <vt:variant>
        <vt:i4>5</vt:i4>
      </vt:variant>
      <vt:variant>
        <vt:lpwstr>http://etsc.eu/10th-annual-road-safety-performance-index-pin-report/</vt:lpwstr>
      </vt:variant>
      <vt:variant>
        <vt:lpwstr/>
      </vt:variant>
      <vt:variant>
        <vt:i4>1245260</vt:i4>
      </vt:variant>
      <vt:variant>
        <vt:i4>0</vt:i4>
      </vt:variant>
      <vt:variant>
        <vt:i4>0</vt:i4>
      </vt:variant>
      <vt:variant>
        <vt:i4>5</vt:i4>
      </vt:variant>
      <vt:variant>
        <vt:lpwstr>http://www.mit.gov.it/mit/site.php?p=cm&amp;o=vd&amp;id=2307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 in breve</dc:title>
  <dc:creator>Silvia Bruzzone</dc:creator>
  <cp:lastModifiedBy>enzalucia vaccaro</cp:lastModifiedBy>
  <cp:revision>3</cp:revision>
  <cp:lastPrinted>2018-07-17T10:26:00Z</cp:lastPrinted>
  <dcterms:created xsi:type="dcterms:W3CDTF">2022-07-26T07:12:00Z</dcterms:created>
  <dcterms:modified xsi:type="dcterms:W3CDTF">2022-07-26T07:15:00Z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115882495</vt:i4>
  </property>
  <property fmtid="{D5CDD505-2E9C-101B-9397-08002B2CF9AE}" pid="3" name="_EmailSubject">
    <vt:lpwstr>Statistica Incidenti 2011</vt:lpwstr>
  </property>
  <property fmtid="{D5CDD505-2E9C-101B-9397-08002B2CF9AE}" pid="4" name="_AuthorEmail">
    <vt:lpwstr>l.pennisi@aci.it</vt:lpwstr>
  </property>
  <property fmtid="{D5CDD505-2E9C-101B-9397-08002B2CF9AE}" pid="5" name="_AuthorEmailDisplayName">
    <vt:lpwstr>Pennisi Lucia</vt:lpwstr>
  </property>
  <property fmtid="{D5CDD505-2E9C-101B-9397-08002B2CF9AE}" pid="6" name="_ReviewingToolsShownOnce">
    <vt:lpwstr/>
  </property>
</Properties>
</file>