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A10C8" w14:textId="7927198B" w:rsidR="00B43883" w:rsidRDefault="00B43883" w:rsidP="008D7D7F">
      <w:pPr>
        <w:ind w:left="1814" w:firstLine="58"/>
        <w:rPr>
          <w:rFonts w:ascii="Arial" w:hAnsi="Arial" w:cs="Arial"/>
          <w:noProof/>
          <w:color w:val="5F5F5F"/>
          <w:sz w:val="28"/>
          <w:szCs w:val="28"/>
        </w:rPr>
      </w:pPr>
      <w:r>
        <w:rPr>
          <w:rFonts w:ascii="Arial" w:hAnsi="Arial" w:cs="Arial"/>
          <w:noProof/>
          <w:color w:val="5F5F5F"/>
          <w:sz w:val="28"/>
          <w:szCs w:val="28"/>
        </w:rPr>
        <mc:AlternateContent>
          <mc:Choice Requires="wps">
            <w:drawing>
              <wp:anchor distT="0" distB="0" distL="114300" distR="114300" simplePos="0" relativeHeight="251656192" behindDoc="0" locked="0" layoutInCell="1" allowOverlap="1" wp14:anchorId="7F386679" wp14:editId="6D6CDF9E">
                <wp:simplePos x="0" y="0"/>
                <wp:positionH relativeFrom="column">
                  <wp:posOffset>3780790</wp:posOffset>
                </wp:positionH>
                <wp:positionV relativeFrom="paragraph">
                  <wp:posOffset>-593090</wp:posOffset>
                </wp:positionV>
                <wp:extent cx="1305560" cy="261620"/>
                <wp:effectExtent l="0" t="0" r="8890" b="5080"/>
                <wp:wrapNone/>
                <wp:docPr id="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261620"/>
                        </a:xfrm>
                        <a:prstGeom prst="rect">
                          <a:avLst/>
                        </a:prstGeom>
                        <a:solidFill>
                          <a:srgbClr val="FFFFFF"/>
                        </a:solidFill>
                        <a:ln w="9525">
                          <a:solidFill>
                            <a:srgbClr val="FFFFFF"/>
                          </a:solidFill>
                          <a:miter lim="800000"/>
                          <a:headEnd/>
                          <a:tailEnd/>
                        </a:ln>
                      </wps:spPr>
                      <wps:txbx>
                        <w:txbxContent>
                          <w:p w14:paraId="2C41FE31" w14:textId="636000D3" w:rsidR="0055610F" w:rsidRPr="00BC0AFE" w:rsidRDefault="0055610F" w:rsidP="00AE6AE5">
                            <w:pPr>
                              <w:jc w:val="right"/>
                              <w:rPr>
                                <w:rFonts w:ascii="Arial Narrow" w:hAnsi="Arial Narrow"/>
                                <w:b/>
                                <w:color w:val="5F5F5F"/>
                                <w:sz w:val="26"/>
                                <w:szCs w:val="26"/>
                              </w:rPr>
                            </w:pPr>
                            <w:r>
                              <w:rPr>
                                <w:rFonts w:ascii="Arial Narrow" w:hAnsi="Arial Narrow"/>
                                <w:b/>
                                <w:color w:val="5F5F5F"/>
                                <w:sz w:val="26"/>
                                <w:szCs w:val="26"/>
                              </w:rPr>
                              <w:t xml:space="preserve">16 </w:t>
                            </w:r>
                            <w:proofErr w:type="gramStart"/>
                            <w:r>
                              <w:rPr>
                                <w:rFonts w:ascii="Arial Narrow" w:hAnsi="Arial Narrow"/>
                                <w:b/>
                                <w:color w:val="5F5F5F"/>
                                <w:sz w:val="26"/>
                                <w:szCs w:val="26"/>
                              </w:rPr>
                              <w:t>Settembre</w:t>
                            </w:r>
                            <w:proofErr w:type="gramEnd"/>
                            <w:r>
                              <w:rPr>
                                <w:rFonts w:ascii="Arial Narrow" w:hAnsi="Arial Narrow"/>
                                <w:b/>
                                <w:color w:val="5F5F5F"/>
                                <w:sz w:val="26"/>
                                <w:szCs w:val="26"/>
                              </w:rPr>
                              <w:t xml:space="preserve"> 2022</w:t>
                            </w:r>
                            <w:r w:rsidRPr="00BC0AFE">
                              <w:rPr>
                                <w:rFonts w:ascii="Arial Narrow" w:hAnsi="Arial Narrow"/>
                                <w:b/>
                                <w:color w:val="5F5F5F"/>
                                <w:sz w:val="26"/>
                                <w:szCs w:val="26"/>
                              </w:rPr>
                              <w:t xml:space="preserve"> </w:t>
                            </w:r>
                          </w:p>
                          <w:p w14:paraId="7AC159D1" w14:textId="77777777" w:rsidR="0055610F" w:rsidRPr="00884ED9" w:rsidRDefault="0055610F" w:rsidP="00AE6AE5">
                            <w:pPr>
                              <w:jc w:val="right"/>
                              <w:rPr>
                                <w:rFonts w:ascii="Arial Narrow" w:hAnsi="Arial Narrow"/>
                                <w:b/>
                                <w:color w:val="2298D1"/>
                                <w:sz w:val="26"/>
                                <w:szCs w:val="2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86679" id="_x0000_t202" coordsize="21600,21600" o:spt="202" path="m,l,21600r21600,l21600,xe">
                <v:stroke joinstyle="miter"/>
                <v:path gradientshapeok="t" o:connecttype="rect"/>
              </v:shapetype>
              <v:shape id="Casella di testo 2" o:spid="_x0000_s1026" type="#_x0000_t202" style="position:absolute;left:0;text-align:left;margin-left:297.7pt;margin-top:-46.7pt;width:102.8pt;height:2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Z2IIQIAAEkEAAAOAAAAZHJzL2Uyb0RvYy54bWysVFFv0zAQfkfiP1h+p0kDrUbUdBodRUhj&#10;IA1+wMVxEgvHZ2y3yfj1nJ22TONtwg/WOb77fPd9d9lcT4NmR+m8QlPx5SLnTBqBjTJdxX9837+5&#10;4swHMA1oNLLij9Lz6+3rV5vRlrLAHnUjHSMQ48vRVrwPwZZZ5kUvB/ALtNLQZYtugEBH12WNg5HQ&#10;B50Veb7ORnSNdSik9/T1dr7k24TftlKEr23rZWC64pRbSLtLex33bLuBsnNgeyVOacALshhAGXr0&#10;AnULAdjBqX+gBiUcemzDQuCQYdsqIVMNVM0yf1bNQw9WplqIHG8vNPn/Byvuj98cU03Fi3ecGRhI&#10;ox14qTWwRrEgfUBWRJpG60vyfrDkH6YPOJHcqWRv71D89MzgrgfTyRvncOwlNJTmMkZmT0JnHB9B&#10;6vELNvQcHAImoKl1Q+SQWGGETnI9XiSSU2AiPvk2X63WdCXorlgv10XSMIPyHG2dD58kDiwaFXfU&#10;Agkdjnc+xGygPLvExzxq1eyV1ungunqnHTsCtcs+rVTAMzdt2Fjx96tiNRPwAohBBep7rYaKX+Vx&#10;zZ0YaftomtSVAZSebUpZmxOPkbqZxDDV00mXGptHYtTh3N80j2T06H5zNlJvV9z/OoCTnOnPhlSJ&#10;g3A23NmozwYYQaEVD5zN5i7MA3OwTnU9Ic+6G7wh5VqVSI0Sz1mc8qR+TVyfZisOxNNz8vr7B9j+&#10;AQAA//8DAFBLAwQUAAYACAAAACEAbzSnGOEAAAALAQAADwAAAGRycy9kb3ducmV2LnhtbEyPzU7D&#10;MBCE70i8g7VI3Fq7oSltiFNVSFyoREWhEsdNvCQRsR3FbhPenuUEt/2Znf0m3062ExcaQuudhsVc&#10;gSBXedO6WsP729NsDSJEdAY770jDNwXYFtdXOWbGj+6VLsdYCzZxIUMNTYx9JmWoGrIY5r4nx7tP&#10;P1iM3A61NAOObG47mSi1khZbxx8a7OmxoerreLaMYXcjvlTlfnXolfp4Pu2X3ele69ubafcAItIU&#10;/8Twi883UDBT6c/OBNFpSDfpkqUaZps7LlixVgtOV/IkTRKQRS7/Zyh+AAAA//8DAFBLAQItABQA&#10;BgAIAAAAIQC2gziS/gAAAOEBAAATAAAAAAAAAAAAAAAAAAAAAABbQ29udGVudF9UeXBlc10ueG1s&#10;UEsBAi0AFAAGAAgAAAAhADj9If/WAAAAlAEAAAsAAAAAAAAAAAAAAAAALwEAAF9yZWxzLy5yZWxz&#10;UEsBAi0AFAAGAAgAAAAhAPrlnYghAgAASQQAAA4AAAAAAAAAAAAAAAAALgIAAGRycy9lMm9Eb2Mu&#10;eG1sUEsBAi0AFAAGAAgAAAAhAG80pxjhAAAACwEAAA8AAAAAAAAAAAAAAAAAewQAAGRycy9kb3du&#10;cmV2LnhtbFBLBQYAAAAABAAEAPMAAACJBQAAAAA=&#10;" strokecolor="white">
                <v:textbox inset="0,0,0,0">
                  <w:txbxContent>
                    <w:p w14:paraId="2C41FE31" w14:textId="636000D3" w:rsidR="0055610F" w:rsidRPr="00BC0AFE" w:rsidRDefault="0055610F" w:rsidP="00AE6AE5">
                      <w:pPr>
                        <w:jc w:val="right"/>
                        <w:rPr>
                          <w:rFonts w:ascii="Arial Narrow" w:hAnsi="Arial Narrow"/>
                          <w:b/>
                          <w:color w:val="5F5F5F"/>
                          <w:sz w:val="26"/>
                          <w:szCs w:val="26"/>
                        </w:rPr>
                      </w:pPr>
                      <w:r>
                        <w:rPr>
                          <w:rFonts w:ascii="Arial Narrow" w:hAnsi="Arial Narrow"/>
                          <w:b/>
                          <w:color w:val="5F5F5F"/>
                          <w:sz w:val="26"/>
                          <w:szCs w:val="26"/>
                        </w:rPr>
                        <w:t>16 Settembre 2022</w:t>
                      </w:r>
                      <w:r w:rsidRPr="00BC0AFE">
                        <w:rPr>
                          <w:rFonts w:ascii="Arial Narrow" w:hAnsi="Arial Narrow"/>
                          <w:b/>
                          <w:color w:val="5F5F5F"/>
                          <w:sz w:val="26"/>
                          <w:szCs w:val="26"/>
                        </w:rPr>
                        <w:t xml:space="preserve"> </w:t>
                      </w:r>
                    </w:p>
                    <w:p w14:paraId="7AC159D1" w14:textId="77777777" w:rsidR="0055610F" w:rsidRPr="00884ED9" w:rsidRDefault="0055610F" w:rsidP="00AE6AE5">
                      <w:pPr>
                        <w:jc w:val="right"/>
                        <w:rPr>
                          <w:rFonts w:ascii="Arial Narrow" w:hAnsi="Arial Narrow"/>
                          <w:b/>
                          <w:color w:val="2298D1"/>
                          <w:sz w:val="26"/>
                          <w:szCs w:val="26"/>
                        </w:rPr>
                      </w:pPr>
                    </w:p>
                  </w:txbxContent>
                </v:textbox>
              </v:shape>
            </w:pict>
          </mc:Fallback>
        </mc:AlternateContent>
      </w:r>
    </w:p>
    <w:p w14:paraId="75303D0C" w14:textId="77777777" w:rsidR="004342C5" w:rsidRDefault="004342C5" w:rsidP="008D7D7F">
      <w:pPr>
        <w:ind w:left="1814" w:firstLine="58"/>
        <w:rPr>
          <w:rFonts w:ascii="Arial" w:hAnsi="Arial" w:cs="Arial"/>
          <w:noProof/>
          <w:color w:val="5F5F5F"/>
          <w:sz w:val="28"/>
          <w:szCs w:val="28"/>
        </w:rPr>
      </w:pPr>
    </w:p>
    <w:p w14:paraId="472D74AE" w14:textId="1372A99A" w:rsidR="008D7D7F" w:rsidRPr="00D134E3" w:rsidRDefault="00966E14" w:rsidP="008D7D7F">
      <w:pPr>
        <w:ind w:left="1814" w:firstLine="58"/>
        <w:rPr>
          <w:rFonts w:ascii="Arial" w:hAnsi="Arial" w:cs="Arial"/>
          <w:color w:val="5F5F5F"/>
          <w:sz w:val="28"/>
          <w:szCs w:val="28"/>
        </w:rPr>
      </w:pPr>
      <w:r>
        <w:rPr>
          <w:rFonts w:ascii="Arial" w:hAnsi="Arial" w:cs="Arial"/>
          <w:noProof/>
          <w:color w:val="5F5F5F"/>
          <w:sz w:val="28"/>
          <w:szCs w:val="28"/>
        </w:rPr>
        <w:t>Luglio</w:t>
      </w:r>
      <w:r w:rsidR="00601954">
        <w:rPr>
          <w:rFonts w:ascii="Arial" w:hAnsi="Arial" w:cs="Arial"/>
          <w:color w:val="5F5F5F"/>
          <w:sz w:val="28"/>
          <w:szCs w:val="28"/>
        </w:rPr>
        <w:t xml:space="preserve"> 2022</w:t>
      </w:r>
    </w:p>
    <w:p w14:paraId="7FD3A17F" w14:textId="77777777" w:rsidR="005E57AA" w:rsidRDefault="00AE6AE5" w:rsidP="00D134E3">
      <w:pPr>
        <w:ind w:left="1814" w:firstLine="58"/>
        <w:rPr>
          <w:rFonts w:ascii="Calibri" w:hAnsi="Calibri" w:cs="Arial"/>
          <w:b/>
          <w:color w:val="5F5F5F"/>
          <w:sz w:val="44"/>
          <w:szCs w:val="28"/>
        </w:rPr>
      </w:pPr>
      <w:r w:rsidRPr="00191F98">
        <w:rPr>
          <w:rFonts w:ascii="Calibri" w:hAnsi="Calibri" w:cs="Arial"/>
          <w:b/>
          <w:color w:val="5F5F5F"/>
          <w:sz w:val="44"/>
          <w:szCs w:val="28"/>
        </w:rPr>
        <w:t>CO</w:t>
      </w:r>
      <w:r w:rsidR="00284F38" w:rsidRPr="00191F98">
        <w:rPr>
          <w:rFonts w:ascii="Calibri" w:hAnsi="Calibri" w:cs="Arial"/>
          <w:b/>
          <w:color w:val="5F5F5F"/>
          <w:sz w:val="44"/>
          <w:szCs w:val="28"/>
        </w:rPr>
        <w:t>M</w:t>
      </w:r>
      <w:r w:rsidR="00A8222C" w:rsidRPr="00191F98">
        <w:rPr>
          <w:rFonts w:ascii="Calibri" w:hAnsi="Calibri" w:cs="Arial"/>
          <w:b/>
          <w:color w:val="5F5F5F"/>
          <w:sz w:val="44"/>
          <w:szCs w:val="28"/>
        </w:rPr>
        <w:t>MER</w:t>
      </w:r>
      <w:r w:rsidR="00284F38" w:rsidRPr="00191F98">
        <w:rPr>
          <w:rFonts w:ascii="Calibri" w:hAnsi="Calibri" w:cs="Arial"/>
          <w:b/>
          <w:color w:val="5F5F5F"/>
          <w:sz w:val="44"/>
          <w:szCs w:val="28"/>
        </w:rPr>
        <w:t>CI</w:t>
      </w:r>
      <w:r w:rsidR="00A8222C" w:rsidRPr="00191F98">
        <w:rPr>
          <w:rFonts w:ascii="Calibri" w:hAnsi="Calibri" w:cs="Arial"/>
          <w:b/>
          <w:color w:val="5F5F5F"/>
          <w:sz w:val="44"/>
          <w:szCs w:val="28"/>
        </w:rPr>
        <w:t>O CON L’ESTERO</w:t>
      </w:r>
    </w:p>
    <w:p w14:paraId="3E4FFEE7" w14:textId="4125FFA1" w:rsidR="00A8222C" w:rsidRDefault="00A8222C" w:rsidP="005E57AA">
      <w:pPr>
        <w:ind w:left="1814" w:firstLine="58"/>
        <w:rPr>
          <w:rFonts w:ascii="Calibri" w:hAnsi="Calibri" w:cs="Arial"/>
          <w:b/>
          <w:color w:val="5F5F5F"/>
          <w:sz w:val="44"/>
          <w:szCs w:val="28"/>
        </w:rPr>
      </w:pPr>
      <w:r w:rsidRPr="00191F98">
        <w:rPr>
          <w:rFonts w:ascii="Calibri" w:hAnsi="Calibri" w:cs="Arial"/>
          <w:b/>
          <w:color w:val="5F5F5F"/>
          <w:sz w:val="44"/>
          <w:szCs w:val="28"/>
        </w:rPr>
        <w:t>E</w:t>
      </w:r>
      <w:r w:rsidR="005E57AA">
        <w:rPr>
          <w:rFonts w:ascii="Calibri" w:hAnsi="Calibri" w:cs="Arial"/>
          <w:b/>
          <w:color w:val="5F5F5F"/>
          <w:sz w:val="44"/>
          <w:szCs w:val="28"/>
        </w:rPr>
        <w:t xml:space="preserve"> </w:t>
      </w:r>
      <w:r w:rsidRPr="00191F98">
        <w:rPr>
          <w:rFonts w:ascii="Calibri" w:hAnsi="Calibri" w:cs="Arial"/>
          <w:b/>
          <w:color w:val="5F5F5F"/>
          <w:sz w:val="44"/>
          <w:szCs w:val="28"/>
        </w:rPr>
        <w:t>PREZZI ALL’IMPORT</w:t>
      </w:r>
    </w:p>
    <w:p w14:paraId="32215862" w14:textId="77777777" w:rsidR="004E4512" w:rsidRPr="00F14685" w:rsidRDefault="004E4512" w:rsidP="00D66C47">
      <w:pPr>
        <w:ind w:left="1814" w:firstLine="57"/>
        <w:rPr>
          <w:rFonts w:ascii="Calibri" w:hAnsi="Calibri" w:cs="Arial"/>
          <w:b/>
          <w:color w:val="5F5F5F"/>
          <w:sz w:val="2"/>
          <w:szCs w:val="2"/>
        </w:rPr>
      </w:pPr>
    </w:p>
    <w:p w14:paraId="1DF2AF73" w14:textId="77777777" w:rsidR="00A8222C" w:rsidRPr="000D42CA" w:rsidRDefault="00A8222C" w:rsidP="00E15738">
      <w:pPr>
        <w:tabs>
          <w:tab w:val="left" w:pos="1843"/>
        </w:tabs>
        <w:spacing w:line="216" w:lineRule="auto"/>
        <w:ind w:left="1814"/>
        <w:rPr>
          <w:rFonts w:ascii="Calibri" w:hAnsi="Calibri" w:cs="Arial"/>
          <w:b/>
          <w:bCs/>
          <w:color w:val="5F5F5F"/>
          <w:w w:val="95"/>
          <w:sz w:val="10"/>
          <w:szCs w:val="10"/>
        </w:rPr>
      </w:pPr>
    </w:p>
    <w:p w14:paraId="42D385F2" w14:textId="3CBF0FB4" w:rsidR="00FC2A8B" w:rsidRPr="00FC2A8B" w:rsidRDefault="00FC2A8B" w:rsidP="00743B5C">
      <w:pPr>
        <w:numPr>
          <w:ilvl w:val="0"/>
          <w:numId w:val="22"/>
        </w:numPr>
        <w:tabs>
          <w:tab w:val="left" w:pos="426"/>
          <w:tab w:val="left" w:pos="1843"/>
        </w:tabs>
        <w:spacing w:after="120" w:line="230" w:lineRule="exact"/>
        <w:jc w:val="both"/>
        <w:rPr>
          <w:rFonts w:ascii="Arial" w:hAnsi="Arial" w:cs="Arial"/>
          <w:bCs/>
          <w:sz w:val="21"/>
          <w:szCs w:val="21"/>
          <w:lang w:eastAsia="en-US"/>
        </w:rPr>
      </w:pPr>
      <w:r w:rsidRPr="00FC2A8B">
        <w:rPr>
          <w:rFonts w:ascii="Arial" w:hAnsi="Arial" w:cs="Arial"/>
          <w:bCs/>
          <w:sz w:val="21"/>
          <w:szCs w:val="21"/>
          <w:lang w:eastAsia="en-US"/>
        </w:rPr>
        <w:t>A luglio 2022 si stima una crescita congiunturale per entrambi i flussi commerciali con l’estero, più intensa per le esportazioni (+4,1%) che per le importazioni (+3,4%)</w:t>
      </w:r>
      <w:r w:rsidR="00670338">
        <w:rPr>
          <w:rFonts w:ascii="Arial" w:hAnsi="Arial" w:cs="Arial"/>
          <w:bCs/>
          <w:sz w:val="21"/>
          <w:szCs w:val="21"/>
          <w:lang w:eastAsia="en-US"/>
        </w:rPr>
        <w:t>.</w:t>
      </w:r>
      <w:r w:rsidRPr="00FC2A8B">
        <w:rPr>
          <w:rFonts w:ascii="Arial" w:hAnsi="Arial" w:cs="Arial"/>
          <w:bCs/>
          <w:sz w:val="21"/>
          <w:szCs w:val="21"/>
          <w:lang w:eastAsia="en-US"/>
        </w:rPr>
        <w:t xml:space="preserve"> L’aumento su base mensile dell’export è dovuto all’incremento delle vendite verso entrambe le aree, più</w:t>
      </w:r>
      <w:r w:rsidR="002C2756">
        <w:rPr>
          <w:rFonts w:ascii="Arial" w:hAnsi="Arial" w:cs="Arial"/>
          <w:bCs/>
          <w:sz w:val="21"/>
          <w:szCs w:val="21"/>
          <w:lang w:eastAsia="en-US"/>
        </w:rPr>
        <w:t xml:space="preserve"> ampio </w:t>
      </w:r>
      <w:r w:rsidRPr="00FC2A8B">
        <w:rPr>
          <w:rFonts w:ascii="Arial" w:hAnsi="Arial" w:cs="Arial"/>
          <w:bCs/>
          <w:sz w:val="21"/>
          <w:szCs w:val="21"/>
          <w:lang w:eastAsia="en-US"/>
        </w:rPr>
        <w:t>per i mercati extra Ue (+5,7%) rispetto all’area Ue (+2,6%).</w:t>
      </w:r>
    </w:p>
    <w:p w14:paraId="47C66769" w14:textId="77777777" w:rsidR="00FC2A8B" w:rsidRPr="00FC2A8B" w:rsidRDefault="00FC2A8B" w:rsidP="00743B5C">
      <w:pPr>
        <w:numPr>
          <w:ilvl w:val="0"/>
          <w:numId w:val="22"/>
        </w:numPr>
        <w:tabs>
          <w:tab w:val="left" w:pos="426"/>
          <w:tab w:val="left" w:pos="1843"/>
        </w:tabs>
        <w:spacing w:after="120" w:line="230" w:lineRule="exact"/>
        <w:jc w:val="both"/>
        <w:rPr>
          <w:rFonts w:ascii="Arial" w:hAnsi="Arial" w:cs="Arial"/>
          <w:bCs/>
          <w:sz w:val="21"/>
          <w:szCs w:val="21"/>
          <w:lang w:eastAsia="en-US"/>
        </w:rPr>
      </w:pPr>
      <w:r w:rsidRPr="00FC2A8B">
        <w:rPr>
          <w:rFonts w:ascii="Arial" w:hAnsi="Arial" w:cs="Arial"/>
          <w:bCs/>
          <w:sz w:val="21"/>
          <w:szCs w:val="21"/>
          <w:lang w:eastAsia="en-US"/>
        </w:rPr>
        <w:t>Nel trimestre maggio-luglio 2022, rispetto al precedente, l’export cresce del 6,8%, l’import dell’8,8%.</w:t>
      </w:r>
    </w:p>
    <w:p w14:paraId="217A0076" w14:textId="2CCF2795" w:rsidR="00FC2A8B" w:rsidRPr="00FC2A8B" w:rsidRDefault="00FC2A8B" w:rsidP="00743B5C">
      <w:pPr>
        <w:numPr>
          <w:ilvl w:val="0"/>
          <w:numId w:val="22"/>
        </w:numPr>
        <w:tabs>
          <w:tab w:val="left" w:pos="426"/>
          <w:tab w:val="left" w:pos="1843"/>
        </w:tabs>
        <w:spacing w:after="120" w:line="230" w:lineRule="exact"/>
        <w:jc w:val="both"/>
        <w:rPr>
          <w:rFonts w:ascii="Arial" w:hAnsi="Arial" w:cs="Arial"/>
          <w:bCs/>
          <w:sz w:val="21"/>
          <w:szCs w:val="21"/>
          <w:lang w:eastAsia="en-US"/>
        </w:rPr>
      </w:pPr>
      <w:r w:rsidRPr="00FC2A8B">
        <w:rPr>
          <w:rFonts w:ascii="Arial" w:hAnsi="Arial" w:cs="Arial"/>
          <w:bCs/>
          <w:sz w:val="21"/>
          <w:szCs w:val="21"/>
          <w:lang w:eastAsia="en-US"/>
        </w:rPr>
        <w:t>A luglio 2022, l’export aumenta su base annua del 18,0%</w:t>
      </w:r>
      <w:r w:rsidR="005B3FDB">
        <w:rPr>
          <w:rFonts w:ascii="Arial" w:hAnsi="Arial" w:cs="Arial"/>
          <w:bCs/>
          <w:sz w:val="21"/>
          <w:szCs w:val="21"/>
          <w:lang w:eastAsia="en-US"/>
        </w:rPr>
        <w:t xml:space="preserve"> in termini monetari ma si riduce del 4,0% in volume. La </w:t>
      </w:r>
      <w:r w:rsidRPr="00FC2A8B">
        <w:rPr>
          <w:rFonts w:ascii="Arial" w:hAnsi="Arial" w:cs="Arial"/>
          <w:bCs/>
          <w:sz w:val="21"/>
          <w:szCs w:val="21"/>
          <w:lang w:eastAsia="en-US"/>
        </w:rPr>
        <w:t xml:space="preserve">crescita </w:t>
      </w:r>
      <w:r w:rsidR="005B3FDB">
        <w:rPr>
          <w:rFonts w:ascii="Arial" w:hAnsi="Arial" w:cs="Arial"/>
          <w:bCs/>
          <w:sz w:val="21"/>
          <w:szCs w:val="21"/>
          <w:lang w:eastAsia="en-US"/>
        </w:rPr>
        <w:t xml:space="preserve">dell’export in valore </w:t>
      </w:r>
      <w:r w:rsidRPr="00FC2A8B">
        <w:rPr>
          <w:rFonts w:ascii="Arial" w:hAnsi="Arial" w:cs="Arial"/>
          <w:bCs/>
          <w:sz w:val="21"/>
          <w:szCs w:val="21"/>
          <w:lang w:eastAsia="en-US"/>
        </w:rPr>
        <w:t xml:space="preserve">è </w:t>
      </w:r>
      <w:r w:rsidR="002C2756">
        <w:rPr>
          <w:rFonts w:ascii="Arial" w:hAnsi="Arial" w:cs="Arial"/>
          <w:bCs/>
          <w:sz w:val="21"/>
          <w:szCs w:val="21"/>
          <w:lang w:eastAsia="en-US"/>
        </w:rPr>
        <w:t xml:space="preserve">molto </w:t>
      </w:r>
      <w:r w:rsidRPr="00FC2A8B">
        <w:rPr>
          <w:rFonts w:ascii="Arial" w:hAnsi="Arial" w:cs="Arial"/>
          <w:bCs/>
          <w:sz w:val="21"/>
          <w:szCs w:val="21"/>
          <w:lang w:eastAsia="en-US"/>
        </w:rPr>
        <w:t xml:space="preserve">più sostenuta verso l’area Ue (+21,8%) rispetto ai mercati extra Ue (+14,2%). L’import registra un incremento tendenziale del 44,0%, che coinvolge </w:t>
      </w:r>
      <w:r w:rsidR="00C7585F">
        <w:rPr>
          <w:rFonts w:ascii="Arial" w:hAnsi="Arial" w:cs="Arial"/>
          <w:bCs/>
          <w:sz w:val="21"/>
          <w:szCs w:val="21"/>
          <w:lang w:eastAsia="en-US"/>
        </w:rPr>
        <w:t>sia</w:t>
      </w:r>
      <w:r w:rsidR="00C7585F" w:rsidRPr="00FC2A8B">
        <w:rPr>
          <w:rFonts w:ascii="Arial" w:hAnsi="Arial" w:cs="Arial"/>
          <w:bCs/>
          <w:sz w:val="21"/>
          <w:szCs w:val="21"/>
          <w:lang w:eastAsia="en-US"/>
        </w:rPr>
        <w:t xml:space="preserve"> l’area Ue (+21,3%)</w:t>
      </w:r>
      <w:r w:rsidR="00C7585F">
        <w:rPr>
          <w:rFonts w:ascii="Arial" w:hAnsi="Arial" w:cs="Arial"/>
          <w:bCs/>
          <w:sz w:val="21"/>
          <w:szCs w:val="21"/>
          <w:lang w:eastAsia="en-US"/>
        </w:rPr>
        <w:t xml:space="preserve"> sia, </w:t>
      </w:r>
      <w:r w:rsidRPr="00FC2A8B">
        <w:rPr>
          <w:rFonts w:ascii="Arial" w:hAnsi="Arial" w:cs="Arial"/>
          <w:bCs/>
          <w:sz w:val="21"/>
          <w:szCs w:val="21"/>
          <w:lang w:eastAsia="en-US"/>
        </w:rPr>
        <w:t xml:space="preserve">in misura </w:t>
      </w:r>
      <w:r w:rsidR="002C2756">
        <w:rPr>
          <w:rFonts w:ascii="Arial" w:hAnsi="Arial" w:cs="Arial"/>
          <w:bCs/>
          <w:sz w:val="21"/>
          <w:szCs w:val="21"/>
          <w:lang w:eastAsia="en-US"/>
        </w:rPr>
        <w:t>decisamente</w:t>
      </w:r>
      <w:r w:rsidRPr="00FC2A8B">
        <w:rPr>
          <w:rFonts w:ascii="Arial" w:hAnsi="Arial" w:cs="Arial"/>
          <w:bCs/>
          <w:sz w:val="21"/>
          <w:szCs w:val="21"/>
          <w:lang w:eastAsia="en-US"/>
        </w:rPr>
        <w:t xml:space="preserve"> più ampia</w:t>
      </w:r>
      <w:r w:rsidR="00C7585F">
        <w:rPr>
          <w:rFonts w:ascii="Arial" w:hAnsi="Arial" w:cs="Arial"/>
          <w:bCs/>
          <w:sz w:val="21"/>
          <w:szCs w:val="21"/>
          <w:lang w:eastAsia="en-US"/>
        </w:rPr>
        <w:t>,</w:t>
      </w:r>
      <w:r w:rsidRPr="00FC2A8B">
        <w:rPr>
          <w:rFonts w:ascii="Arial" w:hAnsi="Arial" w:cs="Arial"/>
          <w:bCs/>
          <w:sz w:val="21"/>
          <w:szCs w:val="21"/>
          <w:lang w:eastAsia="en-US"/>
        </w:rPr>
        <w:t xml:space="preserve"> l’area extra Ue (+72,9%).  </w:t>
      </w:r>
    </w:p>
    <w:p w14:paraId="6070761F" w14:textId="77777777" w:rsidR="00FC2A8B" w:rsidRPr="00FC2A8B" w:rsidRDefault="00FC2A8B" w:rsidP="00743B5C">
      <w:pPr>
        <w:numPr>
          <w:ilvl w:val="0"/>
          <w:numId w:val="22"/>
        </w:numPr>
        <w:tabs>
          <w:tab w:val="left" w:pos="426"/>
          <w:tab w:val="left" w:pos="1843"/>
        </w:tabs>
        <w:spacing w:after="120" w:line="230" w:lineRule="exact"/>
        <w:jc w:val="both"/>
        <w:rPr>
          <w:rFonts w:ascii="Arial" w:hAnsi="Arial" w:cs="Arial"/>
          <w:bCs/>
          <w:sz w:val="21"/>
          <w:szCs w:val="21"/>
          <w:lang w:eastAsia="en-US"/>
        </w:rPr>
      </w:pPr>
      <w:r w:rsidRPr="00FC2A8B">
        <w:rPr>
          <w:rFonts w:ascii="Arial" w:hAnsi="Arial" w:cs="Arial"/>
          <w:bCs/>
          <w:sz w:val="21"/>
          <w:szCs w:val="21"/>
          <w:lang w:eastAsia="en-US"/>
        </w:rPr>
        <w:t xml:space="preserve">Tra i settori che contribuiscono maggiormente all’aumento tendenziale dell’export si segnalano: articoli farmaceutici, chimico-medicinali e botanici (+91,4%), prodotti petroliferi raffinati (+187,7%), macchinari e apparecchi </w:t>
      </w:r>
      <w:proofErr w:type="spellStart"/>
      <w:r w:rsidRPr="00FC2A8B">
        <w:rPr>
          <w:rFonts w:ascii="Arial" w:hAnsi="Arial" w:cs="Arial"/>
          <w:bCs/>
          <w:sz w:val="21"/>
          <w:szCs w:val="21"/>
          <w:lang w:eastAsia="en-US"/>
        </w:rPr>
        <w:t>n.c.a</w:t>
      </w:r>
      <w:proofErr w:type="spellEnd"/>
      <w:r w:rsidRPr="00FC2A8B">
        <w:rPr>
          <w:rFonts w:ascii="Arial" w:hAnsi="Arial" w:cs="Arial"/>
          <w:bCs/>
          <w:sz w:val="21"/>
          <w:szCs w:val="21"/>
          <w:lang w:eastAsia="en-US"/>
        </w:rPr>
        <w:t>. (+9,8%), sostanze e prodotti chimici (+22,2%), metalli di base e prodotti in metallo, esclusi macchine e impianti (+9,7%) e prodotti alimentari, bevande e tabacco (+12,9%).</w:t>
      </w:r>
    </w:p>
    <w:p w14:paraId="5570797F" w14:textId="2D04FA04" w:rsidR="00FC2A8B" w:rsidRPr="00FC2A8B" w:rsidRDefault="00FC2A8B" w:rsidP="00743B5C">
      <w:pPr>
        <w:numPr>
          <w:ilvl w:val="0"/>
          <w:numId w:val="22"/>
        </w:numPr>
        <w:tabs>
          <w:tab w:val="left" w:pos="426"/>
          <w:tab w:val="left" w:pos="1843"/>
        </w:tabs>
        <w:spacing w:after="120" w:line="230" w:lineRule="exact"/>
        <w:jc w:val="both"/>
        <w:rPr>
          <w:rFonts w:ascii="Arial" w:hAnsi="Arial" w:cs="Arial"/>
          <w:bCs/>
          <w:sz w:val="21"/>
          <w:szCs w:val="21"/>
          <w:lang w:eastAsia="en-US"/>
        </w:rPr>
      </w:pPr>
      <w:r w:rsidRPr="00FC2A8B">
        <w:rPr>
          <w:rFonts w:ascii="Arial" w:hAnsi="Arial" w:cs="Arial"/>
          <w:bCs/>
          <w:sz w:val="21"/>
          <w:szCs w:val="21"/>
          <w:lang w:eastAsia="en-US"/>
        </w:rPr>
        <w:t>Su base annua, i paesi che forniscono i contributi maggiori all’incremento dell’export nazionale sono</w:t>
      </w:r>
      <w:r w:rsidR="00670338">
        <w:rPr>
          <w:rFonts w:ascii="Arial" w:hAnsi="Arial" w:cs="Arial"/>
          <w:bCs/>
          <w:sz w:val="21"/>
          <w:szCs w:val="21"/>
          <w:lang w:eastAsia="en-US"/>
        </w:rPr>
        <w:t>:</w:t>
      </w:r>
      <w:r w:rsidRPr="00FC2A8B">
        <w:rPr>
          <w:rFonts w:ascii="Arial" w:hAnsi="Arial" w:cs="Arial"/>
          <w:bCs/>
          <w:sz w:val="21"/>
          <w:szCs w:val="21"/>
          <w:lang w:eastAsia="en-US"/>
        </w:rPr>
        <w:t xml:space="preserve"> Belgio (+117,7%), Stati Uniti (+22,7%), Germ</w:t>
      </w:r>
      <w:r w:rsidR="00D93F65">
        <w:rPr>
          <w:rFonts w:ascii="Arial" w:hAnsi="Arial" w:cs="Arial"/>
          <w:bCs/>
          <w:sz w:val="21"/>
          <w:szCs w:val="21"/>
          <w:lang w:eastAsia="en-US"/>
        </w:rPr>
        <w:t>ania (+11,5%) e</w:t>
      </w:r>
      <w:r w:rsidR="002C2756">
        <w:rPr>
          <w:rFonts w:ascii="Arial" w:hAnsi="Arial" w:cs="Arial"/>
          <w:bCs/>
          <w:sz w:val="21"/>
          <w:szCs w:val="21"/>
          <w:lang w:eastAsia="en-US"/>
        </w:rPr>
        <w:t xml:space="preserve"> Francia (+10,8%)</w:t>
      </w:r>
      <w:r w:rsidRPr="00FC2A8B">
        <w:rPr>
          <w:rFonts w:ascii="Arial" w:hAnsi="Arial" w:cs="Arial"/>
          <w:bCs/>
          <w:sz w:val="21"/>
          <w:szCs w:val="21"/>
          <w:lang w:eastAsia="en-US"/>
        </w:rPr>
        <w:t xml:space="preserve">. </w:t>
      </w:r>
      <w:r w:rsidR="000506A1">
        <w:rPr>
          <w:rFonts w:ascii="Arial" w:hAnsi="Arial" w:cs="Arial"/>
          <w:bCs/>
          <w:sz w:val="21"/>
          <w:szCs w:val="21"/>
          <w:lang w:eastAsia="en-US"/>
        </w:rPr>
        <w:t>Si amplia la flessione dell</w:t>
      </w:r>
      <w:r w:rsidRPr="00FC2A8B">
        <w:rPr>
          <w:rFonts w:ascii="Arial" w:hAnsi="Arial" w:cs="Arial"/>
          <w:bCs/>
          <w:sz w:val="21"/>
          <w:szCs w:val="21"/>
          <w:lang w:eastAsia="en-US"/>
        </w:rPr>
        <w:t xml:space="preserve">’export verso la Russia (-36,4%) </w:t>
      </w:r>
      <w:r w:rsidR="000506A1">
        <w:rPr>
          <w:rFonts w:ascii="Arial" w:hAnsi="Arial" w:cs="Arial"/>
          <w:bCs/>
          <w:sz w:val="21"/>
          <w:szCs w:val="21"/>
          <w:lang w:eastAsia="en-US"/>
        </w:rPr>
        <w:t xml:space="preserve">e diminuiscono anche </w:t>
      </w:r>
      <w:r w:rsidRPr="00FC2A8B">
        <w:rPr>
          <w:rFonts w:ascii="Arial" w:hAnsi="Arial" w:cs="Arial"/>
          <w:bCs/>
          <w:sz w:val="21"/>
          <w:szCs w:val="21"/>
          <w:lang w:eastAsia="en-US"/>
        </w:rPr>
        <w:t xml:space="preserve">le vendite verso Svizzera (-10,8%) e Giappone (-17,7%). </w:t>
      </w:r>
    </w:p>
    <w:p w14:paraId="56F1EF1A" w14:textId="70D28A9E" w:rsidR="00FC2A8B" w:rsidRPr="00FC2A8B" w:rsidRDefault="00FC2A8B" w:rsidP="00743B5C">
      <w:pPr>
        <w:numPr>
          <w:ilvl w:val="0"/>
          <w:numId w:val="22"/>
        </w:numPr>
        <w:tabs>
          <w:tab w:val="left" w:pos="426"/>
          <w:tab w:val="left" w:pos="1843"/>
        </w:tabs>
        <w:spacing w:after="120" w:line="230" w:lineRule="exact"/>
        <w:jc w:val="both"/>
        <w:rPr>
          <w:rFonts w:ascii="Arial" w:hAnsi="Arial" w:cs="Arial"/>
          <w:bCs/>
          <w:sz w:val="21"/>
          <w:szCs w:val="21"/>
          <w:lang w:eastAsia="en-US"/>
        </w:rPr>
      </w:pPr>
      <w:r w:rsidRPr="00FC2A8B">
        <w:rPr>
          <w:rFonts w:ascii="Arial" w:hAnsi="Arial" w:cs="Arial"/>
          <w:bCs/>
          <w:sz w:val="21"/>
          <w:szCs w:val="21"/>
          <w:lang w:eastAsia="en-US"/>
        </w:rPr>
        <w:t>Nei primi sette mesi del 2022, la crescita tendenziale delle esportazioni (+21,8%) è dovuta in particolare all’aumento delle vendite di metalli di base e prodotti in metallo, esclusi macchine e impianti (+23,2%), articoli farmaceutici, chimico-medicinali e botanici (+44,6%), prodotti petroliferi raffinati (+112,5%)</w:t>
      </w:r>
      <w:r w:rsidR="000506A1">
        <w:rPr>
          <w:rFonts w:ascii="Arial" w:hAnsi="Arial" w:cs="Arial"/>
          <w:bCs/>
          <w:sz w:val="21"/>
          <w:szCs w:val="21"/>
          <w:lang w:eastAsia="en-US"/>
        </w:rPr>
        <w:t>,</w:t>
      </w:r>
      <w:r w:rsidRPr="00FC2A8B">
        <w:rPr>
          <w:rFonts w:ascii="Arial" w:hAnsi="Arial" w:cs="Arial"/>
          <w:bCs/>
          <w:sz w:val="21"/>
          <w:szCs w:val="21"/>
          <w:lang w:eastAsia="en-US"/>
        </w:rPr>
        <w:t xml:space="preserve"> sostanze e prodotti chimici (+27,9%)</w:t>
      </w:r>
      <w:r w:rsidR="000506A1">
        <w:rPr>
          <w:rFonts w:ascii="Arial" w:hAnsi="Arial" w:cs="Arial"/>
          <w:bCs/>
          <w:sz w:val="21"/>
          <w:szCs w:val="21"/>
          <w:lang w:eastAsia="en-US"/>
        </w:rPr>
        <w:t xml:space="preserve"> e prodotti alimentari, bevande e tabacco (+19,5%)</w:t>
      </w:r>
      <w:r w:rsidRPr="00FC2A8B">
        <w:rPr>
          <w:rFonts w:ascii="Arial" w:hAnsi="Arial" w:cs="Arial"/>
          <w:bCs/>
          <w:sz w:val="21"/>
          <w:szCs w:val="21"/>
          <w:lang w:eastAsia="en-US"/>
        </w:rPr>
        <w:t>.</w:t>
      </w:r>
    </w:p>
    <w:p w14:paraId="2B21023B" w14:textId="017D03C5" w:rsidR="00705188" w:rsidRPr="006652E6" w:rsidRDefault="00FC2A8B" w:rsidP="00743B5C">
      <w:pPr>
        <w:numPr>
          <w:ilvl w:val="0"/>
          <w:numId w:val="22"/>
        </w:numPr>
        <w:tabs>
          <w:tab w:val="left" w:pos="426"/>
          <w:tab w:val="left" w:pos="1843"/>
        </w:tabs>
        <w:spacing w:after="120" w:line="230" w:lineRule="exact"/>
        <w:jc w:val="both"/>
        <w:rPr>
          <w:rFonts w:ascii="Arial" w:hAnsi="Arial" w:cs="Arial"/>
          <w:bCs/>
          <w:sz w:val="21"/>
          <w:szCs w:val="21"/>
          <w:lang w:eastAsia="en-US"/>
        </w:rPr>
      </w:pPr>
      <w:r w:rsidRPr="00FC2A8B">
        <w:rPr>
          <w:rFonts w:ascii="Arial" w:hAnsi="Arial" w:cs="Arial"/>
          <w:bCs/>
          <w:sz w:val="21"/>
          <w:szCs w:val="21"/>
          <w:lang w:eastAsia="en-US"/>
        </w:rPr>
        <w:t xml:space="preserve">A luglio 2022 il disavanzo commerciale è pari a </w:t>
      </w:r>
      <w:r w:rsidR="005B3FDB">
        <w:rPr>
          <w:rFonts w:ascii="Arial" w:hAnsi="Arial" w:cs="Arial"/>
          <w:bCs/>
          <w:sz w:val="21"/>
          <w:szCs w:val="21"/>
          <w:lang w:eastAsia="en-US"/>
        </w:rPr>
        <w:t>-</w:t>
      </w:r>
      <w:r w:rsidRPr="00FC2A8B">
        <w:rPr>
          <w:rFonts w:ascii="Arial" w:hAnsi="Arial" w:cs="Arial"/>
          <w:bCs/>
          <w:sz w:val="21"/>
          <w:szCs w:val="21"/>
          <w:lang w:eastAsia="en-US"/>
        </w:rPr>
        <w:t>361 milioni di euro, a fronte di un avanzo di 8.575 milioni di luglio 2021. Il deficit energetico raggiunge gli 11.412 milioni (era 3.815 milioni un anno prima)</w:t>
      </w:r>
      <w:r w:rsidR="00E90FC4">
        <w:rPr>
          <w:rFonts w:ascii="Arial" w:hAnsi="Arial" w:cs="Arial"/>
          <w:bCs/>
          <w:sz w:val="21"/>
          <w:szCs w:val="21"/>
          <w:lang w:eastAsia="en-US"/>
        </w:rPr>
        <w:t xml:space="preserve"> ma l</w:t>
      </w:r>
      <w:r w:rsidRPr="00FC2A8B">
        <w:rPr>
          <w:rFonts w:ascii="Arial" w:hAnsi="Arial" w:cs="Arial"/>
          <w:bCs/>
          <w:sz w:val="21"/>
          <w:szCs w:val="21"/>
          <w:lang w:eastAsia="en-US"/>
        </w:rPr>
        <w:t xml:space="preserve">’avanzo </w:t>
      </w:r>
      <w:r w:rsidR="008A027F">
        <w:rPr>
          <w:rFonts w:ascii="Arial" w:hAnsi="Arial" w:cs="Arial"/>
          <w:bCs/>
          <w:sz w:val="21"/>
          <w:szCs w:val="21"/>
          <w:lang w:eastAsia="en-US"/>
        </w:rPr>
        <w:t>nell</w:t>
      </w:r>
      <w:r w:rsidRPr="00FC2A8B">
        <w:rPr>
          <w:rFonts w:ascii="Arial" w:hAnsi="Arial" w:cs="Arial"/>
          <w:bCs/>
          <w:sz w:val="21"/>
          <w:szCs w:val="21"/>
          <w:lang w:eastAsia="en-US"/>
        </w:rPr>
        <w:t xml:space="preserve">’interscambio di prodotti non energetici </w:t>
      </w:r>
      <w:r w:rsidR="008A027F">
        <w:rPr>
          <w:rFonts w:ascii="Arial" w:hAnsi="Arial" w:cs="Arial"/>
          <w:bCs/>
          <w:sz w:val="21"/>
          <w:szCs w:val="21"/>
          <w:lang w:eastAsia="en-US"/>
        </w:rPr>
        <w:t>è elevato (</w:t>
      </w:r>
      <w:r w:rsidRPr="00FC2A8B">
        <w:rPr>
          <w:rFonts w:ascii="Arial" w:hAnsi="Arial" w:cs="Arial"/>
          <w:bCs/>
          <w:sz w:val="21"/>
          <w:szCs w:val="21"/>
          <w:lang w:eastAsia="en-US"/>
        </w:rPr>
        <w:t>11.051 milioni</w:t>
      </w:r>
      <w:r w:rsidR="008A027F">
        <w:rPr>
          <w:rFonts w:ascii="Arial" w:hAnsi="Arial" w:cs="Arial"/>
          <w:bCs/>
          <w:sz w:val="21"/>
          <w:szCs w:val="21"/>
          <w:lang w:eastAsia="en-US"/>
        </w:rPr>
        <w:t>)</w:t>
      </w:r>
      <w:r w:rsidR="001D4A08">
        <w:rPr>
          <w:rFonts w:ascii="Arial" w:hAnsi="Arial" w:cs="Arial"/>
          <w:bCs/>
          <w:sz w:val="21"/>
          <w:szCs w:val="21"/>
          <w:lang w:eastAsia="en-US"/>
        </w:rPr>
        <w:t xml:space="preserve"> </w:t>
      </w:r>
      <w:r w:rsidR="00E90FC4">
        <w:rPr>
          <w:rFonts w:ascii="Arial" w:hAnsi="Arial" w:cs="Arial"/>
          <w:bCs/>
          <w:sz w:val="21"/>
          <w:szCs w:val="21"/>
          <w:lang w:eastAsia="en-US"/>
        </w:rPr>
        <w:t xml:space="preserve">sebbene </w:t>
      </w:r>
      <w:r w:rsidR="005D11EF">
        <w:rPr>
          <w:rFonts w:ascii="Arial" w:hAnsi="Arial" w:cs="Arial"/>
          <w:bCs/>
          <w:sz w:val="21"/>
          <w:szCs w:val="21"/>
          <w:lang w:eastAsia="en-US"/>
        </w:rPr>
        <w:t>meno ampio</w:t>
      </w:r>
      <w:r w:rsidR="001D4A08">
        <w:rPr>
          <w:rFonts w:ascii="Arial" w:hAnsi="Arial" w:cs="Arial"/>
          <w:bCs/>
          <w:sz w:val="21"/>
          <w:szCs w:val="21"/>
          <w:lang w:eastAsia="en-US"/>
        </w:rPr>
        <w:t xml:space="preserve"> rispetto a luglio 2021 (</w:t>
      </w:r>
      <w:r w:rsidRPr="00FC2A8B">
        <w:rPr>
          <w:rFonts w:ascii="Arial" w:hAnsi="Arial" w:cs="Arial"/>
          <w:bCs/>
          <w:sz w:val="21"/>
          <w:szCs w:val="21"/>
          <w:lang w:eastAsia="en-US"/>
        </w:rPr>
        <w:t>12.391 milioni</w:t>
      </w:r>
      <w:r w:rsidR="001D4A08">
        <w:rPr>
          <w:rFonts w:ascii="Arial" w:hAnsi="Arial" w:cs="Arial"/>
          <w:bCs/>
          <w:sz w:val="21"/>
          <w:szCs w:val="21"/>
          <w:lang w:eastAsia="en-US"/>
        </w:rPr>
        <w:t>).</w:t>
      </w:r>
    </w:p>
    <w:p w14:paraId="1BF9EABA" w14:textId="589561E3" w:rsidR="00743B5C" w:rsidRPr="00743B5C" w:rsidRDefault="005D11EF" w:rsidP="00743B5C">
      <w:pPr>
        <w:pStyle w:val="Paragrafoelenco"/>
        <w:numPr>
          <w:ilvl w:val="0"/>
          <w:numId w:val="22"/>
        </w:numPr>
        <w:spacing w:after="240"/>
        <w:ind w:left="357" w:hanging="357"/>
        <w:contextualSpacing w:val="0"/>
        <w:rPr>
          <w:rFonts w:ascii="Arial" w:hAnsi="Arial" w:cs="Arial"/>
          <w:bCs/>
          <w:color w:val="auto"/>
          <w:sz w:val="21"/>
          <w:szCs w:val="21"/>
          <w:lang w:eastAsia="en-US"/>
        </w:rPr>
      </w:pPr>
      <w:r>
        <w:rPr>
          <w:rFonts w:ascii="Arial" w:hAnsi="Arial" w:cs="Arial"/>
          <w:bCs/>
          <w:sz w:val="21"/>
          <w:szCs w:val="21"/>
          <w:lang w:eastAsia="en-US"/>
        </w:rPr>
        <w:t>A</w:t>
      </w:r>
      <w:r w:rsidR="00EF12EE" w:rsidRPr="00E669CB">
        <w:rPr>
          <w:rFonts w:ascii="Arial" w:hAnsi="Arial" w:cs="Arial"/>
          <w:bCs/>
          <w:sz w:val="21"/>
          <w:szCs w:val="21"/>
          <w:lang w:eastAsia="en-US"/>
        </w:rPr>
        <w:t xml:space="preserve"> luglio</w:t>
      </w:r>
      <w:r w:rsidR="00EF12EE" w:rsidRPr="00E669CB">
        <w:rPr>
          <w:rFonts w:ascii="Arial" w:hAnsi="Arial" w:cs="Arial"/>
          <w:bCs/>
          <w:color w:val="auto"/>
          <w:sz w:val="21"/>
          <w:szCs w:val="21"/>
          <w:lang w:eastAsia="en-US"/>
        </w:rPr>
        <w:t xml:space="preserve"> 2022 i prezzi all’importazione crescono dello 0,9% su base mensile e del 20,6% su base annua</w:t>
      </w:r>
      <w:r w:rsidR="008A1491">
        <w:rPr>
          <w:rFonts w:ascii="Arial" w:hAnsi="Arial" w:cs="Arial"/>
          <w:bCs/>
          <w:color w:val="auto"/>
          <w:sz w:val="21"/>
          <w:szCs w:val="21"/>
          <w:lang w:eastAsia="en-US"/>
        </w:rPr>
        <w:t xml:space="preserve"> (era +21,5% a giugno</w:t>
      </w:r>
      <w:r w:rsidR="00D93F65">
        <w:rPr>
          <w:rFonts w:ascii="Arial" w:hAnsi="Arial" w:cs="Arial"/>
          <w:bCs/>
          <w:color w:val="auto"/>
          <w:sz w:val="21"/>
          <w:szCs w:val="21"/>
          <w:lang w:eastAsia="en-US"/>
        </w:rPr>
        <w:t>)</w:t>
      </w:r>
      <w:r w:rsidR="00EF12EE" w:rsidRPr="00E669CB">
        <w:rPr>
          <w:rFonts w:ascii="Arial" w:hAnsi="Arial" w:cs="Arial"/>
          <w:bCs/>
          <w:color w:val="auto"/>
          <w:sz w:val="21"/>
          <w:szCs w:val="21"/>
          <w:lang w:eastAsia="en-US"/>
        </w:rPr>
        <w:t>.</w:t>
      </w:r>
    </w:p>
    <w:p w14:paraId="43154CA7" w14:textId="50C10823" w:rsidR="00904ABD" w:rsidRPr="0060494A" w:rsidRDefault="00904ABD" w:rsidP="00D44754">
      <w:pPr>
        <w:tabs>
          <w:tab w:val="left" w:pos="426"/>
          <w:tab w:val="left" w:pos="1843"/>
        </w:tabs>
        <w:spacing w:before="80" w:line="230" w:lineRule="exact"/>
        <w:ind w:left="357"/>
        <w:jc w:val="both"/>
        <w:rPr>
          <w:rFonts w:ascii="Arial" w:hAnsi="Arial"/>
          <w:sz w:val="12"/>
          <w:szCs w:val="12"/>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6"/>
        <w:gridCol w:w="3290"/>
      </w:tblGrid>
      <w:tr w:rsidR="00F527AD" w:rsidRPr="002578CE" w14:paraId="78C8AE30" w14:textId="77777777" w:rsidTr="00053850">
        <w:trPr>
          <w:trHeight w:val="115"/>
        </w:trPr>
        <w:tc>
          <w:tcPr>
            <w:tcW w:w="6916" w:type="dxa"/>
            <w:vMerge w:val="restart"/>
            <w:tcBorders>
              <w:top w:val="nil"/>
              <w:left w:val="single" w:sz="4" w:space="0" w:color="FFFFFF"/>
              <w:right w:val="single" w:sz="48" w:space="0" w:color="FFFFFF"/>
            </w:tcBorders>
            <w:shd w:val="clear" w:color="auto" w:fill="D9D9D9"/>
          </w:tcPr>
          <w:p w14:paraId="232A7A30" w14:textId="1861F924" w:rsidR="00016974" w:rsidRDefault="00D44754" w:rsidP="00711FD1">
            <w:pPr>
              <w:pStyle w:val="Paragrafobase"/>
              <w:spacing w:before="120" w:line="140" w:lineRule="atLeast"/>
              <w:rPr>
                <w:rFonts w:ascii="Arial" w:hAnsi="Arial" w:cs="Arial"/>
                <w:sz w:val="21"/>
                <w:szCs w:val="21"/>
              </w:rPr>
            </w:pPr>
            <w:r w:rsidRPr="004F13FA">
              <w:rPr>
                <w:noProof/>
                <w:highlight w:val="yellow"/>
              </w:rPr>
              <w:drawing>
                <wp:anchor distT="0" distB="0" distL="114300" distR="114300" simplePos="0" relativeHeight="251658240" behindDoc="0" locked="0" layoutInCell="1" allowOverlap="1" wp14:anchorId="325B255E" wp14:editId="7CEDF05D">
                  <wp:simplePos x="0" y="0"/>
                  <wp:positionH relativeFrom="column">
                    <wp:posOffset>-128270</wp:posOffset>
                  </wp:positionH>
                  <wp:positionV relativeFrom="paragraph">
                    <wp:posOffset>-193675</wp:posOffset>
                  </wp:positionV>
                  <wp:extent cx="734060" cy="734060"/>
                  <wp:effectExtent l="0" t="0" r="8890" b="8890"/>
                  <wp:wrapNone/>
                  <wp:docPr id="260" name="Im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pic:spPr>
                      </pic:pic>
                    </a:graphicData>
                  </a:graphic>
                  <wp14:sizeRelH relativeFrom="margin">
                    <wp14:pctWidth>0</wp14:pctWidth>
                  </wp14:sizeRelH>
                  <wp14:sizeRelV relativeFrom="margin">
                    <wp14:pctHeight>0</wp14:pctHeight>
                  </wp14:sizeRelV>
                </wp:anchor>
              </w:drawing>
            </w:r>
            <w:r w:rsidR="005301CF">
              <w:rPr>
                <w:noProof/>
              </w:rPr>
              <w:drawing>
                <wp:anchor distT="0" distB="0" distL="114300" distR="114300" simplePos="0" relativeHeight="251659264" behindDoc="0" locked="0" layoutInCell="1" allowOverlap="1" wp14:anchorId="613FC820" wp14:editId="66ED5D32">
                  <wp:simplePos x="0" y="0"/>
                  <wp:positionH relativeFrom="column">
                    <wp:posOffset>5989320</wp:posOffset>
                  </wp:positionH>
                  <wp:positionV relativeFrom="paragraph">
                    <wp:posOffset>44450</wp:posOffset>
                  </wp:positionV>
                  <wp:extent cx="657225" cy="638175"/>
                  <wp:effectExtent l="0" t="0" r="0" b="0"/>
                  <wp:wrapNone/>
                  <wp:docPr id="259" name="Immagine 3" descr="Descrizione: iconeComunicat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iconeComunicati-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anchor>
              </w:drawing>
            </w:r>
            <w:r w:rsidR="00F527AD" w:rsidRPr="002578CE">
              <w:rPr>
                <w:rFonts w:ascii="Arial" w:hAnsi="Arial" w:cs="Arial"/>
                <w:sz w:val="22"/>
                <w:szCs w:val="22"/>
              </w:rPr>
              <w:t xml:space="preserve">                 </w:t>
            </w:r>
            <w:r w:rsidR="00F527AD">
              <w:rPr>
                <w:rFonts w:ascii="Arial" w:hAnsi="Arial" w:cs="Arial"/>
                <w:sz w:val="22"/>
                <w:szCs w:val="22"/>
              </w:rPr>
              <w:t xml:space="preserve"> </w:t>
            </w:r>
            <w:r w:rsidR="00F527AD" w:rsidRPr="00AF6380">
              <w:rPr>
                <w:rFonts w:ascii="Calibri" w:hAnsi="Calibri" w:cs="Arial"/>
                <w:color w:val="E41C18"/>
                <w:sz w:val="56"/>
                <w:szCs w:val="56"/>
              </w:rPr>
              <w:t>Il commento</w:t>
            </w:r>
          </w:p>
          <w:p w14:paraId="1756416F" w14:textId="77777777" w:rsidR="00166759" w:rsidRPr="000077FA" w:rsidRDefault="00166759" w:rsidP="00166759">
            <w:pPr>
              <w:jc w:val="both"/>
              <w:rPr>
                <w:rFonts w:ascii="Arial" w:hAnsi="Arial" w:cs="Arial"/>
                <w:sz w:val="6"/>
                <w:szCs w:val="6"/>
              </w:rPr>
            </w:pPr>
          </w:p>
          <w:p w14:paraId="3FFEE5C4" w14:textId="4EB978F6" w:rsidR="00FC2BBD" w:rsidRPr="00FC2BBD" w:rsidRDefault="00FC2BBD" w:rsidP="00743B5C">
            <w:pPr>
              <w:tabs>
                <w:tab w:val="left" w:pos="426"/>
                <w:tab w:val="left" w:pos="1843"/>
              </w:tabs>
              <w:spacing w:after="60" w:line="230" w:lineRule="exact"/>
              <w:jc w:val="both"/>
              <w:rPr>
                <w:rFonts w:ascii="Arial" w:hAnsi="Arial" w:cs="Arial"/>
                <w:sz w:val="21"/>
                <w:szCs w:val="21"/>
              </w:rPr>
            </w:pPr>
            <w:r w:rsidRPr="00FC2BBD">
              <w:rPr>
                <w:rFonts w:ascii="Arial" w:hAnsi="Arial" w:cs="Arial"/>
                <w:sz w:val="21"/>
                <w:szCs w:val="21"/>
              </w:rPr>
              <w:t>Dopo la battuta d’arresto di giugno, a luglio l’export segna u</w:t>
            </w:r>
            <w:r w:rsidR="0038149D">
              <w:rPr>
                <w:rFonts w:ascii="Arial" w:hAnsi="Arial" w:cs="Arial"/>
                <w:sz w:val="21"/>
                <w:szCs w:val="21"/>
              </w:rPr>
              <w:t xml:space="preserve">n </w:t>
            </w:r>
            <w:proofErr w:type="gramStart"/>
            <w:r w:rsidR="0038149D">
              <w:rPr>
                <w:rFonts w:ascii="Arial" w:hAnsi="Arial" w:cs="Arial"/>
                <w:sz w:val="21"/>
                <w:szCs w:val="21"/>
              </w:rPr>
              <w:t>nuovo  aumento</w:t>
            </w:r>
            <w:proofErr w:type="gramEnd"/>
            <w:r w:rsidR="0038149D">
              <w:rPr>
                <w:rFonts w:ascii="Arial" w:hAnsi="Arial" w:cs="Arial"/>
                <w:sz w:val="21"/>
                <w:szCs w:val="21"/>
              </w:rPr>
              <w:t xml:space="preserve"> su base mensile, spiegato per oltre la metà dall’incremento dei beni s</w:t>
            </w:r>
            <w:r w:rsidRPr="00FC2BBD">
              <w:rPr>
                <w:rFonts w:ascii="Arial" w:hAnsi="Arial" w:cs="Arial"/>
                <w:sz w:val="21"/>
                <w:szCs w:val="21"/>
              </w:rPr>
              <w:t>trumentali,</w:t>
            </w:r>
            <w:r w:rsidR="00A96DBE">
              <w:rPr>
                <w:rFonts w:ascii="Arial" w:hAnsi="Arial" w:cs="Arial"/>
                <w:sz w:val="21"/>
                <w:szCs w:val="21"/>
              </w:rPr>
              <w:t xml:space="preserve"> </w:t>
            </w:r>
            <w:r w:rsidR="0038149D">
              <w:rPr>
                <w:rFonts w:ascii="Arial" w:hAnsi="Arial" w:cs="Arial"/>
                <w:sz w:val="21"/>
                <w:szCs w:val="21"/>
              </w:rPr>
              <w:t>dovuto anche alla vendita di mezzi di navigazione marittima</w:t>
            </w:r>
            <w:r w:rsidR="001D4A08">
              <w:rPr>
                <w:rFonts w:ascii="Arial" w:hAnsi="Arial" w:cs="Arial"/>
                <w:sz w:val="21"/>
                <w:szCs w:val="21"/>
              </w:rPr>
              <w:t>.</w:t>
            </w:r>
            <w:r w:rsidRPr="00FC2BBD">
              <w:rPr>
                <w:rFonts w:ascii="Arial" w:hAnsi="Arial" w:cs="Arial"/>
                <w:sz w:val="21"/>
                <w:szCs w:val="21"/>
              </w:rPr>
              <w:t xml:space="preserve"> Nella media degli ultimi tre mesi, la dinamica congiunturale è molto positiva. </w:t>
            </w:r>
          </w:p>
          <w:p w14:paraId="6EC9A67A" w14:textId="0006D428" w:rsidR="001547AB" w:rsidRDefault="00EE6003" w:rsidP="00743B5C">
            <w:pPr>
              <w:tabs>
                <w:tab w:val="left" w:pos="426"/>
                <w:tab w:val="left" w:pos="1843"/>
              </w:tabs>
              <w:spacing w:after="60" w:line="230" w:lineRule="exact"/>
              <w:jc w:val="both"/>
              <w:rPr>
                <w:rFonts w:ascii="Arial" w:hAnsi="Arial" w:cs="Arial"/>
                <w:sz w:val="21"/>
                <w:szCs w:val="21"/>
              </w:rPr>
            </w:pPr>
            <w:r>
              <w:rPr>
                <w:rFonts w:ascii="Arial" w:hAnsi="Arial" w:cs="Arial"/>
                <w:sz w:val="21"/>
                <w:szCs w:val="21"/>
              </w:rPr>
              <w:t xml:space="preserve">Nei primi sette mesi del 2022, la </w:t>
            </w:r>
            <w:r w:rsidR="00BA2571">
              <w:rPr>
                <w:rFonts w:ascii="Arial" w:hAnsi="Arial" w:cs="Arial"/>
                <w:sz w:val="21"/>
                <w:szCs w:val="21"/>
              </w:rPr>
              <w:t xml:space="preserve">forte </w:t>
            </w:r>
            <w:r>
              <w:rPr>
                <w:rFonts w:ascii="Arial" w:hAnsi="Arial" w:cs="Arial"/>
                <w:sz w:val="21"/>
                <w:szCs w:val="21"/>
              </w:rPr>
              <w:t xml:space="preserve">crescita tendenziale dell’export italiano </w:t>
            </w:r>
            <w:r w:rsidR="001547AB">
              <w:rPr>
                <w:rFonts w:ascii="Arial" w:hAnsi="Arial" w:cs="Arial"/>
                <w:sz w:val="21"/>
                <w:szCs w:val="21"/>
              </w:rPr>
              <w:t xml:space="preserve">è in gran parte </w:t>
            </w:r>
            <w:r w:rsidR="00A57D8A">
              <w:rPr>
                <w:rFonts w:ascii="Arial" w:hAnsi="Arial" w:cs="Arial"/>
                <w:sz w:val="21"/>
                <w:szCs w:val="21"/>
              </w:rPr>
              <w:t xml:space="preserve">dovuta </w:t>
            </w:r>
            <w:r>
              <w:rPr>
                <w:rFonts w:ascii="Arial" w:hAnsi="Arial" w:cs="Arial"/>
                <w:sz w:val="21"/>
                <w:szCs w:val="21"/>
              </w:rPr>
              <w:t>ai</w:t>
            </w:r>
            <w:r w:rsidR="001547AB">
              <w:rPr>
                <w:rFonts w:ascii="Arial" w:hAnsi="Arial" w:cs="Arial"/>
                <w:sz w:val="21"/>
                <w:szCs w:val="21"/>
              </w:rPr>
              <w:t xml:space="preserve"> valori medi unitari (+20,6%) mentre i volumi crescono </w:t>
            </w:r>
            <w:r w:rsidR="00BA2571">
              <w:rPr>
                <w:rFonts w:ascii="Arial" w:hAnsi="Arial" w:cs="Arial"/>
                <w:sz w:val="21"/>
                <w:szCs w:val="21"/>
              </w:rPr>
              <w:t>a un ritmo modesto</w:t>
            </w:r>
            <w:r w:rsidR="007C5BFE">
              <w:rPr>
                <w:rFonts w:ascii="Arial" w:hAnsi="Arial" w:cs="Arial"/>
                <w:sz w:val="21"/>
                <w:szCs w:val="21"/>
              </w:rPr>
              <w:t xml:space="preserve"> </w:t>
            </w:r>
            <w:r w:rsidR="001547AB">
              <w:rPr>
                <w:rFonts w:ascii="Arial" w:hAnsi="Arial" w:cs="Arial"/>
                <w:sz w:val="21"/>
                <w:szCs w:val="21"/>
              </w:rPr>
              <w:t xml:space="preserve">(+0,9%). </w:t>
            </w:r>
          </w:p>
          <w:p w14:paraId="35762F7F" w14:textId="77777777" w:rsidR="00743B5C" w:rsidRDefault="00A57D8A" w:rsidP="00743B5C">
            <w:pPr>
              <w:tabs>
                <w:tab w:val="left" w:pos="426"/>
                <w:tab w:val="left" w:pos="1843"/>
              </w:tabs>
              <w:spacing w:after="60" w:line="230" w:lineRule="exact"/>
              <w:jc w:val="both"/>
              <w:rPr>
                <w:rFonts w:ascii="Arial" w:hAnsi="Arial" w:cs="Arial"/>
                <w:sz w:val="21"/>
                <w:szCs w:val="21"/>
              </w:rPr>
            </w:pPr>
            <w:r>
              <w:rPr>
                <w:rFonts w:ascii="Arial" w:hAnsi="Arial" w:cs="Arial"/>
                <w:sz w:val="21"/>
                <w:szCs w:val="21"/>
              </w:rPr>
              <w:t xml:space="preserve">Gli acquisti di prodotti energetici continuano a </w:t>
            </w:r>
            <w:r w:rsidR="00AA138B">
              <w:rPr>
                <w:rFonts w:ascii="Arial" w:hAnsi="Arial" w:cs="Arial"/>
                <w:sz w:val="21"/>
                <w:szCs w:val="21"/>
              </w:rPr>
              <w:t>trainare</w:t>
            </w:r>
            <w:r>
              <w:rPr>
                <w:rFonts w:ascii="Arial" w:hAnsi="Arial" w:cs="Arial"/>
                <w:sz w:val="21"/>
                <w:szCs w:val="21"/>
              </w:rPr>
              <w:t xml:space="preserve"> la crescita dell</w:t>
            </w:r>
            <w:r w:rsidR="00BA2571">
              <w:rPr>
                <w:rFonts w:ascii="Arial" w:hAnsi="Arial" w:cs="Arial"/>
                <w:sz w:val="21"/>
                <w:szCs w:val="21"/>
              </w:rPr>
              <w:t>’import</w:t>
            </w:r>
            <w:r w:rsidR="00FC2BBD" w:rsidRPr="00E90FC4">
              <w:rPr>
                <w:rFonts w:ascii="Arial" w:hAnsi="Arial" w:cs="Arial"/>
                <w:sz w:val="21"/>
                <w:szCs w:val="21"/>
              </w:rPr>
              <w:t xml:space="preserve">. Il deficit energetico si amplia ulteriormente </w:t>
            </w:r>
            <w:r w:rsidR="00E90FC4" w:rsidRPr="00D93F65">
              <w:rPr>
                <w:rFonts w:ascii="Arial" w:hAnsi="Arial" w:cs="Arial"/>
                <w:sz w:val="21"/>
                <w:szCs w:val="21"/>
              </w:rPr>
              <w:t xml:space="preserve">soprattutto </w:t>
            </w:r>
            <w:r w:rsidR="001D2F90" w:rsidRPr="00D93F65">
              <w:rPr>
                <w:rFonts w:ascii="Arial" w:hAnsi="Arial" w:cs="Arial"/>
                <w:sz w:val="21"/>
                <w:szCs w:val="21"/>
              </w:rPr>
              <w:t xml:space="preserve">a </w:t>
            </w:r>
            <w:r w:rsidR="00151214" w:rsidRPr="00D93F65">
              <w:rPr>
                <w:rFonts w:ascii="Arial" w:hAnsi="Arial" w:cs="Arial"/>
                <w:sz w:val="21"/>
                <w:szCs w:val="21"/>
              </w:rPr>
              <w:t>causa</w:t>
            </w:r>
            <w:r w:rsidR="00FC2BBD" w:rsidRPr="00D93F65">
              <w:rPr>
                <w:rFonts w:ascii="Arial" w:hAnsi="Arial" w:cs="Arial"/>
                <w:sz w:val="21"/>
                <w:szCs w:val="21"/>
              </w:rPr>
              <w:t xml:space="preserve"> dei rialzi dei valori medi unitari all’import di gas ed energia elettrica</w:t>
            </w:r>
            <w:r w:rsidR="00B335C1">
              <w:rPr>
                <w:rFonts w:ascii="Arial" w:hAnsi="Arial" w:cs="Arial"/>
                <w:sz w:val="21"/>
                <w:szCs w:val="21"/>
              </w:rPr>
              <w:t>.</w:t>
            </w:r>
          </w:p>
          <w:p w14:paraId="082F83DB" w14:textId="3D9E7985" w:rsidR="004E7A1D" w:rsidRPr="00B16945" w:rsidRDefault="00CB5BAC" w:rsidP="00743B5C">
            <w:pPr>
              <w:tabs>
                <w:tab w:val="left" w:pos="426"/>
                <w:tab w:val="left" w:pos="1843"/>
              </w:tabs>
              <w:spacing w:after="60" w:line="230" w:lineRule="exact"/>
              <w:jc w:val="both"/>
              <w:rPr>
                <w:rFonts w:ascii="Arial" w:hAnsi="Arial" w:cstheme="minorBidi"/>
                <w:kern w:val="28"/>
                <w:sz w:val="21"/>
                <w:szCs w:val="21"/>
              </w:rPr>
            </w:pPr>
            <w:r w:rsidRPr="00D93F65">
              <w:rPr>
                <w:rFonts w:ascii="Arial" w:hAnsi="Arial" w:cs="Arial"/>
                <w:sz w:val="21"/>
                <w:szCs w:val="21"/>
              </w:rPr>
              <w:t>A</w:t>
            </w:r>
            <w:r w:rsidR="00F14685" w:rsidRPr="00D93F65">
              <w:rPr>
                <w:rFonts w:ascii="Arial" w:hAnsi="Arial" w:cs="Arial"/>
                <w:sz w:val="21"/>
                <w:szCs w:val="21"/>
              </w:rPr>
              <w:t xml:space="preserve"> </w:t>
            </w:r>
            <w:r w:rsidR="0038149D" w:rsidRPr="00D93F65">
              <w:rPr>
                <w:rFonts w:ascii="Arial" w:hAnsi="Arial" w:cs="Arial"/>
                <w:sz w:val="21"/>
                <w:szCs w:val="21"/>
              </w:rPr>
              <w:t xml:space="preserve">luglio, i prezzi all’import </w:t>
            </w:r>
            <w:r w:rsidR="00BA2571">
              <w:rPr>
                <w:rFonts w:ascii="Arial" w:hAnsi="Arial" w:cs="Arial"/>
                <w:sz w:val="21"/>
                <w:szCs w:val="21"/>
              </w:rPr>
              <w:t xml:space="preserve">si confermano in aumento </w:t>
            </w:r>
            <w:r w:rsidR="005D11EF" w:rsidRPr="00D93F65">
              <w:rPr>
                <w:rFonts w:ascii="Arial" w:hAnsi="Arial" w:cs="Arial"/>
                <w:sz w:val="21"/>
                <w:szCs w:val="21"/>
              </w:rPr>
              <w:t>su base mensile</w:t>
            </w:r>
            <w:r w:rsidR="00151214" w:rsidRPr="00D93F65">
              <w:rPr>
                <w:rFonts w:ascii="Arial" w:hAnsi="Arial" w:cs="Arial"/>
                <w:sz w:val="21"/>
                <w:szCs w:val="21"/>
              </w:rPr>
              <w:t xml:space="preserve">, spinti </w:t>
            </w:r>
            <w:r w:rsidR="005D11EF" w:rsidRPr="00D93F65">
              <w:rPr>
                <w:rFonts w:ascii="Arial" w:hAnsi="Arial" w:cs="Arial"/>
                <w:sz w:val="21"/>
                <w:szCs w:val="21"/>
              </w:rPr>
              <w:t xml:space="preserve">in particolare </w:t>
            </w:r>
            <w:r w:rsidR="00151214" w:rsidRPr="00D93F65">
              <w:rPr>
                <w:rFonts w:ascii="Arial" w:hAnsi="Arial" w:cs="Arial"/>
                <w:sz w:val="21"/>
                <w:szCs w:val="21"/>
              </w:rPr>
              <w:t>da</w:t>
            </w:r>
            <w:r w:rsidR="005D11EF" w:rsidRPr="00D93F65">
              <w:rPr>
                <w:rFonts w:ascii="Arial" w:hAnsi="Arial" w:cs="Arial"/>
                <w:sz w:val="21"/>
                <w:szCs w:val="21"/>
              </w:rPr>
              <w:t>i</w:t>
            </w:r>
            <w:r w:rsidR="00151214" w:rsidRPr="00D93F65">
              <w:rPr>
                <w:rFonts w:ascii="Arial" w:hAnsi="Arial" w:cs="Arial"/>
                <w:sz w:val="21"/>
                <w:szCs w:val="21"/>
              </w:rPr>
              <w:t xml:space="preserve"> rialzi </w:t>
            </w:r>
            <w:r w:rsidR="00D93F65" w:rsidRPr="00D93F65">
              <w:rPr>
                <w:rFonts w:ascii="Arial" w:hAnsi="Arial" w:cs="Arial"/>
                <w:sz w:val="21"/>
                <w:szCs w:val="21"/>
              </w:rPr>
              <w:t xml:space="preserve">dei prezzi </w:t>
            </w:r>
            <w:r w:rsidR="005D11EF" w:rsidRPr="00D93F65">
              <w:rPr>
                <w:rFonts w:ascii="Arial" w:hAnsi="Arial" w:cs="Arial"/>
                <w:sz w:val="21"/>
                <w:szCs w:val="21"/>
              </w:rPr>
              <w:t>d</w:t>
            </w:r>
            <w:r w:rsidR="00743B5C">
              <w:rPr>
                <w:rFonts w:ascii="Arial" w:hAnsi="Arial" w:cs="Arial"/>
                <w:sz w:val="21"/>
                <w:szCs w:val="21"/>
              </w:rPr>
              <w:t>e</w:t>
            </w:r>
            <w:r w:rsidR="005D11EF" w:rsidRPr="00D93F65">
              <w:rPr>
                <w:rFonts w:ascii="Arial" w:hAnsi="Arial" w:cs="Arial"/>
                <w:sz w:val="21"/>
                <w:szCs w:val="21"/>
              </w:rPr>
              <w:t xml:space="preserve">i beni energetici e </w:t>
            </w:r>
            <w:r w:rsidR="00B335C1">
              <w:rPr>
                <w:rFonts w:ascii="Arial" w:hAnsi="Arial" w:cs="Arial"/>
                <w:sz w:val="21"/>
                <w:szCs w:val="21"/>
              </w:rPr>
              <w:t xml:space="preserve">dei </w:t>
            </w:r>
            <w:r w:rsidR="005D11EF" w:rsidRPr="00D93F65">
              <w:rPr>
                <w:rFonts w:ascii="Arial" w:hAnsi="Arial" w:cs="Arial"/>
                <w:sz w:val="21"/>
                <w:szCs w:val="21"/>
              </w:rPr>
              <w:t>beni di consumo non durevoli</w:t>
            </w:r>
            <w:r w:rsidR="00B335C1">
              <w:rPr>
                <w:rFonts w:ascii="Arial" w:hAnsi="Arial" w:cs="Arial"/>
                <w:sz w:val="21"/>
                <w:szCs w:val="21"/>
              </w:rPr>
              <w:t xml:space="preserve">. </w:t>
            </w:r>
          </w:p>
        </w:tc>
        <w:tc>
          <w:tcPr>
            <w:tcW w:w="3290" w:type="dxa"/>
            <w:tcBorders>
              <w:top w:val="nil"/>
              <w:left w:val="single" w:sz="48" w:space="0" w:color="FFFFFF"/>
              <w:bottom w:val="single" w:sz="36" w:space="0" w:color="FFFFFF"/>
              <w:right w:val="single" w:sz="36" w:space="0" w:color="FFFFFF"/>
            </w:tcBorders>
            <w:shd w:val="clear" w:color="auto" w:fill="E31C18"/>
          </w:tcPr>
          <w:p w14:paraId="21E22E65" w14:textId="77777777" w:rsidR="00F527AD" w:rsidRPr="00AC2483" w:rsidRDefault="00F527AD" w:rsidP="00FB50EB">
            <w:pPr>
              <w:pStyle w:val="Paragrafobase"/>
              <w:spacing w:before="200" w:line="320" w:lineRule="exact"/>
              <w:ind w:left="176"/>
              <w:rPr>
                <w:rFonts w:ascii="Calibri" w:hAnsi="Calibri" w:cs="Arial"/>
                <w:b/>
                <w:color w:val="FFFFFF"/>
                <w:sz w:val="28"/>
                <w:szCs w:val="28"/>
              </w:rPr>
            </w:pPr>
            <w:r w:rsidRPr="00AC2483">
              <w:rPr>
                <w:rFonts w:ascii="Calibri" w:hAnsi="Calibri" w:cs="Arial"/>
                <w:b/>
                <w:color w:val="FFFFFF"/>
                <w:sz w:val="28"/>
                <w:szCs w:val="28"/>
              </w:rPr>
              <w:t>PROSSIMA</w:t>
            </w:r>
          </w:p>
          <w:p w14:paraId="7D1A9741" w14:textId="77777777" w:rsidR="00F527AD" w:rsidRDefault="00F527AD" w:rsidP="00FB50EB">
            <w:pPr>
              <w:pStyle w:val="Paragrafobase"/>
              <w:spacing w:line="320" w:lineRule="exact"/>
              <w:ind w:left="175"/>
              <w:rPr>
                <w:rFonts w:ascii="Calibri" w:hAnsi="Calibri" w:cs="Arial"/>
                <w:b/>
                <w:color w:val="FFFFFF"/>
                <w:sz w:val="28"/>
                <w:szCs w:val="28"/>
              </w:rPr>
            </w:pPr>
            <w:r w:rsidRPr="00AC2483">
              <w:rPr>
                <w:rFonts w:ascii="Calibri" w:hAnsi="Calibri" w:cs="Arial"/>
                <w:b/>
                <w:color w:val="FFFFFF"/>
                <w:sz w:val="28"/>
                <w:szCs w:val="28"/>
              </w:rPr>
              <w:t>DIFFUSIONE</w:t>
            </w:r>
          </w:p>
          <w:p w14:paraId="00298C28" w14:textId="77777777" w:rsidR="00F527AD" w:rsidRPr="00C32401" w:rsidRDefault="00F527AD" w:rsidP="00FB50EB">
            <w:pPr>
              <w:pStyle w:val="Paragrafobase"/>
              <w:spacing w:line="320" w:lineRule="exact"/>
              <w:ind w:left="175"/>
              <w:rPr>
                <w:rStyle w:val="Collegamentoipertestuale"/>
                <w:rFonts w:ascii="Arial" w:hAnsi="Arial" w:cs="Arial"/>
                <w:color w:val="FFFFFF"/>
                <w:sz w:val="20"/>
                <w:szCs w:val="20"/>
              </w:rPr>
            </w:pPr>
          </w:p>
          <w:p w14:paraId="54F2919A" w14:textId="47C8585A" w:rsidR="00F527AD" w:rsidRPr="002578CE" w:rsidRDefault="00236734" w:rsidP="00966E14">
            <w:pPr>
              <w:pStyle w:val="Paragrafobase"/>
              <w:spacing w:before="120" w:after="120" w:line="160" w:lineRule="atLeast"/>
              <w:ind w:left="176"/>
              <w:rPr>
                <w:rFonts w:ascii="Arial" w:hAnsi="Arial" w:cs="Arial"/>
                <w:sz w:val="21"/>
                <w:szCs w:val="21"/>
              </w:rPr>
            </w:pPr>
            <w:r>
              <w:rPr>
                <w:rFonts w:ascii="Arial Narrow" w:hAnsi="Arial Narrow" w:cs="Arial"/>
                <w:color w:val="FFFFFF"/>
                <w:sz w:val="22"/>
                <w:szCs w:val="22"/>
              </w:rPr>
              <w:t>1</w:t>
            </w:r>
            <w:r w:rsidR="00966E14">
              <w:rPr>
                <w:rFonts w:ascii="Arial Narrow" w:hAnsi="Arial Narrow" w:cs="Arial"/>
                <w:color w:val="FFFFFF"/>
                <w:sz w:val="22"/>
                <w:szCs w:val="22"/>
              </w:rPr>
              <w:t>8</w:t>
            </w:r>
            <w:r w:rsidR="006C7BC0">
              <w:rPr>
                <w:rFonts w:ascii="Arial Narrow" w:hAnsi="Arial Narrow" w:cs="Arial"/>
                <w:color w:val="FFFFFF"/>
                <w:sz w:val="22"/>
                <w:szCs w:val="22"/>
              </w:rPr>
              <w:t xml:space="preserve"> </w:t>
            </w:r>
            <w:proofErr w:type="gramStart"/>
            <w:r w:rsidR="00966E14">
              <w:rPr>
                <w:rFonts w:ascii="Arial Narrow" w:hAnsi="Arial Narrow" w:cs="Arial"/>
                <w:color w:val="FFFFFF"/>
                <w:sz w:val="22"/>
                <w:szCs w:val="22"/>
              </w:rPr>
              <w:t>Ottobre</w:t>
            </w:r>
            <w:proofErr w:type="gramEnd"/>
            <w:r w:rsidR="00A45FC3">
              <w:rPr>
                <w:rFonts w:ascii="Arial Narrow" w:hAnsi="Arial Narrow" w:cs="Arial"/>
                <w:color w:val="FFFFFF"/>
                <w:sz w:val="22"/>
                <w:szCs w:val="22"/>
              </w:rPr>
              <w:t xml:space="preserve"> </w:t>
            </w:r>
            <w:r w:rsidR="009C7615">
              <w:rPr>
                <w:rFonts w:ascii="Arial Narrow" w:hAnsi="Arial Narrow" w:cs="Arial"/>
                <w:color w:val="FFFFFF"/>
                <w:sz w:val="22"/>
                <w:szCs w:val="22"/>
              </w:rPr>
              <w:t>202</w:t>
            </w:r>
            <w:r w:rsidR="00CB7383">
              <w:rPr>
                <w:rFonts w:ascii="Arial Narrow" w:hAnsi="Arial Narrow" w:cs="Arial"/>
                <w:color w:val="FFFFFF"/>
                <w:sz w:val="22"/>
                <w:szCs w:val="22"/>
              </w:rPr>
              <w:t>2</w:t>
            </w:r>
          </w:p>
        </w:tc>
      </w:tr>
      <w:tr w:rsidR="00F527AD" w:rsidRPr="002578CE" w14:paraId="75B7B8EB" w14:textId="77777777" w:rsidTr="00053850">
        <w:trPr>
          <w:trHeight w:val="115"/>
        </w:trPr>
        <w:tc>
          <w:tcPr>
            <w:tcW w:w="6916" w:type="dxa"/>
            <w:vMerge/>
            <w:tcBorders>
              <w:left w:val="single" w:sz="4" w:space="0" w:color="FFFFFF"/>
              <w:right w:val="single" w:sz="48" w:space="0" w:color="FFFFFF"/>
            </w:tcBorders>
            <w:shd w:val="clear" w:color="auto" w:fill="D9D9D9"/>
          </w:tcPr>
          <w:p w14:paraId="45CF6F95" w14:textId="77777777" w:rsidR="00F527AD" w:rsidRPr="002578CE" w:rsidRDefault="00F527AD" w:rsidP="00FB50EB">
            <w:pPr>
              <w:tabs>
                <w:tab w:val="left" w:pos="284"/>
                <w:tab w:val="left" w:pos="709"/>
              </w:tabs>
              <w:spacing w:after="120" w:line="230" w:lineRule="exact"/>
              <w:jc w:val="both"/>
              <w:rPr>
                <w:rFonts w:ascii="Arial" w:hAnsi="Arial" w:cs="Arial"/>
                <w:sz w:val="21"/>
                <w:szCs w:val="21"/>
              </w:rPr>
            </w:pPr>
          </w:p>
        </w:tc>
        <w:tc>
          <w:tcPr>
            <w:tcW w:w="3290" w:type="dxa"/>
            <w:tcBorders>
              <w:top w:val="single" w:sz="36" w:space="0" w:color="FFFFFF"/>
              <w:left w:val="single" w:sz="48" w:space="0" w:color="FFFFFF"/>
              <w:bottom w:val="single" w:sz="36" w:space="0" w:color="FFFFFF"/>
              <w:right w:val="single" w:sz="36" w:space="0" w:color="FFFFFF"/>
            </w:tcBorders>
            <w:shd w:val="clear" w:color="auto" w:fill="auto"/>
          </w:tcPr>
          <w:p w14:paraId="41F8829E" w14:textId="77777777" w:rsidR="00F527AD" w:rsidRPr="002578CE" w:rsidRDefault="005301CF" w:rsidP="0056309F">
            <w:pPr>
              <w:pStyle w:val="Paragrafobase"/>
              <w:spacing w:before="120" w:line="240" w:lineRule="exact"/>
              <w:rPr>
                <w:rFonts w:ascii="Arial" w:hAnsi="Arial" w:cs="Arial"/>
                <w:sz w:val="21"/>
                <w:szCs w:val="21"/>
              </w:rPr>
            </w:pPr>
            <w:r>
              <w:rPr>
                <w:rFonts w:ascii="Arial" w:hAnsi="Arial" w:cs="Arial"/>
                <w:noProof/>
                <w:sz w:val="21"/>
                <w:szCs w:val="21"/>
              </w:rPr>
              <w:drawing>
                <wp:anchor distT="0" distB="0" distL="114300" distR="114300" simplePos="0" relativeHeight="251657216" behindDoc="0" locked="0" layoutInCell="1" allowOverlap="1" wp14:anchorId="3B1D44BF" wp14:editId="6CE31758">
                  <wp:simplePos x="0" y="0"/>
                  <wp:positionH relativeFrom="column">
                    <wp:posOffset>1497330</wp:posOffset>
                  </wp:positionH>
                  <wp:positionV relativeFrom="paragraph">
                    <wp:posOffset>49530</wp:posOffset>
                  </wp:positionV>
                  <wp:extent cx="647700" cy="628650"/>
                  <wp:effectExtent l="0" t="0" r="0" b="0"/>
                  <wp:wrapNone/>
                  <wp:docPr id="258" name="Immagine 9" descr="Descrizione: iconeComunicat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iconeComunicati-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anchor>
              </w:drawing>
            </w:r>
          </w:p>
        </w:tc>
      </w:tr>
      <w:tr w:rsidR="00F527AD" w:rsidRPr="005E57AA" w14:paraId="7DA5D134" w14:textId="77777777" w:rsidTr="00053850">
        <w:trPr>
          <w:trHeight w:val="115"/>
        </w:trPr>
        <w:tc>
          <w:tcPr>
            <w:tcW w:w="6916" w:type="dxa"/>
            <w:vMerge/>
            <w:tcBorders>
              <w:left w:val="single" w:sz="4" w:space="0" w:color="FFFFFF"/>
              <w:bottom w:val="nil"/>
              <w:right w:val="single" w:sz="48" w:space="0" w:color="FFFFFF"/>
            </w:tcBorders>
            <w:shd w:val="clear" w:color="auto" w:fill="D9D9D9"/>
          </w:tcPr>
          <w:p w14:paraId="243E0130" w14:textId="77777777" w:rsidR="00F527AD" w:rsidRPr="002578CE" w:rsidRDefault="00F527AD" w:rsidP="00FB50EB">
            <w:pPr>
              <w:tabs>
                <w:tab w:val="left" w:pos="284"/>
                <w:tab w:val="left" w:pos="709"/>
              </w:tabs>
              <w:spacing w:after="120" w:line="230" w:lineRule="exact"/>
              <w:jc w:val="both"/>
              <w:rPr>
                <w:rFonts w:ascii="Arial" w:hAnsi="Arial" w:cs="Arial"/>
                <w:sz w:val="21"/>
                <w:szCs w:val="21"/>
              </w:rPr>
            </w:pPr>
          </w:p>
        </w:tc>
        <w:tc>
          <w:tcPr>
            <w:tcW w:w="3290" w:type="dxa"/>
            <w:tcBorders>
              <w:top w:val="single" w:sz="36" w:space="0" w:color="FFFFFF"/>
              <w:left w:val="single" w:sz="48" w:space="0" w:color="FFFFFF"/>
              <w:bottom w:val="single" w:sz="36" w:space="0" w:color="FFFFFF"/>
              <w:right w:val="single" w:sz="36" w:space="0" w:color="FFFFFF"/>
            </w:tcBorders>
            <w:shd w:val="clear" w:color="auto" w:fill="E31C18"/>
          </w:tcPr>
          <w:p w14:paraId="79C064FA" w14:textId="50AF6CF6" w:rsidR="00F527AD" w:rsidRPr="005B3FDB" w:rsidRDefault="00F527AD" w:rsidP="00FB50EB">
            <w:pPr>
              <w:pStyle w:val="Paragrafobase"/>
              <w:spacing w:before="160" w:line="320" w:lineRule="exact"/>
              <w:ind w:left="175"/>
              <w:rPr>
                <w:rFonts w:ascii="Calibri" w:hAnsi="Calibri" w:cs="Arial"/>
                <w:b/>
                <w:color w:val="FFFFFF"/>
                <w:sz w:val="28"/>
                <w:szCs w:val="28"/>
                <w:lang w:val="en-US"/>
              </w:rPr>
            </w:pPr>
            <w:r w:rsidRPr="005B3FDB">
              <w:rPr>
                <w:rFonts w:ascii="Calibri" w:hAnsi="Calibri" w:cs="Arial"/>
                <w:b/>
                <w:color w:val="FFFFFF"/>
                <w:sz w:val="28"/>
                <w:szCs w:val="28"/>
                <w:lang w:val="en-US"/>
              </w:rPr>
              <w:t xml:space="preserve">Link </w:t>
            </w:r>
            <w:proofErr w:type="spellStart"/>
            <w:r w:rsidRPr="005B3FDB">
              <w:rPr>
                <w:rFonts w:ascii="Calibri" w:hAnsi="Calibri" w:cs="Arial"/>
                <w:b/>
                <w:color w:val="FFFFFF"/>
                <w:sz w:val="28"/>
                <w:szCs w:val="28"/>
                <w:lang w:val="en-US"/>
              </w:rPr>
              <w:t>utili</w:t>
            </w:r>
            <w:proofErr w:type="spellEnd"/>
          </w:p>
          <w:p w14:paraId="74F3F47A" w14:textId="77777777" w:rsidR="004E7A1D" w:rsidRPr="005B3FDB" w:rsidRDefault="004E7A1D" w:rsidP="004E7A1D">
            <w:pPr>
              <w:pStyle w:val="Paragrafobase"/>
              <w:spacing w:line="320" w:lineRule="exact"/>
              <w:ind w:left="176"/>
              <w:rPr>
                <w:rFonts w:ascii="Calibri" w:hAnsi="Calibri" w:cs="Arial"/>
                <w:b/>
                <w:color w:val="FFFFFF"/>
                <w:sz w:val="10"/>
                <w:szCs w:val="10"/>
                <w:lang w:val="en-US"/>
              </w:rPr>
            </w:pPr>
          </w:p>
          <w:p w14:paraId="36DE46D0" w14:textId="77777777" w:rsidR="000876D8" w:rsidRPr="005B3FDB" w:rsidRDefault="00000000" w:rsidP="000876D8">
            <w:pPr>
              <w:pStyle w:val="Paragrafobase"/>
              <w:spacing w:before="120" w:line="240" w:lineRule="exact"/>
              <w:ind w:left="176"/>
              <w:rPr>
                <w:rStyle w:val="Collegamentoipertestuale"/>
                <w:rFonts w:ascii="Arial Narrow" w:hAnsi="Arial Narrow" w:cs="Arial"/>
                <w:color w:val="FFFFFF"/>
                <w:sz w:val="22"/>
                <w:szCs w:val="22"/>
                <w:lang w:val="en-US"/>
              </w:rPr>
            </w:pPr>
            <w:hyperlink r:id="rId16" w:history="1">
              <w:r w:rsidR="000876D8" w:rsidRPr="005B3FDB">
                <w:rPr>
                  <w:rStyle w:val="Collegamentoipertestuale"/>
                  <w:rFonts w:ascii="Arial Narrow" w:hAnsi="Arial Narrow" w:cs="Arial"/>
                  <w:color w:val="FFFFFF"/>
                  <w:sz w:val="22"/>
                  <w:szCs w:val="22"/>
                  <w:lang w:val="en-US"/>
                </w:rPr>
                <w:t>http://dati.istat.it/</w:t>
              </w:r>
            </w:hyperlink>
          </w:p>
          <w:p w14:paraId="084F61B9" w14:textId="77777777" w:rsidR="000876D8" w:rsidRPr="00AF6380" w:rsidRDefault="00000000" w:rsidP="000876D8">
            <w:pPr>
              <w:pStyle w:val="Paragrafobase"/>
              <w:spacing w:before="120" w:line="240" w:lineRule="exact"/>
              <w:ind w:left="175"/>
              <w:rPr>
                <w:rStyle w:val="Collegamentoipertestuale"/>
                <w:rFonts w:ascii="Arial Narrow" w:hAnsi="Arial Narrow" w:cs="Arial"/>
                <w:color w:val="FFFFFF"/>
                <w:sz w:val="22"/>
                <w:szCs w:val="22"/>
                <w:lang w:val="en-US"/>
              </w:rPr>
            </w:pPr>
            <w:hyperlink r:id="rId17" w:history="1">
              <w:r w:rsidR="000876D8" w:rsidRPr="00AF6380">
                <w:rPr>
                  <w:rStyle w:val="Collegamentoipertestuale"/>
                  <w:rFonts w:ascii="Arial Narrow" w:hAnsi="Arial Narrow" w:cs="Arial"/>
                  <w:color w:val="FFFFFF"/>
                  <w:sz w:val="22"/>
                  <w:szCs w:val="22"/>
                  <w:lang w:val="en-US"/>
                </w:rPr>
                <w:t>http://www.istat.it/it/congiuntura</w:t>
              </w:r>
            </w:hyperlink>
          </w:p>
          <w:p w14:paraId="3DD3B3CF" w14:textId="1FD42BFE" w:rsidR="004E7A1D" w:rsidRPr="000077FA" w:rsidRDefault="00000000" w:rsidP="000077FA">
            <w:pPr>
              <w:pStyle w:val="Paragrafobase"/>
              <w:spacing w:before="120" w:line="240" w:lineRule="exact"/>
              <w:ind w:left="176"/>
              <w:rPr>
                <w:rFonts w:ascii="Arial Narrow" w:hAnsi="Arial Narrow" w:cs="Arial"/>
                <w:color w:val="FFFFFF"/>
                <w:sz w:val="22"/>
                <w:szCs w:val="22"/>
                <w:u w:val="single"/>
                <w:lang w:val="en-US"/>
              </w:rPr>
            </w:pPr>
            <w:hyperlink r:id="rId18" w:history="1">
              <w:r w:rsidR="000876D8" w:rsidRPr="00AF6380">
                <w:rPr>
                  <w:rStyle w:val="Collegamentoipertestuale"/>
                  <w:rFonts w:ascii="Arial Narrow" w:hAnsi="Arial Narrow" w:cs="Arial"/>
                  <w:color w:val="FFFFFF"/>
                  <w:sz w:val="22"/>
                  <w:szCs w:val="22"/>
                  <w:lang w:val="en-US"/>
                </w:rPr>
                <w:t>https://www.coeweb.istat.it</w:t>
              </w:r>
            </w:hyperlink>
          </w:p>
        </w:tc>
      </w:tr>
    </w:tbl>
    <w:p w14:paraId="098866E2" w14:textId="5AB38CED" w:rsidR="00743B5C" w:rsidRPr="009C7762" w:rsidRDefault="00743B5C" w:rsidP="00DC76B3">
      <w:pPr>
        <w:tabs>
          <w:tab w:val="left" w:pos="284"/>
        </w:tabs>
        <w:rPr>
          <w:rFonts w:ascii="Arial Narrow" w:hAnsi="Arial Narrow" w:cs="Arial"/>
          <w:b/>
          <w:color w:val="E42618"/>
          <w:sz w:val="22"/>
          <w:szCs w:val="22"/>
          <w:lang w:val="en-US"/>
        </w:rPr>
      </w:pPr>
    </w:p>
    <w:p w14:paraId="3532568F" w14:textId="437D48ED" w:rsidR="00743B5C" w:rsidRPr="009C7762" w:rsidRDefault="00743B5C" w:rsidP="00DC76B3">
      <w:pPr>
        <w:tabs>
          <w:tab w:val="left" w:pos="284"/>
        </w:tabs>
        <w:rPr>
          <w:rFonts w:ascii="Arial Narrow" w:hAnsi="Arial Narrow" w:cs="Arial"/>
          <w:b/>
          <w:color w:val="E42618"/>
          <w:sz w:val="22"/>
          <w:szCs w:val="22"/>
          <w:lang w:val="en-US"/>
        </w:rPr>
      </w:pPr>
    </w:p>
    <w:p w14:paraId="3863803E" w14:textId="49025FD8" w:rsidR="00743B5C" w:rsidRPr="009C7762" w:rsidRDefault="00743B5C" w:rsidP="00DC76B3">
      <w:pPr>
        <w:tabs>
          <w:tab w:val="left" w:pos="284"/>
        </w:tabs>
        <w:rPr>
          <w:rFonts w:ascii="Arial Narrow" w:hAnsi="Arial Narrow" w:cs="Arial"/>
          <w:b/>
          <w:color w:val="E42618"/>
          <w:sz w:val="22"/>
          <w:szCs w:val="22"/>
          <w:lang w:val="en-US"/>
        </w:rPr>
      </w:pPr>
    </w:p>
    <w:p w14:paraId="6381716D" w14:textId="26864EC3" w:rsidR="00787294" w:rsidRDefault="00833A77" w:rsidP="00DC76B3">
      <w:pPr>
        <w:tabs>
          <w:tab w:val="left" w:pos="284"/>
        </w:tabs>
        <w:rPr>
          <w:sz w:val="22"/>
          <w:szCs w:val="22"/>
        </w:rPr>
      </w:pPr>
      <w:r w:rsidRPr="007939D9">
        <w:rPr>
          <w:rFonts w:ascii="Arial Narrow" w:hAnsi="Arial Narrow" w:cs="Arial"/>
          <w:b/>
          <w:color w:val="E42618"/>
          <w:sz w:val="22"/>
          <w:szCs w:val="22"/>
        </w:rPr>
        <w:lastRenderedPageBreak/>
        <w:t xml:space="preserve">FIGURA </w:t>
      </w:r>
      <w:r w:rsidR="00BE55AA">
        <w:rPr>
          <w:rFonts w:ascii="Arial Narrow" w:hAnsi="Arial Narrow" w:cs="Arial"/>
          <w:b/>
          <w:color w:val="E42618"/>
          <w:sz w:val="22"/>
          <w:szCs w:val="22"/>
        </w:rPr>
        <w:t>1</w:t>
      </w:r>
      <w:r w:rsidRPr="007939D9">
        <w:rPr>
          <w:rFonts w:ascii="Arial Narrow" w:hAnsi="Arial Narrow" w:cs="Arial"/>
          <w:b/>
          <w:color w:val="E42618"/>
          <w:sz w:val="22"/>
          <w:szCs w:val="22"/>
        </w:rPr>
        <w:t>.</w:t>
      </w:r>
      <w:r w:rsidRPr="007939D9">
        <w:rPr>
          <w:sz w:val="22"/>
          <w:szCs w:val="22"/>
        </w:rPr>
        <w:t xml:space="preserve"> </w:t>
      </w:r>
      <w:r w:rsidR="00787294" w:rsidRPr="00787294">
        <w:rPr>
          <w:rFonts w:ascii="Arial Narrow" w:hAnsi="Arial Narrow" w:cs="Arial"/>
          <w:b/>
          <w:caps/>
          <w:color w:val="5F5F5F"/>
          <w:sz w:val="22"/>
          <w:szCs w:val="22"/>
        </w:rPr>
        <w:t>FLUSSI COMMERCIALI CON L’ESTERO</w:t>
      </w:r>
      <w:r w:rsidR="00787294">
        <w:rPr>
          <w:sz w:val="22"/>
          <w:szCs w:val="22"/>
        </w:rPr>
        <w:t xml:space="preserve"> </w:t>
      </w:r>
    </w:p>
    <w:p w14:paraId="77E94247" w14:textId="21922EA2" w:rsidR="00833A77" w:rsidRPr="0071152F" w:rsidRDefault="00787294" w:rsidP="007939D9">
      <w:pPr>
        <w:tabs>
          <w:tab w:val="left" w:pos="284"/>
        </w:tabs>
        <w:spacing w:after="120"/>
        <w:rPr>
          <w:rFonts w:ascii="Arial Narrow" w:hAnsi="Arial Narrow" w:cs="Arial"/>
          <w:color w:val="5F5F5F"/>
          <w:sz w:val="20"/>
        </w:rPr>
      </w:pPr>
      <w:r w:rsidRPr="0071152F">
        <w:rPr>
          <w:rFonts w:ascii="Arial Narrow" w:hAnsi="Arial Narrow" w:cs="Arial"/>
          <w:color w:val="5F5F5F"/>
          <w:sz w:val="20"/>
        </w:rPr>
        <w:t>Gennaio 201</w:t>
      </w:r>
      <w:r w:rsidR="00060073">
        <w:rPr>
          <w:rFonts w:ascii="Arial Narrow" w:hAnsi="Arial Narrow" w:cs="Arial"/>
          <w:color w:val="5F5F5F"/>
          <w:sz w:val="20"/>
        </w:rPr>
        <w:t>7</w:t>
      </w:r>
      <w:r w:rsidR="004D5E96" w:rsidRPr="0071152F">
        <w:rPr>
          <w:rFonts w:ascii="Arial Narrow" w:hAnsi="Arial Narrow" w:cs="Arial"/>
          <w:color w:val="5F5F5F"/>
          <w:sz w:val="20"/>
        </w:rPr>
        <w:t xml:space="preserve"> </w:t>
      </w:r>
      <w:r w:rsidRPr="0071152F">
        <w:rPr>
          <w:rFonts w:ascii="Arial Narrow" w:hAnsi="Arial Narrow" w:cs="Arial"/>
          <w:color w:val="5F5F5F"/>
          <w:sz w:val="20"/>
        </w:rPr>
        <w:t xml:space="preserve">- </w:t>
      </w:r>
      <w:r w:rsidR="00966E14">
        <w:rPr>
          <w:rFonts w:ascii="Arial Narrow" w:hAnsi="Arial Narrow" w:cs="Arial"/>
          <w:color w:val="5F5F5F"/>
          <w:sz w:val="20"/>
        </w:rPr>
        <w:t>luglio</w:t>
      </w:r>
      <w:r w:rsidR="00C60507" w:rsidRPr="0071152F">
        <w:rPr>
          <w:rFonts w:ascii="Arial Narrow" w:hAnsi="Arial Narrow" w:cs="Arial"/>
          <w:color w:val="5F5F5F"/>
          <w:sz w:val="20"/>
        </w:rPr>
        <w:t xml:space="preserve"> </w:t>
      </w:r>
      <w:r w:rsidRPr="0071152F">
        <w:rPr>
          <w:rFonts w:ascii="Arial Narrow" w:hAnsi="Arial Narrow" w:cs="Arial"/>
          <w:color w:val="5F5F5F"/>
          <w:sz w:val="20"/>
        </w:rPr>
        <w:t>20</w:t>
      </w:r>
      <w:r w:rsidR="00060073">
        <w:rPr>
          <w:rFonts w:ascii="Arial Narrow" w:hAnsi="Arial Narrow" w:cs="Arial"/>
          <w:color w:val="5F5F5F"/>
          <w:sz w:val="20"/>
        </w:rPr>
        <w:t>22</w:t>
      </w:r>
      <w:r w:rsidRPr="0071152F">
        <w:rPr>
          <w:rFonts w:ascii="Arial Narrow" w:hAnsi="Arial Narrow" w:cs="Arial"/>
          <w:color w:val="5F5F5F"/>
          <w:sz w:val="20"/>
        </w:rPr>
        <w:t xml:space="preserve">, </w:t>
      </w:r>
      <w:r w:rsidR="000B7E0D" w:rsidRPr="0071152F">
        <w:rPr>
          <w:rFonts w:ascii="Arial Narrow" w:hAnsi="Arial Narrow" w:cs="Arial"/>
          <w:color w:val="5F5F5F"/>
          <w:sz w:val="20"/>
        </w:rPr>
        <w:t xml:space="preserve">dati mensili e medie mobili a tre mesi, </w:t>
      </w:r>
      <w:r w:rsidR="00D36CA1" w:rsidRPr="0071152F">
        <w:rPr>
          <w:rFonts w:ascii="Arial Narrow" w:hAnsi="Arial Narrow" w:cs="Arial"/>
          <w:color w:val="5F5F5F"/>
          <w:sz w:val="20"/>
        </w:rPr>
        <w:t>dati destagionalizzati e saldi in</w:t>
      </w:r>
      <w:r w:rsidR="00516EEC" w:rsidRPr="0071152F">
        <w:rPr>
          <w:rFonts w:ascii="Arial Narrow" w:hAnsi="Arial Narrow" w:cs="Arial"/>
          <w:color w:val="5F5F5F"/>
          <w:sz w:val="20"/>
        </w:rPr>
        <w:t xml:space="preserve"> miliardi</w:t>
      </w:r>
      <w:r w:rsidRPr="0071152F">
        <w:rPr>
          <w:rFonts w:ascii="Arial Narrow" w:hAnsi="Arial Narrow" w:cs="Arial"/>
          <w:color w:val="5F5F5F"/>
          <w:sz w:val="20"/>
        </w:rPr>
        <w:t xml:space="preserve"> di eur</w:t>
      </w:r>
      <w:r w:rsidR="00D36CA1" w:rsidRPr="0071152F">
        <w:rPr>
          <w:rFonts w:ascii="Arial Narrow" w:hAnsi="Arial Narrow" w:cs="Arial"/>
          <w:color w:val="5F5F5F"/>
          <w:sz w:val="20"/>
        </w:rPr>
        <w:t>o</w:t>
      </w:r>
    </w:p>
    <w:p w14:paraId="4AA09C46" w14:textId="17B89B9E" w:rsidR="003D65F6" w:rsidRDefault="002662C0" w:rsidP="007939D9">
      <w:pPr>
        <w:tabs>
          <w:tab w:val="left" w:pos="284"/>
        </w:tabs>
        <w:spacing w:after="120"/>
        <w:rPr>
          <w:rFonts w:ascii="Arial Narrow" w:hAnsi="Arial Narrow" w:cs="Arial"/>
          <w:color w:val="5F5F5F"/>
        </w:rPr>
      </w:pPr>
      <w:r>
        <w:rPr>
          <w:noProof/>
        </w:rPr>
        <w:drawing>
          <wp:inline distT="0" distB="0" distL="0" distR="0" wp14:anchorId="2036BC51" wp14:editId="7CC26F59">
            <wp:extent cx="6480000" cy="3240000"/>
            <wp:effectExtent l="0" t="0" r="0" b="0"/>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97F449" w14:textId="77777777" w:rsidR="00104132" w:rsidRPr="006448AE" w:rsidRDefault="00104132" w:rsidP="00D36CA1">
      <w:pPr>
        <w:rPr>
          <w:rFonts w:ascii="Arial Narrow" w:hAnsi="Arial Narrow" w:cs="Arial"/>
          <w:b/>
          <w:color w:val="E42618"/>
          <w:sz w:val="14"/>
          <w:szCs w:val="14"/>
        </w:rPr>
      </w:pPr>
    </w:p>
    <w:p w14:paraId="7683599A" w14:textId="77777777" w:rsidR="00833A77" w:rsidRDefault="00F00744" w:rsidP="00D36CA1">
      <w:pPr>
        <w:rPr>
          <w:rFonts w:ascii="Arial Narrow" w:hAnsi="Arial Narrow" w:cs="Arial"/>
          <w:b/>
          <w:caps/>
          <w:color w:val="5F5F5F"/>
          <w:sz w:val="22"/>
          <w:szCs w:val="22"/>
        </w:rPr>
      </w:pPr>
      <w:r w:rsidRPr="007939D9">
        <w:rPr>
          <w:rFonts w:ascii="Arial Narrow" w:hAnsi="Arial Narrow" w:cs="Arial"/>
          <w:b/>
          <w:color w:val="E42618"/>
          <w:sz w:val="22"/>
          <w:szCs w:val="22"/>
        </w:rPr>
        <w:t xml:space="preserve">FIGURA </w:t>
      </w:r>
      <w:r>
        <w:rPr>
          <w:rFonts w:ascii="Arial Narrow" w:hAnsi="Arial Narrow" w:cs="Arial"/>
          <w:b/>
          <w:color w:val="E42618"/>
          <w:sz w:val="22"/>
          <w:szCs w:val="22"/>
        </w:rPr>
        <w:t>2</w:t>
      </w:r>
      <w:r w:rsidRPr="007939D9">
        <w:rPr>
          <w:rFonts w:ascii="Arial Narrow" w:hAnsi="Arial Narrow" w:cs="Arial"/>
          <w:b/>
          <w:color w:val="E42618"/>
          <w:sz w:val="22"/>
          <w:szCs w:val="22"/>
        </w:rPr>
        <w:t>.</w:t>
      </w:r>
      <w:r w:rsidR="00D36CA1">
        <w:rPr>
          <w:rFonts w:ascii="Arial Narrow" w:hAnsi="Arial Narrow" w:cs="Arial"/>
          <w:b/>
          <w:color w:val="E42618"/>
          <w:sz w:val="22"/>
          <w:szCs w:val="22"/>
        </w:rPr>
        <w:t xml:space="preserve"> </w:t>
      </w:r>
      <w:r w:rsidR="00605103" w:rsidRPr="00D36CA1">
        <w:rPr>
          <w:rFonts w:ascii="Arial Narrow" w:hAnsi="Arial Narrow" w:cs="Arial"/>
          <w:b/>
          <w:caps/>
          <w:color w:val="5F5F5F"/>
          <w:sz w:val="22"/>
          <w:szCs w:val="22"/>
        </w:rPr>
        <w:t>ESPORTAZIO</w:t>
      </w:r>
      <w:r w:rsidR="00605103">
        <w:rPr>
          <w:rFonts w:ascii="Arial Narrow" w:hAnsi="Arial Narrow" w:cs="Arial"/>
          <w:b/>
          <w:caps/>
          <w:color w:val="5F5F5F"/>
          <w:sz w:val="22"/>
          <w:szCs w:val="22"/>
        </w:rPr>
        <w:t xml:space="preserve">NI E IMPORTAZIONI </w:t>
      </w:r>
      <w:r w:rsidR="008014ED" w:rsidRPr="007C052D">
        <w:rPr>
          <w:rFonts w:ascii="Arial Narrow" w:hAnsi="Arial Narrow" w:cs="Arial"/>
          <w:b/>
          <w:caps/>
          <w:color w:val="5F5F5F"/>
          <w:sz w:val="22"/>
          <w:szCs w:val="22"/>
        </w:rPr>
        <w:t>CON L’</w:t>
      </w:r>
      <w:r w:rsidR="00D36CA1" w:rsidRPr="007C052D">
        <w:rPr>
          <w:rFonts w:ascii="Arial Narrow" w:hAnsi="Arial Narrow" w:cs="Arial"/>
          <w:b/>
          <w:caps/>
          <w:color w:val="5F5F5F"/>
          <w:sz w:val="22"/>
          <w:szCs w:val="22"/>
        </w:rPr>
        <w:t>AREA Ue</w:t>
      </w:r>
      <w:r w:rsidR="00E56E72" w:rsidRPr="007C052D">
        <w:rPr>
          <w:rFonts w:ascii="Arial Narrow" w:hAnsi="Arial Narrow" w:cs="Arial"/>
          <w:b/>
          <w:caps/>
          <w:color w:val="5F5F5F"/>
          <w:sz w:val="22"/>
          <w:szCs w:val="22"/>
        </w:rPr>
        <w:t>27</w:t>
      </w:r>
      <w:r w:rsidR="00D36CA1" w:rsidRPr="00D36CA1">
        <w:rPr>
          <w:rFonts w:ascii="Arial Narrow" w:hAnsi="Arial Narrow" w:cs="Arial"/>
          <w:b/>
          <w:caps/>
          <w:color w:val="5F5F5F"/>
          <w:sz w:val="22"/>
          <w:szCs w:val="22"/>
        </w:rPr>
        <w:t xml:space="preserve"> </w:t>
      </w:r>
    </w:p>
    <w:p w14:paraId="281154EB" w14:textId="2FCDA137" w:rsidR="00516EEC" w:rsidRPr="0071152F" w:rsidRDefault="008D7D7F" w:rsidP="006448AE">
      <w:pPr>
        <w:tabs>
          <w:tab w:val="left" w:pos="284"/>
        </w:tabs>
        <w:spacing w:after="60"/>
        <w:rPr>
          <w:rFonts w:ascii="Arial Narrow" w:hAnsi="Arial Narrow" w:cs="Arial"/>
          <w:color w:val="5F5F5F"/>
          <w:sz w:val="20"/>
        </w:rPr>
      </w:pPr>
      <w:r w:rsidRPr="0071152F">
        <w:rPr>
          <w:rFonts w:ascii="Arial Narrow" w:hAnsi="Arial Narrow" w:cs="Arial"/>
          <w:color w:val="5F5F5F"/>
          <w:sz w:val="20"/>
        </w:rPr>
        <w:t>Gennaio 201</w:t>
      </w:r>
      <w:r w:rsidR="00060073">
        <w:rPr>
          <w:rFonts w:ascii="Arial Narrow" w:hAnsi="Arial Narrow" w:cs="Arial"/>
          <w:color w:val="5F5F5F"/>
          <w:sz w:val="20"/>
        </w:rPr>
        <w:t>7</w:t>
      </w:r>
      <w:r w:rsidRPr="0071152F">
        <w:rPr>
          <w:rFonts w:ascii="Arial Narrow" w:hAnsi="Arial Narrow" w:cs="Arial"/>
          <w:color w:val="5F5F5F"/>
          <w:sz w:val="20"/>
        </w:rPr>
        <w:t xml:space="preserve"> - </w:t>
      </w:r>
      <w:r w:rsidR="00966E14">
        <w:rPr>
          <w:rFonts w:ascii="Arial Narrow" w:hAnsi="Arial Narrow" w:cs="Arial"/>
          <w:color w:val="5F5F5F"/>
          <w:sz w:val="20"/>
        </w:rPr>
        <w:t>luglio</w:t>
      </w:r>
      <w:r w:rsidR="006C7BC0" w:rsidRPr="0071152F">
        <w:rPr>
          <w:rFonts w:ascii="Arial Narrow" w:hAnsi="Arial Narrow" w:cs="Arial"/>
          <w:color w:val="5F5F5F"/>
          <w:sz w:val="20"/>
        </w:rPr>
        <w:t xml:space="preserve"> </w:t>
      </w:r>
      <w:r w:rsidRPr="0071152F">
        <w:rPr>
          <w:rFonts w:ascii="Arial Narrow" w:hAnsi="Arial Narrow" w:cs="Arial"/>
          <w:color w:val="5F5F5F"/>
          <w:sz w:val="20"/>
        </w:rPr>
        <w:t>20</w:t>
      </w:r>
      <w:r w:rsidR="00060073">
        <w:rPr>
          <w:rFonts w:ascii="Arial Narrow" w:hAnsi="Arial Narrow" w:cs="Arial"/>
          <w:color w:val="5F5F5F"/>
          <w:sz w:val="20"/>
        </w:rPr>
        <w:t>22</w:t>
      </w:r>
      <w:r w:rsidR="00516EEC" w:rsidRPr="0071152F">
        <w:rPr>
          <w:rFonts w:ascii="Arial Narrow" w:hAnsi="Arial Narrow" w:cs="Arial"/>
          <w:color w:val="5F5F5F"/>
          <w:sz w:val="20"/>
        </w:rPr>
        <w:t xml:space="preserve">, </w:t>
      </w:r>
      <w:r w:rsidR="0063317A" w:rsidRPr="0071152F">
        <w:rPr>
          <w:rFonts w:ascii="Arial Narrow" w:hAnsi="Arial Narrow" w:cs="Arial"/>
          <w:color w:val="5F5F5F"/>
          <w:sz w:val="20"/>
        </w:rPr>
        <w:t xml:space="preserve">dati mensili e medie mobili a tre mesi, </w:t>
      </w:r>
      <w:r w:rsidR="00516EEC" w:rsidRPr="0071152F">
        <w:rPr>
          <w:rFonts w:ascii="Arial Narrow" w:hAnsi="Arial Narrow" w:cs="Arial"/>
          <w:color w:val="5F5F5F"/>
          <w:sz w:val="20"/>
        </w:rPr>
        <w:t>dati destagionalizzati in miliardi di euro</w:t>
      </w:r>
    </w:p>
    <w:p w14:paraId="3BF38B78" w14:textId="29DF1C9B" w:rsidR="002F6355" w:rsidRPr="007939D9" w:rsidRDefault="002662C0" w:rsidP="00D36CA1">
      <w:pPr>
        <w:rPr>
          <w:rFonts w:ascii="Arial Narrow" w:hAnsi="Arial Narrow" w:cs="Arial"/>
          <w:b/>
          <w:caps/>
          <w:color w:val="5F5F5F"/>
          <w:spacing w:val="-2"/>
          <w:sz w:val="22"/>
          <w:szCs w:val="22"/>
        </w:rPr>
      </w:pPr>
      <w:r>
        <w:rPr>
          <w:noProof/>
        </w:rPr>
        <w:drawing>
          <wp:inline distT="0" distB="0" distL="0" distR="0" wp14:anchorId="6F593B5A" wp14:editId="28270FF2">
            <wp:extent cx="6660000" cy="2160000"/>
            <wp:effectExtent l="0" t="0" r="7620" b="0"/>
            <wp:docPr id="12" name="Gra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DAEE92" w14:textId="77777777" w:rsidR="0003608C" w:rsidRPr="0003608C" w:rsidRDefault="0003608C" w:rsidP="000B7E0D">
      <w:pPr>
        <w:rPr>
          <w:rFonts w:ascii="Arial Narrow" w:hAnsi="Arial Narrow" w:cs="Arial"/>
          <w:b/>
          <w:color w:val="E42618"/>
          <w:sz w:val="14"/>
          <w:szCs w:val="14"/>
        </w:rPr>
      </w:pPr>
    </w:p>
    <w:p w14:paraId="1EC5CC7D" w14:textId="00628026" w:rsidR="000B7E0D" w:rsidRDefault="000B7E0D" w:rsidP="000B7E0D">
      <w:pPr>
        <w:rPr>
          <w:rFonts w:ascii="Arial Narrow" w:hAnsi="Arial Narrow" w:cs="Arial"/>
          <w:b/>
          <w:caps/>
          <w:color w:val="5F5F5F"/>
          <w:sz w:val="22"/>
          <w:szCs w:val="22"/>
        </w:rPr>
      </w:pPr>
      <w:r w:rsidRPr="007939D9">
        <w:rPr>
          <w:rFonts w:ascii="Arial Narrow" w:hAnsi="Arial Narrow" w:cs="Arial"/>
          <w:b/>
          <w:color w:val="E42618"/>
          <w:sz w:val="22"/>
          <w:szCs w:val="22"/>
        </w:rPr>
        <w:t xml:space="preserve">FIGURA </w:t>
      </w:r>
      <w:r w:rsidR="00CF30A4">
        <w:rPr>
          <w:rFonts w:ascii="Arial Narrow" w:hAnsi="Arial Narrow" w:cs="Arial"/>
          <w:b/>
          <w:color w:val="E42618"/>
          <w:sz w:val="22"/>
          <w:szCs w:val="22"/>
        </w:rPr>
        <w:t>3</w:t>
      </w:r>
      <w:r w:rsidRPr="007939D9">
        <w:rPr>
          <w:rFonts w:ascii="Arial Narrow" w:hAnsi="Arial Narrow" w:cs="Arial"/>
          <w:b/>
          <w:color w:val="E42618"/>
          <w:sz w:val="22"/>
          <w:szCs w:val="22"/>
        </w:rPr>
        <w:t>.</w:t>
      </w:r>
      <w:r>
        <w:rPr>
          <w:rFonts w:ascii="Arial Narrow" w:hAnsi="Arial Narrow" w:cs="Arial"/>
          <w:b/>
          <w:color w:val="E42618"/>
          <w:sz w:val="22"/>
          <w:szCs w:val="22"/>
        </w:rPr>
        <w:t xml:space="preserve"> </w:t>
      </w:r>
      <w:r w:rsidRPr="00D36CA1">
        <w:rPr>
          <w:rFonts w:ascii="Arial Narrow" w:hAnsi="Arial Narrow" w:cs="Arial"/>
          <w:b/>
          <w:caps/>
          <w:color w:val="5F5F5F"/>
          <w:sz w:val="22"/>
          <w:szCs w:val="22"/>
        </w:rPr>
        <w:t>ESPORTAZIO</w:t>
      </w:r>
      <w:r w:rsidR="00CF30A4">
        <w:rPr>
          <w:rFonts w:ascii="Arial Narrow" w:hAnsi="Arial Narrow" w:cs="Arial"/>
          <w:b/>
          <w:caps/>
          <w:color w:val="5F5F5F"/>
          <w:sz w:val="22"/>
          <w:szCs w:val="22"/>
        </w:rPr>
        <w:t xml:space="preserve">NI E IMPORTAZIONI </w:t>
      </w:r>
      <w:r w:rsidR="008014ED">
        <w:rPr>
          <w:rFonts w:ascii="Arial Narrow" w:hAnsi="Arial Narrow" w:cs="Arial"/>
          <w:b/>
          <w:caps/>
          <w:color w:val="5F5F5F"/>
          <w:sz w:val="22"/>
          <w:szCs w:val="22"/>
        </w:rPr>
        <w:t xml:space="preserve">CON </w:t>
      </w:r>
      <w:r w:rsidR="008014ED" w:rsidRPr="007C052D">
        <w:rPr>
          <w:rFonts w:ascii="Arial Narrow" w:hAnsi="Arial Narrow" w:cs="Arial"/>
          <w:b/>
          <w:caps/>
          <w:color w:val="5F5F5F"/>
          <w:sz w:val="22"/>
          <w:szCs w:val="22"/>
        </w:rPr>
        <w:t>L’</w:t>
      </w:r>
      <w:r w:rsidR="00CF30A4" w:rsidRPr="007C052D">
        <w:rPr>
          <w:rFonts w:ascii="Arial Narrow" w:hAnsi="Arial Narrow" w:cs="Arial"/>
          <w:b/>
          <w:caps/>
          <w:color w:val="5F5F5F"/>
          <w:sz w:val="22"/>
          <w:szCs w:val="22"/>
        </w:rPr>
        <w:t>AREA</w:t>
      </w:r>
      <w:r w:rsidRPr="007C052D">
        <w:rPr>
          <w:rFonts w:ascii="Arial Narrow" w:hAnsi="Arial Narrow" w:cs="Arial"/>
          <w:b/>
          <w:caps/>
          <w:color w:val="5F5F5F"/>
          <w:sz w:val="22"/>
          <w:szCs w:val="22"/>
        </w:rPr>
        <w:t xml:space="preserve"> extra Ue</w:t>
      </w:r>
      <w:r w:rsidR="00E56E72" w:rsidRPr="007C052D">
        <w:rPr>
          <w:rFonts w:ascii="Arial Narrow" w:hAnsi="Arial Narrow" w:cs="Arial"/>
          <w:b/>
          <w:caps/>
          <w:color w:val="5F5F5F"/>
          <w:sz w:val="22"/>
          <w:szCs w:val="22"/>
        </w:rPr>
        <w:t>27</w:t>
      </w:r>
    </w:p>
    <w:p w14:paraId="25429B4C" w14:textId="03CCABF7" w:rsidR="00CF30A4" w:rsidRPr="005B110A" w:rsidRDefault="008D7D7F" w:rsidP="0003608C">
      <w:pPr>
        <w:tabs>
          <w:tab w:val="left" w:pos="284"/>
        </w:tabs>
        <w:spacing w:after="60"/>
        <w:rPr>
          <w:rFonts w:ascii="Arial Narrow" w:hAnsi="Arial Narrow" w:cs="Arial"/>
          <w:color w:val="5F5F5F"/>
          <w:sz w:val="20"/>
        </w:rPr>
      </w:pPr>
      <w:r w:rsidRPr="0071152F">
        <w:rPr>
          <w:rFonts w:ascii="Arial Narrow" w:hAnsi="Arial Narrow" w:cs="Arial"/>
          <w:color w:val="5F5F5F"/>
          <w:sz w:val="20"/>
        </w:rPr>
        <w:t>Gennaio 201</w:t>
      </w:r>
      <w:r w:rsidR="00060073">
        <w:rPr>
          <w:rFonts w:ascii="Arial Narrow" w:hAnsi="Arial Narrow" w:cs="Arial"/>
          <w:color w:val="5F5F5F"/>
          <w:sz w:val="20"/>
        </w:rPr>
        <w:t>7</w:t>
      </w:r>
      <w:r w:rsidRPr="0071152F">
        <w:rPr>
          <w:rFonts w:ascii="Arial Narrow" w:hAnsi="Arial Narrow" w:cs="Arial"/>
          <w:color w:val="5F5F5F"/>
          <w:sz w:val="20"/>
        </w:rPr>
        <w:t xml:space="preserve"> - </w:t>
      </w:r>
      <w:r w:rsidR="00966E14">
        <w:rPr>
          <w:rFonts w:ascii="Arial Narrow" w:hAnsi="Arial Narrow" w:cs="Arial"/>
          <w:color w:val="5F5F5F"/>
          <w:sz w:val="20"/>
        </w:rPr>
        <w:t>luglio</w:t>
      </w:r>
      <w:r w:rsidR="006C7BC0" w:rsidRPr="0071152F">
        <w:rPr>
          <w:rFonts w:ascii="Arial Narrow" w:hAnsi="Arial Narrow" w:cs="Arial"/>
          <w:color w:val="5F5F5F"/>
          <w:sz w:val="20"/>
        </w:rPr>
        <w:t xml:space="preserve"> </w:t>
      </w:r>
      <w:r w:rsidRPr="0071152F">
        <w:rPr>
          <w:rFonts w:ascii="Arial Narrow" w:hAnsi="Arial Narrow" w:cs="Arial"/>
          <w:color w:val="5F5F5F"/>
          <w:sz w:val="20"/>
        </w:rPr>
        <w:t>20</w:t>
      </w:r>
      <w:r w:rsidR="00060073">
        <w:rPr>
          <w:rFonts w:ascii="Arial Narrow" w:hAnsi="Arial Narrow" w:cs="Arial"/>
          <w:color w:val="5F5F5F"/>
          <w:sz w:val="20"/>
        </w:rPr>
        <w:t>22</w:t>
      </w:r>
      <w:r w:rsidR="00CF30A4" w:rsidRPr="005B110A">
        <w:rPr>
          <w:rFonts w:ascii="Arial Narrow" w:hAnsi="Arial Narrow" w:cs="Arial"/>
          <w:color w:val="5F5F5F"/>
          <w:sz w:val="20"/>
        </w:rPr>
        <w:t xml:space="preserve">, </w:t>
      </w:r>
      <w:r w:rsidR="0063317A" w:rsidRPr="005B110A">
        <w:rPr>
          <w:rFonts w:ascii="Arial Narrow" w:hAnsi="Arial Narrow" w:cs="Arial"/>
          <w:color w:val="5F5F5F"/>
          <w:sz w:val="20"/>
        </w:rPr>
        <w:t xml:space="preserve">dati mensili e medie mobili a tre mesi, </w:t>
      </w:r>
      <w:r w:rsidR="00CF30A4" w:rsidRPr="005B110A">
        <w:rPr>
          <w:rFonts w:ascii="Arial Narrow" w:hAnsi="Arial Narrow" w:cs="Arial"/>
          <w:color w:val="5F5F5F"/>
          <w:sz w:val="20"/>
        </w:rPr>
        <w:t>dati destagionalizzati in miliardi di euro</w:t>
      </w:r>
    </w:p>
    <w:p w14:paraId="074C7BD1" w14:textId="1576C33F" w:rsidR="00F31459" w:rsidRDefault="002662C0" w:rsidP="00A43169">
      <w:pPr>
        <w:tabs>
          <w:tab w:val="left" w:pos="284"/>
        </w:tabs>
        <w:spacing w:after="120"/>
        <w:rPr>
          <w:rFonts w:ascii="Arial" w:hAnsi="Arial" w:cs="Arial"/>
          <w:b/>
          <w:color w:val="000000"/>
        </w:rPr>
      </w:pPr>
      <w:r>
        <w:rPr>
          <w:noProof/>
        </w:rPr>
        <w:drawing>
          <wp:inline distT="0" distB="0" distL="0" distR="0" wp14:anchorId="082CF945" wp14:editId="15A136BA">
            <wp:extent cx="6660000" cy="2160000"/>
            <wp:effectExtent l="0" t="0" r="7620" b="0"/>
            <wp:docPr id="1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5CE670" w14:textId="77777777" w:rsidR="00516EEC" w:rsidRDefault="00516EEC" w:rsidP="00516EEC">
      <w:pPr>
        <w:tabs>
          <w:tab w:val="left" w:pos="284"/>
        </w:tabs>
        <w:rPr>
          <w:sz w:val="22"/>
          <w:szCs w:val="22"/>
        </w:rPr>
      </w:pPr>
      <w:r w:rsidRPr="007939D9">
        <w:rPr>
          <w:rFonts w:ascii="Arial Narrow" w:hAnsi="Arial Narrow" w:cs="Arial"/>
          <w:b/>
          <w:color w:val="E42618"/>
          <w:sz w:val="22"/>
          <w:szCs w:val="22"/>
        </w:rPr>
        <w:lastRenderedPageBreak/>
        <w:t xml:space="preserve">FIGURA </w:t>
      </w:r>
      <w:r w:rsidR="006D02F3">
        <w:rPr>
          <w:rFonts w:ascii="Arial Narrow" w:hAnsi="Arial Narrow" w:cs="Arial"/>
          <w:b/>
          <w:color w:val="E42618"/>
          <w:sz w:val="22"/>
          <w:szCs w:val="22"/>
        </w:rPr>
        <w:t>4</w:t>
      </w:r>
      <w:r w:rsidRPr="007939D9">
        <w:rPr>
          <w:rFonts w:ascii="Arial Narrow" w:hAnsi="Arial Narrow" w:cs="Arial"/>
          <w:b/>
          <w:color w:val="E42618"/>
          <w:sz w:val="22"/>
          <w:szCs w:val="22"/>
        </w:rPr>
        <w:t>.</w:t>
      </w:r>
      <w:r w:rsidRPr="007939D9">
        <w:rPr>
          <w:sz w:val="22"/>
          <w:szCs w:val="22"/>
        </w:rPr>
        <w:t xml:space="preserve"> </w:t>
      </w:r>
      <w:r w:rsidRPr="00787294">
        <w:rPr>
          <w:rFonts w:ascii="Arial Narrow" w:hAnsi="Arial Narrow" w:cs="Arial"/>
          <w:b/>
          <w:caps/>
          <w:color w:val="5F5F5F"/>
          <w:sz w:val="22"/>
          <w:szCs w:val="22"/>
        </w:rPr>
        <w:t>FLUSSI COMMERCIALI CON L’ESTERO</w:t>
      </w:r>
      <w:r w:rsidR="00B827C7">
        <w:rPr>
          <w:sz w:val="22"/>
          <w:szCs w:val="22"/>
        </w:rPr>
        <w:t>,</w:t>
      </w:r>
      <w:r w:rsidR="008014ED">
        <w:rPr>
          <w:sz w:val="22"/>
          <w:szCs w:val="22"/>
        </w:rPr>
        <w:t xml:space="preserve"> </w:t>
      </w:r>
      <w:r>
        <w:rPr>
          <w:rFonts w:ascii="Arial Narrow" w:hAnsi="Arial Narrow" w:cs="Arial"/>
          <w:b/>
          <w:caps/>
          <w:color w:val="5F5F5F"/>
          <w:sz w:val="22"/>
          <w:szCs w:val="22"/>
        </w:rPr>
        <w:t xml:space="preserve">VARIAZIONI </w:t>
      </w:r>
      <w:r w:rsidR="00146099">
        <w:rPr>
          <w:rFonts w:ascii="Arial Narrow" w:hAnsi="Arial Narrow" w:cs="Arial"/>
          <w:b/>
          <w:caps/>
          <w:color w:val="5F5F5F"/>
          <w:sz w:val="22"/>
          <w:szCs w:val="22"/>
        </w:rPr>
        <w:t xml:space="preserve">PERCENTUALI </w:t>
      </w:r>
      <w:r w:rsidRPr="00516EEC">
        <w:rPr>
          <w:rFonts w:ascii="Arial Narrow" w:hAnsi="Arial Narrow" w:cs="Arial"/>
          <w:b/>
          <w:caps/>
          <w:color w:val="5F5F5F"/>
          <w:sz w:val="22"/>
          <w:szCs w:val="22"/>
        </w:rPr>
        <w:t>TENDENZIALI</w:t>
      </w:r>
    </w:p>
    <w:p w14:paraId="130144D6" w14:textId="5DA7CD01" w:rsidR="00516EEC" w:rsidRPr="00787294" w:rsidRDefault="008D7D7F" w:rsidP="00516EEC">
      <w:pPr>
        <w:tabs>
          <w:tab w:val="left" w:pos="284"/>
        </w:tabs>
        <w:spacing w:after="120"/>
        <w:rPr>
          <w:rFonts w:ascii="Arial Narrow" w:hAnsi="Arial Narrow" w:cs="Arial"/>
          <w:color w:val="5F5F5F"/>
        </w:rPr>
      </w:pPr>
      <w:r w:rsidRPr="0071152F">
        <w:rPr>
          <w:rFonts w:ascii="Arial Narrow" w:hAnsi="Arial Narrow" w:cs="Arial"/>
          <w:color w:val="5F5F5F"/>
          <w:sz w:val="20"/>
        </w:rPr>
        <w:t>Gennaio 201</w:t>
      </w:r>
      <w:r w:rsidR="00CF288F">
        <w:rPr>
          <w:rFonts w:ascii="Arial Narrow" w:hAnsi="Arial Narrow" w:cs="Arial"/>
          <w:color w:val="5F5F5F"/>
          <w:sz w:val="20"/>
        </w:rPr>
        <w:t>8</w:t>
      </w:r>
      <w:r w:rsidRPr="0071152F">
        <w:rPr>
          <w:rFonts w:ascii="Arial Narrow" w:hAnsi="Arial Narrow" w:cs="Arial"/>
          <w:color w:val="5F5F5F"/>
          <w:sz w:val="20"/>
        </w:rPr>
        <w:t xml:space="preserve"> - </w:t>
      </w:r>
      <w:r w:rsidR="00966E14">
        <w:rPr>
          <w:rFonts w:ascii="Arial Narrow" w:hAnsi="Arial Narrow" w:cs="Arial"/>
          <w:color w:val="5F5F5F"/>
          <w:sz w:val="20"/>
        </w:rPr>
        <w:t>luglio</w:t>
      </w:r>
      <w:r w:rsidR="006C7BC0" w:rsidRPr="0071152F">
        <w:rPr>
          <w:rFonts w:ascii="Arial Narrow" w:hAnsi="Arial Narrow" w:cs="Arial"/>
          <w:color w:val="5F5F5F"/>
          <w:sz w:val="20"/>
        </w:rPr>
        <w:t xml:space="preserve"> </w:t>
      </w:r>
      <w:r w:rsidRPr="0071152F">
        <w:rPr>
          <w:rFonts w:ascii="Arial Narrow" w:hAnsi="Arial Narrow" w:cs="Arial"/>
          <w:color w:val="5F5F5F"/>
          <w:sz w:val="20"/>
        </w:rPr>
        <w:t>20</w:t>
      </w:r>
      <w:r w:rsidR="00CF288F">
        <w:rPr>
          <w:rFonts w:ascii="Arial Narrow" w:hAnsi="Arial Narrow" w:cs="Arial"/>
          <w:color w:val="5F5F5F"/>
          <w:sz w:val="20"/>
        </w:rPr>
        <w:t>22</w:t>
      </w:r>
      <w:r w:rsidR="0063317A" w:rsidRPr="00EE5993">
        <w:rPr>
          <w:rFonts w:ascii="Arial Narrow" w:hAnsi="Arial Narrow" w:cs="Arial"/>
          <w:color w:val="5F5F5F"/>
          <w:sz w:val="20"/>
        </w:rPr>
        <w:t>,</w:t>
      </w:r>
      <w:r w:rsidR="00516EEC" w:rsidRPr="00EE5993">
        <w:rPr>
          <w:rFonts w:ascii="Arial Narrow" w:hAnsi="Arial Narrow" w:cs="Arial"/>
          <w:color w:val="5F5F5F"/>
          <w:sz w:val="20"/>
        </w:rPr>
        <w:t xml:space="preserve"> dati grezzi</w:t>
      </w:r>
      <w:r w:rsidR="00516EEC" w:rsidRPr="00EE5993">
        <w:rPr>
          <w:noProof/>
          <w:sz w:val="20"/>
        </w:rPr>
        <w:t xml:space="preserve"> </w:t>
      </w:r>
      <w:r w:rsidR="002662C0">
        <w:rPr>
          <w:noProof/>
        </w:rPr>
        <w:drawing>
          <wp:inline distT="0" distB="0" distL="0" distR="0" wp14:anchorId="0970966E" wp14:editId="04EFD13C">
            <wp:extent cx="6660000" cy="2160000"/>
            <wp:effectExtent l="0" t="0" r="7620" b="0"/>
            <wp:docPr id="16" name="Gra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BA79D2" w14:textId="77777777" w:rsidR="00F31459" w:rsidRDefault="00F31459" w:rsidP="00833A77">
      <w:pPr>
        <w:spacing w:line="240" w:lineRule="exact"/>
        <w:rPr>
          <w:rFonts w:ascii="Arial" w:hAnsi="Arial" w:cs="Arial"/>
          <w:b/>
          <w:color w:val="000000"/>
        </w:rPr>
      </w:pPr>
    </w:p>
    <w:p w14:paraId="36E029FB" w14:textId="77777777" w:rsidR="00FE069A" w:rsidRDefault="00FE069A" w:rsidP="00516EEC">
      <w:pPr>
        <w:tabs>
          <w:tab w:val="left" w:pos="284"/>
        </w:tabs>
        <w:rPr>
          <w:rFonts w:ascii="Arial Narrow" w:hAnsi="Arial Narrow" w:cs="Arial"/>
          <w:b/>
          <w:color w:val="E42618"/>
          <w:sz w:val="22"/>
          <w:szCs w:val="22"/>
        </w:rPr>
      </w:pPr>
    </w:p>
    <w:p w14:paraId="50B760F8" w14:textId="374EA42D" w:rsidR="00516EEC" w:rsidRPr="007801C1" w:rsidRDefault="00516EEC" w:rsidP="00516EEC">
      <w:pPr>
        <w:tabs>
          <w:tab w:val="left" w:pos="284"/>
        </w:tabs>
        <w:rPr>
          <w:sz w:val="22"/>
          <w:szCs w:val="22"/>
        </w:rPr>
      </w:pPr>
      <w:r w:rsidRPr="007801C1">
        <w:rPr>
          <w:rFonts w:ascii="Arial Narrow" w:hAnsi="Arial Narrow" w:cs="Arial"/>
          <w:b/>
          <w:color w:val="E42618"/>
          <w:sz w:val="22"/>
          <w:szCs w:val="22"/>
        </w:rPr>
        <w:t xml:space="preserve">FIGURA </w:t>
      </w:r>
      <w:r w:rsidR="006D02F3" w:rsidRPr="007801C1">
        <w:rPr>
          <w:rFonts w:ascii="Arial Narrow" w:hAnsi="Arial Narrow" w:cs="Arial"/>
          <w:b/>
          <w:color w:val="E42618"/>
          <w:sz w:val="22"/>
          <w:szCs w:val="22"/>
        </w:rPr>
        <w:t>5</w:t>
      </w:r>
      <w:r w:rsidRPr="007801C1">
        <w:rPr>
          <w:rFonts w:ascii="Arial Narrow" w:hAnsi="Arial Narrow" w:cs="Arial"/>
          <w:b/>
          <w:color w:val="E42618"/>
          <w:sz w:val="22"/>
          <w:szCs w:val="22"/>
        </w:rPr>
        <w:t>.</w:t>
      </w:r>
      <w:r w:rsidRPr="007801C1">
        <w:rPr>
          <w:sz w:val="22"/>
          <w:szCs w:val="22"/>
        </w:rPr>
        <w:t xml:space="preserve"> </w:t>
      </w:r>
      <w:r w:rsidRPr="007801C1">
        <w:rPr>
          <w:rFonts w:ascii="Arial Narrow" w:hAnsi="Arial Narrow" w:cs="Arial"/>
          <w:b/>
          <w:caps/>
          <w:color w:val="5F5F5F"/>
          <w:sz w:val="22"/>
          <w:szCs w:val="22"/>
        </w:rPr>
        <w:t>PREZZI ALL’IMPORTAZIONE</w:t>
      </w:r>
      <w:r w:rsidR="00806BEC" w:rsidRPr="007801C1">
        <w:rPr>
          <w:rFonts w:ascii="Arial Narrow" w:hAnsi="Arial Narrow" w:cs="Arial"/>
          <w:b/>
          <w:caps/>
          <w:color w:val="5F5F5F"/>
          <w:sz w:val="22"/>
          <w:szCs w:val="22"/>
        </w:rPr>
        <w:t>, VARIAZIONI PERCENTUALI TENDENZIALI</w:t>
      </w:r>
    </w:p>
    <w:p w14:paraId="260FDB51" w14:textId="0719910B" w:rsidR="00F00744" w:rsidRDefault="008D7D7F" w:rsidP="00EB3E42">
      <w:pPr>
        <w:spacing w:after="120"/>
        <w:rPr>
          <w:noProof/>
          <w:sz w:val="20"/>
        </w:rPr>
      </w:pPr>
      <w:r w:rsidRPr="007801C1">
        <w:rPr>
          <w:rFonts w:ascii="Arial Narrow" w:hAnsi="Arial Narrow" w:cs="Arial"/>
          <w:color w:val="5F5F5F"/>
          <w:sz w:val="20"/>
        </w:rPr>
        <w:t>Gennaio 201</w:t>
      </w:r>
      <w:r w:rsidR="00CF288F" w:rsidRPr="007801C1">
        <w:rPr>
          <w:rFonts w:ascii="Arial Narrow" w:hAnsi="Arial Narrow" w:cs="Arial"/>
          <w:color w:val="5F5F5F"/>
          <w:sz w:val="20"/>
        </w:rPr>
        <w:t>8</w:t>
      </w:r>
      <w:r w:rsidRPr="007801C1">
        <w:rPr>
          <w:rFonts w:ascii="Arial Narrow" w:hAnsi="Arial Narrow" w:cs="Arial"/>
          <w:color w:val="5F5F5F"/>
          <w:sz w:val="20"/>
        </w:rPr>
        <w:t xml:space="preserve"> </w:t>
      </w:r>
      <w:r w:rsidR="009446F0" w:rsidRPr="007801C1">
        <w:rPr>
          <w:rFonts w:ascii="Arial Narrow" w:hAnsi="Arial Narrow" w:cs="Arial"/>
          <w:color w:val="5F5F5F"/>
          <w:sz w:val="20"/>
        </w:rPr>
        <w:t>–</w:t>
      </w:r>
      <w:r w:rsidRPr="007801C1">
        <w:rPr>
          <w:rFonts w:ascii="Arial Narrow" w:hAnsi="Arial Narrow" w:cs="Arial"/>
          <w:color w:val="5F5F5F"/>
          <w:sz w:val="20"/>
        </w:rPr>
        <w:t xml:space="preserve"> </w:t>
      </w:r>
      <w:r w:rsidR="00966E14" w:rsidRPr="007801C1">
        <w:rPr>
          <w:rFonts w:ascii="Arial Narrow" w:hAnsi="Arial Narrow" w:cs="Arial"/>
          <w:color w:val="5F5F5F"/>
          <w:sz w:val="20"/>
        </w:rPr>
        <w:t>luglio</w:t>
      </w:r>
      <w:r w:rsidR="006C7BC0" w:rsidRPr="007801C1">
        <w:rPr>
          <w:rFonts w:ascii="Arial Narrow" w:hAnsi="Arial Narrow" w:cs="Arial"/>
          <w:color w:val="5F5F5F"/>
          <w:sz w:val="20"/>
        </w:rPr>
        <w:t xml:space="preserve"> </w:t>
      </w:r>
      <w:r w:rsidR="00CF288F" w:rsidRPr="007801C1">
        <w:rPr>
          <w:rFonts w:ascii="Arial Narrow" w:hAnsi="Arial Narrow" w:cs="Arial"/>
          <w:color w:val="5F5F5F"/>
          <w:sz w:val="20"/>
        </w:rPr>
        <w:t>2022</w:t>
      </w:r>
      <w:r w:rsidR="00B827C7" w:rsidRPr="007801C1">
        <w:rPr>
          <w:rFonts w:ascii="Arial Narrow" w:hAnsi="Arial Narrow" w:cs="Arial"/>
          <w:color w:val="5F5F5F"/>
          <w:sz w:val="20"/>
        </w:rPr>
        <w:t>,</w:t>
      </w:r>
      <w:r w:rsidR="00516EEC" w:rsidRPr="007801C1">
        <w:rPr>
          <w:rFonts w:ascii="Arial Narrow" w:hAnsi="Arial Narrow" w:cs="Arial"/>
          <w:color w:val="5F5F5F"/>
          <w:sz w:val="20"/>
        </w:rPr>
        <w:t xml:space="preserve"> (base 2015=100)</w:t>
      </w:r>
      <w:r w:rsidR="00B23E66" w:rsidRPr="00EE5993">
        <w:rPr>
          <w:noProof/>
          <w:sz w:val="20"/>
        </w:rPr>
        <w:t xml:space="preserve"> </w:t>
      </w:r>
    </w:p>
    <w:p w14:paraId="12F1F350" w14:textId="4E970FA8" w:rsidR="00EB3E42" w:rsidRDefault="007801C1" w:rsidP="00516EEC">
      <w:pPr>
        <w:rPr>
          <w:noProof/>
          <w:sz w:val="20"/>
        </w:rPr>
      </w:pPr>
      <w:r>
        <w:rPr>
          <w:noProof/>
        </w:rPr>
        <w:drawing>
          <wp:inline distT="0" distB="0" distL="0" distR="0" wp14:anchorId="14406E1C" wp14:editId="3B10CEED">
            <wp:extent cx="6660000" cy="2160000"/>
            <wp:effectExtent l="0" t="0" r="7620" b="0"/>
            <wp:docPr id="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5B5B91" w14:textId="2BADAFDC" w:rsidR="00EB3E42" w:rsidRDefault="00EB3E42" w:rsidP="00516EEC">
      <w:pPr>
        <w:rPr>
          <w:noProof/>
          <w:sz w:val="20"/>
        </w:rPr>
      </w:pPr>
    </w:p>
    <w:p w14:paraId="50EF3077" w14:textId="158E13DD" w:rsidR="00A84F05" w:rsidRDefault="00A84F05" w:rsidP="00516EEC">
      <w:pPr>
        <w:rPr>
          <w:noProof/>
          <w:sz w:val="20"/>
        </w:rPr>
      </w:pPr>
    </w:p>
    <w:p w14:paraId="2455A9E6" w14:textId="25769B8B" w:rsidR="00A84F05" w:rsidRDefault="00A84F05" w:rsidP="00516EEC">
      <w:pPr>
        <w:rPr>
          <w:noProof/>
          <w:sz w:val="20"/>
        </w:rPr>
      </w:pPr>
    </w:p>
    <w:p w14:paraId="5CFDFFFA" w14:textId="564938B2" w:rsidR="00A84F05" w:rsidRDefault="00A84F05" w:rsidP="00516EEC">
      <w:pPr>
        <w:rPr>
          <w:noProof/>
          <w:sz w:val="20"/>
        </w:rPr>
      </w:pPr>
    </w:p>
    <w:p w14:paraId="5210F727" w14:textId="77372A75" w:rsidR="00A84F05" w:rsidRPr="00EE5993" w:rsidRDefault="00A84F05" w:rsidP="00516EEC">
      <w:pPr>
        <w:rPr>
          <w:noProof/>
          <w:sz w:val="20"/>
        </w:rPr>
      </w:pPr>
    </w:p>
    <w:p w14:paraId="495D885E" w14:textId="56D248E3" w:rsidR="009176F5" w:rsidRDefault="009176F5" w:rsidP="00516EEC">
      <w:pPr>
        <w:rPr>
          <w:rFonts w:ascii="Arial" w:hAnsi="Arial" w:cs="Arial"/>
          <w:b/>
          <w:color w:val="000000"/>
        </w:rPr>
      </w:pPr>
    </w:p>
    <w:p w14:paraId="15445FF4" w14:textId="77777777" w:rsidR="00F31459" w:rsidRDefault="00F31459" w:rsidP="00833A77">
      <w:pPr>
        <w:spacing w:line="240" w:lineRule="exact"/>
        <w:rPr>
          <w:rFonts w:ascii="Arial" w:hAnsi="Arial" w:cs="Arial"/>
          <w:b/>
          <w:color w:val="000000"/>
        </w:rPr>
      </w:pPr>
    </w:p>
    <w:p w14:paraId="7B21CE62" w14:textId="77777777" w:rsidR="00787294" w:rsidRPr="005E4472" w:rsidRDefault="00787294" w:rsidP="00AF23DD">
      <w:pPr>
        <w:pStyle w:val="Corpodeltesto1"/>
        <w:spacing w:after="120"/>
        <w:rPr>
          <w:rFonts w:ascii="Arial" w:hAnsi="Arial" w:cs="Arial"/>
          <w:sz w:val="22"/>
          <w:szCs w:val="22"/>
        </w:rPr>
      </w:pPr>
    </w:p>
    <w:p w14:paraId="5AF76F06" w14:textId="77777777" w:rsidR="00833A77" w:rsidRPr="006768B9" w:rsidRDefault="00833A77" w:rsidP="00833A77">
      <w:pPr>
        <w:tabs>
          <w:tab w:val="left" w:pos="7485"/>
        </w:tabs>
        <w:sectPr w:rsidR="00833A77" w:rsidRPr="006768B9" w:rsidSect="004B7EA2">
          <w:headerReference w:type="default" r:id="rId24"/>
          <w:footerReference w:type="default" r:id="rId25"/>
          <w:headerReference w:type="first" r:id="rId26"/>
          <w:pgSz w:w="11907" w:h="16840" w:code="9"/>
          <w:pgMar w:top="1701" w:right="851" w:bottom="284" w:left="851" w:header="567" w:footer="567" w:gutter="0"/>
          <w:cols w:space="720"/>
          <w:noEndnote/>
          <w:titlePg/>
          <w:docGrid w:linePitch="326"/>
        </w:sectPr>
      </w:pPr>
    </w:p>
    <w:p w14:paraId="670CD2B9" w14:textId="73E515F4" w:rsidR="008D10C8" w:rsidRPr="005F1ADE" w:rsidRDefault="008D10C8" w:rsidP="004B5FCF">
      <w:pPr>
        <w:pStyle w:val="001TitoloBolocco"/>
        <w:spacing w:after="120" w:line="240" w:lineRule="auto"/>
        <w:rPr>
          <w:rFonts w:cs="Calibri"/>
          <w:b w:val="0"/>
          <w:bCs w:val="0"/>
          <w:caps w:val="0"/>
          <w:color w:val="E42618"/>
          <w:sz w:val="36"/>
          <w:szCs w:val="36"/>
        </w:rPr>
      </w:pPr>
      <w:r w:rsidRPr="005F1ADE">
        <w:rPr>
          <w:rFonts w:cs="Calibri"/>
          <w:b w:val="0"/>
          <w:bCs w:val="0"/>
          <w:caps w:val="0"/>
          <w:color w:val="E42618"/>
          <w:sz w:val="36"/>
          <w:szCs w:val="36"/>
        </w:rPr>
        <w:lastRenderedPageBreak/>
        <w:t>Commercio con l’estero</w:t>
      </w:r>
    </w:p>
    <w:p w14:paraId="71FCF4DF" w14:textId="77777777" w:rsidR="00833A77" w:rsidRDefault="00BF702B" w:rsidP="004B5FCF">
      <w:pPr>
        <w:pStyle w:val="001TitoloBolocco"/>
        <w:spacing w:after="120" w:line="240" w:lineRule="auto"/>
      </w:pPr>
      <w:r>
        <w:rPr>
          <w:bCs w:val="0"/>
          <w:caps w:val="0"/>
        </w:rPr>
        <w:t>P</w:t>
      </w:r>
      <w:r w:rsidR="003C7722">
        <w:rPr>
          <w:bCs w:val="0"/>
          <w:caps w:val="0"/>
        </w:rPr>
        <w:t>RODOTTI ESPORTATI E IMPORTATI</w:t>
      </w:r>
    </w:p>
    <w:p w14:paraId="104AFDE9" w14:textId="6BA499DB" w:rsidR="00516EEC" w:rsidRPr="00EE5993" w:rsidRDefault="00516EEC" w:rsidP="00516EEC">
      <w:pPr>
        <w:spacing w:after="120"/>
        <w:rPr>
          <w:rFonts w:ascii="Arial Narrow" w:hAnsi="Arial Narrow" w:cs="Arial"/>
          <w:b/>
          <w:bCs/>
          <w:i/>
          <w:sz w:val="16"/>
          <w:szCs w:val="19"/>
        </w:rPr>
      </w:pPr>
      <w:r w:rsidRPr="007939D9">
        <w:rPr>
          <w:rFonts w:ascii="Arial Narrow" w:hAnsi="Arial Narrow" w:cs="Arial"/>
          <w:b/>
          <w:bCs/>
          <w:color w:val="E42618"/>
          <w:sz w:val="22"/>
          <w:szCs w:val="22"/>
        </w:rPr>
        <w:t>PROSPETTO 1</w:t>
      </w:r>
      <w:r w:rsidRPr="00AF23DD">
        <w:rPr>
          <w:rFonts w:ascii="Arial Narrow" w:hAnsi="Arial Narrow" w:cs="Arial"/>
          <w:b/>
          <w:bCs/>
          <w:color w:val="E42618"/>
          <w:sz w:val="22"/>
          <w:szCs w:val="22"/>
        </w:rPr>
        <w:t xml:space="preserve">. </w:t>
      </w:r>
      <w:r w:rsidRPr="003C7722">
        <w:rPr>
          <w:rFonts w:ascii="Arial Narrow" w:hAnsi="Arial Narrow" w:cs="Arial"/>
          <w:b/>
          <w:bCs/>
          <w:color w:val="5F5F5F"/>
          <w:sz w:val="22"/>
          <w:szCs w:val="22"/>
        </w:rPr>
        <w:t>ESPORTAZIONI, IMPORTAZIONI E SALDI DELLA BILANCIA COMMERCIALE</w:t>
      </w:r>
      <w:r w:rsidRPr="005F1ADE">
        <w:rPr>
          <w:rFonts w:ascii="Arial Narrow" w:hAnsi="Arial Narrow" w:cs="Arial"/>
          <w:b/>
          <w:bCs/>
          <w:color w:val="7F7F7F"/>
          <w:sz w:val="22"/>
          <w:szCs w:val="22"/>
        </w:rPr>
        <w:br/>
      </w:r>
      <w:proofErr w:type="gramStart"/>
      <w:r w:rsidR="00966E14">
        <w:rPr>
          <w:rFonts w:ascii="Arial Narrow" w:hAnsi="Arial Narrow" w:cs="Arial"/>
          <w:color w:val="5F5F5F"/>
          <w:sz w:val="20"/>
        </w:rPr>
        <w:t>Luglio</w:t>
      </w:r>
      <w:proofErr w:type="gramEnd"/>
      <w:r w:rsidR="00470B67">
        <w:rPr>
          <w:rFonts w:ascii="Arial Narrow" w:hAnsi="Arial Narrow" w:cs="Arial"/>
          <w:color w:val="5F5F5F"/>
          <w:sz w:val="20"/>
        </w:rPr>
        <w:t xml:space="preserve"> 2022</w:t>
      </w:r>
      <w:r w:rsidRPr="00EE5993">
        <w:rPr>
          <w:rFonts w:ascii="Arial Narrow" w:hAnsi="Arial Narrow" w:cs="Arial"/>
          <w:color w:val="5F5F5F"/>
          <w:sz w:val="20"/>
        </w:rPr>
        <w:t xml:space="preserve">, variazioni percentuali congiunturali e tendenziali e </w:t>
      </w:r>
      <w:r w:rsidR="00AF23DD" w:rsidRPr="00EE5993">
        <w:rPr>
          <w:rFonts w:ascii="Arial Narrow" w:hAnsi="Arial Narrow" w:cs="Arial"/>
          <w:color w:val="5F5F5F"/>
          <w:sz w:val="20"/>
        </w:rPr>
        <w:t xml:space="preserve">saldi in milioni di </w:t>
      </w:r>
      <w:r w:rsidR="00AF23DD" w:rsidRPr="00243B6A">
        <w:rPr>
          <w:rFonts w:ascii="Arial Narrow" w:hAnsi="Arial Narrow" w:cs="Arial"/>
          <w:color w:val="5F5F5F"/>
          <w:sz w:val="20"/>
        </w:rPr>
        <w:t>e</w:t>
      </w:r>
      <w:r w:rsidR="00CE1ED0" w:rsidRPr="00243B6A">
        <w:rPr>
          <w:rFonts w:ascii="Arial Narrow" w:hAnsi="Arial Narrow" w:cs="Arial"/>
          <w:color w:val="5F5F5F"/>
          <w:sz w:val="20"/>
        </w:rPr>
        <w:t>u</w:t>
      </w:r>
      <w:r w:rsidR="00AF23DD" w:rsidRPr="00243B6A">
        <w:rPr>
          <w:rFonts w:ascii="Arial Narrow" w:hAnsi="Arial Narrow" w:cs="Arial"/>
          <w:color w:val="5F5F5F"/>
          <w:sz w:val="20"/>
        </w:rPr>
        <w:t>ro</w:t>
      </w:r>
    </w:p>
    <w:tbl>
      <w:tblPr>
        <w:tblW w:w="10300" w:type="dxa"/>
        <w:tblInd w:w="70" w:type="dxa"/>
        <w:tblBorders>
          <w:top w:val="single" w:sz="4" w:space="0" w:color="333333"/>
          <w:bottom w:val="single" w:sz="4" w:space="0" w:color="333333"/>
          <w:insideH w:val="single" w:sz="4" w:space="0" w:color="333333"/>
        </w:tblBorders>
        <w:tblLayout w:type="fixed"/>
        <w:tblCellMar>
          <w:left w:w="70" w:type="dxa"/>
          <w:right w:w="70" w:type="dxa"/>
        </w:tblCellMar>
        <w:tblLook w:val="0000" w:firstRow="0" w:lastRow="0" w:firstColumn="0" w:lastColumn="0" w:noHBand="0" w:noVBand="0"/>
      </w:tblPr>
      <w:tblGrid>
        <w:gridCol w:w="1348"/>
        <w:gridCol w:w="709"/>
        <w:gridCol w:w="1123"/>
        <w:gridCol w:w="7"/>
        <w:gridCol w:w="629"/>
        <w:gridCol w:w="36"/>
        <w:gridCol w:w="1060"/>
        <w:gridCol w:w="7"/>
        <w:gridCol w:w="665"/>
        <w:gridCol w:w="1219"/>
        <w:gridCol w:w="7"/>
        <w:gridCol w:w="160"/>
        <w:gridCol w:w="672"/>
        <w:gridCol w:w="989"/>
        <w:gridCol w:w="7"/>
        <w:gridCol w:w="665"/>
        <w:gridCol w:w="990"/>
        <w:gridCol w:w="7"/>
      </w:tblGrid>
      <w:tr w:rsidR="00236734" w:rsidRPr="003C7722" w14:paraId="0720503B" w14:textId="77777777" w:rsidTr="0075218A">
        <w:trPr>
          <w:gridAfter w:val="1"/>
          <w:wAfter w:w="7" w:type="dxa"/>
          <w:trHeight w:val="255"/>
        </w:trPr>
        <w:tc>
          <w:tcPr>
            <w:tcW w:w="1348" w:type="dxa"/>
            <w:vMerge w:val="restart"/>
            <w:shd w:val="clear" w:color="auto" w:fill="auto"/>
            <w:noWrap/>
            <w:vAlign w:val="center"/>
          </w:tcPr>
          <w:p w14:paraId="434B9A6E" w14:textId="77777777" w:rsidR="00236734" w:rsidRPr="003C7722" w:rsidRDefault="00236734" w:rsidP="0075218A">
            <w:pPr>
              <w:spacing w:before="40" w:after="20"/>
              <w:ind w:left="-57"/>
              <w:rPr>
                <w:rFonts w:ascii="Arial Narrow" w:hAnsi="Arial Narrow"/>
                <w:sz w:val="18"/>
                <w:szCs w:val="18"/>
              </w:rPr>
            </w:pPr>
          </w:p>
        </w:tc>
        <w:tc>
          <w:tcPr>
            <w:tcW w:w="3564" w:type="dxa"/>
            <w:gridSpan w:val="6"/>
            <w:tcBorders>
              <w:bottom w:val="single" w:sz="4" w:space="0" w:color="333333"/>
            </w:tcBorders>
            <w:shd w:val="clear" w:color="auto" w:fill="D9D9D9"/>
            <w:vAlign w:val="center"/>
          </w:tcPr>
          <w:p w14:paraId="46703824" w14:textId="77777777" w:rsidR="00236734" w:rsidRPr="003C7722" w:rsidRDefault="00236734" w:rsidP="0075218A">
            <w:pPr>
              <w:tabs>
                <w:tab w:val="left" w:pos="1316"/>
              </w:tabs>
              <w:spacing w:before="40" w:after="20"/>
              <w:ind w:right="-70"/>
              <w:jc w:val="center"/>
              <w:rPr>
                <w:rFonts w:ascii="Arial Narrow" w:hAnsi="Arial Narrow"/>
                <w:sz w:val="18"/>
                <w:szCs w:val="18"/>
              </w:rPr>
            </w:pPr>
            <w:r w:rsidRPr="003C7722">
              <w:rPr>
                <w:rFonts w:ascii="Arial Narrow" w:hAnsi="Arial Narrow" w:cs="Arial"/>
                <w:b/>
                <w:sz w:val="18"/>
                <w:szCs w:val="18"/>
              </w:rPr>
              <w:t>ESPORTAZIONI</w:t>
            </w:r>
          </w:p>
        </w:tc>
        <w:tc>
          <w:tcPr>
            <w:tcW w:w="3719" w:type="dxa"/>
            <w:gridSpan w:val="7"/>
            <w:tcBorders>
              <w:bottom w:val="single" w:sz="4" w:space="0" w:color="333333"/>
            </w:tcBorders>
            <w:shd w:val="clear" w:color="auto" w:fill="auto"/>
            <w:vAlign w:val="center"/>
          </w:tcPr>
          <w:p w14:paraId="5A26902C" w14:textId="77777777" w:rsidR="00236734" w:rsidRPr="003C7722" w:rsidRDefault="00236734" w:rsidP="0075218A">
            <w:pPr>
              <w:spacing w:before="40" w:after="20"/>
              <w:jc w:val="center"/>
              <w:rPr>
                <w:rFonts w:ascii="Arial Narrow" w:hAnsi="Arial Narrow"/>
                <w:sz w:val="18"/>
                <w:szCs w:val="18"/>
              </w:rPr>
            </w:pPr>
            <w:r w:rsidRPr="003C7722">
              <w:rPr>
                <w:rFonts w:ascii="Arial Narrow" w:hAnsi="Arial Narrow" w:cs="Arial"/>
                <w:b/>
                <w:sz w:val="18"/>
                <w:szCs w:val="18"/>
              </w:rPr>
              <w:t>IMPORTAZIONI</w:t>
            </w:r>
          </w:p>
        </w:tc>
        <w:tc>
          <w:tcPr>
            <w:tcW w:w="1662" w:type="dxa"/>
            <w:gridSpan w:val="3"/>
            <w:vMerge w:val="restart"/>
            <w:shd w:val="clear" w:color="auto" w:fill="auto"/>
            <w:vAlign w:val="center"/>
          </w:tcPr>
          <w:p w14:paraId="1475D2AF" w14:textId="77777777" w:rsidR="00236734" w:rsidRPr="003C7722" w:rsidRDefault="00236734" w:rsidP="0075218A">
            <w:pPr>
              <w:spacing w:before="40" w:after="20"/>
              <w:jc w:val="center"/>
              <w:rPr>
                <w:rFonts w:ascii="Arial Narrow" w:hAnsi="Arial Narrow"/>
                <w:b/>
                <w:bCs/>
                <w:sz w:val="18"/>
                <w:szCs w:val="18"/>
              </w:rPr>
            </w:pPr>
            <w:r w:rsidRPr="003C7722">
              <w:rPr>
                <w:rFonts w:ascii="Arial Narrow" w:hAnsi="Arial Narrow"/>
                <w:b/>
                <w:bCs/>
                <w:sz w:val="18"/>
                <w:szCs w:val="18"/>
              </w:rPr>
              <w:t>SALDI</w:t>
            </w:r>
          </w:p>
        </w:tc>
      </w:tr>
      <w:tr w:rsidR="00236734" w:rsidRPr="003C7722" w14:paraId="57FD8FA1" w14:textId="77777777" w:rsidTr="0075218A">
        <w:trPr>
          <w:gridAfter w:val="1"/>
          <w:wAfter w:w="7" w:type="dxa"/>
          <w:trHeight w:val="255"/>
        </w:trPr>
        <w:tc>
          <w:tcPr>
            <w:tcW w:w="1348" w:type="dxa"/>
            <w:vMerge/>
            <w:shd w:val="clear" w:color="auto" w:fill="auto"/>
            <w:noWrap/>
            <w:vAlign w:val="center"/>
          </w:tcPr>
          <w:p w14:paraId="7DB293F0" w14:textId="77777777" w:rsidR="00236734" w:rsidRPr="003C7722" w:rsidRDefault="00236734" w:rsidP="0075218A">
            <w:pPr>
              <w:spacing w:before="40" w:after="20"/>
              <w:ind w:left="-57"/>
              <w:rPr>
                <w:rFonts w:ascii="Arial Narrow" w:hAnsi="Arial Narrow"/>
                <w:sz w:val="18"/>
                <w:szCs w:val="18"/>
              </w:rPr>
            </w:pPr>
          </w:p>
        </w:tc>
        <w:tc>
          <w:tcPr>
            <w:tcW w:w="1832" w:type="dxa"/>
            <w:gridSpan w:val="2"/>
            <w:tcBorders>
              <w:bottom w:val="single" w:sz="4" w:space="0" w:color="333333"/>
            </w:tcBorders>
            <w:shd w:val="clear" w:color="auto" w:fill="auto"/>
            <w:vAlign w:val="center"/>
          </w:tcPr>
          <w:p w14:paraId="46E25A58" w14:textId="77777777" w:rsidR="00236734" w:rsidRDefault="00236734" w:rsidP="0075218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Variazioni</w:t>
            </w:r>
          </w:p>
          <w:p w14:paraId="74B0BB0E" w14:textId="77777777" w:rsidR="00236734" w:rsidRPr="00AF23DD" w:rsidRDefault="00236734" w:rsidP="0075218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congiunturali</w:t>
            </w:r>
          </w:p>
        </w:tc>
        <w:tc>
          <w:tcPr>
            <w:tcW w:w="1732" w:type="dxa"/>
            <w:gridSpan w:val="4"/>
            <w:tcBorders>
              <w:bottom w:val="single" w:sz="4" w:space="0" w:color="333333"/>
            </w:tcBorders>
            <w:shd w:val="clear" w:color="auto" w:fill="auto"/>
            <w:vAlign w:val="center"/>
          </w:tcPr>
          <w:p w14:paraId="3B05072A" w14:textId="77777777" w:rsidR="00236734" w:rsidRDefault="00236734" w:rsidP="0075218A">
            <w:pPr>
              <w:tabs>
                <w:tab w:val="left" w:pos="1316"/>
              </w:tabs>
              <w:spacing w:before="40"/>
              <w:ind w:right="-68"/>
              <w:jc w:val="center"/>
              <w:rPr>
                <w:rFonts w:ascii="Arial Narrow" w:hAnsi="Arial Narrow" w:cs="Arial"/>
                <w:b/>
                <w:sz w:val="18"/>
                <w:szCs w:val="18"/>
              </w:rPr>
            </w:pPr>
            <w:r w:rsidRPr="00AF23DD">
              <w:rPr>
                <w:rFonts w:ascii="Arial Narrow" w:hAnsi="Arial Narrow" w:cs="Arial"/>
                <w:b/>
                <w:sz w:val="18"/>
                <w:szCs w:val="18"/>
              </w:rPr>
              <w:t>Variazioni</w:t>
            </w:r>
          </w:p>
          <w:p w14:paraId="4AF0B27F" w14:textId="77777777" w:rsidR="00236734" w:rsidRPr="003C7722" w:rsidRDefault="00236734" w:rsidP="0075218A">
            <w:pPr>
              <w:tabs>
                <w:tab w:val="left" w:pos="1316"/>
              </w:tabs>
              <w:spacing w:before="40" w:after="20"/>
              <w:ind w:right="-70"/>
              <w:jc w:val="center"/>
              <w:rPr>
                <w:rFonts w:ascii="Arial Narrow" w:hAnsi="Arial Narrow" w:cs="Arial"/>
                <w:b/>
                <w:sz w:val="18"/>
                <w:szCs w:val="18"/>
              </w:rPr>
            </w:pPr>
            <w:r>
              <w:rPr>
                <w:rFonts w:ascii="Arial Narrow" w:hAnsi="Arial Narrow" w:cs="Arial"/>
                <w:b/>
                <w:sz w:val="18"/>
                <w:szCs w:val="18"/>
              </w:rPr>
              <w:t>tendenziali</w:t>
            </w:r>
          </w:p>
        </w:tc>
        <w:tc>
          <w:tcPr>
            <w:tcW w:w="2058" w:type="dxa"/>
            <w:gridSpan w:val="5"/>
            <w:tcBorders>
              <w:bottom w:val="single" w:sz="4" w:space="0" w:color="333333"/>
            </w:tcBorders>
            <w:shd w:val="clear" w:color="auto" w:fill="auto"/>
            <w:vAlign w:val="center"/>
          </w:tcPr>
          <w:p w14:paraId="0EFC7C9E" w14:textId="77777777" w:rsidR="00236734" w:rsidRDefault="00236734" w:rsidP="0075218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Variazioni</w:t>
            </w:r>
          </w:p>
          <w:p w14:paraId="07458202" w14:textId="77777777" w:rsidR="00236734" w:rsidRPr="003C7722" w:rsidRDefault="00236734" w:rsidP="0075218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congiunturali</w:t>
            </w:r>
          </w:p>
        </w:tc>
        <w:tc>
          <w:tcPr>
            <w:tcW w:w="1661" w:type="dxa"/>
            <w:gridSpan w:val="2"/>
            <w:tcBorders>
              <w:bottom w:val="single" w:sz="4" w:space="0" w:color="333333"/>
            </w:tcBorders>
            <w:shd w:val="clear" w:color="auto" w:fill="auto"/>
            <w:vAlign w:val="center"/>
          </w:tcPr>
          <w:p w14:paraId="10993A95" w14:textId="77777777" w:rsidR="00236734" w:rsidRDefault="00236734" w:rsidP="0075218A">
            <w:pPr>
              <w:tabs>
                <w:tab w:val="left" w:pos="1316"/>
              </w:tabs>
              <w:spacing w:before="40"/>
              <w:ind w:right="-68"/>
              <w:jc w:val="center"/>
              <w:rPr>
                <w:rFonts w:ascii="Arial Narrow" w:hAnsi="Arial Narrow" w:cs="Arial"/>
                <w:b/>
                <w:sz w:val="18"/>
                <w:szCs w:val="18"/>
              </w:rPr>
            </w:pPr>
            <w:r w:rsidRPr="00AF23DD">
              <w:rPr>
                <w:rFonts w:ascii="Arial Narrow" w:hAnsi="Arial Narrow" w:cs="Arial"/>
                <w:b/>
                <w:sz w:val="18"/>
                <w:szCs w:val="18"/>
              </w:rPr>
              <w:t>Variazioni</w:t>
            </w:r>
          </w:p>
          <w:p w14:paraId="61690DEA" w14:textId="77777777" w:rsidR="00236734" w:rsidRPr="003C7722" w:rsidRDefault="00236734" w:rsidP="0075218A">
            <w:pPr>
              <w:tabs>
                <w:tab w:val="left" w:pos="1316"/>
              </w:tabs>
              <w:spacing w:before="40" w:after="20"/>
              <w:ind w:right="-70"/>
              <w:jc w:val="center"/>
              <w:rPr>
                <w:rFonts w:ascii="Arial Narrow" w:hAnsi="Arial Narrow" w:cs="Arial"/>
                <w:b/>
                <w:sz w:val="18"/>
                <w:szCs w:val="18"/>
              </w:rPr>
            </w:pPr>
            <w:r>
              <w:rPr>
                <w:rFonts w:ascii="Arial Narrow" w:hAnsi="Arial Narrow" w:cs="Arial"/>
                <w:b/>
                <w:sz w:val="18"/>
                <w:szCs w:val="18"/>
              </w:rPr>
              <w:t>tendenziali</w:t>
            </w:r>
          </w:p>
        </w:tc>
        <w:tc>
          <w:tcPr>
            <w:tcW w:w="1662" w:type="dxa"/>
            <w:gridSpan w:val="3"/>
            <w:vMerge/>
            <w:shd w:val="clear" w:color="auto" w:fill="auto"/>
            <w:vAlign w:val="center"/>
          </w:tcPr>
          <w:p w14:paraId="1647B528" w14:textId="77777777" w:rsidR="00236734" w:rsidRPr="003C7722" w:rsidRDefault="00236734" w:rsidP="0075218A">
            <w:pPr>
              <w:spacing w:before="40" w:after="20"/>
              <w:jc w:val="center"/>
              <w:rPr>
                <w:rFonts w:ascii="Arial Narrow" w:hAnsi="Arial Narrow"/>
                <w:b/>
                <w:bCs/>
                <w:sz w:val="18"/>
                <w:szCs w:val="18"/>
              </w:rPr>
            </w:pPr>
          </w:p>
        </w:tc>
      </w:tr>
      <w:tr w:rsidR="00236734" w:rsidRPr="003C7722" w14:paraId="3F0C5E31" w14:textId="77777777" w:rsidTr="0075218A">
        <w:trPr>
          <w:gridAfter w:val="1"/>
          <w:wAfter w:w="7" w:type="dxa"/>
          <w:trHeight w:val="255"/>
        </w:trPr>
        <w:tc>
          <w:tcPr>
            <w:tcW w:w="1348" w:type="dxa"/>
            <w:vMerge/>
            <w:shd w:val="clear" w:color="auto" w:fill="auto"/>
            <w:noWrap/>
            <w:vAlign w:val="center"/>
          </w:tcPr>
          <w:p w14:paraId="357BF3FF" w14:textId="77777777" w:rsidR="00236734" w:rsidRPr="003C7722" w:rsidRDefault="00236734" w:rsidP="0075218A">
            <w:pPr>
              <w:spacing w:before="40" w:after="20"/>
              <w:ind w:left="-57"/>
              <w:rPr>
                <w:rFonts w:ascii="Arial Narrow" w:hAnsi="Arial Narrow"/>
                <w:sz w:val="18"/>
                <w:szCs w:val="18"/>
              </w:rPr>
            </w:pPr>
          </w:p>
        </w:tc>
        <w:tc>
          <w:tcPr>
            <w:tcW w:w="1832" w:type="dxa"/>
            <w:gridSpan w:val="2"/>
            <w:shd w:val="clear" w:color="auto" w:fill="D9D9D9"/>
            <w:vAlign w:val="center"/>
          </w:tcPr>
          <w:p w14:paraId="6F4C55AD" w14:textId="77777777" w:rsidR="00236734" w:rsidRPr="004C7973" w:rsidRDefault="00236734" w:rsidP="0075218A">
            <w:pPr>
              <w:spacing w:before="40" w:after="20"/>
              <w:ind w:right="-70"/>
              <w:jc w:val="center"/>
              <w:rPr>
                <w:rFonts w:ascii="Arial Narrow" w:hAnsi="Arial Narrow"/>
                <w:sz w:val="18"/>
                <w:szCs w:val="18"/>
              </w:rPr>
            </w:pPr>
            <w:r w:rsidRPr="004C7973">
              <w:rPr>
                <w:rFonts w:ascii="Arial Narrow" w:hAnsi="Arial Narrow"/>
                <w:sz w:val="18"/>
                <w:szCs w:val="18"/>
              </w:rPr>
              <w:t>Dati destagionalizzati</w:t>
            </w:r>
          </w:p>
        </w:tc>
        <w:tc>
          <w:tcPr>
            <w:tcW w:w="1732" w:type="dxa"/>
            <w:gridSpan w:val="4"/>
            <w:shd w:val="clear" w:color="auto" w:fill="auto"/>
            <w:vAlign w:val="center"/>
          </w:tcPr>
          <w:p w14:paraId="5E7FB818" w14:textId="77777777" w:rsidR="00236734" w:rsidRPr="004C7973" w:rsidRDefault="00236734" w:rsidP="0075218A">
            <w:pPr>
              <w:spacing w:before="40" w:after="20"/>
              <w:ind w:right="-70"/>
              <w:jc w:val="center"/>
              <w:rPr>
                <w:rFonts w:ascii="Arial Narrow" w:hAnsi="Arial Narrow"/>
                <w:sz w:val="18"/>
                <w:szCs w:val="18"/>
              </w:rPr>
            </w:pPr>
            <w:r w:rsidRPr="004C7973">
              <w:rPr>
                <w:rFonts w:ascii="Arial Narrow" w:hAnsi="Arial Narrow"/>
                <w:sz w:val="18"/>
                <w:szCs w:val="18"/>
              </w:rPr>
              <w:t>Dati grezzi</w:t>
            </w:r>
          </w:p>
        </w:tc>
        <w:tc>
          <w:tcPr>
            <w:tcW w:w="1891" w:type="dxa"/>
            <w:gridSpan w:val="3"/>
            <w:tcBorders>
              <w:bottom w:val="single" w:sz="4" w:space="0" w:color="333333"/>
            </w:tcBorders>
            <w:shd w:val="clear" w:color="auto" w:fill="D9D9D9"/>
            <w:vAlign w:val="center"/>
          </w:tcPr>
          <w:p w14:paraId="64C6606F" w14:textId="77777777" w:rsidR="00236734" w:rsidRPr="004C7973" w:rsidRDefault="00236734" w:rsidP="0075218A">
            <w:pPr>
              <w:spacing w:before="40" w:after="20"/>
              <w:jc w:val="center"/>
              <w:rPr>
                <w:rFonts w:ascii="Arial Narrow" w:hAnsi="Arial Narrow"/>
                <w:sz w:val="18"/>
                <w:szCs w:val="18"/>
              </w:rPr>
            </w:pPr>
            <w:r w:rsidRPr="004C7973">
              <w:rPr>
                <w:rFonts w:ascii="Arial Narrow" w:hAnsi="Arial Narrow"/>
                <w:sz w:val="18"/>
                <w:szCs w:val="18"/>
              </w:rPr>
              <w:t>Dati destagionalizzati</w:t>
            </w:r>
          </w:p>
        </w:tc>
        <w:tc>
          <w:tcPr>
            <w:tcW w:w="1828" w:type="dxa"/>
            <w:gridSpan w:val="4"/>
            <w:tcBorders>
              <w:bottom w:val="single" w:sz="4" w:space="0" w:color="333333"/>
            </w:tcBorders>
            <w:shd w:val="clear" w:color="auto" w:fill="auto"/>
            <w:noWrap/>
            <w:vAlign w:val="center"/>
          </w:tcPr>
          <w:p w14:paraId="296E7BDC" w14:textId="77777777" w:rsidR="00236734" w:rsidRPr="004C7973" w:rsidRDefault="00236734" w:rsidP="0075218A">
            <w:pPr>
              <w:spacing w:before="40" w:after="20"/>
              <w:jc w:val="center"/>
              <w:rPr>
                <w:rFonts w:ascii="Arial Narrow" w:hAnsi="Arial Narrow"/>
                <w:sz w:val="18"/>
                <w:szCs w:val="18"/>
              </w:rPr>
            </w:pPr>
            <w:r w:rsidRPr="004C7973">
              <w:rPr>
                <w:rFonts w:ascii="Arial Narrow" w:hAnsi="Arial Narrow"/>
                <w:sz w:val="18"/>
                <w:szCs w:val="18"/>
              </w:rPr>
              <w:t>Dati grezzi</w:t>
            </w:r>
          </w:p>
        </w:tc>
        <w:tc>
          <w:tcPr>
            <w:tcW w:w="1662" w:type="dxa"/>
            <w:gridSpan w:val="3"/>
            <w:tcBorders>
              <w:bottom w:val="single" w:sz="4" w:space="0" w:color="333333"/>
            </w:tcBorders>
            <w:shd w:val="clear" w:color="auto" w:fill="D9D9D9"/>
            <w:noWrap/>
            <w:vAlign w:val="center"/>
          </w:tcPr>
          <w:p w14:paraId="0E92723A" w14:textId="77777777" w:rsidR="00236734" w:rsidRPr="004C7973" w:rsidRDefault="00236734" w:rsidP="0075218A">
            <w:pPr>
              <w:spacing w:before="40" w:after="20"/>
              <w:jc w:val="center"/>
              <w:rPr>
                <w:rFonts w:ascii="Arial Narrow" w:hAnsi="Arial Narrow"/>
                <w:sz w:val="18"/>
                <w:szCs w:val="18"/>
              </w:rPr>
            </w:pPr>
            <w:r w:rsidRPr="004C7973">
              <w:rPr>
                <w:rFonts w:ascii="Arial Narrow" w:hAnsi="Arial Narrow"/>
                <w:sz w:val="18"/>
                <w:szCs w:val="18"/>
              </w:rPr>
              <w:t>Dati grezzi</w:t>
            </w:r>
          </w:p>
          <w:p w14:paraId="2334E39A" w14:textId="77777777" w:rsidR="00236734" w:rsidRPr="004C7973" w:rsidRDefault="00236734" w:rsidP="0075218A">
            <w:pPr>
              <w:spacing w:before="40" w:after="20"/>
              <w:jc w:val="center"/>
              <w:rPr>
                <w:rFonts w:ascii="Arial Narrow" w:hAnsi="Arial Narrow"/>
                <w:sz w:val="18"/>
                <w:szCs w:val="18"/>
              </w:rPr>
            </w:pPr>
            <w:r w:rsidRPr="004C7973">
              <w:rPr>
                <w:rFonts w:ascii="Arial Narrow" w:hAnsi="Arial Narrow"/>
                <w:sz w:val="18"/>
                <w:szCs w:val="18"/>
              </w:rPr>
              <w:t>Milioni di euro</w:t>
            </w:r>
          </w:p>
        </w:tc>
      </w:tr>
      <w:tr w:rsidR="00966E14" w:rsidRPr="003C7722" w14:paraId="6C2E91BF" w14:textId="77777777" w:rsidTr="0075218A">
        <w:trPr>
          <w:trHeight w:val="255"/>
        </w:trPr>
        <w:tc>
          <w:tcPr>
            <w:tcW w:w="1348" w:type="dxa"/>
            <w:vMerge/>
            <w:shd w:val="clear" w:color="auto" w:fill="auto"/>
            <w:noWrap/>
            <w:vAlign w:val="center"/>
          </w:tcPr>
          <w:p w14:paraId="58865012" w14:textId="77777777" w:rsidR="00966E14" w:rsidRPr="003C7722" w:rsidRDefault="00966E14" w:rsidP="00966E14">
            <w:pPr>
              <w:spacing w:before="40" w:after="20"/>
              <w:ind w:left="-57"/>
              <w:rPr>
                <w:rFonts w:ascii="Arial Narrow" w:hAnsi="Arial Narrow"/>
                <w:sz w:val="18"/>
                <w:szCs w:val="18"/>
              </w:rPr>
            </w:pPr>
          </w:p>
        </w:tc>
        <w:tc>
          <w:tcPr>
            <w:tcW w:w="709" w:type="dxa"/>
            <w:shd w:val="clear" w:color="auto" w:fill="auto"/>
            <w:vAlign w:val="center"/>
          </w:tcPr>
          <w:p w14:paraId="33BAAD50" w14:textId="264F3CE9" w:rsidR="00966E14" w:rsidRPr="0069402A" w:rsidRDefault="00966E14" w:rsidP="00966E14">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 22</w:t>
            </w:r>
          </w:p>
          <w:p w14:paraId="1B97A9AF" w14:textId="03DBF78A" w:rsidR="00966E14" w:rsidRPr="003C7722" w:rsidRDefault="00966E14" w:rsidP="00966E14">
            <w:pPr>
              <w:spacing w:before="40" w:after="20"/>
              <w:jc w:val="center"/>
              <w:rPr>
                <w:rFonts w:ascii="Arial Narrow" w:hAnsi="Arial Narrow"/>
                <w:sz w:val="18"/>
                <w:szCs w:val="18"/>
                <w:lang w:val="en-US"/>
              </w:rPr>
            </w:pPr>
            <w:proofErr w:type="spellStart"/>
            <w:r>
              <w:rPr>
                <w:rFonts w:ascii="Arial Narrow" w:hAnsi="Arial Narrow"/>
                <w:sz w:val="18"/>
                <w:szCs w:val="18"/>
                <w:lang w:val="en-US"/>
              </w:rPr>
              <w:t>giu</w:t>
            </w:r>
            <w:proofErr w:type="spellEnd"/>
            <w:r>
              <w:rPr>
                <w:rFonts w:ascii="Arial Narrow" w:hAnsi="Arial Narrow"/>
                <w:sz w:val="18"/>
                <w:szCs w:val="18"/>
                <w:lang w:val="en-US"/>
              </w:rPr>
              <w:t xml:space="preserve"> 22</w:t>
            </w:r>
          </w:p>
        </w:tc>
        <w:tc>
          <w:tcPr>
            <w:tcW w:w="1130" w:type="dxa"/>
            <w:gridSpan w:val="2"/>
            <w:shd w:val="clear" w:color="auto" w:fill="auto"/>
            <w:noWrap/>
            <w:vAlign w:val="center"/>
          </w:tcPr>
          <w:p w14:paraId="24556D53" w14:textId="2557B979" w:rsidR="00966E14" w:rsidRPr="0069402A" w:rsidRDefault="00966E14" w:rsidP="00966E14">
            <w:pPr>
              <w:spacing w:before="40" w:after="20"/>
              <w:jc w:val="center"/>
              <w:rPr>
                <w:rFonts w:ascii="Arial Narrow" w:hAnsi="Arial Narrow"/>
                <w:sz w:val="18"/>
                <w:szCs w:val="18"/>
                <w:u w:val="single"/>
                <w:lang w:val="en-US"/>
              </w:rPr>
            </w:pPr>
            <w:r>
              <w:rPr>
                <w:rFonts w:ascii="Arial Narrow" w:hAnsi="Arial Narrow"/>
                <w:sz w:val="18"/>
                <w:szCs w:val="18"/>
                <w:u w:val="single"/>
                <w:lang w:val="en-US"/>
              </w:rPr>
              <w:t>mag-lug 22</w:t>
            </w:r>
          </w:p>
          <w:p w14:paraId="7C4FDF51" w14:textId="1E63FD5B" w:rsidR="00966E14" w:rsidRPr="003C7722" w:rsidRDefault="00966E14" w:rsidP="00966E14">
            <w:pPr>
              <w:spacing w:before="40" w:after="20"/>
              <w:jc w:val="center"/>
              <w:rPr>
                <w:rFonts w:ascii="Arial Narrow" w:hAnsi="Arial Narrow"/>
                <w:sz w:val="18"/>
                <w:szCs w:val="18"/>
                <w:lang w:val="en-US"/>
              </w:rPr>
            </w:pPr>
            <w:proofErr w:type="spellStart"/>
            <w:r>
              <w:rPr>
                <w:rFonts w:ascii="Arial Narrow" w:hAnsi="Arial Narrow"/>
                <w:sz w:val="18"/>
                <w:szCs w:val="18"/>
                <w:lang w:val="en-US"/>
              </w:rPr>
              <w:t>feb-apr</w:t>
            </w:r>
            <w:proofErr w:type="spellEnd"/>
            <w:r>
              <w:rPr>
                <w:rFonts w:ascii="Arial Narrow" w:hAnsi="Arial Narrow"/>
                <w:sz w:val="18"/>
                <w:szCs w:val="18"/>
                <w:lang w:val="en-US"/>
              </w:rPr>
              <w:t xml:space="preserve"> 22</w:t>
            </w:r>
          </w:p>
        </w:tc>
        <w:tc>
          <w:tcPr>
            <w:tcW w:w="665" w:type="dxa"/>
            <w:gridSpan w:val="2"/>
            <w:shd w:val="clear" w:color="auto" w:fill="auto"/>
            <w:vAlign w:val="center"/>
          </w:tcPr>
          <w:p w14:paraId="1F372249" w14:textId="72115E79" w:rsidR="00966E14" w:rsidRPr="0069402A" w:rsidRDefault="00966E14" w:rsidP="00966E14">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 22</w:t>
            </w:r>
          </w:p>
          <w:p w14:paraId="212B07BD" w14:textId="44540A0B" w:rsidR="00966E14" w:rsidRPr="003C7722" w:rsidRDefault="00966E14" w:rsidP="00966E14">
            <w:pPr>
              <w:spacing w:before="40" w:after="20"/>
              <w:jc w:val="center"/>
              <w:rPr>
                <w:rFonts w:ascii="Arial Narrow" w:hAnsi="Arial Narrow"/>
                <w:sz w:val="18"/>
                <w:szCs w:val="18"/>
                <w:lang w:val="en-US"/>
              </w:rPr>
            </w:pPr>
            <w:r>
              <w:rPr>
                <w:rFonts w:ascii="Arial Narrow" w:hAnsi="Arial Narrow"/>
                <w:sz w:val="18"/>
                <w:szCs w:val="18"/>
                <w:lang w:val="en-US"/>
              </w:rPr>
              <w:t>lug 21</w:t>
            </w:r>
          </w:p>
        </w:tc>
        <w:tc>
          <w:tcPr>
            <w:tcW w:w="1067" w:type="dxa"/>
            <w:gridSpan w:val="2"/>
            <w:shd w:val="clear" w:color="auto" w:fill="auto"/>
            <w:noWrap/>
            <w:vAlign w:val="center"/>
          </w:tcPr>
          <w:p w14:paraId="0AD4A080" w14:textId="2C8E23E6" w:rsidR="00966E14" w:rsidRPr="0069402A" w:rsidRDefault="00966E14" w:rsidP="00966E14">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gen-lug 22</w:t>
            </w:r>
          </w:p>
          <w:p w14:paraId="1A1E02E1" w14:textId="78030D99" w:rsidR="00966E14" w:rsidRPr="003C7722" w:rsidRDefault="00966E14" w:rsidP="00966E14">
            <w:pPr>
              <w:spacing w:before="40" w:after="20"/>
              <w:jc w:val="center"/>
              <w:rPr>
                <w:rFonts w:ascii="Arial Narrow" w:hAnsi="Arial Narrow"/>
                <w:sz w:val="18"/>
                <w:szCs w:val="18"/>
                <w:lang w:val="en-US"/>
              </w:rPr>
            </w:pPr>
            <w:r>
              <w:rPr>
                <w:rFonts w:ascii="Arial Narrow" w:hAnsi="Arial Narrow"/>
                <w:sz w:val="18"/>
                <w:szCs w:val="18"/>
                <w:lang w:val="en-US"/>
              </w:rPr>
              <w:t>gen-lug 21</w:t>
            </w:r>
          </w:p>
        </w:tc>
        <w:tc>
          <w:tcPr>
            <w:tcW w:w="665" w:type="dxa"/>
            <w:shd w:val="clear" w:color="auto" w:fill="auto"/>
            <w:noWrap/>
            <w:vAlign w:val="center"/>
          </w:tcPr>
          <w:p w14:paraId="02F9BAC6" w14:textId="77777777" w:rsidR="00966E14" w:rsidRPr="0069402A" w:rsidRDefault="00966E14" w:rsidP="00966E14">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 22</w:t>
            </w:r>
          </w:p>
          <w:p w14:paraId="05ACA2DB" w14:textId="417F0017" w:rsidR="00966E14" w:rsidRPr="003C7722" w:rsidRDefault="00966E14" w:rsidP="00966E14">
            <w:pPr>
              <w:spacing w:before="40" w:after="20"/>
              <w:jc w:val="center"/>
              <w:rPr>
                <w:rFonts w:ascii="Arial Narrow" w:hAnsi="Arial Narrow"/>
                <w:sz w:val="18"/>
                <w:szCs w:val="18"/>
                <w:lang w:val="en-US"/>
              </w:rPr>
            </w:pPr>
            <w:proofErr w:type="spellStart"/>
            <w:r>
              <w:rPr>
                <w:rFonts w:ascii="Arial Narrow" w:hAnsi="Arial Narrow"/>
                <w:sz w:val="18"/>
                <w:szCs w:val="18"/>
                <w:lang w:val="en-US"/>
              </w:rPr>
              <w:t>giu</w:t>
            </w:r>
            <w:proofErr w:type="spellEnd"/>
            <w:r>
              <w:rPr>
                <w:rFonts w:ascii="Arial Narrow" w:hAnsi="Arial Narrow"/>
                <w:sz w:val="18"/>
                <w:szCs w:val="18"/>
                <w:lang w:val="en-US"/>
              </w:rPr>
              <w:t xml:space="preserve"> 22</w:t>
            </w:r>
          </w:p>
        </w:tc>
        <w:tc>
          <w:tcPr>
            <w:tcW w:w="1226" w:type="dxa"/>
            <w:gridSpan w:val="2"/>
            <w:shd w:val="clear" w:color="auto" w:fill="auto"/>
            <w:vAlign w:val="center"/>
          </w:tcPr>
          <w:p w14:paraId="0D3B091B" w14:textId="77777777" w:rsidR="00966E14" w:rsidRPr="0069402A" w:rsidRDefault="00966E14" w:rsidP="00966E14">
            <w:pPr>
              <w:spacing w:before="40" w:after="20"/>
              <w:jc w:val="center"/>
              <w:rPr>
                <w:rFonts w:ascii="Arial Narrow" w:hAnsi="Arial Narrow"/>
                <w:sz w:val="18"/>
                <w:szCs w:val="18"/>
                <w:u w:val="single"/>
                <w:lang w:val="en-US"/>
              </w:rPr>
            </w:pPr>
            <w:r>
              <w:rPr>
                <w:rFonts w:ascii="Arial Narrow" w:hAnsi="Arial Narrow"/>
                <w:sz w:val="18"/>
                <w:szCs w:val="18"/>
                <w:u w:val="single"/>
                <w:lang w:val="en-US"/>
              </w:rPr>
              <w:t>mag-lug 22</w:t>
            </w:r>
          </w:p>
          <w:p w14:paraId="01699A3B" w14:textId="2CD912AC" w:rsidR="00966E14" w:rsidRPr="003C7722" w:rsidRDefault="00966E14" w:rsidP="00966E14">
            <w:pPr>
              <w:spacing w:before="40" w:after="20"/>
              <w:jc w:val="center"/>
              <w:rPr>
                <w:rFonts w:ascii="Arial Narrow" w:hAnsi="Arial Narrow"/>
                <w:sz w:val="18"/>
                <w:szCs w:val="18"/>
                <w:lang w:val="en-US"/>
              </w:rPr>
            </w:pPr>
            <w:proofErr w:type="spellStart"/>
            <w:r>
              <w:rPr>
                <w:rFonts w:ascii="Arial Narrow" w:hAnsi="Arial Narrow"/>
                <w:sz w:val="18"/>
                <w:szCs w:val="18"/>
                <w:lang w:val="en-US"/>
              </w:rPr>
              <w:t>feb-apr</w:t>
            </w:r>
            <w:proofErr w:type="spellEnd"/>
            <w:r>
              <w:rPr>
                <w:rFonts w:ascii="Arial Narrow" w:hAnsi="Arial Narrow"/>
                <w:sz w:val="18"/>
                <w:szCs w:val="18"/>
                <w:lang w:val="en-US"/>
              </w:rPr>
              <w:t xml:space="preserve"> 22</w:t>
            </w:r>
          </w:p>
        </w:tc>
        <w:tc>
          <w:tcPr>
            <w:tcW w:w="832" w:type="dxa"/>
            <w:gridSpan w:val="2"/>
            <w:shd w:val="clear" w:color="auto" w:fill="auto"/>
            <w:noWrap/>
            <w:vAlign w:val="center"/>
          </w:tcPr>
          <w:p w14:paraId="18A93A33" w14:textId="77777777" w:rsidR="00966E14" w:rsidRPr="0069402A" w:rsidRDefault="00966E14" w:rsidP="00966E14">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 22</w:t>
            </w:r>
          </w:p>
          <w:p w14:paraId="1E375B84" w14:textId="2F2A7FF5" w:rsidR="00966E14" w:rsidRPr="003C7722" w:rsidRDefault="00966E14" w:rsidP="00966E14">
            <w:pPr>
              <w:spacing w:before="40" w:after="20"/>
              <w:jc w:val="center"/>
              <w:rPr>
                <w:rFonts w:ascii="Arial Narrow" w:hAnsi="Arial Narrow"/>
                <w:sz w:val="18"/>
                <w:szCs w:val="18"/>
                <w:lang w:val="en-US"/>
              </w:rPr>
            </w:pPr>
            <w:r>
              <w:rPr>
                <w:rFonts w:ascii="Arial Narrow" w:hAnsi="Arial Narrow"/>
                <w:sz w:val="18"/>
                <w:szCs w:val="18"/>
                <w:lang w:val="en-US"/>
              </w:rPr>
              <w:t>lug 21</w:t>
            </w:r>
          </w:p>
        </w:tc>
        <w:tc>
          <w:tcPr>
            <w:tcW w:w="996" w:type="dxa"/>
            <w:gridSpan w:val="2"/>
            <w:shd w:val="clear" w:color="auto" w:fill="auto"/>
            <w:noWrap/>
            <w:vAlign w:val="center"/>
          </w:tcPr>
          <w:p w14:paraId="00BAB6A1" w14:textId="77777777" w:rsidR="00966E14" w:rsidRPr="0069402A" w:rsidRDefault="00966E14" w:rsidP="00966E14">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gen-lug 22</w:t>
            </w:r>
          </w:p>
          <w:p w14:paraId="48918470" w14:textId="15FCE108" w:rsidR="00966E14" w:rsidRPr="003C7722" w:rsidRDefault="00966E14" w:rsidP="00966E14">
            <w:pPr>
              <w:spacing w:before="40" w:after="20"/>
              <w:jc w:val="center"/>
              <w:rPr>
                <w:rFonts w:ascii="Arial Narrow" w:hAnsi="Arial Narrow"/>
                <w:sz w:val="18"/>
                <w:szCs w:val="18"/>
                <w:lang w:val="en-US"/>
              </w:rPr>
            </w:pPr>
            <w:r>
              <w:rPr>
                <w:rFonts w:ascii="Arial Narrow" w:hAnsi="Arial Narrow"/>
                <w:sz w:val="18"/>
                <w:szCs w:val="18"/>
                <w:lang w:val="en-US"/>
              </w:rPr>
              <w:t>gen-lug 21</w:t>
            </w:r>
          </w:p>
        </w:tc>
        <w:tc>
          <w:tcPr>
            <w:tcW w:w="665" w:type="dxa"/>
            <w:tcBorders>
              <w:bottom w:val="nil"/>
            </w:tcBorders>
            <w:shd w:val="clear" w:color="auto" w:fill="auto"/>
            <w:noWrap/>
            <w:vAlign w:val="center"/>
          </w:tcPr>
          <w:p w14:paraId="11929ABA" w14:textId="7C34492B" w:rsidR="00966E14" w:rsidRPr="003C7722" w:rsidRDefault="00966E14" w:rsidP="00966E14">
            <w:pPr>
              <w:spacing w:before="40" w:after="20"/>
              <w:jc w:val="center"/>
              <w:rPr>
                <w:rFonts w:ascii="Arial Narrow" w:hAnsi="Arial Narrow"/>
                <w:sz w:val="18"/>
                <w:szCs w:val="18"/>
                <w:lang w:val="en-US"/>
              </w:rPr>
            </w:pPr>
            <w:r>
              <w:rPr>
                <w:rFonts w:ascii="Arial Narrow" w:hAnsi="Arial Narrow"/>
                <w:sz w:val="18"/>
                <w:szCs w:val="18"/>
                <w:lang w:val="en-US"/>
              </w:rPr>
              <w:t>lug 22</w:t>
            </w:r>
          </w:p>
        </w:tc>
        <w:tc>
          <w:tcPr>
            <w:tcW w:w="997" w:type="dxa"/>
            <w:gridSpan w:val="2"/>
            <w:shd w:val="clear" w:color="auto" w:fill="auto"/>
            <w:vAlign w:val="center"/>
          </w:tcPr>
          <w:p w14:paraId="40468379" w14:textId="2F282F2C" w:rsidR="00966E14" w:rsidRPr="003C7722" w:rsidRDefault="00966E14" w:rsidP="00966E14">
            <w:pPr>
              <w:spacing w:before="40" w:after="20"/>
              <w:jc w:val="center"/>
              <w:rPr>
                <w:rFonts w:ascii="Arial Narrow" w:hAnsi="Arial Narrow"/>
                <w:sz w:val="18"/>
                <w:szCs w:val="18"/>
                <w:lang w:val="en-US"/>
              </w:rPr>
            </w:pPr>
            <w:r>
              <w:rPr>
                <w:rFonts w:ascii="Arial Narrow" w:hAnsi="Arial Narrow"/>
                <w:sz w:val="18"/>
                <w:szCs w:val="18"/>
                <w:lang w:val="en-US"/>
              </w:rPr>
              <w:t>gen-lug 22</w:t>
            </w:r>
          </w:p>
        </w:tc>
      </w:tr>
      <w:tr w:rsidR="002662C0" w:rsidRPr="008C0651" w14:paraId="21B8FC65" w14:textId="77777777" w:rsidTr="0075218A">
        <w:trPr>
          <w:trHeight w:val="255"/>
        </w:trPr>
        <w:tc>
          <w:tcPr>
            <w:tcW w:w="1348" w:type="dxa"/>
            <w:shd w:val="clear" w:color="auto" w:fill="auto"/>
            <w:noWrap/>
            <w:vAlign w:val="center"/>
          </w:tcPr>
          <w:p w14:paraId="519A2F97" w14:textId="77777777" w:rsidR="002662C0" w:rsidRPr="007C052D" w:rsidRDefault="002662C0" w:rsidP="002662C0">
            <w:pPr>
              <w:spacing w:before="40" w:after="20"/>
              <w:rPr>
                <w:rFonts w:ascii="Arial Narrow" w:hAnsi="Arial Narrow"/>
                <w:sz w:val="18"/>
                <w:szCs w:val="18"/>
              </w:rPr>
            </w:pPr>
            <w:r w:rsidRPr="007C052D">
              <w:rPr>
                <w:rFonts w:ascii="Arial Narrow" w:hAnsi="Arial Narrow"/>
                <w:sz w:val="18"/>
                <w:szCs w:val="18"/>
              </w:rPr>
              <w:t>Paesi Ue27</w:t>
            </w:r>
          </w:p>
        </w:tc>
        <w:tc>
          <w:tcPr>
            <w:tcW w:w="709" w:type="dxa"/>
            <w:shd w:val="clear" w:color="auto" w:fill="D9D9D9"/>
            <w:vAlign w:val="bottom"/>
          </w:tcPr>
          <w:p w14:paraId="2320A094" w14:textId="19A5870C" w:rsidR="002662C0" w:rsidRDefault="002662C0" w:rsidP="002662C0">
            <w:pPr>
              <w:jc w:val="center"/>
              <w:rPr>
                <w:rFonts w:ascii="Arial Narrow" w:hAnsi="Arial Narrow"/>
                <w:sz w:val="18"/>
                <w:szCs w:val="18"/>
              </w:rPr>
            </w:pPr>
            <w:r>
              <w:rPr>
                <w:rFonts w:ascii="Arial Narrow" w:hAnsi="Arial Narrow"/>
                <w:sz w:val="18"/>
                <w:szCs w:val="18"/>
              </w:rPr>
              <w:t>+2,6</w:t>
            </w:r>
          </w:p>
        </w:tc>
        <w:tc>
          <w:tcPr>
            <w:tcW w:w="1130" w:type="dxa"/>
            <w:gridSpan w:val="2"/>
            <w:shd w:val="clear" w:color="auto" w:fill="D9D9D9"/>
            <w:noWrap/>
            <w:vAlign w:val="bottom"/>
          </w:tcPr>
          <w:p w14:paraId="35BD16BF" w14:textId="2718237A" w:rsidR="002662C0" w:rsidRDefault="002662C0" w:rsidP="002662C0">
            <w:pPr>
              <w:jc w:val="center"/>
              <w:rPr>
                <w:rFonts w:ascii="Arial Narrow" w:hAnsi="Arial Narrow"/>
                <w:sz w:val="18"/>
                <w:szCs w:val="18"/>
              </w:rPr>
            </w:pPr>
            <w:r>
              <w:rPr>
                <w:rFonts w:ascii="Arial Narrow" w:hAnsi="Arial Narrow"/>
                <w:sz w:val="18"/>
                <w:szCs w:val="18"/>
              </w:rPr>
              <w:t>+6,0</w:t>
            </w:r>
          </w:p>
        </w:tc>
        <w:tc>
          <w:tcPr>
            <w:tcW w:w="629" w:type="dxa"/>
            <w:vAlign w:val="bottom"/>
          </w:tcPr>
          <w:p w14:paraId="321E7414" w14:textId="31A6B4B1" w:rsidR="002662C0" w:rsidRDefault="002662C0" w:rsidP="002662C0">
            <w:pPr>
              <w:jc w:val="center"/>
              <w:rPr>
                <w:rFonts w:ascii="Arial Narrow" w:hAnsi="Arial Narrow"/>
                <w:sz w:val="18"/>
                <w:szCs w:val="18"/>
              </w:rPr>
            </w:pPr>
            <w:r>
              <w:rPr>
                <w:rFonts w:ascii="Arial Narrow" w:hAnsi="Arial Narrow"/>
                <w:sz w:val="18"/>
                <w:szCs w:val="18"/>
              </w:rPr>
              <w:t>+21,8</w:t>
            </w:r>
          </w:p>
        </w:tc>
        <w:tc>
          <w:tcPr>
            <w:tcW w:w="1103" w:type="dxa"/>
            <w:gridSpan w:val="3"/>
            <w:shd w:val="clear" w:color="auto" w:fill="auto"/>
            <w:noWrap/>
            <w:vAlign w:val="bottom"/>
          </w:tcPr>
          <w:p w14:paraId="5558032C" w14:textId="2C41E0EC" w:rsidR="002662C0" w:rsidRDefault="002662C0" w:rsidP="002662C0">
            <w:pPr>
              <w:jc w:val="center"/>
              <w:rPr>
                <w:rFonts w:ascii="Arial Narrow" w:hAnsi="Arial Narrow"/>
                <w:sz w:val="18"/>
                <w:szCs w:val="18"/>
              </w:rPr>
            </w:pPr>
            <w:r>
              <w:rPr>
                <w:rFonts w:ascii="Arial Narrow" w:hAnsi="Arial Narrow"/>
                <w:sz w:val="18"/>
                <w:szCs w:val="18"/>
              </w:rPr>
              <w:t>+24,0</w:t>
            </w:r>
          </w:p>
        </w:tc>
        <w:tc>
          <w:tcPr>
            <w:tcW w:w="665" w:type="dxa"/>
            <w:shd w:val="clear" w:color="auto" w:fill="D9D9D9"/>
            <w:noWrap/>
            <w:vAlign w:val="bottom"/>
          </w:tcPr>
          <w:p w14:paraId="2C7E9C02" w14:textId="24E6FFB7" w:rsidR="002662C0" w:rsidRDefault="002662C0" w:rsidP="002662C0">
            <w:pPr>
              <w:jc w:val="center"/>
              <w:rPr>
                <w:rFonts w:ascii="Arial Narrow" w:hAnsi="Arial Narrow"/>
                <w:sz w:val="18"/>
                <w:szCs w:val="18"/>
              </w:rPr>
            </w:pPr>
            <w:r>
              <w:rPr>
                <w:rFonts w:ascii="Arial Narrow" w:hAnsi="Arial Narrow"/>
                <w:sz w:val="18"/>
                <w:szCs w:val="18"/>
              </w:rPr>
              <w:t>+1,6</w:t>
            </w:r>
          </w:p>
        </w:tc>
        <w:tc>
          <w:tcPr>
            <w:tcW w:w="1226" w:type="dxa"/>
            <w:gridSpan w:val="2"/>
            <w:shd w:val="clear" w:color="auto" w:fill="D9D9D9"/>
            <w:vAlign w:val="bottom"/>
          </w:tcPr>
          <w:p w14:paraId="1033B738" w14:textId="35C5D739" w:rsidR="002662C0" w:rsidRDefault="002662C0" w:rsidP="002662C0">
            <w:pPr>
              <w:jc w:val="center"/>
              <w:rPr>
                <w:rFonts w:ascii="Arial Narrow" w:hAnsi="Arial Narrow"/>
                <w:sz w:val="18"/>
                <w:szCs w:val="18"/>
              </w:rPr>
            </w:pPr>
            <w:r>
              <w:rPr>
                <w:rFonts w:ascii="Arial Narrow" w:hAnsi="Arial Narrow"/>
                <w:sz w:val="18"/>
                <w:szCs w:val="18"/>
              </w:rPr>
              <w:t>+5,0</w:t>
            </w:r>
          </w:p>
        </w:tc>
        <w:tc>
          <w:tcPr>
            <w:tcW w:w="832" w:type="dxa"/>
            <w:gridSpan w:val="2"/>
            <w:shd w:val="clear" w:color="auto" w:fill="auto"/>
            <w:noWrap/>
            <w:vAlign w:val="bottom"/>
          </w:tcPr>
          <w:p w14:paraId="2B08A58E" w14:textId="4F34B684" w:rsidR="002662C0" w:rsidRDefault="002662C0" w:rsidP="002662C0">
            <w:pPr>
              <w:jc w:val="center"/>
              <w:rPr>
                <w:rFonts w:ascii="Arial Narrow" w:hAnsi="Arial Narrow"/>
                <w:sz w:val="18"/>
                <w:szCs w:val="18"/>
              </w:rPr>
            </w:pPr>
            <w:r>
              <w:rPr>
                <w:rFonts w:ascii="Arial Narrow" w:hAnsi="Arial Narrow"/>
                <w:sz w:val="18"/>
                <w:szCs w:val="18"/>
              </w:rPr>
              <w:t>+21,3</w:t>
            </w:r>
          </w:p>
        </w:tc>
        <w:tc>
          <w:tcPr>
            <w:tcW w:w="996" w:type="dxa"/>
            <w:gridSpan w:val="2"/>
            <w:shd w:val="clear" w:color="auto" w:fill="auto"/>
            <w:noWrap/>
            <w:vAlign w:val="bottom"/>
          </w:tcPr>
          <w:p w14:paraId="05C3F3A2" w14:textId="31764564" w:rsidR="002662C0" w:rsidRDefault="002662C0" w:rsidP="002662C0">
            <w:pPr>
              <w:jc w:val="center"/>
              <w:rPr>
                <w:rFonts w:ascii="Arial Narrow" w:hAnsi="Arial Narrow"/>
                <w:sz w:val="18"/>
                <w:szCs w:val="18"/>
              </w:rPr>
            </w:pPr>
            <w:r>
              <w:rPr>
                <w:rFonts w:ascii="Arial Narrow" w:hAnsi="Arial Narrow"/>
                <w:sz w:val="18"/>
                <w:szCs w:val="18"/>
              </w:rPr>
              <w:t>+27,6</w:t>
            </w:r>
          </w:p>
        </w:tc>
        <w:tc>
          <w:tcPr>
            <w:tcW w:w="665" w:type="dxa"/>
            <w:shd w:val="clear" w:color="auto" w:fill="D9D9D9"/>
            <w:noWrap/>
            <w:vAlign w:val="bottom"/>
          </w:tcPr>
          <w:p w14:paraId="4966466C" w14:textId="3409B91A" w:rsidR="002662C0" w:rsidRDefault="002662C0" w:rsidP="002662C0">
            <w:pPr>
              <w:jc w:val="center"/>
              <w:rPr>
                <w:rFonts w:ascii="Arial Narrow" w:hAnsi="Arial Narrow"/>
                <w:sz w:val="18"/>
                <w:szCs w:val="18"/>
              </w:rPr>
            </w:pPr>
            <w:r>
              <w:rPr>
                <w:rFonts w:ascii="Arial Narrow" w:hAnsi="Arial Narrow"/>
                <w:sz w:val="18"/>
                <w:szCs w:val="18"/>
              </w:rPr>
              <w:t>+2.466</w:t>
            </w:r>
          </w:p>
        </w:tc>
        <w:tc>
          <w:tcPr>
            <w:tcW w:w="997" w:type="dxa"/>
            <w:gridSpan w:val="2"/>
            <w:shd w:val="clear" w:color="auto" w:fill="D9D9D9"/>
            <w:vAlign w:val="bottom"/>
          </w:tcPr>
          <w:p w14:paraId="73A87C64" w14:textId="7A20A452" w:rsidR="002662C0" w:rsidRDefault="002662C0" w:rsidP="002662C0">
            <w:pPr>
              <w:jc w:val="center"/>
              <w:rPr>
                <w:rFonts w:ascii="Arial Narrow" w:hAnsi="Arial Narrow"/>
                <w:sz w:val="18"/>
                <w:szCs w:val="18"/>
              </w:rPr>
            </w:pPr>
            <w:r>
              <w:rPr>
                <w:rFonts w:ascii="Arial Narrow" w:hAnsi="Arial Narrow"/>
                <w:sz w:val="18"/>
                <w:szCs w:val="18"/>
              </w:rPr>
              <w:t>+1.321</w:t>
            </w:r>
          </w:p>
        </w:tc>
      </w:tr>
      <w:tr w:rsidR="002662C0" w:rsidRPr="008C0651" w14:paraId="33DD8268" w14:textId="77777777" w:rsidTr="0075218A">
        <w:trPr>
          <w:trHeight w:val="255"/>
        </w:trPr>
        <w:tc>
          <w:tcPr>
            <w:tcW w:w="1348" w:type="dxa"/>
            <w:shd w:val="clear" w:color="auto" w:fill="auto"/>
            <w:noWrap/>
            <w:vAlign w:val="center"/>
          </w:tcPr>
          <w:p w14:paraId="50B7701A" w14:textId="77777777" w:rsidR="002662C0" w:rsidRPr="007C052D" w:rsidRDefault="002662C0" w:rsidP="002662C0">
            <w:pPr>
              <w:spacing w:before="40" w:after="20"/>
              <w:rPr>
                <w:rFonts w:ascii="Arial Narrow" w:hAnsi="Arial Narrow"/>
                <w:sz w:val="18"/>
                <w:szCs w:val="18"/>
              </w:rPr>
            </w:pPr>
            <w:r w:rsidRPr="007C052D">
              <w:rPr>
                <w:rFonts w:ascii="Arial Narrow" w:hAnsi="Arial Narrow"/>
                <w:sz w:val="18"/>
                <w:szCs w:val="18"/>
              </w:rPr>
              <w:t>Paesi extra Ue27</w:t>
            </w:r>
          </w:p>
        </w:tc>
        <w:tc>
          <w:tcPr>
            <w:tcW w:w="709" w:type="dxa"/>
            <w:shd w:val="clear" w:color="auto" w:fill="D9D9D9"/>
            <w:vAlign w:val="bottom"/>
          </w:tcPr>
          <w:p w14:paraId="2854853D" w14:textId="0D09E9BB" w:rsidR="002662C0" w:rsidRDefault="002662C0" w:rsidP="002662C0">
            <w:pPr>
              <w:jc w:val="center"/>
              <w:rPr>
                <w:rFonts w:ascii="Arial Narrow" w:hAnsi="Arial Narrow"/>
                <w:sz w:val="18"/>
                <w:szCs w:val="18"/>
              </w:rPr>
            </w:pPr>
            <w:r>
              <w:rPr>
                <w:rFonts w:ascii="Arial Narrow" w:hAnsi="Arial Narrow"/>
                <w:sz w:val="18"/>
                <w:szCs w:val="18"/>
              </w:rPr>
              <w:t>+5,7</w:t>
            </w:r>
          </w:p>
        </w:tc>
        <w:tc>
          <w:tcPr>
            <w:tcW w:w="1130" w:type="dxa"/>
            <w:gridSpan w:val="2"/>
            <w:shd w:val="clear" w:color="auto" w:fill="D9D9D9"/>
            <w:noWrap/>
            <w:vAlign w:val="bottom"/>
          </w:tcPr>
          <w:p w14:paraId="4D884F4C" w14:textId="69B78D7A" w:rsidR="002662C0" w:rsidRDefault="002662C0" w:rsidP="002662C0">
            <w:pPr>
              <w:jc w:val="center"/>
              <w:rPr>
                <w:rFonts w:ascii="Arial Narrow" w:hAnsi="Arial Narrow"/>
                <w:sz w:val="18"/>
                <w:szCs w:val="18"/>
              </w:rPr>
            </w:pPr>
            <w:r>
              <w:rPr>
                <w:rFonts w:ascii="Arial Narrow" w:hAnsi="Arial Narrow"/>
                <w:sz w:val="18"/>
                <w:szCs w:val="18"/>
              </w:rPr>
              <w:t>+7,7</w:t>
            </w:r>
          </w:p>
        </w:tc>
        <w:tc>
          <w:tcPr>
            <w:tcW w:w="629" w:type="dxa"/>
            <w:vAlign w:val="bottom"/>
          </w:tcPr>
          <w:p w14:paraId="01570429" w14:textId="4FCF7596" w:rsidR="002662C0" w:rsidRDefault="002662C0" w:rsidP="002662C0">
            <w:pPr>
              <w:jc w:val="center"/>
              <w:rPr>
                <w:rFonts w:ascii="Arial Narrow" w:hAnsi="Arial Narrow"/>
                <w:sz w:val="18"/>
                <w:szCs w:val="18"/>
              </w:rPr>
            </w:pPr>
            <w:r>
              <w:rPr>
                <w:rFonts w:ascii="Arial Narrow" w:hAnsi="Arial Narrow"/>
                <w:sz w:val="18"/>
                <w:szCs w:val="18"/>
              </w:rPr>
              <w:t>+14,2</w:t>
            </w:r>
          </w:p>
        </w:tc>
        <w:tc>
          <w:tcPr>
            <w:tcW w:w="1103" w:type="dxa"/>
            <w:gridSpan w:val="3"/>
            <w:shd w:val="clear" w:color="auto" w:fill="auto"/>
            <w:noWrap/>
            <w:vAlign w:val="bottom"/>
          </w:tcPr>
          <w:p w14:paraId="02473B71" w14:textId="547146A0" w:rsidR="002662C0" w:rsidRDefault="002662C0" w:rsidP="002662C0">
            <w:pPr>
              <w:jc w:val="center"/>
              <w:rPr>
                <w:rFonts w:ascii="Arial Narrow" w:hAnsi="Arial Narrow"/>
                <w:sz w:val="18"/>
                <w:szCs w:val="18"/>
              </w:rPr>
            </w:pPr>
            <w:r>
              <w:rPr>
                <w:rFonts w:ascii="Arial Narrow" w:hAnsi="Arial Narrow"/>
                <w:sz w:val="18"/>
                <w:szCs w:val="18"/>
              </w:rPr>
              <w:t>+19,3</w:t>
            </w:r>
          </w:p>
        </w:tc>
        <w:tc>
          <w:tcPr>
            <w:tcW w:w="665" w:type="dxa"/>
            <w:shd w:val="clear" w:color="auto" w:fill="D9D9D9"/>
            <w:noWrap/>
            <w:vAlign w:val="bottom"/>
          </w:tcPr>
          <w:p w14:paraId="01C0076B" w14:textId="19D26C41" w:rsidR="002662C0" w:rsidRDefault="002662C0" w:rsidP="002662C0">
            <w:pPr>
              <w:jc w:val="center"/>
              <w:rPr>
                <w:rFonts w:ascii="Arial Narrow" w:hAnsi="Arial Narrow"/>
                <w:sz w:val="18"/>
                <w:szCs w:val="18"/>
              </w:rPr>
            </w:pPr>
            <w:r>
              <w:rPr>
                <w:rFonts w:ascii="Arial Narrow" w:hAnsi="Arial Narrow"/>
                <w:sz w:val="18"/>
                <w:szCs w:val="18"/>
              </w:rPr>
              <w:t>+5,0</w:t>
            </w:r>
          </w:p>
        </w:tc>
        <w:tc>
          <w:tcPr>
            <w:tcW w:w="1226" w:type="dxa"/>
            <w:gridSpan w:val="2"/>
            <w:shd w:val="clear" w:color="auto" w:fill="D9D9D9"/>
            <w:vAlign w:val="bottom"/>
          </w:tcPr>
          <w:p w14:paraId="3EE936AC" w14:textId="7CA7E93D" w:rsidR="002662C0" w:rsidRDefault="002662C0" w:rsidP="002662C0">
            <w:pPr>
              <w:jc w:val="center"/>
              <w:rPr>
                <w:rFonts w:ascii="Arial Narrow" w:hAnsi="Arial Narrow"/>
                <w:sz w:val="18"/>
                <w:szCs w:val="18"/>
              </w:rPr>
            </w:pPr>
            <w:r>
              <w:rPr>
                <w:rFonts w:ascii="Arial Narrow" w:hAnsi="Arial Narrow"/>
                <w:sz w:val="18"/>
                <w:szCs w:val="18"/>
              </w:rPr>
              <w:t>+12,9</w:t>
            </w:r>
          </w:p>
        </w:tc>
        <w:tc>
          <w:tcPr>
            <w:tcW w:w="832" w:type="dxa"/>
            <w:gridSpan w:val="2"/>
            <w:shd w:val="clear" w:color="auto" w:fill="auto"/>
            <w:noWrap/>
            <w:vAlign w:val="bottom"/>
          </w:tcPr>
          <w:p w14:paraId="13E348CA" w14:textId="66C68438" w:rsidR="002662C0" w:rsidRDefault="002662C0" w:rsidP="002662C0">
            <w:pPr>
              <w:jc w:val="center"/>
              <w:rPr>
                <w:rFonts w:ascii="Arial Narrow" w:hAnsi="Arial Narrow"/>
                <w:sz w:val="18"/>
                <w:szCs w:val="18"/>
              </w:rPr>
            </w:pPr>
            <w:r>
              <w:rPr>
                <w:rFonts w:ascii="Arial Narrow" w:hAnsi="Arial Narrow"/>
                <w:sz w:val="18"/>
                <w:szCs w:val="18"/>
              </w:rPr>
              <w:t>+72,9</w:t>
            </w:r>
          </w:p>
        </w:tc>
        <w:tc>
          <w:tcPr>
            <w:tcW w:w="996" w:type="dxa"/>
            <w:gridSpan w:val="2"/>
            <w:shd w:val="clear" w:color="auto" w:fill="auto"/>
            <w:noWrap/>
            <w:vAlign w:val="bottom"/>
          </w:tcPr>
          <w:p w14:paraId="116C21C3" w14:textId="5BC8E7C3" w:rsidR="002662C0" w:rsidRDefault="002662C0" w:rsidP="002662C0">
            <w:pPr>
              <w:jc w:val="center"/>
              <w:rPr>
                <w:rFonts w:ascii="Arial Narrow" w:hAnsi="Arial Narrow"/>
                <w:sz w:val="18"/>
                <w:szCs w:val="18"/>
              </w:rPr>
            </w:pPr>
            <w:r>
              <w:rPr>
                <w:rFonts w:ascii="Arial Narrow" w:hAnsi="Arial Narrow"/>
                <w:sz w:val="18"/>
                <w:szCs w:val="18"/>
              </w:rPr>
              <w:t>+67,4</w:t>
            </w:r>
          </w:p>
        </w:tc>
        <w:tc>
          <w:tcPr>
            <w:tcW w:w="665" w:type="dxa"/>
            <w:shd w:val="clear" w:color="auto" w:fill="D9D9D9"/>
            <w:noWrap/>
            <w:vAlign w:val="bottom"/>
          </w:tcPr>
          <w:p w14:paraId="7C57E80A" w14:textId="78438143" w:rsidR="002662C0" w:rsidRDefault="002662C0" w:rsidP="002662C0">
            <w:pPr>
              <w:jc w:val="center"/>
              <w:rPr>
                <w:rFonts w:ascii="Arial Narrow" w:hAnsi="Arial Narrow"/>
                <w:sz w:val="18"/>
                <w:szCs w:val="18"/>
              </w:rPr>
            </w:pPr>
            <w:r>
              <w:rPr>
                <w:rFonts w:ascii="Arial Narrow" w:hAnsi="Arial Narrow"/>
                <w:sz w:val="18"/>
                <w:szCs w:val="18"/>
              </w:rPr>
              <w:t>-2.828</w:t>
            </w:r>
          </w:p>
        </w:tc>
        <w:tc>
          <w:tcPr>
            <w:tcW w:w="997" w:type="dxa"/>
            <w:gridSpan w:val="2"/>
            <w:shd w:val="clear" w:color="auto" w:fill="D9D9D9"/>
            <w:vAlign w:val="bottom"/>
          </w:tcPr>
          <w:p w14:paraId="536DBC4C" w14:textId="5FCF361A" w:rsidR="002662C0" w:rsidRDefault="002662C0" w:rsidP="002662C0">
            <w:pPr>
              <w:jc w:val="center"/>
              <w:rPr>
                <w:rFonts w:ascii="Arial Narrow" w:hAnsi="Arial Narrow"/>
                <w:sz w:val="18"/>
                <w:szCs w:val="18"/>
              </w:rPr>
            </w:pPr>
            <w:r>
              <w:rPr>
                <w:rFonts w:ascii="Arial Narrow" w:hAnsi="Arial Narrow"/>
                <w:sz w:val="18"/>
                <w:szCs w:val="18"/>
              </w:rPr>
              <w:t>-15.018</w:t>
            </w:r>
          </w:p>
        </w:tc>
      </w:tr>
      <w:tr w:rsidR="002662C0" w:rsidRPr="008C0651" w14:paraId="68FD8E49" w14:textId="77777777" w:rsidTr="0075218A">
        <w:trPr>
          <w:trHeight w:val="255"/>
        </w:trPr>
        <w:tc>
          <w:tcPr>
            <w:tcW w:w="1348" w:type="dxa"/>
            <w:shd w:val="clear" w:color="auto" w:fill="auto"/>
            <w:noWrap/>
            <w:vAlign w:val="center"/>
          </w:tcPr>
          <w:p w14:paraId="53E09E9B" w14:textId="77777777" w:rsidR="002662C0" w:rsidRPr="003C7722" w:rsidRDefault="002662C0" w:rsidP="002662C0">
            <w:pPr>
              <w:spacing w:before="40" w:after="20"/>
              <w:rPr>
                <w:rFonts w:ascii="Arial Narrow" w:hAnsi="Arial Narrow"/>
                <w:sz w:val="18"/>
                <w:szCs w:val="18"/>
              </w:rPr>
            </w:pPr>
            <w:r w:rsidRPr="003C7722">
              <w:rPr>
                <w:rFonts w:ascii="Arial Narrow" w:hAnsi="Arial Narrow"/>
                <w:sz w:val="18"/>
                <w:szCs w:val="18"/>
              </w:rPr>
              <w:t>Mondo</w:t>
            </w:r>
          </w:p>
        </w:tc>
        <w:tc>
          <w:tcPr>
            <w:tcW w:w="709" w:type="dxa"/>
            <w:shd w:val="clear" w:color="auto" w:fill="D9D9D9"/>
            <w:vAlign w:val="bottom"/>
          </w:tcPr>
          <w:p w14:paraId="6B317D71" w14:textId="6CF69597" w:rsidR="002662C0" w:rsidRDefault="002662C0" w:rsidP="002662C0">
            <w:pPr>
              <w:jc w:val="center"/>
              <w:rPr>
                <w:rFonts w:ascii="Arial Narrow" w:hAnsi="Arial Narrow"/>
                <w:sz w:val="18"/>
                <w:szCs w:val="18"/>
              </w:rPr>
            </w:pPr>
            <w:r>
              <w:rPr>
                <w:rFonts w:ascii="Arial Narrow" w:hAnsi="Arial Narrow"/>
                <w:sz w:val="18"/>
                <w:szCs w:val="18"/>
              </w:rPr>
              <w:t>+4,1</w:t>
            </w:r>
          </w:p>
        </w:tc>
        <w:tc>
          <w:tcPr>
            <w:tcW w:w="1130" w:type="dxa"/>
            <w:gridSpan w:val="2"/>
            <w:shd w:val="clear" w:color="auto" w:fill="D9D9D9"/>
            <w:noWrap/>
            <w:vAlign w:val="bottom"/>
          </w:tcPr>
          <w:p w14:paraId="64A64FC9" w14:textId="05CA67E4" w:rsidR="002662C0" w:rsidRDefault="002662C0" w:rsidP="002662C0">
            <w:pPr>
              <w:jc w:val="center"/>
              <w:rPr>
                <w:rFonts w:ascii="Arial Narrow" w:hAnsi="Arial Narrow"/>
                <w:sz w:val="18"/>
                <w:szCs w:val="18"/>
              </w:rPr>
            </w:pPr>
            <w:r>
              <w:rPr>
                <w:rFonts w:ascii="Arial Narrow" w:hAnsi="Arial Narrow"/>
                <w:sz w:val="18"/>
                <w:szCs w:val="18"/>
              </w:rPr>
              <w:t>+6,8</w:t>
            </w:r>
          </w:p>
        </w:tc>
        <w:tc>
          <w:tcPr>
            <w:tcW w:w="629" w:type="dxa"/>
            <w:vAlign w:val="bottom"/>
          </w:tcPr>
          <w:p w14:paraId="5B4FB60C" w14:textId="44C692F6" w:rsidR="002662C0" w:rsidRDefault="002662C0" w:rsidP="002662C0">
            <w:pPr>
              <w:jc w:val="center"/>
              <w:rPr>
                <w:rFonts w:ascii="Arial Narrow" w:hAnsi="Arial Narrow"/>
                <w:sz w:val="18"/>
                <w:szCs w:val="18"/>
              </w:rPr>
            </w:pPr>
            <w:r>
              <w:rPr>
                <w:rFonts w:ascii="Arial Narrow" w:hAnsi="Arial Narrow"/>
                <w:sz w:val="18"/>
                <w:szCs w:val="18"/>
              </w:rPr>
              <w:t>+18,0</w:t>
            </w:r>
          </w:p>
        </w:tc>
        <w:tc>
          <w:tcPr>
            <w:tcW w:w="1103" w:type="dxa"/>
            <w:gridSpan w:val="3"/>
            <w:shd w:val="clear" w:color="auto" w:fill="auto"/>
            <w:noWrap/>
            <w:vAlign w:val="bottom"/>
          </w:tcPr>
          <w:p w14:paraId="1C07D702" w14:textId="66F2298D" w:rsidR="002662C0" w:rsidRDefault="002662C0" w:rsidP="002662C0">
            <w:pPr>
              <w:jc w:val="center"/>
              <w:rPr>
                <w:rFonts w:ascii="Arial Narrow" w:hAnsi="Arial Narrow"/>
                <w:sz w:val="18"/>
                <w:szCs w:val="18"/>
              </w:rPr>
            </w:pPr>
            <w:r>
              <w:rPr>
                <w:rFonts w:ascii="Arial Narrow" w:hAnsi="Arial Narrow"/>
                <w:sz w:val="18"/>
                <w:szCs w:val="18"/>
              </w:rPr>
              <w:t>+21,8</w:t>
            </w:r>
          </w:p>
        </w:tc>
        <w:tc>
          <w:tcPr>
            <w:tcW w:w="665" w:type="dxa"/>
            <w:shd w:val="clear" w:color="auto" w:fill="D9D9D9"/>
            <w:noWrap/>
            <w:vAlign w:val="bottom"/>
          </w:tcPr>
          <w:p w14:paraId="73D029BC" w14:textId="37639CB7" w:rsidR="002662C0" w:rsidRDefault="002662C0" w:rsidP="002662C0">
            <w:pPr>
              <w:jc w:val="center"/>
              <w:rPr>
                <w:rFonts w:ascii="Arial Narrow" w:hAnsi="Arial Narrow"/>
                <w:sz w:val="18"/>
                <w:szCs w:val="18"/>
              </w:rPr>
            </w:pPr>
            <w:r>
              <w:rPr>
                <w:rFonts w:ascii="Arial Narrow" w:hAnsi="Arial Narrow"/>
                <w:sz w:val="18"/>
                <w:szCs w:val="18"/>
              </w:rPr>
              <w:t>+3,4</w:t>
            </w:r>
          </w:p>
        </w:tc>
        <w:tc>
          <w:tcPr>
            <w:tcW w:w="1226" w:type="dxa"/>
            <w:gridSpan w:val="2"/>
            <w:shd w:val="clear" w:color="auto" w:fill="D9D9D9"/>
            <w:vAlign w:val="bottom"/>
          </w:tcPr>
          <w:p w14:paraId="13DE127A" w14:textId="5D15D5C1" w:rsidR="002662C0" w:rsidRDefault="002662C0" w:rsidP="002662C0">
            <w:pPr>
              <w:jc w:val="center"/>
              <w:rPr>
                <w:rFonts w:ascii="Arial Narrow" w:hAnsi="Arial Narrow"/>
                <w:sz w:val="18"/>
                <w:szCs w:val="18"/>
              </w:rPr>
            </w:pPr>
            <w:r>
              <w:rPr>
                <w:rFonts w:ascii="Arial Narrow" w:hAnsi="Arial Narrow"/>
                <w:sz w:val="18"/>
                <w:szCs w:val="18"/>
              </w:rPr>
              <w:t>+8,8</w:t>
            </w:r>
          </w:p>
        </w:tc>
        <w:tc>
          <w:tcPr>
            <w:tcW w:w="832" w:type="dxa"/>
            <w:gridSpan w:val="2"/>
            <w:shd w:val="clear" w:color="auto" w:fill="auto"/>
            <w:noWrap/>
            <w:vAlign w:val="bottom"/>
          </w:tcPr>
          <w:p w14:paraId="49778B7E" w14:textId="4F038DA7" w:rsidR="002662C0" w:rsidRDefault="002662C0" w:rsidP="002662C0">
            <w:pPr>
              <w:jc w:val="center"/>
              <w:rPr>
                <w:rFonts w:ascii="Arial Narrow" w:hAnsi="Arial Narrow"/>
                <w:sz w:val="18"/>
                <w:szCs w:val="18"/>
              </w:rPr>
            </w:pPr>
            <w:r>
              <w:rPr>
                <w:rFonts w:ascii="Arial Narrow" w:hAnsi="Arial Narrow"/>
                <w:sz w:val="18"/>
                <w:szCs w:val="18"/>
              </w:rPr>
              <w:t>+44,0</w:t>
            </w:r>
          </w:p>
        </w:tc>
        <w:tc>
          <w:tcPr>
            <w:tcW w:w="996" w:type="dxa"/>
            <w:gridSpan w:val="2"/>
            <w:shd w:val="clear" w:color="auto" w:fill="auto"/>
            <w:noWrap/>
            <w:vAlign w:val="bottom"/>
          </w:tcPr>
          <w:p w14:paraId="0A2F2AF5" w14:textId="742A94B4" w:rsidR="002662C0" w:rsidRDefault="002662C0" w:rsidP="002662C0">
            <w:pPr>
              <w:jc w:val="center"/>
              <w:rPr>
                <w:rFonts w:ascii="Arial Narrow" w:hAnsi="Arial Narrow"/>
                <w:sz w:val="18"/>
                <w:szCs w:val="18"/>
              </w:rPr>
            </w:pPr>
            <w:r>
              <w:rPr>
                <w:rFonts w:ascii="Arial Narrow" w:hAnsi="Arial Narrow"/>
                <w:sz w:val="18"/>
                <w:szCs w:val="18"/>
              </w:rPr>
              <w:t>+44,3</w:t>
            </w:r>
          </w:p>
        </w:tc>
        <w:tc>
          <w:tcPr>
            <w:tcW w:w="665" w:type="dxa"/>
            <w:shd w:val="clear" w:color="auto" w:fill="D9D9D9"/>
            <w:noWrap/>
            <w:vAlign w:val="bottom"/>
          </w:tcPr>
          <w:p w14:paraId="4E8FA5BC" w14:textId="787F3FE5" w:rsidR="002662C0" w:rsidRDefault="002662C0" w:rsidP="002662C0">
            <w:pPr>
              <w:jc w:val="center"/>
              <w:rPr>
                <w:rFonts w:ascii="Arial Narrow" w:hAnsi="Arial Narrow"/>
                <w:sz w:val="18"/>
                <w:szCs w:val="18"/>
              </w:rPr>
            </w:pPr>
            <w:r>
              <w:rPr>
                <w:rFonts w:ascii="Arial Narrow" w:hAnsi="Arial Narrow"/>
                <w:sz w:val="18"/>
                <w:szCs w:val="18"/>
              </w:rPr>
              <w:t>-361</w:t>
            </w:r>
          </w:p>
        </w:tc>
        <w:tc>
          <w:tcPr>
            <w:tcW w:w="997" w:type="dxa"/>
            <w:gridSpan w:val="2"/>
            <w:shd w:val="clear" w:color="auto" w:fill="D9D9D9"/>
            <w:vAlign w:val="bottom"/>
          </w:tcPr>
          <w:p w14:paraId="77D607FE" w14:textId="0C961CDB" w:rsidR="002662C0" w:rsidRDefault="002662C0" w:rsidP="002662C0">
            <w:pPr>
              <w:jc w:val="center"/>
              <w:rPr>
                <w:rFonts w:ascii="Arial Narrow" w:hAnsi="Arial Narrow"/>
                <w:sz w:val="18"/>
                <w:szCs w:val="18"/>
              </w:rPr>
            </w:pPr>
            <w:r>
              <w:rPr>
                <w:rFonts w:ascii="Arial Narrow" w:hAnsi="Arial Narrow"/>
                <w:sz w:val="18"/>
                <w:szCs w:val="18"/>
              </w:rPr>
              <w:t>-13.697</w:t>
            </w:r>
          </w:p>
        </w:tc>
      </w:tr>
      <w:tr w:rsidR="002662C0" w:rsidRPr="00826161" w14:paraId="0BA3DDEE" w14:textId="77777777" w:rsidTr="0075218A">
        <w:trPr>
          <w:trHeight w:val="255"/>
        </w:trPr>
        <w:tc>
          <w:tcPr>
            <w:tcW w:w="1348" w:type="dxa"/>
            <w:shd w:val="clear" w:color="auto" w:fill="auto"/>
            <w:noWrap/>
            <w:vAlign w:val="center"/>
          </w:tcPr>
          <w:p w14:paraId="62487FD4" w14:textId="77777777" w:rsidR="002662C0" w:rsidRPr="00826161" w:rsidRDefault="002662C0" w:rsidP="002662C0">
            <w:pPr>
              <w:spacing w:before="40" w:after="20"/>
              <w:rPr>
                <w:rFonts w:ascii="Arial Narrow" w:hAnsi="Arial Narrow"/>
                <w:sz w:val="18"/>
                <w:szCs w:val="18"/>
              </w:rPr>
            </w:pPr>
            <w:r w:rsidRPr="00826161">
              <w:rPr>
                <w:rFonts w:ascii="Arial Narrow" w:hAnsi="Arial Narrow"/>
                <w:sz w:val="18"/>
                <w:szCs w:val="18"/>
              </w:rPr>
              <w:t>Valori medi unitari</w:t>
            </w:r>
          </w:p>
        </w:tc>
        <w:tc>
          <w:tcPr>
            <w:tcW w:w="709" w:type="dxa"/>
            <w:shd w:val="clear" w:color="auto" w:fill="D9D9D9"/>
            <w:vAlign w:val="bottom"/>
          </w:tcPr>
          <w:p w14:paraId="125CC4C8" w14:textId="77777777" w:rsidR="002662C0" w:rsidRPr="00826161" w:rsidRDefault="002662C0" w:rsidP="002662C0">
            <w:pPr>
              <w:jc w:val="center"/>
              <w:rPr>
                <w:rFonts w:ascii="Arial Narrow" w:hAnsi="Arial Narrow"/>
                <w:sz w:val="18"/>
                <w:szCs w:val="18"/>
              </w:rPr>
            </w:pPr>
          </w:p>
        </w:tc>
        <w:tc>
          <w:tcPr>
            <w:tcW w:w="1130" w:type="dxa"/>
            <w:gridSpan w:val="2"/>
            <w:shd w:val="clear" w:color="auto" w:fill="D9D9D9"/>
            <w:noWrap/>
            <w:vAlign w:val="bottom"/>
          </w:tcPr>
          <w:p w14:paraId="0BF5DB31" w14:textId="77777777" w:rsidR="002662C0" w:rsidRPr="00826161" w:rsidRDefault="002662C0" w:rsidP="002662C0">
            <w:pPr>
              <w:jc w:val="center"/>
              <w:rPr>
                <w:sz w:val="20"/>
                <w:szCs w:val="20"/>
              </w:rPr>
            </w:pPr>
          </w:p>
        </w:tc>
        <w:tc>
          <w:tcPr>
            <w:tcW w:w="629" w:type="dxa"/>
            <w:vAlign w:val="bottom"/>
          </w:tcPr>
          <w:p w14:paraId="71E6928E" w14:textId="57F3F460" w:rsidR="002662C0" w:rsidRPr="00826161" w:rsidRDefault="002662C0" w:rsidP="002662C0">
            <w:pPr>
              <w:jc w:val="center"/>
              <w:rPr>
                <w:rFonts w:ascii="Arial Narrow" w:hAnsi="Arial Narrow"/>
                <w:i/>
                <w:iCs/>
                <w:sz w:val="18"/>
                <w:szCs w:val="18"/>
              </w:rPr>
            </w:pPr>
            <w:r>
              <w:rPr>
                <w:rFonts w:ascii="Arial Narrow" w:hAnsi="Arial Narrow"/>
                <w:i/>
                <w:iCs/>
                <w:sz w:val="18"/>
                <w:szCs w:val="18"/>
              </w:rPr>
              <w:t>+23,1</w:t>
            </w:r>
          </w:p>
        </w:tc>
        <w:tc>
          <w:tcPr>
            <w:tcW w:w="1103" w:type="dxa"/>
            <w:gridSpan w:val="3"/>
            <w:shd w:val="clear" w:color="auto" w:fill="auto"/>
            <w:noWrap/>
            <w:vAlign w:val="bottom"/>
          </w:tcPr>
          <w:p w14:paraId="359154C9" w14:textId="3738C069" w:rsidR="002662C0" w:rsidRPr="00826161" w:rsidRDefault="002662C0" w:rsidP="002662C0">
            <w:pPr>
              <w:jc w:val="center"/>
              <w:rPr>
                <w:rFonts w:ascii="Arial Narrow" w:hAnsi="Arial Narrow"/>
                <w:i/>
                <w:iCs/>
                <w:sz w:val="18"/>
                <w:szCs w:val="18"/>
              </w:rPr>
            </w:pPr>
            <w:r>
              <w:rPr>
                <w:rFonts w:ascii="Arial Narrow" w:hAnsi="Arial Narrow"/>
                <w:i/>
                <w:iCs/>
                <w:sz w:val="18"/>
                <w:szCs w:val="18"/>
              </w:rPr>
              <w:t>+20,6</w:t>
            </w:r>
          </w:p>
        </w:tc>
        <w:tc>
          <w:tcPr>
            <w:tcW w:w="665" w:type="dxa"/>
            <w:shd w:val="clear" w:color="auto" w:fill="D9D9D9"/>
            <w:noWrap/>
            <w:vAlign w:val="bottom"/>
          </w:tcPr>
          <w:p w14:paraId="236E7EF5" w14:textId="77777777" w:rsidR="002662C0" w:rsidRPr="00826161" w:rsidRDefault="002662C0" w:rsidP="002662C0">
            <w:pPr>
              <w:jc w:val="center"/>
              <w:rPr>
                <w:rFonts w:ascii="Arial Narrow" w:hAnsi="Arial Narrow"/>
                <w:i/>
                <w:iCs/>
                <w:sz w:val="18"/>
                <w:szCs w:val="18"/>
              </w:rPr>
            </w:pPr>
          </w:p>
        </w:tc>
        <w:tc>
          <w:tcPr>
            <w:tcW w:w="1226" w:type="dxa"/>
            <w:gridSpan w:val="2"/>
            <w:shd w:val="clear" w:color="auto" w:fill="D9D9D9"/>
            <w:vAlign w:val="bottom"/>
          </w:tcPr>
          <w:p w14:paraId="610951F9" w14:textId="77777777" w:rsidR="002662C0" w:rsidRPr="00826161" w:rsidRDefault="002662C0" w:rsidP="002662C0">
            <w:pPr>
              <w:jc w:val="center"/>
              <w:rPr>
                <w:sz w:val="20"/>
                <w:szCs w:val="20"/>
              </w:rPr>
            </w:pPr>
          </w:p>
        </w:tc>
        <w:tc>
          <w:tcPr>
            <w:tcW w:w="832" w:type="dxa"/>
            <w:gridSpan w:val="2"/>
            <w:shd w:val="clear" w:color="auto" w:fill="auto"/>
            <w:noWrap/>
            <w:vAlign w:val="bottom"/>
          </w:tcPr>
          <w:p w14:paraId="3D9A968C" w14:textId="2FDFA5D0" w:rsidR="002662C0" w:rsidRPr="00826161" w:rsidRDefault="002662C0" w:rsidP="002662C0">
            <w:pPr>
              <w:jc w:val="center"/>
              <w:rPr>
                <w:rFonts w:ascii="Arial Narrow" w:hAnsi="Arial Narrow"/>
                <w:i/>
                <w:iCs/>
                <w:sz w:val="18"/>
                <w:szCs w:val="18"/>
              </w:rPr>
            </w:pPr>
            <w:r>
              <w:rPr>
                <w:rFonts w:ascii="Arial Narrow" w:hAnsi="Arial Narrow"/>
                <w:i/>
                <w:iCs/>
                <w:sz w:val="18"/>
                <w:szCs w:val="18"/>
              </w:rPr>
              <w:t>+43,2</w:t>
            </w:r>
          </w:p>
        </w:tc>
        <w:tc>
          <w:tcPr>
            <w:tcW w:w="996" w:type="dxa"/>
            <w:gridSpan w:val="2"/>
            <w:shd w:val="clear" w:color="auto" w:fill="auto"/>
            <w:noWrap/>
            <w:vAlign w:val="bottom"/>
          </w:tcPr>
          <w:p w14:paraId="6E8E5192" w14:textId="4E7E7EE7" w:rsidR="002662C0" w:rsidRPr="00826161" w:rsidRDefault="002662C0" w:rsidP="002662C0">
            <w:pPr>
              <w:jc w:val="center"/>
              <w:rPr>
                <w:rFonts w:ascii="Arial Narrow" w:hAnsi="Arial Narrow"/>
                <w:i/>
                <w:iCs/>
                <w:sz w:val="18"/>
                <w:szCs w:val="18"/>
              </w:rPr>
            </w:pPr>
            <w:r>
              <w:rPr>
                <w:rFonts w:ascii="Arial Narrow" w:hAnsi="Arial Narrow"/>
                <w:i/>
                <w:iCs/>
                <w:sz w:val="18"/>
                <w:szCs w:val="18"/>
              </w:rPr>
              <w:t>+40,2</w:t>
            </w:r>
          </w:p>
        </w:tc>
        <w:tc>
          <w:tcPr>
            <w:tcW w:w="665" w:type="dxa"/>
            <w:shd w:val="clear" w:color="auto" w:fill="D9D9D9"/>
            <w:noWrap/>
            <w:vAlign w:val="bottom"/>
          </w:tcPr>
          <w:p w14:paraId="64DC50A3" w14:textId="77777777" w:rsidR="002662C0" w:rsidRPr="00826161" w:rsidRDefault="002662C0" w:rsidP="002662C0">
            <w:pPr>
              <w:jc w:val="center"/>
              <w:rPr>
                <w:rFonts w:ascii="Arial Narrow" w:hAnsi="Arial Narrow"/>
                <w:i/>
                <w:iCs/>
                <w:sz w:val="18"/>
                <w:szCs w:val="18"/>
              </w:rPr>
            </w:pPr>
          </w:p>
        </w:tc>
        <w:tc>
          <w:tcPr>
            <w:tcW w:w="997" w:type="dxa"/>
            <w:gridSpan w:val="2"/>
            <w:shd w:val="clear" w:color="auto" w:fill="D9D9D9"/>
            <w:vAlign w:val="bottom"/>
          </w:tcPr>
          <w:p w14:paraId="730E6E21" w14:textId="77777777" w:rsidR="002662C0" w:rsidRPr="00826161" w:rsidRDefault="002662C0" w:rsidP="002662C0">
            <w:pPr>
              <w:jc w:val="center"/>
              <w:rPr>
                <w:sz w:val="20"/>
                <w:szCs w:val="20"/>
              </w:rPr>
            </w:pPr>
          </w:p>
        </w:tc>
      </w:tr>
      <w:tr w:rsidR="002662C0" w:rsidRPr="008C0651" w14:paraId="351584CF" w14:textId="77777777" w:rsidTr="0075218A">
        <w:trPr>
          <w:trHeight w:val="255"/>
        </w:trPr>
        <w:tc>
          <w:tcPr>
            <w:tcW w:w="1348" w:type="dxa"/>
            <w:shd w:val="clear" w:color="auto" w:fill="auto"/>
            <w:noWrap/>
            <w:vAlign w:val="center"/>
          </w:tcPr>
          <w:p w14:paraId="2885A358" w14:textId="77777777" w:rsidR="002662C0" w:rsidRPr="00674C87" w:rsidRDefault="002662C0" w:rsidP="002662C0">
            <w:pPr>
              <w:spacing w:before="40" w:after="20"/>
              <w:rPr>
                <w:rFonts w:ascii="Arial Narrow" w:hAnsi="Arial Narrow"/>
                <w:sz w:val="18"/>
                <w:szCs w:val="18"/>
              </w:rPr>
            </w:pPr>
            <w:r w:rsidRPr="00674C87">
              <w:rPr>
                <w:rFonts w:ascii="Arial Narrow" w:hAnsi="Arial Narrow"/>
                <w:sz w:val="18"/>
                <w:szCs w:val="18"/>
              </w:rPr>
              <w:t>Volumi</w:t>
            </w:r>
          </w:p>
        </w:tc>
        <w:tc>
          <w:tcPr>
            <w:tcW w:w="709" w:type="dxa"/>
            <w:shd w:val="clear" w:color="auto" w:fill="D9D9D9"/>
            <w:vAlign w:val="bottom"/>
          </w:tcPr>
          <w:p w14:paraId="29D81D12" w14:textId="0FCA71BC" w:rsidR="002662C0" w:rsidRDefault="002662C0" w:rsidP="002662C0">
            <w:pPr>
              <w:jc w:val="center"/>
              <w:rPr>
                <w:rFonts w:ascii="Arial Narrow" w:hAnsi="Arial Narrow"/>
                <w:i/>
                <w:iCs/>
                <w:sz w:val="18"/>
                <w:szCs w:val="18"/>
              </w:rPr>
            </w:pPr>
            <w:r>
              <w:rPr>
                <w:rFonts w:ascii="Arial Narrow" w:hAnsi="Arial Narrow"/>
                <w:i/>
                <w:iCs/>
                <w:sz w:val="18"/>
                <w:szCs w:val="18"/>
              </w:rPr>
              <w:t> </w:t>
            </w:r>
          </w:p>
        </w:tc>
        <w:tc>
          <w:tcPr>
            <w:tcW w:w="1130" w:type="dxa"/>
            <w:gridSpan w:val="2"/>
            <w:shd w:val="clear" w:color="auto" w:fill="D9D9D9"/>
            <w:noWrap/>
            <w:vAlign w:val="bottom"/>
          </w:tcPr>
          <w:p w14:paraId="62DFF48F" w14:textId="35B96B60" w:rsidR="002662C0" w:rsidRDefault="002662C0" w:rsidP="002662C0">
            <w:pPr>
              <w:jc w:val="center"/>
              <w:rPr>
                <w:rFonts w:ascii="Arial Narrow" w:hAnsi="Arial Narrow"/>
                <w:i/>
                <w:iCs/>
                <w:sz w:val="18"/>
                <w:szCs w:val="18"/>
              </w:rPr>
            </w:pPr>
            <w:r>
              <w:rPr>
                <w:rFonts w:ascii="Arial Narrow" w:hAnsi="Arial Narrow"/>
                <w:i/>
                <w:iCs/>
                <w:sz w:val="18"/>
                <w:szCs w:val="18"/>
              </w:rPr>
              <w:t> </w:t>
            </w:r>
          </w:p>
        </w:tc>
        <w:tc>
          <w:tcPr>
            <w:tcW w:w="629" w:type="dxa"/>
            <w:vAlign w:val="bottom"/>
          </w:tcPr>
          <w:p w14:paraId="44B5F48E" w14:textId="678601C5" w:rsidR="002662C0" w:rsidRDefault="002662C0" w:rsidP="002662C0">
            <w:pPr>
              <w:jc w:val="center"/>
              <w:rPr>
                <w:rFonts w:ascii="Arial Narrow" w:hAnsi="Arial Narrow"/>
                <w:i/>
                <w:iCs/>
                <w:sz w:val="18"/>
                <w:szCs w:val="18"/>
              </w:rPr>
            </w:pPr>
            <w:r>
              <w:rPr>
                <w:rFonts w:ascii="Arial Narrow" w:hAnsi="Arial Narrow"/>
                <w:i/>
                <w:iCs/>
                <w:sz w:val="18"/>
                <w:szCs w:val="18"/>
              </w:rPr>
              <w:t>-4,0</w:t>
            </w:r>
          </w:p>
        </w:tc>
        <w:tc>
          <w:tcPr>
            <w:tcW w:w="1103" w:type="dxa"/>
            <w:gridSpan w:val="3"/>
            <w:shd w:val="clear" w:color="auto" w:fill="auto"/>
            <w:noWrap/>
            <w:vAlign w:val="bottom"/>
          </w:tcPr>
          <w:p w14:paraId="1373C6ED" w14:textId="3CA25005" w:rsidR="002662C0" w:rsidRDefault="002662C0" w:rsidP="002662C0">
            <w:pPr>
              <w:jc w:val="center"/>
              <w:rPr>
                <w:rFonts w:ascii="Arial Narrow" w:hAnsi="Arial Narrow"/>
                <w:i/>
                <w:iCs/>
                <w:sz w:val="18"/>
                <w:szCs w:val="18"/>
              </w:rPr>
            </w:pPr>
            <w:r>
              <w:rPr>
                <w:rFonts w:ascii="Arial Narrow" w:hAnsi="Arial Narrow"/>
                <w:i/>
                <w:iCs/>
                <w:sz w:val="18"/>
                <w:szCs w:val="18"/>
              </w:rPr>
              <w:t>+0,9</w:t>
            </w:r>
          </w:p>
        </w:tc>
        <w:tc>
          <w:tcPr>
            <w:tcW w:w="665" w:type="dxa"/>
            <w:shd w:val="clear" w:color="auto" w:fill="D9D9D9"/>
            <w:noWrap/>
            <w:vAlign w:val="bottom"/>
          </w:tcPr>
          <w:p w14:paraId="5BA335AE" w14:textId="11BE0131" w:rsidR="002662C0" w:rsidRDefault="002662C0" w:rsidP="002662C0">
            <w:pPr>
              <w:jc w:val="center"/>
              <w:rPr>
                <w:rFonts w:ascii="Arial Narrow" w:hAnsi="Arial Narrow"/>
                <w:sz w:val="18"/>
                <w:szCs w:val="18"/>
              </w:rPr>
            </w:pPr>
            <w:r>
              <w:rPr>
                <w:rFonts w:ascii="Arial Narrow" w:hAnsi="Arial Narrow"/>
                <w:sz w:val="18"/>
                <w:szCs w:val="18"/>
              </w:rPr>
              <w:t> </w:t>
            </w:r>
          </w:p>
        </w:tc>
        <w:tc>
          <w:tcPr>
            <w:tcW w:w="1226" w:type="dxa"/>
            <w:gridSpan w:val="2"/>
            <w:shd w:val="clear" w:color="auto" w:fill="D9D9D9"/>
            <w:vAlign w:val="bottom"/>
          </w:tcPr>
          <w:p w14:paraId="1F4F4E45" w14:textId="61B05DA6" w:rsidR="002662C0" w:rsidRDefault="002662C0" w:rsidP="002662C0">
            <w:pPr>
              <w:jc w:val="center"/>
              <w:rPr>
                <w:rFonts w:ascii="Arial Narrow" w:hAnsi="Arial Narrow"/>
                <w:sz w:val="18"/>
                <w:szCs w:val="18"/>
              </w:rPr>
            </w:pPr>
            <w:r>
              <w:rPr>
                <w:rFonts w:ascii="Arial Narrow" w:hAnsi="Arial Narrow"/>
                <w:sz w:val="18"/>
                <w:szCs w:val="18"/>
              </w:rPr>
              <w:t> </w:t>
            </w:r>
          </w:p>
        </w:tc>
        <w:tc>
          <w:tcPr>
            <w:tcW w:w="832" w:type="dxa"/>
            <w:gridSpan w:val="2"/>
            <w:shd w:val="clear" w:color="auto" w:fill="auto"/>
            <w:noWrap/>
            <w:vAlign w:val="bottom"/>
          </w:tcPr>
          <w:p w14:paraId="407A82C9" w14:textId="5FC0CEDE" w:rsidR="002662C0" w:rsidRDefault="002662C0" w:rsidP="002662C0">
            <w:pPr>
              <w:jc w:val="center"/>
              <w:rPr>
                <w:rFonts w:ascii="Arial Narrow" w:hAnsi="Arial Narrow"/>
                <w:i/>
                <w:iCs/>
                <w:sz w:val="18"/>
                <w:szCs w:val="18"/>
              </w:rPr>
            </w:pPr>
            <w:r>
              <w:rPr>
                <w:rFonts w:ascii="Arial Narrow" w:hAnsi="Arial Narrow"/>
                <w:i/>
                <w:iCs/>
                <w:sz w:val="18"/>
                <w:szCs w:val="18"/>
              </w:rPr>
              <w:t>+0,6</w:t>
            </w:r>
          </w:p>
        </w:tc>
        <w:tc>
          <w:tcPr>
            <w:tcW w:w="996" w:type="dxa"/>
            <w:gridSpan w:val="2"/>
            <w:shd w:val="clear" w:color="auto" w:fill="auto"/>
            <w:noWrap/>
            <w:vAlign w:val="bottom"/>
          </w:tcPr>
          <w:p w14:paraId="36F82B11" w14:textId="0C16EDB9" w:rsidR="002662C0" w:rsidRDefault="002662C0" w:rsidP="002662C0">
            <w:pPr>
              <w:jc w:val="center"/>
              <w:rPr>
                <w:rFonts w:ascii="Arial Narrow" w:hAnsi="Arial Narrow"/>
                <w:i/>
                <w:iCs/>
                <w:sz w:val="18"/>
                <w:szCs w:val="18"/>
              </w:rPr>
            </w:pPr>
            <w:r>
              <w:rPr>
                <w:rFonts w:ascii="Arial Narrow" w:hAnsi="Arial Narrow"/>
                <w:i/>
                <w:iCs/>
                <w:sz w:val="18"/>
                <w:szCs w:val="18"/>
              </w:rPr>
              <w:t>+3,0</w:t>
            </w:r>
          </w:p>
        </w:tc>
        <w:tc>
          <w:tcPr>
            <w:tcW w:w="665" w:type="dxa"/>
            <w:shd w:val="clear" w:color="auto" w:fill="D9D9D9"/>
            <w:noWrap/>
            <w:vAlign w:val="bottom"/>
          </w:tcPr>
          <w:p w14:paraId="6999010B" w14:textId="37F6E64F" w:rsidR="002662C0" w:rsidRDefault="002662C0" w:rsidP="002662C0">
            <w:pPr>
              <w:jc w:val="center"/>
              <w:rPr>
                <w:rFonts w:ascii="Arial Narrow" w:hAnsi="Arial Narrow"/>
                <w:sz w:val="18"/>
                <w:szCs w:val="18"/>
              </w:rPr>
            </w:pPr>
            <w:r>
              <w:rPr>
                <w:rFonts w:ascii="Arial Narrow" w:hAnsi="Arial Narrow"/>
                <w:sz w:val="18"/>
                <w:szCs w:val="18"/>
              </w:rPr>
              <w:t> </w:t>
            </w:r>
          </w:p>
        </w:tc>
        <w:tc>
          <w:tcPr>
            <w:tcW w:w="997" w:type="dxa"/>
            <w:gridSpan w:val="2"/>
            <w:shd w:val="clear" w:color="auto" w:fill="D9D9D9"/>
            <w:vAlign w:val="bottom"/>
          </w:tcPr>
          <w:p w14:paraId="2DC9E2FB" w14:textId="6DA5FF8A" w:rsidR="002662C0" w:rsidRDefault="002662C0" w:rsidP="002662C0">
            <w:pPr>
              <w:jc w:val="center"/>
              <w:rPr>
                <w:rFonts w:ascii="Arial Narrow" w:hAnsi="Arial Narrow"/>
                <w:sz w:val="18"/>
                <w:szCs w:val="18"/>
              </w:rPr>
            </w:pPr>
            <w:r>
              <w:rPr>
                <w:rFonts w:ascii="Arial Narrow" w:hAnsi="Arial Narrow"/>
                <w:sz w:val="18"/>
                <w:szCs w:val="18"/>
              </w:rPr>
              <w:t> </w:t>
            </w:r>
          </w:p>
        </w:tc>
      </w:tr>
    </w:tbl>
    <w:p w14:paraId="6DC34355" w14:textId="2321C5EE" w:rsidR="00B77B33" w:rsidRDefault="00B77B33" w:rsidP="00AF23DD">
      <w:pPr>
        <w:pStyle w:val="Corpodeltesto1"/>
        <w:rPr>
          <w:rFonts w:ascii="Arial Narrow" w:hAnsi="Arial Narrow" w:cs="Arial"/>
          <w:bCs/>
          <w:color w:val="E42618"/>
          <w:kern w:val="28"/>
          <w:sz w:val="22"/>
          <w:szCs w:val="22"/>
        </w:rPr>
      </w:pPr>
    </w:p>
    <w:p w14:paraId="61B2F9A6" w14:textId="77777777" w:rsidR="0067206D" w:rsidRDefault="0067206D" w:rsidP="00AF23DD">
      <w:pPr>
        <w:pStyle w:val="Corpodeltesto1"/>
        <w:rPr>
          <w:rFonts w:ascii="Arial Narrow" w:hAnsi="Arial Narrow" w:cs="Arial"/>
          <w:bCs/>
          <w:color w:val="E42618"/>
          <w:kern w:val="28"/>
          <w:sz w:val="22"/>
          <w:szCs w:val="22"/>
        </w:rPr>
      </w:pPr>
    </w:p>
    <w:p w14:paraId="4BDFB4B0" w14:textId="0618500A" w:rsidR="00AF23DD" w:rsidRDefault="003C7722" w:rsidP="00AF23DD">
      <w:pPr>
        <w:pStyle w:val="Corpodeltesto1"/>
        <w:rPr>
          <w:rFonts w:ascii="Arial" w:hAnsi="Arial" w:cs="Arial"/>
          <w:sz w:val="17"/>
          <w:szCs w:val="17"/>
        </w:rPr>
      </w:pPr>
      <w:r w:rsidRPr="00831F78">
        <w:rPr>
          <w:rFonts w:ascii="Arial Narrow" w:hAnsi="Arial Narrow" w:cs="Arial"/>
          <w:bCs/>
          <w:color w:val="E42618"/>
          <w:kern w:val="28"/>
          <w:sz w:val="22"/>
          <w:szCs w:val="22"/>
        </w:rPr>
        <w:t xml:space="preserve">PROSPETTO </w:t>
      </w:r>
      <w:r w:rsidR="00831F78">
        <w:rPr>
          <w:rFonts w:ascii="Arial Narrow" w:hAnsi="Arial Narrow" w:cs="Arial"/>
          <w:bCs/>
          <w:color w:val="E42618"/>
          <w:kern w:val="28"/>
          <w:sz w:val="22"/>
          <w:szCs w:val="22"/>
        </w:rPr>
        <w:t>2</w:t>
      </w:r>
      <w:r w:rsidRPr="00831F78">
        <w:rPr>
          <w:rFonts w:ascii="Arial Narrow" w:hAnsi="Arial Narrow" w:cs="Arial"/>
          <w:bCs/>
          <w:color w:val="E42618"/>
          <w:kern w:val="28"/>
          <w:sz w:val="22"/>
          <w:szCs w:val="22"/>
        </w:rPr>
        <w:t xml:space="preserve">. </w:t>
      </w:r>
      <w:r w:rsidRPr="00831F78">
        <w:rPr>
          <w:rFonts w:ascii="Arial Narrow" w:hAnsi="Arial Narrow" w:cs="Arial"/>
          <w:bCs/>
          <w:color w:val="5F5F5F"/>
          <w:kern w:val="28"/>
          <w:sz w:val="22"/>
          <w:szCs w:val="22"/>
        </w:rPr>
        <w:t>ESPORTAZIONI, IMPORTAZIONI E SALDI DELLA BILANCIA COMMERCIALE SECONDO I RAGGRUPPAMENTI PRINCIPALI DI INDUSTRIE</w:t>
      </w:r>
      <w:r w:rsidRPr="00B37F7D">
        <w:rPr>
          <w:rFonts w:ascii="Arial" w:hAnsi="Arial" w:cs="Arial"/>
          <w:sz w:val="17"/>
          <w:szCs w:val="17"/>
        </w:rPr>
        <w:t xml:space="preserve"> </w:t>
      </w:r>
    </w:p>
    <w:p w14:paraId="6023A485" w14:textId="79A7790A" w:rsidR="00AF23DD" w:rsidRPr="00EE5993" w:rsidRDefault="00B161A0" w:rsidP="00AF23DD">
      <w:pPr>
        <w:spacing w:after="120"/>
        <w:rPr>
          <w:rFonts w:ascii="Arial Narrow" w:hAnsi="Arial Narrow" w:cs="Arial"/>
          <w:b/>
          <w:bCs/>
          <w:i/>
          <w:sz w:val="16"/>
          <w:szCs w:val="19"/>
        </w:rPr>
      </w:pPr>
      <w:r>
        <w:rPr>
          <w:rFonts w:ascii="Arial Narrow" w:hAnsi="Arial Narrow" w:cs="Arial"/>
          <w:color w:val="5F5F5F"/>
          <w:sz w:val="20"/>
        </w:rPr>
        <w:t xml:space="preserve">Luglio </w:t>
      </w:r>
      <w:r w:rsidR="00470B67">
        <w:rPr>
          <w:rFonts w:ascii="Arial Narrow" w:hAnsi="Arial Narrow" w:cs="Arial"/>
          <w:color w:val="5F5F5F"/>
          <w:sz w:val="20"/>
        </w:rPr>
        <w:t>2022</w:t>
      </w:r>
      <w:r w:rsidR="003C7722" w:rsidRPr="00EE5993">
        <w:rPr>
          <w:rFonts w:ascii="Arial Narrow" w:hAnsi="Arial Narrow" w:cs="Arial"/>
          <w:color w:val="5F5F5F"/>
          <w:sz w:val="20"/>
        </w:rPr>
        <w:t xml:space="preserve">, variazioni percentuali </w:t>
      </w:r>
      <w:r w:rsidR="00516EEC" w:rsidRPr="00EE5993">
        <w:rPr>
          <w:rFonts w:ascii="Arial Narrow" w:hAnsi="Arial Narrow" w:cs="Arial"/>
          <w:color w:val="5F5F5F"/>
          <w:sz w:val="20"/>
        </w:rPr>
        <w:t xml:space="preserve">congiunturali e tendenziali </w:t>
      </w:r>
      <w:r w:rsidR="003C7722" w:rsidRPr="00EE5993">
        <w:rPr>
          <w:rFonts w:ascii="Arial Narrow" w:hAnsi="Arial Narrow" w:cs="Arial"/>
          <w:color w:val="5F5F5F"/>
          <w:sz w:val="20"/>
        </w:rPr>
        <w:t>e</w:t>
      </w:r>
      <w:r w:rsidR="003C7722" w:rsidRPr="00EE5993">
        <w:rPr>
          <w:rFonts w:ascii="Arial Narrow" w:hAnsi="Arial Narrow" w:cs="Arial"/>
          <w:b/>
          <w:color w:val="5F5F5F"/>
          <w:sz w:val="20"/>
        </w:rPr>
        <w:t xml:space="preserve"> </w:t>
      </w:r>
      <w:r w:rsidR="00AF23DD" w:rsidRPr="00EE5993">
        <w:rPr>
          <w:rFonts w:ascii="Arial Narrow" w:hAnsi="Arial Narrow" w:cs="Arial"/>
          <w:color w:val="5F5F5F"/>
          <w:sz w:val="20"/>
        </w:rPr>
        <w:t>saldi in milioni di euro</w:t>
      </w:r>
    </w:p>
    <w:tbl>
      <w:tblPr>
        <w:tblW w:w="10235" w:type="dxa"/>
        <w:tblInd w:w="70" w:type="dxa"/>
        <w:tblLayout w:type="fixed"/>
        <w:tblCellMar>
          <w:left w:w="70" w:type="dxa"/>
          <w:right w:w="70" w:type="dxa"/>
        </w:tblCellMar>
        <w:tblLook w:val="04A0" w:firstRow="1" w:lastRow="0" w:firstColumn="1" w:lastColumn="0" w:noHBand="0" w:noVBand="1"/>
      </w:tblPr>
      <w:tblGrid>
        <w:gridCol w:w="1587"/>
        <w:gridCol w:w="665"/>
        <w:gridCol w:w="1108"/>
        <w:gridCol w:w="685"/>
        <w:gridCol w:w="1017"/>
        <w:gridCol w:w="708"/>
        <w:gridCol w:w="1134"/>
        <w:gridCol w:w="654"/>
        <w:gridCol w:w="984"/>
        <w:gridCol w:w="709"/>
        <w:gridCol w:w="984"/>
      </w:tblGrid>
      <w:tr w:rsidR="0075218A" w:rsidRPr="00831F78" w14:paraId="26CF1AA9" w14:textId="77777777" w:rsidTr="0075218A">
        <w:trPr>
          <w:trHeight w:val="255"/>
        </w:trPr>
        <w:tc>
          <w:tcPr>
            <w:tcW w:w="1587" w:type="dxa"/>
            <w:vMerge w:val="restart"/>
            <w:tcBorders>
              <w:top w:val="single" w:sz="4" w:space="0" w:color="auto"/>
              <w:left w:val="nil"/>
              <w:bottom w:val="single" w:sz="4" w:space="0" w:color="000000"/>
              <w:right w:val="nil"/>
            </w:tcBorders>
            <w:shd w:val="clear" w:color="auto" w:fill="auto"/>
            <w:vAlign w:val="center"/>
          </w:tcPr>
          <w:p w14:paraId="04D4E2BB" w14:textId="77777777" w:rsidR="0075218A" w:rsidRPr="00831F78" w:rsidRDefault="0075218A" w:rsidP="0075218A">
            <w:pPr>
              <w:spacing w:before="40" w:after="20"/>
              <w:rPr>
                <w:rFonts w:ascii="Arial Narrow" w:hAnsi="Arial Narrow"/>
                <w:b/>
                <w:sz w:val="18"/>
                <w:szCs w:val="18"/>
              </w:rPr>
            </w:pPr>
            <w:r w:rsidRPr="000A4139">
              <w:rPr>
                <w:rFonts w:ascii="Arial Narrow" w:hAnsi="Arial Narrow"/>
                <w:b/>
                <w:sz w:val="18"/>
                <w:szCs w:val="18"/>
              </w:rPr>
              <w:t xml:space="preserve">RAGGRUPPAMENTI PRINCIPALI </w:t>
            </w:r>
            <w:r w:rsidRPr="000A4139">
              <w:rPr>
                <w:rFonts w:ascii="Arial Narrow" w:hAnsi="Arial Narrow"/>
                <w:b/>
                <w:sz w:val="18"/>
                <w:szCs w:val="18"/>
              </w:rPr>
              <w:br/>
              <w:t>DI INDUSTRIE</w:t>
            </w:r>
          </w:p>
        </w:tc>
        <w:tc>
          <w:tcPr>
            <w:tcW w:w="3475" w:type="dxa"/>
            <w:gridSpan w:val="4"/>
            <w:tcBorders>
              <w:top w:val="single" w:sz="4" w:space="0" w:color="auto"/>
              <w:left w:val="nil"/>
              <w:bottom w:val="single" w:sz="4" w:space="0" w:color="auto"/>
              <w:right w:val="nil"/>
            </w:tcBorders>
            <w:shd w:val="clear" w:color="auto" w:fill="D9D9D9"/>
            <w:vAlign w:val="center"/>
          </w:tcPr>
          <w:p w14:paraId="760ACFCF" w14:textId="77777777" w:rsidR="0075218A" w:rsidRPr="00831F78" w:rsidRDefault="0075218A" w:rsidP="0075218A">
            <w:pPr>
              <w:spacing w:before="40" w:after="20"/>
              <w:jc w:val="center"/>
              <w:rPr>
                <w:rFonts w:ascii="Arial Narrow" w:hAnsi="Arial Narrow"/>
                <w:sz w:val="18"/>
                <w:szCs w:val="18"/>
              </w:rPr>
            </w:pPr>
            <w:r w:rsidRPr="00831F78">
              <w:rPr>
                <w:rFonts w:ascii="Arial Narrow" w:hAnsi="Arial Narrow" w:cs="Arial"/>
                <w:b/>
                <w:sz w:val="18"/>
                <w:szCs w:val="18"/>
              </w:rPr>
              <w:t>ESPORTAZIONI</w:t>
            </w:r>
          </w:p>
        </w:tc>
        <w:tc>
          <w:tcPr>
            <w:tcW w:w="3480" w:type="dxa"/>
            <w:gridSpan w:val="4"/>
            <w:tcBorders>
              <w:top w:val="single" w:sz="4" w:space="0" w:color="auto"/>
              <w:left w:val="nil"/>
              <w:bottom w:val="single" w:sz="4" w:space="0" w:color="auto"/>
              <w:right w:val="nil"/>
            </w:tcBorders>
            <w:shd w:val="clear" w:color="auto" w:fill="auto"/>
            <w:vAlign w:val="center"/>
          </w:tcPr>
          <w:p w14:paraId="17D33B07" w14:textId="77777777" w:rsidR="0075218A" w:rsidRPr="00831F78" w:rsidRDefault="0075218A" w:rsidP="0075218A">
            <w:pPr>
              <w:spacing w:before="40" w:after="20"/>
              <w:jc w:val="center"/>
              <w:rPr>
                <w:rFonts w:ascii="Arial Narrow" w:hAnsi="Arial Narrow" w:cs="Arial"/>
                <w:sz w:val="18"/>
                <w:szCs w:val="18"/>
              </w:rPr>
            </w:pPr>
            <w:r w:rsidRPr="00831F78">
              <w:rPr>
                <w:rFonts w:ascii="Arial Narrow" w:hAnsi="Arial Narrow" w:cs="Arial"/>
                <w:b/>
                <w:sz w:val="18"/>
                <w:szCs w:val="18"/>
              </w:rPr>
              <w:t>IMPORTAZIONI</w:t>
            </w:r>
          </w:p>
        </w:tc>
        <w:tc>
          <w:tcPr>
            <w:tcW w:w="1693" w:type="dxa"/>
            <w:gridSpan w:val="2"/>
            <w:vMerge w:val="restart"/>
            <w:tcBorders>
              <w:top w:val="single" w:sz="4" w:space="0" w:color="auto"/>
              <w:left w:val="nil"/>
              <w:right w:val="nil"/>
            </w:tcBorders>
            <w:shd w:val="clear" w:color="auto" w:fill="D9D9D9"/>
            <w:vAlign w:val="center"/>
          </w:tcPr>
          <w:p w14:paraId="1D8C34B7" w14:textId="77777777" w:rsidR="0075218A" w:rsidRPr="00831F78" w:rsidRDefault="0075218A" w:rsidP="0075218A">
            <w:pPr>
              <w:spacing w:before="40" w:after="20"/>
              <w:jc w:val="center"/>
              <w:rPr>
                <w:rFonts w:ascii="Arial Narrow" w:hAnsi="Arial Narrow" w:cs="Arial"/>
                <w:b/>
                <w:sz w:val="18"/>
                <w:szCs w:val="18"/>
              </w:rPr>
            </w:pPr>
            <w:r w:rsidRPr="00831F78">
              <w:rPr>
                <w:rFonts w:ascii="Arial Narrow" w:hAnsi="Arial Narrow" w:cs="Arial"/>
                <w:b/>
                <w:sz w:val="18"/>
                <w:szCs w:val="18"/>
              </w:rPr>
              <w:t>SALDI</w:t>
            </w:r>
          </w:p>
        </w:tc>
      </w:tr>
      <w:tr w:rsidR="0075218A" w:rsidRPr="00831F78" w14:paraId="3A3C6E18" w14:textId="77777777" w:rsidTr="0075218A">
        <w:trPr>
          <w:trHeight w:val="255"/>
        </w:trPr>
        <w:tc>
          <w:tcPr>
            <w:tcW w:w="1587" w:type="dxa"/>
            <w:vMerge/>
            <w:tcBorders>
              <w:top w:val="single" w:sz="4" w:space="0" w:color="auto"/>
              <w:left w:val="nil"/>
              <w:bottom w:val="single" w:sz="4" w:space="0" w:color="000000"/>
              <w:right w:val="nil"/>
            </w:tcBorders>
            <w:vAlign w:val="center"/>
          </w:tcPr>
          <w:p w14:paraId="723E987D" w14:textId="77777777" w:rsidR="0075218A" w:rsidRPr="00831F78" w:rsidRDefault="0075218A" w:rsidP="0075218A">
            <w:pPr>
              <w:spacing w:before="40" w:after="20"/>
              <w:rPr>
                <w:rFonts w:ascii="Arial Narrow" w:hAnsi="Arial Narrow"/>
                <w:sz w:val="18"/>
                <w:szCs w:val="18"/>
              </w:rPr>
            </w:pPr>
          </w:p>
        </w:tc>
        <w:tc>
          <w:tcPr>
            <w:tcW w:w="1773" w:type="dxa"/>
            <w:gridSpan w:val="2"/>
            <w:tcBorders>
              <w:top w:val="single" w:sz="4" w:space="0" w:color="auto"/>
              <w:left w:val="nil"/>
              <w:bottom w:val="single" w:sz="4" w:space="0" w:color="auto"/>
              <w:right w:val="nil"/>
            </w:tcBorders>
            <w:shd w:val="clear" w:color="auto" w:fill="auto"/>
            <w:vAlign w:val="center"/>
          </w:tcPr>
          <w:p w14:paraId="666CDE1B" w14:textId="77777777" w:rsidR="0075218A" w:rsidRPr="003C7722" w:rsidRDefault="0075218A" w:rsidP="0075218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Variazioni congiunturali</w:t>
            </w:r>
          </w:p>
        </w:tc>
        <w:tc>
          <w:tcPr>
            <w:tcW w:w="1702" w:type="dxa"/>
            <w:gridSpan w:val="2"/>
            <w:tcBorders>
              <w:top w:val="single" w:sz="4" w:space="0" w:color="auto"/>
              <w:left w:val="nil"/>
              <w:bottom w:val="single" w:sz="4" w:space="0" w:color="auto"/>
              <w:right w:val="nil"/>
            </w:tcBorders>
            <w:shd w:val="clear" w:color="auto" w:fill="auto"/>
            <w:vAlign w:val="center"/>
          </w:tcPr>
          <w:p w14:paraId="7991A4D2" w14:textId="77777777" w:rsidR="0075218A" w:rsidRDefault="0075218A" w:rsidP="0075218A">
            <w:pPr>
              <w:tabs>
                <w:tab w:val="left" w:pos="1316"/>
              </w:tabs>
              <w:spacing w:before="40"/>
              <w:ind w:right="-68"/>
              <w:jc w:val="center"/>
              <w:rPr>
                <w:rFonts w:ascii="Arial Narrow" w:hAnsi="Arial Narrow" w:cs="Arial"/>
                <w:b/>
                <w:sz w:val="18"/>
                <w:szCs w:val="18"/>
              </w:rPr>
            </w:pPr>
            <w:r w:rsidRPr="00AF23DD">
              <w:rPr>
                <w:rFonts w:ascii="Arial Narrow" w:hAnsi="Arial Narrow" w:cs="Arial"/>
                <w:b/>
                <w:sz w:val="18"/>
                <w:szCs w:val="18"/>
              </w:rPr>
              <w:t>Variazioni</w:t>
            </w:r>
          </w:p>
          <w:p w14:paraId="636D0585" w14:textId="77777777" w:rsidR="0075218A" w:rsidRPr="003C7722" w:rsidRDefault="0075218A" w:rsidP="0075218A">
            <w:pPr>
              <w:tabs>
                <w:tab w:val="left" w:pos="1316"/>
              </w:tabs>
              <w:spacing w:before="40"/>
              <w:ind w:right="-68"/>
              <w:jc w:val="center"/>
              <w:rPr>
                <w:rFonts w:ascii="Arial Narrow" w:hAnsi="Arial Narrow" w:cs="Arial"/>
                <w:b/>
                <w:sz w:val="18"/>
                <w:szCs w:val="18"/>
              </w:rPr>
            </w:pPr>
            <w:r>
              <w:rPr>
                <w:rFonts w:ascii="Arial Narrow" w:hAnsi="Arial Narrow" w:cs="Arial"/>
                <w:b/>
                <w:sz w:val="18"/>
                <w:szCs w:val="18"/>
              </w:rPr>
              <w:t>tendenziali</w:t>
            </w:r>
          </w:p>
        </w:tc>
        <w:tc>
          <w:tcPr>
            <w:tcW w:w="1842" w:type="dxa"/>
            <w:gridSpan w:val="2"/>
            <w:tcBorders>
              <w:top w:val="single" w:sz="4" w:space="0" w:color="auto"/>
              <w:left w:val="nil"/>
              <w:bottom w:val="single" w:sz="4" w:space="0" w:color="auto"/>
              <w:right w:val="nil"/>
            </w:tcBorders>
            <w:shd w:val="clear" w:color="auto" w:fill="auto"/>
            <w:vAlign w:val="center"/>
          </w:tcPr>
          <w:p w14:paraId="6879BB9F" w14:textId="77777777" w:rsidR="0075218A" w:rsidRPr="003C7722" w:rsidRDefault="0075218A" w:rsidP="0075218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Variazioni congiunturali</w:t>
            </w:r>
          </w:p>
        </w:tc>
        <w:tc>
          <w:tcPr>
            <w:tcW w:w="1638" w:type="dxa"/>
            <w:gridSpan w:val="2"/>
            <w:tcBorders>
              <w:top w:val="single" w:sz="4" w:space="0" w:color="auto"/>
              <w:left w:val="nil"/>
              <w:bottom w:val="single" w:sz="4" w:space="0" w:color="auto"/>
              <w:right w:val="nil"/>
            </w:tcBorders>
            <w:shd w:val="clear" w:color="auto" w:fill="auto"/>
            <w:vAlign w:val="center"/>
          </w:tcPr>
          <w:p w14:paraId="211FA9B7" w14:textId="77777777" w:rsidR="0075218A" w:rsidRDefault="0075218A" w:rsidP="0075218A">
            <w:pPr>
              <w:tabs>
                <w:tab w:val="left" w:pos="1316"/>
              </w:tabs>
              <w:spacing w:before="40"/>
              <w:ind w:right="-68"/>
              <w:jc w:val="center"/>
              <w:rPr>
                <w:rFonts w:ascii="Arial Narrow" w:hAnsi="Arial Narrow" w:cs="Arial"/>
                <w:b/>
                <w:sz w:val="18"/>
                <w:szCs w:val="18"/>
              </w:rPr>
            </w:pPr>
            <w:r w:rsidRPr="00AF23DD">
              <w:rPr>
                <w:rFonts w:ascii="Arial Narrow" w:hAnsi="Arial Narrow" w:cs="Arial"/>
                <w:b/>
                <w:sz w:val="18"/>
                <w:szCs w:val="18"/>
              </w:rPr>
              <w:t>Variazioni</w:t>
            </w:r>
          </w:p>
          <w:p w14:paraId="56BE9AFC" w14:textId="77777777" w:rsidR="0075218A" w:rsidRPr="003C7722" w:rsidRDefault="0075218A" w:rsidP="0075218A">
            <w:pPr>
              <w:tabs>
                <w:tab w:val="left" w:pos="1316"/>
              </w:tabs>
              <w:spacing w:before="40"/>
              <w:ind w:right="-68"/>
              <w:jc w:val="center"/>
              <w:rPr>
                <w:rFonts w:ascii="Arial Narrow" w:hAnsi="Arial Narrow" w:cs="Arial"/>
                <w:b/>
                <w:sz w:val="18"/>
                <w:szCs w:val="18"/>
              </w:rPr>
            </w:pPr>
            <w:r>
              <w:rPr>
                <w:rFonts w:ascii="Arial Narrow" w:hAnsi="Arial Narrow" w:cs="Arial"/>
                <w:b/>
                <w:sz w:val="18"/>
                <w:szCs w:val="18"/>
              </w:rPr>
              <w:t>tendenziali</w:t>
            </w:r>
          </w:p>
        </w:tc>
        <w:tc>
          <w:tcPr>
            <w:tcW w:w="1693" w:type="dxa"/>
            <w:gridSpan w:val="2"/>
            <w:vMerge/>
            <w:tcBorders>
              <w:left w:val="nil"/>
              <w:bottom w:val="single" w:sz="4" w:space="0" w:color="auto"/>
              <w:right w:val="nil"/>
            </w:tcBorders>
            <w:shd w:val="clear" w:color="auto" w:fill="D9D9D9"/>
            <w:vAlign w:val="center"/>
          </w:tcPr>
          <w:p w14:paraId="694C96A7" w14:textId="77777777" w:rsidR="0075218A" w:rsidRPr="00831F78" w:rsidRDefault="0075218A" w:rsidP="0075218A">
            <w:pPr>
              <w:spacing w:before="40" w:after="20"/>
              <w:jc w:val="center"/>
              <w:rPr>
                <w:rFonts w:ascii="Arial Narrow" w:hAnsi="Arial Narrow"/>
                <w:b/>
                <w:sz w:val="18"/>
                <w:szCs w:val="18"/>
              </w:rPr>
            </w:pPr>
          </w:p>
        </w:tc>
      </w:tr>
      <w:tr w:rsidR="0075218A" w:rsidRPr="00831F78" w14:paraId="626C9A21" w14:textId="77777777" w:rsidTr="0075218A">
        <w:trPr>
          <w:trHeight w:val="255"/>
        </w:trPr>
        <w:tc>
          <w:tcPr>
            <w:tcW w:w="1587" w:type="dxa"/>
            <w:vMerge/>
            <w:tcBorders>
              <w:top w:val="single" w:sz="4" w:space="0" w:color="auto"/>
              <w:left w:val="nil"/>
              <w:bottom w:val="single" w:sz="4" w:space="0" w:color="000000"/>
              <w:right w:val="nil"/>
            </w:tcBorders>
            <w:vAlign w:val="center"/>
          </w:tcPr>
          <w:p w14:paraId="3B585800" w14:textId="77777777" w:rsidR="0075218A" w:rsidRPr="00831F78" w:rsidRDefault="0075218A" w:rsidP="0075218A">
            <w:pPr>
              <w:spacing w:before="40" w:after="20"/>
              <w:rPr>
                <w:rFonts w:ascii="Arial Narrow" w:hAnsi="Arial Narrow"/>
                <w:sz w:val="18"/>
                <w:szCs w:val="18"/>
              </w:rPr>
            </w:pPr>
          </w:p>
        </w:tc>
        <w:tc>
          <w:tcPr>
            <w:tcW w:w="1773" w:type="dxa"/>
            <w:gridSpan w:val="2"/>
            <w:tcBorders>
              <w:top w:val="single" w:sz="4" w:space="0" w:color="auto"/>
              <w:left w:val="nil"/>
              <w:bottom w:val="single" w:sz="4" w:space="0" w:color="auto"/>
              <w:right w:val="nil"/>
            </w:tcBorders>
            <w:shd w:val="clear" w:color="auto" w:fill="D9D9D9"/>
            <w:vAlign w:val="center"/>
          </w:tcPr>
          <w:p w14:paraId="4734C434" w14:textId="77777777" w:rsidR="0075218A" w:rsidRPr="00626CC5" w:rsidRDefault="0075218A" w:rsidP="0075218A">
            <w:pPr>
              <w:spacing w:before="40" w:after="20"/>
              <w:jc w:val="center"/>
              <w:rPr>
                <w:rFonts w:ascii="Arial Narrow" w:hAnsi="Arial Narrow"/>
                <w:sz w:val="18"/>
                <w:szCs w:val="18"/>
              </w:rPr>
            </w:pPr>
            <w:r w:rsidRPr="00626CC5">
              <w:rPr>
                <w:rFonts w:ascii="Arial Narrow" w:hAnsi="Arial Narrow"/>
                <w:sz w:val="18"/>
                <w:szCs w:val="18"/>
              </w:rPr>
              <w:t>Dati destagionalizzati</w:t>
            </w:r>
          </w:p>
        </w:tc>
        <w:tc>
          <w:tcPr>
            <w:tcW w:w="1702" w:type="dxa"/>
            <w:gridSpan w:val="2"/>
            <w:tcBorders>
              <w:top w:val="single" w:sz="4" w:space="0" w:color="auto"/>
              <w:left w:val="nil"/>
              <w:bottom w:val="single" w:sz="4" w:space="0" w:color="auto"/>
              <w:right w:val="nil"/>
            </w:tcBorders>
            <w:shd w:val="clear" w:color="auto" w:fill="auto"/>
            <w:vAlign w:val="center"/>
          </w:tcPr>
          <w:p w14:paraId="4E57CE50" w14:textId="77777777" w:rsidR="0075218A" w:rsidRPr="00626CC5" w:rsidRDefault="0075218A" w:rsidP="0075218A">
            <w:pPr>
              <w:spacing w:before="40" w:after="20"/>
              <w:jc w:val="center"/>
              <w:rPr>
                <w:rFonts w:ascii="Arial Narrow" w:hAnsi="Arial Narrow"/>
                <w:sz w:val="18"/>
                <w:szCs w:val="18"/>
              </w:rPr>
            </w:pPr>
            <w:r w:rsidRPr="00626CC5">
              <w:rPr>
                <w:rFonts w:ascii="Arial Narrow" w:hAnsi="Arial Narrow"/>
                <w:sz w:val="18"/>
                <w:szCs w:val="18"/>
              </w:rPr>
              <w:t>Dati grezzi</w:t>
            </w:r>
          </w:p>
        </w:tc>
        <w:tc>
          <w:tcPr>
            <w:tcW w:w="1842" w:type="dxa"/>
            <w:gridSpan w:val="2"/>
            <w:tcBorders>
              <w:top w:val="single" w:sz="4" w:space="0" w:color="auto"/>
              <w:left w:val="nil"/>
              <w:bottom w:val="single" w:sz="4" w:space="0" w:color="auto"/>
              <w:right w:val="nil"/>
            </w:tcBorders>
            <w:shd w:val="clear" w:color="auto" w:fill="D9D9D9"/>
            <w:vAlign w:val="center"/>
          </w:tcPr>
          <w:p w14:paraId="1992C196" w14:textId="77777777" w:rsidR="0075218A" w:rsidRPr="00626CC5" w:rsidRDefault="0075218A" w:rsidP="0075218A">
            <w:pPr>
              <w:spacing w:before="40" w:after="20"/>
              <w:jc w:val="center"/>
              <w:rPr>
                <w:rFonts w:ascii="Arial Narrow" w:hAnsi="Arial Narrow"/>
                <w:sz w:val="18"/>
                <w:szCs w:val="18"/>
              </w:rPr>
            </w:pPr>
            <w:r w:rsidRPr="00626CC5">
              <w:rPr>
                <w:rFonts w:ascii="Arial Narrow" w:hAnsi="Arial Narrow"/>
                <w:sz w:val="18"/>
                <w:szCs w:val="18"/>
              </w:rPr>
              <w:t>Dati destagionalizzati</w:t>
            </w:r>
          </w:p>
        </w:tc>
        <w:tc>
          <w:tcPr>
            <w:tcW w:w="1638" w:type="dxa"/>
            <w:gridSpan w:val="2"/>
            <w:tcBorders>
              <w:top w:val="single" w:sz="4" w:space="0" w:color="auto"/>
              <w:left w:val="nil"/>
              <w:bottom w:val="single" w:sz="4" w:space="0" w:color="auto"/>
              <w:right w:val="nil"/>
            </w:tcBorders>
            <w:shd w:val="clear" w:color="auto" w:fill="auto"/>
            <w:vAlign w:val="center"/>
          </w:tcPr>
          <w:p w14:paraId="2E1947E6" w14:textId="77777777" w:rsidR="0075218A" w:rsidRPr="00626CC5" w:rsidRDefault="0075218A" w:rsidP="0075218A">
            <w:pPr>
              <w:spacing w:before="40" w:after="20"/>
              <w:jc w:val="center"/>
              <w:rPr>
                <w:rFonts w:ascii="Arial Narrow" w:hAnsi="Arial Narrow"/>
                <w:sz w:val="18"/>
                <w:szCs w:val="18"/>
              </w:rPr>
            </w:pPr>
            <w:r w:rsidRPr="00626CC5">
              <w:rPr>
                <w:rFonts w:ascii="Arial Narrow" w:hAnsi="Arial Narrow"/>
                <w:sz w:val="18"/>
                <w:szCs w:val="18"/>
              </w:rPr>
              <w:t>Dati grezzi</w:t>
            </w:r>
          </w:p>
        </w:tc>
        <w:tc>
          <w:tcPr>
            <w:tcW w:w="1693" w:type="dxa"/>
            <w:gridSpan w:val="2"/>
            <w:tcBorders>
              <w:top w:val="single" w:sz="4" w:space="0" w:color="auto"/>
              <w:left w:val="nil"/>
              <w:bottom w:val="single" w:sz="4" w:space="0" w:color="auto"/>
              <w:right w:val="nil"/>
            </w:tcBorders>
            <w:shd w:val="clear" w:color="auto" w:fill="D9D9D9"/>
            <w:vAlign w:val="center"/>
          </w:tcPr>
          <w:p w14:paraId="1AE80312" w14:textId="77777777" w:rsidR="0075218A" w:rsidRPr="00626CC5" w:rsidRDefault="0075218A" w:rsidP="0075218A">
            <w:pPr>
              <w:spacing w:before="40" w:after="20"/>
              <w:jc w:val="center"/>
              <w:rPr>
                <w:rFonts w:ascii="Arial Narrow" w:hAnsi="Arial Narrow"/>
                <w:sz w:val="18"/>
                <w:szCs w:val="18"/>
              </w:rPr>
            </w:pPr>
            <w:r w:rsidRPr="00626CC5">
              <w:rPr>
                <w:rFonts w:ascii="Arial Narrow" w:hAnsi="Arial Narrow"/>
                <w:sz w:val="18"/>
                <w:szCs w:val="18"/>
              </w:rPr>
              <w:t>Dati grezzi</w:t>
            </w:r>
          </w:p>
          <w:p w14:paraId="51CA8C13" w14:textId="77777777" w:rsidR="0075218A" w:rsidRPr="00626CC5" w:rsidRDefault="0075218A" w:rsidP="0075218A">
            <w:pPr>
              <w:spacing w:before="40" w:after="20"/>
              <w:jc w:val="center"/>
              <w:rPr>
                <w:rFonts w:ascii="Arial Narrow" w:hAnsi="Arial Narrow"/>
                <w:sz w:val="18"/>
                <w:szCs w:val="18"/>
              </w:rPr>
            </w:pPr>
            <w:r w:rsidRPr="00626CC5">
              <w:rPr>
                <w:rFonts w:ascii="Arial Narrow" w:hAnsi="Arial Narrow"/>
                <w:sz w:val="18"/>
                <w:szCs w:val="18"/>
              </w:rPr>
              <w:t>Milioni di euro</w:t>
            </w:r>
          </w:p>
        </w:tc>
      </w:tr>
      <w:tr w:rsidR="00B161A0" w:rsidRPr="00831F78" w14:paraId="1643CD66" w14:textId="77777777" w:rsidTr="0075218A">
        <w:trPr>
          <w:trHeight w:val="255"/>
        </w:trPr>
        <w:tc>
          <w:tcPr>
            <w:tcW w:w="1587" w:type="dxa"/>
            <w:vMerge/>
            <w:tcBorders>
              <w:top w:val="single" w:sz="4" w:space="0" w:color="auto"/>
              <w:left w:val="nil"/>
              <w:bottom w:val="single" w:sz="4" w:space="0" w:color="000000"/>
              <w:right w:val="nil"/>
            </w:tcBorders>
            <w:vAlign w:val="center"/>
          </w:tcPr>
          <w:p w14:paraId="7B61CD09" w14:textId="77777777" w:rsidR="00B161A0" w:rsidRPr="00831F78" w:rsidRDefault="00B161A0" w:rsidP="00B161A0">
            <w:pPr>
              <w:spacing w:before="40" w:after="20"/>
              <w:rPr>
                <w:rFonts w:ascii="Arial Narrow" w:hAnsi="Arial Narrow"/>
                <w:sz w:val="18"/>
                <w:szCs w:val="18"/>
              </w:rPr>
            </w:pPr>
          </w:p>
        </w:tc>
        <w:tc>
          <w:tcPr>
            <w:tcW w:w="665" w:type="dxa"/>
            <w:tcBorders>
              <w:top w:val="nil"/>
              <w:left w:val="nil"/>
              <w:right w:val="nil"/>
            </w:tcBorders>
            <w:shd w:val="clear" w:color="auto" w:fill="auto"/>
            <w:vAlign w:val="center"/>
          </w:tcPr>
          <w:p w14:paraId="0F6573D9"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 22</w:t>
            </w:r>
          </w:p>
          <w:p w14:paraId="15BA1436" w14:textId="4219F498" w:rsidR="00B161A0" w:rsidRPr="003C7722" w:rsidRDefault="00B161A0" w:rsidP="00B161A0">
            <w:pPr>
              <w:spacing w:before="40" w:after="20"/>
              <w:jc w:val="center"/>
              <w:rPr>
                <w:rFonts w:ascii="Arial Narrow" w:hAnsi="Arial Narrow"/>
                <w:sz w:val="18"/>
                <w:szCs w:val="18"/>
                <w:lang w:val="en-US"/>
              </w:rPr>
            </w:pPr>
            <w:proofErr w:type="spellStart"/>
            <w:r>
              <w:rPr>
                <w:rFonts w:ascii="Arial Narrow" w:hAnsi="Arial Narrow"/>
                <w:sz w:val="18"/>
                <w:szCs w:val="18"/>
                <w:lang w:val="en-US"/>
              </w:rPr>
              <w:t>giu</w:t>
            </w:r>
            <w:proofErr w:type="spellEnd"/>
            <w:r>
              <w:rPr>
                <w:rFonts w:ascii="Arial Narrow" w:hAnsi="Arial Narrow"/>
                <w:sz w:val="18"/>
                <w:szCs w:val="18"/>
                <w:lang w:val="en-US"/>
              </w:rPr>
              <w:t xml:space="preserve"> 22</w:t>
            </w:r>
          </w:p>
        </w:tc>
        <w:tc>
          <w:tcPr>
            <w:tcW w:w="1108" w:type="dxa"/>
            <w:tcBorders>
              <w:top w:val="nil"/>
              <w:left w:val="nil"/>
              <w:right w:val="nil"/>
            </w:tcBorders>
            <w:shd w:val="clear" w:color="auto" w:fill="auto"/>
            <w:vAlign w:val="center"/>
          </w:tcPr>
          <w:p w14:paraId="5B572E89"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mag-lug 22</w:t>
            </w:r>
          </w:p>
          <w:p w14:paraId="62D4A671" w14:textId="3AA1234C" w:rsidR="00B161A0" w:rsidRPr="003C7722" w:rsidRDefault="00B161A0" w:rsidP="00B161A0">
            <w:pPr>
              <w:spacing w:before="40" w:after="20"/>
              <w:jc w:val="center"/>
              <w:rPr>
                <w:rFonts w:ascii="Arial Narrow" w:hAnsi="Arial Narrow"/>
                <w:sz w:val="18"/>
                <w:szCs w:val="18"/>
                <w:lang w:val="en-US"/>
              </w:rPr>
            </w:pPr>
            <w:proofErr w:type="spellStart"/>
            <w:r>
              <w:rPr>
                <w:rFonts w:ascii="Arial Narrow" w:hAnsi="Arial Narrow"/>
                <w:sz w:val="18"/>
                <w:szCs w:val="18"/>
                <w:lang w:val="en-US"/>
              </w:rPr>
              <w:t>feb-apr</w:t>
            </w:r>
            <w:proofErr w:type="spellEnd"/>
            <w:r>
              <w:rPr>
                <w:rFonts w:ascii="Arial Narrow" w:hAnsi="Arial Narrow"/>
                <w:sz w:val="18"/>
                <w:szCs w:val="18"/>
                <w:lang w:val="en-US"/>
              </w:rPr>
              <w:t xml:space="preserve"> 22</w:t>
            </w:r>
          </w:p>
        </w:tc>
        <w:tc>
          <w:tcPr>
            <w:tcW w:w="685" w:type="dxa"/>
            <w:tcBorders>
              <w:top w:val="nil"/>
              <w:left w:val="nil"/>
              <w:right w:val="nil"/>
            </w:tcBorders>
            <w:shd w:val="clear" w:color="auto" w:fill="auto"/>
            <w:noWrap/>
            <w:vAlign w:val="center"/>
          </w:tcPr>
          <w:p w14:paraId="290AC94E"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 22</w:t>
            </w:r>
          </w:p>
          <w:p w14:paraId="552058E0" w14:textId="1DD97148" w:rsidR="00B161A0" w:rsidRPr="003C7722" w:rsidRDefault="00B161A0" w:rsidP="00B161A0">
            <w:pPr>
              <w:spacing w:before="40" w:after="20"/>
              <w:jc w:val="center"/>
              <w:rPr>
                <w:rFonts w:ascii="Arial Narrow" w:hAnsi="Arial Narrow"/>
                <w:sz w:val="18"/>
                <w:szCs w:val="18"/>
                <w:lang w:val="en-US"/>
              </w:rPr>
            </w:pPr>
            <w:r>
              <w:rPr>
                <w:rFonts w:ascii="Arial Narrow" w:hAnsi="Arial Narrow"/>
                <w:sz w:val="18"/>
                <w:szCs w:val="18"/>
                <w:lang w:val="en-US"/>
              </w:rPr>
              <w:t>lug 21</w:t>
            </w:r>
          </w:p>
        </w:tc>
        <w:tc>
          <w:tcPr>
            <w:tcW w:w="1017" w:type="dxa"/>
            <w:tcBorders>
              <w:top w:val="nil"/>
              <w:left w:val="nil"/>
              <w:right w:val="nil"/>
            </w:tcBorders>
            <w:shd w:val="clear" w:color="auto" w:fill="auto"/>
            <w:noWrap/>
            <w:vAlign w:val="center"/>
          </w:tcPr>
          <w:p w14:paraId="382E25D5"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gen-lug 22</w:t>
            </w:r>
          </w:p>
          <w:p w14:paraId="3E8742C6" w14:textId="5D6E2E93" w:rsidR="00B161A0" w:rsidRPr="003C7722" w:rsidRDefault="00B161A0" w:rsidP="00B161A0">
            <w:pPr>
              <w:spacing w:before="40" w:after="20"/>
              <w:jc w:val="center"/>
              <w:rPr>
                <w:rFonts w:ascii="Arial Narrow" w:hAnsi="Arial Narrow"/>
                <w:sz w:val="18"/>
                <w:szCs w:val="18"/>
                <w:lang w:val="en-US"/>
              </w:rPr>
            </w:pPr>
            <w:r>
              <w:rPr>
                <w:rFonts w:ascii="Arial Narrow" w:hAnsi="Arial Narrow"/>
                <w:sz w:val="18"/>
                <w:szCs w:val="18"/>
                <w:lang w:val="en-US"/>
              </w:rPr>
              <w:t>gen-lug 21</w:t>
            </w:r>
          </w:p>
        </w:tc>
        <w:tc>
          <w:tcPr>
            <w:tcW w:w="708" w:type="dxa"/>
            <w:tcBorders>
              <w:top w:val="nil"/>
              <w:left w:val="nil"/>
              <w:right w:val="nil"/>
            </w:tcBorders>
            <w:shd w:val="clear" w:color="auto" w:fill="auto"/>
            <w:vAlign w:val="center"/>
          </w:tcPr>
          <w:p w14:paraId="2B1E45FF"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 22</w:t>
            </w:r>
          </w:p>
          <w:p w14:paraId="79EE89C1" w14:textId="43701603" w:rsidR="00B161A0" w:rsidRPr="003C7722" w:rsidRDefault="00B161A0" w:rsidP="00B161A0">
            <w:pPr>
              <w:spacing w:before="40" w:after="20"/>
              <w:jc w:val="center"/>
              <w:rPr>
                <w:rFonts w:ascii="Arial Narrow" w:hAnsi="Arial Narrow"/>
                <w:sz w:val="18"/>
                <w:szCs w:val="18"/>
                <w:lang w:val="en-US"/>
              </w:rPr>
            </w:pPr>
            <w:proofErr w:type="spellStart"/>
            <w:r>
              <w:rPr>
                <w:rFonts w:ascii="Arial Narrow" w:hAnsi="Arial Narrow"/>
                <w:sz w:val="18"/>
                <w:szCs w:val="18"/>
                <w:lang w:val="en-US"/>
              </w:rPr>
              <w:t>giu</w:t>
            </w:r>
            <w:proofErr w:type="spellEnd"/>
            <w:r>
              <w:rPr>
                <w:rFonts w:ascii="Arial Narrow" w:hAnsi="Arial Narrow"/>
                <w:sz w:val="18"/>
                <w:szCs w:val="18"/>
                <w:lang w:val="en-US"/>
              </w:rPr>
              <w:t xml:space="preserve"> 22</w:t>
            </w:r>
          </w:p>
        </w:tc>
        <w:tc>
          <w:tcPr>
            <w:tcW w:w="1134" w:type="dxa"/>
            <w:tcBorders>
              <w:top w:val="nil"/>
              <w:left w:val="nil"/>
              <w:right w:val="nil"/>
            </w:tcBorders>
            <w:shd w:val="clear" w:color="auto" w:fill="auto"/>
            <w:vAlign w:val="center"/>
          </w:tcPr>
          <w:p w14:paraId="05869E65"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mag-lug 22</w:t>
            </w:r>
          </w:p>
          <w:p w14:paraId="40180A31" w14:textId="187743F6" w:rsidR="00B161A0" w:rsidRPr="003C7722" w:rsidRDefault="00B161A0" w:rsidP="00B161A0">
            <w:pPr>
              <w:spacing w:before="40" w:after="20"/>
              <w:jc w:val="center"/>
              <w:rPr>
                <w:rFonts w:ascii="Arial Narrow" w:hAnsi="Arial Narrow"/>
                <w:sz w:val="18"/>
                <w:szCs w:val="18"/>
                <w:lang w:val="en-US"/>
              </w:rPr>
            </w:pPr>
            <w:proofErr w:type="spellStart"/>
            <w:r>
              <w:rPr>
                <w:rFonts w:ascii="Arial Narrow" w:hAnsi="Arial Narrow"/>
                <w:sz w:val="18"/>
                <w:szCs w:val="18"/>
                <w:lang w:val="en-US"/>
              </w:rPr>
              <w:t>feb-apr</w:t>
            </w:r>
            <w:proofErr w:type="spellEnd"/>
            <w:r>
              <w:rPr>
                <w:rFonts w:ascii="Arial Narrow" w:hAnsi="Arial Narrow"/>
                <w:sz w:val="18"/>
                <w:szCs w:val="18"/>
                <w:lang w:val="en-US"/>
              </w:rPr>
              <w:t xml:space="preserve"> 22</w:t>
            </w:r>
          </w:p>
        </w:tc>
        <w:tc>
          <w:tcPr>
            <w:tcW w:w="654" w:type="dxa"/>
            <w:tcBorders>
              <w:top w:val="nil"/>
              <w:left w:val="nil"/>
              <w:right w:val="nil"/>
            </w:tcBorders>
            <w:shd w:val="clear" w:color="auto" w:fill="auto"/>
            <w:noWrap/>
            <w:vAlign w:val="center"/>
          </w:tcPr>
          <w:p w14:paraId="1A8E8E44"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 22</w:t>
            </w:r>
          </w:p>
          <w:p w14:paraId="7808F780" w14:textId="69F49587" w:rsidR="00B161A0" w:rsidRPr="003C7722" w:rsidRDefault="00B161A0" w:rsidP="00B161A0">
            <w:pPr>
              <w:spacing w:before="40" w:after="20"/>
              <w:jc w:val="center"/>
              <w:rPr>
                <w:rFonts w:ascii="Arial Narrow" w:hAnsi="Arial Narrow"/>
                <w:sz w:val="18"/>
                <w:szCs w:val="18"/>
                <w:lang w:val="en-US"/>
              </w:rPr>
            </w:pPr>
            <w:r>
              <w:rPr>
                <w:rFonts w:ascii="Arial Narrow" w:hAnsi="Arial Narrow"/>
                <w:sz w:val="18"/>
                <w:szCs w:val="18"/>
                <w:lang w:val="en-US"/>
              </w:rPr>
              <w:t>lug 21</w:t>
            </w:r>
          </w:p>
        </w:tc>
        <w:tc>
          <w:tcPr>
            <w:tcW w:w="984" w:type="dxa"/>
            <w:tcBorders>
              <w:top w:val="nil"/>
              <w:left w:val="nil"/>
              <w:right w:val="nil"/>
            </w:tcBorders>
            <w:shd w:val="clear" w:color="auto" w:fill="auto"/>
            <w:noWrap/>
            <w:vAlign w:val="center"/>
          </w:tcPr>
          <w:p w14:paraId="4DB36B15"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gen-lug 22</w:t>
            </w:r>
          </w:p>
          <w:p w14:paraId="5F401C1B" w14:textId="771FE881" w:rsidR="00B161A0" w:rsidRPr="003C7722" w:rsidRDefault="00B161A0" w:rsidP="00B161A0">
            <w:pPr>
              <w:spacing w:before="40" w:after="20"/>
              <w:jc w:val="center"/>
              <w:rPr>
                <w:rFonts w:ascii="Arial Narrow" w:hAnsi="Arial Narrow"/>
                <w:sz w:val="18"/>
                <w:szCs w:val="18"/>
                <w:lang w:val="en-US"/>
              </w:rPr>
            </w:pPr>
            <w:r>
              <w:rPr>
                <w:rFonts w:ascii="Arial Narrow" w:hAnsi="Arial Narrow"/>
                <w:sz w:val="18"/>
                <w:szCs w:val="18"/>
                <w:lang w:val="en-US"/>
              </w:rPr>
              <w:t>gen-lug 21</w:t>
            </w:r>
          </w:p>
        </w:tc>
        <w:tc>
          <w:tcPr>
            <w:tcW w:w="709" w:type="dxa"/>
            <w:tcBorders>
              <w:top w:val="single" w:sz="4" w:space="0" w:color="auto"/>
              <w:left w:val="nil"/>
              <w:right w:val="nil"/>
            </w:tcBorders>
            <w:shd w:val="clear" w:color="auto" w:fill="auto"/>
            <w:vAlign w:val="center"/>
          </w:tcPr>
          <w:p w14:paraId="39832C3F" w14:textId="717C3E70" w:rsidR="00B161A0" w:rsidRPr="003C7722" w:rsidRDefault="00B161A0" w:rsidP="00B161A0">
            <w:pPr>
              <w:spacing w:before="40" w:after="20"/>
              <w:jc w:val="center"/>
              <w:rPr>
                <w:rFonts w:ascii="Arial Narrow" w:hAnsi="Arial Narrow"/>
                <w:sz w:val="18"/>
                <w:szCs w:val="18"/>
                <w:lang w:val="en-US"/>
              </w:rPr>
            </w:pPr>
            <w:r>
              <w:rPr>
                <w:rFonts w:ascii="Arial Narrow" w:hAnsi="Arial Narrow"/>
                <w:sz w:val="18"/>
                <w:szCs w:val="18"/>
                <w:lang w:val="en-US"/>
              </w:rPr>
              <w:t>lug 22</w:t>
            </w:r>
          </w:p>
        </w:tc>
        <w:tc>
          <w:tcPr>
            <w:tcW w:w="984" w:type="dxa"/>
            <w:tcBorders>
              <w:top w:val="single" w:sz="4" w:space="0" w:color="auto"/>
              <w:left w:val="nil"/>
              <w:right w:val="nil"/>
            </w:tcBorders>
            <w:shd w:val="clear" w:color="auto" w:fill="auto"/>
            <w:vAlign w:val="center"/>
          </w:tcPr>
          <w:p w14:paraId="78455110" w14:textId="770BF242" w:rsidR="00B161A0" w:rsidRPr="003C7722" w:rsidRDefault="00B161A0" w:rsidP="00B161A0">
            <w:pPr>
              <w:spacing w:before="40" w:after="20"/>
              <w:jc w:val="center"/>
              <w:rPr>
                <w:rFonts w:ascii="Arial Narrow" w:hAnsi="Arial Narrow"/>
                <w:sz w:val="18"/>
                <w:szCs w:val="18"/>
                <w:lang w:val="en-US"/>
              </w:rPr>
            </w:pPr>
            <w:r>
              <w:rPr>
                <w:rFonts w:ascii="Arial Narrow" w:hAnsi="Arial Narrow"/>
                <w:sz w:val="18"/>
                <w:szCs w:val="18"/>
                <w:lang w:val="en-US"/>
              </w:rPr>
              <w:t>gen-lug 22</w:t>
            </w:r>
          </w:p>
        </w:tc>
      </w:tr>
      <w:tr w:rsidR="002662C0" w:rsidRPr="008C0651" w14:paraId="736716A8" w14:textId="77777777" w:rsidTr="002662C0">
        <w:trPr>
          <w:trHeight w:val="255"/>
        </w:trPr>
        <w:tc>
          <w:tcPr>
            <w:tcW w:w="1587" w:type="dxa"/>
            <w:tcBorders>
              <w:top w:val="single" w:sz="4" w:space="0" w:color="auto"/>
              <w:left w:val="nil"/>
              <w:bottom w:val="single" w:sz="4" w:space="0" w:color="auto"/>
              <w:right w:val="nil"/>
            </w:tcBorders>
            <w:shd w:val="clear" w:color="auto" w:fill="auto"/>
            <w:vAlign w:val="bottom"/>
          </w:tcPr>
          <w:p w14:paraId="422B7BD3" w14:textId="77777777" w:rsidR="002662C0" w:rsidRPr="00831F78" w:rsidRDefault="002662C0" w:rsidP="002662C0">
            <w:pPr>
              <w:spacing w:before="40" w:after="20"/>
              <w:rPr>
                <w:rFonts w:ascii="Arial Narrow" w:hAnsi="Arial Narrow"/>
                <w:sz w:val="18"/>
                <w:szCs w:val="18"/>
              </w:rPr>
            </w:pPr>
            <w:r w:rsidRPr="00831F78">
              <w:rPr>
                <w:rFonts w:ascii="Arial Narrow" w:hAnsi="Arial Narrow"/>
                <w:sz w:val="18"/>
                <w:szCs w:val="18"/>
              </w:rPr>
              <w:t>Beni di consumo</w:t>
            </w:r>
          </w:p>
        </w:tc>
        <w:tc>
          <w:tcPr>
            <w:tcW w:w="665" w:type="dxa"/>
            <w:tcBorders>
              <w:top w:val="single" w:sz="4" w:space="0" w:color="auto"/>
              <w:left w:val="nil"/>
              <w:bottom w:val="single" w:sz="4" w:space="0" w:color="auto"/>
              <w:right w:val="nil"/>
            </w:tcBorders>
            <w:shd w:val="clear" w:color="auto" w:fill="D9D9D9"/>
            <w:noWrap/>
            <w:vAlign w:val="center"/>
          </w:tcPr>
          <w:p w14:paraId="193A2938" w14:textId="05EC67E3" w:rsidR="002662C0" w:rsidRDefault="002662C0" w:rsidP="002662C0">
            <w:pPr>
              <w:jc w:val="center"/>
              <w:rPr>
                <w:rFonts w:ascii="Arial Narrow" w:hAnsi="Arial Narrow"/>
                <w:sz w:val="18"/>
                <w:szCs w:val="18"/>
              </w:rPr>
            </w:pPr>
            <w:r>
              <w:rPr>
                <w:rFonts w:ascii="Arial Narrow" w:hAnsi="Arial Narrow"/>
                <w:sz w:val="18"/>
                <w:szCs w:val="18"/>
              </w:rPr>
              <w:t>+3,3</w:t>
            </w:r>
          </w:p>
        </w:tc>
        <w:tc>
          <w:tcPr>
            <w:tcW w:w="1108" w:type="dxa"/>
            <w:tcBorders>
              <w:top w:val="single" w:sz="4" w:space="0" w:color="auto"/>
              <w:left w:val="nil"/>
              <w:bottom w:val="single" w:sz="4" w:space="0" w:color="auto"/>
              <w:right w:val="nil"/>
            </w:tcBorders>
            <w:shd w:val="clear" w:color="auto" w:fill="D9D9D9"/>
            <w:noWrap/>
            <w:vAlign w:val="center"/>
          </w:tcPr>
          <w:p w14:paraId="674BFB78" w14:textId="743A2F5B" w:rsidR="002662C0" w:rsidRDefault="002662C0" w:rsidP="002662C0">
            <w:pPr>
              <w:jc w:val="center"/>
              <w:rPr>
                <w:rFonts w:ascii="Arial Narrow" w:hAnsi="Arial Narrow"/>
                <w:sz w:val="18"/>
                <w:szCs w:val="18"/>
              </w:rPr>
            </w:pPr>
            <w:r>
              <w:rPr>
                <w:rFonts w:ascii="Arial Narrow" w:hAnsi="Arial Narrow"/>
                <w:sz w:val="18"/>
                <w:szCs w:val="18"/>
              </w:rPr>
              <w:t>+5,2</w:t>
            </w:r>
          </w:p>
        </w:tc>
        <w:tc>
          <w:tcPr>
            <w:tcW w:w="685" w:type="dxa"/>
            <w:tcBorders>
              <w:top w:val="single" w:sz="4" w:space="0" w:color="auto"/>
              <w:left w:val="nil"/>
              <w:bottom w:val="single" w:sz="4" w:space="0" w:color="auto"/>
              <w:right w:val="nil"/>
            </w:tcBorders>
            <w:shd w:val="clear" w:color="auto" w:fill="auto"/>
            <w:noWrap/>
            <w:vAlign w:val="center"/>
          </w:tcPr>
          <w:p w14:paraId="68FB1849" w14:textId="2C7DDAF0" w:rsidR="002662C0" w:rsidRDefault="002662C0" w:rsidP="002662C0">
            <w:pPr>
              <w:jc w:val="center"/>
              <w:rPr>
                <w:rFonts w:ascii="Arial Narrow" w:hAnsi="Arial Narrow"/>
                <w:sz w:val="18"/>
                <w:szCs w:val="18"/>
              </w:rPr>
            </w:pPr>
            <w:r>
              <w:rPr>
                <w:rFonts w:ascii="Arial Narrow" w:hAnsi="Arial Narrow"/>
                <w:sz w:val="18"/>
                <w:szCs w:val="18"/>
              </w:rPr>
              <w:t>+24,8</w:t>
            </w:r>
          </w:p>
        </w:tc>
        <w:tc>
          <w:tcPr>
            <w:tcW w:w="1017" w:type="dxa"/>
            <w:tcBorders>
              <w:top w:val="single" w:sz="4" w:space="0" w:color="auto"/>
              <w:left w:val="nil"/>
              <w:bottom w:val="single" w:sz="4" w:space="0" w:color="auto"/>
              <w:right w:val="nil"/>
            </w:tcBorders>
            <w:shd w:val="clear" w:color="auto" w:fill="auto"/>
            <w:noWrap/>
            <w:vAlign w:val="center"/>
          </w:tcPr>
          <w:p w14:paraId="03DFA5BB" w14:textId="3672D92B" w:rsidR="002662C0" w:rsidRDefault="002662C0" w:rsidP="002662C0">
            <w:pPr>
              <w:jc w:val="center"/>
              <w:rPr>
                <w:rFonts w:ascii="Arial Narrow" w:hAnsi="Arial Narrow"/>
                <w:sz w:val="18"/>
                <w:szCs w:val="18"/>
              </w:rPr>
            </w:pPr>
            <w:r>
              <w:rPr>
                <w:rFonts w:ascii="Arial Narrow" w:hAnsi="Arial Narrow"/>
                <w:sz w:val="18"/>
                <w:szCs w:val="18"/>
              </w:rPr>
              <w:t>+22,8</w:t>
            </w:r>
          </w:p>
        </w:tc>
        <w:tc>
          <w:tcPr>
            <w:tcW w:w="708" w:type="dxa"/>
            <w:tcBorders>
              <w:top w:val="single" w:sz="4" w:space="0" w:color="auto"/>
              <w:left w:val="nil"/>
              <w:bottom w:val="single" w:sz="4" w:space="0" w:color="auto"/>
              <w:right w:val="nil"/>
            </w:tcBorders>
            <w:shd w:val="clear" w:color="auto" w:fill="D9D9D9"/>
            <w:noWrap/>
            <w:vAlign w:val="center"/>
          </w:tcPr>
          <w:p w14:paraId="35E5980E" w14:textId="31E2E21F" w:rsidR="002662C0" w:rsidRDefault="002662C0" w:rsidP="002662C0">
            <w:pPr>
              <w:jc w:val="center"/>
              <w:rPr>
                <w:rFonts w:ascii="Arial Narrow" w:hAnsi="Arial Narrow"/>
                <w:sz w:val="18"/>
                <w:szCs w:val="18"/>
              </w:rPr>
            </w:pPr>
            <w:r>
              <w:rPr>
                <w:rFonts w:ascii="Arial Narrow" w:hAnsi="Arial Narrow"/>
                <w:sz w:val="18"/>
                <w:szCs w:val="18"/>
              </w:rPr>
              <w:t>-0,3</w:t>
            </w:r>
          </w:p>
        </w:tc>
        <w:tc>
          <w:tcPr>
            <w:tcW w:w="1134" w:type="dxa"/>
            <w:tcBorders>
              <w:top w:val="single" w:sz="4" w:space="0" w:color="auto"/>
              <w:left w:val="nil"/>
              <w:bottom w:val="single" w:sz="4" w:space="0" w:color="auto"/>
              <w:right w:val="nil"/>
            </w:tcBorders>
            <w:shd w:val="clear" w:color="auto" w:fill="D9D9D9"/>
            <w:noWrap/>
            <w:vAlign w:val="center"/>
          </w:tcPr>
          <w:p w14:paraId="44070F80" w14:textId="4EF65DA6" w:rsidR="002662C0" w:rsidRDefault="002662C0" w:rsidP="002662C0">
            <w:pPr>
              <w:jc w:val="center"/>
              <w:rPr>
                <w:rFonts w:ascii="Arial Narrow" w:hAnsi="Arial Narrow"/>
                <w:sz w:val="18"/>
                <w:szCs w:val="18"/>
              </w:rPr>
            </w:pPr>
            <w:r>
              <w:rPr>
                <w:rFonts w:ascii="Arial Narrow" w:hAnsi="Arial Narrow"/>
                <w:sz w:val="18"/>
                <w:szCs w:val="18"/>
              </w:rPr>
              <w:t>+3,2</w:t>
            </w:r>
          </w:p>
        </w:tc>
        <w:tc>
          <w:tcPr>
            <w:tcW w:w="654" w:type="dxa"/>
            <w:tcBorders>
              <w:top w:val="single" w:sz="4" w:space="0" w:color="auto"/>
              <w:left w:val="nil"/>
              <w:bottom w:val="single" w:sz="4" w:space="0" w:color="auto"/>
              <w:right w:val="nil"/>
            </w:tcBorders>
            <w:shd w:val="clear" w:color="auto" w:fill="auto"/>
            <w:noWrap/>
            <w:vAlign w:val="center"/>
          </w:tcPr>
          <w:p w14:paraId="5DEA871A" w14:textId="573B8B73" w:rsidR="002662C0" w:rsidRDefault="002662C0" w:rsidP="002662C0">
            <w:pPr>
              <w:jc w:val="center"/>
              <w:rPr>
                <w:rFonts w:ascii="Arial Narrow" w:hAnsi="Arial Narrow"/>
                <w:sz w:val="18"/>
                <w:szCs w:val="18"/>
              </w:rPr>
            </w:pPr>
            <w:r>
              <w:rPr>
                <w:rFonts w:ascii="Arial Narrow" w:hAnsi="Arial Narrow"/>
                <w:sz w:val="18"/>
                <w:szCs w:val="18"/>
              </w:rPr>
              <w:t>+23,0</w:t>
            </w:r>
          </w:p>
        </w:tc>
        <w:tc>
          <w:tcPr>
            <w:tcW w:w="984" w:type="dxa"/>
            <w:tcBorders>
              <w:top w:val="single" w:sz="4" w:space="0" w:color="auto"/>
              <w:left w:val="nil"/>
              <w:bottom w:val="single" w:sz="4" w:space="0" w:color="auto"/>
              <w:right w:val="nil"/>
            </w:tcBorders>
            <w:shd w:val="clear" w:color="auto" w:fill="auto"/>
            <w:noWrap/>
            <w:vAlign w:val="center"/>
          </w:tcPr>
          <w:p w14:paraId="094DD5FA" w14:textId="135BB0E9" w:rsidR="002662C0" w:rsidRDefault="002662C0" w:rsidP="002662C0">
            <w:pPr>
              <w:jc w:val="center"/>
              <w:rPr>
                <w:rFonts w:ascii="Arial Narrow" w:hAnsi="Arial Narrow"/>
                <w:sz w:val="18"/>
                <w:szCs w:val="18"/>
              </w:rPr>
            </w:pPr>
            <w:r>
              <w:rPr>
                <w:rFonts w:ascii="Arial Narrow" w:hAnsi="Arial Narrow"/>
                <w:sz w:val="18"/>
                <w:szCs w:val="18"/>
              </w:rPr>
              <w:t>+28,5</w:t>
            </w:r>
          </w:p>
        </w:tc>
        <w:tc>
          <w:tcPr>
            <w:tcW w:w="709" w:type="dxa"/>
            <w:tcBorders>
              <w:top w:val="single" w:sz="4" w:space="0" w:color="auto"/>
              <w:left w:val="nil"/>
              <w:bottom w:val="single" w:sz="4" w:space="0" w:color="auto"/>
              <w:right w:val="nil"/>
            </w:tcBorders>
            <w:shd w:val="clear" w:color="auto" w:fill="D9D9D9"/>
            <w:noWrap/>
            <w:vAlign w:val="center"/>
          </w:tcPr>
          <w:p w14:paraId="0A169005" w14:textId="43850CFD" w:rsidR="002662C0" w:rsidRDefault="002662C0" w:rsidP="002662C0">
            <w:pPr>
              <w:jc w:val="center"/>
              <w:rPr>
                <w:rFonts w:ascii="Arial Narrow" w:hAnsi="Arial Narrow"/>
                <w:sz w:val="18"/>
                <w:szCs w:val="18"/>
              </w:rPr>
            </w:pPr>
            <w:r>
              <w:rPr>
                <w:rFonts w:ascii="Arial Narrow" w:hAnsi="Arial Narrow"/>
                <w:sz w:val="18"/>
                <w:szCs w:val="18"/>
              </w:rPr>
              <w:t>+6.541</w:t>
            </w:r>
          </w:p>
        </w:tc>
        <w:tc>
          <w:tcPr>
            <w:tcW w:w="984" w:type="dxa"/>
            <w:tcBorders>
              <w:top w:val="single" w:sz="4" w:space="0" w:color="auto"/>
              <w:left w:val="nil"/>
              <w:bottom w:val="single" w:sz="4" w:space="0" w:color="auto"/>
              <w:right w:val="nil"/>
            </w:tcBorders>
            <w:shd w:val="clear" w:color="auto" w:fill="D9D9D9"/>
            <w:vAlign w:val="center"/>
          </w:tcPr>
          <w:p w14:paraId="1E9FCC23" w14:textId="397C9C4A" w:rsidR="002662C0" w:rsidRDefault="002662C0" w:rsidP="002662C0">
            <w:pPr>
              <w:jc w:val="center"/>
              <w:rPr>
                <w:rFonts w:ascii="Arial Narrow" w:hAnsi="Arial Narrow"/>
                <w:sz w:val="18"/>
                <w:szCs w:val="18"/>
              </w:rPr>
            </w:pPr>
            <w:r>
              <w:rPr>
                <w:rFonts w:ascii="Arial Narrow" w:hAnsi="Arial Narrow"/>
                <w:sz w:val="18"/>
                <w:szCs w:val="18"/>
              </w:rPr>
              <w:t>+29.384</w:t>
            </w:r>
          </w:p>
        </w:tc>
      </w:tr>
      <w:tr w:rsidR="002662C0" w:rsidRPr="008C0651" w14:paraId="1B907A93" w14:textId="77777777" w:rsidTr="002662C0">
        <w:trPr>
          <w:trHeight w:val="255"/>
        </w:trPr>
        <w:tc>
          <w:tcPr>
            <w:tcW w:w="1587" w:type="dxa"/>
            <w:tcBorders>
              <w:top w:val="single" w:sz="4" w:space="0" w:color="auto"/>
              <w:left w:val="nil"/>
              <w:bottom w:val="single" w:sz="4" w:space="0" w:color="auto"/>
              <w:right w:val="nil"/>
            </w:tcBorders>
            <w:shd w:val="clear" w:color="auto" w:fill="auto"/>
            <w:vAlign w:val="bottom"/>
          </w:tcPr>
          <w:p w14:paraId="54DD10DC" w14:textId="77777777" w:rsidR="002662C0" w:rsidRPr="00AB0DE6" w:rsidRDefault="002662C0" w:rsidP="002662C0">
            <w:pPr>
              <w:spacing w:before="40" w:after="20"/>
              <w:rPr>
                <w:rFonts w:ascii="Arial Narrow" w:hAnsi="Arial Narrow"/>
                <w:sz w:val="18"/>
                <w:szCs w:val="18"/>
              </w:rPr>
            </w:pPr>
            <w:r w:rsidRPr="00AB0DE6">
              <w:rPr>
                <w:rFonts w:ascii="Arial Narrow" w:hAnsi="Arial Narrow"/>
                <w:sz w:val="18"/>
                <w:szCs w:val="18"/>
              </w:rPr>
              <w:t xml:space="preserve">  </w:t>
            </w:r>
            <w:r>
              <w:rPr>
                <w:rFonts w:ascii="Arial Narrow" w:hAnsi="Arial Narrow"/>
                <w:sz w:val="18"/>
                <w:szCs w:val="18"/>
              </w:rPr>
              <w:t>d</w:t>
            </w:r>
            <w:r w:rsidRPr="00AB0DE6">
              <w:rPr>
                <w:rFonts w:ascii="Arial Narrow" w:hAnsi="Arial Narrow"/>
                <w:sz w:val="18"/>
                <w:szCs w:val="18"/>
              </w:rPr>
              <w:t>urevoli</w:t>
            </w:r>
          </w:p>
        </w:tc>
        <w:tc>
          <w:tcPr>
            <w:tcW w:w="665" w:type="dxa"/>
            <w:tcBorders>
              <w:top w:val="single" w:sz="4" w:space="0" w:color="auto"/>
              <w:left w:val="nil"/>
              <w:bottom w:val="single" w:sz="4" w:space="0" w:color="auto"/>
              <w:right w:val="nil"/>
            </w:tcBorders>
            <w:shd w:val="clear" w:color="auto" w:fill="D9D9D9"/>
            <w:noWrap/>
            <w:vAlign w:val="center"/>
          </w:tcPr>
          <w:p w14:paraId="3FDC9C11" w14:textId="3EC9AA5E" w:rsidR="002662C0" w:rsidRDefault="002662C0" w:rsidP="002662C0">
            <w:pPr>
              <w:jc w:val="center"/>
              <w:rPr>
                <w:rFonts w:ascii="Arial Narrow" w:hAnsi="Arial Narrow"/>
                <w:sz w:val="18"/>
                <w:szCs w:val="18"/>
              </w:rPr>
            </w:pPr>
            <w:r>
              <w:rPr>
                <w:rFonts w:ascii="Arial Narrow" w:hAnsi="Arial Narrow"/>
                <w:sz w:val="18"/>
                <w:szCs w:val="18"/>
              </w:rPr>
              <w:t>+0,5</w:t>
            </w:r>
          </w:p>
        </w:tc>
        <w:tc>
          <w:tcPr>
            <w:tcW w:w="1108" w:type="dxa"/>
            <w:tcBorders>
              <w:top w:val="single" w:sz="4" w:space="0" w:color="auto"/>
              <w:left w:val="nil"/>
              <w:bottom w:val="single" w:sz="4" w:space="0" w:color="auto"/>
              <w:right w:val="nil"/>
            </w:tcBorders>
            <w:shd w:val="clear" w:color="auto" w:fill="D9D9D9"/>
            <w:noWrap/>
            <w:vAlign w:val="center"/>
          </w:tcPr>
          <w:p w14:paraId="0D5C1158" w14:textId="7933FE3C" w:rsidR="002662C0" w:rsidRDefault="002662C0" w:rsidP="002662C0">
            <w:pPr>
              <w:jc w:val="center"/>
              <w:rPr>
                <w:rFonts w:ascii="Arial Narrow" w:hAnsi="Arial Narrow"/>
                <w:sz w:val="18"/>
                <w:szCs w:val="18"/>
              </w:rPr>
            </w:pPr>
            <w:r>
              <w:rPr>
                <w:rFonts w:ascii="Arial Narrow" w:hAnsi="Arial Narrow"/>
                <w:sz w:val="18"/>
                <w:szCs w:val="18"/>
              </w:rPr>
              <w:t>+5,7</w:t>
            </w:r>
          </w:p>
        </w:tc>
        <w:tc>
          <w:tcPr>
            <w:tcW w:w="685" w:type="dxa"/>
            <w:tcBorders>
              <w:top w:val="single" w:sz="4" w:space="0" w:color="auto"/>
              <w:left w:val="nil"/>
              <w:bottom w:val="single" w:sz="4" w:space="0" w:color="auto"/>
              <w:right w:val="nil"/>
            </w:tcBorders>
            <w:shd w:val="clear" w:color="auto" w:fill="auto"/>
            <w:noWrap/>
            <w:vAlign w:val="center"/>
          </w:tcPr>
          <w:p w14:paraId="2012164B" w14:textId="409B6DD7" w:rsidR="002662C0" w:rsidRDefault="002662C0" w:rsidP="002662C0">
            <w:pPr>
              <w:jc w:val="center"/>
              <w:rPr>
                <w:rFonts w:ascii="Arial Narrow" w:hAnsi="Arial Narrow"/>
                <w:sz w:val="18"/>
                <w:szCs w:val="18"/>
              </w:rPr>
            </w:pPr>
            <w:r>
              <w:rPr>
                <w:rFonts w:ascii="Arial Narrow" w:hAnsi="Arial Narrow"/>
                <w:sz w:val="18"/>
                <w:szCs w:val="18"/>
              </w:rPr>
              <w:t>+12,3</w:t>
            </w:r>
          </w:p>
        </w:tc>
        <w:tc>
          <w:tcPr>
            <w:tcW w:w="1017" w:type="dxa"/>
            <w:tcBorders>
              <w:top w:val="single" w:sz="4" w:space="0" w:color="auto"/>
              <w:left w:val="nil"/>
              <w:bottom w:val="single" w:sz="4" w:space="0" w:color="auto"/>
              <w:right w:val="nil"/>
            </w:tcBorders>
            <w:shd w:val="clear" w:color="auto" w:fill="auto"/>
            <w:noWrap/>
            <w:vAlign w:val="center"/>
          </w:tcPr>
          <w:p w14:paraId="70EDECFF" w14:textId="748CDAA1" w:rsidR="002662C0" w:rsidRDefault="002662C0" w:rsidP="002662C0">
            <w:pPr>
              <w:jc w:val="center"/>
              <w:rPr>
                <w:rFonts w:ascii="Arial Narrow" w:hAnsi="Arial Narrow"/>
                <w:sz w:val="18"/>
                <w:szCs w:val="18"/>
              </w:rPr>
            </w:pPr>
            <w:r>
              <w:rPr>
                <w:rFonts w:ascii="Arial Narrow" w:hAnsi="Arial Narrow"/>
                <w:sz w:val="18"/>
                <w:szCs w:val="18"/>
              </w:rPr>
              <w:t>+18,2</w:t>
            </w:r>
          </w:p>
        </w:tc>
        <w:tc>
          <w:tcPr>
            <w:tcW w:w="708" w:type="dxa"/>
            <w:tcBorders>
              <w:top w:val="single" w:sz="4" w:space="0" w:color="auto"/>
              <w:left w:val="nil"/>
              <w:bottom w:val="single" w:sz="4" w:space="0" w:color="auto"/>
              <w:right w:val="nil"/>
            </w:tcBorders>
            <w:shd w:val="clear" w:color="auto" w:fill="D9D9D9"/>
            <w:noWrap/>
            <w:vAlign w:val="center"/>
          </w:tcPr>
          <w:p w14:paraId="72A9E3DA" w14:textId="0640D999" w:rsidR="002662C0" w:rsidRDefault="002662C0" w:rsidP="002662C0">
            <w:pPr>
              <w:jc w:val="center"/>
              <w:rPr>
                <w:rFonts w:ascii="Arial Narrow" w:hAnsi="Arial Narrow"/>
                <w:sz w:val="18"/>
                <w:szCs w:val="18"/>
              </w:rPr>
            </w:pPr>
            <w:r>
              <w:rPr>
                <w:rFonts w:ascii="Arial Narrow" w:hAnsi="Arial Narrow"/>
                <w:sz w:val="18"/>
                <w:szCs w:val="18"/>
              </w:rPr>
              <w:t>-2,9</w:t>
            </w:r>
          </w:p>
        </w:tc>
        <w:tc>
          <w:tcPr>
            <w:tcW w:w="1134" w:type="dxa"/>
            <w:tcBorders>
              <w:top w:val="single" w:sz="4" w:space="0" w:color="auto"/>
              <w:left w:val="nil"/>
              <w:bottom w:val="single" w:sz="4" w:space="0" w:color="auto"/>
              <w:right w:val="nil"/>
            </w:tcBorders>
            <w:shd w:val="clear" w:color="auto" w:fill="D9D9D9"/>
            <w:noWrap/>
            <w:vAlign w:val="center"/>
          </w:tcPr>
          <w:p w14:paraId="7A970DB7" w14:textId="72701ED3" w:rsidR="002662C0" w:rsidRDefault="002662C0" w:rsidP="002662C0">
            <w:pPr>
              <w:jc w:val="center"/>
              <w:rPr>
                <w:rFonts w:ascii="Arial Narrow" w:hAnsi="Arial Narrow"/>
                <w:sz w:val="18"/>
                <w:szCs w:val="18"/>
              </w:rPr>
            </w:pPr>
            <w:r>
              <w:rPr>
                <w:rFonts w:ascii="Arial Narrow" w:hAnsi="Arial Narrow"/>
                <w:sz w:val="18"/>
                <w:szCs w:val="18"/>
              </w:rPr>
              <w:t>-0,4</w:t>
            </w:r>
          </w:p>
        </w:tc>
        <w:tc>
          <w:tcPr>
            <w:tcW w:w="654" w:type="dxa"/>
            <w:tcBorders>
              <w:top w:val="single" w:sz="4" w:space="0" w:color="auto"/>
              <w:left w:val="nil"/>
              <w:bottom w:val="single" w:sz="4" w:space="0" w:color="auto"/>
              <w:right w:val="nil"/>
            </w:tcBorders>
            <w:shd w:val="clear" w:color="auto" w:fill="auto"/>
            <w:noWrap/>
            <w:vAlign w:val="center"/>
          </w:tcPr>
          <w:p w14:paraId="0FF61880" w14:textId="18DFC70F" w:rsidR="002662C0" w:rsidRDefault="002662C0" w:rsidP="002662C0">
            <w:pPr>
              <w:jc w:val="center"/>
              <w:rPr>
                <w:rFonts w:ascii="Arial Narrow" w:hAnsi="Arial Narrow"/>
                <w:sz w:val="18"/>
                <w:szCs w:val="18"/>
              </w:rPr>
            </w:pPr>
            <w:r>
              <w:rPr>
                <w:rFonts w:ascii="Arial Narrow" w:hAnsi="Arial Narrow"/>
                <w:sz w:val="18"/>
                <w:szCs w:val="18"/>
              </w:rPr>
              <w:t>+0,6</w:t>
            </w:r>
          </w:p>
        </w:tc>
        <w:tc>
          <w:tcPr>
            <w:tcW w:w="984" w:type="dxa"/>
            <w:tcBorders>
              <w:top w:val="single" w:sz="4" w:space="0" w:color="auto"/>
              <w:left w:val="nil"/>
              <w:bottom w:val="single" w:sz="4" w:space="0" w:color="auto"/>
              <w:right w:val="nil"/>
            </w:tcBorders>
            <w:shd w:val="clear" w:color="auto" w:fill="auto"/>
            <w:noWrap/>
            <w:vAlign w:val="center"/>
          </w:tcPr>
          <w:p w14:paraId="6F169314" w14:textId="5F6D5027" w:rsidR="002662C0" w:rsidRDefault="002662C0" w:rsidP="002662C0">
            <w:pPr>
              <w:jc w:val="center"/>
              <w:rPr>
                <w:rFonts w:ascii="Arial Narrow" w:hAnsi="Arial Narrow"/>
                <w:sz w:val="18"/>
                <w:szCs w:val="18"/>
              </w:rPr>
            </w:pPr>
            <w:r>
              <w:rPr>
                <w:rFonts w:ascii="Arial Narrow" w:hAnsi="Arial Narrow"/>
                <w:sz w:val="18"/>
                <w:szCs w:val="18"/>
              </w:rPr>
              <w:t>+19,2</w:t>
            </w:r>
          </w:p>
        </w:tc>
        <w:tc>
          <w:tcPr>
            <w:tcW w:w="709" w:type="dxa"/>
            <w:tcBorders>
              <w:top w:val="single" w:sz="4" w:space="0" w:color="auto"/>
              <w:left w:val="nil"/>
              <w:bottom w:val="single" w:sz="4" w:space="0" w:color="auto"/>
              <w:right w:val="nil"/>
            </w:tcBorders>
            <w:shd w:val="clear" w:color="auto" w:fill="D9D9D9"/>
            <w:noWrap/>
            <w:vAlign w:val="center"/>
          </w:tcPr>
          <w:p w14:paraId="50156964" w14:textId="0D0A0025" w:rsidR="002662C0" w:rsidRDefault="002662C0" w:rsidP="002662C0">
            <w:pPr>
              <w:jc w:val="center"/>
              <w:rPr>
                <w:rFonts w:ascii="Arial Narrow" w:hAnsi="Arial Narrow"/>
                <w:sz w:val="18"/>
                <w:szCs w:val="18"/>
              </w:rPr>
            </w:pPr>
            <w:r>
              <w:rPr>
                <w:rFonts w:ascii="Arial Narrow" w:hAnsi="Arial Narrow"/>
                <w:sz w:val="18"/>
                <w:szCs w:val="18"/>
              </w:rPr>
              <w:t>+1.898</w:t>
            </w:r>
          </w:p>
        </w:tc>
        <w:tc>
          <w:tcPr>
            <w:tcW w:w="984" w:type="dxa"/>
            <w:tcBorders>
              <w:top w:val="single" w:sz="4" w:space="0" w:color="auto"/>
              <w:left w:val="nil"/>
              <w:bottom w:val="single" w:sz="4" w:space="0" w:color="auto"/>
              <w:right w:val="nil"/>
            </w:tcBorders>
            <w:shd w:val="clear" w:color="auto" w:fill="D9D9D9"/>
            <w:vAlign w:val="center"/>
          </w:tcPr>
          <w:p w14:paraId="6078F65F" w14:textId="465FBDB7" w:rsidR="002662C0" w:rsidRDefault="002662C0" w:rsidP="002662C0">
            <w:pPr>
              <w:jc w:val="center"/>
              <w:rPr>
                <w:rFonts w:ascii="Arial Narrow" w:hAnsi="Arial Narrow"/>
                <w:sz w:val="18"/>
                <w:szCs w:val="18"/>
              </w:rPr>
            </w:pPr>
            <w:r>
              <w:rPr>
                <w:rFonts w:ascii="Arial Narrow" w:hAnsi="Arial Narrow"/>
                <w:sz w:val="18"/>
                <w:szCs w:val="18"/>
              </w:rPr>
              <w:t>+9.973</w:t>
            </w:r>
          </w:p>
        </w:tc>
      </w:tr>
      <w:tr w:rsidR="002662C0" w:rsidRPr="008C0651" w14:paraId="23399346" w14:textId="77777777" w:rsidTr="002662C0">
        <w:trPr>
          <w:trHeight w:val="255"/>
        </w:trPr>
        <w:tc>
          <w:tcPr>
            <w:tcW w:w="1587" w:type="dxa"/>
            <w:tcBorders>
              <w:top w:val="single" w:sz="4" w:space="0" w:color="auto"/>
              <w:left w:val="nil"/>
              <w:bottom w:val="single" w:sz="4" w:space="0" w:color="auto"/>
              <w:right w:val="nil"/>
            </w:tcBorders>
            <w:shd w:val="clear" w:color="auto" w:fill="auto"/>
            <w:vAlign w:val="bottom"/>
          </w:tcPr>
          <w:p w14:paraId="10BB07A3" w14:textId="77777777" w:rsidR="002662C0" w:rsidRPr="00AB0DE6" w:rsidRDefault="002662C0" w:rsidP="002662C0">
            <w:pPr>
              <w:spacing w:before="40" w:after="20"/>
              <w:rPr>
                <w:rFonts w:ascii="Arial Narrow" w:hAnsi="Arial Narrow"/>
                <w:sz w:val="18"/>
                <w:szCs w:val="18"/>
              </w:rPr>
            </w:pPr>
            <w:r w:rsidRPr="00AB0DE6">
              <w:rPr>
                <w:rFonts w:ascii="Arial Narrow" w:hAnsi="Arial Narrow"/>
                <w:sz w:val="18"/>
                <w:szCs w:val="18"/>
              </w:rPr>
              <w:t xml:space="preserve">  non durevoli</w:t>
            </w:r>
          </w:p>
        </w:tc>
        <w:tc>
          <w:tcPr>
            <w:tcW w:w="665" w:type="dxa"/>
            <w:tcBorders>
              <w:top w:val="single" w:sz="4" w:space="0" w:color="auto"/>
              <w:left w:val="nil"/>
              <w:bottom w:val="single" w:sz="4" w:space="0" w:color="auto"/>
              <w:right w:val="nil"/>
            </w:tcBorders>
            <w:shd w:val="clear" w:color="auto" w:fill="D9D9D9"/>
            <w:noWrap/>
            <w:vAlign w:val="center"/>
          </w:tcPr>
          <w:p w14:paraId="7220AE76" w14:textId="207FBB87" w:rsidR="002662C0" w:rsidRDefault="002662C0" w:rsidP="002662C0">
            <w:pPr>
              <w:jc w:val="center"/>
              <w:rPr>
                <w:rFonts w:ascii="Arial Narrow" w:hAnsi="Arial Narrow"/>
                <w:sz w:val="18"/>
                <w:szCs w:val="18"/>
              </w:rPr>
            </w:pPr>
            <w:r>
              <w:rPr>
                <w:rFonts w:ascii="Arial Narrow" w:hAnsi="Arial Narrow"/>
                <w:sz w:val="18"/>
                <w:szCs w:val="18"/>
              </w:rPr>
              <w:t>+3,9</w:t>
            </w:r>
          </w:p>
        </w:tc>
        <w:tc>
          <w:tcPr>
            <w:tcW w:w="1108" w:type="dxa"/>
            <w:tcBorders>
              <w:top w:val="single" w:sz="4" w:space="0" w:color="auto"/>
              <w:left w:val="nil"/>
              <w:bottom w:val="single" w:sz="4" w:space="0" w:color="auto"/>
              <w:right w:val="nil"/>
            </w:tcBorders>
            <w:shd w:val="clear" w:color="auto" w:fill="D9D9D9"/>
            <w:noWrap/>
            <w:vAlign w:val="center"/>
          </w:tcPr>
          <w:p w14:paraId="6AD1D22F" w14:textId="34C8EF2E" w:rsidR="002662C0" w:rsidRDefault="002662C0" w:rsidP="002662C0">
            <w:pPr>
              <w:jc w:val="center"/>
              <w:rPr>
                <w:rFonts w:ascii="Arial Narrow" w:hAnsi="Arial Narrow"/>
                <w:sz w:val="18"/>
                <w:szCs w:val="18"/>
              </w:rPr>
            </w:pPr>
            <w:r>
              <w:rPr>
                <w:rFonts w:ascii="Arial Narrow" w:hAnsi="Arial Narrow"/>
                <w:sz w:val="18"/>
                <w:szCs w:val="18"/>
              </w:rPr>
              <w:t>+5,1</w:t>
            </w:r>
          </w:p>
        </w:tc>
        <w:tc>
          <w:tcPr>
            <w:tcW w:w="685" w:type="dxa"/>
            <w:tcBorders>
              <w:top w:val="single" w:sz="4" w:space="0" w:color="auto"/>
              <w:left w:val="nil"/>
              <w:bottom w:val="single" w:sz="4" w:space="0" w:color="auto"/>
              <w:right w:val="nil"/>
            </w:tcBorders>
            <w:shd w:val="clear" w:color="auto" w:fill="auto"/>
            <w:noWrap/>
            <w:vAlign w:val="center"/>
          </w:tcPr>
          <w:p w14:paraId="0E7955E1" w14:textId="7A8D81D5" w:rsidR="002662C0" w:rsidRDefault="002662C0" w:rsidP="002662C0">
            <w:pPr>
              <w:jc w:val="center"/>
              <w:rPr>
                <w:rFonts w:ascii="Arial Narrow" w:hAnsi="Arial Narrow"/>
                <w:sz w:val="18"/>
                <w:szCs w:val="18"/>
              </w:rPr>
            </w:pPr>
            <w:r>
              <w:rPr>
                <w:rFonts w:ascii="Arial Narrow" w:hAnsi="Arial Narrow"/>
                <w:sz w:val="18"/>
                <w:szCs w:val="18"/>
              </w:rPr>
              <w:t>+27,8</w:t>
            </w:r>
          </w:p>
        </w:tc>
        <w:tc>
          <w:tcPr>
            <w:tcW w:w="1017" w:type="dxa"/>
            <w:tcBorders>
              <w:top w:val="single" w:sz="4" w:space="0" w:color="auto"/>
              <w:left w:val="nil"/>
              <w:bottom w:val="single" w:sz="4" w:space="0" w:color="auto"/>
              <w:right w:val="nil"/>
            </w:tcBorders>
            <w:shd w:val="clear" w:color="auto" w:fill="auto"/>
            <w:noWrap/>
            <w:vAlign w:val="center"/>
          </w:tcPr>
          <w:p w14:paraId="5FE05581" w14:textId="13608877" w:rsidR="002662C0" w:rsidRDefault="002662C0" w:rsidP="002662C0">
            <w:pPr>
              <w:jc w:val="center"/>
              <w:rPr>
                <w:rFonts w:ascii="Arial Narrow" w:hAnsi="Arial Narrow"/>
                <w:sz w:val="18"/>
                <w:szCs w:val="18"/>
              </w:rPr>
            </w:pPr>
            <w:r>
              <w:rPr>
                <w:rFonts w:ascii="Arial Narrow" w:hAnsi="Arial Narrow"/>
                <w:sz w:val="18"/>
                <w:szCs w:val="18"/>
              </w:rPr>
              <w:t>+23,8</w:t>
            </w:r>
          </w:p>
        </w:tc>
        <w:tc>
          <w:tcPr>
            <w:tcW w:w="708" w:type="dxa"/>
            <w:tcBorders>
              <w:top w:val="single" w:sz="4" w:space="0" w:color="auto"/>
              <w:left w:val="nil"/>
              <w:bottom w:val="single" w:sz="4" w:space="0" w:color="auto"/>
              <w:right w:val="nil"/>
            </w:tcBorders>
            <w:shd w:val="clear" w:color="auto" w:fill="D9D9D9"/>
            <w:noWrap/>
            <w:vAlign w:val="center"/>
          </w:tcPr>
          <w:p w14:paraId="3C3D1B9E" w14:textId="637D095C" w:rsidR="002662C0" w:rsidRDefault="002662C0" w:rsidP="002662C0">
            <w:pPr>
              <w:jc w:val="center"/>
              <w:rPr>
                <w:rFonts w:ascii="Arial Narrow" w:hAnsi="Arial Narrow"/>
                <w:sz w:val="18"/>
                <w:szCs w:val="18"/>
              </w:rPr>
            </w:pPr>
            <w:r>
              <w:rPr>
                <w:rFonts w:ascii="Arial Narrow" w:hAnsi="Arial Narrow"/>
                <w:sz w:val="18"/>
                <w:szCs w:val="18"/>
              </w:rPr>
              <w:t>+0,1</w:t>
            </w:r>
          </w:p>
        </w:tc>
        <w:tc>
          <w:tcPr>
            <w:tcW w:w="1134" w:type="dxa"/>
            <w:tcBorders>
              <w:top w:val="single" w:sz="4" w:space="0" w:color="auto"/>
              <w:left w:val="nil"/>
              <w:bottom w:val="single" w:sz="4" w:space="0" w:color="auto"/>
              <w:right w:val="nil"/>
            </w:tcBorders>
            <w:shd w:val="clear" w:color="auto" w:fill="D9D9D9"/>
            <w:noWrap/>
            <w:vAlign w:val="center"/>
          </w:tcPr>
          <w:p w14:paraId="0F594981" w14:textId="0DAFCE08" w:rsidR="002662C0" w:rsidRDefault="002662C0" w:rsidP="002662C0">
            <w:pPr>
              <w:jc w:val="center"/>
              <w:rPr>
                <w:rFonts w:ascii="Arial Narrow" w:hAnsi="Arial Narrow"/>
                <w:sz w:val="18"/>
                <w:szCs w:val="18"/>
              </w:rPr>
            </w:pPr>
            <w:r>
              <w:rPr>
                <w:rFonts w:ascii="Arial Narrow" w:hAnsi="Arial Narrow"/>
                <w:sz w:val="18"/>
                <w:szCs w:val="18"/>
              </w:rPr>
              <w:t>+3,7</w:t>
            </w:r>
          </w:p>
        </w:tc>
        <w:tc>
          <w:tcPr>
            <w:tcW w:w="654" w:type="dxa"/>
            <w:tcBorders>
              <w:top w:val="single" w:sz="4" w:space="0" w:color="auto"/>
              <w:left w:val="nil"/>
              <w:bottom w:val="single" w:sz="4" w:space="0" w:color="auto"/>
              <w:right w:val="nil"/>
            </w:tcBorders>
            <w:shd w:val="clear" w:color="auto" w:fill="auto"/>
            <w:noWrap/>
            <w:vAlign w:val="center"/>
          </w:tcPr>
          <w:p w14:paraId="6F6589D1" w14:textId="39D85F61" w:rsidR="002662C0" w:rsidRDefault="002662C0" w:rsidP="002662C0">
            <w:pPr>
              <w:jc w:val="center"/>
              <w:rPr>
                <w:rFonts w:ascii="Arial Narrow" w:hAnsi="Arial Narrow"/>
                <w:sz w:val="18"/>
                <w:szCs w:val="18"/>
              </w:rPr>
            </w:pPr>
            <w:r>
              <w:rPr>
                <w:rFonts w:ascii="Arial Narrow" w:hAnsi="Arial Narrow"/>
                <w:sz w:val="18"/>
                <w:szCs w:val="18"/>
              </w:rPr>
              <w:t>+26,8</w:t>
            </w:r>
          </w:p>
        </w:tc>
        <w:tc>
          <w:tcPr>
            <w:tcW w:w="984" w:type="dxa"/>
            <w:tcBorders>
              <w:top w:val="single" w:sz="4" w:space="0" w:color="auto"/>
              <w:left w:val="nil"/>
              <w:bottom w:val="single" w:sz="4" w:space="0" w:color="auto"/>
              <w:right w:val="nil"/>
            </w:tcBorders>
            <w:shd w:val="clear" w:color="auto" w:fill="auto"/>
            <w:noWrap/>
            <w:vAlign w:val="center"/>
          </w:tcPr>
          <w:p w14:paraId="2564FA5C" w14:textId="0EE29D21" w:rsidR="002662C0" w:rsidRDefault="002662C0" w:rsidP="002662C0">
            <w:pPr>
              <w:jc w:val="center"/>
              <w:rPr>
                <w:rFonts w:ascii="Arial Narrow" w:hAnsi="Arial Narrow"/>
                <w:sz w:val="18"/>
                <w:szCs w:val="18"/>
              </w:rPr>
            </w:pPr>
            <w:r>
              <w:rPr>
                <w:rFonts w:ascii="Arial Narrow" w:hAnsi="Arial Narrow"/>
                <w:sz w:val="18"/>
                <w:szCs w:val="18"/>
              </w:rPr>
              <w:t>+29,9</w:t>
            </w:r>
          </w:p>
        </w:tc>
        <w:tc>
          <w:tcPr>
            <w:tcW w:w="709" w:type="dxa"/>
            <w:tcBorders>
              <w:top w:val="single" w:sz="4" w:space="0" w:color="auto"/>
              <w:left w:val="nil"/>
              <w:bottom w:val="single" w:sz="4" w:space="0" w:color="auto"/>
              <w:right w:val="nil"/>
            </w:tcBorders>
            <w:shd w:val="clear" w:color="auto" w:fill="D9D9D9"/>
            <w:noWrap/>
            <w:vAlign w:val="center"/>
          </w:tcPr>
          <w:p w14:paraId="2DE55066" w14:textId="32A4BCD5" w:rsidR="002662C0" w:rsidRDefault="002662C0" w:rsidP="002662C0">
            <w:pPr>
              <w:jc w:val="center"/>
              <w:rPr>
                <w:rFonts w:ascii="Arial Narrow" w:hAnsi="Arial Narrow"/>
                <w:sz w:val="18"/>
                <w:szCs w:val="18"/>
              </w:rPr>
            </w:pPr>
            <w:r>
              <w:rPr>
                <w:rFonts w:ascii="Arial Narrow" w:hAnsi="Arial Narrow"/>
                <w:sz w:val="18"/>
                <w:szCs w:val="18"/>
              </w:rPr>
              <w:t>+4.643</w:t>
            </w:r>
          </w:p>
        </w:tc>
        <w:tc>
          <w:tcPr>
            <w:tcW w:w="984" w:type="dxa"/>
            <w:tcBorders>
              <w:top w:val="single" w:sz="4" w:space="0" w:color="auto"/>
              <w:left w:val="nil"/>
              <w:bottom w:val="single" w:sz="4" w:space="0" w:color="auto"/>
              <w:right w:val="nil"/>
            </w:tcBorders>
            <w:shd w:val="clear" w:color="auto" w:fill="D9D9D9"/>
            <w:vAlign w:val="center"/>
          </w:tcPr>
          <w:p w14:paraId="514A1CA4" w14:textId="41FA4E36" w:rsidR="002662C0" w:rsidRDefault="002662C0" w:rsidP="002662C0">
            <w:pPr>
              <w:jc w:val="center"/>
              <w:rPr>
                <w:rFonts w:ascii="Arial Narrow" w:hAnsi="Arial Narrow"/>
                <w:sz w:val="18"/>
                <w:szCs w:val="18"/>
              </w:rPr>
            </w:pPr>
            <w:r>
              <w:rPr>
                <w:rFonts w:ascii="Arial Narrow" w:hAnsi="Arial Narrow"/>
                <w:sz w:val="18"/>
                <w:szCs w:val="18"/>
              </w:rPr>
              <w:t>+19.411</w:t>
            </w:r>
          </w:p>
        </w:tc>
      </w:tr>
      <w:tr w:rsidR="002662C0" w:rsidRPr="008C0651" w14:paraId="17A82108" w14:textId="77777777" w:rsidTr="002662C0">
        <w:trPr>
          <w:trHeight w:val="255"/>
        </w:trPr>
        <w:tc>
          <w:tcPr>
            <w:tcW w:w="1587" w:type="dxa"/>
            <w:tcBorders>
              <w:top w:val="single" w:sz="4" w:space="0" w:color="auto"/>
              <w:left w:val="nil"/>
              <w:bottom w:val="single" w:sz="4" w:space="0" w:color="auto"/>
              <w:right w:val="nil"/>
            </w:tcBorders>
            <w:shd w:val="clear" w:color="auto" w:fill="auto"/>
            <w:vAlign w:val="bottom"/>
          </w:tcPr>
          <w:p w14:paraId="72D3BA25" w14:textId="77777777" w:rsidR="002662C0" w:rsidRPr="00831F78" w:rsidRDefault="002662C0" w:rsidP="002662C0">
            <w:pPr>
              <w:spacing w:before="40" w:after="20"/>
              <w:rPr>
                <w:rFonts w:ascii="Arial Narrow" w:hAnsi="Arial Narrow"/>
                <w:sz w:val="18"/>
                <w:szCs w:val="18"/>
              </w:rPr>
            </w:pPr>
            <w:r w:rsidRPr="00831F78">
              <w:rPr>
                <w:rFonts w:ascii="Arial Narrow" w:hAnsi="Arial Narrow"/>
                <w:sz w:val="18"/>
                <w:szCs w:val="18"/>
              </w:rPr>
              <w:t>Beni strumentali</w:t>
            </w:r>
          </w:p>
        </w:tc>
        <w:tc>
          <w:tcPr>
            <w:tcW w:w="665" w:type="dxa"/>
            <w:tcBorders>
              <w:top w:val="single" w:sz="4" w:space="0" w:color="auto"/>
              <w:left w:val="nil"/>
              <w:bottom w:val="single" w:sz="4" w:space="0" w:color="auto"/>
              <w:right w:val="nil"/>
            </w:tcBorders>
            <w:shd w:val="clear" w:color="auto" w:fill="D9D9D9"/>
            <w:noWrap/>
            <w:vAlign w:val="center"/>
          </w:tcPr>
          <w:p w14:paraId="3F9915DA" w14:textId="72C728B9" w:rsidR="002662C0" w:rsidRDefault="002662C0" w:rsidP="002662C0">
            <w:pPr>
              <w:jc w:val="center"/>
              <w:rPr>
                <w:rFonts w:ascii="Arial Narrow" w:hAnsi="Arial Narrow"/>
                <w:sz w:val="18"/>
                <w:szCs w:val="18"/>
              </w:rPr>
            </w:pPr>
            <w:r>
              <w:rPr>
                <w:rFonts w:ascii="Arial Narrow" w:hAnsi="Arial Narrow"/>
                <w:sz w:val="18"/>
                <w:szCs w:val="18"/>
              </w:rPr>
              <w:t>+7,6</w:t>
            </w:r>
          </w:p>
        </w:tc>
        <w:tc>
          <w:tcPr>
            <w:tcW w:w="1108" w:type="dxa"/>
            <w:tcBorders>
              <w:top w:val="single" w:sz="4" w:space="0" w:color="auto"/>
              <w:left w:val="nil"/>
              <w:bottom w:val="single" w:sz="4" w:space="0" w:color="auto"/>
              <w:right w:val="nil"/>
            </w:tcBorders>
            <w:shd w:val="clear" w:color="auto" w:fill="D9D9D9"/>
            <w:noWrap/>
            <w:vAlign w:val="center"/>
          </w:tcPr>
          <w:p w14:paraId="6EE82223" w14:textId="003C0DD0" w:rsidR="002662C0" w:rsidRDefault="002662C0" w:rsidP="002662C0">
            <w:pPr>
              <w:jc w:val="center"/>
              <w:rPr>
                <w:rFonts w:ascii="Arial Narrow" w:hAnsi="Arial Narrow"/>
                <w:sz w:val="18"/>
                <w:szCs w:val="18"/>
              </w:rPr>
            </w:pPr>
            <w:r>
              <w:rPr>
                <w:rFonts w:ascii="Arial Narrow" w:hAnsi="Arial Narrow"/>
                <w:sz w:val="18"/>
                <w:szCs w:val="18"/>
              </w:rPr>
              <w:t>+6,8</w:t>
            </w:r>
          </w:p>
        </w:tc>
        <w:tc>
          <w:tcPr>
            <w:tcW w:w="685" w:type="dxa"/>
            <w:tcBorders>
              <w:top w:val="single" w:sz="4" w:space="0" w:color="auto"/>
              <w:left w:val="nil"/>
              <w:bottom w:val="single" w:sz="4" w:space="0" w:color="auto"/>
              <w:right w:val="nil"/>
            </w:tcBorders>
            <w:shd w:val="clear" w:color="auto" w:fill="auto"/>
            <w:noWrap/>
            <w:vAlign w:val="center"/>
          </w:tcPr>
          <w:p w14:paraId="5A727FAA" w14:textId="35D75DCC" w:rsidR="002662C0" w:rsidRDefault="002662C0" w:rsidP="002662C0">
            <w:pPr>
              <w:jc w:val="center"/>
              <w:rPr>
                <w:rFonts w:ascii="Arial Narrow" w:hAnsi="Arial Narrow"/>
                <w:sz w:val="18"/>
                <w:szCs w:val="18"/>
              </w:rPr>
            </w:pPr>
            <w:r>
              <w:rPr>
                <w:rFonts w:ascii="Arial Narrow" w:hAnsi="Arial Narrow"/>
                <w:sz w:val="18"/>
                <w:szCs w:val="18"/>
              </w:rPr>
              <w:t>+1,0</w:t>
            </w:r>
          </w:p>
        </w:tc>
        <w:tc>
          <w:tcPr>
            <w:tcW w:w="1017" w:type="dxa"/>
            <w:tcBorders>
              <w:top w:val="single" w:sz="4" w:space="0" w:color="auto"/>
              <w:left w:val="nil"/>
              <w:bottom w:val="single" w:sz="4" w:space="0" w:color="auto"/>
              <w:right w:val="nil"/>
            </w:tcBorders>
            <w:shd w:val="clear" w:color="auto" w:fill="auto"/>
            <w:noWrap/>
            <w:vAlign w:val="center"/>
          </w:tcPr>
          <w:p w14:paraId="75988CC6" w14:textId="1377CD04" w:rsidR="002662C0" w:rsidRDefault="002662C0" w:rsidP="002662C0">
            <w:pPr>
              <w:jc w:val="center"/>
              <w:rPr>
                <w:rFonts w:ascii="Arial Narrow" w:hAnsi="Arial Narrow"/>
                <w:sz w:val="18"/>
                <w:szCs w:val="18"/>
              </w:rPr>
            </w:pPr>
            <w:r>
              <w:rPr>
                <w:rFonts w:ascii="Arial Narrow" w:hAnsi="Arial Narrow"/>
                <w:sz w:val="18"/>
                <w:szCs w:val="18"/>
              </w:rPr>
              <w:t>+10,1</w:t>
            </w:r>
          </w:p>
        </w:tc>
        <w:tc>
          <w:tcPr>
            <w:tcW w:w="708" w:type="dxa"/>
            <w:tcBorders>
              <w:top w:val="single" w:sz="4" w:space="0" w:color="auto"/>
              <w:left w:val="nil"/>
              <w:bottom w:val="single" w:sz="4" w:space="0" w:color="auto"/>
              <w:right w:val="nil"/>
            </w:tcBorders>
            <w:shd w:val="clear" w:color="auto" w:fill="D9D9D9"/>
            <w:noWrap/>
            <w:vAlign w:val="center"/>
          </w:tcPr>
          <w:p w14:paraId="785D76F8" w14:textId="57D9ADF8" w:rsidR="002662C0" w:rsidRDefault="002662C0" w:rsidP="002662C0">
            <w:pPr>
              <w:jc w:val="center"/>
              <w:rPr>
                <w:rFonts w:ascii="Arial Narrow" w:hAnsi="Arial Narrow"/>
                <w:sz w:val="18"/>
                <w:szCs w:val="18"/>
              </w:rPr>
            </w:pPr>
            <w:r>
              <w:rPr>
                <w:rFonts w:ascii="Arial Narrow" w:hAnsi="Arial Narrow"/>
                <w:sz w:val="18"/>
                <w:szCs w:val="18"/>
              </w:rPr>
              <w:t>+2,9</w:t>
            </w:r>
          </w:p>
        </w:tc>
        <w:tc>
          <w:tcPr>
            <w:tcW w:w="1134" w:type="dxa"/>
            <w:tcBorders>
              <w:top w:val="single" w:sz="4" w:space="0" w:color="auto"/>
              <w:left w:val="nil"/>
              <w:bottom w:val="single" w:sz="4" w:space="0" w:color="auto"/>
              <w:right w:val="nil"/>
            </w:tcBorders>
            <w:shd w:val="clear" w:color="auto" w:fill="D9D9D9"/>
            <w:noWrap/>
            <w:vAlign w:val="center"/>
          </w:tcPr>
          <w:p w14:paraId="34AA0FCA" w14:textId="2C1EBB19" w:rsidR="002662C0" w:rsidRDefault="002662C0" w:rsidP="002662C0">
            <w:pPr>
              <w:jc w:val="center"/>
              <w:rPr>
                <w:rFonts w:ascii="Arial Narrow" w:hAnsi="Arial Narrow"/>
                <w:sz w:val="18"/>
                <w:szCs w:val="18"/>
              </w:rPr>
            </w:pPr>
            <w:r>
              <w:rPr>
                <w:rFonts w:ascii="Arial Narrow" w:hAnsi="Arial Narrow"/>
                <w:sz w:val="18"/>
                <w:szCs w:val="18"/>
              </w:rPr>
              <w:t>+4,8</w:t>
            </w:r>
          </w:p>
        </w:tc>
        <w:tc>
          <w:tcPr>
            <w:tcW w:w="654" w:type="dxa"/>
            <w:tcBorders>
              <w:top w:val="single" w:sz="4" w:space="0" w:color="auto"/>
              <w:left w:val="nil"/>
              <w:bottom w:val="single" w:sz="4" w:space="0" w:color="auto"/>
              <w:right w:val="nil"/>
            </w:tcBorders>
            <w:shd w:val="clear" w:color="auto" w:fill="auto"/>
            <w:noWrap/>
            <w:vAlign w:val="center"/>
          </w:tcPr>
          <w:p w14:paraId="7B2C906C" w14:textId="3F3F42AF" w:rsidR="002662C0" w:rsidRDefault="002662C0" w:rsidP="002662C0">
            <w:pPr>
              <w:jc w:val="center"/>
              <w:rPr>
                <w:rFonts w:ascii="Arial Narrow" w:hAnsi="Arial Narrow"/>
                <w:sz w:val="18"/>
                <w:szCs w:val="18"/>
              </w:rPr>
            </w:pPr>
            <w:r>
              <w:rPr>
                <w:rFonts w:ascii="Arial Narrow" w:hAnsi="Arial Narrow"/>
                <w:sz w:val="18"/>
                <w:szCs w:val="18"/>
              </w:rPr>
              <w:t>+15,9</w:t>
            </w:r>
          </w:p>
        </w:tc>
        <w:tc>
          <w:tcPr>
            <w:tcW w:w="984" w:type="dxa"/>
            <w:tcBorders>
              <w:top w:val="single" w:sz="4" w:space="0" w:color="auto"/>
              <w:left w:val="nil"/>
              <w:bottom w:val="single" w:sz="4" w:space="0" w:color="auto"/>
              <w:right w:val="nil"/>
            </w:tcBorders>
            <w:shd w:val="clear" w:color="auto" w:fill="auto"/>
            <w:noWrap/>
            <w:vAlign w:val="center"/>
          </w:tcPr>
          <w:p w14:paraId="77AD697B" w14:textId="5EBC363B" w:rsidR="002662C0" w:rsidRDefault="002662C0" w:rsidP="002662C0">
            <w:pPr>
              <w:jc w:val="center"/>
              <w:rPr>
                <w:rFonts w:ascii="Arial Narrow" w:hAnsi="Arial Narrow"/>
                <w:sz w:val="18"/>
                <w:szCs w:val="18"/>
              </w:rPr>
            </w:pPr>
            <w:r>
              <w:rPr>
                <w:rFonts w:ascii="Arial Narrow" w:hAnsi="Arial Narrow"/>
                <w:sz w:val="18"/>
                <w:szCs w:val="18"/>
              </w:rPr>
              <w:t>+12,9</w:t>
            </w:r>
          </w:p>
        </w:tc>
        <w:tc>
          <w:tcPr>
            <w:tcW w:w="709" w:type="dxa"/>
            <w:tcBorders>
              <w:top w:val="single" w:sz="4" w:space="0" w:color="auto"/>
              <w:left w:val="nil"/>
              <w:bottom w:val="single" w:sz="4" w:space="0" w:color="auto"/>
              <w:right w:val="nil"/>
            </w:tcBorders>
            <w:shd w:val="clear" w:color="auto" w:fill="D9D9D9"/>
            <w:noWrap/>
            <w:vAlign w:val="center"/>
          </w:tcPr>
          <w:p w14:paraId="52B48367" w14:textId="4CCE607A" w:rsidR="002662C0" w:rsidRDefault="002662C0" w:rsidP="002662C0">
            <w:pPr>
              <w:jc w:val="center"/>
              <w:rPr>
                <w:rFonts w:ascii="Arial Narrow" w:hAnsi="Arial Narrow"/>
                <w:sz w:val="18"/>
                <w:szCs w:val="18"/>
              </w:rPr>
            </w:pPr>
            <w:r>
              <w:rPr>
                <w:rFonts w:ascii="Arial Narrow" w:hAnsi="Arial Narrow"/>
                <w:sz w:val="18"/>
                <w:szCs w:val="18"/>
              </w:rPr>
              <w:t>+6.411</w:t>
            </w:r>
          </w:p>
        </w:tc>
        <w:tc>
          <w:tcPr>
            <w:tcW w:w="984" w:type="dxa"/>
            <w:tcBorders>
              <w:top w:val="single" w:sz="4" w:space="0" w:color="auto"/>
              <w:left w:val="nil"/>
              <w:bottom w:val="single" w:sz="4" w:space="0" w:color="auto"/>
              <w:right w:val="nil"/>
            </w:tcBorders>
            <w:shd w:val="clear" w:color="auto" w:fill="D9D9D9"/>
            <w:vAlign w:val="center"/>
          </w:tcPr>
          <w:p w14:paraId="7221D9A9" w14:textId="5FB3AC6D" w:rsidR="002662C0" w:rsidRDefault="002662C0" w:rsidP="002662C0">
            <w:pPr>
              <w:jc w:val="center"/>
              <w:rPr>
                <w:rFonts w:ascii="Arial Narrow" w:hAnsi="Arial Narrow"/>
                <w:sz w:val="18"/>
                <w:szCs w:val="18"/>
              </w:rPr>
            </w:pPr>
            <w:r>
              <w:rPr>
                <w:rFonts w:ascii="Arial Narrow" w:hAnsi="Arial Narrow"/>
                <w:sz w:val="18"/>
                <w:szCs w:val="18"/>
              </w:rPr>
              <w:t>+31.629</w:t>
            </w:r>
          </w:p>
        </w:tc>
      </w:tr>
      <w:tr w:rsidR="002662C0" w:rsidRPr="008C0651" w14:paraId="3BC242ED" w14:textId="77777777" w:rsidTr="002662C0">
        <w:trPr>
          <w:trHeight w:val="255"/>
        </w:trPr>
        <w:tc>
          <w:tcPr>
            <w:tcW w:w="1587" w:type="dxa"/>
            <w:tcBorders>
              <w:top w:val="single" w:sz="4" w:space="0" w:color="auto"/>
              <w:left w:val="nil"/>
              <w:bottom w:val="single" w:sz="4" w:space="0" w:color="auto"/>
              <w:right w:val="nil"/>
            </w:tcBorders>
            <w:shd w:val="clear" w:color="auto" w:fill="auto"/>
            <w:vAlign w:val="bottom"/>
          </w:tcPr>
          <w:p w14:paraId="2807F478" w14:textId="77777777" w:rsidR="002662C0" w:rsidRPr="00831F78" w:rsidRDefault="002662C0" w:rsidP="002662C0">
            <w:pPr>
              <w:spacing w:before="40" w:after="20"/>
              <w:rPr>
                <w:rFonts w:ascii="Arial Narrow" w:hAnsi="Arial Narrow"/>
                <w:sz w:val="18"/>
                <w:szCs w:val="18"/>
              </w:rPr>
            </w:pPr>
            <w:r w:rsidRPr="00831F78">
              <w:rPr>
                <w:rFonts w:ascii="Arial Narrow" w:hAnsi="Arial Narrow"/>
                <w:sz w:val="18"/>
                <w:szCs w:val="18"/>
              </w:rPr>
              <w:t>Beni intermedi</w:t>
            </w:r>
          </w:p>
        </w:tc>
        <w:tc>
          <w:tcPr>
            <w:tcW w:w="665" w:type="dxa"/>
            <w:tcBorders>
              <w:top w:val="single" w:sz="4" w:space="0" w:color="auto"/>
              <w:left w:val="nil"/>
              <w:bottom w:val="single" w:sz="4" w:space="0" w:color="auto"/>
              <w:right w:val="nil"/>
            </w:tcBorders>
            <w:shd w:val="clear" w:color="auto" w:fill="D9D9D9"/>
            <w:noWrap/>
            <w:vAlign w:val="center"/>
          </w:tcPr>
          <w:p w14:paraId="543A5AC9" w14:textId="15C777DF" w:rsidR="002662C0" w:rsidRDefault="002662C0" w:rsidP="002662C0">
            <w:pPr>
              <w:jc w:val="center"/>
              <w:rPr>
                <w:rFonts w:ascii="Arial Narrow" w:hAnsi="Arial Narrow"/>
                <w:sz w:val="18"/>
                <w:szCs w:val="18"/>
              </w:rPr>
            </w:pPr>
            <w:r>
              <w:rPr>
                <w:rFonts w:ascii="Arial Narrow" w:hAnsi="Arial Narrow"/>
                <w:sz w:val="18"/>
                <w:szCs w:val="18"/>
              </w:rPr>
              <w:t>-1,2</w:t>
            </w:r>
          </w:p>
        </w:tc>
        <w:tc>
          <w:tcPr>
            <w:tcW w:w="1108" w:type="dxa"/>
            <w:tcBorders>
              <w:top w:val="single" w:sz="4" w:space="0" w:color="auto"/>
              <w:left w:val="nil"/>
              <w:bottom w:val="single" w:sz="4" w:space="0" w:color="auto"/>
              <w:right w:val="nil"/>
            </w:tcBorders>
            <w:shd w:val="clear" w:color="auto" w:fill="D9D9D9"/>
            <w:noWrap/>
            <w:vAlign w:val="center"/>
          </w:tcPr>
          <w:p w14:paraId="5DB9BDE4" w14:textId="7841E849" w:rsidR="002662C0" w:rsidRDefault="002662C0" w:rsidP="002662C0">
            <w:pPr>
              <w:jc w:val="center"/>
              <w:rPr>
                <w:rFonts w:ascii="Arial Narrow" w:hAnsi="Arial Narrow"/>
                <w:sz w:val="18"/>
                <w:szCs w:val="18"/>
              </w:rPr>
            </w:pPr>
            <w:r>
              <w:rPr>
                <w:rFonts w:ascii="Arial Narrow" w:hAnsi="Arial Narrow"/>
                <w:sz w:val="18"/>
                <w:szCs w:val="18"/>
              </w:rPr>
              <w:t>+5,1</w:t>
            </w:r>
          </w:p>
        </w:tc>
        <w:tc>
          <w:tcPr>
            <w:tcW w:w="685" w:type="dxa"/>
            <w:tcBorders>
              <w:top w:val="single" w:sz="4" w:space="0" w:color="auto"/>
              <w:left w:val="nil"/>
              <w:bottom w:val="single" w:sz="4" w:space="0" w:color="auto"/>
              <w:right w:val="nil"/>
            </w:tcBorders>
            <w:shd w:val="clear" w:color="auto" w:fill="auto"/>
            <w:noWrap/>
            <w:vAlign w:val="center"/>
          </w:tcPr>
          <w:p w14:paraId="39B6AABF" w14:textId="2D569963" w:rsidR="002662C0" w:rsidRDefault="002662C0" w:rsidP="002662C0">
            <w:pPr>
              <w:jc w:val="center"/>
              <w:rPr>
                <w:rFonts w:ascii="Arial Narrow" w:hAnsi="Arial Narrow"/>
                <w:sz w:val="18"/>
                <w:szCs w:val="18"/>
              </w:rPr>
            </w:pPr>
            <w:r>
              <w:rPr>
                <w:rFonts w:ascii="Arial Narrow" w:hAnsi="Arial Narrow"/>
                <w:sz w:val="18"/>
                <w:szCs w:val="18"/>
              </w:rPr>
              <w:t>+16,4</w:t>
            </w:r>
          </w:p>
        </w:tc>
        <w:tc>
          <w:tcPr>
            <w:tcW w:w="1017" w:type="dxa"/>
            <w:tcBorders>
              <w:top w:val="single" w:sz="4" w:space="0" w:color="auto"/>
              <w:left w:val="nil"/>
              <w:bottom w:val="single" w:sz="4" w:space="0" w:color="auto"/>
              <w:right w:val="nil"/>
            </w:tcBorders>
            <w:shd w:val="clear" w:color="auto" w:fill="auto"/>
            <w:noWrap/>
            <w:vAlign w:val="center"/>
          </w:tcPr>
          <w:p w14:paraId="2FC12FD7" w14:textId="3AAC781C" w:rsidR="002662C0" w:rsidRDefault="002662C0" w:rsidP="002662C0">
            <w:pPr>
              <w:jc w:val="center"/>
              <w:rPr>
                <w:rFonts w:ascii="Arial Narrow" w:hAnsi="Arial Narrow"/>
                <w:sz w:val="18"/>
                <w:szCs w:val="18"/>
              </w:rPr>
            </w:pPr>
            <w:r>
              <w:rPr>
                <w:rFonts w:ascii="Arial Narrow" w:hAnsi="Arial Narrow"/>
                <w:sz w:val="18"/>
                <w:szCs w:val="18"/>
              </w:rPr>
              <w:t>+24,3</w:t>
            </w:r>
          </w:p>
        </w:tc>
        <w:tc>
          <w:tcPr>
            <w:tcW w:w="708" w:type="dxa"/>
            <w:tcBorders>
              <w:top w:val="single" w:sz="4" w:space="0" w:color="auto"/>
              <w:left w:val="nil"/>
              <w:bottom w:val="single" w:sz="4" w:space="0" w:color="auto"/>
              <w:right w:val="nil"/>
            </w:tcBorders>
            <w:shd w:val="clear" w:color="auto" w:fill="D9D9D9"/>
            <w:noWrap/>
            <w:vAlign w:val="center"/>
          </w:tcPr>
          <w:p w14:paraId="21550567" w14:textId="6AEA54E3" w:rsidR="002662C0" w:rsidRDefault="002662C0" w:rsidP="002662C0">
            <w:pPr>
              <w:jc w:val="center"/>
              <w:rPr>
                <w:rFonts w:ascii="Arial Narrow" w:hAnsi="Arial Narrow"/>
                <w:sz w:val="18"/>
                <w:szCs w:val="18"/>
              </w:rPr>
            </w:pPr>
            <w:r>
              <w:rPr>
                <w:rFonts w:ascii="Arial Narrow" w:hAnsi="Arial Narrow"/>
                <w:sz w:val="18"/>
                <w:szCs w:val="18"/>
              </w:rPr>
              <w:t>-0,4</w:t>
            </w:r>
          </w:p>
        </w:tc>
        <w:tc>
          <w:tcPr>
            <w:tcW w:w="1134" w:type="dxa"/>
            <w:tcBorders>
              <w:top w:val="single" w:sz="4" w:space="0" w:color="auto"/>
              <w:left w:val="nil"/>
              <w:bottom w:val="single" w:sz="4" w:space="0" w:color="auto"/>
              <w:right w:val="nil"/>
            </w:tcBorders>
            <w:shd w:val="clear" w:color="auto" w:fill="D9D9D9"/>
            <w:noWrap/>
            <w:vAlign w:val="center"/>
          </w:tcPr>
          <w:p w14:paraId="55BD0008" w14:textId="12126E0C" w:rsidR="002662C0" w:rsidRDefault="002662C0" w:rsidP="002662C0">
            <w:pPr>
              <w:jc w:val="center"/>
              <w:rPr>
                <w:rFonts w:ascii="Arial Narrow" w:hAnsi="Arial Narrow"/>
                <w:sz w:val="18"/>
                <w:szCs w:val="18"/>
              </w:rPr>
            </w:pPr>
            <w:r>
              <w:rPr>
                <w:rFonts w:ascii="Arial Narrow" w:hAnsi="Arial Narrow"/>
                <w:sz w:val="18"/>
                <w:szCs w:val="18"/>
              </w:rPr>
              <w:t>+6,6</w:t>
            </w:r>
          </w:p>
        </w:tc>
        <w:tc>
          <w:tcPr>
            <w:tcW w:w="654" w:type="dxa"/>
            <w:tcBorders>
              <w:top w:val="single" w:sz="4" w:space="0" w:color="auto"/>
              <w:left w:val="nil"/>
              <w:bottom w:val="single" w:sz="4" w:space="0" w:color="auto"/>
              <w:right w:val="nil"/>
            </w:tcBorders>
            <w:shd w:val="clear" w:color="auto" w:fill="auto"/>
            <w:noWrap/>
            <w:vAlign w:val="center"/>
          </w:tcPr>
          <w:p w14:paraId="4EB714E9" w14:textId="738F0932" w:rsidR="002662C0" w:rsidRDefault="002662C0" w:rsidP="002662C0">
            <w:pPr>
              <w:jc w:val="center"/>
              <w:rPr>
                <w:rFonts w:ascii="Arial Narrow" w:hAnsi="Arial Narrow"/>
                <w:sz w:val="18"/>
                <w:szCs w:val="18"/>
              </w:rPr>
            </w:pPr>
            <w:r>
              <w:rPr>
                <w:rFonts w:ascii="Arial Narrow" w:hAnsi="Arial Narrow"/>
                <w:sz w:val="18"/>
                <w:szCs w:val="18"/>
              </w:rPr>
              <w:t>+25,9</w:t>
            </w:r>
          </w:p>
        </w:tc>
        <w:tc>
          <w:tcPr>
            <w:tcW w:w="984" w:type="dxa"/>
            <w:tcBorders>
              <w:top w:val="single" w:sz="4" w:space="0" w:color="auto"/>
              <w:left w:val="nil"/>
              <w:bottom w:val="single" w:sz="4" w:space="0" w:color="auto"/>
              <w:right w:val="nil"/>
            </w:tcBorders>
            <w:shd w:val="clear" w:color="auto" w:fill="auto"/>
            <w:noWrap/>
            <w:vAlign w:val="center"/>
          </w:tcPr>
          <w:p w14:paraId="60AA1EF6" w14:textId="07FD2148" w:rsidR="002662C0" w:rsidRDefault="002662C0" w:rsidP="002662C0">
            <w:pPr>
              <w:jc w:val="center"/>
              <w:rPr>
                <w:rFonts w:ascii="Arial Narrow" w:hAnsi="Arial Narrow"/>
                <w:sz w:val="18"/>
                <w:szCs w:val="18"/>
              </w:rPr>
            </w:pPr>
            <w:r>
              <w:rPr>
                <w:rFonts w:ascii="Arial Narrow" w:hAnsi="Arial Narrow"/>
                <w:sz w:val="18"/>
                <w:szCs w:val="18"/>
              </w:rPr>
              <w:t>+38,3</w:t>
            </w:r>
          </w:p>
        </w:tc>
        <w:tc>
          <w:tcPr>
            <w:tcW w:w="709" w:type="dxa"/>
            <w:tcBorders>
              <w:top w:val="single" w:sz="4" w:space="0" w:color="auto"/>
              <w:left w:val="nil"/>
              <w:bottom w:val="single" w:sz="4" w:space="0" w:color="auto"/>
              <w:right w:val="nil"/>
            </w:tcBorders>
            <w:shd w:val="clear" w:color="auto" w:fill="D9D9D9"/>
            <w:noWrap/>
            <w:vAlign w:val="center"/>
          </w:tcPr>
          <w:p w14:paraId="7972A7EB" w14:textId="35828896" w:rsidR="002662C0" w:rsidRDefault="002662C0" w:rsidP="002662C0">
            <w:pPr>
              <w:jc w:val="center"/>
              <w:rPr>
                <w:rFonts w:ascii="Arial Narrow" w:hAnsi="Arial Narrow"/>
                <w:sz w:val="18"/>
                <w:szCs w:val="18"/>
              </w:rPr>
            </w:pPr>
            <w:r>
              <w:rPr>
                <w:rFonts w:ascii="Arial Narrow" w:hAnsi="Arial Narrow"/>
                <w:sz w:val="18"/>
                <w:szCs w:val="18"/>
              </w:rPr>
              <w:t>-1.902</w:t>
            </w:r>
          </w:p>
        </w:tc>
        <w:tc>
          <w:tcPr>
            <w:tcW w:w="984" w:type="dxa"/>
            <w:tcBorders>
              <w:top w:val="single" w:sz="4" w:space="0" w:color="auto"/>
              <w:left w:val="nil"/>
              <w:bottom w:val="single" w:sz="4" w:space="0" w:color="auto"/>
              <w:right w:val="nil"/>
            </w:tcBorders>
            <w:shd w:val="clear" w:color="auto" w:fill="D9D9D9"/>
            <w:vAlign w:val="center"/>
          </w:tcPr>
          <w:p w14:paraId="3EA0D96F" w14:textId="0BB6E3CF" w:rsidR="002662C0" w:rsidRDefault="002662C0" w:rsidP="002662C0">
            <w:pPr>
              <w:jc w:val="center"/>
              <w:rPr>
                <w:rFonts w:ascii="Arial Narrow" w:hAnsi="Arial Narrow"/>
                <w:sz w:val="18"/>
                <w:szCs w:val="18"/>
              </w:rPr>
            </w:pPr>
            <w:r>
              <w:rPr>
                <w:rFonts w:ascii="Arial Narrow" w:hAnsi="Arial Narrow"/>
                <w:sz w:val="18"/>
                <w:szCs w:val="18"/>
              </w:rPr>
              <w:t>-14.716</w:t>
            </w:r>
          </w:p>
        </w:tc>
      </w:tr>
      <w:tr w:rsidR="002662C0" w:rsidRPr="008C0651" w14:paraId="7064A5C0" w14:textId="77777777" w:rsidTr="002662C0">
        <w:trPr>
          <w:trHeight w:val="255"/>
        </w:trPr>
        <w:tc>
          <w:tcPr>
            <w:tcW w:w="1587" w:type="dxa"/>
            <w:tcBorders>
              <w:top w:val="single" w:sz="4" w:space="0" w:color="auto"/>
              <w:left w:val="nil"/>
              <w:bottom w:val="single" w:sz="4" w:space="0" w:color="auto"/>
              <w:right w:val="nil"/>
            </w:tcBorders>
            <w:shd w:val="clear" w:color="auto" w:fill="auto"/>
            <w:vAlign w:val="bottom"/>
          </w:tcPr>
          <w:p w14:paraId="268E6281" w14:textId="77777777" w:rsidR="002662C0" w:rsidRPr="00831F78" w:rsidRDefault="002662C0" w:rsidP="002662C0">
            <w:pPr>
              <w:spacing w:before="40" w:after="20"/>
              <w:rPr>
                <w:rFonts w:ascii="Arial Narrow" w:hAnsi="Arial Narrow"/>
                <w:sz w:val="18"/>
                <w:szCs w:val="18"/>
              </w:rPr>
            </w:pPr>
            <w:r w:rsidRPr="00831F78">
              <w:rPr>
                <w:rFonts w:ascii="Arial Narrow" w:hAnsi="Arial Narrow"/>
                <w:sz w:val="18"/>
                <w:szCs w:val="18"/>
              </w:rPr>
              <w:t>Energia</w:t>
            </w:r>
          </w:p>
        </w:tc>
        <w:tc>
          <w:tcPr>
            <w:tcW w:w="665" w:type="dxa"/>
            <w:tcBorders>
              <w:top w:val="single" w:sz="4" w:space="0" w:color="auto"/>
              <w:left w:val="nil"/>
              <w:bottom w:val="single" w:sz="4" w:space="0" w:color="auto"/>
              <w:right w:val="nil"/>
            </w:tcBorders>
            <w:shd w:val="clear" w:color="auto" w:fill="D9D9D9"/>
            <w:noWrap/>
            <w:vAlign w:val="center"/>
          </w:tcPr>
          <w:p w14:paraId="3F65B1A0" w14:textId="652E6297" w:rsidR="002662C0" w:rsidRDefault="002662C0" w:rsidP="002662C0">
            <w:pPr>
              <w:jc w:val="center"/>
              <w:rPr>
                <w:rFonts w:ascii="Arial Narrow" w:hAnsi="Arial Narrow"/>
                <w:sz w:val="18"/>
                <w:szCs w:val="18"/>
              </w:rPr>
            </w:pPr>
            <w:r>
              <w:rPr>
                <w:rFonts w:ascii="Arial Narrow" w:hAnsi="Arial Narrow"/>
                <w:sz w:val="18"/>
                <w:szCs w:val="18"/>
              </w:rPr>
              <w:t>+24,5</w:t>
            </w:r>
          </w:p>
        </w:tc>
        <w:tc>
          <w:tcPr>
            <w:tcW w:w="1108" w:type="dxa"/>
            <w:tcBorders>
              <w:top w:val="single" w:sz="4" w:space="0" w:color="auto"/>
              <w:left w:val="nil"/>
              <w:bottom w:val="single" w:sz="4" w:space="0" w:color="auto"/>
              <w:right w:val="nil"/>
            </w:tcBorders>
            <w:shd w:val="clear" w:color="auto" w:fill="D9D9D9"/>
            <w:noWrap/>
            <w:vAlign w:val="center"/>
          </w:tcPr>
          <w:p w14:paraId="3B5C1AE5" w14:textId="09CBF841" w:rsidR="002662C0" w:rsidRDefault="002662C0" w:rsidP="002662C0">
            <w:pPr>
              <w:jc w:val="center"/>
              <w:rPr>
                <w:rFonts w:ascii="Arial Narrow" w:hAnsi="Arial Narrow"/>
                <w:sz w:val="18"/>
                <w:szCs w:val="18"/>
              </w:rPr>
            </w:pPr>
            <w:r>
              <w:rPr>
                <w:rFonts w:ascii="Arial Narrow" w:hAnsi="Arial Narrow"/>
                <w:sz w:val="18"/>
                <w:szCs w:val="18"/>
              </w:rPr>
              <w:t>+33,0</w:t>
            </w:r>
          </w:p>
        </w:tc>
        <w:tc>
          <w:tcPr>
            <w:tcW w:w="685" w:type="dxa"/>
            <w:tcBorders>
              <w:top w:val="single" w:sz="4" w:space="0" w:color="auto"/>
              <w:left w:val="nil"/>
              <w:bottom w:val="single" w:sz="4" w:space="0" w:color="auto"/>
              <w:right w:val="nil"/>
            </w:tcBorders>
            <w:shd w:val="clear" w:color="auto" w:fill="auto"/>
            <w:noWrap/>
            <w:vAlign w:val="center"/>
          </w:tcPr>
          <w:p w14:paraId="57809FE0" w14:textId="13FC22E5" w:rsidR="002662C0" w:rsidRDefault="002662C0" w:rsidP="002662C0">
            <w:pPr>
              <w:jc w:val="center"/>
              <w:rPr>
                <w:rFonts w:ascii="Arial Narrow" w:hAnsi="Arial Narrow"/>
                <w:sz w:val="18"/>
                <w:szCs w:val="18"/>
              </w:rPr>
            </w:pPr>
            <w:r>
              <w:rPr>
                <w:rFonts w:ascii="Arial Narrow" w:hAnsi="Arial Narrow"/>
                <w:sz w:val="18"/>
                <w:szCs w:val="18"/>
              </w:rPr>
              <w:t>+186,5</w:t>
            </w:r>
          </w:p>
        </w:tc>
        <w:tc>
          <w:tcPr>
            <w:tcW w:w="1017" w:type="dxa"/>
            <w:tcBorders>
              <w:top w:val="single" w:sz="4" w:space="0" w:color="auto"/>
              <w:left w:val="nil"/>
              <w:bottom w:val="single" w:sz="4" w:space="0" w:color="auto"/>
              <w:right w:val="nil"/>
            </w:tcBorders>
            <w:shd w:val="clear" w:color="auto" w:fill="auto"/>
            <w:noWrap/>
            <w:vAlign w:val="center"/>
          </w:tcPr>
          <w:p w14:paraId="7C8248A9" w14:textId="2CA0F83D" w:rsidR="002662C0" w:rsidRDefault="002662C0" w:rsidP="002662C0">
            <w:pPr>
              <w:jc w:val="center"/>
              <w:rPr>
                <w:rFonts w:ascii="Arial Narrow" w:hAnsi="Arial Narrow"/>
                <w:sz w:val="18"/>
                <w:szCs w:val="18"/>
              </w:rPr>
            </w:pPr>
            <w:r>
              <w:rPr>
                <w:rFonts w:ascii="Arial Narrow" w:hAnsi="Arial Narrow"/>
                <w:sz w:val="18"/>
                <w:szCs w:val="18"/>
              </w:rPr>
              <w:t>+123,1</w:t>
            </w:r>
          </w:p>
        </w:tc>
        <w:tc>
          <w:tcPr>
            <w:tcW w:w="708" w:type="dxa"/>
            <w:tcBorders>
              <w:top w:val="single" w:sz="4" w:space="0" w:color="auto"/>
              <w:left w:val="nil"/>
              <w:bottom w:val="single" w:sz="4" w:space="0" w:color="auto"/>
              <w:right w:val="nil"/>
            </w:tcBorders>
            <w:shd w:val="clear" w:color="auto" w:fill="D9D9D9"/>
            <w:noWrap/>
            <w:vAlign w:val="center"/>
          </w:tcPr>
          <w:p w14:paraId="2D2A7800" w14:textId="0E034074" w:rsidR="002662C0" w:rsidRDefault="002662C0" w:rsidP="002662C0">
            <w:pPr>
              <w:jc w:val="center"/>
              <w:rPr>
                <w:rFonts w:ascii="Arial Narrow" w:hAnsi="Arial Narrow"/>
                <w:sz w:val="18"/>
                <w:szCs w:val="18"/>
              </w:rPr>
            </w:pPr>
            <w:r>
              <w:rPr>
                <w:rFonts w:ascii="Arial Narrow" w:hAnsi="Arial Narrow"/>
                <w:sz w:val="18"/>
                <w:szCs w:val="18"/>
              </w:rPr>
              <w:t>+13,3</w:t>
            </w:r>
          </w:p>
        </w:tc>
        <w:tc>
          <w:tcPr>
            <w:tcW w:w="1134" w:type="dxa"/>
            <w:tcBorders>
              <w:top w:val="single" w:sz="4" w:space="0" w:color="auto"/>
              <w:left w:val="nil"/>
              <w:bottom w:val="single" w:sz="4" w:space="0" w:color="auto"/>
              <w:right w:val="nil"/>
            </w:tcBorders>
            <w:shd w:val="clear" w:color="auto" w:fill="D9D9D9"/>
            <w:noWrap/>
            <w:vAlign w:val="center"/>
          </w:tcPr>
          <w:p w14:paraId="514A7489" w14:textId="11E3C3C0" w:rsidR="002662C0" w:rsidRDefault="002662C0" w:rsidP="002662C0">
            <w:pPr>
              <w:jc w:val="center"/>
              <w:rPr>
                <w:rFonts w:ascii="Arial Narrow" w:hAnsi="Arial Narrow"/>
                <w:sz w:val="18"/>
                <w:szCs w:val="18"/>
              </w:rPr>
            </w:pPr>
            <w:r>
              <w:rPr>
                <w:rFonts w:ascii="Arial Narrow" w:hAnsi="Arial Narrow"/>
                <w:sz w:val="18"/>
                <w:szCs w:val="18"/>
              </w:rPr>
              <w:t>+23,7</w:t>
            </w:r>
          </w:p>
        </w:tc>
        <w:tc>
          <w:tcPr>
            <w:tcW w:w="654" w:type="dxa"/>
            <w:tcBorders>
              <w:top w:val="single" w:sz="4" w:space="0" w:color="auto"/>
              <w:left w:val="nil"/>
              <w:bottom w:val="single" w:sz="4" w:space="0" w:color="auto"/>
              <w:right w:val="nil"/>
            </w:tcBorders>
            <w:shd w:val="clear" w:color="auto" w:fill="auto"/>
            <w:noWrap/>
            <w:vAlign w:val="center"/>
          </w:tcPr>
          <w:p w14:paraId="3065921F" w14:textId="5282A03F" w:rsidR="002662C0" w:rsidRDefault="002662C0" w:rsidP="002662C0">
            <w:pPr>
              <w:jc w:val="center"/>
              <w:rPr>
                <w:rFonts w:ascii="Arial Narrow" w:hAnsi="Arial Narrow"/>
                <w:sz w:val="18"/>
                <w:szCs w:val="18"/>
              </w:rPr>
            </w:pPr>
            <w:r>
              <w:rPr>
                <w:rFonts w:ascii="Arial Narrow" w:hAnsi="Arial Narrow"/>
                <w:sz w:val="18"/>
                <w:szCs w:val="18"/>
              </w:rPr>
              <w:t>+196,1</w:t>
            </w:r>
          </w:p>
        </w:tc>
        <w:tc>
          <w:tcPr>
            <w:tcW w:w="984" w:type="dxa"/>
            <w:tcBorders>
              <w:top w:val="single" w:sz="4" w:space="0" w:color="auto"/>
              <w:left w:val="nil"/>
              <w:bottom w:val="single" w:sz="4" w:space="0" w:color="auto"/>
              <w:right w:val="nil"/>
            </w:tcBorders>
            <w:shd w:val="clear" w:color="auto" w:fill="auto"/>
            <w:noWrap/>
            <w:vAlign w:val="center"/>
          </w:tcPr>
          <w:p w14:paraId="43A38DBF" w14:textId="5D87E9BA" w:rsidR="002662C0" w:rsidRDefault="002662C0" w:rsidP="002662C0">
            <w:pPr>
              <w:jc w:val="center"/>
              <w:rPr>
                <w:rFonts w:ascii="Arial Narrow" w:hAnsi="Arial Narrow"/>
                <w:sz w:val="18"/>
                <w:szCs w:val="18"/>
              </w:rPr>
            </w:pPr>
            <w:r>
              <w:rPr>
                <w:rFonts w:ascii="Arial Narrow" w:hAnsi="Arial Narrow"/>
                <w:sz w:val="18"/>
                <w:szCs w:val="18"/>
              </w:rPr>
              <w:t>+183,1</w:t>
            </w:r>
          </w:p>
        </w:tc>
        <w:tc>
          <w:tcPr>
            <w:tcW w:w="709" w:type="dxa"/>
            <w:tcBorders>
              <w:top w:val="single" w:sz="4" w:space="0" w:color="auto"/>
              <w:left w:val="nil"/>
              <w:bottom w:val="single" w:sz="4" w:space="0" w:color="auto"/>
              <w:right w:val="nil"/>
            </w:tcBorders>
            <w:shd w:val="clear" w:color="auto" w:fill="D9D9D9"/>
            <w:noWrap/>
            <w:vAlign w:val="center"/>
          </w:tcPr>
          <w:p w14:paraId="7481B419" w14:textId="25041232" w:rsidR="002662C0" w:rsidRDefault="002662C0" w:rsidP="002662C0">
            <w:pPr>
              <w:jc w:val="center"/>
              <w:rPr>
                <w:rFonts w:ascii="Arial Narrow" w:hAnsi="Arial Narrow"/>
                <w:sz w:val="18"/>
                <w:szCs w:val="18"/>
              </w:rPr>
            </w:pPr>
            <w:r>
              <w:rPr>
                <w:rFonts w:ascii="Arial Narrow" w:hAnsi="Arial Narrow"/>
                <w:sz w:val="18"/>
                <w:szCs w:val="18"/>
              </w:rPr>
              <w:t>-11.412</w:t>
            </w:r>
          </w:p>
        </w:tc>
        <w:tc>
          <w:tcPr>
            <w:tcW w:w="984" w:type="dxa"/>
            <w:tcBorders>
              <w:top w:val="single" w:sz="4" w:space="0" w:color="auto"/>
              <w:left w:val="nil"/>
              <w:bottom w:val="single" w:sz="4" w:space="0" w:color="auto"/>
              <w:right w:val="nil"/>
            </w:tcBorders>
            <w:shd w:val="clear" w:color="auto" w:fill="D9D9D9"/>
            <w:vAlign w:val="center"/>
          </w:tcPr>
          <w:p w14:paraId="2EE70983" w14:textId="7093905E" w:rsidR="002662C0" w:rsidRDefault="002662C0" w:rsidP="002662C0">
            <w:pPr>
              <w:jc w:val="center"/>
              <w:rPr>
                <w:rFonts w:ascii="Arial Narrow" w:hAnsi="Arial Narrow"/>
                <w:sz w:val="18"/>
                <w:szCs w:val="18"/>
              </w:rPr>
            </w:pPr>
            <w:r>
              <w:rPr>
                <w:rFonts w:ascii="Arial Narrow" w:hAnsi="Arial Narrow"/>
                <w:sz w:val="18"/>
                <w:szCs w:val="18"/>
              </w:rPr>
              <w:t>-59.994</w:t>
            </w:r>
          </w:p>
        </w:tc>
      </w:tr>
      <w:tr w:rsidR="002662C0" w:rsidRPr="008C0651" w14:paraId="5E98AC6E" w14:textId="77777777" w:rsidTr="002662C0">
        <w:trPr>
          <w:trHeight w:val="255"/>
        </w:trPr>
        <w:tc>
          <w:tcPr>
            <w:tcW w:w="1587" w:type="dxa"/>
            <w:tcBorders>
              <w:top w:val="single" w:sz="4" w:space="0" w:color="auto"/>
              <w:left w:val="nil"/>
              <w:bottom w:val="single" w:sz="4" w:space="0" w:color="auto"/>
              <w:right w:val="nil"/>
            </w:tcBorders>
            <w:shd w:val="clear" w:color="auto" w:fill="auto"/>
            <w:vAlign w:val="bottom"/>
          </w:tcPr>
          <w:p w14:paraId="6037BBAC" w14:textId="77777777" w:rsidR="002662C0" w:rsidRPr="00831F78" w:rsidRDefault="002662C0" w:rsidP="002662C0">
            <w:pPr>
              <w:spacing w:before="40" w:after="20"/>
              <w:rPr>
                <w:rFonts w:ascii="Arial Narrow" w:hAnsi="Arial Narrow"/>
                <w:sz w:val="18"/>
                <w:szCs w:val="18"/>
              </w:rPr>
            </w:pPr>
            <w:r w:rsidRPr="00831F78">
              <w:rPr>
                <w:rFonts w:ascii="Arial Narrow" w:hAnsi="Arial Narrow"/>
                <w:sz w:val="18"/>
                <w:szCs w:val="18"/>
              </w:rPr>
              <w:t>Totale al netto dell’energia</w:t>
            </w:r>
          </w:p>
        </w:tc>
        <w:tc>
          <w:tcPr>
            <w:tcW w:w="665" w:type="dxa"/>
            <w:tcBorders>
              <w:top w:val="single" w:sz="4" w:space="0" w:color="auto"/>
              <w:left w:val="nil"/>
              <w:bottom w:val="single" w:sz="4" w:space="0" w:color="auto"/>
              <w:right w:val="nil"/>
            </w:tcBorders>
            <w:shd w:val="clear" w:color="auto" w:fill="D9D9D9"/>
            <w:noWrap/>
            <w:vAlign w:val="center"/>
          </w:tcPr>
          <w:p w14:paraId="55279850" w14:textId="1DF11E6B" w:rsidR="002662C0" w:rsidRDefault="002662C0" w:rsidP="002662C0">
            <w:pPr>
              <w:jc w:val="center"/>
              <w:rPr>
                <w:rFonts w:ascii="Arial Narrow" w:hAnsi="Arial Narrow"/>
                <w:sz w:val="18"/>
                <w:szCs w:val="18"/>
              </w:rPr>
            </w:pPr>
            <w:r>
              <w:rPr>
                <w:rFonts w:ascii="Arial Narrow" w:hAnsi="Arial Narrow"/>
                <w:sz w:val="18"/>
                <w:szCs w:val="18"/>
              </w:rPr>
              <w:t>+3,0</w:t>
            </w:r>
          </w:p>
        </w:tc>
        <w:tc>
          <w:tcPr>
            <w:tcW w:w="1108" w:type="dxa"/>
            <w:tcBorders>
              <w:top w:val="single" w:sz="4" w:space="0" w:color="auto"/>
              <w:left w:val="nil"/>
              <w:bottom w:val="single" w:sz="4" w:space="0" w:color="auto"/>
              <w:right w:val="nil"/>
            </w:tcBorders>
            <w:shd w:val="clear" w:color="auto" w:fill="D9D9D9"/>
            <w:noWrap/>
            <w:vAlign w:val="center"/>
          </w:tcPr>
          <w:p w14:paraId="6B0B254E" w14:textId="2141F27D" w:rsidR="002662C0" w:rsidRDefault="002662C0" w:rsidP="002662C0">
            <w:pPr>
              <w:jc w:val="center"/>
              <w:rPr>
                <w:rFonts w:ascii="Arial Narrow" w:hAnsi="Arial Narrow"/>
                <w:sz w:val="18"/>
                <w:szCs w:val="18"/>
              </w:rPr>
            </w:pPr>
            <w:r>
              <w:rPr>
                <w:rFonts w:ascii="Arial Narrow" w:hAnsi="Arial Narrow"/>
                <w:sz w:val="18"/>
                <w:szCs w:val="18"/>
              </w:rPr>
              <w:t>+5,6</w:t>
            </w:r>
          </w:p>
        </w:tc>
        <w:tc>
          <w:tcPr>
            <w:tcW w:w="685" w:type="dxa"/>
            <w:tcBorders>
              <w:top w:val="single" w:sz="4" w:space="0" w:color="auto"/>
              <w:left w:val="nil"/>
              <w:bottom w:val="single" w:sz="4" w:space="0" w:color="auto"/>
              <w:right w:val="nil"/>
            </w:tcBorders>
            <w:shd w:val="clear" w:color="auto" w:fill="auto"/>
            <w:noWrap/>
            <w:vAlign w:val="center"/>
          </w:tcPr>
          <w:p w14:paraId="25A2FEEC" w14:textId="7AEE87AB" w:rsidR="002662C0" w:rsidRDefault="002662C0" w:rsidP="002662C0">
            <w:pPr>
              <w:jc w:val="center"/>
              <w:rPr>
                <w:rFonts w:ascii="Arial Narrow" w:hAnsi="Arial Narrow"/>
                <w:sz w:val="18"/>
                <w:szCs w:val="18"/>
              </w:rPr>
            </w:pPr>
            <w:r>
              <w:rPr>
                <w:rFonts w:ascii="Arial Narrow" w:hAnsi="Arial Narrow"/>
                <w:sz w:val="18"/>
                <w:szCs w:val="18"/>
              </w:rPr>
              <w:t>+13,9</w:t>
            </w:r>
          </w:p>
        </w:tc>
        <w:tc>
          <w:tcPr>
            <w:tcW w:w="1017" w:type="dxa"/>
            <w:tcBorders>
              <w:top w:val="single" w:sz="4" w:space="0" w:color="auto"/>
              <w:left w:val="nil"/>
              <w:bottom w:val="single" w:sz="4" w:space="0" w:color="auto"/>
              <w:right w:val="nil"/>
            </w:tcBorders>
            <w:shd w:val="clear" w:color="auto" w:fill="auto"/>
            <w:noWrap/>
            <w:vAlign w:val="center"/>
          </w:tcPr>
          <w:p w14:paraId="791A78A0" w14:textId="09A0FA40" w:rsidR="002662C0" w:rsidRDefault="002662C0" w:rsidP="002662C0">
            <w:pPr>
              <w:jc w:val="center"/>
              <w:rPr>
                <w:rFonts w:ascii="Arial Narrow" w:hAnsi="Arial Narrow"/>
                <w:sz w:val="18"/>
                <w:szCs w:val="18"/>
              </w:rPr>
            </w:pPr>
            <w:r>
              <w:rPr>
                <w:rFonts w:ascii="Arial Narrow" w:hAnsi="Arial Narrow"/>
                <w:sz w:val="18"/>
                <w:szCs w:val="18"/>
              </w:rPr>
              <w:t>+19,2</w:t>
            </w:r>
          </w:p>
        </w:tc>
        <w:tc>
          <w:tcPr>
            <w:tcW w:w="708" w:type="dxa"/>
            <w:tcBorders>
              <w:top w:val="single" w:sz="4" w:space="0" w:color="auto"/>
              <w:left w:val="nil"/>
              <w:bottom w:val="single" w:sz="4" w:space="0" w:color="auto"/>
              <w:right w:val="nil"/>
            </w:tcBorders>
            <w:shd w:val="clear" w:color="auto" w:fill="D9D9D9"/>
            <w:noWrap/>
            <w:vAlign w:val="center"/>
          </w:tcPr>
          <w:p w14:paraId="07928A9D" w14:textId="3D086BF6" w:rsidR="002662C0" w:rsidRDefault="002662C0" w:rsidP="002662C0">
            <w:pPr>
              <w:jc w:val="center"/>
              <w:rPr>
                <w:rFonts w:ascii="Arial Narrow" w:hAnsi="Arial Narrow"/>
                <w:sz w:val="18"/>
                <w:szCs w:val="18"/>
              </w:rPr>
            </w:pPr>
            <w:r>
              <w:rPr>
                <w:rFonts w:ascii="Arial Narrow" w:hAnsi="Arial Narrow"/>
                <w:sz w:val="18"/>
                <w:szCs w:val="18"/>
              </w:rPr>
              <w:t>+0,4</w:t>
            </w:r>
          </w:p>
        </w:tc>
        <w:tc>
          <w:tcPr>
            <w:tcW w:w="1134" w:type="dxa"/>
            <w:tcBorders>
              <w:top w:val="single" w:sz="4" w:space="0" w:color="auto"/>
              <w:left w:val="nil"/>
              <w:bottom w:val="single" w:sz="4" w:space="0" w:color="auto"/>
              <w:right w:val="nil"/>
            </w:tcBorders>
            <w:shd w:val="clear" w:color="auto" w:fill="D9D9D9"/>
            <w:noWrap/>
            <w:vAlign w:val="center"/>
          </w:tcPr>
          <w:p w14:paraId="1BDC5F83" w14:textId="55425CEA" w:rsidR="002662C0" w:rsidRDefault="002662C0" w:rsidP="002662C0">
            <w:pPr>
              <w:jc w:val="center"/>
              <w:rPr>
                <w:rFonts w:ascii="Arial Narrow" w:hAnsi="Arial Narrow"/>
                <w:sz w:val="18"/>
                <w:szCs w:val="18"/>
              </w:rPr>
            </w:pPr>
            <w:r>
              <w:rPr>
                <w:rFonts w:ascii="Arial Narrow" w:hAnsi="Arial Narrow"/>
                <w:sz w:val="18"/>
                <w:szCs w:val="18"/>
              </w:rPr>
              <w:t>+5,1</w:t>
            </w:r>
          </w:p>
        </w:tc>
        <w:tc>
          <w:tcPr>
            <w:tcW w:w="654" w:type="dxa"/>
            <w:tcBorders>
              <w:top w:val="single" w:sz="4" w:space="0" w:color="auto"/>
              <w:left w:val="nil"/>
              <w:bottom w:val="single" w:sz="4" w:space="0" w:color="auto"/>
              <w:right w:val="nil"/>
            </w:tcBorders>
            <w:shd w:val="clear" w:color="auto" w:fill="auto"/>
            <w:noWrap/>
            <w:vAlign w:val="center"/>
          </w:tcPr>
          <w:p w14:paraId="7048DA16" w14:textId="2F2048EC" w:rsidR="002662C0" w:rsidRDefault="002662C0" w:rsidP="002662C0">
            <w:pPr>
              <w:jc w:val="center"/>
              <w:rPr>
                <w:rFonts w:ascii="Arial Narrow" w:hAnsi="Arial Narrow"/>
                <w:sz w:val="18"/>
                <w:szCs w:val="18"/>
              </w:rPr>
            </w:pPr>
            <w:r>
              <w:rPr>
                <w:rFonts w:ascii="Arial Narrow" w:hAnsi="Arial Narrow"/>
                <w:sz w:val="18"/>
                <w:szCs w:val="18"/>
              </w:rPr>
              <w:t>+22,5</w:t>
            </w:r>
          </w:p>
        </w:tc>
        <w:tc>
          <w:tcPr>
            <w:tcW w:w="984" w:type="dxa"/>
            <w:tcBorders>
              <w:top w:val="single" w:sz="4" w:space="0" w:color="auto"/>
              <w:left w:val="nil"/>
              <w:bottom w:val="single" w:sz="4" w:space="0" w:color="auto"/>
              <w:right w:val="nil"/>
            </w:tcBorders>
            <w:shd w:val="clear" w:color="auto" w:fill="auto"/>
            <w:noWrap/>
            <w:vAlign w:val="center"/>
          </w:tcPr>
          <w:p w14:paraId="35E3725B" w14:textId="301AEA0B" w:rsidR="002662C0" w:rsidRDefault="002662C0" w:rsidP="002662C0">
            <w:pPr>
              <w:jc w:val="center"/>
              <w:rPr>
                <w:rFonts w:ascii="Arial Narrow" w:hAnsi="Arial Narrow"/>
                <w:sz w:val="18"/>
                <w:szCs w:val="18"/>
              </w:rPr>
            </w:pPr>
            <w:r>
              <w:rPr>
                <w:rFonts w:ascii="Arial Narrow" w:hAnsi="Arial Narrow"/>
                <w:sz w:val="18"/>
                <w:szCs w:val="18"/>
              </w:rPr>
              <w:t>+28,4</w:t>
            </w:r>
          </w:p>
        </w:tc>
        <w:tc>
          <w:tcPr>
            <w:tcW w:w="709" w:type="dxa"/>
            <w:tcBorders>
              <w:top w:val="single" w:sz="4" w:space="0" w:color="auto"/>
              <w:left w:val="nil"/>
              <w:bottom w:val="single" w:sz="4" w:space="0" w:color="auto"/>
              <w:right w:val="nil"/>
            </w:tcBorders>
            <w:shd w:val="clear" w:color="auto" w:fill="D9D9D9"/>
            <w:noWrap/>
            <w:vAlign w:val="center"/>
          </w:tcPr>
          <w:p w14:paraId="71A6EA57" w14:textId="4DD31B92" w:rsidR="002662C0" w:rsidRDefault="002662C0" w:rsidP="002662C0">
            <w:pPr>
              <w:jc w:val="center"/>
              <w:rPr>
                <w:rFonts w:ascii="Arial Narrow" w:hAnsi="Arial Narrow"/>
                <w:sz w:val="18"/>
                <w:szCs w:val="18"/>
              </w:rPr>
            </w:pPr>
            <w:r>
              <w:rPr>
                <w:rFonts w:ascii="Arial Narrow" w:hAnsi="Arial Narrow"/>
                <w:sz w:val="18"/>
                <w:szCs w:val="18"/>
              </w:rPr>
              <w:t>+11.051</w:t>
            </w:r>
          </w:p>
        </w:tc>
        <w:tc>
          <w:tcPr>
            <w:tcW w:w="984" w:type="dxa"/>
            <w:tcBorders>
              <w:top w:val="single" w:sz="4" w:space="0" w:color="auto"/>
              <w:left w:val="nil"/>
              <w:bottom w:val="single" w:sz="4" w:space="0" w:color="auto"/>
              <w:right w:val="nil"/>
            </w:tcBorders>
            <w:shd w:val="clear" w:color="auto" w:fill="D9D9D9"/>
            <w:vAlign w:val="center"/>
          </w:tcPr>
          <w:p w14:paraId="2B791147" w14:textId="3C3C2A33" w:rsidR="002662C0" w:rsidRDefault="002662C0" w:rsidP="002662C0">
            <w:pPr>
              <w:jc w:val="center"/>
              <w:rPr>
                <w:rFonts w:ascii="Arial Narrow" w:hAnsi="Arial Narrow"/>
                <w:sz w:val="18"/>
                <w:szCs w:val="18"/>
              </w:rPr>
            </w:pPr>
            <w:r>
              <w:rPr>
                <w:rFonts w:ascii="Arial Narrow" w:hAnsi="Arial Narrow"/>
                <w:sz w:val="18"/>
                <w:szCs w:val="18"/>
              </w:rPr>
              <w:t>+46.297</w:t>
            </w:r>
          </w:p>
        </w:tc>
      </w:tr>
      <w:tr w:rsidR="002662C0" w:rsidRPr="008C0651" w14:paraId="55245CCE" w14:textId="77777777" w:rsidTr="000916A8">
        <w:trPr>
          <w:trHeight w:val="255"/>
        </w:trPr>
        <w:tc>
          <w:tcPr>
            <w:tcW w:w="1587" w:type="dxa"/>
            <w:tcBorders>
              <w:top w:val="single" w:sz="4" w:space="0" w:color="auto"/>
              <w:left w:val="nil"/>
              <w:bottom w:val="single" w:sz="4" w:space="0" w:color="auto"/>
              <w:right w:val="nil"/>
            </w:tcBorders>
            <w:shd w:val="clear" w:color="auto" w:fill="E42618"/>
            <w:vAlign w:val="bottom"/>
          </w:tcPr>
          <w:p w14:paraId="221BD76C" w14:textId="77777777" w:rsidR="002662C0" w:rsidRPr="008C0651" w:rsidRDefault="002662C0" w:rsidP="002662C0">
            <w:pPr>
              <w:spacing w:before="40" w:after="20"/>
              <w:rPr>
                <w:rFonts w:ascii="Arial Narrow" w:hAnsi="Arial Narrow"/>
                <w:b/>
                <w:color w:val="FFFFFF" w:themeColor="background1"/>
                <w:sz w:val="18"/>
                <w:szCs w:val="18"/>
              </w:rPr>
            </w:pPr>
            <w:r w:rsidRPr="008C0651">
              <w:rPr>
                <w:rFonts w:ascii="Arial Narrow" w:hAnsi="Arial Narrow"/>
                <w:b/>
                <w:color w:val="FFFFFF" w:themeColor="background1"/>
                <w:sz w:val="18"/>
                <w:szCs w:val="18"/>
              </w:rPr>
              <w:t>Totale</w:t>
            </w:r>
          </w:p>
        </w:tc>
        <w:tc>
          <w:tcPr>
            <w:tcW w:w="665" w:type="dxa"/>
            <w:tcBorders>
              <w:top w:val="single" w:sz="4" w:space="0" w:color="auto"/>
              <w:left w:val="nil"/>
              <w:bottom w:val="single" w:sz="4" w:space="0" w:color="auto"/>
              <w:right w:val="nil"/>
            </w:tcBorders>
            <w:shd w:val="clear" w:color="auto" w:fill="E42618"/>
            <w:noWrap/>
            <w:vAlign w:val="center"/>
          </w:tcPr>
          <w:p w14:paraId="21240D72" w14:textId="307E6E5F" w:rsidR="002662C0" w:rsidRDefault="002662C0" w:rsidP="002662C0">
            <w:pPr>
              <w:jc w:val="center"/>
              <w:rPr>
                <w:rFonts w:ascii="Arial Narrow" w:hAnsi="Arial Narrow"/>
                <w:b/>
                <w:bCs/>
                <w:color w:val="FFFFFF"/>
                <w:sz w:val="18"/>
                <w:szCs w:val="18"/>
              </w:rPr>
            </w:pPr>
            <w:r>
              <w:rPr>
                <w:rFonts w:ascii="Arial Narrow" w:hAnsi="Arial Narrow"/>
                <w:b/>
                <w:bCs/>
                <w:color w:val="FFFFFF"/>
                <w:sz w:val="18"/>
                <w:szCs w:val="18"/>
              </w:rPr>
              <w:t>+4,1</w:t>
            </w:r>
          </w:p>
        </w:tc>
        <w:tc>
          <w:tcPr>
            <w:tcW w:w="1108" w:type="dxa"/>
            <w:tcBorders>
              <w:top w:val="single" w:sz="4" w:space="0" w:color="auto"/>
              <w:left w:val="nil"/>
              <w:bottom w:val="single" w:sz="4" w:space="0" w:color="auto"/>
              <w:right w:val="nil"/>
            </w:tcBorders>
            <w:shd w:val="clear" w:color="auto" w:fill="E42618"/>
            <w:noWrap/>
            <w:vAlign w:val="center"/>
          </w:tcPr>
          <w:p w14:paraId="7F24A5A1" w14:textId="7399026B" w:rsidR="002662C0" w:rsidRDefault="002662C0" w:rsidP="002662C0">
            <w:pPr>
              <w:jc w:val="center"/>
              <w:rPr>
                <w:rFonts w:ascii="Arial Narrow" w:hAnsi="Arial Narrow"/>
                <w:b/>
                <w:bCs/>
                <w:color w:val="FFFFFF"/>
                <w:sz w:val="18"/>
                <w:szCs w:val="18"/>
              </w:rPr>
            </w:pPr>
            <w:r>
              <w:rPr>
                <w:rFonts w:ascii="Arial Narrow" w:hAnsi="Arial Narrow"/>
                <w:b/>
                <w:bCs/>
                <w:color w:val="FFFFFF"/>
                <w:sz w:val="18"/>
                <w:szCs w:val="18"/>
              </w:rPr>
              <w:t>+6,8</w:t>
            </w:r>
          </w:p>
        </w:tc>
        <w:tc>
          <w:tcPr>
            <w:tcW w:w="685" w:type="dxa"/>
            <w:tcBorders>
              <w:top w:val="single" w:sz="4" w:space="0" w:color="auto"/>
              <w:left w:val="nil"/>
              <w:bottom w:val="single" w:sz="4" w:space="0" w:color="auto"/>
              <w:right w:val="nil"/>
            </w:tcBorders>
            <w:shd w:val="clear" w:color="auto" w:fill="E42618"/>
            <w:noWrap/>
            <w:vAlign w:val="center"/>
          </w:tcPr>
          <w:p w14:paraId="3BF2FBD0" w14:textId="7B6083B7" w:rsidR="002662C0" w:rsidRDefault="002662C0" w:rsidP="002662C0">
            <w:pPr>
              <w:jc w:val="center"/>
              <w:rPr>
                <w:rFonts w:ascii="Arial Narrow" w:hAnsi="Arial Narrow"/>
                <w:b/>
                <w:bCs/>
                <w:color w:val="FFFFFF"/>
                <w:sz w:val="18"/>
                <w:szCs w:val="18"/>
              </w:rPr>
            </w:pPr>
            <w:r>
              <w:rPr>
                <w:rFonts w:ascii="Arial Narrow" w:hAnsi="Arial Narrow"/>
                <w:b/>
                <w:bCs/>
                <w:color w:val="FFFFFF"/>
                <w:sz w:val="18"/>
                <w:szCs w:val="18"/>
              </w:rPr>
              <w:t>+18,0</w:t>
            </w:r>
          </w:p>
        </w:tc>
        <w:tc>
          <w:tcPr>
            <w:tcW w:w="1017" w:type="dxa"/>
            <w:tcBorders>
              <w:top w:val="single" w:sz="4" w:space="0" w:color="auto"/>
              <w:left w:val="nil"/>
              <w:bottom w:val="single" w:sz="4" w:space="0" w:color="auto"/>
              <w:right w:val="nil"/>
            </w:tcBorders>
            <w:shd w:val="clear" w:color="auto" w:fill="E42618"/>
            <w:noWrap/>
            <w:vAlign w:val="center"/>
          </w:tcPr>
          <w:p w14:paraId="73B32ACF" w14:textId="54B849C4" w:rsidR="002662C0" w:rsidRDefault="002662C0" w:rsidP="002662C0">
            <w:pPr>
              <w:jc w:val="center"/>
              <w:rPr>
                <w:rFonts w:ascii="Arial Narrow" w:hAnsi="Arial Narrow"/>
                <w:b/>
                <w:bCs/>
                <w:color w:val="FFFFFF"/>
                <w:sz w:val="18"/>
                <w:szCs w:val="18"/>
              </w:rPr>
            </w:pPr>
            <w:r>
              <w:rPr>
                <w:rFonts w:ascii="Arial Narrow" w:hAnsi="Arial Narrow"/>
                <w:b/>
                <w:bCs/>
                <w:color w:val="FFFFFF"/>
                <w:sz w:val="18"/>
                <w:szCs w:val="18"/>
              </w:rPr>
              <w:t>+21,8</w:t>
            </w:r>
          </w:p>
        </w:tc>
        <w:tc>
          <w:tcPr>
            <w:tcW w:w="708" w:type="dxa"/>
            <w:tcBorders>
              <w:top w:val="single" w:sz="4" w:space="0" w:color="auto"/>
              <w:left w:val="nil"/>
              <w:bottom w:val="single" w:sz="4" w:space="0" w:color="auto"/>
              <w:right w:val="nil"/>
            </w:tcBorders>
            <w:shd w:val="clear" w:color="auto" w:fill="E42618"/>
            <w:noWrap/>
            <w:vAlign w:val="center"/>
          </w:tcPr>
          <w:p w14:paraId="3B7E35A5" w14:textId="07FB6DC6" w:rsidR="002662C0" w:rsidRDefault="002662C0" w:rsidP="002662C0">
            <w:pPr>
              <w:jc w:val="center"/>
              <w:rPr>
                <w:rFonts w:ascii="Arial Narrow" w:hAnsi="Arial Narrow"/>
                <w:b/>
                <w:bCs/>
                <w:color w:val="FFFFFF"/>
                <w:sz w:val="18"/>
                <w:szCs w:val="18"/>
              </w:rPr>
            </w:pPr>
            <w:r>
              <w:rPr>
                <w:rFonts w:ascii="Arial Narrow" w:hAnsi="Arial Narrow"/>
                <w:b/>
                <w:bCs/>
                <w:color w:val="FFFFFF"/>
                <w:sz w:val="18"/>
                <w:szCs w:val="18"/>
              </w:rPr>
              <w:t>+3,4</w:t>
            </w:r>
          </w:p>
        </w:tc>
        <w:tc>
          <w:tcPr>
            <w:tcW w:w="1134" w:type="dxa"/>
            <w:tcBorders>
              <w:top w:val="single" w:sz="4" w:space="0" w:color="auto"/>
              <w:left w:val="nil"/>
              <w:bottom w:val="single" w:sz="4" w:space="0" w:color="auto"/>
              <w:right w:val="nil"/>
            </w:tcBorders>
            <w:shd w:val="clear" w:color="auto" w:fill="E42618"/>
            <w:noWrap/>
            <w:vAlign w:val="center"/>
          </w:tcPr>
          <w:p w14:paraId="73DCCAE3" w14:textId="7A15041B" w:rsidR="002662C0" w:rsidRDefault="002662C0" w:rsidP="002662C0">
            <w:pPr>
              <w:jc w:val="center"/>
              <w:rPr>
                <w:rFonts w:ascii="Arial Narrow" w:hAnsi="Arial Narrow"/>
                <w:b/>
                <w:bCs/>
                <w:color w:val="FFFFFF"/>
                <w:sz w:val="18"/>
                <w:szCs w:val="18"/>
              </w:rPr>
            </w:pPr>
            <w:r>
              <w:rPr>
                <w:rFonts w:ascii="Arial Narrow" w:hAnsi="Arial Narrow"/>
                <w:b/>
                <w:bCs/>
                <w:color w:val="FFFFFF"/>
                <w:sz w:val="18"/>
                <w:szCs w:val="18"/>
              </w:rPr>
              <w:t>+8,8</w:t>
            </w:r>
          </w:p>
        </w:tc>
        <w:tc>
          <w:tcPr>
            <w:tcW w:w="654" w:type="dxa"/>
            <w:tcBorders>
              <w:top w:val="single" w:sz="4" w:space="0" w:color="auto"/>
              <w:left w:val="nil"/>
              <w:bottom w:val="single" w:sz="4" w:space="0" w:color="auto"/>
              <w:right w:val="nil"/>
            </w:tcBorders>
            <w:shd w:val="clear" w:color="auto" w:fill="E42618"/>
            <w:noWrap/>
            <w:vAlign w:val="center"/>
          </w:tcPr>
          <w:p w14:paraId="78605F65" w14:textId="51A60E68" w:rsidR="002662C0" w:rsidRDefault="002662C0" w:rsidP="002662C0">
            <w:pPr>
              <w:jc w:val="center"/>
              <w:rPr>
                <w:rFonts w:ascii="Arial Narrow" w:hAnsi="Arial Narrow"/>
                <w:b/>
                <w:bCs/>
                <w:color w:val="FFFFFF"/>
                <w:sz w:val="18"/>
                <w:szCs w:val="18"/>
              </w:rPr>
            </w:pPr>
            <w:r>
              <w:rPr>
                <w:rFonts w:ascii="Arial Narrow" w:hAnsi="Arial Narrow"/>
                <w:b/>
                <w:bCs/>
                <w:color w:val="FFFFFF"/>
                <w:sz w:val="18"/>
                <w:szCs w:val="18"/>
              </w:rPr>
              <w:t>+44,0</w:t>
            </w:r>
          </w:p>
        </w:tc>
        <w:tc>
          <w:tcPr>
            <w:tcW w:w="984" w:type="dxa"/>
            <w:tcBorders>
              <w:top w:val="single" w:sz="4" w:space="0" w:color="auto"/>
              <w:left w:val="nil"/>
              <w:bottom w:val="single" w:sz="4" w:space="0" w:color="auto"/>
              <w:right w:val="nil"/>
            </w:tcBorders>
            <w:shd w:val="clear" w:color="auto" w:fill="E42618"/>
            <w:noWrap/>
            <w:vAlign w:val="center"/>
          </w:tcPr>
          <w:p w14:paraId="2438AC7D" w14:textId="53594E8B" w:rsidR="002662C0" w:rsidRDefault="002662C0" w:rsidP="002662C0">
            <w:pPr>
              <w:jc w:val="center"/>
              <w:rPr>
                <w:rFonts w:ascii="Arial Narrow" w:hAnsi="Arial Narrow"/>
                <w:b/>
                <w:bCs/>
                <w:color w:val="FFFFFF"/>
                <w:sz w:val="18"/>
                <w:szCs w:val="18"/>
              </w:rPr>
            </w:pPr>
            <w:r>
              <w:rPr>
                <w:rFonts w:ascii="Arial Narrow" w:hAnsi="Arial Narrow"/>
                <w:b/>
                <w:bCs/>
                <w:color w:val="FFFFFF"/>
                <w:sz w:val="18"/>
                <w:szCs w:val="18"/>
              </w:rPr>
              <w:t>+44,3</w:t>
            </w:r>
          </w:p>
        </w:tc>
        <w:tc>
          <w:tcPr>
            <w:tcW w:w="709" w:type="dxa"/>
            <w:tcBorders>
              <w:top w:val="single" w:sz="4" w:space="0" w:color="auto"/>
              <w:left w:val="nil"/>
              <w:bottom w:val="single" w:sz="4" w:space="0" w:color="auto"/>
              <w:right w:val="nil"/>
            </w:tcBorders>
            <w:shd w:val="clear" w:color="auto" w:fill="E42618"/>
            <w:noWrap/>
            <w:vAlign w:val="center"/>
          </w:tcPr>
          <w:p w14:paraId="2D3E088F" w14:textId="0A5F2C14" w:rsidR="002662C0" w:rsidRDefault="002662C0" w:rsidP="002662C0">
            <w:pPr>
              <w:jc w:val="center"/>
              <w:rPr>
                <w:rFonts w:ascii="Arial Narrow" w:hAnsi="Arial Narrow"/>
                <w:b/>
                <w:bCs/>
                <w:color w:val="FFFFFF"/>
                <w:sz w:val="18"/>
                <w:szCs w:val="18"/>
              </w:rPr>
            </w:pPr>
            <w:r>
              <w:rPr>
                <w:rFonts w:ascii="Arial Narrow" w:hAnsi="Arial Narrow"/>
                <w:b/>
                <w:bCs/>
                <w:color w:val="FFFFFF"/>
                <w:sz w:val="18"/>
                <w:szCs w:val="18"/>
              </w:rPr>
              <w:t>-361</w:t>
            </w:r>
          </w:p>
        </w:tc>
        <w:tc>
          <w:tcPr>
            <w:tcW w:w="984" w:type="dxa"/>
            <w:tcBorders>
              <w:top w:val="single" w:sz="4" w:space="0" w:color="auto"/>
              <w:left w:val="nil"/>
              <w:bottom w:val="single" w:sz="4" w:space="0" w:color="auto"/>
              <w:right w:val="nil"/>
            </w:tcBorders>
            <w:shd w:val="clear" w:color="auto" w:fill="E42618"/>
            <w:vAlign w:val="center"/>
          </w:tcPr>
          <w:p w14:paraId="3FDB24ED" w14:textId="00AF5E80" w:rsidR="002662C0" w:rsidRDefault="002662C0" w:rsidP="002662C0">
            <w:pPr>
              <w:jc w:val="center"/>
              <w:rPr>
                <w:rFonts w:ascii="Arial Narrow" w:hAnsi="Arial Narrow"/>
                <w:b/>
                <w:bCs/>
                <w:color w:val="FFFFFF"/>
                <w:sz w:val="18"/>
                <w:szCs w:val="18"/>
              </w:rPr>
            </w:pPr>
            <w:r>
              <w:rPr>
                <w:rFonts w:ascii="Arial Narrow" w:hAnsi="Arial Narrow"/>
                <w:b/>
                <w:bCs/>
                <w:color w:val="FFFFFF"/>
                <w:sz w:val="18"/>
                <w:szCs w:val="18"/>
              </w:rPr>
              <w:t>-13.697</w:t>
            </w:r>
          </w:p>
        </w:tc>
      </w:tr>
    </w:tbl>
    <w:p w14:paraId="25AF6E9D" w14:textId="77777777" w:rsidR="00E35D07" w:rsidRPr="00F515CD" w:rsidRDefault="00E35D07" w:rsidP="00C32401">
      <w:pPr>
        <w:pStyle w:val="Corpodeltesto1"/>
        <w:spacing w:after="120"/>
        <w:rPr>
          <w:rFonts w:ascii="Arial" w:hAnsi="Arial" w:cs="Arial"/>
          <w:b w:val="0"/>
          <w:color w:val="000000"/>
          <w:kern w:val="28"/>
          <w:sz w:val="21"/>
          <w:szCs w:val="21"/>
        </w:rPr>
      </w:pPr>
    </w:p>
    <w:p w14:paraId="76689D04" w14:textId="77777777" w:rsidR="00513535" w:rsidRPr="00513535" w:rsidRDefault="00513535" w:rsidP="00513535">
      <w:pPr>
        <w:pStyle w:val="Corpodeltesto1"/>
        <w:rPr>
          <w:rFonts w:ascii="Arial" w:hAnsi="Arial" w:cs="Arial"/>
          <w:b w:val="0"/>
          <w:color w:val="000000"/>
          <w:kern w:val="28"/>
          <w:sz w:val="21"/>
          <w:szCs w:val="21"/>
        </w:rPr>
      </w:pPr>
    </w:p>
    <w:p w14:paraId="265C9A31" w14:textId="73E13143" w:rsidR="00513535" w:rsidRPr="00513535" w:rsidRDefault="00513535" w:rsidP="00513535">
      <w:pPr>
        <w:pStyle w:val="Corpodeltesto1"/>
        <w:rPr>
          <w:rFonts w:ascii="Arial" w:hAnsi="Arial" w:cs="Arial"/>
          <w:b w:val="0"/>
          <w:color w:val="000000"/>
          <w:kern w:val="28"/>
          <w:sz w:val="21"/>
          <w:szCs w:val="21"/>
        </w:rPr>
      </w:pPr>
      <w:r w:rsidRPr="00513535">
        <w:rPr>
          <w:rFonts w:ascii="Arial" w:hAnsi="Arial" w:cs="Arial"/>
          <w:b w:val="0"/>
          <w:color w:val="000000"/>
          <w:kern w:val="28"/>
          <w:sz w:val="21"/>
          <w:szCs w:val="21"/>
        </w:rPr>
        <w:t>A luglio 2022, la crescita congiunturale dell’export (+4,1%) interessa tutti i raggruppamenti principali di industrie, a eccezione dei beni intermedi (-1,2%)</w:t>
      </w:r>
      <w:r w:rsidR="000506A1">
        <w:rPr>
          <w:rFonts w:ascii="Arial" w:hAnsi="Arial" w:cs="Arial"/>
          <w:b w:val="0"/>
          <w:color w:val="000000"/>
          <w:kern w:val="28"/>
          <w:sz w:val="21"/>
          <w:szCs w:val="21"/>
        </w:rPr>
        <w:t>, ed è s</w:t>
      </w:r>
      <w:r w:rsidRPr="00513535">
        <w:rPr>
          <w:rFonts w:ascii="Arial" w:hAnsi="Arial" w:cs="Arial"/>
          <w:b w:val="0"/>
          <w:color w:val="000000"/>
          <w:kern w:val="28"/>
          <w:sz w:val="21"/>
          <w:szCs w:val="21"/>
        </w:rPr>
        <w:t>piegat</w:t>
      </w:r>
      <w:r w:rsidR="000506A1">
        <w:rPr>
          <w:rFonts w:ascii="Arial" w:hAnsi="Arial" w:cs="Arial"/>
          <w:b w:val="0"/>
          <w:color w:val="000000"/>
          <w:kern w:val="28"/>
          <w:sz w:val="21"/>
          <w:szCs w:val="21"/>
        </w:rPr>
        <w:t>a</w:t>
      </w:r>
      <w:r w:rsidRPr="00513535">
        <w:rPr>
          <w:rFonts w:ascii="Arial" w:hAnsi="Arial" w:cs="Arial"/>
          <w:b w:val="0"/>
          <w:color w:val="000000"/>
          <w:kern w:val="28"/>
          <w:sz w:val="21"/>
          <w:szCs w:val="21"/>
        </w:rPr>
        <w:t xml:space="preserve"> per oltre la metà dall’</w:t>
      </w:r>
      <w:r w:rsidR="00AC59C0">
        <w:rPr>
          <w:rFonts w:ascii="Arial" w:hAnsi="Arial" w:cs="Arial"/>
          <w:b w:val="0"/>
          <w:color w:val="000000"/>
          <w:kern w:val="28"/>
          <w:sz w:val="21"/>
          <w:szCs w:val="21"/>
        </w:rPr>
        <w:t>aumento</w:t>
      </w:r>
      <w:r w:rsidRPr="00513535">
        <w:rPr>
          <w:rFonts w:ascii="Arial" w:hAnsi="Arial" w:cs="Arial"/>
          <w:b w:val="0"/>
          <w:color w:val="000000"/>
          <w:kern w:val="28"/>
          <w:sz w:val="21"/>
          <w:szCs w:val="21"/>
        </w:rPr>
        <w:t xml:space="preserve"> delle vendite di beni strumentali (+7,6%), </w:t>
      </w:r>
      <w:r w:rsidR="00CE1A51">
        <w:rPr>
          <w:rFonts w:ascii="Arial" w:hAnsi="Arial" w:cs="Arial"/>
          <w:b w:val="0"/>
          <w:color w:val="000000"/>
          <w:kern w:val="28"/>
          <w:sz w:val="21"/>
          <w:szCs w:val="21"/>
        </w:rPr>
        <w:t>influenzato</w:t>
      </w:r>
      <w:r w:rsidRPr="00513535">
        <w:rPr>
          <w:rFonts w:ascii="Arial" w:hAnsi="Arial" w:cs="Arial"/>
          <w:b w:val="0"/>
          <w:color w:val="000000"/>
          <w:kern w:val="28"/>
          <w:sz w:val="21"/>
          <w:szCs w:val="21"/>
        </w:rPr>
        <w:t xml:space="preserve"> da operazioni di elevato impatto riguardanti vendite di mezzi di navigazione marittima verso i paesi extra Ue. </w:t>
      </w:r>
    </w:p>
    <w:p w14:paraId="7A4E2C52" w14:textId="233FB361" w:rsidR="0075218A" w:rsidRDefault="00513535" w:rsidP="00513535">
      <w:pPr>
        <w:pStyle w:val="Corpodeltesto1"/>
        <w:rPr>
          <w:rFonts w:ascii="Arial" w:hAnsi="Arial" w:cs="Arial"/>
          <w:b w:val="0"/>
          <w:color w:val="000000"/>
          <w:kern w:val="28"/>
          <w:sz w:val="21"/>
          <w:szCs w:val="21"/>
        </w:rPr>
      </w:pPr>
      <w:r w:rsidRPr="00513535">
        <w:rPr>
          <w:rFonts w:ascii="Arial" w:hAnsi="Arial" w:cs="Arial"/>
          <w:b w:val="0"/>
          <w:color w:val="000000"/>
          <w:kern w:val="28"/>
          <w:sz w:val="21"/>
          <w:szCs w:val="21"/>
        </w:rPr>
        <w:t xml:space="preserve">L’incremento su base mensile dell’import (+3,4%) è trainato in particolare dall’aumento degli acquisti di energia (+13,3%). Un contributo positivo deriva anche dall’aumento delle importazioni di beni strumentali (+2,9%), mentre </w:t>
      </w:r>
      <w:r w:rsidR="00AC59C0">
        <w:rPr>
          <w:rFonts w:ascii="Arial" w:hAnsi="Arial" w:cs="Arial"/>
          <w:b w:val="0"/>
          <w:color w:val="000000"/>
          <w:kern w:val="28"/>
          <w:sz w:val="21"/>
          <w:szCs w:val="21"/>
        </w:rPr>
        <w:t>sono</w:t>
      </w:r>
      <w:r w:rsidRPr="00513535">
        <w:rPr>
          <w:rFonts w:ascii="Arial" w:hAnsi="Arial" w:cs="Arial"/>
          <w:b w:val="0"/>
          <w:color w:val="000000"/>
          <w:kern w:val="28"/>
          <w:sz w:val="21"/>
          <w:szCs w:val="21"/>
        </w:rPr>
        <w:t xml:space="preserve"> in calo gli acquisti di beni di consumo durevoli (-2,9%) e beni intermedi (-0,4%).</w:t>
      </w:r>
    </w:p>
    <w:p w14:paraId="0143F2ED" w14:textId="77777777" w:rsidR="002F4710" w:rsidRDefault="002F4710" w:rsidP="002900F6">
      <w:pPr>
        <w:pStyle w:val="Corpodeltesto1"/>
        <w:rPr>
          <w:rFonts w:ascii="Arial" w:hAnsi="Arial" w:cs="Arial"/>
          <w:b w:val="0"/>
          <w:color w:val="000000"/>
          <w:kern w:val="28"/>
          <w:sz w:val="21"/>
          <w:szCs w:val="21"/>
        </w:rPr>
      </w:pPr>
    </w:p>
    <w:p w14:paraId="7DF9A35B" w14:textId="62C9E281" w:rsidR="00116AB6" w:rsidRDefault="00116AB6" w:rsidP="006073FC">
      <w:pPr>
        <w:pStyle w:val="Corpodeltesto1"/>
        <w:rPr>
          <w:rFonts w:ascii="Arial" w:hAnsi="Arial" w:cs="Arial"/>
          <w:b w:val="0"/>
          <w:color w:val="000000"/>
          <w:kern w:val="28"/>
          <w:sz w:val="21"/>
          <w:szCs w:val="21"/>
        </w:rPr>
      </w:pPr>
    </w:p>
    <w:p w14:paraId="7603481A" w14:textId="77777777" w:rsidR="007F58F4" w:rsidRDefault="007F58F4" w:rsidP="006073FC">
      <w:pPr>
        <w:pStyle w:val="Corpodeltesto1"/>
        <w:rPr>
          <w:rFonts w:ascii="Arial" w:hAnsi="Arial" w:cs="Arial"/>
          <w:b w:val="0"/>
          <w:color w:val="000000"/>
          <w:kern w:val="28"/>
          <w:sz w:val="21"/>
          <w:szCs w:val="21"/>
        </w:rPr>
      </w:pPr>
    </w:p>
    <w:p w14:paraId="37EFB4E3" w14:textId="595F7A2C" w:rsidR="00116AB6" w:rsidRDefault="00116AB6" w:rsidP="006073FC">
      <w:pPr>
        <w:pStyle w:val="Corpodeltesto1"/>
        <w:rPr>
          <w:rFonts w:ascii="Arial" w:hAnsi="Arial" w:cs="Arial"/>
          <w:b w:val="0"/>
          <w:color w:val="000000"/>
          <w:kern w:val="28"/>
          <w:sz w:val="21"/>
          <w:szCs w:val="21"/>
        </w:rPr>
      </w:pPr>
    </w:p>
    <w:p w14:paraId="3EDEC972" w14:textId="77777777" w:rsidR="002865B7" w:rsidRDefault="002865B7" w:rsidP="006073FC">
      <w:pPr>
        <w:pStyle w:val="Corpodeltesto1"/>
        <w:rPr>
          <w:rFonts w:ascii="Arial" w:hAnsi="Arial" w:cs="Arial"/>
          <w:b w:val="0"/>
          <w:color w:val="000000"/>
          <w:kern w:val="28"/>
          <w:sz w:val="21"/>
          <w:szCs w:val="21"/>
        </w:rPr>
      </w:pPr>
    </w:p>
    <w:p w14:paraId="01FB2B3B" w14:textId="77777777" w:rsidR="006073FC" w:rsidRDefault="006073FC" w:rsidP="00636140">
      <w:pPr>
        <w:pStyle w:val="Corpodeltesto1"/>
        <w:jc w:val="left"/>
        <w:rPr>
          <w:rFonts w:ascii="Arial Narrow" w:hAnsi="Arial Narrow" w:cs="Arial"/>
          <w:bCs/>
          <w:color w:val="E42618"/>
          <w:kern w:val="28"/>
          <w:sz w:val="22"/>
          <w:szCs w:val="22"/>
        </w:rPr>
      </w:pPr>
    </w:p>
    <w:p w14:paraId="1BB623D8" w14:textId="1ADE042B" w:rsidR="00A323E0" w:rsidRDefault="00A323E0" w:rsidP="00636140">
      <w:pPr>
        <w:pStyle w:val="Corpodeltesto1"/>
        <w:jc w:val="left"/>
        <w:rPr>
          <w:rFonts w:ascii="Arial Narrow" w:hAnsi="Arial Narrow" w:cs="Arial"/>
          <w:bCs/>
          <w:color w:val="E42618"/>
          <w:kern w:val="28"/>
          <w:sz w:val="22"/>
          <w:szCs w:val="22"/>
        </w:rPr>
      </w:pPr>
    </w:p>
    <w:p w14:paraId="774137C1" w14:textId="77777777" w:rsidR="002865B7" w:rsidRDefault="002865B7" w:rsidP="00636140">
      <w:pPr>
        <w:pStyle w:val="Corpodeltesto1"/>
        <w:jc w:val="left"/>
        <w:rPr>
          <w:rFonts w:ascii="Arial Narrow" w:hAnsi="Arial Narrow" w:cs="Arial"/>
          <w:bCs/>
          <w:color w:val="E42618"/>
          <w:kern w:val="28"/>
          <w:sz w:val="22"/>
          <w:szCs w:val="22"/>
        </w:rPr>
      </w:pPr>
    </w:p>
    <w:p w14:paraId="20D22D07" w14:textId="695183FC" w:rsidR="006D02F3" w:rsidRDefault="00831F78" w:rsidP="00636140">
      <w:pPr>
        <w:pStyle w:val="Corpodeltesto1"/>
        <w:jc w:val="left"/>
        <w:rPr>
          <w:rFonts w:ascii="Arial Narrow" w:hAnsi="Arial Narrow" w:cs="Arial"/>
          <w:bCs/>
          <w:color w:val="5F5F5F"/>
          <w:kern w:val="28"/>
          <w:sz w:val="22"/>
          <w:szCs w:val="22"/>
        </w:rPr>
      </w:pPr>
      <w:r w:rsidRPr="002A153A">
        <w:rPr>
          <w:rFonts w:ascii="Arial Narrow" w:hAnsi="Arial Narrow" w:cs="Arial"/>
          <w:bCs/>
          <w:color w:val="E42618"/>
          <w:kern w:val="28"/>
          <w:sz w:val="22"/>
          <w:szCs w:val="22"/>
        </w:rPr>
        <w:t xml:space="preserve">FIGURA </w:t>
      </w:r>
      <w:r w:rsidR="006D02F3">
        <w:rPr>
          <w:rFonts w:ascii="Arial Narrow" w:hAnsi="Arial Narrow" w:cs="Arial"/>
          <w:bCs/>
          <w:color w:val="E42618"/>
          <w:kern w:val="28"/>
          <w:sz w:val="22"/>
          <w:szCs w:val="22"/>
        </w:rPr>
        <w:t>6</w:t>
      </w:r>
      <w:r w:rsidRPr="00F527AD">
        <w:rPr>
          <w:rFonts w:ascii="Arial Narrow" w:hAnsi="Arial Narrow" w:cs="Arial"/>
          <w:bCs/>
          <w:color w:val="E42618"/>
          <w:kern w:val="28"/>
          <w:sz w:val="22"/>
          <w:szCs w:val="22"/>
        </w:rPr>
        <w:t>.</w:t>
      </w:r>
      <w:r w:rsidRPr="002A153A">
        <w:rPr>
          <w:rFonts w:ascii="Arial Narrow" w:hAnsi="Arial Narrow" w:cs="Arial"/>
          <w:bCs/>
          <w:color w:val="5F5F5F"/>
          <w:kern w:val="28"/>
          <w:sz w:val="22"/>
          <w:szCs w:val="22"/>
        </w:rPr>
        <w:t xml:space="preserve"> </w:t>
      </w:r>
      <w:r w:rsidR="00D40C17">
        <w:rPr>
          <w:rFonts w:ascii="Arial Narrow" w:hAnsi="Arial Narrow" w:cs="Arial"/>
          <w:bCs/>
          <w:color w:val="5F5F5F"/>
          <w:kern w:val="28"/>
          <w:sz w:val="22"/>
          <w:szCs w:val="22"/>
        </w:rPr>
        <w:t>GRADUATORIA DEI SETTORI DI ATTIVIT</w:t>
      </w:r>
      <w:r w:rsidR="00AB6CA8" w:rsidRPr="00AB6CA8">
        <w:rPr>
          <w:rFonts w:ascii="Arial Narrow" w:hAnsi="Arial Narrow" w:cs="Arial"/>
          <w:bCs/>
          <w:color w:val="5F5F5F"/>
          <w:kern w:val="28"/>
          <w:sz w:val="22"/>
          <w:szCs w:val="22"/>
        </w:rPr>
        <w:t>À</w:t>
      </w:r>
      <w:r w:rsidR="00D40C17">
        <w:rPr>
          <w:rFonts w:ascii="Arial Narrow" w:hAnsi="Arial Narrow" w:cs="Arial"/>
          <w:bCs/>
          <w:color w:val="5F5F5F"/>
          <w:kern w:val="28"/>
          <w:sz w:val="22"/>
          <w:szCs w:val="22"/>
        </w:rPr>
        <w:t xml:space="preserve"> ECONOMICA</w:t>
      </w:r>
      <w:r w:rsidR="00D40C17" w:rsidRPr="00516EEC">
        <w:rPr>
          <w:rFonts w:ascii="Arial Narrow" w:hAnsi="Arial Narrow" w:cs="Arial"/>
          <w:bCs/>
          <w:color w:val="5F5F5F"/>
          <w:kern w:val="28"/>
          <w:sz w:val="22"/>
          <w:szCs w:val="22"/>
        </w:rPr>
        <w:t xml:space="preserve"> </w:t>
      </w:r>
      <w:r w:rsidR="00D40C17">
        <w:rPr>
          <w:rFonts w:ascii="Arial Narrow" w:hAnsi="Arial Narrow" w:cs="Arial"/>
          <w:bCs/>
          <w:color w:val="5F5F5F"/>
          <w:kern w:val="28"/>
          <w:sz w:val="22"/>
          <w:szCs w:val="22"/>
        </w:rPr>
        <w:t>SECONDO I</w:t>
      </w:r>
      <w:r w:rsidR="00D40C17" w:rsidRPr="00516EEC">
        <w:rPr>
          <w:rFonts w:ascii="Arial Narrow" w:hAnsi="Arial Narrow" w:cs="Arial"/>
          <w:bCs/>
          <w:color w:val="5F5F5F"/>
          <w:kern w:val="28"/>
          <w:sz w:val="22"/>
          <w:szCs w:val="22"/>
        </w:rPr>
        <w:t xml:space="preserve"> CONTRIBUT</w:t>
      </w:r>
      <w:r w:rsidR="00D40C17">
        <w:rPr>
          <w:rFonts w:ascii="Arial Narrow" w:hAnsi="Arial Narrow" w:cs="Arial"/>
          <w:bCs/>
          <w:color w:val="5F5F5F"/>
          <w:kern w:val="28"/>
          <w:sz w:val="22"/>
          <w:szCs w:val="22"/>
        </w:rPr>
        <w:t>I ALL’EXPORT</w:t>
      </w:r>
    </w:p>
    <w:p w14:paraId="3A161C78" w14:textId="13A12209" w:rsidR="00282F5A" w:rsidRDefault="00B161A0" w:rsidP="00282F5A">
      <w:pPr>
        <w:pStyle w:val="Corpodeltesto1"/>
        <w:spacing w:after="120"/>
        <w:jc w:val="left"/>
        <w:rPr>
          <w:noProof/>
        </w:rPr>
      </w:pPr>
      <w:r>
        <w:rPr>
          <w:rFonts w:ascii="Arial Narrow" w:hAnsi="Arial Narrow" w:cs="Arial"/>
          <w:b w:val="0"/>
          <w:color w:val="5F5F5F"/>
          <w:kern w:val="28"/>
          <w:sz w:val="20"/>
          <w:szCs w:val="20"/>
        </w:rPr>
        <w:t>Luglio</w:t>
      </w:r>
      <w:r w:rsidR="00C829DA" w:rsidRPr="00C829DA">
        <w:rPr>
          <w:rFonts w:ascii="Arial Narrow" w:hAnsi="Arial Narrow" w:cs="Arial"/>
          <w:b w:val="0"/>
          <w:color w:val="5F5F5F"/>
          <w:kern w:val="28"/>
          <w:sz w:val="20"/>
          <w:szCs w:val="20"/>
        </w:rPr>
        <w:t xml:space="preserve"> </w:t>
      </w:r>
      <w:r w:rsidR="00470B67">
        <w:rPr>
          <w:rFonts w:ascii="Arial Narrow" w:hAnsi="Arial Narrow" w:cs="Arial"/>
          <w:b w:val="0"/>
          <w:color w:val="5F5F5F"/>
          <w:kern w:val="28"/>
          <w:sz w:val="20"/>
          <w:szCs w:val="20"/>
        </w:rPr>
        <w:t>2022</w:t>
      </w:r>
      <w:r w:rsidR="005C343A" w:rsidRPr="005C343A">
        <w:rPr>
          <w:rFonts w:ascii="Arial Narrow" w:hAnsi="Arial Narrow" w:cs="Arial"/>
          <w:b w:val="0"/>
          <w:color w:val="5F5F5F"/>
          <w:kern w:val="28"/>
          <w:sz w:val="20"/>
          <w:szCs w:val="20"/>
        </w:rPr>
        <w:t>, contributi alla variazione in punti percentuali e vari</w:t>
      </w:r>
      <w:r w:rsidR="00041D56">
        <w:rPr>
          <w:rFonts w:ascii="Arial Narrow" w:hAnsi="Arial Narrow" w:cs="Arial"/>
          <w:b w:val="0"/>
          <w:color w:val="5F5F5F"/>
          <w:kern w:val="28"/>
          <w:sz w:val="20"/>
          <w:szCs w:val="20"/>
        </w:rPr>
        <w:t>azioni</w:t>
      </w:r>
      <w:r w:rsidR="005C343A" w:rsidRPr="005C343A">
        <w:rPr>
          <w:rFonts w:ascii="Arial Narrow" w:hAnsi="Arial Narrow" w:cs="Arial"/>
          <w:b w:val="0"/>
          <w:color w:val="5F5F5F"/>
          <w:kern w:val="28"/>
          <w:sz w:val="20"/>
          <w:szCs w:val="20"/>
        </w:rPr>
        <w:t xml:space="preserve"> percentuali tendenziali</w:t>
      </w:r>
      <w:r w:rsidR="00282F5A">
        <w:rPr>
          <w:rFonts w:ascii="Arial Narrow" w:hAnsi="Arial Narrow" w:cs="Arial"/>
          <w:b w:val="0"/>
          <w:color w:val="5F5F5F"/>
          <w:kern w:val="28"/>
          <w:sz w:val="20"/>
          <w:szCs w:val="20"/>
        </w:rPr>
        <w:t xml:space="preserve"> </w:t>
      </w:r>
      <w:r w:rsidR="00282F5A" w:rsidRPr="00E35121">
        <w:rPr>
          <w:rFonts w:ascii="Arial Narrow" w:hAnsi="Arial Narrow" w:cs="Arial"/>
          <w:b w:val="0"/>
          <w:bCs/>
          <w:color w:val="5F5F5F"/>
          <w:kern w:val="28"/>
          <w:sz w:val="20"/>
          <w:szCs w:val="22"/>
        </w:rPr>
        <w:t>(a)</w:t>
      </w:r>
    </w:p>
    <w:p w14:paraId="7D4EF78A" w14:textId="27F1A41E" w:rsidR="004D2796" w:rsidRDefault="002662C0" w:rsidP="007F58F4">
      <w:pPr>
        <w:pStyle w:val="Corpodeltesto1"/>
        <w:spacing w:after="120"/>
        <w:jc w:val="left"/>
        <w:rPr>
          <w:rFonts w:ascii="Arial Narrow" w:hAnsi="Arial Narrow" w:cs="Arial"/>
          <w:b w:val="0"/>
          <w:color w:val="5F5F5F"/>
          <w:kern w:val="28"/>
          <w:sz w:val="20"/>
          <w:szCs w:val="20"/>
        </w:rPr>
      </w:pPr>
      <w:r>
        <w:rPr>
          <w:noProof/>
        </w:rPr>
        <w:drawing>
          <wp:inline distT="0" distB="0" distL="0" distR="0" wp14:anchorId="7C31CFE3" wp14:editId="02B60B6C">
            <wp:extent cx="6660000" cy="2160000"/>
            <wp:effectExtent l="0" t="0" r="7620" b="0"/>
            <wp:docPr id="17" name="Gra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97B6211" w14:textId="77777777" w:rsidR="0025622B" w:rsidRDefault="0025622B" w:rsidP="006D02F3">
      <w:pPr>
        <w:pStyle w:val="Corpodeltesto1"/>
        <w:jc w:val="left"/>
        <w:rPr>
          <w:rFonts w:ascii="Arial Narrow" w:hAnsi="Arial Narrow" w:cs="Arial"/>
          <w:bCs/>
          <w:color w:val="E42618"/>
          <w:kern w:val="28"/>
          <w:sz w:val="22"/>
          <w:szCs w:val="22"/>
        </w:rPr>
      </w:pPr>
    </w:p>
    <w:p w14:paraId="6D6E069B" w14:textId="77777777" w:rsidR="006D02F3" w:rsidRDefault="006D02F3" w:rsidP="006D02F3">
      <w:pPr>
        <w:pStyle w:val="Corpodeltesto1"/>
        <w:jc w:val="left"/>
        <w:rPr>
          <w:rFonts w:ascii="Arial Narrow" w:hAnsi="Arial Narrow" w:cs="Arial"/>
          <w:bCs/>
          <w:color w:val="5F5F5F"/>
          <w:kern w:val="28"/>
          <w:sz w:val="22"/>
          <w:szCs w:val="22"/>
        </w:rPr>
      </w:pPr>
      <w:r w:rsidRPr="002A153A">
        <w:rPr>
          <w:rFonts w:ascii="Arial Narrow" w:hAnsi="Arial Narrow" w:cs="Arial"/>
          <w:bCs/>
          <w:color w:val="E42618"/>
          <w:kern w:val="28"/>
          <w:sz w:val="22"/>
          <w:szCs w:val="22"/>
        </w:rPr>
        <w:t xml:space="preserve">FIGURA </w:t>
      </w:r>
      <w:r>
        <w:rPr>
          <w:rFonts w:ascii="Arial Narrow" w:hAnsi="Arial Narrow" w:cs="Arial"/>
          <w:bCs/>
          <w:color w:val="E42618"/>
          <w:kern w:val="28"/>
          <w:sz w:val="22"/>
          <w:szCs w:val="22"/>
        </w:rPr>
        <w:t>7</w:t>
      </w:r>
      <w:r w:rsidRPr="00F527AD">
        <w:rPr>
          <w:rFonts w:ascii="Arial Narrow" w:hAnsi="Arial Narrow" w:cs="Arial"/>
          <w:bCs/>
          <w:color w:val="E42618"/>
          <w:kern w:val="28"/>
          <w:sz w:val="22"/>
          <w:szCs w:val="22"/>
        </w:rPr>
        <w:t>.</w:t>
      </w:r>
      <w:r w:rsidRPr="002A153A">
        <w:rPr>
          <w:rFonts w:ascii="Arial Narrow" w:hAnsi="Arial Narrow" w:cs="Arial"/>
          <w:bCs/>
          <w:color w:val="5F5F5F"/>
          <w:kern w:val="28"/>
          <w:sz w:val="22"/>
          <w:szCs w:val="22"/>
        </w:rPr>
        <w:t xml:space="preserve"> </w:t>
      </w:r>
      <w:r w:rsidR="00D40C17">
        <w:rPr>
          <w:rFonts w:ascii="Arial Narrow" w:hAnsi="Arial Narrow" w:cs="Arial"/>
          <w:bCs/>
          <w:color w:val="5F5F5F"/>
          <w:kern w:val="28"/>
          <w:sz w:val="22"/>
          <w:szCs w:val="22"/>
        </w:rPr>
        <w:t>GRADUATORIA DEI SETTORI DI ATTIVIT</w:t>
      </w:r>
      <w:r w:rsidR="00C25C1A" w:rsidRPr="00AB6CA8">
        <w:rPr>
          <w:rFonts w:ascii="Arial Narrow" w:hAnsi="Arial Narrow" w:cs="Arial"/>
          <w:bCs/>
          <w:color w:val="5F5F5F"/>
          <w:kern w:val="28"/>
          <w:sz w:val="22"/>
          <w:szCs w:val="22"/>
        </w:rPr>
        <w:t>À</w:t>
      </w:r>
      <w:r w:rsidR="00D40C17">
        <w:rPr>
          <w:rFonts w:ascii="Arial Narrow" w:hAnsi="Arial Narrow" w:cs="Arial"/>
          <w:bCs/>
          <w:color w:val="5F5F5F"/>
          <w:kern w:val="28"/>
          <w:sz w:val="22"/>
          <w:szCs w:val="22"/>
        </w:rPr>
        <w:t xml:space="preserve"> ECONOMICA</w:t>
      </w:r>
      <w:r w:rsidR="00D40C17" w:rsidRPr="00516EEC">
        <w:rPr>
          <w:rFonts w:ascii="Arial Narrow" w:hAnsi="Arial Narrow" w:cs="Arial"/>
          <w:bCs/>
          <w:color w:val="5F5F5F"/>
          <w:kern w:val="28"/>
          <w:sz w:val="22"/>
          <w:szCs w:val="22"/>
        </w:rPr>
        <w:t xml:space="preserve"> </w:t>
      </w:r>
      <w:r w:rsidR="00D40C17">
        <w:rPr>
          <w:rFonts w:ascii="Arial Narrow" w:hAnsi="Arial Narrow" w:cs="Arial"/>
          <w:bCs/>
          <w:color w:val="5F5F5F"/>
          <w:kern w:val="28"/>
          <w:sz w:val="22"/>
          <w:szCs w:val="22"/>
        </w:rPr>
        <w:t>SECONDO I</w:t>
      </w:r>
      <w:r w:rsidR="00D40C17" w:rsidRPr="00516EEC">
        <w:rPr>
          <w:rFonts w:ascii="Arial Narrow" w:hAnsi="Arial Narrow" w:cs="Arial"/>
          <w:bCs/>
          <w:color w:val="5F5F5F"/>
          <w:kern w:val="28"/>
          <w:sz w:val="22"/>
          <w:szCs w:val="22"/>
        </w:rPr>
        <w:t xml:space="preserve"> CONTRIBUT</w:t>
      </w:r>
      <w:r w:rsidR="00D40C17">
        <w:rPr>
          <w:rFonts w:ascii="Arial Narrow" w:hAnsi="Arial Narrow" w:cs="Arial"/>
          <w:bCs/>
          <w:color w:val="5F5F5F"/>
          <w:kern w:val="28"/>
          <w:sz w:val="22"/>
          <w:szCs w:val="22"/>
        </w:rPr>
        <w:t>I ALL’IMPORT</w:t>
      </w:r>
    </w:p>
    <w:p w14:paraId="31005FBF" w14:textId="612C7168" w:rsidR="00DD774B" w:rsidRDefault="00B161A0" w:rsidP="00DD774B">
      <w:pPr>
        <w:pStyle w:val="Corpodeltesto1"/>
        <w:spacing w:after="120"/>
        <w:jc w:val="left"/>
        <w:rPr>
          <w:rFonts w:ascii="Arial Narrow" w:hAnsi="Arial Narrow" w:cs="Arial"/>
          <w:b w:val="0"/>
          <w:bCs/>
          <w:color w:val="5F5F5F"/>
          <w:kern w:val="28"/>
          <w:sz w:val="20"/>
          <w:szCs w:val="22"/>
        </w:rPr>
      </w:pPr>
      <w:r>
        <w:rPr>
          <w:rFonts w:ascii="Arial Narrow" w:hAnsi="Arial Narrow" w:cs="Arial"/>
          <w:b w:val="0"/>
          <w:color w:val="5F5F5F"/>
          <w:kern w:val="28"/>
          <w:sz w:val="20"/>
          <w:szCs w:val="20"/>
        </w:rPr>
        <w:t>Luglio</w:t>
      </w:r>
      <w:r w:rsidRPr="00C829DA">
        <w:rPr>
          <w:rFonts w:ascii="Arial Narrow" w:hAnsi="Arial Narrow" w:cs="Arial"/>
          <w:b w:val="0"/>
          <w:color w:val="5F5F5F"/>
          <w:kern w:val="28"/>
          <w:sz w:val="20"/>
          <w:szCs w:val="20"/>
        </w:rPr>
        <w:t xml:space="preserve"> </w:t>
      </w:r>
      <w:r w:rsidR="00470B67">
        <w:rPr>
          <w:rFonts w:ascii="Arial Narrow" w:hAnsi="Arial Narrow" w:cs="Arial"/>
          <w:b w:val="0"/>
          <w:color w:val="5F5F5F"/>
          <w:kern w:val="28"/>
          <w:sz w:val="20"/>
          <w:szCs w:val="20"/>
        </w:rPr>
        <w:t>2022</w:t>
      </w:r>
      <w:r w:rsidR="00041D56" w:rsidRPr="005C343A">
        <w:rPr>
          <w:rFonts w:ascii="Arial Narrow" w:hAnsi="Arial Narrow" w:cs="Arial"/>
          <w:b w:val="0"/>
          <w:color w:val="5F5F5F"/>
          <w:kern w:val="28"/>
          <w:sz w:val="20"/>
          <w:szCs w:val="20"/>
        </w:rPr>
        <w:t>, contributi alla variazione in punti perc</w:t>
      </w:r>
      <w:r w:rsidR="00592CBA" w:rsidRPr="005C343A">
        <w:rPr>
          <w:rFonts w:ascii="Arial Narrow" w:hAnsi="Arial Narrow" w:cs="Arial"/>
          <w:b w:val="0"/>
          <w:color w:val="5F5F5F"/>
          <w:kern w:val="28"/>
          <w:sz w:val="20"/>
          <w:szCs w:val="20"/>
        </w:rPr>
        <w:t>entuali e vari</w:t>
      </w:r>
      <w:r w:rsidR="00592CBA">
        <w:rPr>
          <w:rFonts w:ascii="Arial Narrow" w:hAnsi="Arial Narrow" w:cs="Arial"/>
          <w:b w:val="0"/>
          <w:color w:val="5F5F5F"/>
          <w:kern w:val="28"/>
          <w:sz w:val="20"/>
          <w:szCs w:val="20"/>
        </w:rPr>
        <w:t>azioni</w:t>
      </w:r>
      <w:r w:rsidR="00592CBA" w:rsidRPr="005C343A">
        <w:rPr>
          <w:rFonts w:ascii="Arial Narrow" w:hAnsi="Arial Narrow" w:cs="Arial"/>
          <w:b w:val="0"/>
          <w:color w:val="5F5F5F"/>
          <w:kern w:val="28"/>
          <w:sz w:val="20"/>
          <w:szCs w:val="20"/>
        </w:rPr>
        <w:t xml:space="preserve"> percentuali tendenziali</w:t>
      </w:r>
      <w:r w:rsidR="00592CBA">
        <w:rPr>
          <w:rFonts w:ascii="Arial Narrow" w:hAnsi="Arial Narrow" w:cs="Arial"/>
          <w:b w:val="0"/>
          <w:color w:val="5F5F5F"/>
          <w:kern w:val="28"/>
          <w:sz w:val="20"/>
          <w:szCs w:val="20"/>
        </w:rPr>
        <w:t xml:space="preserve"> </w:t>
      </w:r>
      <w:r w:rsidR="00DD774B">
        <w:rPr>
          <w:rFonts w:ascii="Arial Narrow" w:hAnsi="Arial Narrow" w:cs="Arial"/>
          <w:b w:val="0"/>
          <w:bCs/>
          <w:color w:val="5F5F5F"/>
          <w:kern w:val="28"/>
          <w:sz w:val="20"/>
          <w:szCs w:val="22"/>
        </w:rPr>
        <w:t>(a)</w:t>
      </w:r>
    </w:p>
    <w:p w14:paraId="62220090" w14:textId="078099AF" w:rsidR="00BC59CE" w:rsidRDefault="002662C0" w:rsidP="00DD774B">
      <w:pPr>
        <w:pStyle w:val="Corpodeltesto1"/>
        <w:spacing w:after="120"/>
        <w:jc w:val="left"/>
        <w:rPr>
          <w:rFonts w:ascii="Arial Narrow" w:hAnsi="Arial Narrow" w:cs="Arial"/>
          <w:b w:val="0"/>
          <w:bCs/>
          <w:color w:val="5F5F5F"/>
          <w:kern w:val="28"/>
          <w:sz w:val="20"/>
          <w:szCs w:val="22"/>
        </w:rPr>
      </w:pPr>
      <w:r>
        <w:rPr>
          <w:noProof/>
        </w:rPr>
        <w:drawing>
          <wp:inline distT="0" distB="0" distL="0" distR="0" wp14:anchorId="6B94717D" wp14:editId="2443E8A5">
            <wp:extent cx="6660000" cy="2160000"/>
            <wp:effectExtent l="0" t="0" r="7620" b="0"/>
            <wp:docPr id="19" name="Gra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E3AD43" w14:textId="478B2528" w:rsidR="00282F5A" w:rsidRDefault="00282F5A" w:rsidP="00282F5A">
      <w:pPr>
        <w:spacing w:after="120"/>
        <w:jc w:val="both"/>
        <w:rPr>
          <w:rFonts w:ascii="Arial Narrow" w:hAnsi="Arial Narrow" w:cs="Calibri"/>
          <w:sz w:val="15"/>
          <w:szCs w:val="15"/>
        </w:rPr>
      </w:pPr>
      <w:r w:rsidRPr="009F2C56">
        <w:rPr>
          <w:rFonts w:ascii="Arial Narrow" w:hAnsi="Arial Narrow" w:cs="Calibri"/>
          <w:sz w:val="15"/>
          <w:szCs w:val="15"/>
        </w:rPr>
        <w:t xml:space="preserve">(a) </w:t>
      </w:r>
      <w:r w:rsidRPr="00AC09DF">
        <w:rPr>
          <w:rFonts w:ascii="Arial Narrow" w:hAnsi="Arial Narrow" w:cs="Calibri"/>
          <w:sz w:val="15"/>
          <w:szCs w:val="15"/>
        </w:rPr>
        <w:t>Limitatamente ai settori la cui quota sull’export (import) per l’anno 20</w:t>
      </w:r>
      <w:r w:rsidR="001E77DD">
        <w:rPr>
          <w:rFonts w:ascii="Arial Narrow" w:hAnsi="Arial Narrow" w:cs="Calibri"/>
          <w:sz w:val="15"/>
          <w:szCs w:val="15"/>
        </w:rPr>
        <w:t>2</w:t>
      </w:r>
      <w:r w:rsidR="0075218A">
        <w:rPr>
          <w:rFonts w:ascii="Arial Narrow" w:hAnsi="Arial Narrow" w:cs="Calibri"/>
          <w:sz w:val="15"/>
          <w:szCs w:val="15"/>
        </w:rPr>
        <w:t>1</w:t>
      </w:r>
      <w:r w:rsidRPr="00AC09DF">
        <w:rPr>
          <w:rFonts w:ascii="Arial Narrow" w:hAnsi="Arial Narrow" w:cs="Calibri"/>
          <w:sz w:val="15"/>
          <w:szCs w:val="15"/>
        </w:rPr>
        <w:t xml:space="preserve"> è superiore all’1,5%.</w:t>
      </w:r>
    </w:p>
    <w:p w14:paraId="3F7ACA5E" w14:textId="534E6710" w:rsidR="00971A17" w:rsidRDefault="00971A17" w:rsidP="00E224CF">
      <w:pPr>
        <w:spacing w:after="120"/>
        <w:jc w:val="both"/>
        <w:rPr>
          <w:rFonts w:ascii="Arial" w:hAnsi="Arial"/>
          <w:sz w:val="21"/>
          <w:szCs w:val="21"/>
        </w:rPr>
      </w:pPr>
      <w:r w:rsidRPr="009F2C56">
        <w:rPr>
          <w:rFonts w:ascii="Arial Narrow" w:hAnsi="Arial Narrow" w:cs="Calibri"/>
          <w:sz w:val="15"/>
          <w:szCs w:val="15"/>
        </w:rPr>
        <w:t>Abbreviazioni</w:t>
      </w:r>
      <w:r>
        <w:rPr>
          <w:rFonts w:ascii="Arial Narrow" w:hAnsi="Arial Narrow"/>
          <w:sz w:val="15"/>
          <w:szCs w:val="15"/>
        </w:rPr>
        <w:t xml:space="preserve"> dei settori di attività economica</w:t>
      </w:r>
      <w:r w:rsidRPr="004D645B">
        <w:rPr>
          <w:rFonts w:ascii="Arial Narrow" w:hAnsi="Arial Narrow"/>
          <w:sz w:val="15"/>
          <w:szCs w:val="15"/>
        </w:rPr>
        <w:t>:</w:t>
      </w:r>
      <w:r w:rsidRPr="004D645B">
        <w:rPr>
          <w:rFonts w:ascii="Arial Narrow" w:hAnsi="Arial Narrow" w:cs="Calibri"/>
          <w:sz w:val="15"/>
          <w:szCs w:val="15"/>
        </w:rPr>
        <w:t xml:space="preserve"> </w:t>
      </w:r>
      <w:r w:rsidRPr="00456679">
        <w:rPr>
          <w:rFonts w:ascii="Arial Narrow" w:hAnsi="Arial Narrow" w:cs="Calibri"/>
          <w:sz w:val="15"/>
          <w:szCs w:val="15"/>
        </w:rPr>
        <w:t>Metalli</w:t>
      </w:r>
      <w:r w:rsidRPr="004D645B">
        <w:rPr>
          <w:rFonts w:ascii="Arial Narrow" w:hAnsi="Arial Narrow" w:cs="Calibri"/>
          <w:sz w:val="15"/>
          <w:szCs w:val="15"/>
        </w:rPr>
        <w:t>=</w:t>
      </w:r>
      <w:r w:rsidRPr="00456679">
        <w:rPr>
          <w:rFonts w:ascii="Arial Narrow" w:hAnsi="Arial Narrow" w:cs="Calibri"/>
          <w:sz w:val="15"/>
          <w:szCs w:val="15"/>
        </w:rPr>
        <w:t>Metalli di base e prodotti in metallo, esclusi macchine e impianti</w:t>
      </w:r>
      <w:r w:rsidRPr="004D645B">
        <w:rPr>
          <w:rFonts w:ascii="Arial Narrow" w:hAnsi="Arial Narrow" w:cs="Calibri"/>
          <w:sz w:val="15"/>
          <w:szCs w:val="15"/>
        </w:rPr>
        <w:t xml:space="preserve">; </w:t>
      </w:r>
      <w:r w:rsidRPr="00456679">
        <w:rPr>
          <w:rFonts w:ascii="Arial Narrow" w:hAnsi="Arial Narrow" w:cs="Calibri"/>
          <w:sz w:val="15"/>
          <w:szCs w:val="15"/>
        </w:rPr>
        <w:t>Altri m</w:t>
      </w:r>
      <w:r w:rsidR="00A61899">
        <w:rPr>
          <w:rFonts w:ascii="Arial Narrow" w:hAnsi="Arial Narrow" w:cs="Calibri"/>
          <w:sz w:val="15"/>
          <w:szCs w:val="15"/>
        </w:rPr>
        <w:t>ezzi</w:t>
      </w:r>
      <w:r w:rsidRPr="00456679">
        <w:rPr>
          <w:rFonts w:ascii="Arial Narrow" w:hAnsi="Arial Narrow" w:cs="Calibri"/>
          <w:sz w:val="15"/>
          <w:szCs w:val="15"/>
        </w:rPr>
        <w:t xml:space="preserve"> trasp</w:t>
      </w:r>
      <w:r w:rsidR="00A61899">
        <w:rPr>
          <w:rFonts w:ascii="Arial Narrow" w:hAnsi="Arial Narrow" w:cs="Calibri"/>
          <w:sz w:val="15"/>
          <w:szCs w:val="15"/>
        </w:rPr>
        <w:t>orto</w:t>
      </w:r>
      <w:r w:rsidRPr="004D645B">
        <w:rPr>
          <w:rFonts w:ascii="Arial Narrow" w:hAnsi="Arial Narrow" w:cs="Calibri"/>
          <w:sz w:val="15"/>
          <w:szCs w:val="15"/>
        </w:rPr>
        <w:t>=</w:t>
      </w:r>
      <w:r w:rsidRPr="00456679">
        <w:rPr>
          <w:rFonts w:ascii="Arial Narrow" w:hAnsi="Arial Narrow" w:cs="Calibri"/>
          <w:sz w:val="15"/>
          <w:szCs w:val="15"/>
        </w:rPr>
        <w:t>Mezzi di trasporto (</w:t>
      </w:r>
      <w:proofErr w:type="spellStart"/>
      <w:r w:rsidRPr="00456679">
        <w:rPr>
          <w:rFonts w:ascii="Arial Narrow" w:hAnsi="Arial Narrow" w:cs="Calibri"/>
          <w:sz w:val="15"/>
          <w:szCs w:val="15"/>
        </w:rPr>
        <w:t>escl</w:t>
      </w:r>
      <w:proofErr w:type="spellEnd"/>
      <w:r w:rsidRPr="00456679">
        <w:rPr>
          <w:rFonts w:ascii="Arial Narrow" w:hAnsi="Arial Narrow" w:cs="Calibri"/>
          <w:sz w:val="15"/>
          <w:szCs w:val="15"/>
        </w:rPr>
        <w:t>. autoveicoli)</w:t>
      </w:r>
      <w:r w:rsidRPr="004D645B">
        <w:rPr>
          <w:rFonts w:ascii="Arial Narrow" w:hAnsi="Arial Narrow" w:cs="Calibri"/>
          <w:sz w:val="15"/>
          <w:szCs w:val="15"/>
        </w:rPr>
        <w:t xml:space="preserve">; </w:t>
      </w:r>
      <w:r w:rsidRPr="00456679">
        <w:rPr>
          <w:rFonts w:ascii="Arial Narrow" w:hAnsi="Arial Narrow" w:cs="Calibri"/>
          <w:sz w:val="15"/>
          <w:szCs w:val="15"/>
        </w:rPr>
        <w:t>Macchinari</w:t>
      </w:r>
      <w:r w:rsidRPr="004D645B">
        <w:rPr>
          <w:rFonts w:ascii="Arial Narrow" w:hAnsi="Arial Narrow" w:cs="Calibri"/>
          <w:sz w:val="15"/>
          <w:szCs w:val="15"/>
        </w:rPr>
        <w:t>=</w:t>
      </w:r>
      <w:r w:rsidR="008D0F0F">
        <w:rPr>
          <w:rFonts w:ascii="Arial Narrow" w:hAnsi="Arial Narrow" w:cs="Calibri"/>
          <w:sz w:val="15"/>
          <w:szCs w:val="15"/>
        </w:rPr>
        <w:t>Macchinari</w:t>
      </w:r>
      <w:r w:rsidRPr="00456679">
        <w:rPr>
          <w:rFonts w:ascii="Arial Narrow" w:hAnsi="Arial Narrow" w:cs="Calibri"/>
          <w:sz w:val="15"/>
          <w:szCs w:val="15"/>
        </w:rPr>
        <w:t xml:space="preserve"> e apparecchi </w:t>
      </w:r>
      <w:proofErr w:type="spellStart"/>
      <w:r w:rsidRPr="00456679">
        <w:rPr>
          <w:rFonts w:ascii="Arial Narrow" w:hAnsi="Arial Narrow" w:cs="Calibri"/>
          <w:sz w:val="15"/>
          <w:szCs w:val="15"/>
        </w:rPr>
        <w:t>n.c.a</w:t>
      </w:r>
      <w:proofErr w:type="spellEnd"/>
      <w:r w:rsidRPr="00456679">
        <w:rPr>
          <w:rFonts w:ascii="Arial Narrow" w:hAnsi="Arial Narrow" w:cs="Calibri"/>
          <w:sz w:val="15"/>
          <w:szCs w:val="15"/>
        </w:rPr>
        <w:t>.</w:t>
      </w:r>
      <w:r w:rsidRPr="004D645B">
        <w:rPr>
          <w:rFonts w:ascii="Arial Narrow" w:hAnsi="Arial Narrow" w:cs="Calibri"/>
          <w:sz w:val="15"/>
          <w:szCs w:val="15"/>
        </w:rPr>
        <w:t xml:space="preserve">; </w:t>
      </w:r>
      <w:r w:rsidRPr="00456679">
        <w:rPr>
          <w:rFonts w:ascii="Arial Narrow" w:hAnsi="Arial Narrow" w:cs="Calibri"/>
          <w:sz w:val="15"/>
          <w:szCs w:val="15"/>
        </w:rPr>
        <w:t>Carta-stampa</w:t>
      </w:r>
      <w:r w:rsidRPr="004D645B">
        <w:rPr>
          <w:rFonts w:ascii="Arial Narrow" w:hAnsi="Arial Narrow" w:cs="Calibri"/>
          <w:sz w:val="15"/>
          <w:szCs w:val="15"/>
        </w:rPr>
        <w:t>=</w:t>
      </w:r>
      <w:r w:rsidRPr="00456679">
        <w:rPr>
          <w:rFonts w:ascii="Arial Narrow" w:hAnsi="Arial Narrow" w:cs="Calibri"/>
          <w:sz w:val="15"/>
          <w:szCs w:val="15"/>
        </w:rPr>
        <w:t>Carta e prodotti di carta; prodotti della stampa e della riproduzione di supporti registrati</w:t>
      </w:r>
      <w:r w:rsidRPr="004D645B">
        <w:rPr>
          <w:rFonts w:ascii="Arial Narrow" w:hAnsi="Arial Narrow" w:cs="Calibri"/>
          <w:sz w:val="15"/>
          <w:szCs w:val="15"/>
        </w:rPr>
        <w:t xml:space="preserve">; </w:t>
      </w:r>
      <w:r w:rsidRPr="00456679">
        <w:rPr>
          <w:rFonts w:ascii="Arial Narrow" w:hAnsi="Arial Narrow" w:cs="Calibri"/>
          <w:sz w:val="15"/>
          <w:szCs w:val="15"/>
        </w:rPr>
        <w:t>Chimica</w:t>
      </w:r>
      <w:r w:rsidRPr="004D645B">
        <w:rPr>
          <w:rFonts w:ascii="Arial Narrow" w:hAnsi="Arial Narrow" w:cs="Calibri"/>
          <w:sz w:val="15"/>
          <w:szCs w:val="15"/>
        </w:rPr>
        <w:t>=</w:t>
      </w:r>
      <w:r w:rsidRPr="00456679">
        <w:rPr>
          <w:rFonts w:ascii="Arial Narrow" w:hAnsi="Arial Narrow" w:cs="Calibri"/>
          <w:sz w:val="15"/>
          <w:szCs w:val="15"/>
        </w:rPr>
        <w:t>Sostanze e prodotti chimici</w:t>
      </w:r>
      <w:r w:rsidRPr="004D645B">
        <w:rPr>
          <w:rFonts w:ascii="Arial Narrow" w:hAnsi="Arial Narrow" w:cs="Calibri"/>
          <w:sz w:val="15"/>
          <w:szCs w:val="15"/>
        </w:rPr>
        <w:t xml:space="preserve">; </w:t>
      </w:r>
      <w:r w:rsidR="00A61899">
        <w:rPr>
          <w:rFonts w:ascii="Arial Narrow" w:hAnsi="Arial Narrow" w:cs="Calibri"/>
          <w:sz w:val="15"/>
          <w:szCs w:val="15"/>
        </w:rPr>
        <w:t>Minerali non metalliferi</w:t>
      </w:r>
      <w:r w:rsidRPr="004D645B">
        <w:rPr>
          <w:rFonts w:ascii="Arial Narrow" w:hAnsi="Arial Narrow" w:cs="Calibri"/>
          <w:sz w:val="15"/>
          <w:szCs w:val="15"/>
        </w:rPr>
        <w:t>=</w:t>
      </w:r>
      <w:r w:rsidRPr="00456679">
        <w:rPr>
          <w:rFonts w:ascii="Arial Narrow" w:hAnsi="Arial Narrow" w:cs="Calibri"/>
          <w:sz w:val="15"/>
          <w:szCs w:val="15"/>
        </w:rPr>
        <w:t>Altri prodotti della lavorazione di minerali non metalliferi</w:t>
      </w:r>
      <w:r w:rsidRPr="004D645B">
        <w:rPr>
          <w:rFonts w:ascii="Arial Narrow" w:hAnsi="Arial Narrow" w:cs="Calibri"/>
          <w:sz w:val="15"/>
          <w:szCs w:val="15"/>
        </w:rPr>
        <w:t xml:space="preserve">; </w:t>
      </w:r>
      <w:r w:rsidR="00A61899">
        <w:rPr>
          <w:rFonts w:ascii="Arial Narrow" w:hAnsi="Arial Narrow" w:cs="Calibri"/>
          <w:sz w:val="15"/>
          <w:szCs w:val="15"/>
        </w:rPr>
        <w:t>Altra</w:t>
      </w:r>
      <w:r w:rsidRPr="00456679">
        <w:rPr>
          <w:rFonts w:ascii="Arial Narrow" w:hAnsi="Arial Narrow" w:cs="Calibri"/>
          <w:sz w:val="15"/>
          <w:szCs w:val="15"/>
        </w:rPr>
        <w:t xml:space="preserve"> manif</w:t>
      </w:r>
      <w:r w:rsidR="00A61899">
        <w:rPr>
          <w:rFonts w:ascii="Arial Narrow" w:hAnsi="Arial Narrow" w:cs="Calibri"/>
          <w:sz w:val="15"/>
          <w:szCs w:val="15"/>
        </w:rPr>
        <w:t>attura</w:t>
      </w:r>
      <w:r w:rsidRPr="004D645B">
        <w:rPr>
          <w:rFonts w:ascii="Arial Narrow" w:hAnsi="Arial Narrow" w:cs="Calibri"/>
          <w:sz w:val="15"/>
          <w:szCs w:val="15"/>
        </w:rPr>
        <w:t>=</w:t>
      </w:r>
      <w:r w:rsidR="00A61899" w:rsidRPr="00A61899">
        <w:rPr>
          <w:rFonts w:ascii="Arial Narrow" w:hAnsi="Arial Narrow" w:cs="Calibri"/>
          <w:sz w:val="15"/>
          <w:szCs w:val="15"/>
        </w:rPr>
        <w:t xml:space="preserve">Articoli sportivi, giochi, </w:t>
      </w:r>
      <w:proofErr w:type="spellStart"/>
      <w:r w:rsidR="00A61899" w:rsidRPr="00A61899">
        <w:rPr>
          <w:rFonts w:ascii="Arial Narrow" w:hAnsi="Arial Narrow" w:cs="Calibri"/>
          <w:sz w:val="15"/>
          <w:szCs w:val="15"/>
        </w:rPr>
        <w:t>strum</w:t>
      </w:r>
      <w:proofErr w:type="spellEnd"/>
      <w:r w:rsidR="00A61899" w:rsidRPr="00A61899">
        <w:rPr>
          <w:rFonts w:ascii="Arial Narrow" w:hAnsi="Arial Narrow" w:cs="Calibri"/>
          <w:sz w:val="15"/>
          <w:szCs w:val="15"/>
        </w:rPr>
        <w:t xml:space="preserve">. musicali, preziosi, </w:t>
      </w:r>
      <w:proofErr w:type="spellStart"/>
      <w:r w:rsidR="00A61899" w:rsidRPr="00A61899">
        <w:rPr>
          <w:rFonts w:ascii="Arial Narrow" w:hAnsi="Arial Narrow" w:cs="Calibri"/>
          <w:sz w:val="15"/>
          <w:szCs w:val="15"/>
        </w:rPr>
        <w:t>strum</w:t>
      </w:r>
      <w:proofErr w:type="spellEnd"/>
      <w:r w:rsidR="00A61899" w:rsidRPr="00A61899">
        <w:rPr>
          <w:rFonts w:ascii="Arial Narrow" w:hAnsi="Arial Narrow" w:cs="Calibri"/>
          <w:sz w:val="15"/>
          <w:szCs w:val="15"/>
        </w:rPr>
        <w:t xml:space="preserve">. medici e altri prodotti </w:t>
      </w:r>
      <w:proofErr w:type="spellStart"/>
      <w:r w:rsidR="00A61899" w:rsidRPr="00A61899">
        <w:rPr>
          <w:rFonts w:ascii="Arial Narrow" w:hAnsi="Arial Narrow" w:cs="Calibri"/>
          <w:sz w:val="15"/>
          <w:szCs w:val="15"/>
        </w:rPr>
        <w:t>n.c.a</w:t>
      </w:r>
      <w:proofErr w:type="spellEnd"/>
      <w:r w:rsidR="00A61899" w:rsidRPr="00A61899">
        <w:rPr>
          <w:rFonts w:ascii="Arial Narrow" w:hAnsi="Arial Narrow" w:cs="Calibri"/>
          <w:sz w:val="15"/>
          <w:szCs w:val="15"/>
        </w:rPr>
        <w:t>.</w:t>
      </w:r>
      <w:r w:rsidRPr="004D645B">
        <w:rPr>
          <w:rFonts w:ascii="Arial Narrow" w:hAnsi="Arial Narrow" w:cs="Calibri"/>
          <w:sz w:val="15"/>
          <w:szCs w:val="15"/>
        </w:rPr>
        <w:t xml:space="preserve">; </w:t>
      </w:r>
      <w:r w:rsidRPr="00456679">
        <w:rPr>
          <w:rFonts w:ascii="Arial Narrow" w:hAnsi="Arial Narrow" w:cs="Calibri"/>
          <w:sz w:val="15"/>
          <w:szCs w:val="15"/>
        </w:rPr>
        <w:t>Gomma-plastica</w:t>
      </w:r>
      <w:r w:rsidRPr="004D645B">
        <w:rPr>
          <w:rFonts w:ascii="Arial Narrow" w:hAnsi="Arial Narrow" w:cs="Calibri"/>
          <w:sz w:val="15"/>
          <w:szCs w:val="15"/>
        </w:rPr>
        <w:t>=</w:t>
      </w:r>
      <w:r w:rsidRPr="00456679">
        <w:rPr>
          <w:rFonts w:ascii="Arial Narrow" w:hAnsi="Arial Narrow" w:cs="Calibri"/>
          <w:sz w:val="15"/>
          <w:szCs w:val="15"/>
        </w:rPr>
        <w:t>Articoli in gomma e materie plastiche</w:t>
      </w:r>
      <w:r w:rsidRPr="004D645B">
        <w:rPr>
          <w:rFonts w:ascii="Arial Narrow" w:hAnsi="Arial Narrow" w:cs="Calibri"/>
          <w:sz w:val="15"/>
          <w:szCs w:val="15"/>
        </w:rPr>
        <w:t xml:space="preserve">; </w:t>
      </w:r>
      <w:r w:rsidRPr="00456679">
        <w:rPr>
          <w:rFonts w:ascii="Arial Narrow" w:hAnsi="Arial Narrow" w:cs="Calibri"/>
          <w:sz w:val="15"/>
          <w:szCs w:val="15"/>
        </w:rPr>
        <w:t>Pelletteria</w:t>
      </w:r>
      <w:r w:rsidRPr="004D645B">
        <w:rPr>
          <w:rFonts w:ascii="Arial Narrow" w:hAnsi="Arial Narrow" w:cs="Calibri"/>
          <w:sz w:val="15"/>
          <w:szCs w:val="15"/>
        </w:rPr>
        <w:t>=A</w:t>
      </w:r>
      <w:r w:rsidRPr="00456679">
        <w:rPr>
          <w:rFonts w:ascii="Arial Narrow" w:hAnsi="Arial Narrow" w:cs="Calibri"/>
          <w:sz w:val="15"/>
          <w:szCs w:val="15"/>
        </w:rPr>
        <w:t>rticoli in pelle (escluso abbigliamento) e simili</w:t>
      </w:r>
      <w:r w:rsidRPr="004D645B">
        <w:rPr>
          <w:rFonts w:ascii="Arial Narrow" w:hAnsi="Arial Narrow" w:cs="Calibri"/>
          <w:sz w:val="15"/>
          <w:szCs w:val="15"/>
        </w:rPr>
        <w:t xml:space="preserve">; </w:t>
      </w:r>
      <w:r w:rsidRPr="00456679">
        <w:rPr>
          <w:rFonts w:ascii="Arial Narrow" w:hAnsi="Arial Narrow" w:cs="Calibri"/>
          <w:sz w:val="15"/>
          <w:szCs w:val="15"/>
        </w:rPr>
        <w:t>Abbigliamento</w:t>
      </w:r>
      <w:r w:rsidRPr="004D645B">
        <w:rPr>
          <w:rFonts w:ascii="Arial Narrow" w:hAnsi="Arial Narrow" w:cs="Calibri"/>
          <w:sz w:val="15"/>
          <w:szCs w:val="15"/>
        </w:rPr>
        <w:t>=</w:t>
      </w:r>
      <w:r w:rsidRPr="00456679">
        <w:rPr>
          <w:rFonts w:ascii="Arial Narrow" w:hAnsi="Arial Narrow" w:cs="Calibri"/>
          <w:sz w:val="15"/>
          <w:szCs w:val="15"/>
        </w:rPr>
        <w:t>Articoli di abbigliamento (anche in pelle e in pelliccia)</w:t>
      </w:r>
      <w:r w:rsidRPr="004D645B">
        <w:rPr>
          <w:rFonts w:ascii="Arial Narrow" w:hAnsi="Arial Narrow" w:cs="Calibri"/>
          <w:sz w:val="15"/>
          <w:szCs w:val="15"/>
        </w:rPr>
        <w:t xml:space="preserve">; </w:t>
      </w:r>
      <w:r w:rsidRPr="00456679">
        <w:rPr>
          <w:rFonts w:ascii="Arial Narrow" w:hAnsi="Arial Narrow" w:cs="Calibri"/>
          <w:sz w:val="15"/>
          <w:szCs w:val="15"/>
        </w:rPr>
        <w:t>Tessili</w:t>
      </w:r>
      <w:r w:rsidRPr="004D645B">
        <w:rPr>
          <w:rFonts w:ascii="Arial Narrow" w:hAnsi="Arial Narrow" w:cs="Calibri"/>
          <w:sz w:val="15"/>
          <w:szCs w:val="15"/>
        </w:rPr>
        <w:t>=</w:t>
      </w:r>
      <w:r w:rsidRPr="00456679">
        <w:rPr>
          <w:rFonts w:ascii="Arial Narrow" w:hAnsi="Arial Narrow" w:cs="Calibri"/>
          <w:sz w:val="15"/>
          <w:szCs w:val="15"/>
        </w:rPr>
        <w:t>Prodotti tessili</w:t>
      </w:r>
      <w:r w:rsidRPr="004D645B">
        <w:rPr>
          <w:rFonts w:ascii="Arial Narrow" w:hAnsi="Arial Narrow" w:cs="Calibri"/>
          <w:sz w:val="15"/>
          <w:szCs w:val="15"/>
        </w:rPr>
        <w:t xml:space="preserve">; </w:t>
      </w:r>
      <w:r w:rsidRPr="00456679">
        <w:rPr>
          <w:rFonts w:ascii="Arial Narrow" w:hAnsi="Arial Narrow" w:cs="Calibri"/>
          <w:sz w:val="15"/>
          <w:szCs w:val="15"/>
        </w:rPr>
        <w:t>Agricoltura</w:t>
      </w:r>
      <w:r w:rsidRPr="004D645B">
        <w:rPr>
          <w:rFonts w:ascii="Arial Narrow" w:hAnsi="Arial Narrow" w:cs="Calibri"/>
          <w:sz w:val="15"/>
          <w:szCs w:val="15"/>
        </w:rPr>
        <w:t>=</w:t>
      </w:r>
      <w:r w:rsidRPr="00456679">
        <w:rPr>
          <w:rFonts w:ascii="Arial Narrow" w:hAnsi="Arial Narrow" w:cs="Calibri"/>
          <w:sz w:val="15"/>
          <w:szCs w:val="15"/>
        </w:rPr>
        <w:t>Prodotti dell'agricoltura, della silvicoltura e della pesca</w:t>
      </w:r>
      <w:r w:rsidRPr="004D645B">
        <w:rPr>
          <w:rFonts w:ascii="Arial Narrow" w:hAnsi="Arial Narrow" w:cs="Calibri"/>
          <w:sz w:val="15"/>
          <w:szCs w:val="15"/>
        </w:rPr>
        <w:t xml:space="preserve">; </w:t>
      </w:r>
      <w:r w:rsidRPr="00456679">
        <w:rPr>
          <w:rFonts w:ascii="Arial Narrow" w:hAnsi="Arial Narrow" w:cs="Calibri"/>
          <w:sz w:val="15"/>
          <w:szCs w:val="15"/>
        </w:rPr>
        <w:t>Elettronica</w:t>
      </w:r>
      <w:r w:rsidRPr="004D645B">
        <w:rPr>
          <w:rFonts w:ascii="Arial Narrow" w:hAnsi="Arial Narrow" w:cs="Calibri"/>
          <w:sz w:val="15"/>
          <w:szCs w:val="15"/>
        </w:rPr>
        <w:t>=</w:t>
      </w:r>
      <w:r w:rsidRPr="00456679">
        <w:rPr>
          <w:rFonts w:ascii="Arial Narrow" w:hAnsi="Arial Narrow" w:cs="Calibri"/>
          <w:sz w:val="15"/>
          <w:szCs w:val="15"/>
        </w:rPr>
        <w:t>Computer, apparecchi elettronici e ottici</w:t>
      </w:r>
      <w:r w:rsidRPr="004D645B">
        <w:rPr>
          <w:rFonts w:ascii="Arial Narrow" w:hAnsi="Arial Narrow" w:cs="Calibri"/>
          <w:sz w:val="15"/>
          <w:szCs w:val="15"/>
        </w:rPr>
        <w:t xml:space="preserve">; </w:t>
      </w:r>
      <w:r w:rsidRPr="00456679">
        <w:rPr>
          <w:rFonts w:ascii="Arial Narrow" w:hAnsi="Arial Narrow" w:cs="Calibri"/>
          <w:sz w:val="15"/>
          <w:szCs w:val="15"/>
        </w:rPr>
        <w:t>Raffinazione</w:t>
      </w:r>
      <w:r w:rsidRPr="004D645B">
        <w:rPr>
          <w:rFonts w:ascii="Arial Narrow" w:hAnsi="Arial Narrow" w:cs="Calibri"/>
          <w:sz w:val="15"/>
          <w:szCs w:val="15"/>
        </w:rPr>
        <w:t>=</w:t>
      </w:r>
      <w:r w:rsidRPr="00456679">
        <w:rPr>
          <w:rFonts w:ascii="Arial Narrow" w:hAnsi="Arial Narrow" w:cs="Calibri"/>
          <w:sz w:val="15"/>
          <w:szCs w:val="15"/>
        </w:rPr>
        <w:t>Coke e prodotti petroliferi raffinati</w:t>
      </w:r>
      <w:r w:rsidRPr="004D645B">
        <w:rPr>
          <w:rFonts w:ascii="Arial Narrow" w:hAnsi="Arial Narrow" w:cs="Calibri"/>
          <w:sz w:val="15"/>
          <w:szCs w:val="15"/>
        </w:rPr>
        <w:t xml:space="preserve">; </w:t>
      </w:r>
      <w:r w:rsidRPr="00456679">
        <w:rPr>
          <w:rFonts w:ascii="Arial Narrow" w:hAnsi="Arial Narrow" w:cs="Calibri"/>
          <w:sz w:val="15"/>
          <w:szCs w:val="15"/>
        </w:rPr>
        <w:t>Alimentari</w:t>
      </w:r>
      <w:r w:rsidRPr="004D645B">
        <w:rPr>
          <w:rFonts w:ascii="Arial Narrow" w:hAnsi="Arial Narrow" w:cs="Calibri"/>
          <w:sz w:val="15"/>
          <w:szCs w:val="15"/>
        </w:rPr>
        <w:t>=</w:t>
      </w:r>
      <w:r w:rsidRPr="00456679">
        <w:rPr>
          <w:rFonts w:ascii="Arial Narrow" w:hAnsi="Arial Narrow" w:cs="Calibri"/>
          <w:sz w:val="15"/>
          <w:szCs w:val="15"/>
        </w:rPr>
        <w:t>Prodotti alimentari, bevande e tabacco</w:t>
      </w:r>
      <w:r w:rsidRPr="004D645B">
        <w:rPr>
          <w:rFonts w:ascii="Arial Narrow" w:hAnsi="Arial Narrow" w:cs="Calibri"/>
          <w:sz w:val="15"/>
          <w:szCs w:val="15"/>
        </w:rPr>
        <w:t xml:space="preserve">; </w:t>
      </w:r>
      <w:r w:rsidRPr="00456679">
        <w:rPr>
          <w:rFonts w:ascii="Arial Narrow" w:hAnsi="Arial Narrow" w:cs="Calibri"/>
          <w:sz w:val="15"/>
          <w:szCs w:val="15"/>
        </w:rPr>
        <w:t>Farmaceutica</w:t>
      </w:r>
      <w:r w:rsidRPr="004D645B">
        <w:rPr>
          <w:rFonts w:ascii="Arial Narrow" w:hAnsi="Arial Narrow" w:cs="Calibri"/>
          <w:sz w:val="15"/>
          <w:szCs w:val="15"/>
        </w:rPr>
        <w:t>=</w:t>
      </w:r>
      <w:r w:rsidRPr="00456679">
        <w:rPr>
          <w:rFonts w:ascii="Arial Narrow" w:hAnsi="Arial Narrow" w:cs="Calibri"/>
          <w:sz w:val="15"/>
          <w:szCs w:val="15"/>
        </w:rPr>
        <w:t>Articoli farmaceutici, chimico-medicinali e botanici</w:t>
      </w:r>
      <w:r>
        <w:rPr>
          <w:rFonts w:ascii="Arial Narrow" w:hAnsi="Arial Narrow" w:cs="Calibri"/>
          <w:sz w:val="15"/>
          <w:szCs w:val="15"/>
        </w:rPr>
        <w:t>.</w:t>
      </w:r>
    </w:p>
    <w:p w14:paraId="64B2489F" w14:textId="77777777" w:rsidR="00C6666F" w:rsidRDefault="00C6666F" w:rsidP="00BC4705">
      <w:pPr>
        <w:spacing w:after="60"/>
        <w:jc w:val="both"/>
        <w:rPr>
          <w:rFonts w:ascii="Arial" w:hAnsi="Arial"/>
          <w:sz w:val="21"/>
          <w:szCs w:val="21"/>
        </w:rPr>
      </w:pPr>
    </w:p>
    <w:p w14:paraId="50C0012F" w14:textId="77777777" w:rsidR="00660BD3" w:rsidRDefault="00660BD3" w:rsidP="0020174D">
      <w:pPr>
        <w:spacing w:after="120"/>
        <w:jc w:val="both"/>
        <w:rPr>
          <w:rFonts w:ascii="Arial" w:hAnsi="Arial"/>
          <w:sz w:val="21"/>
          <w:szCs w:val="21"/>
        </w:rPr>
      </w:pPr>
    </w:p>
    <w:p w14:paraId="70FA5431" w14:textId="77777777" w:rsidR="00CC2949" w:rsidRPr="00067430" w:rsidRDefault="0025622B" w:rsidP="00CC2949">
      <w:pPr>
        <w:pStyle w:val="001TitoloBolocco"/>
        <w:spacing w:after="0" w:line="240" w:lineRule="auto"/>
        <w:rPr>
          <w:rFonts w:ascii="Arial Narrow" w:hAnsi="Arial Narrow"/>
          <w:bCs w:val="0"/>
          <w:caps w:val="0"/>
          <w:sz w:val="22"/>
        </w:rPr>
      </w:pPr>
      <w:r>
        <w:rPr>
          <w:bCs w:val="0"/>
          <w:caps w:val="0"/>
        </w:rPr>
        <w:br w:type="page"/>
      </w:r>
    </w:p>
    <w:p w14:paraId="4E7CE020" w14:textId="77777777" w:rsidR="00ED1109" w:rsidRPr="00ED1109" w:rsidRDefault="00ED1109" w:rsidP="00ED1109">
      <w:pPr>
        <w:pStyle w:val="Corpodeltesto1"/>
        <w:jc w:val="left"/>
        <w:rPr>
          <w:rFonts w:ascii="Arial Narrow" w:hAnsi="Arial Narrow"/>
          <w:bCs/>
          <w:caps/>
          <w:sz w:val="22"/>
        </w:rPr>
      </w:pPr>
    </w:p>
    <w:p w14:paraId="27AEFD13" w14:textId="77777777" w:rsidR="00BF702B" w:rsidRDefault="00BF702B" w:rsidP="00BF702B">
      <w:pPr>
        <w:pStyle w:val="001TitoloBolocco"/>
        <w:spacing w:after="120" w:line="240" w:lineRule="auto"/>
      </w:pPr>
      <w:r>
        <w:rPr>
          <w:bCs w:val="0"/>
          <w:caps w:val="0"/>
        </w:rPr>
        <w:t>P</w:t>
      </w:r>
      <w:r w:rsidR="002A153A">
        <w:rPr>
          <w:bCs w:val="0"/>
          <w:caps w:val="0"/>
        </w:rPr>
        <w:t>A</w:t>
      </w:r>
      <w:r>
        <w:rPr>
          <w:bCs w:val="0"/>
          <w:caps w:val="0"/>
        </w:rPr>
        <w:t>E</w:t>
      </w:r>
      <w:r w:rsidR="002A153A">
        <w:rPr>
          <w:bCs w:val="0"/>
          <w:caps w:val="0"/>
        </w:rPr>
        <w:t>SI PARTNER NEL COMMERCIO ESTERO</w:t>
      </w:r>
    </w:p>
    <w:p w14:paraId="7F2F8662" w14:textId="77777777" w:rsidR="00D40C17" w:rsidRPr="00D40C17" w:rsidRDefault="002A153A" w:rsidP="00D40C17">
      <w:pPr>
        <w:pStyle w:val="Corpodeltesto1"/>
        <w:jc w:val="left"/>
        <w:rPr>
          <w:rFonts w:ascii="Arial Narrow" w:hAnsi="Arial Narrow" w:cs="Arial"/>
          <w:bCs/>
          <w:color w:val="E42618"/>
          <w:kern w:val="28"/>
          <w:sz w:val="22"/>
          <w:szCs w:val="22"/>
        </w:rPr>
      </w:pPr>
      <w:r w:rsidRPr="00D40C17">
        <w:rPr>
          <w:rFonts w:ascii="Arial Narrow" w:hAnsi="Arial Narrow" w:cs="Arial"/>
          <w:bCs/>
          <w:color w:val="E42618"/>
          <w:kern w:val="28"/>
          <w:sz w:val="22"/>
          <w:szCs w:val="22"/>
        </w:rPr>
        <w:t xml:space="preserve">FIGURA </w:t>
      </w:r>
      <w:r w:rsidR="00864908" w:rsidRPr="00D40C17">
        <w:rPr>
          <w:rFonts w:ascii="Arial Narrow" w:hAnsi="Arial Narrow" w:cs="Arial"/>
          <w:bCs/>
          <w:color w:val="E42618"/>
          <w:kern w:val="28"/>
          <w:sz w:val="22"/>
          <w:szCs w:val="22"/>
        </w:rPr>
        <w:t>8</w:t>
      </w:r>
      <w:r w:rsidRPr="00D40C17">
        <w:rPr>
          <w:rFonts w:ascii="Arial Narrow" w:hAnsi="Arial Narrow" w:cs="Arial"/>
          <w:bCs/>
          <w:color w:val="E42618"/>
          <w:kern w:val="28"/>
          <w:sz w:val="22"/>
          <w:szCs w:val="22"/>
        </w:rPr>
        <w:t xml:space="preserve">. </w:t>
      </w:r>
      <w:r w:rsidR="00D40C17" w:rsidRPr="00D40C17">
        <w:rPr>
          <w:rFonts w:ascii="Arial Narrow" w:hAnsi="Arial Narrow" w:cs="Arial"/>
          <w:bCs/>
          <w:color w:val="5F5F5F"/>
          <w:kern w:val="28"/>
          <w:sz w:val="22"/>
          <w:szCs w:val="22"/>
        </w:rPr>
        <w:t>PRINCIPALI PARTNER COMMERCIALI: GRADUATORIA DEI PAESI SECONDO I CONTRIBUTI ALL’</w:t>
      </w:r>
      <w:r w:rsidR="00D40C17" w:rsidRPr="00D40C17">
        <w:rPr>
          <w:rFonts w:ascii="Arial Narrow" w:hAnsi="Arial Narrow" w:cs="Arial"/>
          <w:bCs/>
          <w:color w:val="E42618"/>
          <w:kern w:val="28"/>
          <w:sz w:val="22"/>
          <w:szCs w:val="22"/>
        </w:rPr>
        <w:t xml:space="preserve"> </w:t>
      </w:r>
      <w:r w:rsidR="00D40C17" w:rsidRPr="00D40C17">
        <w:rPr>
          <w:rFonts w:ascii="Arial Narrow" w:hAnsi="Arial Narrow" w:cs="Arial"/>
          <w:bCs/>
          <w:color w:val="5F5F5F"/>
          <w:kern w:val="28"/>
          <w:sz w:val="22"/>
          <w:szCs w:val="22"/>
        </w:rPr>
        <w:t xml:space="preserve">EXPORT  </w:t>
      </w:r>
      <w:r w:rsidR="00D40C17" w:rsidRPr="00D40C17">
        <w:rPr>
          <w:rFonts w:ascii="Arial Narrow" w:hAnsi="Arial Narrow" w:cs="Arial"/>
          <w:bCs/>
          <w:color w:val="E42618"/>
          <w:kern w:val="28"/>
          <w:sz w:val="22"/>
          <w:szCs w:val="22"/>
        </w:rPr>
        <w:t xml:space="preserve">  </w:t>
      </w:r>
    </w:p>
    <w:p w14:paraId="5D435E8D" w14:textId="1E28F503" w:rsidR="00041D56" w:rsidRDefault="00B161A0" w:rsidP="00041D56">
      <w:pPr>
        <w:pStyle w:val="Corpodeltesto1"/>
        <w:spacing w:after="120"/>
        <w:jc w:val="left"/>
        <w:rPr>
          <w:noProof/>
        </w:rPr>
      </w:pPr>
      <w:r>
        <w:rPr>
          <w:rFonts w:ascii="Arial Narrow" w:hAnsi="Arial Narrow" w:cs="Arial"/>
          <w:b w:val="0"/>
          <w:color w:val="5F5F5F"/>
          <w:kern w:val="28"/>
          <w:sz w:val="20"/>
          <w:szCs w:val="20"/>
        </w:rPr>
        <w:t>Luglio</w:t>
      </w:r>
      <w:r w:rsidRPr="00C829DA">
        <w:rPr>
          <w:rFonts w:ascii="Arial Narrow" w:hAnsi="Arial Narrow" w:cs="Arial"/>
          <w:b w:val="0"/>
          <w:color w:val="5F5F5F"/>
          <w:kern w:val="28"/>
          <w:sz w:val="20"/>
          <w:szCs w:val="20"/>
        </w:rPr>
        <w:t xml:space="preserve"> </w:t>
      </w:r>
      <w:r w:rsidR="00756458" w:rsidRPr="00756458">
        <w:rPr>
          <w:rFonts w:ascii="Arial Narrow" w:hAnsi="Arial Narrow" w:cs="Arial"/>
          <w:b w:val="0"/>
          <w:color w:val="5F5F5F"/>
          <w:kern w:val="28"/>
          <w:sz w:val="20"/>
          <w:szCs w:val="20"/>
        </w:rPr>
        <w:t>202</w:t>
      </w:r>
      <w:r w:rsidR="00470B67">
        <w:rPr>
          <w:rFonts w:ascii="Arial Narrow" w:hAnsi="Arial Narrow" w:cs="Arial"/>
          <w:b w:val="0"/>
          <w:color w:val="5F5F5F"/>
          <w:kern w:val="28"/>
          <w:sz w:val="20"/>
          <w:szCs w:val="20"/>
        </w:rPr>
        <w:t>2</w:t>
      </w:r>
      <w:r w:rsidR="00041D56" w:rsidRPr="005C343A">
        <w:rPr>
          <w:rFonts w:ascii="Arial Narrow" w:hAnsi="Arial Narrow" w:cs="Arial"/>
          <w:b w:val="0"/>
          <w:color w:val="5F5F5F"/>
          <w:kern w:val="28"/>
          <w:sz w:val="20"/>
          <w:szCs w:val="20"/>
        </w:rPr>
        <w:t>, contributi alla variazione in punti percentuali e vari</w:t>
      </w:r>
      <w:r w:rsidR="00041D56">
        <w:rPr>
          <w:rFonts w:ascii="Arial Narrow" w:hAnsi="Arial Narrow" w:cs="Arial"/>
          <w:b w:val="0"/>
          <w:color w:val="5F5F5F"/>
          <w:kern w:val="28"/>
          <w:sz w:val="20"/>
          <w:szCs w:val="20"/>
        </w:rPr>
        <w:t>azioni</w:t>
      </w:r>
      <w:r w:rsidR="00041D56" w:rsidRPr="005C343A">
        <w:rPr>
          <w:rFonts w:ascii="Arial Narrow" w:hAnsi="Arial Narrow" w:cs="Arial"/>
          <w:b w:val="0"/>
          <w:color w:val="5F5F5F"/>
          <w:kern w:val="28"/>
          <w:sz w:val="20"/>
          <w:szCs w:val="20"/>
        </w:rPr>
        <w:t xml:space="preserve"> percentuali tendenziali</w:t>
      </w:r>
      <w:r w:rsidR="00041D56">
        <w:rPr>
          <w:rFonts w:ascii="Arial Narrow" w:hAnsi="Arial Narrow" w:cs="Arial"/>
          <w:b w:val="0"/>
          <w:color w:val="5F5F5F"/>
          <w:kern w:val="28"/>
          <w:sz w:val="20"/>
          <w:szCs w:val="20"/>
        </w:rPr>
        <w:t xml:space="preserve"> </w:t>
      </w:r>
      <w:r w:rsidR="00041D56" w:rsidRPr="00E35121">
        <w:rPr>
          <w:rFonts w:ascii="Arial Narrow" w:hAnsi="Arial Narrow" w:cs="Arial"/>
          <w:b w:val="0"/>
          <w:bCs/>
          <w:color w:val="5F5F5F"/>
          <w:kern w:val="28"/>
          <w:sz w:val="20"/>
          <w:szCs w:val="22"/>
        </w:rPr>
        <w:t>(a)</w:t>
      </w:r>
    </w:p>
    <w:p w14:paraId="7C8F3849" w14:textId="6C41875F" w:rsidR="00147CB5" w:rsidRDefault="002662C0" w:rsidP="002A153A">
      <w:pPr>
        <w:pStyle w:val="Corpodeltesto1"/>
        <w:spacing w:after="120"/>
        <w:jc w:val="left"/>
        <w:rPr>
          <w:rFonts w:ascii="Arial Narrow" w:hAnsi="Arial Narrow" w:cs="Arial"/>
          <w:b w:val="0"/>
          <w:color w:val="5F5F5F"/>
          <w:kern w:val="28"/>
          <w:sz w:val="20"/>
          <w:szCs w:val="20"/>
        </w:rPr>
      </w:pPr>
      <w:r>
        <w:rPr>
          <w:noProof/>
        </w:rPr>
        <w:drawing>
          <wp:inline distT="0" distB="0" distL="0" distR="0" wp14:anchorId="28F33E20" wp14:editId="6326DB03">
            <wp:extent cx="6660000" cy="2160000"/>
            <wp:effectExtent l="0" t="0" r="7620" b="0"/>
            <wp:docPr id="23" name="Gra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D6F4C65" w14:textId="77777777" w:rsidR="009D29C9" w:rsidRDefault="009D29C9" w:rsidP="00763EB2">
      <w:pPr>
        <w:pStyle w:val="Corpodeltesto1"/>
        <w:rPr>
          <w:rFonts w:ascii="Arial Narrow" w:hAnsi="Arial Narrow" w:cs="Arial"/>
          <w:color w:val="E42618"/>
          <w:kern w:val="28"/>
          <w:sz w:val="22"/>
          <w:szCs w:val="22"/>
        </w:rPr>
      </w:pPr>
    </w:p>
    <w:p w14:paraId="51D28C8B" w14:textId="77777777" w:rsidR="00B145A1" w:rsidRDefault="00B145A1" w:rsidP="00763EB2">
      <w:pPr>
        <w:pStyle w:val="Corpodeltesto1"/>
        <w:rPr>
          <w:rFonts w:ascii="Arial Narrow" w:hAnsi="Arial Narrow" w:cs="Arial"/>
          <w:bCs/>
          <w:color w:val="5F5F5F"/>
          <w:kern w:val="28"/>
          <w:sz w:val="22"/>
          <w:szCs w:val="22"/>
        </w:rPr>
      </w:pPr>
      <w:r w:rsidRPr="002A153A">
        <w:rPr>
          <w:rFonts w:ascii="Arial Narrow" w:hAnsi="Arial Narrow" w:cs="Arial"/>
          <w:color w:val="E42618"/>
          <w:kern w:val="28"/>
          <w:sz w:val="22"/>
          <w:szCs w:val="22"/>
        </w:rPr>
        <w:t xml:space="preserve">FIGURA </w:t>
      </w:r>
      <w:r>
        <w:rPr>
          <w:rFonts w:ascii="Arial Narrow" w:hAnsi="Arial Narrow" w:cs="Arial"/>
          <w:color w:val="E42618"/>
          <w:kern w:val="28"/>
          <w:sz w:val="22"/>
          <w:szCs w:val="22"/>
        </w:rPr>
        <w:t>9</w:t>
      </w:r>
      <w:r w:rsidRPr="002A153A">
        <w:rPr>
          <w:rFonts w:ascii="Arial Narrow" w:hAnsi="Arial Narrow" w:cs="Arial"/>
          <w:color w:val="E42618"/>
          <w:kern w:val="28"/>
          <w:sz w:val="22"/>
          <w:szCs w:val="22"/>
        </w:rPr>
        <w:t>.</w:t>
      </w:r>
      <w:r w:rsidRPr="00B37F7D">
        <w:rPr>
          <w:rFonts w:ascii="Arial Narrow" w:hAnsi="Arial Narrow" w:cs="Arial"/>
          <w:color w:val="5F5F5F"/>
          <w:spacing w:val="-8"/>
          <w:sz w:val="20"/>
        </w:rPr>
        <w:t xml:space="preserve"> </w:t>
      </w:r>
      <w:r w:rsidR="00D40C17" w:rsidRPr="00D40C17">
        <w:rPr>
          <w:rFonts w:ascii="Arial Narrow" w:hAnsi="Arial Narrow" w:cs="Arial"/>
          <w:bCs/>
          <w:color w:val="5F5F5F"/>
          <w:kern w:val="28"/>
          <w:sz w:val="22"/>
          <w:szCs w:val="22"/>
        </w:rPr>
        <w:t>PRINCIPALI PARTNER COMMERCIALI: GRADUATORIA DEI PAESI SECONDO I CONTRIBUTI ALL’</w:t>
      </w:r>
      <w:r w:rsidR="00D40C17" w:rsidRPr="00D40C17">
        <w:rPr>
          <w:rFonts w:ascii="Arial Narrow" w:hAnsi="Arial Narrow" w:cs="Arial"/>
          <w:bCs/>
          <w:color w:val="E42618"/>
          <w:kern w:val="28"/>
          <w:sz w:val="22"/>
          <w:szCs w:val="22"/>
        </w:rPr>
        <w:t xml:space="preserve"> </w:t>
      </w:r>
      <w:r w:rsidR="00D40C17">
        <w:rPr>
          <w:rFonts w:ascii="Arial Narrow" w:hAnsi="Arial Narrow" w:cs="Arial"/>
          <w:bCs/>
          <w:color w:val="5F5F5F"/>
          <w:kern w:val="28"/>
          <w:sz w:val="22"/>
          <w:szCs w:val="22"/>
        </w:rPr>
        <w:t>IM</w:t>
      </w:r>
      <w:r w:rsidR="00D40C17" w:rsidRPr="00D40C17">
        <w:rPr>
          <w:rFonts w:ascii="Arial Narrow" w:hAnsi="Arial Narrow" w:cs="Arial"/>
          <w:bCs/>
          <w:color w:val="5F5F5F"/>
          <w:kern w:val="28"/>
          <w:sz w:val="22"/>
          <w:szCs w:val="22"/>
        </w:rPr>
        <w:t xml:space="preserve">PORT  </w:t>
      </w:r>
      <w:r w:rsidR="00D40C17" w:rsidRPr="00D40C17">
        <w:rPr>
          <w:rFonts w:ascii="Arial Narrow" w:hAnsi="Arial Narrow" w:cs="Arial"/>
          <w:bCs/>
          <w:color w:val="E42618"/>
          <w:kern w:val="28"/>
          <w:sz w:val="22"/>
          <w:szCs w:val="22"/>
        </w:rPr>
        <w:t xml:space="preserve">  </w:t>
      </w:r>
    </w:p>
    <w:p w14:paraId="15667FC6" w14:textId="2282BE43" w:rsidR="00041D56" w:rsidRDefault="00B161A0" w:rsidP="00041D56">
      <w:pPr>
        <w:pStyle w:val="Corpodeltesto1"/>
        <w:spacing w:after="120"/>
        <w:jc w:val="left"/>
        <w:rPr>
          <w:noProof/>
        </w:rPr>
      </w:pPr>
      <w:r>
        <w:rPr>
          <w:rFonts w:ascii="Arial Narrow" w:hAnsi="Arial Narrow" w:cs="Arial"/>
          <w:b w:val="0"/>
          <w:color w:val="5F5F5F"/>
          <w:kern w:val="28"/>
          <w:sz w:val="20"/>
          <w:szCs w:val="20"/>
        </w:rPr>
        <w:t>Luglio</w:t>
      </w:r>
      <w:r w:rsidRPr="00C829DA">
        <w:rPr>
          <w:rFonts w:ascii="Arial Narrow" w:hAnsi="Arial Narrow" w:cs="Arial"/>
          <w:b w:val="0"/>
          <w:color w:val="5F5F5F"/>
          <w:kern w:val="28"/>
          <w:sz w:val="20"/>
          <w:szCs w:val="20"/>
        </w:rPr>
        <w:t xml:space="preserve"> </w:t>
      </w:r>
      <w:r w:rsidR="00470B67">
        <w:rPr>
          <w:rFonts w:ascii="Arial Narrow" w:hAnsi="Arial Narrow" w:cs="Arial"/>
          <w:b w:val="0"/>
          <w:color w:val="5F5F5F"/>
          <w:kern w:val="28"/>
          <w:sz w:val="20"/>
          <w:szCs w:val="20"/>
        </w:rPr>
        <w:t>2022</w:t>
      </w:r>
      <w:r w:rsidR="00041D56" w:rsidRPr="005C343A">
        <w:rPr>
          <w:rFonts w:ascii="Arial Narrow" w:hAnsi="Arial Narrow" w:cs="Arial"/>
          <w:b w:val="0"/>
          <w:color w:val="5F5F5F"/>
          <w:kern w:val="28"/>
          <w:sz w:val="20"/>
          <w:szCs w:val="20"/>
        </w:rPr>
        <w:t>, contributi alla variazione in punti percentuali e vari</w:t>
      </w:r>
      <w:r w:rsidR="00041D56">
        <w:rPr>
          <w:rFonts w:ascii="Arial Narrow" w:hAnsi="Arial Narrow" w:cs="Arial"/>
          <w:b w:val="0"/>
          <w:color w:val="5F5F5F"/>
          <w:kern w:val="28"/>
          <w:sz w:val="20"/>
          <w:szCs w:val="20"/>
        </w:rPr>
        <w:t>azioni</w:t>
      </w:r>
      <w:r w:rsidR="00041D56" w:rsidRPr="005C343A">
        <w:rPr>
          <w:rFonts w:ascii="Arial Narrow" w:hAnsi="Arial Narrow" w:cs="Arial"/>
          <w:b w:val="0"/>
          <w:color w:val="5F5F5F"/>
          <w:kern w:val="28"/>
          <w:sz w:val="20"/>
          <w:szCs w:val="20"/>
        </w:rPr>
        <w:t xml:space="preserve"> percentuali tendenziali</w:t>
      </w:r>
      <w:r w:rsidR="00041D56">
        <w:rPr>
          <w:rFonts w:ascii="Arial Narrow" w:hAnsi="Arial Narrow" w:cs="Arial"/>
          <w:b w:val="0"/>
          <w:color w:val="5F5F5F"/>
          <w:kern w:val="28"/>
          <w:sz w:val="20"/>
          <w:szCs w:val="20"/>
        </w:rPr>
        <w:t xml:space="preserve"> </w:t>
      </w:r>
      <w:r w:rsidR="00041D56" w:rsidRPr="00E35121">
        <w:rPr>
          <w:rFonts w:ascii="Arial Narrow" w:hAnsi="Arial Narrow" w:cs="Arial"/>
          <w:b w:val="0"/>
          <w:bCs/>
          <w:color w:val="5F5F5F"/>
          <w:kern w:val="28"/>
          <w:sz w:val="20"/>
          <w:szCs w:val="22"/>
        </w:rPr>
        <w:t>(a)</w:t>
      </w:r>
    </w:p>
    <w:p w14:paraId="18408927" w14:textId="5A61B744" w:rsidR="00403189" w:rsidRDefault="002662C0" w:rsidP="002A153A">
      <w:pPr>
        <w:pStyle w:val="Corpodeltesto1"/>
        <w:spacing w:after="120"/>
        <w:jc w:val="left"/>
        <w:rPr>
          <w:rFonts w:ascii="Arial Narrow" w:hAnsi="Arial Narrow" w:cs="Arial"/>
          <w:b w:val="0"/>
          <w:color w:val="5F5F5F"/>
          <w:kern w:val="28"/>
          <w:sz w:val="20"/>
          <w:szCs w:val="20"/>
        </w:rPr>
      </w:pPr>
      <w:r>
        <w:rPr>
          <w:noProof/>
        </w:rPr>
        <w:drawing>
          <wp:inline distT="0" distB="0" distL="0" distR="0" wp14:anchorId="71C09BA5" wp14:editId="5B0AA4A9">
            <wp:extent cx="6660000" cy="2160000"/>
            <wp:effectExtent l="0" t="0" r="7620" b="0"/>
            <wp:docPr id="25" name="Gra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EDA55CF" w14:textId="4D3D29C9" w:rsidR="00C22E24" w:rsidRDefault="00C0323B" w:rsidP="00C22E24">
      <w:pPr>
        <w:spacing w:before="60"/>
        <w:jc w:val="both"/>
        <w:rPr>
          <w:rFonts w:ascii="Arial Narrow" w:hAnsi="Arial Narrow" w:cs="Calibri"/>
          <w:sz w:val="15"/>
          <w:szCs w:val="15"/>
        </w:rPr>
      </w:pPr>
      <w:r w:rsidRPr="009F2C56">
        <w:rPr>
          <w:rFonts w:ascii="Arial Narrow" w:hAnsi="Arial Narrow" w:cs="Calibri"/>
          <w:sz w:val="15"/>
          <w:szCs w:val="15"/>
        </w:rPr>
        <w:t xml:space="preserve">(a) </w:t>
      </w:r>
      <w:r w:rsidRPr="00C97A46">
        <w:rPr>
          <w:rFonts w:ascii="Arial Narrow" w:hAnsi="Arial Narrow" w:cs="Calibri"/>
          <w:sz w:val="15"/>
          <w:szCs w:val="15"/>
        </w:rPr>
        <w:t>Limitatamente ai paesi la cui quota sull</w:t>
      </w:r>
      <w:r w:rsidR="00B67619">
        <w:rPr>
          <w:rFonts w:ascii="Arial Narrow" w:hAnsi="Arial Narrow" w:cs="Calibri"/>
          <w:sz w:val="15"/>
          <w:szCs w:val="15"/>
        </w:rPr>
        <w:t>’export (import)</w:t>
      </w:r>
      <w:r w:rsidR="001E77DD">
        <w:rPr>
          <w:rFonts w:ascii="Arial Narrow" w:hAnsi="Arial Narrow" w:cs="Calibri"/>
          <w:sz w:val="15"/>
          <w:szCs w:val="15"/>
        </w:rPr>
        <w:t xml:space="preserve"> per l’anno 202</w:t>
      </w:r>
      <w:r w:rsidR="0075218A">
        <w:rPr>
          <w:rFonts w:ascii="Arial Narrow" w:hAnsi="Arial Narrow" w:cs="Calibri"/>
          <w:sz w:val="15"/>
          <w:szCs w:val="15"/>
        </w:rPr>
        <w:t>1</w:t>
      </w:r>
      <w:r w:rsidRPr="00C97A46">
        <w:rPr>
          <w:rFonts w:ascii="Arial Narrow" w:hAnsi="Arial Narrow" w:cs="Calibri"/>
          <w:sz w:val="15"/>
          <w:szCs w:val="15"/>
        </w:rPr>
        <w:t xml:space="preserve"> è superiore all’1%.</w:t>
      </w:r>
    </w:p>
    <w:p w14:paraId="191AF2B1" w14:textId="77777777" w:rsidR="00C0323B" w:rsidRDefault="00C0323B" w:rsidP="00E74CD4">
      <w:pPr>
        <w:spacing w:before="60"/>
        <w:jc w:val="both"/>
        <w:rPr>
          <w:rFonts w:ascii="Arial Narrow" w:hAnsi="Arial Narrow" w:cs="Calibri"/>
          <w:sz w:val="15"/>
          <w:szCs w:val="15"/>
        </w:rPr>
      </w:pPr>
    </w:p>
    <w:p w14:paraId="39DD39F5" w14:textId="77777777" w:rsidR="008D59B2" w:rsidRPr="008D59B2" w:rsidRDefault="008D59B2" w:rsidP="008D59B2">
      <w:pPr>
        <w:spacing w:after="120"/>
        <w:jc w:val="both"/>
        <w:rPr>
          <w:rFonts w:ascii="Arial" w:hAnsi="Arial"/>
          <w:sz w:val="21"/>
          <w:szCs w:val="21"/>
        </w:rPr>
      </w:pPr>
    </w:p>
    <w:p w14:paraId="770534AE" w14:textId="77777777" w:rsidR="00833A77" w:rsidRPr="00055CB6" w:rsidRDefault="00525F9A" w:rsidP="00E84E4F">
      <w:pPr>
        <w:pStyle w:val="001TitoloBolocco"/>
        <w:spacing w:after="120" w:line="240" w:lineRule="auto"/>
      </w:pPr>
      <w:r w:rsidRPr="00055CB6">
        <w:rPr>
          <w:bCs w:val="0"/>
          <w:caps w:val="0"/>
        </w:rPr>
        <w:t>A</w:t>
      </w:r>
      <w:r w:rsidR="00885870" w:rsidRPr="00055CB6">
        <w:rPr>
          <w:bCs w:val="0"/>
          <w:caps w:val="0"/>
        </w:rPr>
        <w:t>NALISI PER PRODOTTO E PAESE</w:t>
      </w:r>
    </w:p>
    <w:p w14:paraId="5E23DD54" w14:textId="5D6FD774" w:rsidR="00DE12CB" w:rsidRPr="00DE12CB" w:rsidRDefault="00DE12CB" w:rsidP="00DE12CB">
      <w:pPr>
        <w:pStyle w:val="Corpotesto1"/>
        <w:spacing w:after="120"/>
        <w:rPr>
          <w:rFonts w:ascii="Arial" w:hAnsi="Arial"/>
          <w:b w:val="0"/>
          <w:sz w:val="21"/>
          <w:szCs w:val="21"/>
          <w:lang w:val="it-IT" w:eastAsia="it-IT"/>
        </w:rPr>
      </w:pPr>
      <w:r w:rsidRPr="00DE12CB">
        <w:rPr>
          <w:rFonts w:ascii="Arial" w:hAnsi="Arial"/>
          <w:b w:val="0"/>
          <w:sz w:val="21"/>
          <w:szCs w:val="21"/>
          <w:lang w:val="it-IT" w:eastAsia="it-IT"/>
        </w:rPr>
        <w:t xml:space="preserve">Sulla base delle elaborazioni allegate al presente comunicato nel file “Grafici aggiuntivi commercio estero”, risulta che la crescita tendenziale dell’export è spiegata per 3,9 punti percentuali dall’incremento delle vendite di articoli farmaceutici, chimico-medicinali e botanici </w:t>
      </w:r>
      <w:r>
        <w:rPr>
          <w:rFonts w:ascii="Arial" w:hAnsi="Arial"/>
          <w:b w:val="0"/>
          <w:sz w:val="21"/>
          <w:szCs w:val="21"/>
          <w:lang w:val="it-IT" w:eastAsia="it-IT"/>
        </w:rPr>
        <w:t>verso Belgio</w:t>
      </w:r>
      <w:r w:rsidR="00E20B71">
        <w:rPr>
          <w:rFonts w:ascii="Arial" w:hAnsi="Arial"/>
          <w:b w:val="0"/>
          <w:sz w:val="21"/>
          <w:szCs w:val="21"/>
          <w:lang w:val="it-IT" w:eastAsia="it-IT"/>
        </w:rPr>
        <w:t>,</w:t>
      </w:r>
      <w:r w:rsidR="00964D55">
        <w:rPr>
          <w:rFonts w:ascii="Arial" w:hAnsi="Arial"/>
          <w:b w:val="0"/>
          <w:sz w:val="21"/>
          <w:szCs w:val="21"/>
          <w:lang w:val="it-IT" w:eastAsia="it-IT"/>
        </w:rPr>
        <w:t xml:space="preserve"> in particolare</w:t>
      </w:r>
      <w:r w:rsidR="00E20B71">
        <w:rPr>
          <w:rFonts w:ascii="Arial" w:hAnsi="Arial"/>
          <w:b w:val="0"/>
          <w:sz w:val="21"/>
          <w:szCs w:val="21"/>
          <w:lang w:val="it-IT" w:eastAsia="it-IT"/>
        </w:rPr>
        <w:t>,</w:t>
      </w:r>
      <w:r>
        <w:rPr>
          <w:rFonts w:ascii="Arial" w:hAnsi="Arial"/>
          <w:b w:val="0"/>
          <w:sz w:val="21"/>
          <w:szCs w:val="21"/>
          <w:lang w:val="it-IT" w:eastAsia="it-IT"/>
        </w:rPr>
        <w:t xml:space="preserve"> </w:t>
      </w:r>
      <w:r w:rsidRPr="00DE12CB">
        <w:rPr>
          <w:rFonts w:ascii="Arial" w:hAnsi="Arial"/>
          <w:b w:val="0"/>
          <w:sz w:val="21"/>
          <w:szCs w:val="21"/>
          <w:lang w:val="it-IT" w:eastAsia="it-IT"/>
        </w:rPr>
        <w:t xml:space="preserve">Paesi Bassi e Svizzera. Un ulteriore contributo positivo di 0,8 punti percentuali deriva dall’incremento delle vendite di prodotti petroliferi raffinati verso Stati Uniti e Francia. All’opposto, il calo delle vendite di mezzi di trasporto, autoveicoli esclusi, verso la Svizzera apporta un contributo negativo di 1,8 punti percentuali. </w:t>
      </w:r>
    </w:p>
    <w:p w14:paraId="09F6B42A" w14:textId="1D4A2159" w:rsidR="0075218A" w:rsidRDefault="00DE12CB" w:rsidP="00DE12CB">
      <w:pPr>
        <w:pStyle w:val="Corpotesto1"/>
        <w:spacing w:after="120"/>
        <w:rPr>
          <w:rFonts w:ascii="Arial" w:hAnsi="Arial"/>
          <w:b w:val="0"/>
          <w:sz w:val="21"/>
          <w:szCs w:val="21"/>
          <w:lang w:val="it-IT" w:eastAsia="it-IT"/>
        </w:rPr>
      </w:pPr>
      <w:r w:rsidRPr="00DE12CB">
        <w:rPr>
          <w:rFonts w:ascii="Arial" w:hAnsi="Arial"/>
          <w:b w:val="0"/>
          <w:sz w:val="21"/>
          <w:szCs w:val="21"/>
          <w:lang w:val="it-IT" w:eastAsia="it-IT"/>
        </w:rPr>
        <w:t>L’incremento degli acquisti di gas naturale da paesi OPEC e Russia, di petrolio greggio dai paesi OPEC e di energia elettrica</w:t>
      </w:r>
      <w:r>
        <w:rPr>
          <w:rFonts w:ascii="Arial" w:hAnsi="Arial"/>
          <w:b w:val="0"/>
          <w:sz w:val="21"/>
          <w:szCs w:val="21"/>
          <w:lang w:val="it-IT" w:eastAsia="it-IT"/>
        </w:rPr>
        <w:t>, gas, vapore e aria condizionata</w:t>
      </w:r>
      <w:r w:rsidRPr="00DE12CB">
        <w:rPr>
          <w:rFonts w:ascii="Arial" w:hAnsi="Arial"/>
          <w:b w:val="0"/>
          <w:sz w:val="21"/>
          <w:szCs w:val="21"/>
          <w:lang w:val="it-IT" w:eastAsia="it-IT"/>
        </w:rPr>
        <w:t xml:space="preserve"> dalla Francia spiega per 7,9 punti percentuali la crescita tendenziale dell’import.</w:t>
      </w:r>
      <w:r w:rsidR="00E20B71">
        <w:rPr>
          <w:rFonts w:ascii="Arial" w:hAnsi="Arial"/>
          <w:b w:val="0"/>
          <w:sz w:val="21"/>
          <w:szCs w:val="21"/>
          <w:lang w:val="it-IT" w:eastAsia="it-IT"/>
        </w:rPr>
        <w:t xml:space="preserve"> Un ulteriore contributo di 1,7 punti deriva dall’aumento delle importazioni </w:t>
      </w:r>
      <w:r w:rsidR="00D47C3A">
        <w:rPr>
          <w:rFonts w:ascii="Arial" w:hAnsi="Arial"/>
          <w:b w:val="0"/>
          <w:sz w:val="21"/>
          <w:szCs w:val="21"/>
          <w:lang w:val="it-IT" w:eastAsia="it-IT"/>
        </w:rPr>
        <w:t xml:space="preserve">dalla Cina </w:t>
      </w:r>
      <w:r w:rsidR="00E20B71">
        <w:rPr>
          <w:rFonts w:ascii="Arial" w:hAnsi="Arial"/>
          <w:b w:val="0"/>
          <w:sz w:val="21"/>
          <w:szCs w:val="21"/>
          <w:lang w:val="it-IT" w:eastAsia="it-IT"/>
        </w:rPr>
        <w:t xml:space="preserve">di metalli </w:t>
      </w:r>
      <w:r w:rsidR="00D47C3A">
        <w:rPr>
          <w:rFonts w:ascii="Arial" w:hAnsi="Arial"/>
          <w:b w:val="0"/>
          <w:sz w:val="21"/>
          <w:szCs w:val="21"/>
          <w:lang w:val="it-IT" w:eastAsia="it-IT"/>
        </w:rPr>
        <w:t>di base e prodotti in metallo, esclusi macchine e impianti.</w:t>
      </w:r>
    </w:p>
    <w:p w14:paraId="6509650D" w14:textId="0F19A6AA" w:rsidR="00B7102C" w:rsidRDefault="00B7102C" w:rsidP="00D02297">
      <w:pPr>
        <w:pStyle w:val="Corpotesto1"/>
        <w:spacing w:after="120"/>
        <w:rPr>
          <w:rFonts w:ascii="Arial" w:hAnsi="Arial"/>
          <w:b w:val="0"/>
          <w:sz w:val="21"/>
          <w:szCs w:val="21"/>
          <w:lang w:val="it-IT" w:eastAsia="it-IT"/>
        </w:rPr>
      </w:pPr>
    </w:p>
    <w:p w14:paraId="661B8BB7" w14:textId="59989733" w:rsidR="0075218A" w:rsidRDefault="0075218A" w:rsidP="00D02297">
      <w:pPr>
        <w:pStyle w:val="Corpotesto1"/>
        <w:spacing w:after="120"/>
        <w:rPr>
          <w:rFonts w:ascii="Arial" w:hAnsi="Arial"/>
          <w:b w:val="0"/>
          <w:sz w:val="21"/>
          <w:szCs w:val="21"/>
          <w:lang w:val="it-IT" w:eastAsia="it-IT"/>
        </w:rPr>
      </w:pPr>
    </w:p>
    <w:p w14:paraId="4DED66EE" w14:textId="3FC2C4CB" w:rsidR="0075218A" w:rsidRDefault="0075218A" w:rsidP="00D02297">
      <w:pPr>
        <w:pStyle w:val="Corpotesto1"/>
        <w:spacing w:after="120"/>
        <w:rPr>
          <w:rFonts w:ascii="Arial" w:hAnsi="Arial"/>
          <w:b w:val="0"/>
          <w:sz w:val="21"/>
          <w:szCs w:val="21"/>
          <w:lang w:val="it-IT" w:eastAsia="it-IT"/>
        </w:rPr>
      </w:pPr>
    </w:p>
    <w:p w14:paraId="2E046C2D" w14:textId="77777777" w:rsidR="0075218A" w:rsidRPr="008F0E70" w:rsidRDefault="0075218A" w:rsidP="00B83BC7">
      <w:pPr>
        <w:pStyle w:val="Corpotesto1"/>
        <w:rPr>
          <w:rFonts w:ascii="Arial" w:hAnsi="Arial"/>
          <w:b w:val="0"/>
          <w:sz w:val="21"/>
          <w:szCs w:val="21"/>
          <w:lang w:val="it-IT" w:eastAsia="it-IT"/>
        </w:rPr>
      </w:pPr>
    </w:p>
    <w:p w14:paraId="7D2AB499" w14:textId="52A00457" w:rsidR="00833A77" w:rsidRPr="00D078CE" w:rsidRDefault="002B3BA3" w:rsidP="00D422DA">
      <w:pPr>
        <w:pStyle w:val="001TitoloBolocco"/>
        <w:spacing w:after="100" w:line="240" w:lineRule="auto"/>
      </w:pPr>
      <w:r>
        <w:t>VALORI MEDI UNITA</w:t>
      </w:r>
      <w:r w:rsidR="006F2133">
        <w:t>RI E VOLUMI ALL’EXPORT E ALL’IMPORT</w:t>
      </w:r>
    </w:p>
    <w:p w14:paraId="6A5F4E56" w14:textId="4EAD95C3" w:rsidR="006F2133" w:rsidRDefault="006F2133" w:rsidP="006F2133">
      <w:pPr>
        <w:pStyle w:val="Corpodeltesto1"/>
        <w:spacing w:after="120"/>
        <w:jc w:val="left"/>
        <w:rPr>
          <w:rFonts w:ascii="Arial Narrow" w:hAnsi="Arial Narrow" w:cs="Arial"/>
          <w:b w:val="0"/>
          <w:color w:val="5F5F5F"/>
          <w:kern w:val="28"/>
          <w:sz w:val="20"/>
          <w:szCs w:val="20"/>
        </w:rPr>
      </w:pPr>
      <w:r w:rsidRPr="006F2133">
        <w:rPr>
          <w:rFonts w:ascii="Arial Narrow" w:hAnsi="Arial Narrow" w:cs="Arial"/>
          <w:color w:val="E42618"/>
          <w:kern w:val="28"/>
          <w:sz w:val="22"/>
          <w:szCs w:val="22"/>
        </w:rPr>
        <w:t xml:space="preserve">FIGURA </w:t>
      </w:r>
      <w:r w:rsidR="00B145A1">
        <w:rPr>
          <w:rFonts w:ascii="Arial Narrow" w:hAnsi="Arial Narrow" w:cs="Arial"/>
          <w:color w:val="E42618"/>
          <w:kern w:val="28"/>
          <w:sz w:val="22"/>
          <w:szCs w:val="22"/>
        </w:rPr>
        <w:t>10</w:t>
      </w:r>
      <w:r w:rsidRPr="006F2133">
        <w:rPr>
          <w:rFonts w:ascii="Arial Narrow" w:hAnsi="Arial Narrow" w:cs="Arial"/>
          <w:color w:val="E42618"/>
          <w:kern w:val="28"/>
          <w:sz w:val="22"/>
          <w:szCs w:val="22"/>
        </w:rPr>
        <w:t xml:space="preserve">. </w:t>
      </w:r>
      <w:r w:rsidRPr="006F2133">
        <w:rPr>
          <w:rFonts w:ascii="Arial Narrow" w:hAnsi="Arial Narrow" w:cs="Arial"/>
          <w:color w:val="5F5F5F"/>
          <w:kern w:val="28"/>
          <w:sz w:val="22"/>
          <w:szCs w:val="22"/>
        </w:rPr>
        <w:t>VALORI MEDI UNITARI E VOLUMI</w:t>
      </w:r>
      <w:r w:rsidR="00147CB5">
        <w:rPr>
          <w:rFonts w:ascii="Arial Narrow" w:hAnsi="Arial Narrow" w:cs="Arial"/>
          <w:color w:val="5F5F5F"/>
          <w:kern w:val="28"/>
          <w:sz w:val="22"/>
          <w:szCs w:val="22"/>
        </w:rPr>
        <w:t xml:space="preserve"> </w:t>
      </w:r>
      <w:r>
        <w:rPr>
          <w:rFonts w:ascii="Arial Narrow" w:hAnsi="Arial Narrow" w:cs="Arial"/>
          <w:b w:val="0"/>
          <w:bCs/>
          <w:sz w:val="19"/>
          <w:szCs w:val="19"/>
        </w:rPr>
        <w:br/>
      </w:r>
      <w:proofErr w:type="gramStart"/>
      <w:r w:rsidR="00403189" w:rsidRPr="00367843">
        <w:rPr>
          <w:rFonts w:ascii="Arial Narrow" w:hAnsi="Arial Narrow" w:cs="Arial"/>
          <w:b w:val="0"/>
          <w:color w:val="5F5F5F"/>
          <w:kern w:val="28"/>
          <w:sz w:val="20"/>
          <w:szCs w:val="20"/>
        </w:rPr>
        <w:t>Gennaio</w:t>
      </w:r>
      <w:proofErr w:type="gramEnd"/>
      <w:r w:rsidR="00403189" w:rsidRPr="00367843">
        <w:rPr>
          <w:rFonts w:ascii="Arial Narrow" w:hAnsi="Arial Narrow" w:cs="Arial"/>
          <w:b w:val="0"/>
          <w:color w:val="5F5F5F"/>
          <w:kern w:val="28"/>
          <w:sz w:val="20"/>
          <w:szCs w:val="20"/>
        </w:rPr>
        <w:t xml:space="preserve"> 201</w:t>
      </w:r>
      <w:r w:rsidR="00470B67">
        <w:rPr>
          <w:rFonts w:ascii="Arial Narrow" w:hAnsi="Arial Narrow" w:cs="Arial"/>
          <w:b w:val="0"/>
          <w:color w:val="5F5F5F"/>
          <w:kern w:val="28"/>
          <w:sz w:val="20"/>
          <w:szCs w:val="20"/>
        </w:rPr>
        <w:t>8</w:t>
      </w:r>
      <w:r w:rsidR="00784638">
        <w:rPr>
          <w:rFonts w:ascii="Arial Narrow" w:hAnsi="Arial Narrow" w:cs="Arial"/>
          <w:b w:val="0"/>
          <w:color w:val="5F5F5F"/>
          <w:kern w:val="28"/>
          <w:sz w:val="20"/>
          <w:szCs w:val="20"/>
        </w:rPr>
        <w:t xml:space="preserve"> </w:t>
      </w:r>
      <w:r w:rsidR="00403189" w:rsidRPr="00367843">
        <w:rPr>
          <w:rFonts w:ascii="Arial Narrow" w:hAnsi="Arial Narrow" w:cs="Arial"/>
          <w:b w:val="0"/>
          <w:color w:val="5F5F5F"/>
          <w:kern w:val="28"/>
          <w:sz w:val="20"/>
          <w:szCs w:val="20"/>
        </w:rPr>
        <w:t>-</w:t>
      </w:r>
      <w:r w:rsidR="00EA029A" w:rsidRPr="00EA029A">
        <w:t xml:space="preserve"> </w:t>
      </w:r>
      <w:r w:rsidR="00B161A0">
        <w:rPr>
          <w:rFonts w:ascii="Arial Narrow" w:hAnsi="Arial Narrow" w:cs="Arial"/>
          <w:b w:val="0"/>
          <w:color w:val="5F5F5F"/>
          <w:kern w:val="28"/>
          <w:sz w:val="20"/>
          <w:szCs w:val="20"/>
        </w:rPr>
        <w:t>luglio</w:t>
      </w:r>
      <w:r w:rsidR="00EA029A" w:rsidRPr="00EA029A">
        <w:rPr>
          <w:rFonts w:ascii="Arial Narrow" w:hAnsi="Arial Narrow" w:cs="Arial"/>
          <w:b w:val="0"/>
          <w:color w:val="5F5F5F"/>
          <w:kern w:val="28"/>
          <w:sz w:val="20"/>
          <w:szCs w:val="20"/>
        </w:rPr>
        <w:t xml:space="preserve"> </w:t>
      </w:r>
      <w:r w:rsidR="00470B67">
        <w:rPr>
          <w:rFonts w:ascii="Arial Narrow" w:hAnsi="Arial Narrow" w:cs="Arial"/>
          <w:b w:val="0"/>
          <w:color w:val="5F5F5F"/>
          <w:kern w:val="28"/>
          <w:sz w:val="20"/>
          <w:szCs w:val="20"/>
        </w:rPr>
        <w:t>2022</w:t>
      </w:r>
      <w:r w:rsidR="00403189" w:rsidRPr="00367843">
        <w:rPr>
          <w:rFonts w:ascii="Arial Narrow" w:hAnsi="Arial Narrow" w:cs="Arial"/>
          <w:b w:val="0"/>
          <w:color w:val="5F5F5F"/>
          <w:kern w:val="28"/>
          <w:sz w:val="20"/>
          <w:szCs w:val="20"/>
        </w:rPr>
        <w:t xml:space="preserve">, variazioni percentuali </w:t>
      </w:r>
      <w:r w:rsidR="00147CB5" w:rsidRPr="00367843">
        <w:rPr>
          <w:rFonts w:ascii="Arial Narrow" w:hAnsi="Arial Narrow" w:cs="Arial"/>
          <w:b w:val="0"/>
          <w:color w:val="5F5F5F"/>
          <w:kern w:val="28"/>
          <w:sz w:val="20"/>
          <w:szCs w:val="20"/>
        </w:rPr>
        <w:t xml:space="preserve">tendenziali </w:t>
      </w:r>
      <w:r w:rsidR="00403189" w:rsidRPr="00367843">
        <w:rPr>
          <w:rFonts w:ascii="Arial Narrow" w:hAnsi="Arial Narrow" w:cs="Arial"/>
          <w:b w:val="0"/>
          <w:color w:val="5F5F5F"/>
          <w:kern w:val="28"/>
          <w:sz w:val="20"/>
          <w:szCs w:val="20"/>
        </w:rPr>
        <w:t>(</w:t>
      </w:r>
      <w:r w:rsidR="00B145A1" w:rsidRPr="00367843">
        <w:rPr>
          <w:rFonts w:ascii="Arial Narrow" w:hAnsi="Arial Narrow" w:cs="Arial"/>
          <w:b w:val="0"/>
          <w:color w:val="5F5F5F"/>
          <w:kern w:val="28"/>
          <w:sz w:val="20"/>
          <w:szCs w:val="20"/>
        </w:rPr>
        <w:t>base 2015</w:t>
      </w:r>
      <w:r w:rsidRPr="00367843">
        <w:rPr>
          <w:rFonts w:ascii="Arial Narrow" w:hAnsi="Arial Narrow" w:cs="Arial"/>
          <w:b w:val="0"/>
          <w:color w:val="5F5F5F"/>
          <w:kern w:val="28"/>
          <w:sz w:val="20"/>
          <w:szCs w:val="20"/>
        </w:rPr>
        <w:t>=100</w:t>
      </w:r>
      <w:r w:rsidR="00403189" w:rsidRPr="00367843">
        <w:rPr>
          <w:rFonts w:ascii="Arial Narrow" w:hAnsi="Arial Narrow" w:cs="Arial"/>
          <w:b w:val="0"/>
          <w:color w:val="5F5F5F"/>
          <w:kern w:val="28"/>
          <w:sz w:val="20"/>
          <w:szCs w:val="20"/>
        </w:rPr>
        <w:t>)</w:t>
      </w:r>
    </w:p>
    <w:p w14:paraId="654D23B7" w14:textId="18AA4424" w:rsidR="00403189" w:rsidRDefault="002662C0" w:rsidP="00975B97">
      <w:pPr>
        <w:pStyle w:val="Corpodeltesto1"/>
        <w:spacing w:after="160"/>
        <w:jc w:val="left"/>
        <w:rPr>
          <w:rFonts w:ascii="Arial Narrow" w:hAnsi="Arial Narrow" w:cs="Arial"/>
          <w:b w:val="0"/>
          <w:color w:val="5F5F5F"/>
          <w:kern w:val="28"/>
          <w:sz w:val="20"/>
          <w:szCs w:val="20"/>
        </w:rPr>
      </w:pPr>
      <w:r>
        <w:rPr>
          <w:noProof/>
        </w:rPr>
        <w:drawing>
          <wp:inline distT="0" distB="0" distL="0" distR="0" wp14:anchorId="5704D23F" wp14:editId="6E4E34BA">
            <wp:extent cx="3150000" cy="2160000"/>
            <wp:effectExtent l="0" t="0" r="0" b="0"/>
            <wp:docPr id="28" name="Gra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rPr>
        <w:drawing>
          <wp:inline distT="0" distB="0" distL="0" distR="0" wp14:anchorId="54776E0E" wp14:editId="4949ADAB">
            <wp:extent cx="3150000" cy="2160000"/>
            <wp:effectExtent l="0" t="0" r="0" b="0"/>
            <wp:docPr id="29" name="Gra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B4CE579" w14:textId="2C10FA31" w:rsidR="00740689" w:rsidRPr="007C052D" w:rsidRDefault="004133BF" w:rsidP="00740689">
      <w:pPr>
        <w:pStyle w:val="Corpotesto1"/>
        <w:spacing w:before="40" w:after="140"/>
        <w:rPr>
          <w:rFonts w:ascii="Arial" w:hAnsi="Arial"/>
          <w:b w:val="0"/>
          <w:kern w:val="28"/>
          <w:sz w:val="21"/>
          <w:szCs w:val="21"/>
          <w:lang w:val="it-IT" w:eastAsia="it-IT"/>
        </w:rPr>
      </w:pPr>
      <w:r w:rsidRPr="004133BF">
        <w:rPr>
          <w:rFonts w:ascii="Arial" w:hAnsi="Arial"/>
          <w:b w:val="0"/>
          <w:kern w:val="28"/>
          <w:sz w:val="21"/>
          <w:szCs w:val="21"/>
          <w:lang w:val="it-IT" w:eastAsia="it-IT"/>
        </w:rPr>
        <w:t xml:space="preserve">A luglio 2022, si registra un ampio aumento tendenziale dei valori medi unitari sia all’export (+23,1%) sia all’import (+43,2%). I volumi scambiati diminuiscono per l’export (-4,0%) e aumentano </w:t>
      </w:r>
      <w:r w:rsidR="00D47C3A">
        <w:rPr>
          <w:rFonts w:ascii="Arial" w:hAnsi="Arial"/>
          <w:b w:val="0"/>
          <w:kern w:val="28"/>
          <w:sz w:val="21"/>
          <w:szCs w:val="21"/>
          <w:lang w:val="it-IT" w:eastAsia="it-IT"/>
        </w:rPr>
        <w:t xml:space="preserve">lievemente </w:t>
      </w:r>
      <w:r w:rsidRPr="004133BF">
        <w:rPr>
          <w:rFonts w:ascii="Arial" w:hAnsi="Arial"/>
          <w:b w:val="0"/>
          <w:kern w:val="28"/>
          <w:sz w:val="21"/>
          <w:szCs w:val="21"/>
          <w:lang w:val="it-IT" w:eastAsia="it-IT"/>
        </w:rPr>
        <w:t>per l’import (+0,6%).</w:t>
      </w:r>
    </w:p>
    <w:p w14:paraId="0D29DD18" w14:textId="3507C391" w:rsidR="00A03714" w:rsidRPr="006304A5" w:rsidRDefault="00A03714" w:rsidP="009308ED">
      <w:pPr>
        <w:pStyle w:val="Corpodeltesto1"/>
        <w:spacing w:after="100"/>
        <w:jc w:val="left"/>
        <w:rPr>
          <w:rFonts w:ascii="Arial Narrow" w:hAnsi="Arial Narrow" w:cs="Arial"/>
          <w:b w:val="0"/>
          <w:bCs/>
          <w:sz w:val="19"/>
          <w:szCs w:val="19"/>
        </w:rPr>
      </w:pPr>
      <w:r w:rsidRPr="007C052D">
        <w:rPr>
          <w:rFonts w:ascii="Arial Narrow" w:hAnsi="Arial Narrow" w:cs="Arial"/>
          <w:color w:val="E42618"/>
          <w:kern w:val="28"/>
          <w:sz w:val="22"/>
          <w:szCs w:val="22"/>
        </w:rPr>
        <w:t xml:space="preserve">PROSPETTO 3. </w:t>
      </w:r>
      <w:r w:rsidRPr="007C052D">
        <w:rPr>
          <w:rFonts w:ascii="Arial Narrow" w:hAnsi="Arial Narrow" w:cs="Arial"/>
          <w:color w:val="5F5F5F"/>
          <w:kern w:val="28"/>
          <w:sz w:val="22"/>
          <w:szCs w:val="22"/>
        </w:rPr>
        <w:t>VALORI MEDI UNITARI E VOLUMI PER AREA UE</w:t>
      </w:r>
      <w:r w:rsidR="00C90F76" w:rsidRPr="007C052D">
        <w:rPr>
          <w:rFonts w:ascii="Arial Narrow" w:hAnsi="Arial Narrow" w:cs="Arial"/>
          <w:color w:val="5F5F5F"/>
          <w:kern w:val="28"/>
          <w:sz w:val="22"/>
          <w:szCs w:val="22"/>
        </w:rPr>
        <w:t>27</w:t>
      </w:r>
      <w:r w:rsidRPr="007C052D">
        <w:rPr>
          <w:rFonts w:ascii="Arial Narrow" w:hAnsi="Arial Narrow" w:cs="Arial"/>
          <w:color w:val="5F5F5F"/>
          <w:kern w:val="28"/>
          <w:sz w:val="22"/>
          <w:szCs w:val="22"/>
        </w:rPr>
        <w:t>, EXTRA UE</w:t>
      </w:r>
      <w:r w:rsidR="00C90F76" w:rsidRPr="007C052D">
        <w:rPr>
          <w:rFonts w:ascii="Arial Narrow" w:hAnsi="Arial Narrow" w:cs="Arial"/>
          <w:color w:val="5F5F5F"/>
          <w:kern w:val="28"/>
          <w:sz w:val="22"/>
          <w:szCs w:val="22"/>
        </w:rPr>
        <w:t>27</w:t>
      </w:r>
      <w:r w:rsidRPr="007C052D">
        <w:rPr>
          <w:rFonts w:ascii="Arial Narrow" w:hAnsi="Arial Narrow" w:cs="Arial"/>
          <w:color w:val="5F5F5F"/>
          <w:kern w:val="28"/>
          <w:sz w:val="22"/>
          <w:szCs w:val="22"/>
        </w:rPr>
        <w:t xml:space="preserve"> E MONDO</w:t>
      </w:r>
      <w:r w:rsidRPr="007C052D">
        <w:rPr>
          <w:rFonts w:ascii="Arial Narrow" w:hAnsi="Arial Narrow" w:cs="Arial Narrow"/>
          <w:color w:val="5F5F5F"/>
          <w:sz w:val="20"/>
        </w:rPr>
        <w:br/>
      </w:r>
      <w:proofErr w:type="gramStart"/>
      <w:r w:rsidR="00B161A0">
        <w:rPr>
          <w:rFonts w:ascii="Arial Narrow" w:hAnsi="Arial Narrow" w:cs="Arial"/>
          <w:b w:val="0"/>
          <w:color w:val="5F5F5F"/>
          <w:kern w:val="28"/>
          <w:sz w:val="20"/>
          <w:szCs w:val="20"/>
        </w:rPr>
        <w:t>Luglio</w:t>
      </w:r>
      <w:proofErr w:type="gramEnd"/>
      <w:r w:rsidR="00B161A0" w:rsidRPr="00C829DA">
        <w:rPr>
          <w:rFonts w:ascii="Arial Narrow" w:hAnsi="Arial Narrow" w:cs="Arial"/>
          <w:b w:val="0"/>
          <w:color w:val="5F5F5F"/>
          <w:kern w:val="28"/>
          <w:sz w:val="20"/>
          <w:szCs w:val="20"/>
        </w:rPr>
        <w:t xml:space="preserve"> </w:t>
      </w:r>
      <w:r w:rsidR="00470B67">
        <w:rPr>
          <w:rFonts w:ascii="Arial Narrow" w:hAnsi="Arial Narrow" w:cs="Arial"/>
          <w:b w:val="0"/>
          <w:color w:val="5F5F5F"/>
          <w:kern w:val="28"/>
          <w:sz w:val="20"/>
          <w:szCs w:val="20"/>
        </w:rPr>
        <w:t>2022</w:t>
      </w:r>
      <w:r w:rsidRPr="007C052D">
        <w:rPr>
          <w:rFonts w:ascii="Arial Narrow" w:hAnsi="Arial Narrow" w:cs="Arial"/>
          <w:b w:val="0"/>
          <w:color w:val="5F5F5F"/>
          <w:kern w:val="28"/>
          <w:sz w:val="20"/>
          <w:szCs w:val="20"/>
        </w:rPr>
        <w:t xml:space="preserve">, </w:t>
      </w:r>
      <w:r w:rsidR="00C03605" w:rsidRPr="007C052D">
        <w:rPr>
          <w:rFonts w:ascii="Arial Narrow" w:hAnsi="Arial Narrow" w:cs="Arial"/>
          <w:b w:val="0"/>
          <w:color w:val="5F5F5F"/>
          <w:kern w:val="28"/>
          <w:sz w:val="20"/>
          <w:szCs w:val="20"/>
        </w:rPr>
        <w:t xml:space="preserve">variazioni percentuali </w:t>
      </w:r>
      <w:r w:rsidR="00147CB5" w:rsidRPr="007C052D">
        <w:rPr>
          <w:rFonts w:ascii="Arial Narrow" w:hAnsi="Arial Narrow" w:cs="Arial"/>
          <w:b w:val="0"/>
          <w:color w:val="5F5F5F"/>
          <w:kern w:val="28"/>
          <w:sz w:val="20"/>
          <w:szCs w:val="20"/>
        </w:rPr>
        <w:t xml:space="preserve">tendenziali </w:t>
      </w:r>
      <w:r w:rsidR="00C03605" w:rsidRPr="007C052D">
        <w:rPr>
          <w:rFonts w:ascii="Arial Narrow" w:hAnsi="Arial Narrow" w:cs="Arial"/>
          <w:b w:val="0"/>
          <w:color w:val="5F5F5F"/>
          <w:kern w:val="28"/>
          <w:sz w:val="20"/>
          <w:szCs w:val="20"/>
        </w:rPr>
        <w:t>(</w:t>
      </w:r>
      <w:r w:rsidR="00B145A1" w:rsidRPr="007C052D">
        <w:rPr>
          <w:rFonts w:ascii="Arial Narrow" w:hAnsi="Arial Narrow" w:cs="Arial"/>
          <w:b w:val="0"/>
          <w:color w:val="5F5F5F"/>
          <w:kern w:val="28"/>
          <w:sz w:val="20"/>
          <w:szCs w:val="20"/>
        </w:rPr>
        <w:t>base 2015</w:t>
      </w:r>
      <w:r w:rsidRPr="007C052D">
        <w:rPr>
          <w:rFonts w:ascii="Arial Narrow" w:hAnsi="Arial Narrow" w:cs="Arial"/>
          <w:b w:val="0"/>
          <w:color w:val="5F5F5F"/>
          <w:kern w:val="28"/>
          <w:sz w:val="20"/>
          <w:szCs w:val="20"/>
        </w:rPr>
        <w:t>=</w:t>
      </w:r>
      <w:r w:rsidRPr="00273960">
        <w:rPr>
          <w:rFonts w:ascii="Arial Narrow" w:hAnsi="Arial Narrow" w:cs="Arial"/>
          <w:b w:val="0"/>
          <w:color w:val="5F5F5F"/>
          <w:kern w:val="28"/>
          <w:sz w:val="20"/>
          <w:szCs w:val="20"/>
        </w:rPr>
        <w:t>100</w:t>
      </w:r>
      <w:r w:rsidR="00C03605" w:rsidRPr="00273960">
        <w:rPr>
          <w:rFonts w:ascii="Arial Narrow" w:hAnsi="Arial Narrow" w:cs="Arial"/>
          <w:b w:val="0"/>
          <w:color w:val="5F5F5F"/>
          <w:kern w:val="28"/>
          <w:sz w:val="20"/>
          <w:szCs w:val="20"/>
        </w:rPr>
        <w:t>)</w:t>
      </w:r>
    </w:p>
    <w:tbl>
      <w:tblPr>
        <w:tblW w:w="10206" w:type="dxa"/>
        <w:tblInd w:w="70" w:type="dxa"/>
        <w:tblLayout w:type="fixed"/>
        <w:tblCellMar>
          <w:left w:w="70" w:type="dxa"/>
          <w:right w:w="70" w:type="dxa"/>
        </w:tblCellMar>
        <w:tblLook w:val="0000" w:firstRow="0" w:lastRow="0" w:firstColumn="0" w:lastColumn="0" w:noHBand="0" w:noVBand="0"/>
      </w:tblPr>
      <w:tblGrid>
        <w:gridCol w:w="1647"/>
        <w:gridCol w:w="823"/>
        <w:gridCol w:w="1316"/>
        <w:gridCol w:w="823"/>
        <w:gridCol w:w="1317"/>
        <w:gridCol w:w="823"/>
        <w:gridCol w:w="1317"/>
        <w:gridCol w:w="823"/>
        <w:gridCol w:w="1317"/>
      </w:tblGrid>
      <w:tr w:rsidR="0075218A" w:rsidRPr="006304A5" w14:paraId="168C3C36" w14:textId="77777777" w:rsidTr="0075218A">
        <w:trPr>
          <w:trHeight w:val="255"/>
        </w:trPr>
        <w:tc>
          <w:tcPr>
            <w:tcW w:w="1647" w:type="dxa"/>
            <w:vMerge w:val="restart"/>
            <w:tcBorders>
              <w:top w:val="single" w:sz="4" w:space="0" w:color="auto"/>
              <w:left w:val="nil"/>
              <w:right w:val="nil"/>
            </w:tcBorders>
            <w:noWrap/>
            <w:vAlign w:val="center"/>
          </w:tcPr>
          <w:p w14:paraId="771580B8" w14:textId="77777777" w:rsidR="0075218A" w:rsidRDefault="0075218A" w:rsidP="0075218A">
            <w:pPr>
              <w:spacing w:before="40" w:after="20"/>
              <w:jc w:val="center"/>
              <w:rPr>
                <w:rFonts w:ascii="Arial Narrow" w:hAnsi="Arial Narrow" w:cs="Arial"/>
                <w:b/>
                <w:sz w:val="18"/>
                <w:szCs w:val="18"/>
              </w:rPr>
            </w:pPr>
            <w:r w:rsidRPr="006304A5">
              <w:rPr>
                <w:rFonts w:ascii="Arial Narrow" w:hAnsi="Arial Narrow" w:cs="Arial"/>
                <w:b/>
                <w:sz w:val="18"/>
                <w:szCs w:val="18"/>
              </w:rPr>
              <w:t xml:space="preserve">PRINCIPALI AREE </w:t>
            </w:r>
          </w:p>
          <w:p w14:paraId="0EF80FE7" w14:textId="77777777" w:rsidR="0075218A" w:rsidRPr="006304A5" w:rsidRDefault="0075218A" w:rsidP="0075218A">
            <w:pPr>
              <w:spacing w:before="40" w:after="20"/>
              <w:jc w:val="center"/>
              <w:rPr>
                <w:rFonts w:ascii="Arial Narrow" w:hAnsi="Arial Narrow" w:cs="Arial"/>
                <w:b/>
                <w:sz w:val="18"/>
                <w:szCs w:val="18"/>
              </w:rPr>
            </w:pPr>
            <w:r w:rsidRPr="006304A5">
              <w:rPr>
                <w:rFonts w:ascii="Arial Narrow" w:hAnsi="Arial Narrow" w:cs="Arial"/>
                <w:b/>
                <w:sz w:val="18"/>
                <w:szCs w:val="18"/>
              </w:rPr>
              <w:t>DI INTERSCAMBIO</w:t>
            </w:r>
          </w:p>
        </w:tc>
        <w:tc>
          <w:tcPr>
            <w:tcW w:w="4279" w:type="dxa"/>
            <w:gridSpan w:val="4"/>
            <w:tcBorders>
              <w:top w:val="single" w:sz="4" w:space="0" w:color="auto"/>
              <w:left w:val="nil"/>
              <w:bottom w:val="single" w:sz="4" w:space="0" w:color="auto"/>
              <w:right w:val="nil"/>
            </w:tcBorders>
            <w:shd w:val="clear" w:color="auto" w:fill="D9D9D9"/>
            <w:noWrap/>
            <w:vAlign w:val="center"/>
          </w:tcPr>
          <w:p w14:paraId="5D86CA89" w14:textId="77777777" w:rsidR="0075218A" w:rsidRPr="006304A5" w:rsidRDefault="0075218A" w:rsidP="0075218A">
            <w:pPr>
              <w:spacing w:before="40" w:after="20"/>
              <w:jc w:val="center"/>
              <w:rPr>
                <w:rFonts w:ascii="Arial Narrow" w:hAnsi="Arial Narrow"/>
                <w:b/>
                <w:bCs/>
                <w:sz w:val="18"/>
                <w:szCs w:val="18"/>
              </w:rPr>
            </w:pPr>
            <w:r w:rsidRPr="006304A5">
              <w:rPr>
                <w:rFonts w:ascii="Arial Narrow" w:hAnsi="Arial Narrow" w:cs="Arial"/>
                <w:b/>
                <w:bCs/>
                <w:sz w:val="18"/>
                <w:szCs w:val="18"/>
              </w:rPr>
              <w:t>VALORI MEDI UNITARI</w:t>
            </w:r>
          </w:p>
        </w:tc>
        <w:tc>
          <w:tcPr>
            <w:tcW w:w="4280" w:type="dxa"/>
            <w:gridSpan w:val="4"/>
            <w:tcBorders>
              <w:top w:val="single" w:sz="4" w:space="0" w:color="auto"/>
              <w:left w:val="nil"/>
              <w:bottom w:val="single" w:sz="4" w:space="0" w:color="auto"/>
              <w:right w:val="nil"/>
            </w:tcBorders>
            <w:shd w:val="clear" w:color="auto" w:fill="auto"/>
            <w:noWrap/>
            <w:vAlign w:val="center"/>
          </w:tcPr>
          <w:p w14:paraId="1714DDC3" w14:textId="77777777" w:rsidR="0075218A" w:rsidRPr="006304A5" w:rsidRDefault="0075218A" w:rsidP="0075218A">
            <w:pPr>
              <w:spacing w:before="40" w:after="20"/>
              <w:jc w:val="center"/>
              <w:rPr>
                <w:rFonts w:ascii="Arial Narrow" w:hAnsi="Arial Narrow"/>
                <w:b/>
                <w:bCs/>
                <w:sz w:val="18"/>
                <w:szCs w:val="18"/>
              </w:rPr>
            </w:pPr>
            <w:r w:rsidRPr="006304A5">
              <w:rPr>
                <w:rFonts w:ascii="Arial Narrow" w:hAnsi="Arial Narrow" w:cs="Arial"/>
                <w:b/>
                <w:bCs/>
                <w:sz w:val="18"/>
                <w:szCs w:val="18"/>
              </w:rPr>
              <w:t>VOLUMI</w:t>
            </w:r>
          </w:p>
        </w:tc>
      </w:tr>
      <w:tr w:rsidR="0075218A" w:rsidRPr="006304A5" w14:paraId="45601B5E" w14:textId="77777777" w:rsidTr="0075218A">
        <w:trPr>
          <w:trHeight w:val="255"/>
        </w:trPr>
        <w:tc>
          <w:tcPr>
            <w:tcW w:w="1647" w:type="dxa"/>
            <w:vMerge/>
            <w:tcBorders>
              <w:left w:val="nil"/>
              <w:right w:val="nil"/>
            </w:tcBorders>
            <w:noWrap/>
            <w:vAlign w:val="bottom"/>
          </w:tcPr>
          <w:p w14:paraId="1CEEAA34" w14:textId="77777777" w:rsidR="0075218A" w:rsidRPr="006304A5" w:rsidRDefault="0075218A" w:rsidP="0075218A">
            <w:pPr>
              <w:spacing w:before="40" w:after="20"/>
              <w:rPr>
                <w:rFonts w:ascii="Arial Narrow" w:hAnsi="Arial Narrow" w:cs="Arial"/>
                <w:sz w:val="18"/>
                <w:szCs w:val="18"/>
              </w:rPr>
            </w:pPr>
          </w:p>
        </w:tc>
        <w:tc>
          <w:tcPr>
            <w:tcW w:w="2139" w:type="dxa"/>
            <w:gridSpan w:val="2"/>
            <w:tcBorders>
              <w:top w:val="single" w:sz="4" w:space="0" w:color="auto"/>
              <w:left w:val="nil"/>
              <w:bottom w:val="single" w:sz="4" w:space="0" w:color="auto"/>
              <w:right w:val="nil"/>
            </w:tcBorders>
            <w:shd w:val="clear" w:color="auto" w:fill="D9D9D9"/>
            <w:vAlign w:val="center"/>
          </w:tcPr>
          <w:p w14:paraId="0B04446B" w14:textId="77777777" w:rsidR="0075218A" w:rsidRPr="0063317A" w:rsidRDefault="0075218A" w:rsidP="0075218A">
            <w:pPr>
              <w:spacing w:before="40" w:after="20"/>
              <w:jc w:val="center"/>
              <w:rPr>
                <w:rFonts w:ascii="Arial Narrow" w:hAnsi="Arial Narrow" w:cs="Arial"/>
                <w:b/>
                <w:bCs/>
                <w:sz w:val="18"/>
                <w:szCs w:val="18"/>
              </w:rPr>
            </w:pPr>
            <w:r w:rsidRPr="0063317A">
              <w:rPr>
                <w:rFonts w:ascii="Arial Narrow" w:hAnsi="Arial Narrow" w:cs="Arial"/>
                <w:b/>
                <w:bCs/>
                <w:sz w:val="18"/>
                <w:szCs w:val="18"/>
              </w:rPr>
              <w:t>Esportazioni</w:t>
            </w:r>
          </w:p>
        </w:tc>
        <w:tc>
          <w:tcPr>
            <w:tcW w:w="2140" w:type="dxa"/>
            <w:gridSpan w:val="2"/>
            <w:tcBorders>
              <w:top w:val="single" w:sz="4" w:space="0" w:color="auto"/>
              <w:left w:val="nil"/>
              <w:bottom w:val="single" w:sz="4" w:space="0" w:color="auto"/>
              <w:right w:val="nil"/>
            </w:tcBorders>
            <w:vAlign w:val="center"/>
          </w:tcPr>
          <w:p w14:paraId="3DC160D6" w14:textId="77777777" w:rsidR="0075218A" w:rsidRPr="0063317A" w:rsidRDefault="0075218A" w:rsidP="0075218A">
            <w:pPr>
              <w:spacing w:before="40" w:after="20"/>
              <w:jc w:val="center"/>
              <w:rPr>
                <w:rFonts w:ascii="Arial Narrow" w:hAnsi="Arial Narrow" w:cs="Arial"/>
                <w:b/>
                <w:bCs/>
                <w:sz w:val="18"/>
                <w:szCs w:val="18"/>
              </w:rPr>
            </w:pPr>
            <w:r w:rsidRPr="0063317A">
              <w:rPr>
                <w:rFonts w:ascii="Arial Narrow" w:hAnsi="Arial Narrow" w:cs="Arial"/>
                <w:b/>
                <w:bCs/>
                <w:sz w:val="18"/>
                <w:szCs w:val="18"/>
              </w:rPr>
              <w:t>Importazioni</w:t>
            </w:r>
          </w:p>
        </w:tc>
        <w:tc>
          <w:tcPr>
            <w:tcW w:w="2140" w:type="dxa"/>
            <w:gridSpan w:val="2"/>
            <w:tcBorders>
              <w:top w:val="single" w:sz="4" w:space="0" w:color="auto"/>
              <w:left w:val="nil"/>
              <w:bottom w:val="single" w:sz="4" w:space="0" w:color="auto"/>
              <w:right w:val="nil"/>
            </w:tcBorders>
            <w:shd w:val="clear" w:color="auto" w:fill="D9D9D9"/>
            <w:vAlign w:val="center"/>
          </w:tcPr>
          <w:p w14:paraId="3EACD2C6" w14:textId="77777777" w:rsidR="0075218A" w:rsidRPr="0063317A" w:rsidRDefault="0075218A" w:rsidP="0075218A">
            <w:pPr>
              <w:spacing w:before="40" w:after="20"/>
              <w:jc w:val="center"/>
              <w:rPr>
                <w:rFonts w:ascii="Arial Narrow" w:hAnsi="Arial Narrow" w:cs="Arial"/>
                <w:b/>
                <w:bCs/>
                <w:sz w:val="18"/>
                <w:szCs w:val="18"/>
              </w:rPr>
            </w:pPr>
            <w:r w:rsidRPr="0063317A">
              <w:rPr>
                <w:rFonts w:ascii="Arial Narrow" w:hAnsi="Arial Narrow" w:cs="Arial"/>
                <w:b/>
                <w:bCs/>
                <w:sz w:val="18"/>
                <w:szCs w:val="18"/>
              </w:rPr>
              <w:t>Esportazioni</w:t>
            </w:r>
          </w:p>
        </w:tc>
        <w:tc>
          <w:tcPr>
            <w:tcW w:w="2140" w:type="dxa"/>
            <w:gridSpan w:val="2"/>
            <w:tcBorders>
              <w:top w:val="single" w:sz="4" w:space="0" w:color="auto"/>
              <w:left w:val="nil"/>
              <w:bottom w:val="single" w:sz="4" w:space="0" w:color="auto"/>
              <w:right w:val="nil"/>
            </w:tcBorders>
            <w:vAlign w:val="center"/>
          </w:tcPr>
          <w:p w14:paraId="071ED864" w14:textId="77777777" w:rsidR="0075218A" w:rsidRPr="0063317A" w:rsidRDefault="0075218A" w:rsidP="0075218A">
            <w:pPr>
              <w:spacing w:before="40" w:after="20"/>
              <w:jc w:val="center"/>
              <w:rPr>
                <w:rFonts w:ascii="Arial Narrow" w:hAnsi="Arial Narrow" w:cs="Arial"/>
                <w:b/>
                <w:bCs/>
                <w:sz w:val="18"/>
                <w:szCs w:val="18"/>
              </w:rPr>
            </w:pPr>
            <w:r w:rsidRPr="0063317A">
              <w:rPr>
                <w:rFonts w:ascii="Arial Narrow" w:hAnsi="Arial Narrow" w:cs="Arial"/>
                <w:b/>
                <w:bCs/>
                <w:sz w:val="18"/>
                <w:szCs w:val="18"/>
              </w:rPr>
              <w:t>Importazioni</w:t>
            </w:r>
          </w:p>
        </w:tc>
      </w:tr>
      <w:tr w:rsidR="0075218A" w:rsidRPr="006304A5" w14:paraId="1C922A06" w14:textId="77777777" w:rsidTr="0075218A">
        <w:trPr>
          <w:trHeight w:val="255"/>
        </w:trPr>
        <w:tc>
          <w:tcPr>
            <w:tcW w:w="1647" w:type="dxa"/>
            <w:vMerge/>
            <w:tcBorders>
              <w:left w:val="nil"/>
              <w:right w:val="nil"/>
            </w:tcBorders>
            <w:noWrap/>
            <w:vAlign w:val="bottom"/>
          </w:tcPr>
          <w:p w14:paraId="1306B0FB" w14:textId="77777777" w:rsidR="0075218A" w:rsidRPr="006304A5" w:rsidRDefault="0075218A" w:rsidP="0075218A">
            <w:pPr>
              <w:spacing w:before="40" w:after="20"/>
              <w:rPr>
                <w:rFonts w:ascii="Arial Narrow" w:hAnsi="Arial Narrow" w:cs="Arial"/>
                <w:sz w:val="18"/>
                <w:szCs w:val="18"/>
              </w:rPr>
            </w:pPr>
          </w:p>
        </w:tc>
        <w:tc>
          <w:tcPr>
            <w:tcW w:w="2139" w:type="dxa"/>
            <w:gridSpan w:val="2"/>
            <w:tcBorders>
              <w:top w:val="single" w:sz="4" w:space="0" w:color="auto"/>
              <w:left w:val="nil"/>
              <w:right w:val="nil"/>
            </w:tcBorders>
            <w:shd w:val="clear" w:color="auto" w:fill="auto"/>
            <w:vAlign w:val="center"/>
          </w:tcPr>
          <w:p w14:paraId="02C039C5" w14:textId="77777777" w:rsidR="0075218A" w:rsidRPr="00C03605" w:rsidRDefault="0075218A" w:rsidP="0075218A">
            <w:pPr>
              <w:spacing w:before="40" w:after="20"/>
              <w:jc w:val="center"/>
              <w:rPr>
                <w:rFonts w:ascii="Arial Narrow" w:hAnsi="Arial Narrow"/>
                <w:sz w:val="18"/>
                <w:szCs w:val="18"/>
                <w:lang w:val="en-US"/>
              </w:rPr>
            </w:pPr>
            <w:r w:rsidRPr="00C90F76">
              <w:rPr>
                <w:rFonts w:ascii="Arial Narrow" w:hAnsi="Arial Narrow"/>
                <w:sz w:val="18"/>
                <w:szCs w:val="18"/>
              </w:rPr>
              <w:t xml:space="preserve">Variazioni </w:t>
            </w:r>
            <w:proofErr w:type="spellStart"/>
            <w:r w:rsidRPr="00C03605">
              <w:rPr>
                <w:rFonts w:ascii="Arial Narrow" w:hAnsi="Arial Narrow"/>
                <w:sz w:val="18"/>
                <w:szCs w:val="18"/>
                <w:lang w:val="en-US"/>
              </w:rPr>
              <w:t>tendenziali</w:t>
            </w:r>
            <w:proofErr w:type="spellEnd"/>
          </w:p>
        </w:tc>
        <w:tc>
          <w:tcPr>
            <w:tcW w:w="2140" w:type="dxa"/>
            <w:gridSpan w:val="2"/>
            <w:tcBorders>
              <w:top w:val="single" w:sz="4" w:space="0" w:color="auto"/>
              <w:left w:val="nil"/>
              <w:right w:val="nil"/>
            </w:tcBorders>
            <w:shd w:val="clear" w:color="auto" w:fill="auto"/>
            <w:vAlign w:val="center"/>
          </w:tcPr>
          <w:p w14:paraId="2374F0F7" w14:textId="77777777" w:rsidR="0075218A" w:rsidRPr="00C03605" w:rsidRDefault="0075218A" w:rsidP="0075218A">
            <w:pPr>
              <w:spacing w:before="40" w:after="20"/>
              <w:jc w:val="center"/>
              <w:rPr>
                <w:rFonts w:ascii="Arial Narrow" w:hAnsi="Arial Narrow"/>
                <w:sz w:val="18"/>
                <w:szCs w:val="18"/>
                <w:u w:val="single"/>
                <w:lang w:val="en-US"/>
              </w:rPr>
            </w:pPr>
            <w:proofErr w:type="spellStart"/>
            <w:r w:rsidRPr="00C03605">
              <w:rPr>
                <w:rFonts w:ascii="Arial Narrow" w:hAnsi="Arial Narrow"/>
                <w:sz w:val="18"/>
                <w:szCs w:val="18"/>
                <w:lang w:val="en-US"/>
              </w:rPr>
              <w:t>Variazioni</w:t>
            </w:r>
            <w:proofErr w:type="spellEnd"/>
            <w:r w:rsidRPr="00C03605">
              <w:rPr>
                <w:rFonts w:ascii="Arial Narrow" w:hAnsi="Arial Narrow"/>
                <w:sz w:val="18"/>
                <w:szCs w:val="18"/>
                <w:lang w:val="en-US"/>
              </w:rPr>
              <w:t xml:space="preserve"> </w:t>
            </w:r>
            <w:proofErr w:type="spellStart"/>
            <w:r w:rsidRPr="00C03605">
              <w:rPr>
                <w:rFonts w:ascii="Arial Narrow" w:hAnsi="Arial Narrow"/>
                <w:sz w:val="18"/>
                <w:szCs w:val="18"/>
                <w:lang w:val="en-US"/>
              </w:rPr>
              <w:t>tendenziali</w:t>
            </w:r>
            <w:proofErr w:type="spellEnd"/>
          </w:p>
        </w:tc>
        <w:tc>
          <w:tcPr>
            <w:tcW w:w="2140" w:type="dxa"/>
            <w:gridSpan w:val="2"/>
            <w:tcBorders>
              <w:top w:val="single" w:sz="4" w:space="0" w:color="auto"/>
              <w:left w:val="nil"/>
              <w:right w:val="nil"/>
            </w:tcBorders>
            <w:shd w:val="clear" w:color="auto" w:fill="auto"/>
            <w:vAlign w:val="center"/>
          </w:tcPr>
          <w:p w14:paraId="584D08A0" w14:textId="77777777" w:rsidR="0075218A" w:rsidRPr="00C03605" w:rsidRDefault="0075218A" w:rsidP="0075218A">
            <w:pPr>
              <w:spacing w:before="40" w:after="20"/>
              <w:jc w:val="center"/>
              <w:rPr>
                <w:rFonts w:ascii="Arial Narrow" w:hAnsi="Arial Narrow"/>
                <w:sz w:val="18"/>
                <w:szCs w:val="18"/>
                <w:u w:val="single"/>
                <w:lang w:val="en-US"/>
              </w:rPr>
            </w:pPr>
            <w:proofErr w:type="spellStart"/>
            <w:r w:rsidRPr="00C03605">
              <w:rPr>
                <w:rFonts w:ascii="Arial Narrow" w:hAnsi="Arial Narrow"/>
                <w:sz w:val="18"/>
                <w:szCs w:val="18"/>
                <w:lang w:val="en-US"/>
              </w:rPr>
              <w:t>Variazioni</w:t>
            </w:r>
            <w:proofErr w:type="spellEnd"/>
            <w:r w:rsidRPr="00C03605">
              <w:rPr>
                <w:rFonts w:ascii="Arial Narrow" w:hAnsi="Arial Narrow"/>
                <w:sz w:val="18"/>
                <w:szCs w:val="18"/>
                <w:lang w:val="en-US"/>
              </w:rPr>
              <w:t xml:space="preserve"> </w:t>
            </w:r>
            <w:proofErr w:type="spellStart"/>
            <w:r w:rsidRPr="00C03605">
              <w:rPr>
                <w:rFonts w:ascii="Arial Narrow" w:hAnsi="Arial Narrow"/>
                <w:sz w:val="18"/>
                <w:szCs w:val="18"/>
                <w:lang w:val="en-US"/>
              </w:rPr>
              <w:t>tendenziali</w:t>
            </w:r>
            <w:proofErr w:type="spellEnd"/>
          </w:p>
        </w:tc>
        <w:tc>
          <w:tcPr>
            <w:tcW w:w="2140" w:type="dxa"/>
            <w:gridSpan w:val="2"/>
            <w:tcBorders>
              <w:top w:val="single" w:sz="4" w:space="0" w:color="auto"/>
              <w:left w:val="nil"/>
              <w:right w:val="nil"/>
            </w:tcBorders>
            <w:shd w:val="clear" w:color="auto" w:fill="auto"/>
            <w:vAlign w:val="center"/>
          </w:tcPr>
          <w:p w14:paraId="1E50CB40" w14:textId="77777777" w:rsidR="0075218A" w:rsidRPr="00C03605" w:rsidRDefault="0075218A" w:rsidP="0075218A">
            <w:pPr>
              <w:spacing w:before="40" w:after="20"/>
              <w:jc w:val="center"/>
              <w:rPr>
                <w:rFonts w:ascii="Arial Narrow" w:hAnsi="Arial Narrow"/>
                <w:sz w:val="18"/>
                <w:szCs w:val="18"/>
                <w:u w:val="single"/>
                <w:lang w:val="en-US"/>
              </w:rPr>
            </w:pPr>
            <w:proofErr w:type="spellStart"/>
            <w:r w:rsidRPr="00C03605">
              <w:rPr>
                <w:rFonts w:ascii="Arial Narrow" w:hAnsi="Arial Narrow"/>
                <w:sz w:val="18"/>
                <w:szCs w:val="18"/>
                <w:lang w:val="en-US"/>
              </w:rPr>
              <w:t>Variazioni</w:t>
            </w:r>
            <w:proofErr w:type="spellEnd"/>
            <w:r w:rsidRPr="00C03605">
              <w:rPr>
                <w:rFonts w:ascii="Arial Narrow" w:hAnsi="Arial Narrow"/>
                <w:sz w:val="18"/>
                <w:szCs w:val="18"/>
                <w:lang w:val="en-US"/>
              </w:rPr>
              <w:t xml:space="preserve"> </w:t>
            </w:r>
            <w:proofErr w:type="spellStart"/>
            <w:r w:rsidRPr="00C03605">
              <w:rPr>
                <w:rFonts w:ascii="Arial Narrow" w:hAnsi="Arial Narrow"/>
                <w:sz w:val="18"/>
                <w:szCs w:val="18"/>
                <w:lang w:val="en-US"/>
              </w:rPr>
              <w:t>tendenziali</w:t>
            </w:r>
            <w:proofErr w:type="spellEnd"/>
          </w:p>
        </w:tc>
      </w:tr>
      <w:tr w:rsidR="00B161A0" w:rsidRPr="006304A5" w14:paraId="2B0880B8" w14:textId="77777777" w:rsidTr="0075218A">
        <w:trPr>
          <w:trHeight w:val="255"/>
        </w:trPr>
        <w:tc>
          <w:tcPr>
            <w:tcW w:w="1647" w:type="dxa"/>
            <w:vMerge/>
            <w:tcBorders>
              <w:left w:val="nil"/>
              <w:right w:val="nil"/>
            </w:tcBorders>
            <w:noWrap/>
            <w:vAlign w:val="bottom"/>
          </w:tcPr>
          <w:p w14:paraId="2E62DE81" w14:textId="77777777" w:rsidR="00B161A0" w:rsidRPr="006304A5" w:rsidRDefault="00B161A0" w:rsidP="00B161A0">
            <w:pPr>
              <w:spacing w:before="40" w:after="20"/>
              <w:rPr>
                <w:rFonts w:ascii="Arial Narrow" w:hAnsi="Arial Narrow" w:cs="Arial"/>
                <w:sz w:val="18"/>
                <w:szCs w:val="18"/>
              </w:rPr>
            </w:pPr>
          </w:p>
        </w:tc>
        <w:tc>
          <w:tcPr>
            <w:tcW w:w="823" w:type="dxa"/>
            <w:tcBorders>
              <w:top w:val="single" w:sz="4" w:space="0" w:color="auto"/>
              <w:left w:val="nil"/>
              <w:right w:val="nil"/>
            </w:tcBorders>
            <w:shd w:val="clear" w:color="auto" w:fill="auto"/>
            <w:vAlign w:val="center"/>
          </w:tcPr>
          <w:p w14:paraId="21FEC8CA" w14:textId="239936F6"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 22</w:t>
            </w:r>
          </w:p>
          <w:p w14:paraId="4669C3A0" w14:textId="77A90048" w:rsidR="00B161A0" w:rsidRPr="003C7722" w:rsidRDefault="00B161A0" w:rsidP="00B161A0">
            <w:pPr>
              <w:spacing w:before="40" w:after="20"/>
              <w:jc w:val="center"/>
              <w:rPr>
                <w:rFonts w:ascii="Arial Narrow" w:hAnsi="Arial Narrow"/>
                <w:sz w:val="18"/>
                <w:szCs w:val="18"/>
                <w:lang w:val="en-US"/>
              </w:rPr>
            </w:pPr>
            <w:r>
              <w:rPr>
                <w:rFonts w:ascii="Arial Narrow" w:hAnsi="Arial Narrow"/>
                <w:sz w:val="18"/>
                <w:szCs w:val="18"/>
                <w:lang w:val="en-US"/>
              </w:rPr>
              <w:t>lug 21</w:t>
            </w:r>
          </w:p>
        </w:tc>
        <w:tc>
          <w:tcPr>
            <w:tcW w:w="1316" w:type="dxa"/>
            <w:tcBorders>
              <w:top w:val="single" w:sz="4" w:space="0" w:color="auto"/>
              <w:left w:val="nil"/>
              <w:right w:val="nil"/>
            </w:tcBorders>
            <w:shd w:val="clear" w:color="auto" w:fill="auto"/>
            <w:vAlign w:val="center"/>
          </w:tcPr>
          <w:p w14:paraId="6282AD96" w14:textId="6D3E7ABC"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gen-lug 22</w:t>
            </w:r>
          </w:p>
          <w:p w14:paraId="4A4A32E0" w14:textId="22882D9C" w:rsidR="00B161A0" w:rsidRPr="003C7722" w:rsidRDefault="00B161A0" w:rsidP="00B161A0">
            <w:pPr>
              <w:spacing w:before="40" w:after="20"/>
              <w:jc w:val="center"/>
              <w:rPr>
                <w:rFonts w:ascii="Arial Narrow" w:hAnsi="Arial Narrow"/>
                <w:sz w:val="18"/>
                <w:szCs w:val="18"/>
                <w:lang w:val="en-US"/>
              </w:rPr>
            </w:pPr>
            <w:r>
              <w:rPr>
                <w:rFonts w:ascii="Arial Narrow" w:hAnsi="Arial Narrow"/>
                <w:sz w:val="18"/>
                <w:szCs w:val="18"/>
                <w:lang w:val="en-US"/>
              </w:rPr>
              <w:t>gen-lug 21</w:t>
            </w:r>
          </w:p>
        </w:tc>
        <w:tc>
          <w:tcPr>
            <w:tcW w:w="823" w:type="dxa"/>
            <w:tcBorders>
              <w:top w:val="single" w:sz="4" w:space="0" w:color="auto"/>
              <w:left w:val="nil"/>
              <w:right w:val="nil"/>
            </w:tcBorders>
            <w:shd w:val="clear" w:color="auto" w:fill="auto"/>
            <w:vAlign w:val="center"/>
          </w:tcPr>
          <w:p w14:paraId="5B1D9A5A"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 22</w:t>
            </w:r>
          </w:p>
          <w:p w14:paraId="494F8185" w14:textId="19B75041" w:rsidR="00B161A0" w:rsidRPr="003C7722" w:rsidRDefault="00B161A0" w:rsidP="00B161A0">
            <w:pPr>
              <w:spacing w:before="40" w:after="20"/>
              <w:jc w:val="center"/>
              <w:rPr>
                <w:rFonts w:ascii="Arial Narrow" w:hAnsi="Arial Narrow"/>
                <w:sz w:val="18"/>
                <w:szCs w:val="18"/>
                <w:lang w:val="en-US"/>
              </w:rPr>
            </w:pPr>
            <w:r>
              <w:rPr>
                <w:rFonts w:ascii="Arial Narrow" w:hAnsi="Arial Narrow"/>
                <w:sz w:val="18"/>
                <w:szCs w:val="18"/>
                <w:lang w:val="en-US"/>
              </w:rPr>
              <w:t>lug 21</w:t>
            </w:r>
          </w:p>
        </w:tc>
        <w:tc>
          <w:tcPr>
            <w:tcW w:w="1317" w:type="dxa"/>
            <w:tcBorders>
              <w:top w:val="single" w:sz="4" w:space="0" w:color="auto"/>
              <w:left w:val="nil"/>
              <w:right w:val="nil"/>
            </w:tcBorders>
            <w:shd w:val="clear" w:color="auto" w:fill="auto"/>
            <w:vAlign w:val="center"/>
          </w:tcPr>
          <w:p w14:paraId="00D5402F"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gen-lug 22</w:t>
            </w:r>
          </w:p>
          <w:p w14:paraId="56BEC566" w14:textId="100BF32A" w:rsidR="00B161A0" w:rsidRPr="003C7722" w:rsidRDefault="00B161A0" w:rsidP="00B161A0">
            <w:pPr>
              <w:spacing w:before="40" w:after="20"/>
              <w:jc w:val="center"/>
              <w:rPr>
                <w:rFonts w:ascii="Arial Narrow" w:hAnsi="Arial Narrow"/>
                <w:sz w:val="18"/>
                <w:szCs w:val="18"/>
                <w:lang w:val="en-US"/>
              </w:rPr>
            </w:pPr>
            <w:r>
              <w:rPr>
                <w:rFonts w:ascii="Arial Narrow" w:hAnsi="Arial Narrow"/>
                <w:sz w:val="18"/>
                <w:szCs w:val="18"/>
                <w:lang w:val="en-US"/>
              </w:rPr>
              <w:t>gen-lug 21</w:t>
            </w:r>
          </w:p>
        </w:tc>
        <w:tc>
          <w:tcPr>
            <w:tcW w:w="823" w:type="dxa"/>
            <w:tcBorders>
              <w:top w:val="single" w:sz="4" w:space="0" w:color="auto"/>
              <w:left w:val="nil"/>
              <w:right w:val="nil"/>
            </w:tcBorders>
            <w:shd w:val="clear" w:color="auto" w:fill="auto"/>
            <w:vAlign w:val="center"/>
          </w:tcPr>
          <w:p w14:paraId="6AA24389"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 22</w:t>
            </w:r>
          </w:p>
          <w:p w14:paraId="0F0F10FB" w14:textId="6E05C2DF" w:rsidR="00B161A0" w:rsidRPr="003C7722" w:rsidRDefault="00B161A0" w:rsidP="00B161A0">
            <w:pPr>
              <w:spacing w:before="40" w:after="20"/>
              <w:jc w:val="center"/>
              <w:rPr>
                <w:rFonts w:ascii="Arial Narrow" w:hAnsi="Arial Narrow"/>
                <w:sz w:val="18"/>
                <w:szCs w:val="18"/>
                <w:lang w:val="en-US"/>
              </w:rPr>
            </w:pPr>
            <w:r>
              <w:rPr>
                <w:rFonts w:ascii="Arial Narrow" w:hAnsi="Arial Narrow"/>
                <w:sz w:val="18"/>
                <w:szCs w:val="18"/>
                <w:lang w:val="en-US"/>
              </w:rPr>
              <w:t>lug 21</w:t>
            </w:r>
          </w:p>
        </w:tc>
        <w:tc>
          <w:tcPr>
            <w:tcW w:w="1317" w:type="dxa"/>
            <w:tcBorders>
              <w:top w:val="single" w:sz="4" w:space="0" w:color="auto"/>
              <w:left w:val="nil"/>
              <w:right w:val="nil"/>
            </w:tcBorders>
            <w:shd w:val="clear" w:color="auto" w:fill="auto"/>
            <w:vAlign w:val="center"/>
          </w:tcPr>
          <w:p w14:paraId="3DB05674"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gen-lug 22</w:t>
            </w:r>
          </w:p>
          <w:p w14:paraId="555B4BCA" w14:textId="30F1825F" w:rsidR="00B161A0" w:rsidRPr="003C7722" w:rsidRDefault="00B161A0" w:rsidP="00B161A0">
            <w:pPr>
              <w:spacing w:before="40" w:after="20"/>
              <w:jc w:val="center"/>
              <w:rPr>
                <w:rFonts w:ascii="Arial Narrow" w:hAnsi="Arial Narrow"/>
                <w:sz w:val="18"/>
                <w:szCs w:val="18"/>
                <w:lang w:val="en-US"/>
              </w:rPr>
            </w:pPr>
            <w:r>
              <w:rPr>
                <w:rFonts w:ascii="Arial Narrow" w:hAnsi="Arial Narrow"/>
                <w:sz w:val="18"/>
                <w:szCs w:val="18"/>
                <w:lang w:val="en-US"/>
              </w:rPr>
              <w:t>gen-lug 21</w:t>
            </w:r>
          </w:p>
        </w:tc>
        <w:tc>
          <w:tcPr>
            <w:tcW w:w="823" w:type="dxa"/>
            <w:tcBorders>
              <w:top w:val="single" w:sz="4" w:space="0" w:color="auto"/>
              <w:left w:val="nil"/>
              <w:right w:val="nil"/>
            </w:tcBorders>
            <w:shd w:val="clear" w:color="auto" w:fill="auto"/>
            <w:vAlign w:val="center"/>
          </w:tcPr>
          <w:p w14:paraId="2DA7D6F5"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 22</w:t>
            </w:r>
          </w:p>
          <w:p w14:paraId="43B39C5B" w14:textId="1AEE3EA9" w:rsidR="00B161A0" w:rsidRPr="003C7722" w:rsidRDefault="00B161A0" w:rsidP="00B161A0">
            <w:pPr>
              <w:spacing w:before="40" w:after="20"/>
              <w:jc w:val="center"/>
              <w:rPr>
                <w:rFonts w:ascii="Arial Narrow" w:hAnsi="Arial Narrow"/>
                <w:sz w:val="18"/>
                <w:szCs w:val="18"/>
                <w:lang w:val="en-US"/>
              </w:rPr>
            </w:pPr>
            <w:r>
              <w:rPr>
                <w:rFonts w:ascii="Arial Narrow" w:hAnsi="Arial Narrow"/>
                <w:sz w:val="18"/>
                <w:szCs w:val="18"/>
                <w:lang w:val="en-US"/>
              </w:rPr>
              <w:t>lug 21</w:t>
            </w:r>
          </w:p>
        </w:tc>
        <w:tc>
          <w:tcPr>
            <w:tcW w:w="1317" w:type="dxa"/>
            <w:tcBorders>
              <w:top w:val="single" w:sz="4" w:space="0" w:color="auto"/>
              <w:left w:val="nil"/>
              <w:right w:val="nil"/>
            </w:tcBorders>
            <w:shd w:val="clear" w:color="auto" w:fill="auto"/>
            <w:vAlign w:val="center"/>
          </w:tcPr>
          <w:p w14:paraId="6AE49415"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gen-lug 22</w:t>
            </w:r>
          </w:p>
          <w:p w14:paraId="0ABDB655" w14:textId="5E11DA05" w:rsidR="00B161A0" w:rsidRPr="003C7722" w:rsidRDefault="00B161A0" w:rsidP="00B161A0">
            <w:pPr>
              <w:spacing w:before="40" w:after="20"/>
              <w:jc w:val="center"/>
              <w:rPr>
                <w:rFonts w:ascii="Arial Narrow" w:hAnsi="Arial Narrow"/>
                <w:sz w:val="18"/>
                <w:szCs w:val="18"/>
                <w:lang w:val="en-US"/>
              </w:rPr>
            </w:pPr>
            <w:r>
              <w:rPr>
                <w:rFonts w:ascii="Arial Narrow" w:hAnsi="Arial Narrow"/>
                <w:sz w:val="18"/>
                <w:szCs w:val="18"/>
                <w:lang w:val="en-US"/>
              </w:rPr>
              <w:t>gen-lug 21</w:t>
            </w:r>
          </w:p>
        </w:tc>
      </w:tr>
      <w:tr w:rsidR="002662C0" w:rsidRPr="008C0651" w14:paraId="66852D06" w14:textId="77777777" w:rsidTr="00CA2086">
        <w:trPr>
          <w:trHeight w:val="255"/>
        </w:trPr>
        <w:tc>
          <w:tcPr>
            <w:tcW w:w="1647" w:type="dxa"/>
            <w:tcBorders>
              <w:top w:val="single" w:sz="4" w:space="0" w:color="auto"/>
              <w:left w:val="nil"/>
              <w:bottom w:val="single" w:sz="4" w:space="0" w:color="auto"/>
            </w:tcBorders>
            <w:noWrap/>
            <w:vAlign w:val="bottom"/>
          </w:tcPr>
          <w:p w14:paraId="003EE246" w14:textId="77777777" w:rsidR="002662C0" w:rsidRPr="007C052D" w:rsidRDefault="002662C0" w:rsidP="002662C0">
            <w:pPr>
              <w:spacing w:before="40" w:after="20"/>
              <w:rPr>
                <w:rFonts w:ascii="Arial Narrow" w:hAnsi="Arial Narrow" w:cs="Arial"/>
                <w:sz w:val="18"/>
                <w:szCs w:val="18"/>
              </w:rPr>
            </w:pPr>
            <w:r w:rsidRPr="007C052D">
              <w:rPr>
                <w:rFonts w:ascii="Arial Narrow" w:hAnsi="Arial Narrow" w:cs="Arial"/>
                <w:sz w:val="18"/>
                <w:szCs w:val="18"/>
              </w:rPr>
              <w:t>Paesi Ue27</w:t>
            </w:r>
          </w:p>
        </w:tc>
        <w:tc>
          <w:tcPr>
            <w:tcW w:w="823" w:type="dxa"/>
            <w:tcBorders>
              <w:top w:val="single" w:sz="4" w:space="0" w:color="auto"/>
              <w:bottom w:val="single" w:sz="4" w:space="0" w:color="auto"/>
            </w:tcBorders>
            <w:shd w:val="clear" w:color="auto" w:fill="D9D9D9"/>
            <w:vAlign w:val="bottom"/>
          </w:tcPr>
          <w:p w14:paraId="077B393A" w14:textId="50DFEB48" w:rsidR="002662C0" w:rsidRDefault="002662C0" w:rsidP="002662C0">
            <w:pPr>
              <w:jc w:val="center"/>
              <w:rPr>
                <w:rFonts w:ascii="Arial Narrow" w:hAnsi="Arial Narrow"/>
                <w:sz w:val="18"/>
                <w:szCs w:val="18"/>
              </w:rPr>
            </w:pPr>
            <w:r>
              <w:rPr>
                <w:rFonts w:ascii="Arial Narrow" w:hAnsi="Arial Narrow"/>
                <w:sz w:val="18"/>
                <w:szCs w:val="18"/>
              </w:rPr>
              <w:t>+26,6</w:t>
            </w:r>
          </w:p>
        </w:tc>
        <w:tc>
          <w:tcPr>
            <w:tcW w:w="1316" w:type="dxa"/>
            <w:tcBorders>
              <w:top w:val="single" w:sz="4" w:space="0" w:color="auto"/>
              <w:bottom w:val="single" w:sz="4" w:space="0" w:color="auto"/>
            </w:tcBorders>
            <w:shd w:val="clear" w:color="auto" w:fill="D9D9D9"/>
            <w:vAlign w:val="bottom"/>
          </w:tcPr>
          <w:p w14:paraId="1D4F167A" w14:textId="1DED1869" w:rsidR="002662C0" w:rsidRDefault="002662C0" w:rsidP="002662C0">
            <w:pPr>
              <w:jc w:val="center"/>
              <w:rPr>
                <w:rFonts w:ascii="Arial Narrow" w:hAnsi="Arial Narrow"/>
                <w:sz w:val="18"/>
                <w:szCs w:val="18"/>
              </w:rPr>
            </w:pPr>
            <w:r>
              <w:rPr>
                <w:rFonts w:ascii="Arial Narrow" w:hAnsi="Arial Narrow"/>
                <w:sz w:val="18"/>
                <w:szCs w:val="18"/>
              </w:rPr>
              <w:t>+22,6</w:t>
            </w:r>
          </w:p>
        </w:tc>
        <w:tc>
          <w:tcPr>
            <w:tcW w:w="823" w:type="dxa"/>
            <w:tcBorders>
              <w:top w:val="single" w:sz="4" w:space="0" w:color="auto"/>
              <w:bottom w:val="single" w:sz="4" w:space="0" w:color="auto"/>
            </w:tcBorders>
            <w:vAlign w:val="bottom"/>
          </w:tcPr>
          <w:p w14:paraId="7E1E1535" w14:textId="1FE10447" w:rsidR="002662C0" w:rsidRDefault="002662C0" w:rsidP="002662C0">
            <w:pPr>
              <w:jc w:val="center"/>
              <w:rPr>
                <w:rFonts w:ascii="Arial Narrow" w:hAnsi="Arial Narrow"/>
                <w:sz w:val="18"/>
                <w:szCs w:val="18"/>
              </w:rPr>
            </w:pPr>
            <w:r>
              <w:rPr>
                <w:rFonts w:ascii="Arial Narrow" w:hAnsi="Arial Narrow"/>
                <w:sz w:val="18"/>
                <w:szCs w:val="18"/>
              </w:rPr>
              <w:t>+25,3</w:t>
            </w:r>
          </w:p>
        </w:tc>
        <w:tc>
          <w:tcPr>
            <w:tcW w:w="1317" w:type="dxa"/>
            <w:tcBorders>
              <w:top w:val="single" w:sz="4" w:space="0" w:color="auto"/>
              <w:bottom w:val="single" w:sz="4" w:space="0" w:color="auto"/>
            </w:tcBorders>
            <w:vAlign w:val="bottom"/>
          </w:tcPr>
          <w:p w14:paraId="63208D79" w14:textId="123AACC5" w:rsidR="002662C0" w:rsidRDefault="002662C0" w:rsidP="002662C0">
            <w:pPr>
              <w:jc w:val="center"/>
              <w:rPr>
                <w:rFonts w:ascii="Arial Narrow" w:hAnsi="Arial Narrow"/>
                <w:sz w:val="18"/>
                <w:szCs w:val="18"/>
              </w:rPr>
            </w:pPr>
            <w:r>
              <w:rPr>
                <w:rFonts w:ascii="Arial Narrow" w:hAnsi="Arial Narrow"/>
                <w:sz w:val="18"/>
                <w:szCs w:val="18"/>
              </w:rPr>
              <w:t>+24,6</w:t>
            </w:r>
          </w:p>
        </w:tc>
        <w:tc>
          <w:tcPr>
            <w:tcW w:w="823" w:type="dxa"/>
            <w:tcBorders>
              <w:top w:val="single" w:sz="4" w:space="0" w:color="auto"/>
              <w:bottom w:val="single" w:sz="4" w:space="0" w:color="auto"/>
            </w:tcBorders>
            <w:shd w:val="clear" w:color="auto" w:fill="D9D9D9"/>
            <w:vAlign w:val="bottom"/>
          </w:tcPr>
          <w:p w14:paraId="72E03CE3" w14:textId="32EDF869" w:rsidR="002662C0" w:rsidRDefault="002662C0" w:rsidP="002662C0">
            <w:pPr>
              <w:jc w:val="center"/>
              <w:rPr>
                <w:rFonts w:ascii="Arial Narrow" w:hAnsi="Arial Narrow"/>
                <w:sz w:val="18"/>
                <w:szCs w:val="18"/>
              </w:rPr>
            </w:pPr>
            <w:r>
              <w:rPr>
                <w:rFonts w:ascii="Arial Narrow" w:hAnsi="Arial Narrow"/>
                <w:sz w:val="18"/>
                <w:szCs w:val="18"/>
              </w:rPr>
              <w:t>-3,8</w:t>
            </w:r>
          </w:p>
        </w:tc>
        <w:tc>
          <w:tcPr>
            <w:tcW w:w="1317" w:type="dxa"/>
            <w:tcBorders>
              <w:top w:val="single" w:sz="4" w:space="0" w:color="auto"/>
              <w:bottom w:val="single" w:sz="4" w:space="0" w:color="auto"/>
            </w:tcBorders>
            <w:shd w:val="clear" w:color="auto" w:fill="D9D9D9"/>
            <w:vAlign w:val="bottom"/>
          </w:tcPr>
          <w:p w14:paraId="1F8CB9D1" w14:textId="6654FD38" w:rsidR="002662C0" w:rsidRDefault="002662C0" w:rsidP="002662C0">
            <w:pPr>
              <w:jc w:val="center"/>
              <w:rPr>
                <w:rFonts w:ascii="Arial Narrow" w:hAnsi="Arial Narrow"/>
                <w:sz w:val="18"/>
                <w:szCs w:val="18"/>
              </w:rPr>
            </w:pPr>
            <w:r>
              <w:rPr>
                <w:rFonts w:ascii="Arial Narrow" w:hAnsi="Arial Narrow"/>
                <w:sz w:val="18"/>
                <w:szCs w:val="18"/>
              </w:rPr>
              <w:t>+1,2</w:t>
            </w:r>
          </w:p>
        </w:tc>
        <w:tc>
          <w:tcPr>
            <w:tcW w:w="823" w:type="dxa"/>
            <w:tcBorders>
              <w:top w:val="single" w:sz="4" w:space="0" w:color="auto"/>
              <w:bottom w:val="single" w:sz="4" w:space="0" w:color="auto"/>
            </w:tcBorders>
            <w:vAlign w:val="bottom"/>
          </w:tcPr>
          <w:p w14:paraId="74C14962" w14:textId="761DE9BD" w:rsidR="002662C0" w:rsidRDefault="002662C0" w:rsidP="002662C0">
            <w:pPr>
              <w:jc w:val="center"/>
              <w:rPr>
                <w:rFonts w:ascii="Arial Narrow" w:hAnsi="Arial Narrow"/>
                <w:sz w:val="18"/>
                <w:szCs w:val="18"/>
              </w:rPr>
            </w:pPr>
            <w:r>
              <w:rPr>
                <w:rFonts w:ascii="Arial Narrow" w:hAnsi="Arial Narrow"/>
                <w:sz w:val="18"/>
                <w:szCs w:val="18"/>
              </w:rPr>
              <w:t>-3,1</w:t>
            </w:r>
          </w:p>
        </w:tc>
        <w:tc>
          <w:tcPr>
            <w:tcW w:w="1317" w:type="dxa"/>
            <w:tcBorders>
              <w:top w:val="single" w:sz="4" w:space="0" w:color="auto"/>
              <w:bottom w:val="single" w:sz="4" w:space="0" w:color="auto"/>
            </w:tcBorders>
            <w:vAlign w:val="bottom"/>
          </w:tcPr>
          <w:p w14:paraId="3629393A" w14:textId="453F66A3" w:rsidR="002662C0" w:rsidRDefault="002662C0" w:rsidP="002662C0">
            <w:pPr>
              <w:jc w:val="center"/>
              <w:rPr>
                <w:rFonts w:ascii="Arial Narrow" w:hAnsi="Arial Narrow"/>
                <w:sz w:val="18"/>
                <w:szCs w:val="18"/>
              </w:rPr>
            </w:pPr>
            <w:r>
              <w:rPr>
                <w:rFonts w:ascii="Arial Narrow" w:hAnsi="Arial Narrow"/>
                <w:sz w:val="18"/>
                <w:szCs w:val="18"/>
              </w:rPr>
              <w:t>+2,4</w:t>
            </w:r>
          </w:p>
        </w:tc>
      </w:tr>
      <w:tr w:rsidR="002662C0" w:rsidRPr="008C0651" w14:paraId="530D5F0F" w14:textId="77777777" w:rsidTr="00CA2086">
        <w:trPr>
          <w:trHeight w:val="255"/>
        </w:trPr>
        <w:tc>
          <w:tcPr>
            <w:tcW w:w="1647" w:type="dxa"/>
            <w:tcBorders>
              <w:top w:val="single" w:sz="4" w:space="0" w:color="auto"/>
              <w:left w:val="nil"/>
              <w:bottom w:val="single" w:sz="4" w:space="0" w:color="auto"/>
            </w:tcBorders>
            <w:noWrap/>
            <w:vAlign w:val="bottom"/>
          </w:tcPr>
          <w:p w14:paraId="1E1D3FE9" w14:textId="77777777" w:rsidR="002662C0" w:rsidRPr="007C052D" w:rsidRDefault="002662C0" w:rsidP="002662C0">
            <w:pPr>
              <w:spacing w:before="40" w:after="20"/>
              <w:rPr>
                <w:rFonts w:ascii="Arial Narrow" w:hAnsi="Arial Narrow" w:cs="Arial"/>
                <w:sz w:val="18"/>
                <w:szCs w:val="18"/>
              </w:rPr>
            </w:pPr>
            <w:r w:rsidRPr="007C052D">
              <w:rPr>
                <w:rFonts w:ascii="Arial Narrow" w:hAnsi="Arial Narrow" w:cs="Arial"/>
                <w:sz w:val="18"/>
                <w:szCs w:val="18"/>
              </w:rPr>
              <w:t>Paesi extra Ue27</w:t>
            </w:r>
          </w:p>
        </w:tc>
        <w:tc>
          <w:tcPr>
            <w:tcW w:w="823" w:type="dxa"/>
            <w:tcBorders>
              <w:top w:val="single" w:sz="4" w:space="0" w:color="auto"/>
              <w:bottom w:val="single" w:sz="4" w:space="0" w:color="auto"/>
            </w:tcBorders>
            <w:shd w:val="clear" w:color="auto" w:fill="D9D9D9"/>
            <w:vAlign w:val="bottom"/>
          </w:tcPr>
          <w:p w14:paraId="6329835E" w14:textId="4475AB92" w:rsidR="002662C0" w:rsidRDefault="002662C0" w:rsidP="002662C0">
            <w:pPr>
              <w:jc w:val="center"/>
              <w:rPr>
                <w:rFonts w:ascii="Arial Narrow" w:hAnsi="Arial Narrow"/>
                <w:sz w:val="18"/>
                <w:szCs w:val="18"/>
              </w:rPr>
            </w:pPr>
            <w:r>
              <w:rPr>
                <w:rFonts w:ascii="Arial Narrow" w:hAnsi="Arial Narrow"/>
                <w:sz w:val="18"/>
                <w:szCs w:val="18"/>
              </w:rPr>
              <w:t>+19,2</w:t>
            </w:r>
          </w:p>
        </w:tc>
        <w:tc>
          <w:tcPr>
            <w:tcW w:w="1316" w:type="dxa"/>
            <w:tcBorders>
              <w:top w:val="single" w:sz="4" w:space="0" w:color="auto"/>
              <w:bottom w:val="single" w:sz="4" w:space="0" w:color="auto"/>
            </w:tcBorders>
            <w:shd w:val="clear" w:color="auto" w:fill="D9D9D9"/>
            <w:vAlign w:val="bottom"/>
          </w:tcPr>
          <w:p w14:paraId="4AA1900E" w14:textId="556BC2FE" w:rsidR="002662C0" w:rsidRDefault="002662C0" w:rsidP="002662C0">
            <w:pPr>
              <w:jc w:val="center"/>
              <w:rPr>
                <w:rFonts w:ascii="Arial Narrow" w:hAnsi="Arial Narrow"/>
                <w:sz w:val="18"/>
                <w:szCs w:val="18"/>
              </w:rPr>
            </w:pPr>
            <w:r>
              <w:rPr>
                <w:rFonts w:ascii="Arial Narrow" w:hAnsi="Arial Narrow"/>
                <w:sz w:val="18"/>
                <w:szCs w:val="18"/>
              </w:rPr>
              <w:t>+18,6</w:t>
            </w:r>
          </w:p>
        </w:tc>
        <w:tc>
          <w:tcPr>
            <w:tcW w:w="823" w:type="dxa"/>
            <w:tcBorders>
              <w:top w:val="single" w:sz="4" w:space="0" w:color="auto"/>
              <w:bottom w:val="single" w:sz="4" w:space="0" w:color="auto"/>
            </w:tcBorders>
            <w:vAlign w:val="bottom"/>
          </w:tcPr>
          <w:p w14:paraId="332039EF" w14:textId="6A636FB8" w:rsidR="002662C0" w:rsidRDefault="002662C0" w:rsidP="002662C0">
            <w:pPr>
              <w:jc w:val="center"/>
              <w:rPr>
                <w:rFonts w:ascii="Arial Narrow" w:hAnsi="Arial Narrow"/>
                <w:sz w:val="18"/>
                <w:szCs w:val="18"/>
              </w:rPr>
            </w:pPr>
            <w:r>
              <w:rPr>
                <w:rFonts w:ascii="Arial Narrow" w:hAnsi="Arial Narrow"/>
                <w:sz w:val="18"/>
                <w:szCs w:val="18"/>
              </w:rPr>
              <w:t>+62,1</w:t>
            </w:r>
          </w:p>
        </w:tc>
        <w:tc>
          <w:tcPr>
            <w:tcW w:w="1317" w:type="dxa"/>
            <w:tcBorders>
              <w:top w:val="single" w:sz="4" w:space="0" w:color="auto"/>
              <w:bottom w:val="single" w:sz="4" w:space="0" w:color="auto"/>
            </w:tcBorders>
            <w:vAlign w:val="bottom"/>
          </w:tcPr>
          <w:p w14:paraId="765B5F49" w14:textId="4063EEE0" w:rsidR="002662C0" w:rsidRDefault="002662C0" w:rsidP="002662C0">
            <w:pPr>
              <w:jc w:val="center"/>
              <w:rPr>
                <w:rFonts w:ascii="Arial Narrow" w:hAnsi="Arial Narrow"/>
                <w:sz w:val="18"/>
                <w:szCs w:val="18"/>
              </w:rPr>
            </w:pPr>
            <w:r>
              <w:rPr>
                <w:rFonts w:ascii="Arial Narrow" w:hAnsi="Arial Narrow"/>
                <w:sz w:val="18"/>
                <w:szCs w:val="18"/>
              </w:rPr>
              <w:t>+58,5</w:t>
            </w:r>
          </w:p>
        </w:tc>
        <w:tc>
          <w:tcPr>
            <w:tcW w:w="823" w:type="dxa"/>
            <w:tcBorders>
              <w:top w:val="single" w:sz="4" w:space="0" w:color="auto"/>
              <w:bottom w:val="single" w:sz="4" w:space="0" w:color="auto"/>
            </w:tcBorders>
            <w:shd w:val="clear" w:color="auto" w:fill="D9D9D9"/>
            <w:vAlign w:val="bottom"/>
          </w:tcPr>
          <w:p w14:paraId="2A636F14" w14:textId="48053560" w:rsidR="002662C0" w:rsidRDefault="002662C0" w:rsidP="002662C0">
            <w:pPr>
              <w:jc w:val="center"/>
              <w:rPr>
                <w:rFonts w:ascii="Arial Narrow" w:hAnsi="Arial Narrow"/>
                <w:sz w:val="18"/>
                <w:szCs w:val="18"/>
              </w:rPr>
            </w:pPr>
            <w:r>
              <w:rPr>
                <w:rFonts w:ascii="Arial Narrow" w:hAnsi="Arial Narrow"/>
                <w:sz w:val="18"/>
                <w:szCs w:val="18"/>
              </w:rPr>
              <w:t>-4,1</w:t>
            </w:r>
          </w:p>
        </w:tc>
        <w:tc>
          <w:tcPr>
            <w:tcW w:w="1317" w:type="dxa"/>
            <w:tcBorders>
              <w:top w:val="single" w:sz="4" w:space="0" w:color="auto"/>
              <w:bottom w:val="single" w:sz="4" w:space="0" w:color="auto"/>
            </w:tcBorders>
            <w:shd w:val="clear" w:color="auto" w:fill="D9D9D9"/>
            <w:vAlign w:val="bottom"/>
          </w:tcPr>
          <w:p w14:paraId="43A919F9" w14:textId="6C2CFE2C" w:rsidR="002662C0" w:rsidRDefault="002662C0" w:rsidP="002662C0">
            <w:pPr>
              <w:jc w:val="center"/>
              <w:rPr>
                <w:rFonts w:ascii="Arial Narrow" w:hAnsi="Arial Narrow"/>
                <w:sz w:val="18"/>
                <w:szCs w:val="18"/>
              </w:rPr>
            </w:pPr>
            <w:r>
              <w:rPr>
                <w:rFonts w:ascii="Arial Narrow" w:hAnsi="Arial Narrow"/>
                <w:sz w:val="18"/>
                <w:szCs w:val="18"/>
              </w:rPr>
              <w:t>+0,6</w:t>
            </w:r>
          </w:p>
        </w:tc>
        <w:tc>
          <w:tcPr>
            <w:tcW w:w="823" w:type="dxa"/>
            <w:tcBorders>
              <w:top w:val="single" w:sz="4" w:space="0" w:color="auto"/>
              <w:bottom w:val="single" w:sz="4" w:space="0" w:color="auto"/>
            </w:tcBorders>
            <w:vAlign w:val="bottom"/>
          </w:tcPr>
          <w:p w14:paraId="495638C7" w14:textId="7D7CE427" w:rsidR="002662C0" w:rsidRDefault="002662C0" w:rsidP="002662C0">
            <w:pPr>
              <w:jc w:val="center"/>
              <w:rPr>
                <w:rFonts w:ascii="Arial Narrow" w:hAnsi="Arial Narrow"/>
                <w:sz w:val="18"/>
                <w:szCs w:val="18"/>
              </w:rPr>
            </w:pPr>
            <w:r>
              <w:rPr>
                <w:rFonts w:ascii="Arial Narrow" w:hAnsi="Arial Narrow"/>
                <w:sz w:val="18"/>
                <w:szCs w:val="18"/>
              </w:rPr>
              <w:t>+6,7</w:t>
            </w:r>
          </w:p>
        </w:tc>
        <w:tc>
          <w:tcPr>
            <w:tcW w:w="1317" w:type="dxa"/>
            <w:tcBorders>
              <w:top w:val="single" w:sz="4" w:space="0" w:color="auto"/>
              <w:bottom w:val="single" w:sz="4" w:space="0" w:color="auto"/>
            </w:tcBorders>
            <w:vAlign w:val="bottom"/>
          </w:tcPr>
          <w:p w14:paraId="0BCD0389" w14:textId="1549A01F" w:rsidR="002662C0" w:rsidRDefault="002662C0" w:rsidP="002662C0">
            <w:pPr>
              <w:jc w:val="center"/>
              <w:rPr>
                <w:rFonts w:ascii="Arial Narrow" w:hAnsi="Arial Narrow"/>
                <w:sz w:val="18"/>
                <w:szCs w:val="18"/>
              </w:rPr>
            </w:pPr>
            <w:r>
              <w:rPr>
                <w:rFonts w:ascii="Arial Narrow" w:hAnsi="Arial Narrow"/>
                <w:sz w:val="18"/>
                <w:szCs w:val="18"/>
              </w:rPr>
              <w:t>+5,6</w:t>
            </w:r>
          </w:p>
        </w:tc>
      </w:tr>
      <w:tr w:rsidR="002662C0" w:rsidRPr="002662C0" w14:paraId="1FE047BB" w14:textId="77777777" w:rsidTr="000916A8">
        <w:trPr>
          <w:trHeight w:val="255"/>
        </w:trPr>
        <w:tc>
          <w:tcPr>
            <w:tcW w:w="1647" w:type="dxa"/>
            <w:tcBorders>
              <w:top w:val="single" w:sz="4" w:space="0" w:color="auto"/>
              <w:left w:val="nil"/>
              <w:bottom w:val="single" w:sz="4" w:space="0" w:color="auto"/>
            </w:tcBorders>
            <w:shd w:val="clear" w:color="auto" w:fill="E42618"/>
            <w:noWrap/>
            <w:vAlign w:val="bottom"/>
          </w:tcPr>
          <w:p w14:paraId="43049672" w14:textId="77777777" w:rsidR="002662C0" w:rsidRPr="002662C0" w:rsidRDefault="002662C0" w:rsidP="002662C0">
            <w:pPr>
              <w:spacing w:before="40" w:after="20"/>
              <w:rPr>
                <w:rFonts w:ascii="Arial Narrow" w:hAnsi="Arial Narrow" w:cs="Arial"/>
                <w:b/>
                <w:color w:val="FFFFFF" w:themeColor="background1"/>
                <w:sz w:val="18"/>
                <w:szCs w:val="18"/>
              </w:rPr>
            </w:pPr>
            <w:r w:rsidRPr="002662C0">
              <w:rPr>
                <w:rFonts w:ascii="Arial Narrow" w:hAnsi="Arial Narrow" w:cs="Arial"/>
                <w:b/>
                <w:color w:val="FFFFFF" w:themeColor="background1"/>
                <w:sz w:val="18"/>
                <w:szCs w:val="18"/>
              </w:rPr>
              <w:t>Mondo</w:t>
            </w:r>
          </w:p>
        </w:tc>
        <w:tc>
          <w:tcPr>
            <w:tcW w:w="823" w:type="dxa"/>
            <w:tcBorders>
              <w:top w:val="single" w:sz="4" w:space="0" w:color="auto"/>
              <w:bottom w:val="single" w:sz="4" w:space="0" w:color="auto"/>
            </w:tcBorders>
            <w:shd w:val="clear" w:color="auto" w:fill="E42618"/>
            <w:vAlign w:val="bottom"/>
          </w:tcPr>
          <w:p w14:paraId="220C5EA5" w14:textId="74AE6541" w:rsidR="002662C0" w:rsidRPr="002662C0" w:rsidRDefault="002662C0" w:rsidP="002662C0">
            <w:pPr>
              <w:jc w:val="center"/>
              <w:rPr>
                <w:rFonts w:ascii="Arial Narrow" w:hAnsi="Arial Narrow"/>
                <w:b/>
                <w:color w:val="FFFFFF" w:themeColor="background1"/>
                <w:sz w:val="18"/>
                <w:szCs w:val="18"/>
              </w:rPr>
            </w:pPr>
            <w:r w:rsidRPr="002662C0">
              <w:rPr>
                <w:rFonts w:ascii="Arial Narrow" w:hAnsi="Arial Narrow"/>
                <w:b/>
                <w:color w:val="FFFFFF" w:themeColor="background1"/>
                <w:sz w:val="18"/>
                <w:szCs w:val="18"/>
              </w:rPr>
              <w:t>+23,1</w:t>
            </w:r>
          </w:p>
        </w:tc>
        <w:tc>
          <w:tcPr>
            <w:tcW w:w="1316" w:type="dxa"/>
            <w:tcBorders>
              <w:top w:val="single" w:sz="4" w:space="0" w:color="auto"/>
              <w:bottom w:val="single" w:sz="4" w:space="0" w:color="auto"/>
            </w:tcBorders>
            <w:shd w:val="clear" w:color="auto" w:fill="E42618"/>
            <w:vAlign w:val="bottom"/>
          </w:tcPr>
          <w:p w14:paraId="4F97A181" w14:textId="0788A14E" w:rsidR="002662C0" w:rsidRPr="002662C0" w:rsidRDefault="002662C0" w:rsidP="002662C0">
            <w:pPr>
              <w:jc w:val="center"/>
              <w:rPr>
                <w:rFonts w:ascii="Arial Narrow" w:hAnsi="Arial Narrow"/>
                <w:b/>
                <w:color w:val="FFFFFF" w:themeColor="background1"/>
                <w:sz w:val="18"/>
                <w:szCs w:val="18"/>
              </w:rPr>
            </w:pPr>
            <w:r w:rsidRPr="002662C0">
              <w:rPr>
                <w:rFonts w:ascii="Arial Narrow" w:hAnsi="Arial Narrow"/>
                <w:b/>
                <w:color w:val="FFFFFF" w:themeColor="background1"/>
                <w:sz w:val="18"/>
                <w:szCs w:val="18"/>
              </w:rPr>
              <w:t>+20,6</w:t>
            </w:r>
          </w:p>
        </w:tc>
        <w:tc>
          <w:tcPr>
            <w:tcW w:w="823" w:type="dxa"/>
            <w:tcBorders>
              <w:top w:val="single" w:sz="4" w:space="0" w:color="auto"/>
              <w:bottom w:val="single" w:sz="4" w:space="0" w:color="auto"/>
            </w:tcBorders>
            <w:shd w:val="clear" w:color="auto" w:fill="E42618"/>
            <w:vAlign w:val="bottom"/>
          </w:tcPr>
          <w:p w14:paraId="071BA93C" w14:textId="79AC7F6E" w:rsidR="002662C0" w:rsidRPr="002662C0" w:rsidRDefault="002662C0" w:rsidP="002662C0">
            <w:pPr>
              <w:jc w:val="center"/>
              <w:rPr>
                <w:rFonts w:ascii="Arial Narrow" w:hAnsi="Arial Narrow"/>
                <w:b/>
                <w:color w:val="FFFFFF" w:themeColor="background1"/>
                <w:sz w:val="18"/>
                <w:szCs w:val="18"/>
              </w:rPr>
            </w:pPr>
            <w:r w:rsidRPr="002662C0">
              <w:rPr>
                <w:rFonts w:ascii="Arial Narrow" w:hAnsi="Arial Narrow"/>
                <w:b/>
                <w:color w:val="FFFFFF" w:themeColor="background1"/>
                <w:sz w:val="18"/>
                <w:szCs w:val="18"/>
              </w:rPr>
              <w:t>+43,2</w:t>
            </w:r>
          </w:p>
        </w:tc>
        <w:tc>
          <w:tcPr>
            <w:tcW w:w="1317" w:type="dxa"/>
            <w:tcBorders>
              <w:top w:val="single" w:sz="4" w:space="0" w:color="auto"/>
              <w:bottom w:val="single" w:sz="4" w:space="0" w:color="auto"/>
            </w:tcBorders>
            <w:shd w:val="clear" w:color="auto" w:fill="E42618"/>
            <w:vAlign w:val="bottom"/>
          </w:tcPr>
          <w:p w14:paraId="4B380E54" w14:textId="7752CC36" w:rsidR="002662C0" w:rsidRPr="002662C0" w:rsidRDefault="002662C0" w:rsidP="002662C0">
            <w:pPr>
              <w:jc w:val="center"/>
              <w:rPr>
                <w:rFonts w:ascii="Arial Narrow" w:hAnsi="Arial Narrow"/>
                <w:b/>
                <w:color w:val="FFFFFF" w:themeColor="background1"/>
                <w:sz w:val="18"/>
                <w:szCs w:val="18"/>
              </w:rPr>
            </w:pPr>
            <w:r w:rsidRPr="002662C0">
              <w:rPr>
                <w:rFonts w:ascii="Arial Narrow" w:hAnsi="Arial Narrow"/>
                <w:b/>
                <w:color w:val="FFFFFF" w:themeColor="background1"/>
                <w:sz w:val="18"/>
                <w:szCs w:val="18"/>
              </w:rPr>
              <w:t>+40,2</w:t>
            </w:r>
          </w:p>
        </w:tc>
        <w:tc>
          <w:tcPr>
            <w:tcW w:w="823" w:type="dxa"/>
            <w:tcBorders>
              <w:top w:val="single" w:sz="4" w:space="0" w:color="auto"/>
              <w:bottom w:val="single" w:sz="4" w:space="0" w:color="auto"/>
            </w:tcBorders>
            <w:shd w:val="clear" w:color="auto" w:fill="E42618"/>
            <w:vAlign w:val="bottom"/>
          </w:tcPr>
          <w:p w14:paraId="408A9ACF" w14:textId="18FA644F" w:rsidR="002662C0" w:rsidRPr="002662C0" w:rsidRDefault="002662C0" w:rsidP="002662C0">
            <w:pPr>
              <w:jc w:val="center"/>
              <w:rPr>
                <w:rFonts w:ascii="Arial Narrow" w:hAnsi="Arial Narrow"/>
                <w:b/>
                <w:color w:val="FFFFFF" w:themeColor="background1"/>
                <w:sz w:val="18"/>
                <w:szCs w:val="18"/>
              </w:rPr>
            </w:pPr>
            <w:r w:rsidRPr="002662C0">
              <w:rPr>
                <w:rFonts w:ascii="Arial Narrow" w:hAnsi="Arial Narrow"/>
                <w:b/>
                <w:color w:val="FFFFFF" w:themeColor="background1"/>
                <w:sz w:val="18"/>
                <w:szCs w:val="18"/>
              </w:rPr>
              <w:t>-4,0</w:t>
            </w:r>
          </w:p>
        </w:tc>
        <w:tc>
          <w:tcPr>
            <w:tcW w:w="1317" w:type="dxa"/>
            <w:tcBorders>
              <w:top w:val="single" w:sz="4" w:space="0" w:color="auto"/>
              <w:bottom w:val="single" w:sz="4" w:space="0" w:color="auto"/>
            </w:tcBorders>
            <w:shd w:val="clear" w:color="auto" w:fill="E42618"/>
            <w:vAlign w:val="bottom"/>
          </w:tcPr>
          <w:p w14:paraId="2061DF6D" w14:textId="3005268F" w:rsidR="002662C0" w:rsidRPr="002662C0" w:rsidRDefault="002662C0" w:rsidP="002662C0">
            <w:pPr>
              <w:jc w:val="center"/>
              <w:rPr>
                <w:rFonts w:ascii="Arial Narrow" w:hAnsi="Arial Narrow"/>
                <w:b/>
                <w:color w:val="FFFFFF" w:themeColor="background1"/>
                <w:sz w:val="18"/>
                <w:szCs w:val="18"/>
              </w:rPr>
            </w:pPr>
            <w:r w:rsidRPr="002662C0">
              <w:rPr>
                <w:rFonts w:ascii="Arial Narrow" w:hAnsi="Arial Narrow"/>
                <w:b/>
                <w:color w:val="FFFFFF" w:themeColor="background1"/>
                <w:sz w:val="18"/>
                <w:szCs w:val="18"/>
              </w:rPr>
              <w:t>+0,9</w:t>
            </w:r>
          </w:p>
        </w:tc>
        <w:tc>
          <w:tcPr>
            <w:tcW w:w="823" w:type="dxa"/>
            <w:tcBorders>
              <w:top w:val="single" w:sz="4" w:space="0" w:color="auto"/>
              <w:bottom w:val="single" w:sz="4" w:space="0" w:color="auto"/>
            </w:tcBorders>
            <w:shd w:val="clear" w:color="auto" w:fill="E42618"/>
            <w:vAlign w:val="bottom"/>
          </w:tcPr>
          <w:p w14:paraId="65C52579" w14:textId="65C0B4E4" w:rsidR="002662C0" w:rsidRPr="002662C0" w:rsidRDefault="002662C0" w:rsidP="002662C0">
            <w:pPr>
              <w:jc w:val="center"/>
              <w:rPr>
                <w:rFonts w:ascii="Arial Narrow" w:hAnsi="Arial Narrow"/>
                <w:b/>
                <w:color w:val="FFFFFF" w:themeColor="background1"/>
                <w:sz w:val="18"/>
                <w:szCs w:val="18"/>
              </w:rPr>
            </w:pPr>
            <w:r w:rsidRPr="002662C0">
              <w:rPr>
                <w:rFonts w:ascii="Arial Narrow" w:hAnsi="Arial Narrow"/>
                <w:b/>
                <w:color w:val="FFFFFF" w:themeColor="background1"/>
                <w:sz w:val="18"/>
                <w:szCs w:val="18"/>
              </w:rPr>
              <w:t>+0,6</w:t>
            </w:r>
          </w:p>
        </w:tc>
        <w:tc>
          <w:tcPr>
            <w:tcW w:w="1317" w:type="dxa"/>
            <w:tcBorders>
              <w:top w:val="single" w:sz="4" w:space="0" w:color="auto"/>
              <w:bottom w:val="single" w:sz="4" w:space="0" w:color="auto"/>
            </w:tcBorders>
            <w:shd w:val="clear" w:color="auto" w:fill="E42618"/>
            <w:vAlign w:val="bottom"/>
          </w:tcPr>
          <w:p w14:paraId="573B7ABB" w14:textId="70709B53" w:rsidR="002662C0" w:rsidRPr="002662C0" w:rsidRDefault="002662C0" w:rsidP="002662C0">
            <w:pPr>
              <w:jc w:val="center"/>
              <w:rPr>
                <w:rFonts w:ascii="Arial Narrow" w:hAnsi="Arial Narrow"/>
                <w:b/>
                <w:color w:val="FFFFFF" w:themeColor="background1"/>
                <w:sz w:val="18"/>
                <w:szCs w:val="18"/>
              </w:rPr>
            </w:pPr>
            <w:r w:rsidRPr="002662C0">
              <w:rPr>
                <w:rFonts w:ascii="Arial Narrow" w:hAnsi="Arial Narrow"/>
                <w:b/>
                <w:color w:val="FFFFFF" w:themeColor="background1"/>
                <w:sz w:val="18"/>
                <w:szCs w:val="18"/>
              </w:rPr>
              <w:t>+3,0</w:t>
            </w:r>
          </w:p>
        </w:tc>
      </w:tr>
    </w:tbl>
    <w:p w14:paraId="7B232AB5" w14:textId="77777777" w:rsidR="00A03714" w:rsidRPr="00F214EE" w:rsidRDefault="00A03714" w:rsidP="00A03714">
      <w:pPr>
        <w:pStyle w:val="Corpodeltesto1"/>
        <w:spacing w:after="60"/>
        <w:jc w:val="left"/>
        <w:rPr>
          <w:rFonts w:ascii="Arial Narrow" w:hAnsi="Arial Narrow" w:cs="Arial Narrow"/>
          <w:color w:val="5F5F5F"/>
          <w:sz w:val="8"/>
          <w:szCs w:val="8"/>
        </w:rPr>
      </w:pPr>
    </w:p>
    <w:p w14:paraId="0F2A66E8" w14:textId="77777777" w:rsidR="00147CB5" w:rsidRDefault="00A03714" w:rsidP="00A127A9">
      <w:pPr>
        <w:pStyle w:val="Corpodeltesto1"/>
        <w:spacing w:before="120"/>
        <w:rPr>
          <w:rFonts w:ascii="Arial Narrow" w:hAnsi="Arial Narrow" w:cs="Arial"/>
          <w:b w:val="0"/>
          <w:bCs/>
          <w:sz w:val="19"/>
          <w:szCs w:val="19"/>
        </w:rPr>
      </w:pPr>
      <w:r w:rsidRPr="00A03714">
        <w:rPr>
          <w:rFonts w:ascii="Arial Narrow" w:hAnsi="Arial Narrow" w:cs="Arial"/>
          <w:color w:val="E42618"/>
          <w:kern w:val="28"/>
          <w:sz w:val="22"/>
          <w:szCs w:val="22"/>
        </w:rPr>
        <w:t xml:space="preserve">PROSPETTO </w:t>
      </w:r>
      <w:r>
        <w:rPr>
          <w:rFonts w:ascii="Arial Narrow" w:hAnsi="Arial Narrow" w:cs="Arial"/>
          <w:color w:val="E42618"/>
          <w:kern w:val="28"/>
          <w:sz w:val="22"/>
          <w:szCs w:val="22"/>
        </w:rPr>
        <w:t>4</w:t>
      </w:r>
      <w:r w:rsidRPr="00A03714">
        <w:rPr>
          <w:rFonts w:ascii="Arial Narrow" w:hAnsi="Arial Narrow" w:cs="Arial"/>
          <w:color w:val="E42618"/>
          <w:kern w:val="28"/>
          <w:sz w:val="22"/>
          <w:szCs w:val="22"/>
        </w:rPr>
        <w:t>.</w:t>
      </w:r>
      <w:r w:rsidRPr="006304A5">
        <w:rPr>
          <w:rFonts w:ascii="Arial Narrow" w:hAnsi="Arial Narrow" w:cs="Arial Narrow"/>
          <w:color w:val="5F5F5F"/>
          <w:sz w:val="20"/>
        </w:rPr>
        <w:t xml:space="preserve"> </w:t>
      </w:r>
      <w:r w:rsidRPr="00147CB5">
        <w:rPr>
          <w:rFonts w:ascii="Arial Narrow" w:hAnsi="Arial Narrow" w:cs="Arial"/>
          <w:color w:val="5F5F5F"/>
          <w:kern w:val="28"/>
          <w:sz w:val="22"/>
          <w:szCs w:val="22"/>
        </w:rPr>
        <w:t>VALORI MEDI UNITARI E VOLUMI SECONDO I RAGGRUPPAMENTI PRINCIPALI</w:t>
      </w:r>
      <w:r w:rsidR="00C03605" w:rsidRPr="00147CB5">
        <w:rPr>
          <w:rFonts w:ascii="Arial Narrow" w:hAnsi="Arial Narrow" w:cs="Arial"/>
          <w:color w:val="5F5F5F"/>
          <w:kern w:val="28"/>
          <w:sz w:val="22"/>
          <w:szCs w:val="22"/>
        </w:rPr>
        <w:t xml:space="preserve"> </w:t>
      </w:r>
      <w:r w:rsidRPr="00147CB5">
        <w:rPr>
          <w:rFonts w:ascii="Arial Narrow" w:hAnsi="Arial Narrow" w:cs="Arial"/>
          <w:color w:val="5F5F5F"/>
          <w:kern w:val="28"/>
          <w:sz w:val="22"/>
          <w:szCs w:val="22"/>
        </w:rPr>
        <w:t>DI INDUSTRIE</w:t>
      </w:r>
    </w:p>
    <w:p w14:paraId="68BA7D37" w14:textId="50AD9017" w:rsidR="00537BEB" w:rsidRPr="006304A5" w:rsidRDefault="00B161A0" w:rsidP="009308ED">
      <w:pPr>
        <w:pStyle w:val="Corpodeltesto1"/>
        <w:spacing w:after="100"/>
        <w:jc w:val="left"/>
        <w:rPr>
          <w:rFonts w:ascii="Arial Narrow" w:hAnsi="Arial Narrow" w:cs="Arial"/>
          <w:b w:val="0"/>
          <w:bCs/>
          <w:sz w:val="19"/>
          <w:szCs w:val="19"/>
        </w:rPr>
      </w:pPr>
      <w:r>
        <w:rPr>
          <w:rFonts w:ascii="Arial Narrow" w:hAnsi="Arial Narrow" w:cs="Arial"/>
          <w:b w:val="0"/>
          <w:color w:val="5F5F5F"/>
          <w:kern w:val="28"/>
          <w:sz w:val="20"/>
          <w:szCs w:val="20"/>
        </w:rPr>
        <w:t>Luglio</w:t>
      </w:r>
      <w:r w:rsidRPr="00C829DA">
        <w:rPr>
          <w:rFonts w:ascii="Arial Narrow" w:hAnsi="Arial Narrow" w:cs="Arial"/>
          <w:b w:val="0"/>
          <w:color w:val="5F5F5F"/>
          <w:kern w:val="28"/>
          <w:sz w:val="20"/>
          <w:szCs w:val="20"/>
        </w:rPr>
        <w:t xml:space="preserve"> </w:t>
      </w:r>
      <w:r w:rsidR="00470B67">
        <w:rPr>
          <w:rFonts w:ascii="Arial Narrow" w:hAnsi="Arial Narrow" w:cs="Arial"/>
          <w:b w:val="0"/>
          <w:color w:val="5F5F5F"/>
          <w:kern w:val="28"/>
          <w:sz w:val="20"/>
          <w:szCs w:val="20"/>
        </w:rPr>
        <w:t>2022</w:t>
      </w:r>
      <w:r w:rsidR="00537BEB" w:rsidRPr="003705A2">
        <w:rPr>
          <w:rFonts w:ascii="Arial Narrow" w:hAnsi="Arial Narrow" w:cs="Arial"/>
          <w:b w:val="0"/>
          <w:color w:val="5F5F5F"/>
          <w:kern w:val="28"/>
          <w:sz w:val="20"/>
          <w:szCs w:val="20"/>
        </w:rPr>
        <w:t>, variazioni percentuali tendenziali (base 2015=100)</w:t>
      </w:r>
    </w:p>
    <w:tbl>
      <w:tblPr>
        <w:tblW w:w="10206" w:type="dxa"/>
        <w:tblInd w:w="70" w:type="dxa"/>
        <w:tblLayout w:type="fixed"/>
        <w:tblCellMar>
          <w:left w:w="70" w:type="dxa"/>
          <w:right w:w="70" w:type="dxa"/>
        </w:tblCellMar>
        <w:tblLook w:val="0000" w:firstRow="0" w:lastRow="0" w:firstColumn="0" w:lastColumn="0" w:noHBand="0" w:noVBand="0"/>
      </w:tblPr>
      <w:tblGrid>
        <w:gridCol w:w="1647"/>
        <w:gridCol w:w="823"/>
        <w:gridCol w:w="1316"/>
        <w:gridCol w:w="823"/>
        <w:gridCol w:w="1317"/>
        <w:gridCol w:w="823"/>
        <w:gridCol w:w="1317"/>
        <w:gridCol w:w="823"/>
        <w:gridCol w:w="1317"/>
      </w:tblGrid>
      <w:tr w:rsidR="0075218A" w:rsidRPr="00B076CD" w14:paraId="0C3E0E5F" w14:textId="77777777" w:rsidTr="0075218A">
        <w:trPr>
          <w:trHeight w:val="255"/>
        </w:trPr>
        <w:tc>
          <w:tcPr>
            <w:tcW w:w="1647" w:type="dxa"/>
            <w:vMerge w:val="restart"/>
            <w:tcBorders>
              <w:top w:val="single" w:sz="4" w:space="0" w:color="auto"/>
              <w:left w:val="nil"/>
              <w:right w:val="nil"/>
            </w:tcBorders>
            <w:shd w:val="clear" w:color="auto" w:fill="FFFFFF"/>
            <w:vAlign w:val="center"/>
          </w:tcPr>
          <w:p w14:paraId="56852810" w14:textId="77777777" w:rsidR="0075218A" w:rsidRPr="00B076CD" w:rsidRDefault="0075218A" w:rsidP="0075218A">
            <w:pPr>
              <w:spacing w:before="40" w:after="20"/>
              <w:rPr>
                <w:rFonts w:ascii="Arial Narrow" w:hAnsi="Arial Narrow" w:cs="Arial"/>
                <w:sz w:val="18"/>
                <w:szCs w:val="18"/>
              </w:rPr>
            </w:pPr>
            <w:r w:rsidRPr="00B076CD">
              <w:rPr>
                <w:rFonts w:ascii="Arial Narrow" w:hAnsi="Arial Narrow" w:cs="Arial"/>
                <w:b/>
                <w:sz w:val="18"/>
                <w:szCs w:val="18"/>
              </w:rPr>
              <w:t>RAGGRUPPAMENTI PRINCIPALI DI INDUSTRIE</w:t>
            </w:r>
          </w:p>
        </w:tc>
        <w:tc>
          <w:tcPr>
            <w:tcW w:w="4279" w:type="dxa"/>
            <w:gridSpan w:val="4"/>
            <w:tcBorders>
              <w:top w:val="single" w:sz="4" w:space="0" w:color="auto"/>
              <w:left w:val="nil"/>
              <w:right w:val="nil"/>
            </w:tcBorders>
            <w:shd w:val="clear" w:color="auto" w:fill="D9D9D9"/>
            <w:vAlign w:val="center"/>
          </w:tcPr>
          <w:p w14:paraId="4D5EC4A7" w14:textId="77777777" w:rsidR="0075218A" w:rsidRPr="00B076CD" w:rsidRDefault="0075218A" w:rsidP="0075218A">
            <w:pPr>
              <w:spacing w:before="40" w:after="20"/>
              <w:jc w:val="center"/>
              <w:rPr>
                <w:rFonts w:ascii="Arial Narrow" w:hAnsi="Arial Narrow" w:cs="Arial"/>
                <w:b/>
                <w:bCs/>
                <w:color w:val="000000"/>
                <w:sz w:val="18"/>
                <w:szCs w:val="18"/>
              </w:rPr>
            </w:pPr>
            <w:r w:rsidRPr="00B076CD">
              <w:rPr>
                <w:rFonts w:ascii="Arial Narrow" w:hAnsi="Arial Narrow" w:cs="Arial"/>
                <w:b/>
                <w:bCs/>
                <w:color w:val="000000"/>
                <w:sz w:val="18"/>
                <w:szCs w:val="18"/>
              </w:rPr>
              <w:t>VALORI MEDI UNITARI</w:t>
            </w:r>
          </w:p>
        </w:tc>
        <w:tc>
          <w:tcPr>
            <w:tcW w:w="4280" w:type="dxa"/>
            <w:gridSpan w:val="4"/>
            <w:tcBorders>
              <w:top w:val="single" w:sz="4" w:space="0" w:color="auto"/>
              <w:left w:val="nil"/>
              <w:right w:val="nil"/>
            </w:tcBorders>
            <w:shd w:val="clear" w:color="auto" w:fill="auto"/>
            <w:vAlign w:val="center"/>
          </w:tcPr>
          <w:p w14:paraId="47AB2883" w14:textId="77777777" w:rsidR="0075218A" w:rsidRPr="00B076CD" w:rsidRDefault="0075218A" w:rsidP="0075218A">
            <w:pPr>
              <w:spacing w:before="40" w:after="20"/>
              <w:jc w:val="center"/>
              <w:rPr>
                <w:rFonts w:ascii="Arial Narrow" w:hAnsi="Arial Narrow" w:cs="Arial"/>
                <w:b/>
                <w:bCs/>
                <w:color w:val="000000"/>
                <w:sz w:val="18"/>
                <w:szCs w:val="18"/>
              </w:rPr>
            </w:pPr>
            <w:r w:rsidRPr="00B076CD">
              <w:rPr>
                <w:rFonts w:ascii="Arial Narrow" w:hAnsi="Arial Narrow" w:cs="Arial"/>
                <w:b/>
                <w:bCs/>
                <w:color w:val="000000"/>
                <w:sz w:val="18"/>
                <w:szCs w:val="18"/>
              </w:rPr>
              <w:t>VOLUMI</w:t>
            </w:r>
          </w:p>
        </w:tc>
      </w:tr>
      <w:tr w:rsidR="0075218A" w:rsidRPr="00B076CD" w14:paraId="62A65489" w14:textId="77777777" w:rsidTr="0075218A">
        <w:trPr>
          <w:trHeight w:val="255"/>
        </w:trPr>
        <w:tc>
          <w:tcPr>
            <w:tcW w:w="1647" w:type="dxa"/>
            <w:vMerge/>
            <w:tcBorders>
              <w:left w:val="nil"/>
              <w:right w:val="nil"/>
            </w:tcBorders>
            <w:shd w:val="clear" w:color="auto" w:fill="FFFFFF"/>
            <w:vAlign w:val="center"/>
          </w:tcPr>
          <w:p w14:paraId="43BA11C0" w14:textId="77777777" w:rsidR="0075218A" w:rsidRPr="00B076CD" w:rsidRDefault="0075218A" w:rsidP="0075218A">
            <w:pPr>
              <w:spacing w:before="40" w:after="20"/>
              <w:rPr>
                <w:rFonts w:ascii="Arial Narrow" w:hAnsi="Arial Narrow" w:cs="Arial"/>
                <w:sz w:val="18"/>
                <w:szCs w:val="18"/>
              </w:rPr>
            </w:pPr>
          </w:p>
        </w:tc>
        <w:tc>
          <w:tcPr>
            <w:tcW w:w="2139" w:type="dxa"/>
            <w:gridSpan w:val="2"/>
            <w:tcBorders>
              <w:top w:val="single" w:sz="4" w:space="0" w:color="auto"/>
              <w:left w:val="nil"/>
              <w:bottom w:val="single" w:sz="4" w:space="0" w:color="auto"/>
            </w:tcBorders>
            <w:shd w:val="clear" w:color="auto" w:fill="D9D9D9"/>
            <w:vAlign w:val="center"/>
          </w:tcPr>
          <w:p w14:paraId="5447D847" w14:textId="77777777" w:rsidR="0075218A" w:rsidRPr="0063317A" w:rsidRDefault="0075218A" w:rsidP="0075218A">
            <w:pPr>
              <w:spacing w:before="40" w:after="20"/>
              <w:jc w:val="center"/>
              <w:rPr>
                <w:rFonts w:ascii="Arial Narrow" w:hAnsi="Arial Narrow" w:cs="Arial"/>
                <w:b/>
                <w:color w:val="000000"/>
                <w:sz w:val="18"/>
                <w:szCs w:val="18"/>
              </w:rPr>
            </w:pPr>
            <w:r w:rsidRPr="0063317A">
              <w:rPr>
                <w:rFonts w:ascii="Arial Narrow" w:hAnsi="Arial Narrow" w:cs="Arial"/>
                <w:b/>
                <w:color w:val="000000"/>
                <w:sz w:val="18"/>
                <w:szCs w:val="18"/>
              </w:rPr>
              <w:t>Esportazioni</w:t>
            </w:r>
          </w:p>
        </w:tc>
        <w:tc>
          <w:tcPr>
            <w:tcW w:w="2140" w:type="dxa"/>
            <w:gridSpan w:val="2"/>
            <w:tcBorders>
              <w:top w:val="single" w:sz="4" w:space="0" w:color="auto"/>
              <w:bottom w:val="single" w:sz="4" w:space="0" w:color="auto"/>
            </w:tcBorders>
            <w:vAlign w:val="center"/>
          </w:tcPr>
          <w:p w14:paraId="6340FA5A" w14:textId="77777777" w:rsidR="0075218A" w:rsidRPr="0063317A" w:rsidRDefault="0075218A" w:rsidP="0075218A">
            <w:pPr>
              <w:spacing w:before="40" w:after="20"/>
              <w:jc w:val="center"/>
              <w:rPr>
                <w:rFonts w:ascii="Arial Narrow" w:hAnsi="Arial Narrow" w:cs="Arial"/>
                <w:b/>
                <w:color w:val="000000"/>
                <w:sz w:val="18"/>
                <w:szCs w:val="18"/>
              </w:rPr>
            </w:pPr>
            <w:r w:rsidRPr="0063317A">
              <w:rPr>
                <w:rFonts w:ascii="Arial Narrow" w:hAnsi="Arial Narrow" w:cs="Arial"/>
                <w:b/>
                <w:color w:val="000000"/>
                <w:sz w:val="18"/>
                <w:szCs w:val="18"/>
              </w:rPr>
              <w:t>Importazioni</w:t>
            </w:r>
          </w:p>
        </w:tc>
        <w:tc>
          <w:tcPr>
            <w:tcW w:w="2140" w:type="dxa"/>
            <w:gridSpan w:val="2"/>
            <w:tcBorders>
              <w:top w:val="single" w:sz="4" w:space="0" w:color="auto"/>
              <w:bottom w:val="single" w:sz="4" w:space="0" w:color="auto"/>
            </w:tcBorders>
            <w:shd w:val="clear" w:color="auto" w:fill="D9D9D9"/>
            <w:vAlign w:val="center"/>
          </w:tcPr>
          <w:p w14:paraId="4ED13160" w14:textId="77777777" w:rsidR="0075218A" w:rsidRPr="0063317A" w:rsidRDefault="0075218A" w:rsidP="0075218A">
            <w:pPr>
              <w:spacing w:before="40" w:after="20"/>
              <w:jc w:val="center"/>
              <w:rPr>
                <w:rFonts w:ascii="Arial Narrow" w:hAnsi="Arial Narrow" w:cs="Arial"/>
                <w:b/>
                <w:color w:val="000000"/>
                <w:sz w:val="18"/>
                <w:szCs w:val="18"/>
              </w:rPr>
            </w:pPr>
            <w:r w:rsidRPr="0063317A">
              <w:rPr>
                <w:rFonts w:ascii="Arial Narrow" w:hAnsi="Arial Narrow" w:cs="Arial"/>
                <w:b/>
                <w:color w:val="000000"/>
                <w:sz w:val="18"/>
                <w:szCs w:val="18"/>
              </w:rPr>
              <w:t>Esportazioni</w:t>
            </w:r>
          </w:p>
        </w:tc>
        <w:tc>
          <w:tcPr>
            <w:tcW w:w="2140" w:type="dxa"/>
            <w:gridSpan w:val="2"/>
            <w:tcBorders>
              <w:top w:val="single" w:sz="4" w:space="0" w:color="auto"/>
              <w:left w:val="nil"/>
              <w:bottom w:val="single" w:sz="4" w:space="0" w:color="auto"/>
              <w:right w:val="nil"/>
            </w:tcBorders>
            <w:vAlign w:val="center"/>
          </w:tcPr>
          <w:p w14:paraId="4A60122E" w14:textId="77777777" w:rsidR="0075218A" w:rsidRPr="0063317A" w:rsidRDefault="0075218A" w:rsidP="0075218A">
            <w:pPr>
              <w:spacing w:before="40" w:after="20"/>
              <w:jc w:val="center"/>
              <w:rPr>
                <w:rFonts w:ascii="Arial Narrow" w:hAnsi="Arial Narrow" w:cs="Arial"/>
                <w:b/>
                <w:color w:val="000000"/>
                <w:sz w:val="18"/>
                <w:szCs w:val="18"/>
              </w:rPr>
            </w:pPr>
            <w:r w:rsidRPr="0063317A">
              <w:rPr>
                <w:rFonts w:ascii="Arial Narrow" w:hAnsi="Arial Narrow" w:cs="Arial"/>
                <w:b/>
                <w:color w:val="000000"/>
                <w:sz w:val="18"/>
                <w:szCs w:val="18"/>
              </w:rPr>
              <w:t>Importazioni</w:t>
            </w:r>
          </w:p>
        </w:tc>
      </w:tr>
      <w:tr w:rsidR="0075218A" w:rsidRPr="00B076CD" w14:paraId="633BC6BA" w14:textId="77777777" w:rsidTr="0075218A">
        <w:trPr>
          <w:trHeight w:val="255"/>
        </w:trPr>
        <w:tc>
          <w:tcPr>
            <w:tcW w:w="1647" w:type="dxa"/>
            <w:vMerge/>
            <w:tcBorders>
              <w:left w:val="nil"/>
              <w:right w:val="nil"/>
            </w:tcBorders>
            <w:shd w:val="clear" w:color="auto" w:fill="FFFFFF"/>
            <w:vAlign w:val="center"/>
          </w:tcPr>
          <w:p w14:paraId="22060634" w14:textId="77777777" w:rsidR="0075218A" w:rsidRPr="00B076CD" w:rsidRDefault="0075218A" w:rsidP="0075218A">
            <w:pPr>
              <w:spacing w:before="40" w:after="20"/>
              <w:rPr>
                <w:rFonts w:ascii="Arial Narrow" w:hAnsi="Arial Narrow" w:cs="Arial"/>
                <w:sz w:val="18"/>
                <w:szCs w:val="18"/>
              </w:rPr>
            </w:pPr>
          </w:p>
        </w:tc>
        <w:tc>
          <w:tcPr>
            <w:tcW w:w="2139" w:type="dxa"/>
            <w:gridSpan w:val="2"/>
            <w:tcBorders>
              <w:top w:val="single" w:sz="4" w:space="0" w:color="auto"/>
              <w:left w:val="nil"/>
              <w:bottom w:val="single" w:sz="4" w:space="0" w:color="auto"/>
            </w:tcBorders>
            <w:shd w:val="clear" w:color="auto" w:fill="D9D9D9"/>
            <w:vAlign w:val="center"/>
          </w:tcPr>
          <w:p w14:paraId="5C28CB16" w14:textId="77777777" w:rsidR="0075218A" w:rsidRPr="00C03605" w:rsidRDefault="0075218A" w:rsidP="0075218A">
            <w:pPr>
              <w:spacing w:before="40" w:after="20"/>
              <w:jc w:val="center"/>
              <w:rPr>
                <w:rFonts w:ascii="Arial Narrow" w:hAnsi="Arial Narrow" w:cs="Arial"/>
                <w:b/>
                <w:color w:val="000000"/>
                <w:sz w:val="18"/>
                <w:szCs w:val="18"/>
              </w:rPr>
            </w:pPr>
            <w:proofErr w:type="spellStart"/>
            <w:r w:rsidRPr="00C03605">
              <w:rPr>
                <w:rFonts w:ascii="Arial Narrow" w:hAnsi="Arial Narrow"/>
                <w:sz w:val="18"/>
                <w:szCs w:val="18"/>
                <w:lang w:val="en-US"/>
              </w:rPr>
              <w:t>Variazioni</w:t>
            </w:r>
            <w:proofErr w:type="spellEnd"/>
            <w:r w:rsidRPr="00C03605">
              <w:rPr>
                <w:rFonts w:ascii="Arial Narrow" w:hAnsi="Arial Narrow"/>
                <w:sz w:val="18"/>
                <w:szCs w:val="18"/>
                <w:lang w:val="en-US"/>
              </w:rPr>
              <w:t xml:space="preserve"> </w:t>
            </w:r>
            <w:proofErr w:type="spellStart"/>
            <w:r w:rsidRPr="00C03605">
              <w:rPr>
                <w:rFonts w:ascii="Arial Narrow" w:hAnsi="Arial Narrow"/>
                <w:sz w:val="18"/>
                <w:szCs w:val="18"/>
                <w:lang w:val="en-US"/>
              </w:rPr>
              <w:t>tendenziali</w:t>
            </w:r>
            <w:proofErr w:type="spellEnd"/>
          </w:p>
        </w:tc>
        <w:tc>
          <w:tcPr>
            <w:tcW w:w="2140" w:type="dxa"/>
            <w:gridSpan w:val="2"/>
            <w:tcBorders>
              <w:top w:val="single" w:sz="4" w:space="0" w:color="auto"/>
              <w:bottom w:val="single" w:sz="4" w:space="0" w:color="auto"/>
            </w:tcBorders>
            <w:vAlign w:val="center"/>
          </w:tcPr>
          <w:p w14:paraId="2403EECC" w14:textId="77777777" w:rsidR="0075218A" w:rsidRPr="00C03605" w:rsidRDefault="0075218A" w:rsidP="0075218A">
            <w:pPr>
              <w:spacing w:before="40" w:after="20"/>
              <w:jc w:val="center"/>
              <w:rPr>
                <w:rFonts w:ascii="Arial Narrow" w:hAnsi="Arial Narrow"/>
                <w:sz w:val="18"/>
                <w:szCs w:val="18"/>
                <w:lang w:val="en-US"/>
              </w:rPr>
            </w:pPr>
            <w:proofErr w:type="spellStart"/>
            <w:r w:rsidRPr="00C03605">
              <w:rPr>
                <w:rFonts w:ascii="Arial Narrow" w:hAnsi="Arial Narrow"/>
                <w:sz w:val="18"/>
                <w:szCs w:val="18"/>
                <w:lang w:val="en-US"/>
              </w:rPr>
              <w:t>Variazioni</w:t>
            </w:r>
            <w:proofErr w:type="spellEnd"/>
            <w:r w:rsidRPr="00C03605">
              <w:rPr>
                <w:rFonts w:ascii="Arial Narrow" w:hAnsi="Arial Narrow"/>
                <w:sz w:val="18"/>
                <w:szCs w:val="18"/>
                <w:lang w:val="en-US"/>
              </w:rPr>
              <w:t xml:space="preserve"> </w:t>
            </w:r>
            <w:proofErr w:type="spellStart"/>
            <w:r w:rsidRPr="00C03605">
              <w:rPr>
                <w:rFonts w:ascii="Arial Narrow" w:hAnsi="Arial Narrow"/>
                <w:sz w:val="18"/>
                <w:szCs w:val="18"/>
                <w:lang w:val="en-US"/>
              </w:rPr>
              <w:t>tendenziali</w:t>
            </w:r>
            <w:proofErr w:type="spellEnd"/>
          </w:p>
        </w:tc>
        <w:tc>
          <w:tcPr>
            <w:tcW w:w="2140" w:type="dxa"/>
            <w:gridSpan w:val="2"/>
            <w:tcBorders>
              <w:top w:val="single" w:sz="4" w:space="0" w:color="auto"/>
              <w:bottom w:val="single" w:sz="4" w:space="0" w:color="auto"/>
            </w:tcBorders>
            <w:shd w:val="clear" w:color="auto" w:fill="D9D9D9"/>
            <w:vAlign w:val="center"/>
          </w:tcPr>
          <w:p w14:paraId="45ECDFDA" w14:textId="77777777" w:rsidR="0075218A" w:rsidRPr="00C03605" w:rsidRDefault="0075218A" w:rsidP="0075218A">
            <w:pPr>
              <w:spacing w:before="40" w:after="20"/>
              <w:jc w:val="center"/>
              <w:rPr>
                <w:rFonts w:ascii="Arial Narrow" w:hAnsi="Arial Narrow"/>
                <w:sz w:val="18"/>
                <w:szCs w:val="18"/>
                <w:lang w:val="en-US"/>
              </w:rPr>
            </w:pPr>
            <w:proofErr w:type="spellStart"/>
            <w:r w:rsidRPr="00C03605">
              <w:rPr>
                <w:rFonts w:ascii="Arial Narrow" w:hAnsi="Arial Narrow"/>
                <w:sz w:val="18"/>
                <w:szCs w:val="18"/>
                <w:lang w:val="en-US"/>
              </w:rPr>
              <w:t>Variazioni</w:t>
            </w:r>
            <w:proofErr w:type="spellEnd"/>
            <w:r w:rsidRPr="00C03605">
              <w:rPr>
                <w:rFonts w:ascii="Arial Narrow" w:hAnsi="Arial Narrow"/>
                <w:sz w:val="18"/>
                <w:szCs w:val="18"/>
                <w:lang w:val="en-US"/>
              </w:rPr>
              <w:t xml:space="preserve"> </w:t>
            </w:r>
            <w:proofErr w:type="spellStart"/>
            <w:r w:rsidRPr="00C03605">
              <w:rPr>
                <w:rFonts w:ascii="Arial Narrow" w:hAnsi="Arial Narrow"/>
                <w:sz w:val="18"/>
                <w:szCs w:val="18"/>
                <w:lang w:val="en-US"/>
              </w:rPr>
              <w:t>tendenziali</w:t>
            </w:r>
            <w:proofErr w:type="spellEnd"/>
          </w:p>
        </w:tc>
        <w:tc>
          <w:tcPr>
            <w:tcW w:w="2140" w:type="dxa"/>
            <w:gridSpan w:val="2"/>
            <w:tcBorders>
              <w:top w:val="single" w:sz="4" w:space="0" w:color="auto"/>
              <w:left w:val="nil"/>
              <w:bottom w:val="single" w:sz="4" w:space="0" w:color="auto"/>
              <w:right w:val="nil"/>
            </w:tcBorders>
            <w:vAlign w:val="center"/>
          </w:tcPr>
          <w:p w14:paraId="2B547C92" w14:textId="77777777" w:rsidR="0075218A" w:rsidRPr="00C03605" w:rsidRDefault="0075218A" w:rsidP="0075218A">
            <w:pPr>
              <w:spacing w:before="40" w:after="20"/>
              <w:jc w:val="center"/>
              <w:rPr>
                <w:rFonts w:ascii="Arial Narrow" w:hAnsi="Arial Narrow"/>
                <w:sz w:val="18"/>
                <w:szCs w:val="18"/>
                <w:lang w:val="en-US"/>
              </w:rPr>
            </w:pPr>
            <w:proofErr w:type="spellStart"/>
            <w:r w:rsidRPr="00C03605">
              <w:rPr>
                <w:rFonts w:ascii="Arial Narrow" w:hAnsi="Arial Narrow"/>
                <w:sz w:val="18"/>
                <w:szCs w:val="18"/>
                <w:lang w:val="en-US"/>
              </w:rPr>
              <w:t>Variazioni</w:t>
            </w:r>
            <w:proofErr w:type="spellEnd"/>
            <w:r w:rsidRPr="00C03605">
              <w:rPr>
                <w:rFonts w:ascii="Arial Narrow" w:hAnsi="Arial Narrow"/>
                <w:sz w:val="18"/>
                <w:szCs w:val="18"/>
                <w:lang w:val="en-US"/>
              </w:rPr>
              <w:t xml:space="preserve"> </w:t>
            </w:r>
            <w:proofErr w:type="spellStart"/>
            <w:r w:rsidRPr="00C03605">
              <w:rPr>
                <w:rFonts w:ascii="Arial Narrow" w:hAnsi="Arial Narrow"/>
                <w:sz w:val="18"/>
                <w:szCs w:val="18"/>
                <w:lang w:val="en-US"/>
              </w:rPr>
              <w:t>tendenziali</w:t>
            </w:r>
            <w:proofErr w:type="spellEnd"/>
          </w:p>
        </w:tc>
      </w:tr>
      <w:tr w:rsidR="00B161A0" w:rsidRPr="00B076CD" w14:paraId="57CB1BBB" w14:textId="77777777" w:rsidTr="0075218A">
        <w:trPr>
          <w:trHeight w:val="255"/>
        </w:trPr>
        <w:tc>
          <w:tcPr>
            <w:tcW w:w="1647" w:type="dxa"/>
            <w:vMerge/>
            <w:tcBorders>
              <w:left w:val="nil"/>
              <w:right w:val="nil"/>
            </w:tcBorders>
            <w:shd w:val="clear" w:color="auto" w:fill="FFFFFF"/>
            <w:vAlign w:val="center"/>
          </w:tcPr>
          <w:p w14:paraId="0743B7AC" w14:textId="77777777" w:rsidR="00B161A0" w:rsidRPr="00B076CD" w:rsidRDefault="00B161A0" w:rsidP="00B161A0">
            <w:pPr>
              <w:spacing w:before="40" w:after="20"/>
              <w:rPr>
                <w:rFonts w:ascii="Arial Narrow" w:hAnsi="Arial Narrow" w:cs="Arial"/>
                <w:sz w:val="18"/>
                <w:szCs w:val="18"/>
              </w:rPr>
            </w:pPr>
          </w:p>
        </w:tc>
        <w:tc>
          <w:tcPr>
            <w:tcW w:w="823" w:type="dxa"/>
            <w:tcBorders>
              <w:top w:val="single" w:sz="4" w:space="0" w:color="auto"/>
              <w:left w:val="nil"/>
              <w:right w:val="nil"/>
            </w:tcBorders>
            <w:shd w:val="clear" w:color="auto" w:fill="auto"/>
            <w:vAlign w:val="center"/>
          </w:tcPr>
          <w:p w14:paraId="0555ADCF"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 22</w:t>
            </w:r>
          </w:p>
          <w:p w14:paraId="6A924596" w14:textId="42F994D2" w:rsidR="00B161A0" w:rsidRPr="003C7722" w:rsidRDefault="00B161A0" w:rsidP="00B161A0">
            <w:pPr>
              <w:spacing w:before="40" w:after="20"/>
              <w:jc w:val="center"/>
              <w:rPr>
                <w:rFonts w:ascii="Arial Narrow" w:hAnsi="Arial Narrow"/>
                <w:sz w:val="18"/>
                <w:szCs w:val="18"/>
                <w:lang w:val="en-US"/>
              </w:rPr>
            </w:pPr>
            <w:r>
              <w:rPr>
                <w:rFonts w:ascii="Arial Narrow" w:hAnsi="Arial Narrow"/>
                <w:sz w:val="18"/>
                <w:szCs w:val="18"/>
                <w:lang w:val="en-US"/>
              </w:rPr>
              <w:t>lug 21</w:t>
            </w:r>
          </w:p>
        </w:tc>
        <w:tc>
          <w:tcPr>
            <w:tcW w:w="1316" w:type="dxa"/>
            <w:tcBorders>
              <w:top w:val="single" w:sz="4" w:space="0" w:color="auto"/>
              <w:left w:val="nil"/>
              <w:right w:val="nil"/>
            </w:tcBorders>
            <w:shd w:val="clear" w:color="auto" w:fill="auto"/>
            <w:vAlign w:val="center"/>
          </w:tcPr>
          <w:p w14:paraId="54F5061D"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gen-lug 22</w:t>
            </w:r>
          </w:p>
          <w:p w14:paraId="5EE1C97E" w14:textId="56F86492" w:rsidR="00B161A0" w:rsidRPr="003C7722" w:rsidRDefault="00B161A0" w:rsidP="00B161A0">
            <w:pPr>
              <w:spacing w:before="40" w:after="20"/>
              <w:jc w:val="center"/>
              <w:rPr>
                <w:rFonts w:ascii="Arial Narrow" w:hAnsi="Arial Narrow"/>
                <w:sz w:val="18"/>
                <w:szCs w:val="18"/>
                <w:lang w:val="en-US"/>
              </w:rPr>
            </w:pPr>
            <w:r>
              <w:rPr>
                <w:rFonts w:ascii="Arial Narrow" w:hAnsi="Arial Narrow"/>
                <w:sz w:val="18"/>
                <w:szCs w:val="18"/>
                <w:lang w:val="en-US"/>
              </w:rPr>
              <w:t>gen-lug 21</w:t>
            </w:r>
          </w:p>
        </w:tc>
        <w:tc>
          <w:tcPr>
            <w:tcW w:w="823" w:type="dxa"/>
            <w:tcBorders>
              <w:top w:val="single" w:sz="4" w:space="0" w:color="auto"/>
              <w:left w:val="nil"/>
              <w:right w:val="nil"/>
            </w:tcBorders>
            <w:shd w:val="clear" w:color="auto" w:fill="auto"/>
            <w:vAlign w:val="center"/>
          </w:tcPr>
          <w:p w14:paraId="65064220"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 22</w:t>
            </w:r>
          </w:p>
          <w:p w14:paraId="53979304" w14:textId="3C23A8D5" w:rsidR="00B161A0" w:rsidRPr="003C7722" w:rsidRDefault="00B161A0" w:rsidP="00B161A0">
            <w:pPr>
              <w:spacing w:before="40" w:after="20"/>
              <w:jc w:val="center"/>
              <w:rPr>
                <w:rFonts w:ascii="Arial Narrow" w:hAnsi="Arial Narrow"/>
                <w:sz w:val="18"/>
                <w:szCs w:val="18"/>
                <w:lang w:val="en-US"/>
              </w:rPr>
            </w:pPr>
            <w:r>
              <w:rPr>
                <w:rFonts w:ascii="Arial Narrow" w:hAnsi="Arial Narrow"/>
                <w:sz w:val="18"/>
                <w:szCs w:val="18"/>
                <w:lang w:val="en-US"/>
              </w:rPr>
              <w:t>lug 21</w:t>
            </w:r>
          </w:p>
        </w:tc>
        <w:tc>
          <w:tcPr>
            <w:tcW w:w="1317" w:type="dxa"/>
            <w:tcBorders>
              <w:top w:val="single" w:sz="4" w:space="0" w:color="auto"/>
              <w:left w:val="nil"/>
              <w:right w:val="nil"/>
            </w:tcBorders>
            <w:shd w:val="clear" w:color="auto" w:fill="auto"/>
            <w:vAlign w:val="center"/>
          </w:tcPr>
          <w:p w14:paraId="7FB250A3"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gen-lug 22</w:t>
            </w:r>
          </w:p>
          <w:p w14:paraId="26176F97" w14:textId="76CC7A44" w:rsidR="00B161A0" w:rsidRPr="003C7722" w:rsidRDefault="00B161A0" w:rsidP="00B161A0">
            <w:pPr>
              <w:spacing w:before="40" w:after="20"/>
              <w:jc w:val="center"/>
              <w:rPr>
                <w:rFonts w:ascii="Arial Narrow" w:hAnsi="Arial Narrow"/>
                <w:sz w:val="18"/>
                <w:szCs w:val="18"/>
                <w:lang w:val="en-US"/>
              </w:rPr>
            </w:pPr>
            <w:r>
              <w:rPr>
                <w:rFonts w:ascii="Arial Narrow" w:hAnsi="Arial Narrow"/>
                <w:sz w:val="18"/>
                <w:szCs w:val="18"/>
                <w:lang w:val="en-US"/>
              </w:rPr>
              <w:t>gen-lug 21</w:t>
            </w:r>
          </w:p>
        </w:tc>
        <w:tc>
          <w:tcPr>
            <w:tcW w:w="823" w:type="dxa"/>
            <w:tcBorders>
              <w:top w:val="single" w:sz="4" w:space="0" w:color="auto"/>
              <w:left w:val="nil"/>
              <w:right w:val="nil"/>
            </w:tcBorders>
            <w:shd w:val="clear" w:color="auto" w:fill="auto"/>
            <w:vAlign w:val="center"/>
          </w:tcPr>
          <w:p w14:paraId="2745856D"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 22</w:t>
            </w:r>
          </w:p>
          <w:p w14:paraId="3F2A123C" w14:textId="311C67F0" w:rsidR="00B161A0" w:rsidRPr="003C7722" w:rsidRDefault="00B161A0" w:rsidP="00B161A0">
            <w:pPr>
              <w:spacing w:before="40" w:after="20"/>
              <w:jc w:val="center"/>
              <w:rPr>
                <w:rFonts w:ascii="Arial Narrow" w:hAnsi="Arial Narrow"/>
                <w:sz w:val="18"/>
                <w:szCs w:val="18"/>
                <w:lang w:val="en-US"/>
              </w:rPr>
            </w:pPr>
            <w:r>
              <w:rPr>
                <w:rFonts w:ascii="Arial Narrow" w:hAnsi="Arial Narrow"/>
                <w:sz w:val="18"/>
                <w:szCs w:val="18"/>
                <w:lang w:val="en-US"/>
              </w:rPr>
              <w:t>lug 21</w:t>
            </w:r>
          </w:p>
        </w:tc>
        <w:tc>
          <w:tcPr>
            <w:tcW w:w="1317" w:type="dxa"/>
            <w:tcBorders>
              <w:top w:val="single" w:sz="4" w:space="0" w:color="auto"/>
              <w:left w:val="nil"/>
              <w:right w:val="nil"/>
            </w:tcBorders>
            <w:shd w:val="clear" w:color="auto" w:fill="auto"/>
            <w:vAlign w:val="center"/>
          </w:tcPr>
          <w:p w14:paraId="17A6D291"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gen-lug 22</w:t>
            </w:r>
          </w:p>
          <w:p w14:paraId="473EE5A4" w14:textId="75E8CB7B" w:rsidR="00B161A0" w:rsidRPr="003C7722" w:rsidRDefault="00B161A0" w:rsidP="00B161A0">
            <w:pPr>
              <w:spacing w:before="40" w:after="20"/>
              <w:jc w:val="center"/>
              <w:rPr>
                <w:rFonts w:ascii="Arial Narrow" w:hAnsi="Arial Narrow"/>
                <w:sz w:val="18"/>
                <w:szCs w:val="18"/>
                <w:lang w:val="en-US"/>
              </w:rPr>
            </w:pPr>
            <w:r>
              <w:rPr>
                <w:rFonts w:ascii="Arial Narrow" w:hAnsi="Arial Narrow"/>
                <w:sz w:val="18"/>
                <w:szCs w:val="18"/>
                <w:lang w:val="en-US"/>
              </w:rPr>
              <w:t>gen-lug 21</w:t>
            </w:r>
          </w:p>
        </w:tc>
        <w:tc>
          <w:tcPr>
            <w:tcW w:w="823" w:type="dxa"/>
            <w:tcBorders>
              <w:top w:val="single" w:sz="4" w:space="0" w:color="auto"/>
              <w:left w:val="nil"/>
              <w:right w:val="nil"/>
            </w:tcBorders>
            <w:shd w:val="clear" w:color="auto" w:fill="auto"/>
            <w:vAlign w:val="center"/>
          </w:tcPr>
          <w:p w14:paraId="0491A64A"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 22</w:t>
            </w:r>
          </w:p>
          <w:p w14:paraId="43475EA9" w14:textId="62A520C0" w:rsidR="00B161A0" w:rsidRPr="003C7722" w:rsidRDefault="00B161A0" w:rsidP="00B161A0">
            <w:pPr>
              <w:spacing w:before="40" w:after="20"/>
              <w:jc w:val="center"/>
              <w:rPr>
                <w:rFonts w:ascii="Arial Narrow" w:hAnsi="Arial Narrow"/>
                <w:sz w:val="18"/>
                <w:szCs w:val="18"/>
                <w:lang w:val="en-US"/>
              </w:rPr>
            </w:pPr>
            <w:r>
              <w:rPr>
                <w:rFonts w:ascii="Arial Narrow" w:hAnsi="Arial Narrow"/>
                <w:sz w:val="18"/>
                <w:szCs w:val="18"/>
                <w:lang w:val="en-US"/>
              </w:rPr>
              <w:t>lug 21</w:t>
            </w:r>
          </w:p>
        </w:tc>
        <w:tc>
          <w:tcPr>
            <w:tcW w:w="1317" w:type="dxa"/>
            <w:tcBorders>
              <w:top w:val="single" w:sz="4" w:space="0" w:color="auto"/>
              <w:left w:val="nil"/>
              <w:right w:val="nil"/>
            </w:tcBorders>
            <w:shd w:val="clear" w:color="auto" w:fill="auto"/>
            <w:vAlign w:val="center"/>
          </w:tcPr>
          <w:p w14:paraId="63E2ECDC"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gen-lug 22</w:t>
            </w:r>
          </w:p>
          <w:p w14:paraId="472B00D1" w14:textId="13A5AC2F" w:rsidR="00B161A0" w:rsidRPr="003C7722" w:rsidRDefault="00B161A0" w:rsidP="00B161A0">
            <w:pPr>
              <w:spacing w:before="40" w:after="20"/>
              <w:jc w:val="center"/>
              <w:rPr>
                <w:rFonts w:ascii="Arial Narrow" w:hAnsi="Arial Narrow"/>
                <w:sz w:val="18"/>
                <w:szCs w:val="18"/>
                <w:lang w:val="en-US"/>
              </w:rPr>
            </w:pPr>
            <w:r>
              <w:rPr>
                <w:rFonts w:ascii="Arial Narrow" w:hAnsi="Arial Narrow"/>
                <w:sz w:val="18"/>
                <w:szCs w:val="18"/>
                <w:lang w:val="en-US"/>
              </w:rPr>
              <w:t>gen-lug 21</w:t>
            </w:r>
          </w:p>
        </w:tc>
      </w:tr>
      <w:tr w:rsidR="002662C0" w:rsidRPr="008C0651" w14:paraId="0CF6E2EB" w14:textId="77777777" w:rsidTr="00CA2086">
        <w:trPr>
          <w:trHeight w:val="255"/>
        </w:trPr>
        <w:tc>
          <w:tcPr>
            <w:tcW w:w="1647" w:type="dxa"/>
            <w:tcBorders>
              <w:top w:val="single" w:sz="4" w:space="0" w:color="auto"/>
              <w:left w:val="nil"/>
              <w:bottom w:val="single" w:sz="4" w:space="0" w:color="auto"/>
            </w:tcBorders>
            <w:vAlign w:val="center"/>
          </w:tcPr>
          <w:p w14:paraId="25F3AB8D" w14:textId="77777777" w:rsidR="002662C0" w:rsidRPr="00B076CD" w:rsidRDefault="002662C0" w:rsidP="002662C0">
            <w:pPr>
              <w:spacing w:before="40" w:after="20"/>
              <w:rPr>
                <w:rFonts w:ascii="Arial Narrow" w:hAnsi="Arial Narrow" w:cs="Arial"/>
                <w:sz w:val="18"/>
                <w:szCs w:val="18"/>
              </w:rPr>
            </w:pPr>
            <w:r w:rsidRPr="00B076CD">
              <w:rPr>
                <w:rFonts w:ascii="Arial Narrow" w:hAnsi="Arial Narrow" w:cs="Arial"/>
                <w:sz w:val="18"/>
                <w:szCs w:val="18"/>
              </w:rPr>
              <w:t>Beni di consumo</w:t>
            </w:r>
          </w:p>
        </w:tc>
        <w:tc>
          <w:tcPr>
            <w:tcW w:w="823" w:type="dxa"/>
            <w:tcBorders>
              <w:top w:val="single" w:sz="4" w:space="0" w:color="auto"/>
              <w:bottom w:val="single" w:sz="4" w:space="0" w:color="auto"/>
            </w:tcBorders>
            <w:shd w:val="clear" w:color="auto" w:fill="D9D9D9"/>
            <w:vAlign w:val="bottom"/>
          </w:tcPr>
          <w:p w14:paraId="1009192A" w14:textId="25BC4E87" w:rsidR="002662C0" w:rsidRDefault="002662C0" w:rsidP="002662C0">
            <w:pPr>
              <w:jc w:val="center"/>
              <w:rPr>
                <w:rFonts w:ascii="Arial Narrow" w:hAnsi="Arial Narrow"/>
                <w:sz w:val="18"/>
                <w:szCs w:val="18"/>
              </w:rPr>
            </w:pPr>
            <w:r>
              <w:rPr>
                <w:rFonts w:ascii="Arial Narrow" w:hAnsi="Arial Narrow"/>
                <w:sz w:val="18"/>
                <w:szCs w:val="18"/>
              </w:rPr>
              <w:t>+22,5</w:t>
            </w:r>
          </w:p>
        </w:tc>
        <w:tc>
          <w:tcPr>
            <w:tcW w:w="1316" w:type="dxa"/>
            <w:tcBorders>
              <w:top w:val="single" w:sz="4" w:space="0" w:color="auto"/>
              <w:bottom w:val="single" w:sz="4" w:space="0" w:color="auto"/>
            </w:tcBorders>
            <w:shd w:val="clear" w:color="auto" w:fill="D9D9D9"/>
            <w:vAlign w:val="bottom"/>
          </w:tcPr>
          <w:p w14:paraId="48172B09" w14:textId="336A0203" w:rsidR="002662C0" w:rsidRDefault="002662C0" w:rsidP="002662C0">
            <w:pPr>
              <w:jc w:val="center"/>
              <w:rPr>
                <w:rFonts w:ascii="Arial Narrow" w:hAnsi="Arial Narrow"/>
                <w:sz w:val="18"/>
                <w:szCs w:val="18"/>
              </w:rPr>
            </w:pPr>
            <w:r>
              <w:rPr>
                <w:rFonts w:ascii="Arial Narrow" w:hAnsi="Arial Narrow"/>
                <w:sz w:val="18"/>
                <w:szCs w:val="18"/>
              </w:rPr>
              <w:t>+15,8</w:t>
            </w:r>
          </w:p>
        </w:tc>
        <w:tc>
          <w:tcPr>
            <w:tcW w:w="823" w:type="dxa"/>
            <w:tcBorders>
              <w:top w:val="single" w:sz="4" w:space="0" w:color="auto"/>
              <w:bottom w:val="single" w:sz="4" w:space="0" w:color="auto"/>
            </w:tcBorders>
            <w:vAlign w:val="bottom"/>
          </w:tcPr>
          <w:p w14:paraId="3BDADCC0" w14:textId="08560663" w:rsidR="002662C0" w:rsidRDefault="002662C0" w:rsidP="002662C0">
            <w:pPr>
              <w:jc w:val="center"/>
              <w:rPr>
                <w:rFonts w:ascii="Arial Narrow" w:hAnsi="Arial Narrow"/>
                <w:sz w:val="18"/>
                <w:szCs w:val="18"/>
              </w:rPr>
            </w:pPr>
            <w:r>
              <w:rPr>
                <w:rFonts w:ascii="Arial Narrow" w:hAnsi="Arial Narrow"/>
                <w:sz w:val="18"/>
                <w:szCs w:val="18"/>
              </w:rPr>
              <w:t>+23,7</w:t>
            </w:r>
          </w:p>
        </w:tc>
        <w:tc>
          <w:tcPr>
            <w:tcW w:w="1317" w:type="dxa"/>
            <w:tcBorders>
              <w:top w:val="single" w:sz="4" w:space="0" w:color="auto"/>
              <w:bottom w:val="single" w:sz="4" w:space="0" w:color="auto"/>
            </w:tcBorders>
            <w:vAlign w:val="bottom"/>
          </w:tcPr>
          <w:p w14:paraId="56537B7A" w14:textId="11B26422" w:rsidR="002662C0" w:rsidRDefault="002662C0" w:rsidP="002662C0">
            <w:pPr>
              <w:jc w:val="center"/>
              <w:rPr>
                <w:rFonts w:ascii="Arial Narrow" w:hAnsi="Arial Narrow"/>
                <w:sz w:val="18"/>
                <w:szCs w:val="18"/>
              </w:rPr>
            </w:pPr>
            <w:r>
              <w:rPr>
                <w:rFonts w:ascii="Arial Narrow" w:hAnsi="Arial Narrow"/>
                <w:sz w:val="18"/>
                <w:szCs w:val="18"/>
              </w:rPr>
              <w:t>+21,3</w:t>
            </w:r>
          </w:p>
        </w:tc>
        <w:tc>
          <w:tcPr>
            <w:tcW w:w="823" w:type="dxa"/>
            <w:tcBorders>
              <w:top w:val="single" w:sz="4" w:space="0" w:color="auto"/>
              <w:bottom w:val="single" w:sz="4" w:space="0" w:color="auto"/>
            </w:tcBorders>
            <w:shd w:val="clear" w:color="auto" w:fill="D9D9D9"/>
            <w:vAlign w:val="bottom"/>
          </w:tcPr>
          <w:p w14:paraId="5BB4ED55" w14:textId="497EBBA1" w:rsidR="002662C0" w:rsidRDefault="002662C0" w:rsidP="002662C0">
            <w:pPr>
              <w:jc w:val="center"/>
              <w:rPr>
                <w:rFonts w:ascii="Arial Narrow" w:hAnsi="Arial Narrow"/>
                <w:sz w:val="18"/>
                <w:szCs w:val="18"/>
              </w:rPr>
            </w:pPr>
            <w:r>
              <w:rPr>
                <w:rFonts w:ascii="Arial Narrow" w:hAnsi="Arial Narrow"/>
                <w:sz w:val="18"/>
                <w:szCs w:val="18"/>
              </w:rPr>
              <w:t>+1,9</w:t>
            </w:r>
          </w:p>
        </w:tc>
        <w:tc>
          <w:tcPr>
            <w:tcW w:w="1317" w:type="dxa"/>
            <w:tcBorders>
              <w:top w:val="single" w:sz="4" w:space="0" w:color="auto"/>
              <w:bottom w:val="single" w:sz="4" w:space="0" w:color="auto"/>
            </w:tcBorders>
            <w:shd w:val="clear" w:color="auto" w:fill="D9D9D9"/>
            <w:vAlign w:val="bottom"/>
          </w:tcPr>
          <w:p w14:paraId="4701B2F1" w14:textId="3BE6C7B3" w:rsidR="002662C0" w:rsidRDefault="002662C0" w:rsidP="002662C0">
            <w:pPr>
              <w:jc w:val="center"/>
              <w:rPr>
                <w:rFonts w:ascii="Arial Narrow" w:hAnsi="Arial Narrow"/>
                <w:sz w:val="18"/>
                <w:szCs w:val="18"/>
              </w:rPr>
            </w:pPr>
            <w:r>
              <w:rPr>
                <w:rFonts w:ascii="Arial Narrow" w:hAnsi="Arial Narrow"/>
                <w:sz w:val="18"/>
                <w:szCs w:val="18"/>
              </w:rPr>
              <w:t>+6,0</w:t>
            </w:r>
          </w:p>
        </w:tc>
        <w:tc>
          <w:tcPr>
            <w:tcW w:w="823" w:type="dxa"/>
            <w:tcBorders>
              <w:top w:val="single" w:sz="4" w:space="0" w:color="auto"/>
              <w:bottom w:val="single" w:sz="4" w:space="0" w:color="auto"/>
            </w:tcBorders>
            <w:vAlign w:val="bottom"/>
          </w:tcPr>
          <w:p w14:paraId="273A91F5" w14:textId="3E4B30AD" w:rsidR="002662C0" w:rsidRDefault="002662C0" w:rsidP="002662C0">
            <w:pPr>
              <w:jc w:val="center"/>
              <w:rPr>
                <w:rFonts w:ascii="Arial Narrow" w:hAnsi="Arial Narrow"/>
                <w:sz w:val="18"/>
                <w:szCs w:val="18"/>
              </w:rPr>
            </w:pPr>
            <w:r>
              <w:rPr>
                <w:rFonts w:ascii="Arial Narrow" w:hAnsi="Arial Narrow"/>
                <w:sz w:val="18"/>
                <w:szCs w:val="18"/>
              </w:rPr>
              <w:t>-0,6</w:t>
            </w:r>
          </w:p>
        </w:tc>
        <w:tc>
          <w:tcPr>
            <w:tcW w:w="1317" w:type="dxa"/>
            <w:tcBorders>
              <w:top w:val="single" w:sz="4" w:space="0" w:color="auto"/>
              <w:bottom w:val="single" w:sz="4" w:space="0" w:color="auto"/>
            </w:tcBorders>
            <w:vAlign w:val="bottom"/>
          </w:tcPr>
          <w:p w14:paraId="0CFE25A5" w14:textId="71F213F2" w:rsidR="002662C0" w:rsidRDefault="002662C0" w:rsidP="002662C0">
            <w:pPr>
              <w:jc w:val="center"/>
              <w:rPr>
                <w:rFonts w:ascii="Arial Narrow" w:hAnsi="Arial Narrow"/>
                <w:sz w:val="18"/>
                <w:szCs w:val="18"/>
              </w:rPr>
            </w:pPr>
            <w:r>
              <w:rPr>
                <w:rFonts w:ascii="Arial Narrow" w:hAnsi="Arial Narrow"/>
                <w:sz w:val="18"/>
                <w:szCs w:val="18"/>
              </w:rPr>
              <w:t>+5,9</w:t>
            </w:r>
          </w:p>
        </w:tc>
      </w:tr>
      <w:tr w:rsidR="002662C0" w:rsidRPr="008C0651" w14:paraId="0AA49F05" w14:textId="77777777" w:rsidTr="00CA2086">
        <w:trPr>
          <w:trHeight w:val="255"/>
        </w:trPr>
        <w:tc>
          <w:tcPr>
            <w:tcW w:w="1647" w:type="dxa"/>
            <w:tcBorders>
              <w:top w:val="single" w:sz="4" w:space="0" w:color="auto"/>
              <w:left w:val="nil"/>
              <w:bottom w:val="single" w:sz="4" w:space="0" w:color="auto"/>
            </w:tcBorders>
            <w:vAlign w:val="center"/>
          </w:tcPr>
          <w:p w14:paraId="766BF8C8" w14:textId="77777777" w:rsidR="002662C0" w:rsidRPr="00353F86" w:rsidRDefault="002662C0" w:rsidP="002662C0">
            <w:pPr>
              <w:spacing w:before="40" w:after="20"/>
              <w:rPr>
                <w:rFonts w:ascii="Arial Narrow" w:hAnsi="Arial Narrow" w:cs="Arial"/>
                <w:sz w:val="18"/>
                <w:szCs w:val="18"/>
              </w:rPr>
            </w:pPr>
            <w:r w:rsidRPr="00353F86">
              <w:rPr>
                <w:rFonts w:ascii="Arial Narrow" w:hAnsi="Arial Narrow" w:cs="Arial"/>
                <w:sz w:val="18"/>
                <w:szCs w:val="18"/>
              </w:rPr>
              <w:t>durevoli</w:t>
            </w:r>
          </w:p>
        </w:tc>
        <w:tc>
          <w:tcPr>
            <w:tcW w:w="823" w:type="dxa"/>
            <w:tcBorders>
              <w:top w:val="single" w:sz="4" w:space="0" w:color="auto"/>
              <w:bottom w:val="single" w:sz="4" w:space="0" w:color="auto"/>
            </w:tcBorders>
            <w:shd w:val="clear" w:color="auto" w:fill="D9D9D9"/>
            <w:vAlign w:val="bottom"/>
          </w:tcPr>
          <w:p w14:paraId="2733FF54" w14:textId="2926C410" w:rsidR="002662C0" w:rsidRDefault="002662C0" w:rsidP="002662C0">
            <w:pPr>
              <w:jc w:val="center"/>
              <w:rPr>
                <w:rFonts w:ascii="Arial Narrow" w:hAnsi="Arial Narrow"/>
                <w:sz w:val="18"/>
                <w:szCs w:val="18"/>
              </w:rPr>
            </w:pPr>
            <w:r>
              <w:rPr>
                <w:rFonts w:ascii="Arial Narrow" w:hAnsi="Arial Narrow"/>
                <w:sz w:val="18"/>
                <w:szCs w:val="18"/>
              </w:rPr>
              <w:t>+15,4</w:t>
            </w:r>
          </w:p>
        </w:tc>
        <w:tc>
          <w:tcPr>
            <w:tcW w:w="1316" w:type="dxa"/>
            <w:tcBorders>
              <w:top w:val="single" w:sz="4" w:space="0" w:color="auto"/>
              <w:bottom w:val="single" w:sz="4" w:space="0" w:color="auto"/>
            </w:tcBorders>
            <w:shd w:val="clear" w:color="auto" w:fill="D9D9D9"/>
            <w:vAlign w:val="bottom"/>
          </w:tcPr>
          <w:p w14:paraId="10D6F7EF" w14:textId="59E6451A" w:rsidR="002662C0" w:rsidRDefault="002662C0" w:rsidP="002662C0">
            <w:pPr>
              <w:jc w:val="center"/>
              <w:rPr>
                <w:rFonts w:ascii="Arial Narrow" w:hAnsi="Arial Narrow"/>
                <w:sz w:val="18"/>
                <w:szCs w:val="18"/>
              </w:rPr>
            </w:pPr>
            <w:r>
              <w:rPr>
                <w:rFonts w:ascii="Arial Narrow" w:hAnsi="Arial Narrow"/>
                <w:sz w:val="18"/>
                <w:szCs w:val="18"/>
              </w:rPr>
              <w:t>+12,9</w:t>
            </w:r>
          </w:p>
        </w:tc>
        <w:tc>
          <w:tcPr>
            <w:tcW w:w="823" w:type="dxa"/>
            <w:tcBorders>
              <w:top w:val="single" w:sz="4" w:space="0" w:color="auto"/>
              <w:bottom w:val="single" w:sz="4" w:space="0" w:color="auto"/>
            </w:tcBorders>
            <w:vAlign w:val="bottom"/>
          </w:tcPr>
          <w:p w14:paraId="21F24B11" w14:textId="004F7AA9" w:rsidR="002662C0" w:rsidRDefault="002662C0" w:rsidP="002662C0">
            <w:pPr>
              <w:jc w:val="center"/>
              <w:rPr>
                <w:rFonts w:ascii="Arial Narrow" w:hAnsi="Arial Narrow"/>
                <w:sz w:val="18"/>
                <w:szCs w:val="18"/>
              </w:rPr>
            </w:pPr>
            <w:r>
              <w:rPr>
                <w:rFonts w:ascii="Arial Narrow" w:hAnsi="Arial Narrow"/>
                <w:sz w:val="18"/>
                <w:szCs w:val="18"/>
              </w:rPr>
              <w:t>+19,1</w:t>
            </w:r>
          </w:p>
        </w:tc>
        <w:tc>
          <w:tcPr>
            <w:tcW w:w="1317" w:type="dxa"/>
            <w:tcBorders>
              <w:top w:val="single" w:sz="4" w:space="0" w:color="auto"/>
              <w:bottom w:val="single" w:sz="4" w:space="0" w:color="auto"/>
            </w:tcBorders>
            <w:vAlign w:val="bottom"/>
          </w:tcPr>
          <w:p w14:paraId="67368A57" w14:textId="0B1F59EF" w:rsidR="002662C0" w:rsidRDefault="002662C0" w:rsidP="002662C0">
            <w:pPr>
              <w:jc w:val="center"/>
              <w:rPr>
                <w:rFonts w:ascii="Arial Narrow" w:hAnsi="Arial Narrow"/>
                <w:sz w:val="18"/>
                <w:szCs w:val="18"/>
              </w:rPr>
            </w:pPr>
            <w:r>
              <w:rPr>
                <w:rFonts w:ascii="Arial Narrow" w:hAnsi="Arial Narrow"/>
                <w:sz w:val="18"/>
                <w:szCs w:val="18"/>
              </w:rPr>
              <w:t>+15,4</w:t>
            </w:r>
          </w:p>
        </w:tc>
        <w:tc>
          <w:tcPr>
            <w:tcW w:w="823" w:type="dxa"/>
            <w:tcBorders>
              <w:top w:val="single" w:sz="4" w:space="0" w:color="auto"/>
              <w:bottom w:val="single" w:sz="4" w:space="0" w:color="auto"/>
            </w:tcBorders>
            <w:shd w:val="clear" w:color="auto" w:fill="D9D9D9"/>
            <w:vAlign w:val="bottom"/>
          </w:tcPr>
          <w:p w14:paraId="32660A2B" w14:textId="785C52BF" w:rsidR="002662C0" w:rsidRDefault="002662C0" w:rsidP="002662C0">
            <w:pPr>
              <w:jc w:val="center"/>
              <w:rPr>
                <w:rFonts w:ascii="Arial Narrow" w:hAnsi="Arial Narrow"/>
                <w:sz w:val="18"/>
                <w:szCs w:val="18"/>
              </w:rPr>
            </w:pPr>
            <w:r>
              <w:rPr>
                <w:rFonts w:ascii="Arial Narrow" w:hAnsi="Arial Narrow"/>
                <w:sz w:val="18"/>
                <w:szCs w:val="18"/>
              </w:rPr>
              <w:t>-2,7</w:t>
            </w:r>
          </w:p>
        </w:tc>
        <w:tc>
          <w:tcPr>
            <w:tcW w:w="1317" w:type="dxa"/>
            <w:tcBorders>
              <w:top w:val="single" w:sz="4" w:space="0" w:color="auto"/>
              <w:bottom w:val="single" w:sz="4" w:space="0" w:color="auto"/>
            </w:tcBorders>
            <w:shd w:val="clear" w:color="auto" w:fill="D9D9D9"/>
            <w:vAlign w:val="bottom"/>
          </w:tcPr>
          <w:p w14:paraId="0FA0CFF1" w14:textId="7AC09B9B" w:rsidR="002662C0" w:rsidRDefault="002662C0" w:rsidP="002662C0">
            <w:pPr>
              <w:jc w:val="center"/>
              <w:rPr>
                <w:rFonts w:ascii="Arial Narrow" w:hAnsi="Arial Narrow"/>
                <w:sz w:val="18"/>
                <w:szCs w:val="18"/>
              </w:rPr>
            </w:pPr>
            <w:r>
              <w:rPr>
                <w:rFonts w:ascii="Arial Narrow" w:hAnsi="Arial Narrow"/>
                <w:sz w:val="18"/>
                <w:szCs w:val="18"/>
              </w:rPr>
              <w:t>+4,7</w:t>
            </w:r>
          </w:p>
        </w:tc>
        <w:tc>
          <w:tcPr>
            <w:tcW w:w="823" w:type="dxa"/>
            <w:tcBorders>
              <w:top w:val="single" w:sz="4" w:space="0" w:color="auto"/>
              <w:bottom w:val="single" w:sz="4" w:space="0" w:color="auto"/>
            </w:tcBorders>
            <w:vAlign w:val="bottom"/>
          </w:tcPr>
          <w:p w14:paraId="27560C7F" w14:textId="1051DB21" w:rsidR="002662C0" w:rsidRDefault="002662C0" w:rsidP="002662C0">
            <w:pPr>
              <w:jc w:val="center"/>
              <w:rPr>
                <w:rFonts w:ascii="Arial Narrow" w:hAnsi="Arial Narrow"/>
                <w:sz w:val="18"/>
                <w:szCs w:val="18"/>
              </w:rPr>
            </w:pPr>
            <w:r>
              <w:rPr>
                <w:rFonts w:ascii="Arial Narrow" w:hAnsi="Arial Narrow"/>
                <w:sz w:val="18"/>
                <w:szCs w:val="18"/>
              </w:rPr>
              <w:t>-15,5</w:t>
            </w:r>
          </w:p>
        </w:tc>
        <w:tc>
          <w:tcPr>
            <w:tcW w:w="1317" w:type="dxa"/>
            <w:tcBorders>
              <w:top w:val="single" w:sz="4" w:space="0" w:color="auto"/>
              <w:bottom w:val="single" w:sz="4" w:space="0" w:color="auto"/>
            </w:tcBorders>
            <w:vAlign w:val="bottom"/>
          </w:tcPr>
          <w:p w14:paraId="2B2A239A" w14:textId="367782AF" w:rsidR="002662C0" w:rsidRDefault="002662C0" w:rsidP="002662C0">
            <w:pPr>
              <w:jc w:val="center"/>
              <w:rPr>
                <w:rFonts w:ascii="Arial Narrow" w:hAnsi="Arial Narrow"/>
                <w:sz w:val="18"/>
                <w:szCs w:val="18"/>
              </w:rPr>
            </w:pPr>
            <w:r>
              <w:rPr>
                <w:rFonts w:ascii="Arial Narrow" w:hAnsi="Arial Narrow"/>
                <w:sz w:val="18"/>
                <w:szCs w:val="18"/>
              </w:rPr>
              <w:t>+3,4</w:t>
            </w:r>
          </w:p>
        </w:tc>
      </w:tr>
      <w:tr w:rsidR="002662C0" w:rsidRPr="008C0651" w14:paraId="01F6E9DF" w14:textId="77777777" w:rsidTr="00CA2086">
        <w:trPr>
          <w:trHeight w:val="255"/>
        </w:trPr>
        <w:tc>
          <w:tcPr>
            <w:tcW w:w="1647" w:type="dxa"/>
            <w:tcBorders>
              <w:top w:val="single" w:sz="4" w:space="0" w:color="auto"/>
              <w:left w:val="nil"/>
              <w:bottom w:val="single" w:sz="4" w:space="0" w:color="auto"/>
            </w:tcBorders>
            <w:vAlign w:val="center"/>
          </w:tcPr>
          <w:p w14:paraId="68752EA6" w14:textId="77777777" w:rsidR="002662C0" w:rsidRPr="00353F86" w:rsidRDefault="002662C0" w:rsidP="002662C0">
            <w:pPr>
              <w:spacing w:before="40" w:after="20"/>
              <w:rPr>
                <w:rFonts w:ascii="Arial Narrow" w:hAnsi="Arial Narrow" w:cs="Arial"/>
                <w:sz w:val="18"/>
                <w:szCs w:val="18"/>
              </w:rPr>
            </w:pPr>
            <w:r w:rsidRPr="00353F86">
              <w:rPr>
                <w:rFonts w:ascii="Arial Narrow" w:hAnsi="Arial Narrow" w:cs="Arial"/>
                <w:sz w:val="18"/>
                <w:szCs w:val="18"/>
              </w:rPr>
              <w:t>non durevoli</w:t>
            </w:r>
          </w:p>
        </w:tc>
        <w:tc>
          <w:tcPr>
            <w:tcW w:w="823" w:type="dxa"/>
            <w:tcBorders>
              <w:top w:val="single" w:sz="4" w:space="0" w:color="auto"/>
              <w:bottom w:val="single" w:sz="4" w:space="0" w:color="auto"/>
            </w:tcBorders>
            <w:shd w:val="clear" w:color="auto" w:fill="D9D9D9"/>
            <w:vAlign w:val="bottom"/>
          </w:tcPr>
          <w:p w14:paraId="728B7A1B" w14:textId="3F85A8FC" w:rsidR="002662C0" w:rsidRDefault="002662C0" w:rsidP="002662C0">
            <w:pPr>
              <w:jc w:val="center"/>
              <w:rPr>
                <w:rFonts w:ascii="Arial Narrow" w:hAnsi="Arial Narrow"/>
                <w:sz w:val="18"/>
                <w:szCs w:val="18"/>
              </w:rPr>
            </w:pPr>
            <w:r>
              <w:rPr>
                <w:rFonts w:ascii="Arial Narrow" w:hAnsi="Arial Narrow"/>
                <w:sz w:val="18"/>
                <w:szCs w:val="18"/>
              </w:rPr>
              <w:t>+24,3</w:t>
            </w:r>
          </w:p>
        </w:tc>
        <w:tc>
          <w:tcPr>
            <w:tcW w:w="1316" w:type="dxa"/>
            <w:tcBorders>
              <w:top w:val="single" w:sz="4" w:space="0" w:color="auto"/>
              <w:bottom w:val="single" w:sz="4" w:space="0" w:color="auto"/>
            </w:tcBorders>
            <w:shd w:val="clear" w:color="auto" w:fill="D9D9D9"/>
            <w:vAlign w:val="bottom"/>
          </w:tcPr>
          <w:p w14:paraId="6BD85BE9" w14:textId="65413313" w:rsidR="002662C0" w:rsidRDefault="002662C0" w:rsidP="002662C0">
            <w:pPr>
              <w:jc w:val="center"/>
              <w:rPr>
                <w:rFonts w:ascii="Arial Narrow" w:hAnsi="Arial Narrow"/>
                <w:sz w:val="18"/>
                <w:szCs w:val="18"/>
              </w:rPr>
            </w:pPr>
            <w:r>
              <w:rPr>
                <w:rFonts w:ascii="Arial Narrow" w:hAnsi="Arial Narrow"/>
                <w:sz w:val="18"/>
                <w:szCs w:val="18"/>
              </w:rPr>
              <w:t>+16,5</w:t>
            </w:r>
          </w:p>
        </w:tc>
        <w:tc>
          <w:tcPr>
            <w:tcW w:w="823" w:type="dxa"/>
            <w:tcBorders>
              <w:top w:val="single" w:sz="4" w:space="0" w:color="auto"/>
              <w:bottom w:val="single" w:sz="4" w:space="0" w:color="auto"/>
            </w:tcBorders>
            <w:vAlign w:val="bottom"/>
          </w:tcPr>
          <w:p w14:paraId="664AEE75" w14:textId="76404740" w:rsidR="002662C0" w:rsidRDefault="002662C0" w:rsidP="002662C0">
            <w:pPr>
              <w:jc w:val="center"/>
              <w:rPr>
                <w:rFonts w:ascii="Arial Narrow" w:hAnsi="Arial Narrow"/>
                <w:sz w:val="18"/>
                <w:szCs w:val="18"/>
              </w:rPr>
            </w:pPr>
            <w:r>
              <w:rPr>
                <w:rFonts w:ascii="Arial Narrow" w:hAnsi="Arial Narrow"/>
                <w:sz w:val="18"/>
                <w:szCs w:val="18"/>
              </w:rPr>
              <w:t>+24,5</w:t>
            </w:r>
          </w:p>
        </w:tc>
        <w:tc>
          <w:tcPr>
            <w:tcW w:w="1317" w:type="dxa"/>
            <w:tcBorders>
              <w:top w:val="single" w:sz="4" w:space="0" w:color="auto"/>
              <w:bottom w:val="single" w:sz="4" w:space="0" w:color="auto"/>
            </w:tcBorders>
            <w:vAlign w:val="bottom"/>
          </w:tcPr>
          <w:p w14:paraId="63AADF3C" w14:textId="10D102C9" w:rsidR="002662C0" w:rsidRDefault="002662C0" w:rsidP="002662C0">
            <w:pPr>
              <w:jc w:val="center"/>
              <w:rPr>
                <w:rFonts w:ascii="Arial Narrow" w:hAnsi="Arial Narrow"/>
                <w:sz w:val="18"/>
                <w:szCs w:val="18"/>
              </w:rPr>
            </w:pPr>
            <w:r>
              <w:rPr>
                <w:rFonts w:ascii="Arial Narrow" w:hAnsi="Arial Narrow"/>
                <w:sz w:val="18"/>
                <w:szCs w:val="18"/>
              </w:rPr>
              <w:t>+22,4</w:t>
            </w:r>
          </w:p>
        </w:tc>
        <w:tc>
          <w:tcPr>
            <w:tcW w:w="823" w:type="dxa"/>
            <w:tcBorders>
              <w:top w:val="single" w:sz="4" w:space="0" w:color="auto"/>
              <w:bottom w:val="single" w:sz="4" w:space="0" w:color="auto"/>
            </w:tcBorders>
            <w:shd w:val="clear" w:color="auto" w:fill="D9D9D9"/>
            <w:vAlign w:val="bottom"/>
          </w:tcPr>
          <w:p w14:paraId="2D42EDBE" w14:textId="59262B00" w:rsidR="002662C0" w:rsidRDefault="002662C0" w:rsidP="002662C0">
            <w:pPr>
              <w:jc w:val="center"/>
              <w:rPr>
                <w:rFonts w:ascii="Arial Narrow" w:hAnsi="Arial Narrow"/>
                <w:sz w:val="18"/>
                <w:szCs w:val="18"/>
              </w:rPr>
            </w:pPr>
            <w:r>
              <w:rPr>
                <w:rFonts w:ascii="Arial Narrow" w:hAnsi="Arial Narrow"/>
                <w:sz w:val="18"/>
                <w:szCs w:val="18"/>
              </w:rPr>
              <w:t>+2,8</w:t>
            </w:r>
          </w:p>
        </w:tc>
        <w:tc>
          <w:tcPr>
            <w:tcW w:w="1317" w:type="dxa"/>
            <w:tcBorders>
              <w:top w:val="single" w:sz="4" w:space="0" w:color="auto"/>
              <w:bottom w:val="single" w:sz="4" w:space="0" w:color="auto"/>
            </w:tcBorders>
            <w:shd w:val="clear" w:color="auto" w:fill="D9D9D9"/>
            <w:vAlign w:val="bottom"/>
          </w:tcPr>
          <w:p w14:paraId="7BA76FE8" w14:textId="1B3FE533" w:rsidR="002662C0" w:rsidRDefault="002662C0" w:rsidP="002662C0">
            <w:pPr>
              <w:jc w:val="center"/>
              <w:rPr>
                <w:rFonts w:ascii="Arial Narrow" w:hAnsi="Arial Narrow"/>
                <w:sz w:val="18"/>
                <w:szCs w:val="18"/>
              </w:rPr>
            </w:pPr>
            <w:r>
              <w:rPr>
                <w:rFonts w:ascii="Arial Narrow" w:hAnsi="Arial Narrow"/>
                <w:sz w:val="18"/>
                <w:szCs w:val="18"/>
              </w:rPr>
              <w:t>+6,3</w:t>
            </w:r>
          </w:p>
        </w:tc>
        <w:tc>
          <w:tcPr>
            <w:tcW w:w="823" w:type="dxa"/>
            <w:tcBorders>
              <w:top w:val="single" w:sz="4" w:space="0" w:color="auto"/>
              <w:bottom w:val="single" w:sz="4" w:space="0" w:color="auto"/>
            </w:tcBorders>
            <w:vAlign w:val="bottom"/>
          </w:tcPr>
          <w:p w14:paraId="617D07F9" w14:textId="6429CC9C" w:rsidR="002662C0" w:rsidRDefault="002662C0" w:rsidP="002662C0">
            <w:pPr>
              <w:jc w:val="center"/>
              <w:rPr>
                <w:rFonts w:ascii="Arial Narrow" w:hAnsi="Arial Narrow"/>
                <w:sz w:val="18"/>
                <w:szCs w:val="18"/>
              </w:rPr>
            </w:pPr>
            <w:r>
              <w:rPr>
                <w:rFonts w:ascii="Arial Narrow" w:hAnsi="Arial Narrow"/>
                <w:sz w:val="18"/>
                <w:szCs w:val="18"/>
              </w:rPr>
              <w:t>+1,8</w:t>
            </w:r>
          </w:p>
        </w:tc>
        <w:tc>
          <w:tcPr>
            <w:tcW w:w="1317" w:type="dxa"/>
            <w:tcBorders>
              <w:top w:val="single" w:sz="4" w:space="0" w:color="auto"/>
              <w:bottom w:val="single" w:sz="4" w:space="0" w:color="auto"/>
            </w:tcBorders>
            <w:vAlign w:val="bottom"/>
          </w:tcPr>
          <w:p w14:paraId="14A7BC7E" w14:textId="0E525A3F" w:rsidR="002662C0" w:rsidRDefault="002662C0" w:rsidP="002662C0">
            <w:pPr>
              <w:jc w:val="center"/>
              <w:rPr>
                <w:rFonts w:ascii="Arial Narrow" w:hAnsi="Arial Narrow"/>
                <w:sz w:val="18"/>
                <w:szCs w:val="18"/>
              </w:rPr>
            </w:pPr>
            <w:r>
              <w:rPr>
                <w:rFonts w:ascii="Arial Narrow" w:hAnsi="Arial Narrow"/>
                <w:sz w:val="18"/>
                <w:szCs w:val="18"/>
              </w:rPr>
              <w:t>+6,2</w:t>
            </w:r>
          </w:p>
        </w:tc>
      </w:tr>
      <w:tr w:rsidR="002662C0" w:rsidRPr="008C0651" w14:paraId="66B73643" w14:textId="77777777" w:rsidTr="00CA2086">
        <w:trPr>
          <w:trHeight w:val="255"/>
        </w:trPr>
        <w:tc>
          <w:tcPr>
            <w:tcW w:w="1647" w:type="dxa"/>
            <w:tcBorders>
              <w:top w:val="single" w:sz="4" w:space="0" w:color="auto"/>
              <w:left w:val="nil"/>
              <w:bottom w:val="single" w:sz="4" w:space="0" w:color="auto"/>
            </w:tcBorders>
            <w:vAlign w:val="center"/>
          </w:tcPr>
          <w:p w14:paraId="7876B70C" w14:textId="77777777" w:rsidR="002662C0" w:rsidRPr="00B076CD" w:rsidRDefault="002662C0" w:rsidP="002662C0">
            <w:pPr>
              <w:spacing w:before="40" w:after="20"/>
              <w:rPr>
                <w:rFonts w:ascii="Arial Narrow" w:hAnsi="Arial Narrow" w:cs="Arial"/>
                <w:sz w:val="18"/>
                <w:szCs w:val="18"/>
              </w:rPr>
            </w:pPr>
            <w:r w:rsidRPr="00B076CD">
              <w:rPr>
                <w:rFonts w:ascii="Arial Narrow" w:hAnsi="Arial Narrow" w:cs="Arial"/>
                <w:sz w:val="18"/>
                <w:szCs w:val="18"/>
              </w:rPr>
              <w:t>Beni strumentali</w:t>
            </w:r>
          </w:p>
        </w:tc>
        <w:tc>
          <w:tcPr>
            <w:tcW w:w="823" w:type="dxa"/>
            <w:tcBorders>
              <w:top w:val="single" w:sz="4" w:space="0" w:color="auto"/>
              <w:bottom w:val="single" w:sz="4" w:space="0" w:color="auto"/>
            </w:tcBorders>
            <w:shd w:val="clear" w:color="auto" w:fill="D9D9D9"/>
            <w:vAlign w:val="bottom"/>
          </w:tcPr>
          <w:p w14:paraId="7D59398D" w14:textId="6BD50840" w:rsidR="002662C0" w:rsidRDefault="002662C0" w:rsidP="002662C0">
            <w:pPr>
              <w:jc w:val="center"/>
              <w:rPr>
                <w:rFonts w:ascii="Arial Narrow" w:hAnsi="Arial Narrow"/>
                <w:sz w:val="18"/>
                <w:szCs w:val="18"/>
              </w:rPr>
            </w:pPr>
            <w:r>
              <w:rPr>
                <w:rFonts w:ascii="Arial Narrow" w:hAnsi="Arial Narrow"/>
                <w:sz w:val="18"/>
                <w:szCs w:val="18"/>
              </w:rPr>
              <w:t>+14,0</w:t>
            </w:r>
          </w:p>
        </w:tc>
        <w:tc>
          <w:tcPr>
            <w:tcW w:w="1316" w:type="dxa"/>
            <w:tcBorders>
              <w:top w:val="single" w:sz="4" w:space="0" w:color="auto"/>
              <w:bottom w:val="single" w:sz="4" w:space="0" w:color="auto"/>
            </w:tcBorders>
            <w:shd w:val="clear" w:color="auto" w:fill="D9D9D9"/>
            <w:vAlign w:val="bottom"/>
          </w:tcPr>
          <w:p w14:paraId="6301C03F" w14:textId="31D7C5B4" w:rsidR="002662C0" w:rsidRDefault="002662C0" w:rsidP="002662C0">
            <w:pPr>
              <w:jc w:val="center"/>
              <w:rPr>
                <w:rFonts w:ascii="Arial Narrow" w:hAnsi="Arial Narrow"/>
                <w:sz w:val="18"/>
                <w:szCs w:val="18"/>
              </w:rPr>
            </w:pPr>
            <w:r>
              <w:rPr>
                <w:rFonts w:ascii="Arial Narrow" w:hAnsi="Arial Narrow"/>
                <w:sz w:val="18"/>
                <w:szCs w:val="18"/>
              </w:rPr>
              <w:t>+13,3</w:t>
            </w:r>
          </w:p>
        </w:tc>
        <w:tc>
          <w:tcPr>
            <w:tcW w:w="823" w:type="dxa"/>
            <w:tcBorders>
              <w:top w:val="single" w:sz="4" w:space="0" w:color="auto"/>
              <w:bottom w:val="single" w:sz="4" w:space="0" w:color="auto"/>
            </w:tcBorders>
            <w:vAlign w:val="bottom"/>
          </w:tcPr>
          <w:p w14:paraId="55390BA0" w14:textId="4C0D595B" w:rsidR="002662C0" w:rsidRDefault="002662C0" w:rsidP="002662C0">
            <w:pPr>
              <w:jc w:val="center"/>
              <w:rPr>
                <w:rFonts w:ascii="Arial Narrow" w:hAnsi="Arial Narrow"/>
                <w:sz w:val="18"/>
                <w:szCs w:val="18"/>
              </w:rPr>
            </w:pPr>
            <w:r>
              <w:rPr>
                <w:rFonts w:ascii="Arial Narrow" w:hAnsi="Arial Narrow"/>
                <w:sz w:val="18"/>
                <w:szCs w:val="18"/>
              </w:rPr>
              <w:t>+15,0</w:t>
            </w:r>
          </w:p>
        </w:tc>
        <w:tc>
          <w:tcPr>
            <w:tcW w:w="1317" w:type="dxa"/>
            <w:tcBorders>
              <w:top w:val="single" w:sz="4" w:space="0" w:color="auto"/>
              <w:bottom w:val="single" w:sz="4" w:space="0" w:color="auto"/>
            </w:tcBorders>
            <w:vAlign w:val="bottom"/>
          </w:tcPr>
          <w:p w14:paraId="087FD1B2" w14:textId="59AB5EA2" w:rsidR="002662C0" w:rsidRDefault="002662C0" w:rsidP="002662C0">
            <w:pPr>
              <w:jc w:val="center"/>
              <w:rPr>
                <w:rFonts w:ascii="Arial Narrow" w:hAnsi="Arial Narrow"/>
                <w:sz w:val="18"/>
                <w:szCs w:val="18"/>
              </w:rPr>
            </w:pPr>
            <w:r>
              <w:rPr>
                <w:rFonts w:ascii="Arial Narrow" w:hAnsi="Arial Narrow"/>
                <w:sz w:val="18"/>
                <w:szCs w:val="18"/>
              </w:rPr>
              <w:t>+13,4</w:t>
            </w:r>
          </w:p>
        </w:tc>
        <w:tc>
          <w:tcPr>
            <w:tcW w:w="823" w:type="dxa"/>
            <w:tcBorders>
              <w:top w:val="single" w:sz="4" w:space="0" w:color="auto"/>
              <w:bottom w:val="single" w:sz="4" w:space="0" w:color="auto"/>
            </w:tcBorders>
            <w:shd w:val="clear" w:color="auto" w:fill="D9D9D9"/>
            <w:vAlign w:val="bottom"/>
          </w:tcPr>
          <w:p w14:paraId="2A9C419A" w14:textId="082BA7EB" w:rsidR="002662C0" w:rsidRDefault="002662C0" w:rsidP="002662C0">
            <w:pPr>
              <w:jc w:val="center"/>
              <w:rPr>
                <w:rFonts w:ascii="Arial Narrow" w:hAnsi="Arial Narrow"/>
                <w:sz w:val="18"/>
                <w:szCs w:val="18"/>
              </w:rPr>
            </w:pPr>
            <w:r>
              <w:rPr>
                <w:rFonts w:ascii="Arial Narrow" w:hAnsi="Arial Narrow"/>
                <w:sz w:val="18"/>
                <w:szCs w:val="18"/>
              </w:rPr>
              <w:t>-11,4</w:t>
            </w:r>
          </w:p>
        </w:tc>
        <w:tc>
          <w:tcPr>
            <w:tcW w:w="1317" w:type="dxa"/>
            <w:tcBorders>
              <w:top w:val="single" w:sz="4" w:space="0" w:color="auto"/>
              <w:bottom w:val="single" w:sz="4" w:space="0" w:color="auto"/>
            </w:tcBorders>
            <w:shd w:val="clear" w:color="auto" w:fill="D9D9D9"/>
            <w:vAlign w:val="bottom"/>
          </w:tcPr>
          <w:p w14:paraId="478D83AA" w14:textId="53953204" w:rsidR="002662C0" w:rsidRDefault="002662C0" w:rsidP="002662C0">
            <w:pPr>
              <w:jc w:val="center"/>
              <w:rPr>
                <w:rFonts w:ascii="Arial Narrow" w:hAnsi="Arial Narrow"/>
                <w:sz w:val="18"/>
                <w:szCs w:val="18"/>
              </w:rPr>
            </w:pPr>
            <w:r>
              <w:rPr>
                <w:rFonts w:ascii="Arial Narrow" w:hAnsi="Arial Narrow"/>
                <w:sz w:val="18"/>
                <w:szCs w:val="18"/>
              </w:rPr>
              <w:t>-2,8</w:t>
            </w:r>
          </w:p>
        </w:tc>
        <w:tc>
          <w:tcPr>
            <w:tcW w:w="823" w:type="dxa"/>
            <w:tcBorders>
              <w:top w:val="single" w:sz="4" w:space="0" w:color="auto"/>
              <w:bottom w:val="single" w:sz="4" w:space="0" w:color="auto"/>
            </w:tcBorders>
            <w:vAlign w:val="bottom"/>
          </w:tcPr>
          <w:p w14:paraId="1B00FEFB" w14:textId="02297747" w:rsidR="002662C0" w:rsidRDefault="002662C0" w:rsidP="002662C0">
            <w:pPr>
              <w:jc w:val="center"/>
              <w:rPr>
                <w:rFonts w:ascii="Arial Narrow" w:hAnsi="Arial Narrow"/>
                <w:sz w:val="18"/>
                <w:szCs w:val="18"/>
              </w:rPr>
            </w:pPr>
            <w:r>
              <w:rPr>
                <w:rFonts w:ascii="Arial Narrow" w:hAnsi="Arial Narrow"/>
                <w:sz w:val="18"/>
                <w:szCs w:val="18"/>
              </w:rPr>
              <w:t>+0,8</w:t>
            </w:r>
          </w:p>
        </w:tc>
        <w:tc>
          <w:tcPr>
            <w:tcW w:w="1317" w:type="dxa"/>
            <w:tcBorders>
              <w:top w:val="single" w:sz="4" w:space="0" w:color="auto"/>
              <w:bottom w:val="single" w:sz="4" w:space="0" w:color="auto"/>
            </w:tcBorders>
            <w:vAlign w:val="bottom"/>
          </w:tcPr>
          <w:p w14:paraId="10429E15" w14:textId="7EBD7714" w:rsidR="002662C0" w:rsidRDefault="002662C0" w:rsidP="002662C0">
            <w:pPr>
              <w:jc w:val="center"/>
              <w:rPr>
                <w:rFonts w:ascii="Arial Narrow" w:hAnsi="Arial Narrow"/>
                <w:sz w:val="18"/>
                <w:szCs w:val="18"/>
              </w:rPr>
            </w:pPr>
            <w:r>
              <w:rPr>
                <w:rFonts w:ascii="Arial Narrow" w:hAnsi="Arial Narrow"/>
                <w:sz w:val="18"/>
                <w:szCs w:val="18"/>
              </w:rPr>
              <w:t>-0,4</w:t>
            </w:r>
          </w:p>
        </w:tc>
      </w:tr>
      <w:tr w:rsidR="002662C0" w:rsidRPr="008C0651" w14:paraId="220FC730" w14:textId="77777777" w:rsidTr="00CA2086">
        <w:trPr>
          <w:trHeight w:val="255"/>
        </w:trPr>
        <w:tc>
          <w:tcPr>
            <w:tcW w:w="1647" w:type="dxa"/>
            <w:tcBorders>
              <w:top w:val="single" w:sz="4" w:space="0" w:color="auto"/>
              <w:left w:val="nil"/>
              <w:bottom w:val="single" w:sz="4" w:space="0" w:color="auto"/>
            </w:tcBorders>
            <w:vAlign w:val="center"/>
          </w:tcPr>
          <w:p w14:paraId="1DA98FBE" w14:textId="77777777" w:rsidR="002662C0" w:rsidRPr="00B076CD" w:rsidRDefault="002662C0" w:rsidP="002662C0">
            <w:pPr>
              <w:spacing w:before="40" w:after="20"/>
              <w:rPr>
                <w:rFonts w:ascii="Arial Narrow" w:hAnsi="Arial Narrow" w:cs="Arial"/>
                <w:sz w:val="18"/>
                <w:szCs w:val="18"/>
              </w:rPr>
            </w:pPr>
            <w:r w:rsidRPr="00B076CD">
              <w:rPr>
                <w:rFonts w:ascii="Arial Narrow" w:hAnsi="Arial Narrow" w:cs="Arial"/>
                <w:sz w:val="18"/>
                <w:szCs w:val="18"/>
              </w:rPr>
              <w:t>Beni intermedi</w:t>
            </w:r>
          </w:p>
        </w:tc>
        <w:tc>
          <w:tcPr>
            <w:tcW w:w="823" w:type="dxa"/>
            <w:tcBorders>
              <w:top w:val="single" w:sz="4" w:space="0" w:color="auto"/>
              <w:bottom w:val="single" w:sz="4" w:space="0" w:color="auto"/>
            </w:tcBorders>
            <w:shd w:val="clear" w:color="auto" w:fill="D9D9D9"/>
            <w:vAlign w:val="bottom"/>
          </w:tcPr>
          <w:p w14:paraId="0CFC38FA" w14:textId="7B181254" w:rsidR="002662C0" w:rsidRDefault="002662C0" w:rsidP="002662C0">
            <w:pPr>
              <w:jc w:val="center"/>
              <w:rPr>
                <w:rFonts w:ascii="Arial Narrow" w:hAnsi="Arial Narrow"/>
                <w:sz w:val="18"/>
                <w:szCs w:val="18"/>
              </w:rPr>
            </w:pPr>
            <w:r>
              <w:rPr>
                <w:rFonts w:ascii="Arial Narrow" w:hAnsi="Arial Narrow"/>
                <w:sz w:val="18"/>
                <w:szCs w:val="18"/>
              </w:rPr>
              <w:t>+24,9</w:t>
            </w:r>
          </w:p>
        </w:tc>
        <w:tc>
          <w:tcPr>
            <w:tcW w:w="1316" w:type="dxa"/>
            <w:tcBorders>
              <w:top w:val="single" w:sz="4" w:space="0" w:color="auto"/>
              <w:bottom w:val="single" w:sz="4" w:space="0" w:color="auto"/>
            </w:tcBorders>
            <w:shd w:val="clear" w:color="auto" w:fill="D9D9D9"/>
            <w:vAlign w:val="bottom"/>
          </w:tcPr>
          <w:p w14:paraId="43229734" w14:textId="167840BB" w:rsidR="002662C0" w:rsidRDefault="002662C0" w:rsidP="002662C0">
            <w:pPr>
              <w:jc w:val="center"/>
              <w:rPr>
                <w:rFonts w:ascii="Arial Narrow" w:hAnsi="Arial Narrow"/>
                <w:sz w:val="18"/>
                <w:szCs w:val="18"/>
              </w:rPr>
            </w:pPr>
            <w:r>
              <w:rPr>
                <w:rFonts w:ascii="Arial Narrow" w:hAnsi="Arial Narrow"/>
                <w:sz w:val="18"/>
                <w:szCs w:val="18"/>
              </w:rPr>
              <w:t>+26,2</w:t>
            </w:r>
          </w:p>
        </w:tc>
        <w:tc>
          <w:tcPr>
            <w:tcW w:w="823" w:type="dxa"/>
            <w:tcBorders>
              <w:top w:val="single" w:sz="4" w:space="0" w:color="auto"/>
              <w:bottom w:val="single" w:sz="4" w:space="0" w:color="auto"/>
            </w:tcBorders>
            <w:vAlign w:val="bottom"/>
          </w:tcPr>
          <w:p w14:paraId="210F6B34" w14:textId="33D676FA" w:rsidR="002662C0" w:rsidRDefault="002662C0" w:rsidP="002662C0">
            <w:pPr>
              <w:jc w:val="center"/>
              <w:rPr>
                <w:rFonts w:ascii="Arial Narrow" w:hAnsi="Arial Narrow"/>
                <w:sz w:val="18"/>
                <w:szCs w:val="18"/>
              </w:rPr>
            </w:pPr>
            <w:r>
              <w:rPr>
                <w:rFonts w:ascii="Arial Narrow" w:hAnsi="Arial Narrow"/>
                <w:sz w:val="18"/>
                <w:szCs w:val="18"/>
              </w:rPr>
              <w:t>+25,4</w:t>
            </w:r>
          </w:p>
        </w:tc>
        <w:tc>
          <w:tcPr>
            <w:tcW w:w="1317" w:type="dxa"/>
            <w:tcBorders>
              <w:top w:val="single" w:sz="4" w:space="0" w:color="auto"/>
              <w:bottom w:val="single" w:sz="4" w:space="0" w:color="auto"/>
            </w:tcBorders>
            <w:vAlign w:val="bottom"/>
          </w:tcPr>
          <w:p w14:paraId="67905E0A" w14:textId="04585765" w:rsidR="002662C0" w:rsidRDefault="002662C0" w:rsidP="002662C0">
            <w:pPr>
              <w:jc w:val="center"/>
              <w:rPr>
                <w:rFonts w:ascii="Arial Narrow" w:hAnsi="Arial Narrow"/>
                <w:sz w:val="18"/>
                <w:szCs w:val="18"/>
              </w:rPr>
            </w:pPr>
            <w:r>
              <w:rPr>
                <w:rFonts w:ascii="Arial Narrow" w:hAnsi="Arial Narrow"/>
                <w:sz w:val="18"/>
                <w:szCs w:val="18"/>
              </w:rPr>
              <w:t>+28,7</w:t>
            </w:r>
          </w:p>
        </w:tc>
        <w:tc>
          <w:tcPr>
            <w:tcW w:w="823" w:type="dxa"/>
            <w:tcBorders>
              <w:top w:val="single" w:sz="4" w:space="0" w:color="auto"/>
              <w:bottom w:val="single" w:sz="4" w:space="0" w:color="auto"/>
            </w:tcBorders>
            <w:shd w:val="clear" w:color="auto" w:fill="D9D9D9"/>
            <w:vAlign w:val="bottom"/>
          </w:tcPr>
          <w:p w14:paraId="28748FA8" w14:textId="1DBF907F" w:rsidR="002662C0" w:rsidRDefault="002662C0" w:rsidP="002662C0">
            <w:pPr>
              <w:jc w:val="center"/>
              <w:rPr>
                <w:rFonts w:ascii="Arial Narrow" w:hAnsi="Arial Narrow"/>
                <w:sz w:val="18"/>
                <w:szCs w:val="18"/>
              </w:rPr>
            </w:pPr>
            <w:r>
              <w:rPr>
                <w:rFonts w:ascii="Arial Narrow" w:hAnsi="Arial Narrow"/>
                <w:sz w:val="18"/>
                <w:szCs w:val="18"/>
              </w:rPr>
              <w:t>-6,8</w:t>
            </w:r>
          </w:p>
        </w:tc>
        <w:tc>
          <w:tcPr>
            <w:tcW w:w="1317" w:type="dxa"/>
            <w:tcBorders>
              <w:top w:val="single" w:sz="4" w:space="0" w:color="auto"/>
              <w:bottom w:val="single" w:sz="4" w:space="0" w:color="auto"/>
            </w:tcBorders>
            <w:shd w:val="clear" w:color="auto" w:fill="D9D9D9"/>
            <w:vAlign w:val="bottom"/>
          </w:tcPr>
          <w:p w14:paraId="1AB7FAB2" w14:textId="686106F3" w:rsidR="002662C0" w:rsidRDefault="002662C0" w:rsidP="002662C0">
            <w:pPr>
              <w:jc w:val="center"/>
              <w:rPr>
                <w:rFonts w:ascii="Arial Narrow" w:hAnsi="Arial Narrow"/>
                <w:sz w:val="18"/>
                <w:szCs w:val="18"/>
              </w:rPr>
            </w:pPr>
            <w:r>
              <w:rPr>
                <w:rFonts w:ascii="Arial Narrow" w:hAnsi="Arial Narrow"/>
                <w:sz w:val="18"/>
                <w:szCs w:val="18"/>
              </w:rPr>
              <w:t>-1,5</w:t>
            </w:r>
          </w:p>
        </w:tc>
        <w:tc>
          <w:tcPr>
            <w:tcW w:w="823" w:type="dxa"/>
            <w:tcBorders>
              <w:top w:val="single" w:sz="4" w:space="0" w:color="auto"/>
              <w:bottom w:val="single" w:sz="4" w:space="0" w:color="auto"/>
            </w:tcBorders>
            <w:vAlign w:val="bottom"/>
          </w:tcPr>
          <w:p w14:paraId="1F195043" w14:textId="5E7C3A1C" w:rsidR="002662C0" w:rsidRDefault="002662C0" w:rsidP="002662C0">
            <w:pPr>
              <w:jc w:val="center"/>
              <w:rPr>
                <w:rFonts w:ascii="Arial Narrow" w:hAnsi="Arial Narrow"/>
                <w:sz w:val="18"/>
                <w:szCs w:val="18"/>
              </w:rPr>
            </w:pPr>
            <w:r>
              <w:rPr>
                <w:rFonts w:ascii="Arial Narrow" w:hAnsi="Arial Narrow"/>
                <w:sz w:val="18"/>
                <w:szCs w:val="18"/>
              </w:rPr>
              <w:t>+0,3</w:t>
            </w:r>
          </w:p>
        </w:tc>
        <w:tc>
          <w:tcPr>
            <w:tcW w:w="1317" w:type="dxa"/>
            <w:tcBorders>
              <w:top w:val="single" w:sz="4" w:space="0" w:color="auto"/>
              <w:bottom w:val="single" w:sz="4" w:space="0" w:color="auto"/>
            </w:tcBorders>
            <w:vAlign w:val="bottom"/>
          </w:tcPr>
          <w:p w14:paraId="2928ECC3" w14:textId="248A68F4" w:rsidR="002662C0" w:rsidRDefault="002662C0" w:rsidP="002662C0">
            <w:pPr>
              <w:jc w:val="center"/>
              <w:rPr>
                <w:rFonts w:ascii="Arial Narrow" w:hAnsi="Arial Narrow"/>
                <w:sz w:val="18"/>
                <w:szCs w:val="18"/>
              </w:rPr>
            </w:pPr>
            <w:r>
              <w:rPr>
                <w:rFonts w:ascii="Arial Narrow" w:hAnsi="Arial Narrow"/>
                <w:sz w:val="18"/>
                <w:szCs w:val="18"/>
              </w:rPr>
              <w:t>+7,4</w:t>
            </w:r>
          </w:p>
        </w:tc>
      </w:tr>
      <w:tr w:rsidR="002662C0" w:rsidRPr="008C0651" w14:paraId="1F8F7598" w14:textId="77777777" w:rsidTr="00CA2086">
        <w:trPr>
          <w:trHeight w:val="255"/>
        </w:trPr>
        <w:tc>
          <w:tcPr>
            <w:tcW w:w="1647" w:type="dxa"/>
            <w:tcBorders>
              <w:top w:val="single" w:sz="4" w:space="0" w:color="auto"/>
              <w:left w:val="nil"/>
              <w:bottom w:val="single" w:sz="4" w:space="0" w:color="auto"/>
            </w:tcBorders>
            <w:vAlign w:val="center"/>
          </w:tcPr>
          <w:p w14:paraId="525947D1" w14:textId="77777777" w:rsidR="002662C0" w:rsidRPr="00B076CD" w:rsidRDefault="002662C0" w:rsidP="002662C0">
            <w:pPr>
              <w:spacing w:before="40" w:after="20"/>
              <w:rPr>
                <w:rFonts w:ascii="Arial Narrow" w:hAnsi="Arial Narrow" w:cs="Arial"/>
                <w:sz w:val="18"/>
                <w:szCs w:val="18"/>
              </w:rPr>
            </w:pPr>
            <w:r w:rsidRPr="00B076CD">
              <w:rPr>
                <w:rFonts w:ascii="Arial Narrow" w:hAnsi="Arial Narrow" w:cs="Arial"/>
                <w:sz w:val="18"/>
                <w:szCs w:val="18"/>
              </w:rPr>
              <w:t>Energia</w:t>
            </w:r>
          </w:p>
        </w:tc>
        <w:tc>
          <w:tcPr>
            <w:tcW w:w="823" w:type="dxa"/>
            <w:tcBorders>
              <w:top w:val="single" w:sz="4" w:space="0" w:color="auto"/>
              <w:bottom w:val="single" w:sz="4" w:space="0" w:color="auto"/>
            </w:tcBorders>
            <w:shd w:val="clear" w:color="auto" w:fill="D9D9D9"/>
            <w:vAlign w:val="bottom"/>
          </w:tcPr>
          <w:p w14:paraId="4624EC6D" w14:textId="464B8C7F" w:rsidR="002662C0" w:rsidRDefault="002662C0" w:rsidP="002662C0">
            <w:pPr>
              <w:jc w:val="center"/>
              <w:rPr>
                <w:rFonts w:ascii="Arial Narrow" w:hAnsi="Arial Narrow"/>
                <w:sz w:val="18"/>
                <w:szCs w:val="18"/>
              </w:rPr>
            </w:pPr>
            <w:r>
              <w:rPr>
                <w:rFonts w:ascii="Arial Narrow" w:hAnsi="Arial Narrow"/>
                <w:sz w:val="18"/>
                <w:szCs w:val="18"/>
              </w:rPr>
              <w:t>+81,6</w:t>
            </w:r>
          </w:p>
        </w:tc>
        <w:tc>
          <w:tcPr>
            <w:tcW w:w="1316" w:type="dxa"/>
            <w:tcBorders>
              <w:top w:val="single" w:sz="4" w:space="0" w:color="auto"/>
              <w:bottom w:val="single" w:sz="4" w:space="0" w:color="auto"/>
            </w:tcBorders>
            <w:shd w:val="clear" w:color="auto" w:fill="D9D9D9"/>
            <w:vAlign w:val="bottom"/>
          </w:tcPr>
          <w:p w14:paraId="118EE0BA" w14:textId="1EDF5A37" w:rsidR="002662C0" w:rsidRDefault="002662C0" w:rsidP="002662C0">
            <w:pPr>
              <w:jc w:val="center"/>
              <w:rPr>
                <w:rFonts w:ascii="Arial Narrow" w:hAnsi="Arial Narrow"/>
                <w:sz w:val="18"/>
                <w:szCs w:val="18"/>
              </w:rPr>
            </w:pPr>
            <w:r>
              <w:rPr>
                <w:rFonts w:ascii="Arial Narrow" w:hAnsi="Arial Narrow"/>
                <w:sz w:val="18"/>
                <w:szCs w:val="18"/>
              </w:rPr>
              <w:t>+79,6</w:t>
            </w:r>
          </w:p>
        </w:tc>
        <w:tc>
          <w:tcPr>
            <w:tcW w:w="823" w:type="dxa"/>
            <w:tcBorders>
              <w:top w:val="single" w:sz="4" w:space="0" w:color="auto"/>
              <w:bottom w:val="single" w:sz="4" w:space="0" w:color="auto"/>
            </w:tcBorders>
            <w:vAlign w:val="bottom"/>
          </w:tcPr>
          <w:p w14:paraId="314FEBDB" w14:textId="5A0FA5FB" w:rsidR="002662C0" w:rsidRDefault="002662C0" w:rsidP="002662C0">
            <w:pPr>
              <w:jc w:val="center"/>
              <w:rPr>
                <w:rFonts w:ascii="Arial Narrow" w:hAnsi="Arial Narrow"/>
                <w:sz w:val="18"/>
                <w:szCs w:val="18"/>
              </w:rPr>
            </w:pPr>
            <w:r>
              <w:rPr>
                <w:rFonts w:ascii="Arial Narrow" w:hAnsi="Arial Narrow"/>
                <w:sz w:val="18"/>
                <w:szCs w:val="18"/>
              </w:rPr>
              <w:t>+151,2</w:t>
            </w:r>
          </w:p>
        </w:tc>
        <w:tc>
          <w:tcPr>
            <w:tcW w:w="1317" w:type="dxa"/>
            <w:tcBorders>
              <w:top w:val="single" w:sz="4" w:space="0" w:color="auto"/>
              <w:bottom w:val="single" w:sz="4" w:space="0" w:color="auto"/>
            </w:tcBorders>
            <w:vAlign w:val="bottom"/>
          </w:tcPr>
          <w:p w14:paraId="6217F172" w14:textId="58C7789C" w:rsidR="002662C0" w:rsidRDefault="002662C0" w:rsidP="002662C0">
            <w:pPr>
              <w:jc w:val="center"/>
              <w:rPr>
                <w:rFonts w:ascii="Arial Narrow" w:hAnsi="Arial Narrow"/>
                <w:sz w:val="18"/>
                <w:szCs w:val="18"/>
              </w:rPr>
            </w:pPr>
            <w:r>
              <w:rPr>
                <w:rFonts w:ascii="Arial Narrow" w:hAnsi="Arial Narrow"/>
                <w:sz w:val="18"/>
                <w:szCs w:val="18"/>
              </w:rPr>
              <w:t>+151,8</w:t>
            </w:r>
          </w:p>
        </w:tc>
        <w:tc>
          <w:tcPr>
            <w:tcW w:w="823" w:type="dxa"/>
            <w:tcBorders>
              <w:top w:val="single" w:sz="4" w:space="0" w:color="auto"/>
              <w:bottom w:val="single" w:sz="4" w:space="0" w:color="auto"/>
            </w:tcBorders>
            <w:shd w:val="clear" w:color="auto" w:fill="D9D9D9"/>
            <w:vAlign w:val="bottom"/>
          </w:tcPr>
          <w:p w14:paraId="4B9687CB" w14:textId="57F27F12" w:rsidR="002662C0" w:rsidRDefault="002662C0" w:rsidP="002662C0">
            <w:pPr>
              <w:jc w:val="center"/>
              <w:rPr>
                <w:rFonts w:ascii="Arial Narrow" w:hAnsi="Arial Narrow"/>
                <w:sz w:val="18"/>
                <w:szCs w:val="18"/>
              </w:rPr>
            </w:pPr>
            <w:r>
              <w:rPr>
                <w:rFonts w:ascii="Arial Narrow" w:hAnsi="Arial Narrow"/>
                <w:sz w:val="18"/>
                <w:szCs w:val="18"/>
              </w:rPr>
              <w:t>+57,9</w:t>
            </w:r>
          </w:p>
        </w:tc>
        <w:tc>
          <w:tcPr>
            <w:tcW w:w="1317" w:type="dxa"/>
            <w:tcBorders>
              <w:top w:val="single" w:sz="4" w:space="0" w:color="auto"/>
              <w:bottom w:val="single" w:sz="4" w:space="0" w:color="auto"/>
            </w:tcBorders>
            <w:shd w:val="clear" w:color="auto" w:fill="D9D9D9"/>
            <w:vAlign w:val="bottom"/>
          </w:tcPr>
          <w:p w14:paraId="68E4475E" w14:textId="17864D53" w:rsidR="002662C0" w:rsidRDefault="002662C0" w:rsidP="002662C0">
            <w:pPr>
              <w:jc w:val="center"/>
              <w:rPr>
                <w:rFonts w:ascii="Arial Narrow" w:hAnsi="Arial Narrow"/>
                <w:sz w:val="18"/>
                <w:szCs w:val="18"/>
              </w:rPr>
            </w:pPr>
            <w:r>
              <w:rPr>
                <w:rFonts w:ascii="Arial Narrow" w:hAnsi="Arial Narrow"/>
                <w:sz w:val="18"/>
                <w:szCs w:val="18"/>
              </w:rPr>
              <w:t>+24,2</w:t>
            </w:r>
          </w:p>
        </w:tc>
        <w:tc>
          <w:tcPr>
            <w:tcW w:w="823" w:type="dxa"/>
            <w:tcBorders>
              <w:top w:val="single" w:sz="4" w:space="0" w:color="auto"/>
              <w:bottom w:val="single" w:sz="4" w:space="0" w:color="auto"/>
            </w:tcBorders>
            <w:vAlign w:val="bottom"/>
          </w:tcPr>
          <w:p w14:paraId="1892CC13" w14:textId="404B6398" w:rsidR="002662C0" w:rsidRDefault="002662C0" w:rsidP="002662C0">
            <w:pPr>
              <w:jc w:val="center"/>
              <w:rPr>
                <w:rFonts w:ascii="Arial Narrow" w:hAnsi="Arial Narrow"/>
                <w:sz w:val="18"/>
                <w:szCs w:val="18"/>
              </w:rPr>
            </w:pPr>
            <w:r>
              <w:rPr>
                <w:rFonts w:ascii="Arial Narrow" w:hAnsi="Arial Narrow"/>
                <w:sz w:val="18"/>
                <w:szCs w:val="18"/>
              </w:rPr>
              <w:t>+23,0</w:t>
            </w:r>
          </w:p>
        </w:tc>
        <w:tc>
          <w:tcPr>
            <w:tcW w:w="1317" w:type="dxa"/>
            <w:tcBorders>
              <w:top w:val="single" w:sz="4" w:space="0" w:color="auto"/>
              <w:bottom w:val="single" w:sz="4" w:space="0" w:color="auto"/>
            </w:tcBorders>
            <w:vAlign w:val="bottom"/>
          </w:tcPr>
          <w:p w14:paraId="52ABB018" w14:textId="3E4E6A3B" w:rsidR="002662C0" w:rsidRDefault="002662C0" w:rsidP="002662C0">
            <w:pPr>
              <w:jc w:val="center"/>
              <w:rPr>
                <w:rFonts w:ascii="Arial Narrow" w:hAnsi="Arial Narrow"/>
                <w:sz w:val="18"/>
                <w:szCs w:val="18"/>
              </w:rPr>
            </w:pPr>
            <w:r>
              <w:rPr>
                <w:rFonts w:ascii="Arial Narrow" w:hAnsi="Arial Narrow"/>
                <w:sz w:val="18"/>
                <w:szCs w:val="18"/>
              </w:rPr>
              <w:t>+12,5</w:t>
            </w:r>
          </w:p>
        </w:tc>
      </w:tr>
      <w:tr w:rsidR="002662C0" w:rsidRPr="008C0651" w14:paraId="3C81DF4C" w14:textId="77777777" w:rsidTr="00CA2086">
        <w:trPr>
          <w:trHeight w:val="255"/>
        </w:trPr>
        <w:tc>
          <w:tcPr>
            <w:tcW w:w="1647" w:type="dxa"/>
            <w:tcBorders>
              <w:top w:val="single" w:sz="4" w:space="0" w:color="auto"/>
              <w:left w:val="nil"/>
              <w:bottom w:val="single" w:sz="4" w:space="0" w:color="auto"/>
            </w:tcBorders>
            <w:vAlign w:val="center"/>
          </w:tcPr>
          <w:p w14:paraId="5D9EF8C5" w14:textId="77777777" w:rsidR="002662C0" w:rsidRPr="00B076CD" w:rsidRDefault="002662C0" w:rsidP="002662C0">
            <w:pPr>
              <w:spacing w:before="40" w:after="20"/>
              <w:rPr>
                <w:rFonts w:ascii="Arial Narrow" w:hAnsi="Arial Narrow" w:cs="Arial"/>
                <w:sz w:val="18"/>
                <w:szCs w:val="18"/>
              </w:rPr>
            </w:pPr>
            <w:r w:rsidRPr="00B076CD">
              <w:rPr>
                <w:rFonts w:ascii="Arial Narrow" w:hAnsi="Arial Narrow" w:cs="Arial"/>
                <w:sz w:val="18"/>
                <w:szCs w:val="18"/>
              </w:rPr>
              <w:t>Totale al netto dell’energia</w:t>
            </w:r>
          </w:p>
        </w:tc>
        <w:tc>
          <w:tcPr>
            <w:tcW w:w="823" w:type="dxa"/>
            <w:tcBorders>
              <w:top w:val="single" w:sz="4" w:space="0" w:color="auto"/>
              <w:bottom w:val="single" w:sz="4" w:space="0" w:color="auto"/>
            </w:tcBorders>
            <w:shd w:val="clear" w:color="auto" w:fill="D9D9D9"/>
            <w:vAlign w:val="bottom"/>
          </w:tcPr>
          <w:p w14:paraId="36BA9261" w14:textId="0D20B7FD" w:rsidR="002662C0" w:rsidRDefault="002662C0" w:rsidP="002662C0">
            <w:pPr>
              <w:jc w:val="center"/>
              <w:rPr>
                <w:rFonts w:ascii="Arial Narrow" w:hAnsi="Arial Narrow"/>
                <w:sz w:val="18"/>
                <w:szCs w:val="18"/>
              </w:rPr>
            </w:pPr>
            <w:r>
              <w:rPr>
                <w:rFonts w:ascii="Arial Narrow" w:hAnsi="Arial Narrow"/>
                <w:sz w:val="18"/>
                <w:szCs w:val="18"/>
              </w:rPr>
              <w:t>+20,4</w:t>
            </w:r>
          </w:p>
        </w:tc>
        <w:tc>
          <w:tcPr>
            <w:tcW w:w="1316" w:type="dxa"/>
            <w:tcBorders>
              <w:top w:val="single" w:sz="4" w:space="0" w:color="auto"/>
              <w:bottom w:val="single" w:sz="4" w:space="0" w:color="auto"/>
            </w:tcBorders>
            <w:shd w:val="clear" w:color="auto" w:fill="D9D9D9"/>
            <w:vAlign w:val="bottom"/>
          </w:tcPr>
          <w:p w14:paraId="2E8E73E6" w14:textId="7F5AD6D7" w:rsidR="002662C0" w:rsidRDefault="002662C0" w:rsidP="002662C0">
            <w:pPr>
              <w:jc w:val="center"/>
              <w:rPr>
                <w:rFonts w:ascii="Arial Narrow" w:hAnsi="Arial Narrow"/>
                <w:sz w:val="18"/>
                <w:szCs w:val="18"/>
              </w:rPr>
            </w:pPr>
            <w:r>
              <w:rPr>
                <w:rFonts w:ascii="Arial Narrow" w:hAnsi="Arial Narrow"/>
                <w:sz w:val="18"/>
                <w:szCs w:val="18"/>
              </w:rPr>
              <w:t>+18,5</w:t>
            </w:r>
          </w:p>
        </w:tc>
        <w:tc>
          <w:tcPr>
            <w:tcW w:w="823" w:type="dxa"/>
            <w:tcBorders>
              <w:top w:val="single" w:sz="4" w:space="0" w:color="auto"/>
              <w:bottom w:val="single" w:sz="4" w:space="0" w:color="auto"/>
            </w:tcBorders>
            <w:vAlign w:val="bottom"/>
          </w:tcPr>
          <w:p w14:paraId="2A00FE2C" w14:textId="67545B65" w:rsidR="002662C0" w:rsidRDefault="002662C0" w:rsidP="002662C0">
            <w:pPr>
              <w:jc w:val="center"/>
              <w:rPr>
                <w:rFonts w:ascii="Arial Narrow" w:hAnsi="Arial Narrow"/>
                <w:sz w:val="18"/>
                <w:szCs w:val="18"/>
              </w:rPr>
            </w:pPr>
            <w:r>
              <w:rPr>
                <w:rFonts w:ascii="Arial Narrow" w:hAnsi="Arial Narrow"/>
                <w:sz w:val="18"/>
                <w:szCs w:val="18"/>
              </w:rPr>
              <w:t>+22,1</w:t>
            </w:r>
          </w:p>
        </w:tc>
        <w:tc>
          <w:tcPr>
            <w:tcW w:w="1317" w:type="dxa"/>
            <w:tcBorders>
              <w:top w:val="single" w:sz="4" w:space="0" w:color="auto"/>
              <w:bottom w:val="single" w:sz="4" w:space="0" w:color="auto"/>
            </w:tcBorders>
            <w:vAlign w:val="bottom"/>
          </w:tcPr>
          <w:p w14:paraId="032399A2" w14:textId="6C686C2F" w:rsidR="002662C0" w:rsidRDefault="002662C0" w:rsidP="002662C0">
            <w:pPr>
              <w:jc w:val="center"/>
              <w:rPr>
                <w:rFonts w:ascii="Arial Narrow" w:hAnsi="Arial Narrow"/>
                <w:sz w:val="18"/>
                <w:szCs w:val="18"/>
              </w:rPr>
            </w:pPr>
            <w:r>
              <w:rPr>
                <w:rFonts w:ascii="Arial Narrow" w:hAnsi="Arial Narrow"/>
                <w:sz w:val="18"/>
                <w:szCs w:val="18"/>
              </w:rPr>
              <w:t>+22,2</w:t>
            </w:r>
          </w:p>
        </w:tc>
        <w:tc>
          <w:tcPr>
            <w:tcW w:w="823" w:type="dxa"/>
            <w:tcBorders>
              <w:top w:val="single" w:sz="4" w:space="0" w:color="auto"/>
              <w:bottom w:val="single" w:sz="4" w:space="0" w:color="auto"/>
            </w:tcBorders>
            <w:shd w:val="clear" w:color="auto" w:fill="D9D9D9"/>
            <w:vAlign w:val="bottom"/>
          </w:tcPr>
          <w:p w14:paraId="07C97F72" w14:textId="31EE80D1" w:rsidR="002662C0" w:rsidRDefault="002662C0" w:rsidP="002662C0">
            <w:pPr>
              <w:jc w:val="center"/>
              <w:rPr>
                <w:rFonts w:ascii="Arial Narrow" w:hAnsi="Arial Narrow"/>
                <w:sz w:val="18"/>
                <w:szCs w:val="18"/>
              </w:rPr>
            </w:pPr>
            <w:r>
              <w:rPr>
                <w:rFonts w:ascii="Arial Narrow" w:hAnsi="Arial Narrow"/>
                <w:sz w:val="18"/>
                <w:szCs w:val="18"/>
              </w:rPr>
              <w:t>-5,4</w:t>
            </w:r>
          </w:p>
        </w:tc>
        <w:tc>
          <w:tcPr>
            <w:tcW w:w="1317" w:type="dxa"/>
            <w:tcBorders>
              <w:top w:val="single" w:sz="4" w:space="0" w:color="auto"/>
              <w:bottom w:val="single" w:sz="4" w:space="0" w:color="auto"/>
            </w:tcBorders>
            <w:shd w:val="clear" w:color="auto" w:fill="D9D9D9"/>
            <w:vAlign w:val="bottom"/>
          </w:tcPr>
          <w:p w14:paraId="582AF69B" w14:textId="51EFC926" w:rsidR="002662C0" w:rsidRDefault="002662C0" w:rsidP="002662C0">
            <w:pPr>
              <w:jc w:val="center"/>
              <w:rPr>
                <w:rFonts w:ascii="Arial Narrow" w:hAnsi="Arial Narrow"/>
                <w:sz w:val="18"/>
                <w:szCs w:val="18"/>
              </w:rPr>
            </w:pPr>
            <w:r>
              <w:rPr>
                <w:rFonts w:ascii="Arial Narrow" w:hAnsi="Arial Narrow"/>
                <w:sz w:val="18"/>
                <w:szCs w:val="18"/>
              </w:rPr>
              <w:t>+0,6</w:t>
            </w:r>
          </w:p>
        </w:tc>
        <w:tc>
          <w:tcPr>
            <w:tcW w:w="823" w:type="dxa"/>
            <w:tcBorders>
              <w:top w:val="single" w:sz="4" w:space="0" w:color="auto"/>
              <w:bottom w:val="single" w:sz="4" w:space="0" w:color="auto"/>
            </w:tcBorders>
            <w:vAlign w:val="bottom"/>
          </w:tcPr>
          <w:p w14:paraId="03438001" w14:textId="077E00FA" w:rsidR="002662C0" w:rsidRDefault="002662C0" w:rsidP="002662C0">
            <w:pPr>
              <w:jc w:val="center"/>
              <w:rPr>
                <w:rFonts w:ascii="Arial Narrow" w:hAnsi="Arial Narrow"/>
                <w:sz w:val="18"/>
                <w:szCs w:val="18"/>
              </w:rPr>
            </w:pPr>
            <w:r>
              <w:rPr>
                <w:rFonts w:ascii="Arial Narrow" w:hAnsi="Arial Narrow"/>
                <w:sz w:val="18"/>
                <w:szCs w:val="18"/>
              </w:rPr>
              <w:t>+0,4</w:t>
            </w:r>
          </w:p>
        </w:tc>
        <w:tc>
          <w:tcPr>
            <w:tcW w:w="1317" w:type="dxa"/>
            <w:tcBorders>
              <w:top w:val="single" w:sz="4" w:space="0" w:color="auto"/>
              <w:bottom w:val="single" w:sz="4" w:space="0" w:color="auto"/>
            </w:tcBorders>
            <w:vAlign w:val="bottom"/>
          </w:tcPr>
          <w:p w14:paraId="4F92598A" w14:textId="55AC8097" w:rsidR="002662C0" w:rsidRDefault="002662C0" w:rsidP="002662C0">
            <w:pPr>
              <w:jc w:val="center"/>
              <w:rPr>
                <w:rFonts w:ascii="Arial Narrow" w:hAnsi="Arial Narrow"/>
                <w:sz w:val="18"/>
                <w:szCs w:val="18"/>
              </w:rPr>
            </w:pPr>
            <w:r>
              <w:rPr>
                <w:rFonts w:ascii="Arial Narrow" w:hAnsi="Arial Narrow"/>
                <w:sz w:val="18"/>
                <w:szCs w:val="18"/>
              </w:rPr>
              <w:t>+5,1</w:t>
            </w:r>
          </w:p>
        </w:tc>
      </w:tr>
      <w:tr w:rsidR="002662C0" w:rsidRPr="002662C0" w14:paraId="34545F88" w14:textId="77777777" w:rsidTr="000916A8">
        <w:trPr>
          <w:trHeight w:val="255"/>
        </w:trPr>
        <w:tc>
          <w:tcPr>
            <w:tcW w:w="1647" w:type="dxa"/>
            <w:tcBorders>
              <w:top w:val="single" w:sz="4" w:space="0" w:color="auto"/>
              <w:left w:val="nil"/>
              <w:bottom w:val="single" w:sz="4" w:space="0" w:color="auto"/>
            </w:tcBorders>
            <w:shd w:val="clear" w:color="auto" w:fill="E42618"/>
            <w:vAlign w:val="center"/>
          </w:tcPr>
          <w:p w14:paraId="5D60411F" w14:textId="77777777" w:rsidR="002662C0" w:rsidRPr="002662C0" w:rsidRDefault="002662C0" w:rsidP="002662C0">
            <w:pPr>
              <w:spacing w:before="40" w:after="20"/>
              <w:rPr>
                <w:rFonts w:ascii="Arial Narrow" w:hAnsi="Arial Narrow" w:cs="Arial"/>
                <w:b/>
                <w:color w:val="FFFFFF" w:themeColor="background1"/>
                <w:sz w:val="18"/>
                <w:szCs w:val="18"/>
              </w:rPr>
            </w:pPr>
            <w:r w:rsidRPr="002662C0">
              <w:rPr>
                <w:rFonts w:ascii="Arial Narrow" w:hAnsi="Arial Narrow" w:cs="Arial"/>
                <w:b/>
                <w:color w:val="FFFFFF" w:themeColor="background1"/>
                <w:sz w:val="18"/>
                <w:szCs w:val="18"/>
              </w:rPr>
              <w:t>Totale</w:t>
            </w:r>
          </w:p>
        </w:tc>
        <w:tc>
          <w:tcPr>
            <w:tcW w:w="823" w:type="dxa"/>
            <w:tcBorders>
              <w:top w:val="single" w:sz="4" w:space="0" w:color="auto"/>
              <w:bottom w:val="single" w:sz="4" w:space="0" w:color="auto"/>
            </w:tcBorders>
            <w:shd w:val="clear" w:color="auto" w:fill="E42618"/>
            <w:vAlign w:val="bottom"/>
          </w:tcPr>
          <w:p w14:paraId="50AF2C49" w14:textId="5E3EE07C" w:rsidR="002662C0" w:rsidRPr="002662C0" w:rsidRDefault="002662C0" w:rsidP="002662C0">
            <w:pPr>
              <w:jc w:val="center"/>
              <w:rPr>
                <w:rFonts w:ascii="Arial Narrow" w:hAnsi="Arial Narrow"/>
                <w:b/>
                <w:color w:val="FFFFFF" w:themeColor="background1"/>
                <w:sz w:val="18"/>
                <w:szCs w:val="18"/>
              </w:rPr>
            </w:pPr>
            <w:r w:rsidRPr="002662C0">
              <w:rPr>
                <w:rFonts w:ascii="Arial Narrow" w:hAnsi="Arial Narrow"/>
                <w:b/>
                <w:color w:val="FFFFFF" w:themeColor="background1"/>
                <w:sz w:val="18"/>
                <w:szCs w:val="18"/>
              </w:rPr>
              <w:t>+23,1</w:t>
            </w:r>
          </w:p>
        </w:tc>
        <w:tc>
          <w:tcPr>
            <w:tcW w:w="1316" w:type="dxa"/>
            <w:tcBorders>
              <w:top w:val="single" w:sz="4" w:space="0" w:color="auto"/>
              <w:bottom w:val="single" w:sz="4" w:space="0" w:color="auto"/>
            </w:tcBorders>
            <w:shd w:val="clear" w:color="auto" w:fill="E42618"/>
            <w:vAlign w:val="bottom"/>
          </w:tcPr>
          <w:p w14:paraId="6B42C72E" w14:textId="2C101C1A" w:rsidR="002662C0" w:rsidRPr="002662C0" w:rsidRDefault="002662C0" w:rsidP="002662C0">
            <w:pPr>
              <w:jc w:val="center"/>
              <w:rPr>
                <w:rFonts w:ascii="Arial Narrow" w:hAnsi="Arial Narrow"/>
                <w:b/>
                <w:color w:val="FFFFFF" w:themeColor="background1"/>
                <w:sz w:val="18"/>
                <w:szCs w:val="18"/>
              </w:rPr>
            </w:pPr>
            <w:r w:rsidRPr="002662C0">
              <w:rPr>
                <w:rFonts w:ascii="Arial Narrow" w:hAnsi="Arial Narrow"/>
                <w:b/>
                <w:color w:val="FFFFFF" w:themeColor="background1"/>
                <w:sz w:val="18"/>
                <w:szCs w:val="18"/>
              </w:rPr>
              <w:t>+20,6</w:t>
            </w:r>
          </w:p>
        </w:tc>
        <w:tc>
          <w:tcPr>
            <w:tcW w:w="823" w:type="dxa"/>
            <w:tcBorders>
              <w:top w:val="single" w:sz="4" w:space="0" w:color="auto"/>
              <w:bottom w:val="single" w:sz="4" w:space="0" w:color="auto"/>
            </w:tcBorders>
            <w:shd w:val="clear" w:color="auto" w:fill="E42618"/>
            <w:vAlign w:val="bottom"/>
          </w:tcPr>
          <w:p w14:paraId="7BE027AB" w14:textId="4BF0772D" w:rsidR="002662C0" w:rsidRPr="002662C0" w:rsidRDefault="002662C0" w:rsidP="002662C0">
            <w:pPr>
              <w:jc w:val="center"/>
              <w:rPr>
                <w:rFonts w:ascii="Arial Narrow" w:hAnsi="Arial Narrow"/>
                <w:b/>
                <w:color w:val="FFFFFF" w:themeColor="background1"/>
                <w:sz w:val="18"/>
                <w:szCs w:val="18"/>
              </w:rPr>
            </w:pPr>
            <w:r w:rsidRPr="002662C0">
              <w:rPr>
                <w:rFonts w:ascii="Arial Narrow" w:hAnsi="Arial Narrow"/>
                <w:b/>
                <w:color w:val="FFFFFF" w:themeColor="background1"/>
                <w:sz w:val="18"/>
                <w:szCs w:val="18"/>
              </w:rPr>
              <w:t>+43,2</w:t>
            </w:r>
          </w:p>
        </w:tc>
        <w:tc>
          <w:tcPr>
            <w:tcW w:w="1317" w:type="dxa"/>
            <w:tcBorders>
              <w:top w:val="single" w:sz="4" w:space="0" w:color="auto"/>
              <w:bottom w:val="single" w:sz="4" w:space="0" w:color="auto"/>
            </w:tcBorders>
            <w:shd w:val="clear" w:color="auto" w:fill="E42618"/>
            <w:vAlign w:val="bottom"/>
          </w:tcPr>
          <w:p w14:paraId="615EC3FB" w14:textId="4BDAA505" w:rsidR="002662C0" w:rsidRPr="002662C0" w:rsidRDefault="002662C0" w:rsidP="002662C0">
            <w:pPr>
              <w:jc w:val="center"/>
              <w:rPr>
                <w:rFonts w:ascii="Arial Narrow" w:hAnsi="Arial Narrow"/>
                <w:b/>
                <w:color w:val="FFFFFF" w:themeColor="background1"/>
                <w:sz w:val="18"/>
                <w:szCs w:val="18"/>
              </w:rPr>
            </w:pPr>
            <w:r w:rsidRPr="002662C0">
              <w:rPr>
                <w:rFonts w:ascii="Arial Narrow" w:hAnsi="Arial Narrow"/>
                <w:b/>
                <w:color w:val="FFFFFF" w:themeColor="background1"/>
                <w:sz w:val="18"/>
                <w:szCs w:val="18"/>
              </w:rPr>
              <w:t>+40,2</w:t>
            </w:r>
          </w:p>
        </w:tc>
        <w:tc>
          <w:tcPr>
            <w:tcW w:w="823" w:type="dxa"/>
            <w:tcBorders>
              <w:top w:val="single" w:sz="4" w:space="0" w:color="auto"/>
              <w:bottom w:val="single" w:sz="4" w:space="0" w:color="auto"/>
            </w:tcBorders>
            <w:shd w:val="clear" w:color="auto" w:fill="E42618"/>
            <w:vAlign w:val="bottom"/>
          </w:tcPr>
          <w:p w14:paraId="0B914D94" w14:textId="09743EC4" w:rsidR="002662C0" w:rsidRPr="002662C0" w:rsidRDefault="002662C0" w:rsidP="002662C0">
            <w:pPr>
              <w:jc w:val="center"/>
              <w:rPr>
                <w:rFonts w:ascii="Arial Narrow" w:hAnsi="Arial Narrow"/>
                <w:b/>
                <w:color w:val="FFFFFF" w:themeColor="background1"/>
                <w:sz w:val="18"/>
                <w:szCs w:val="18"/>
              </w:rPr>
            </w:pPr>
            <w:r w:rsidRPr="002662C0">
              <w:rPr>
                <w:rFonts w:ascii="Arial Narrow" w:hAnsi="Arial Narrow"/>
                <w:b/>
                <w:color w:val="FFFFFF" w:themeColor="background1"/>
                <w:sz w:val="18"/>
                <w:szCs w:val="18"/>
              </w:rPr>
              <w:t>-4,0</w:t>
            </w:r>
          </w:p>
        </w:tc>
        <w:tc>
          <w:tcPr>
            <w:tcW w:w="1317" w:type="dxa"/>
            <w:tcBorders>
              <w:top w:val="single" w:sz="4" w:space="0" w:color="auto"/>
              <w:bottom w:val="single" w:sz="4" w:space="0" w:color="auto"/>
            </w:tcBorders>
            <w:shd w:val="clear" w:color="auto" w:fill="E42618"/>
            <w:vAlign w:val="bottom"/>
          </w:tcPr>
          <w:p w14:paraId="6059CEA0" w14:textId="3A50E3EC" w:rsidR="002662C0" w:rsidRPr="002662C0" w:rsidRDefault="002662C0" w:rsidP="002662C0">
            <w:pPr>
              <w:jc w:val="center"/>
              <w:rPr>
                <w:rFonts w:ascii="Arial Narrow" w:hAnsi="Arial Narrow"/>
                <w:b/>
                <w:color w:val="FFFFFF" w:themeColor="background1"/>
                <w:sz w:val="18"/>
                <w:szCs w:val="18"/>
              </w:rPr>
            </w:pPr>
            <w:r w:rsidRPr="002662C0">
              <w:rPr>
                <w:rFonts w:ascii="Arial Narrow" w:hAnsi="Arial Narrow"/>
                <w:b/>
                <w:color w:val="FFFFFF" w:themeColor="background1"/>
                <w:sz w:val="18"/>
                <w:szCs w:val="18"/>
              </w:rPr>
              <w:t>+0,9</w:t>
            </w:r>
          </w:p>
        </w:tc>
        <w:tc>
          <w:tcPr>
            <w:tcW w:w="823" w:type="dxa"/>
            <w:tcBorders>
              <w:top w:val="single" w:sz="4" w:space="0" w:color="auto"/>
              <w:bottom w:val="single" w:sz="4" w:space="0" w:color="auto"/>
            </w:tcBorders>
            <w:shd w:val="clear" w:color="auto" w:fill="E42618"/>
            <w:vAlign w:val="bottom"/>
          </w:tcPr>
          <w:p w14:paraId="7058C23D" w14:textId="03629E23" w:rsidR="002662C0" w:rsidRPr="002662C0" w:rsidRDefault="002662C0" w:rsidP="002662C0">
            <w:pPr>
              <w:jc w:val="center"/>
              <w:rPr>
                <w:rFonts w:ascii="Arial Narrow" w:hAnsi="Arial Narrow"/>
                <w:b/>
                <w:color w:val="FFFFFF" w:themeColor="background1"/>
                <w:sz w:val="18"/>
                <w:szCs w:val="18"/>
              </w:rPr>
            </w:pPr>
            <w:r w:rsidRPr="002662C0">
              <w:rPr>
                <w:rFonts w:ascii="Arial Narrow" w:hAnsi="Arial Narrow"/>
                <w:b/>
                <w:color w:val="FFFFFF" w:themeColor="background1"/>
                <w:sz w:val="18"/>
                <w:szCs w:val="18"/>
              </w:rPr>
              <w:t>+0,6</w:t>
            </w:r>
          </w:p>
        </w:tc>
        <w:tc>
          <w:tcPr>
            <w:tcW w:w="1317" w:type="dxa"/>
            <w:tcBorders>
              <w:top w:val="single" w:sz="4" w:space="0" w:color="auto"/>
              <w:bottom w:val="single" w:sz="4" w:space="0" w:color="auto"/>
            </w:tcBorders>
            <w:shd w:val="clear" w:color="auto" w:fill="E42618"/>
            <w:vAlign w:val="bottom"/>
          </w:tcPr>
          <w:p w14:paraId="18209081" w14:textId="731D8708" w:rsidR="002662C0" w:rsidRPr="002662C0" w:rsidRDefault="002662C0" w:rsidP="002662C0">
            <w:pPr>
              <w:jc w:val="center"/>
              <w:rPr>
                <w:rFonts w:ascii="Arial Narrow" w:hAnsi="Arial Narrow"/>
                <w:b/>
                <w:color w:val="FFFFFF" w:themeColor="background1"/>
                <w:sz w:val="18"/>
                <w:szCs w:val="18"/>
              </w:rPr>
            </w:pPr>
            <w:r w:rsidRPr="002662C0">
              <w:rPr>
                <w:rFonts w:ascii="Arial Narrow" w:hAnsi="Arial Narrow"/>
                <w:b/>
                <w:color w:val="FFFFFF" w:themeColor="background1"/>
                <w:sz w:val="18"/>
                <w:szCs w:val="18"/>
              </w:rPr>
              <w:t>+3,0</w:t>
            </w:r>
          </w:p>
        </w:tc>
      </w:tr>
    </w:tbl>
    <w:p w14:paraId="20693870" w14:textId="41E5CBDD" w:rsidR="002B3371" w:rsidRPr="009960AB" w:rsidRDefault="004133BF" w:rsidP="002B3371">
      <w:pPr>
        <w:pStyle w:val="Corpotesto1"/>
        <w:spacing w:before="120"/>
        <w:rPr>
          <w:rFonts w:ascii="Arial" w:hAnsi="Arial"/>
          <w:b w:val="0"/>
          <w:kern w:val="28"/>
          <w:sz w:val="21"/>
          <w:szCs w:val="21"/>
          <w:lang w:val="it-IT" w:eastAsia="it-IT"/>
        </w:rPr>
      </w:pPr>
      <w:r w:rsidRPr="004133BF">
        <w:rPr>
          <w:rFonts w:ascii="Arial" w:hAnsi="Arial"/>
          <w:b w:val="0"/>
          <w:kern w:val="28"/>
          <w:sz w:val="21"/>
          <w:szCs w:val="21"/>
          <w:lang w:val="it-IT" w:eastAsia="it-IT"/>
        </w:rPr>
        <w:t xml:space="preserve">L’aumento </w:t>
      </w:r>
      <w:r w:rsidR="00D47C3A">
        <w:rPr>
          <w:rFonts w:ascii="Arial" w:hAnsi="Arial"/>
          <w:b w:val="0"/>
          <w:kern w:val="28"/>
          <w:sz w:val="21"/>
          <w:szCs w:val="21"/>
          <w:lang w:val="it-IT" w:eastAsia="it-IT"/>
        </w:rPr>
        <w:t>tendenziale</w:t>
      </w:r>
      <w:r w:rsidRPr="004133BF">
        <w:rPr>
          <w:rFonts w:ascii="Arial" w:hAnsi="Arial"/>
          <w:b w:val="0"/>
          <w:kern w:val="28"/>
          <w:sz w:val="21"/>
          <w:szCs w:val="21"/>
          <w:lang w:val="it-IT" w:eastAsia="it-IT"/>
        </w:rPr>
        <w:t xml:space="preserve"> dei valori medi unitari dell’export è dovuto alla crescita rilevata per i paesi sia dell’area Ue (+26,6%) sia dell’area extra Ue (+19,2%); per l’import,</w:t>
      </w:r>
      <w:r w:rsidR="00D47C3A">
        <w:rPr>
          <w:rFonts w:ascii="Arial" w:hAnsi="Arial"/>
          <w:b w:val="0"/>
          <w:kern w:val="28"/>
          <w:sz w:val="21"/>
          <w:szCs w:val="21"/>
          <w:lang w:val="it-IT" w:eastAsia="it-IT"/>
        </w:rPr>
        <w:t xml:space="preserve"> pur interessando entrambi i mercati, </w:t>
      </w:r>
      <w:r w:rsidRPr="004133BF">
        <w:rPr>
          <w:rFonts w:ascii="Arial" w:hAnsi="Arial"/>
          <w:b w:val="0"/>
          <w:kern w:val="28"/>
          <w:sz w:val="21"/>
          <w:szCs w:val="21"/>
          <w:lang w:val="it-IT" w:eastAsia="it-IT"/>
        </w:rPr>
        <w:t xml:space="preserve">l’aumento è molto più </w:t>
      </w:r>
      <w:r w:rsidR="00D47C3A">
        <w:rPr>
          <w:rFonts w:ascii="Arial" w:hAnsi="Arial"/>
          <w:b w:val="0"/>
          <w:kern w:val="28"/>
          <w:sz w:val="21"/>
          <w:szCs w:val="21"/>
          <w:lang w:val="it-IT" w:eastAsia="it-IT"/>
        </w:rPr>
        <w:t>marcato</w:t>
      </w:r>
      <w:r w:rsidRPr="004133BF">
        <w:rPr>
          <w:rFonts w:ascii="Arial" w:hAnsi="Arial"/>
          <w:b w:val="0"/>
          <w:kern w:val="28"/>
          <w:sz w:val="21"/>
          <w:szCs w:val="21"/>
          <w:lang w:val="it-IT" w:eastAsia="it-IT"/>
        </w:rPr>
        <w:t xml:space="preserve"> per gli acquisti dai paesi extra Ue (+62,1%). </w:t>
      </w:r>
      <w:r w:rsidR="00D47C3A">
        <w:rPr>
          <w:rFonts w:ascii="Arial" w:hAnsi="Arial"/>
          <w:b w:val="0"/>
          <w:kern w:val="28"/>
          <w:sz w:val="21"/>
          <w:szCs w:val="21"/>
          <w:lang w:val="it-IT" w:eastAsia="it-IT"/>
        </w:rPr>
        <w:t xml:space="preserve">La crescita su base annua </w:t>
      </w:r>
      <w:r w:rsidRPr="004133BF">
        <w:rPr>
          <w:rFonts w:ascii="Arial" w:hAnsi="Arial"/>
          <w:b w:val="0"/>
          <w:kern w:val="28"/>
          <w:sz w:val="21"/>
          <w:szCs w:val="21"/>
          <w:lang w:val="it-IT" w:eastAsia="it-IT"/>
        </w:rPr>
        <w:t>dei valori medi unitari dei prodotti energetici</w:t>
      </w:r>
      <w:r w:rsidR="00D47C3A">
        <w:rPr>
          <w:rFonts w:ascii="Arial" w:hAnsi="Arial"/>
          <w:b w:val="0"/>
          <w:kern w:val="28"/>
          <w:sz w:val="21"/>
          <w:szCs w:val="21"/>
          <w:lang w:val="it-IT" w:eastAsia="it-IT"/>
        </w:rPr>
        <w:t xml:space="preserve"> si conferma molto sostenuta</w:t>
      </w:r>
      <w:r w:rsidRPr="004133BF">
        <w:rPr>
          <w:rFonts w:ascii="Arial" w:hAnsi="Arial"/>
          <w:b w:val="0"/>
          <w:kern w:val="28"/>
          <w:sz w:val="21"/>
          <w:szCs w:val="21"/>
          <w:lang w:val="it-IT" w:eastAsia="it-IT"/>
        </w:rPr>
        <w:t>, sia all’export (+81,6%), sia so</w:t>
      </w:r>
      <w:r w:rsidR="00D47C3A">
        <w:rPr>
          <w:rFonts w:ascii="Arial" w:hAnsi="Arial"/>
          <w:b w:val="0"/>
          <w:kern w:val="28"/>
          <w:sz w:val="21"/>
          <w:szCs w:val="21"/>
          <w:lang w:val="it-IT" w:eastAsia="it-IT"/>
        </w:rPr>
        <w:t>prattutto all’import (+151,2%).</w:t>
      </w:r>
    </w:p>
    <w:p w14:paraId="09A486A4" w14:textId="49965B6A" w:rsidR="002B3BA3" w:rsidRPr="007801C1" w:rsidRDefault="00B13FB7" w:rsidP="001A424B">
      <w:pPr>
        <w:pStyle w:val="Rientrocorpodeltesto"/>
        <w:spacing w:before="240"/>
        <w:ind w:left="0" w:right="84"/>
        <w:rPr>
          <w:rFonts w:ascii="Calibri" w:hAnsi="Calibri" w:cs="Calibri"/>
          <w:color w:val="E42618"/>
          <w:sz w:val="36"/>
          <w:szCs w:val="36"/>
        </w:rPr>
      </w:pPr>
      <w:r w:rsidRPr="007801C1">
        <w:rPr>
          <w:rFonts w:ascii="Calibri" w:hAnsi="Calibri" w:cs="Calibri"/>
          <w:color w:val="E42618"/>
          <w:sz w:val="36"/>
          <w:szCs w:val="36"/>
        </w:rPr>
        <w:lastRenderedPageBreak/>
        <w:t>Prezzi all’importazione</w:t>
      </w:r>
    </w:p>
    <w:p w14:paraId="07CDF0DD" w14:textId="77777777" w:rsidR="00147CB5" w:rsidRPr="007801C1" w:rsidRDefault="002B3BA3" w:rsidP="00147CB5">
      <w:pPr>
        <w:jc w:val="both"/>
        <w:rPr>
          <w:rFonts w:ascii="Arial Narrow" w:hAnsi="Arial Narrow" w:cs="Arial"/>
          <w:b/>
          <w:color w:val="5F5F5F"/>
          <w:sz w:val="22"/>
          <w:szCs w:val="22"/>
        </w:rPr>
      </w:pPr>
      <w:r w:rsidRPr="007801C1">
        <w:rPr>
          <w:rFonts w:ascii="Arial Narrow" w:hAnsi="Arial Narrow" w:cs="Arial"/>
          <w:b/>
          <w:color w:val="E42618"/>
          <w:sz w:val="22"/>
          <w:szCs w:val="22"/>
        </w:rPr>
        <w:t xml:space="preserve">PROSPETTO </w:t>
      </w:r>
      <w:r w:rsidR="00B076CD" w:rsidRPr="007801C1">
        <w:rPr>
          <w:rFonts w:ascii="Arial Narrow" w:hAnsi="Arial Narrow" w:cs="Arial"/>
          <w:b/>
          <w:color w:val="E42618"/>
          <w:sz w:val="22"/>
          <w:szCs w:val="22"/>
        </w:rPr>
        <w:t>5</w:t>
      </w:r>
      <w:r w:rsidRPr="007801C1">
        <w:rPr>
          <w:rFonts w:ascii="Arial Narrow" w:hAnsi="Arial Narrow" w:cs="Arial"/>
          <w:b/>
          <w:color w:val="E42618"/>
          <w:sz w:val="22"/>
          <w:szCs w:val="22"/>
        </w:rPr>
        <w:t>.</w:t>
      </w:r>
      <w:r w:rsidRPr="007801C1">
        <w:rPr>
          <w:rFonts w:ascii="Arial Narrow" w:hAnsi="Arial Narrow" w:cs="Arial"/>
          <w:b/>
          <w:color w:val="5F5F5F"/>
        </w:rPr>
        <w:t xml:space="preserve"> </w:t>
      </w:r>
      <w:r w:rsidRPr="007801C1">
        <w:rPr>
          <w:rFonts w:ascii="Arial Narrow" w:hAnsi="Arial Narrow" w:cs="Arial"/>
          <w:b/>
          <w:color w:val="5F5F5F"/>
          <w:sz w:val="22"/>
          <w:szCs w:val="22"/>
        </w:rPr>
        <w:t>INDICI DEI PREZZI ALL’IMPORTAZIONE PER RAGGRUPPAMENTO PRINCIPALE DI INDUSTRIE</w:t>
      </w:r>
    </w:p>
    <w:p w14:paraId="029DF301" w14:textId="2D553015" w:rsidR="00537BEB" w:rsidRDefault="00B161A0" w:rsidP="00537BEB">
      <w:pPr>
        <w:pStyle w:val="Corpodeltesto1"/>
        <w:spacing w:after="120"/>
        <w:jc w:val="left"/>
        <w:rPr>
          <w:rFonts w:ascii="Arial Narrow" w:hAnsi="Arial Narrow" w:cs="Arial"/>
          <w:b w:val="0"/>
          <w:color w:val="5F5F5F"/>
          <w:kern w:val="28"/>
          <w:sz w:val="20"/>
          <w:szCs w:val="20"/>
        </w:rPr>
      </w:pPr>
      <w:r w:rsidRPr="007801C1">
        <w:rPr>
          <w:rFonts w:ascii="Arial Narrow" w:hAnsi="Arial Narrow" w:cs="Arial"/>
          <w:b w:val="0"/>
          <w:color w:val="5F5F5F"/>
          <w:kern w:val="28"/>
          <w:sz w:val="20"/>
          <w:szCs w:val="20"/>
        </w:rPr>
        <w:t>Luglio</w:t>
      </w:r>
      <w:r w:rsidR="00127273" w:rsidRPr="007801C1">
        <w:rPr>
          <w:rFonts w:ascii="Arial Narrow" w:hAnsi="Arial Narrow" w:cs="Arial"/>
          <w:b w:val="0"/>
          <w:color w:val="5F5F5F"/>
          <w:kern w:val="28"/>
          <w:sz w:val="20"/>
          <w:szCs w:val="20"/>
        </w:rPr>
        <w:t xml:space="preserve"> 2022</w:t>
      </w:r>
      <w:r w:rsidR="00537BEB" w:rsidRPr="007801C1">
        <w:rPr>
          <w:rFonts w:ascii="Arial Narrow" w:hAnsi="Arial Narrow" w:cs="Arial"/>
          <w:b w:val="0"/>
          <w:color w:val="5F5F5F"/>
          <w:kern w:val="28"/>
          <w:sz w:val="20"/>
          <w:szCs w:val="20"/>
        </w:rPr>
        <w:t>, variazioni percentuali congiunturali e tendenziali (base 2015=100)</w:t>
      </w:r>
    </w:p>
    <w:tbl>
      <w:tblPr>
        <w:tblW w:w="10206" w:type="dxa"/>
        <w:tblBorders>
          <w:top w:val="single" w:sz="4" w:space="0" w:color="333333"/>
          <w:bottom w:val="single" w:sz="4" w:space="0" w:color="333333"/>
          <w:insideH w:val="single" w:sz="4" w:space="0" w:color="333333"/>
        </w:tblBorders>
        <w:tblLayout w:type="fixed"/>
        <w:tblCellMar>
          <w:left w:w="68" w:type="dxa"/>
          <w:right w:w="68" w:type="dxa"/>
        </w:tblCellMar>
        <w:tblLook w:val="0000" w:firstRow="0" w:lastRow="0" w:firstColumn="0" w:lastColumn="0" w:noHBand="0" w:noVBand="0"/>
      </w:tblPr>
      <w:tblGrid>
        <w:gridCol w:w="2317"/>
        <w:gridCol w:w="1157"/>
        <w:gridCol w:w="1334"/>
        <w:gridCol w:w="1346"/>
        <w:gridCol w:w="1349"/>
        <w:gridCol w:w="1345"/>
        <w:gridCol w:w="1346"/>
        <w:gridCol w:w="12"/>
      </w:tblGrid>
      <w:tr w:rsidR="00A84F05" w:rsidRPr="005E4472" w14:paraId="7414EFA2" w14:textId="77777777" w:rsidTr="007815EF">
        <w:trPr>
          <w:cantSplit/>
          <w:trHeight w:val="255"/>
        </w:trPr>
        <w:tc>
          <w:tcPr>
            <w:tcW w:w="2317" w:type="dxa"/>
            <w:vMerge w:val="restart"/>
            <w:shd w:val="clear" w:color="auto" w:fill="auto"/>
            <w:tcMar>
              <w:left w:w="0" w:type="dxa"/>
              <w:right w:w="0" w:type="dxa"/>
            </w:tcMar>
            <w:vAlign w:val="center"/>
          </w:tcPr>
          <w:p w14:paraId="0901ECAC" w14:textId="77777777" w:rsidR="00A84F05" w:rsidRPr="005E4472" w:rsidRDefault="00A84F05" w:rsidP="007815EF">
            <w:pPr>
              <w:tabs>
                <w:tab w:val="left" w:pos="-4253"/>
                <w:tab w:val="left" w:pos="565"/>
                <w:tab w:val="left" w:pos="1258"/>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rPr>
                <w:rFonts w:ascii="Arial Narrow" w:hAnsi="Arial Narrow" w:cs="Arial"/>
                <w:b/>
                <w:sz w:val="18"/>
                <w:szCs w:val="18"/>
              </w:rPr>
            </w:pPr>
            <w:r w:rsidRPr="005E4472">
              <w:rPr>
                <w:rFonts w:ascii="Arial Narrow" w:hAnsi="Arial Narrow" w:cs="Arial"/>
                <w:b/>
                <w:sz w:val="18"/>
                <w:szCs w:val="18"/>
              </w:rPr>
              <w:t xml:space="preserve">RAGGRUPPAMENTI </w:t>
            </w:r>
            <w:r>
              <w:rPr>
                <w:rFonts w:ascii="Arial Narrow" w:hAnsi="Arial Narrow" w:cs="Arial"/>
                <w:b/>
                <w:sz w:val="18"/>
                <w:szCs w:val="18"/>
              </w:rPr>
              <w:br/>
            </w:r>
            <w:r w:rsidRPr="005E4472">
              <w:rPr>
                <w:rFonts w:ascii="Arial Narrow" w:hAnsi="Arial Narrow" w:cs="Arial"/>
                <w:b/>
                <w:sz w:val="18"/>
                <w:szCs w:val="18"/>
              </w:rPr>
              <w:t>PRINCIPALI DI INDUSTRIE</w:t>
            </w:r>
          </w:p>
        </w:tc>
        <w:tc>
          <w:tcPr>
            <w:tcW w:w="2491" w:type="dxa"/>
            <w:gridSpan w:val="2"/>
            <w:shd w:val="clear" w:color="auto" w:fill="D9D9D9"/>
            <w:tcMar>
              <w:left w:w="0" w:type="dxa"/>
              <w:right w:w="0" w:type="dxa"/>
            </w:tcMar>
            <w:vAlign w:val="center"/>
          </w:tcPr>
          <w:p w14:paraId="29E12687" w14:textId="77777777" w:rsidR="00A84F05" w:rsidRPr="005E4472" w:rsidRDefault="00A84F05" w:rsidP="007815EF">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sidRPr="005E4472">
              <w:rPr>
                <w:rFonts w:ascii="Arial Narrow" w:hAnsi="Arial Narrow" w:cs="Arial"/>
                <w:b/>
                <w:sz w:val="18"/>
                <w:szCs w:val="18"/>
              </w:rPr>
              <w:t>Totale</w:t>
            </w:r>
          </w:p>
        </w:tc>
        <w:tc>
          <w:tcPr>
            <w:tcW w:w="2695" w:type="dxa"/>
            <w:gridSpan w:val="2"/>
            <w:shd w:val="clear" w:color="auto" w:fill="auto"/>
            <w:vAlign w:val="center"/>
          </w:tcPr>
          <w:p w14:paraId="3D8FCAAE" w14:textId="77777777" w:rsidR="00A84F05" w:rsidRPr="005E4472" w:rsidRDefault="00A84F05" w:rsidP="007815EF">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cs="Arial"/>
                <w:b/>
                <w:sz w:val="18"/>
                <w:szCs w:val="18"/>
              </w:rPr>
              <w:t>Area euro</w:t>
            </w:r>
          </w:p>
        </w:tc>
        <w:tc>
          <w:tcPr>
            <w:tcW w:w="2703" w:type="dxa"/>
            <w:gridSpan w:val="3"/>
            <w:shd w:val="clear" w:color="auto" w:fill="D9D9D9"/>
            <w:tcMar>
              <w:left w:w="0" w:type="dxa"/>
              <w:right w:w="0" w:type="dxa"/>
            </w:tcMar>
            <w:vAlign w:val="center"/>
          </w:tcPr>
          <w:p w14:paraId="505F538C" w14:textId="77777777" w:rsidR="00A84F05" w:rsidRPr="005E4472" w:rsidRDefault="00A84F05" w:rsidP="007815EF">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cs="Arial"/>
                <w:b/>
                <w:sz w:val="18"/>
                <w:szCs w:val="18"/>
              </w:rPr>
              <w:t>Area non euro</w:t>
            </w:r>
          </w:p>
        </w:tc>
      </w:tr>
      <w:tr w:rsidR="00A84F05" w:rsidRPr="005E4472" w14:paraId="40DD1C61" w14:textId="77777777" w:rsidTr="007815EF">
        <w:trPr>
          <w:gridAfter w:val="1"/>
          <w:wAfter w:w="12" w:type="dxa"/>
          <w:cantSplit/>
          <w:trHeight w:val="255"/>
        </w:trPr>
        <w:tc>
          <w:tcPr>
            <w:tcW w:w="2317" w:type="dxa"/>
            <w:vMerge/>
            <w:shd w:val="clear" w:color="auto" w:fill="auto"/>
            <w:vAlign w:val="center"/>
          </w:tcPr>
          <w:p w14:paraId="623A0885" w14:textId="77777777" w:rsidR="00A84F05" w:rsidRPr="005E4472" w:rsidRDefault="00A84F05" w:rsidP="007815EF">
            <w:pPr>
              <w:tabs>
                <w:tab w:val="left" w:pos="-774"/>
                <w:tab w:val="left" w:pos="-567"/>
                <w:tab w:val="left" w:pos="67"/>
                <w:tab w:val="left" w:pos="565"/>
                <w:tab w:val="left" w:pos="1258"/>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sz w:val="18"/>
                <w:szCs w:val="18"/>
              </w:rPr>
            </w:pPr>
          </w:p>
        </w:tc>
        <w:tc>
          <w:tcPr>
            <w:tcW w:w="1157" w:type="dxa"/>
            <w:shd w:val="clear" w:color="auto" w:fill="FFFFFF"/>
            <w:vAlign w:val="center"/>
          </w:tcPr>
          <w:p w14:paraId="6765BB18" w14:textId="77777777" w:rsidR="00A84F05" w:rsidRDefault="00A84F05" w:rsidP="007815EF">
            <w:pPr>
              <w:spacing w:before="40" w:after="20"/>
              <w:jc w:val="center"/>
              <w:rPr>
                <w:rFonts w:ascii="Arial Narrow" w:hAnsi="Arial Narrow"/>
                <w:sz w:val="18"/>
                <w:szCs w:val="18"/>
              </w:rPr>
            </w:pPr>
            <w:r>
              <w:rPr>
                <w:rFonts w:ascii="Arial Narrow" w:hAnsi="Arial Narrow"/>
                <w:sz w:val="18"/>
                <w:szCs w:val="18"/>
              </w:rPr>
              <w:t>Variazioni</w:t>
            </w:r>
          </w:p>
          <w:p w14:paraId="44C76D52" w14:textId="77777777" w:rsidR="00A84F05" w:rsidRPr="00BA36DD" w:rsidRDefault="00A84F05" w:rsidP="007815EF">
            <w:pPr>
              <w:spacing w:before="40" w:after="20"/>
              <w:jc w:val="center"/>
              <w:rPr>
                <w:rFonts w:ascii="Arial Narrow" w:hAnsi="Arial Narrow"/>
                <w:sz w:val="18"/>
                <w:szCs w:val="18"/>
              </w:rPr>
            </w:pPr>
            <w:r>
              <w:rPr>
                <w:rFonts w:ascii="Arial Narrow" w:hAnsi="Arial Narrow"/>
                <w:sz w:val="18"/>
                <w:szCs w:val="18"/>
              </w:rPr>
              <w:t>c</w:t>
            </w:r>
            <w:r w:rsidRPr="00BA36DD">
              <w:rPr>
                <w:rFonts w:ascii="Arial Narrow" w:hAnsi="Arial Narrow"/>
                <w:sz w:val="18"/>
                <w:szCs w:val="18"/>
              </w:rPr>
              <w:t>ongiuntu</w:t>
            </w:r>
            <w:r>
              <w:rPr>
                <w:rFonts w:ascii="Arial Narrow" w:hAnsi="Arial Narrow"/>
                <w:sz w:val="18"/>
                <w:szCs w:val="18"/>
              </w:rPr>
              <w:t>r</w:t>
            </w:r>
            <w:r w:rsidRPr="00BA36DD">
              <w:rPr>
                <w:rFonts w:ascii="Arial Narrow" w:hAnsi="Arial Narrow"/>
                <w:sz w:val="18"/>
                <w:szCs w:val="18"/>
              </w:rPr>
              <w:t>ali</w:t>
            </w:r>
          </w:p>
        </w:tc>
        <w:tc>
          <w:tcPr>
            <w:tcW w:w="1334" w:type="dxa"/>
            <w:shd w:val="clear" w:color="auto" w:fill="FFFFFF"/>
            <w:vAlign w:val="center"/>
          </w:tcPr>
          <w:p w14:paraId="31B9C851" w14:textId="77777777" w:rsidR="00A84F05" w:rsidRDefault="00A84F05" w:rsidP="007815EF">
            <w:pPr>
              <w:spacing w:before="40" w:after="20"/>
              <w:jc w:val="center"/>
              <w:rPr>
                <w:rFonts w:ascii="Arial Narrow" w:hAnsi="Arial Narrow"/>
                <w:sz w:val="18"/>
                <w:szCs w:val="18"/>
              </w:rPr>
            </w:pPr>
            <w:r>
              <w:rPr>
                <w:rFonts w:ascii="Arial Narrow" w:hAnsi="Arial Narrow"/>
                <w:sz w:val="18"/>
                <w:szCs w:val="18"/>
              </w:rPr>
              <w:t>Variazioni</w:t>
            </w:r>
          </w:p>
          <w:p w14:paraId="3F46A9FC" w14:textId="7C4FBDE8" w:rsidR="00A84F05" w:rsidRPr="00BA36DD" w:rsidRDefault="008A2ECE" w:rsidP="007815EF">
            <w:pPr>
              <w:spacing w:before="40" w:after="20"/>
              <w:jc w:val="center"/>
              <w:rPr>
                <w:rFonts w:ascii="Arial Narrow" w:hAnsi="Arial Narrow"/>
                <w:sz w:val="18"/>
                <w:szCs w:val="18"/>
              </w:rPr>
            </w:pPr>
            <w:r>
              <w:rPr>
                <w:rFonts w:ascii="Arial Narrow" w:hAnsi="Arial Narrow"/>
                <w:sz w:val="18"/>
                <w:szCs w:val="18"/>
              </w:rPr>
              <w:t>T</w:t>
            </w:r>
            <w:r w:rsidR="00A84F05" w:rsidRPr="00BA36DD">
              <w:rPr>
                <w:rFonts w:ascii="Arial Narrow" w:hAnsi="Arial Narrow"/>
                <w:sz w:val="18"/>
                <w:szCs w:val="18"/>
              </w:rPr>
              <w:t>endenziali</w:t>
            </w:r>
          </w:p>
        </w:tc>
        <w:tc>
          <w:tcPr>
            <w:tcW w:w="1346" w:type="dxa"/>
            <w:shd w:val="clear" w:color="auto" w:fill="FFFFFF"/>
            <w:vAlign w:val="center"/>
          </w:tcPr>
          <w:p w14:paraId="14F40B3B" w14:textId="77777777" w:rsidR="00A84F05" w:rsidRDefault="00A84F05" w:rsidP="007815EF">
            <w:pPr>
              <w:spacing w:before="40" w:after="20"/>
              <w:jc w:val="center"/>
              <w:rPr>
                <w:rFonts w:ascii="Arial Narrow" w:hAnsi="Arial Narrow"/>
                <w:sz w:val="18"/>
                <w:szCs w:val="18"/>
              </w:rPr>
            </w:pPr>
            <w:r>
              <w:rPr>
                <w:rFonts w:ascii="Arial Narrow" w:hAnsi="Arial Narrow"/>
                <w:sz w:val="18"/>
                <w:szCs w:val="18"/>
              </w:rPr>
              <w:t>Variazioni</w:t>
            </w:r>
          </w:p>
          <w:p w14:paraId="715F9260" w14:textId="77777777" w:rsidR="00A84F05" w:rsidRPr="00BA36DD" w:rsidRDefault="00A84F05" w:rsidP="007815EF">
            <w:pPr>
              <w:spacing w:before="40" w:after="20"/>
              <w:jc w:val="center"/>
              <w:rPr>
                <w:rFonts w:ascii="Arial Narrow" w:hAnsi="Arial Narrow"/>
                <w:sz w:val="18"/>
                <w:szCs w:val="18"/>
              </w:rPr>
            </w:pPr>
            <w:r>
              <w:rPr>
                <w:rFonts w:ascii="Arial Narrow" w:hAnsi="Arial Narrow"/>
                <w:sz w:val="18"/>
                <w:szCs w:val="18"/>
              </w:rPr>
              <w:t>c</w:t>
            </w:r>
            <w:r w:rsidRPr="00BA36DD">
              <w:rPr>
                <w:rFonts w:ascii="Arial Narrow" w:hAnsi="Arial Narrow"/>
                <w:sz w:val="18"/>
                <w:szCs w:val="18"/>
              </w:rPr>
              <w:t>ongiuntu</w:t>
            </w:r>
            <w:r>
              <w:rPr>
                <w:rFonts w:ascii="Arial Narrow" w:hAnsi="Arial Narrow"/>
                <w:sz w:val="18"/>
                <w:szCs w:val="18"/>
              </w:rPr>
              <w:t>r</w:t>
            </w:r>
            <w:r w:rsidRPr="00BA36DD">
              <w:rPr>
                <w:rFonts w:ascii="Arial Narrow" w:hAnsi="Arial Narrow"/>
                <w:sz w:val="18"/>
                <w:szCs w:val="18"/>
              </w:rPr>
              <w:t>ali</w:t>
            </w:r>
          </w:p>
        </w:tc>
        <w:tc>
          <w:tcPr>
            <w:tcW w:w="1349" w:type="dxa"/>
            <w:shd w:val="clear" w:color="auto" w:fill="FFFFFF"/>
            <w:vAlign w:val="center"/>
          </w:tcPr>
          <w:p w14:paraId="7A7F52B3" w14:textId="77777777" w:rsidR="00A84F05" w:rsidRDefault="00A84F05" w:rsidP="007815EF">
            <w:pPr>
              <w:spacing w:before="40" w:after="20"/>
              <w:jc w:val="center"/>
              <w:rPr>
                <w:rFonts w:ascii="Arial Narrow" w:hAnsi="Arial Narrow"/>
                <w:sz w:val="18"/>
                <w:szCs w:val="18"/>
              </w:rPr>
            </w:pPr>
            <w:r>
              <w:rPr>
                <w:rFonts w:ascii="Arial Narrow" w:hAnsi="Arial Narrow"/>
                <w:sz w:val="18"/>
                <w:szCs w:val="18"/>
              </w:rPr>
              <w:t>Variazioni</w:t>
            </w:r>
          </w:p>
          <w:p w14:paraId="0194978A" w14:textId="77777777" w:rsidR="00A84F05" w:rsidRPr="00BA36DD" w:rsidRDefault="00A84F05" w:rsidP="007815EF">
            <w:pPr>
              <w:spacing w:before="40" w:after="20"/>
              <w:jc w:val="center"/>
              <w:rPr>
                <w:rFonts w:ascii="Arial Narrow" w:hAnsi="Arial Narrow"/>
                <w:sz w:val="18"/>
                <w:szCs w:val="18"/>
              </w:rPr>
            </w:pPr>
            <w:r>
              <w:rPr>
                <w:rFonts w:ascii="Arial Narrow" w:hAnsi="Arial Narrow"/>
                <w:sz w:val="18"/>
                <w:szCs w:val="18"/>
              </w:rPr>
              <w:t>t</w:t>
            </w:r>
            <w:r w:rsidRPr="00BA36DD">
              <w:rPr>
                <w:rFonts w:ascii="Arial Narrow" w:hAnsi="Arial Narrow"/>
                <w:sz w:val="18"/>
                <w:szCs w:val="18"/>
              </w:rPr>
              <w:t>endenziali</w:t>
            </w:r>
          </w:p>
        </w:tc>
        <w:tc>
          <w:tcPr>
            <w:tcW w:w="1345" w:type="dxa"/>
            <w:shd w:val="clear" w:color="auto" w:fill="FFFFFF"/>
            <w:vAlign w:val="center"/>
          </w:tcPr>
          <w:p w14:paraId="3C863C02" w14:textId="77777777" w:rsidR="00A84F05" w:rsidRDefault="00A84F05" w:rsidP="007815EF">
            <w:pPr>
              <w:spacing w:before="40" w:after="20"/>
              <w:jc w:val="center"/>
              <w:rPr>
                <w:rFonts w:ascii="Arial Narrow" w:hAnsi="Arial Narrow"/>
                <w:sz w:val="18"/>
                <w:szCs w:val="18"/>
              </w:rPr>
            </w:pPr>
            <w:r>
              <w:rPr>
                <w:rFonts w:ascii="Arial Narrow" w:hAnsi="Arial Narrow"/>
                <w:sz w:val="18"/>
                <w:szCs w:val="18"/>
              </w:rPr>
              <w:t>Variazioni</w:t>
            </w:r>
          </w:p>
          <w:p w14:paraId="04B8FF62" w14:textId="77777777" w:rsidR="00A84F05" w:rsidRPr="00BA36DD" w:rsidRDefault="00A84F05" w:rsidP="007815EF">
            <w:pPr>
              <w:spacing w:before="40" w:after="20"/>
              <w:jc w:val="center"/>
              <w:rPr>
                <w:rFonts w:ascii="Arial Narrow" w:hAnsi="Arial Narrow"/>
                <w:sz w:val="18"/>
                <w:szCs w:val="18"/>
              </w:rPr>
            </w:pPr>
            <w:r>
              <w:rPr>
                <w:rFonts w:ascii="Arial Narrow" w:hAnsi="Arial Narrow"/>
                <w:sz w:val="18"/>
                <w:szCs w:val="18"/>
              </w:rPr>
              <w:t>c</w:t>
            </w:r>
            <w:r w:rsidRPr="00BA36DD">
              <w:rPr>
                <w:rFonts w:ascii="Arial Narrow" w:hAnsi="Arial Narrow"/>
                <w:sz w:val="18"/>
                <w:szCs w:val="18"/>
              </w:rPr>
              <w:t>ongiuntu</w:t>
            </w:r>
            <w:r>
              <w:rPr>
                <w:rFonts w:ascii="Arial Narrow" w:hAnsi="Arial Narrow"/>
                <w:sz w:val="18"/>
                <w:szCs w:val="18"/>
              </w:rPr>
              <w:t>r</w:t>
            </w:r>
            <w:r w:rsidRPr="00BA36DD">
              <w:rPr>
                <w:rFonts w:ascii="Arial Narrow" w:hAnsi="Arial Narrow"/>
                <w:sz w:val="18"/>
                <w:szCs w:val="18"/>
              </w:rPr>
              <w:t>ali</w:t>
            </w:r>
          </w:p>
        </w:tc>
        <w:tc>
          <w:tcPr>
            <w:tcW w:w="1346" w:type="dxa"/>
            <w:shd w:val="clear" w:color="auto" w:fill="FFFFFF"/>
            <w:vAlign w:val="center"/>
          </w:tcPr>
          <w:p w14:paraId="482A0BB2" w14:textId="77777777" w:rsidR="00A84F05" w:rsidRDefault="00A84F05" w:rsidP="007815EF">
            <w:pPr>
              <w:spacing w:before="40" w:after="20"/>
              <w:jc w:val="center"/>
              <w:rPr>
                <w:rFonts w:ascii="Arial Narrow" w:hAnsi="Arial Narrow"/>
                <w:sz w:val="18"/>
                <w:szCs w:val="18"/>
              </w:rPr>
            </w:pPr>
            <w:r>
              <w:rPr>
                <w:rFonts w:ascii="Arial Narrow" w:hAnsi="Arial Narrow"/>
                <w:sz w:val="18"/>
                <w:szCs w:val="18"/>
              </w:rPr>
              <w:t>Variazioni</w:t>
            </w:r>
          </w:p>
          <w:p w14:paraId="100F953E" w14:textId="77777777" w:rsidR="00A84F05" w:rsidRPr="00BA36DD" w:rsidRDefault="00A84F05" w:rsidP="007815EF">
            <w:pPr>
              <w:spacing w:before="40" w:after="20"/>
              <w:jc w:val="center"/>
              <w:rPr>
                <w:rFonts w:ascii="Arial Narrow" w:hAnsi="Arial Narrow"/>
                <w:sz w:val="18"/>
                <w:szCs w:val="18"/>
              </w:rPr>
            </w:pPr>
            <w:r>
              <w:rPr>
                <w:rFonts w:ascii="Arial Narrow" w:hAnsi="Arial Narrow"/>
                <w:sz w:val="18"/>
                <w:szCs w:val="18"/>
              </w:rPr>
              <w:t>t</w:t>
            </w:r>
            <w:r w:rsidRPr="00BA36DD">
              <w:rPr>
                <w:rFonts w:ascii="Arial Narrow" w:hAnsi="Arial Narrow"/>
                <w:sz w:val="18"/>
                <w:szCs w:val="18"/>
              </w:rPr>
              <w:t>endenziali</w:t>
            </w:r>
          </w:p>
        </w:tc>
      </w:tr>
      <w:tr w:rsidR="00B161A0" w:rsidRPr="005E4472" w14:paraId="644A4192" w14:textId="77777777" w:rsidTr="007815EF">
        <w:trPr>
          <w:gridAfter w:val="1"/>
          <w:wAfter w:w="12" w:type="dxa"/>
          <w:cantSplit/>
          <w:trHeight w:val="255"/>
        </w:trPr>
        <w:tc>
          <w:tcPr>
            <w:tcW w:w="2317" w:type="dxa"/>
            <w:vMerge/>
            <w:shd w:val="clear" w:color="auto" w:fill="auto"/>
            <w:vAlign w:val="center"/>
          </w:tcPr>
          <w:p w14:paraId="7D967932" w14:textId="77777777" w:rsidR="00B161A0" w:rsidRPr="005E4472" w:rsidRDefault="00B161A0" w:rsidP="00B161A0">
            <w:pPr>
              <w:tabs>
                <w:tab w:val="left" w:pos="-774"/>
                <w:tab w:val="left" w:pos="-567"/>
                <w:tab w:val="left" w:pos="67"/>
                <w:tab w:val="left" w:pos="565"/>
                <w:tab w:val="left" w:pos="1258"/>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sz w:val="18"/>
                <w:szCs w:val="18"/>
              </w:rPr>
            </w:pPr>
          </w:p>
        </w:tc>
        <w:tc>
          <w:tcPr>
            <w:tcW w:w="1157" w:type="dxa"/>
            <w:shd w:val="clear" w:color="auto" w:fill="D9D9D9"/>
            <w:vAlign w:val="center"/>
          </w:tcPr>
          <w:p w14:paraId="10B469B4" w14:textId="459B2876"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 22</w:t>
            </w:r>
          </w:p>
          <w:p w14:paraId="7447DFA6" w14:textId="6D68A3D2" w:rsidR="00B161A0" w:rsidRPr="00BA36DD" w:rsidRDefault="00B161A0" w:rsidP="00B161A0">
            <w:pPr>
              <w:spacing w:before="40" w:after="20"/>
              <w:jc w:val="center"/>
              <w:rPr>
                <w:rFonts w:ascii="Arial Narrow" w:hAnsi="Arial Narrow"/>
                <w:sz w:val="18"/>
                <w:szCs w:val="18"/>
              </w:rPr>
            </w:pPr>
            <w:proofErr w:type="spellStart"/>
            <w:r>
              <w:rPr>
                <w:rFonts w:ascii="Arial Narrow" w:hAnsi="Arial Narrow"/>
                <w:sz w:val="18"/>
                <w:szCs w:val="18"/>
                <w:lang w:val="en-US"/>
              </w:rPr>
              <w:t>giu</w:t>
            </w:r>
            <w:proofErr w:type="spellEnd"/>
            <w:r>
              <w:rPr>
                <w:rFonts w:ascii="Arial Narrow" w:hAnsi="Arial Narrow"/>
                <w:sz w:val="18"/>
                <w:szCs w:val="18"/>
                <w:lang w:val="en-US"/>
              </w:rPr>
              <w:t xml:space="preserve"> 22</w:t>
            </w:r>
          </w:p>
        </w:tc>
        <w:tc>
          <w:tcPr>
            <w:tcW w:w="1334" w:type="dxa"/>
            <w:shd w:val="clear" w:color="auto" w:fill="FFFFFF"/>
            <w:vAlign w:val="center"/>
          </w:tcPr>
          <w:p w14:paraId="045BEB87" w14:textId="1758E7D5"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 22</w:t>
            </w:r>
          </w:p>
          <w:p w14:paraId="55675636" w14:textId="5E03F4AF" w:rsidR="00B161A0" w:rsidRPr="00BA36DD" w:rsidRDefault="00B161A0" w:rsidP="00B161A0">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sz w:val="18"/>
                <w:szCs w:val="18"/>
                <w:lang w:val="en-US"/>
              </w:rPr>
              <w:t>lug 21</w:t>
            </w:r>
          </w:p>
        </w:tc>
        <w:tc>
          <w:tcPr>
            <w:tcW w:w="1346" w:type="dxa"/>
            <w:shd w:val="clear" w:color="auto" w:fill="D9D9D9"/>
            <w:vAlign w:val="center"/>
          </w:tcPr>
          <w:p w14:paraId="2856F65B"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 22</w:t>
            </w:r>
          </w:p>
          <w:p w14:paraId="0F4E969F" w14:textId="2B35BE0D" w:rsidR="00B161A0" w:rsidRPr="00BA36DD" w:rsidRDefault="00B161A0" w:rsidP="00B161A0">
            <w:pPr>
              <w:spacing w:before="40" w:after="20"/>
              <w:jc w:val="center"/>
              <w:rPr>
                <w:rFonts w:ascii="Arial Narrow" w:hAnsi="Arial Narrow"/>
                <w:sz w:val="18"/>
                <w:szCs w:val="18"/>
              </w:rPr>
            </w:pPr>
            <w:proofErr w:type="spellStart"/>
            <w:r>
              <w:rPr>
                <w:rFonts w:ascii="Arial Narrow" w:hAnsi="Arial Narrow"/>
                <w:sz w:val="18"/>
                <w:szCs w:val="18"/>
                <w:lang w:val="en-US"/>
              </w:rPr>
              <w:t>giu</w:t>
            </w:r>
            <w:proofErr w:type="spellEnd"/>
            <w:r>
              <w:rPr>
                <w:rFonts w:ascii="Arial Narrow" w:hAnsi="Arial Narrow"/>
                <w:sz w:val="18"/>
                <w:szCs w:val="18"/>
                <w:lang w:val="en-US"/>
              </w:rPr>
              <w:t xml:space="preserve"> 22</w:t>
            </w:r>
          </w:p>
        </w:tc>
        <w:tc>
          <w:tcPr>
            <w:tcW w:w="1349" w:type="dxa"/>
            <w:shd w:val="clear" w:color="auto" w:fill="FFFFFF"/>
            <w:vAlign w:val="center"/>
          </w:tcPr>
          <w:p w14:paraId="7D6DF98D"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 22</w:t>
            </w:r>
          </w:p>
          <w:p w14:paraId="55DF91F4" w14:textId="7F0B9406" w:rsidR="00B161A0" w:rsidRPr="00BA36DD" w:rsidRDefault="00B161A0" w:rsidP="00B161A0">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sz w:val="18"/>
                <w:szCs w:val="18"/>
                <w:lang w:val="en-US"/>
              </w:rPr>
              <w:t>lug 21</w:t>
            </w:r>
          </w:p>
        </w:tc>
        <w:tc>
          <w:tcPr>
            <w:tcW w:w="1345" w:type="dxa"/>
            <w:shd w:val="clear" w:color="auto" w:fill="D9D9D9"/>
            <w:vAlign w:val="center"/>
          </w:tcPr>
          <w:p w14:paraId="7C6D267F"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 22</w:t>
            </w:r>
          </w:p>
          <w:p w14:paraId="7CB20C5A" w14:textId="026AD405" w:rsidR="00B161A0" w:rsidRPr="00BA36DD" w:rsidRDefault="00B161A0" w:rsidP="00B161A0">
            <w:pPr>
              <w:spacing w:before="40" w:after="20"/>
              <w:jc w:val="center"/>
              <w:rPr>
                <w:rFonts w:ascii="Arial Narrow" w:hAnsi="Arial Narrow"/>
                <w:sz w:val="18"/>
                <w:szCs w:val="18"/>
              </w:rPr>
            </w:pPr>
            <w:proofErr w:type="spellStart"/>
            <w:r>
              <w:rPr>
                <w:rFonts w:ascii="Arial Narrow" w:hAnsi="Arial Narrow"/>
                <w:sz w:val="18"/>
                <w:szCs w:val="18"/>
                <w:lang w:val="en-US"/>
              </w:rPr>
              <w:t>giu</w:t>
            </w:r>
            <w:proofErr w:type="spellEnd"/>
            <w:r>
              <w:rPr>
                <w:rFonts w:ascii="Arial Narrow" w:hAnsi="Arial Narrow"/>
                <w:sz w:val="18"/>
                <w:szCs w:val="18"/>
                <w:lang w:val="en-US"/>
              </w:rPr>
              <w:t xml:space="preserve"> 22</w:t>
            </w:r>
          </w:p>
        </w:tc>
        <w:tc>
          <w:tcPr>
            <w:tcW w:w="1346" w:type="dxa"/>
            <w:shd w:val="clear" w:color="auto" w:fill="FFFFFF"/>
            <w:vAlign w:val="center"/>
          </w:tcPr>
          <w:p w14:paraId="5F573F93" w14:textId="77777777" w:rsidR="00B161A0" w:rsidRPr="0069402A" w:rsidRDefault="00B161A0" w:rsidP="00B161A0">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 22</w:t>
            </w:r>
          </w:p>
          <w:p w14:paraId="2E2BE057" w14:textId="312EC405" w:rsidR="00B161A0" w:rsidRPr="00BA36DD" w:rsidRDefault="00B161A0" w:rsidP="00B161A0">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sz w:val="18"/>
                <w:szCs w:val="18"/>
                <w:lang w:val="en-US"/>
              </w:rPr>
              <w:t>lug 21</w:t>
            </w:r>
          </w:p>
        </w:tc>
      </w:tr>
      <w:tr w:rsidR="007801C1" w:rsidRPr="00452E5E" w14:paraId="0FD54E53" w14:textId="77777777" w:rsidTr="007815EF">
        <w:trPr>
          <w:gridAfter w:val="1"/>
          <w:wAfter w:w="12" w:type="dxa"/>
          <w:cantSplit/>
          <w:trHeight w:val="255"/>
        </w:trPr>
        <w:tc>
          <w:tcPr>
            <w:tcW w:w="2317" w:type="dxa"/>
            <w:vAlign w:val="center"/>
          </w:tcPr>
          <w:p w14:paraId="0FC26153" w14:textId="77777777" w:rsidR="007801C1" w:rsidRPr="005E4472" w:rsidRDefault="007801C1" w:rsidP="007801C1">
            <w:pPr>
              <w:spacing w:before="40" w:after="20"/>
              <w:rPr>
                <w:rFonts w:ascii="Arial Narrow" w:hAnsi="Arial Narrow" w:cs="Arial"/>
                <w:sz w:val="18"/>
                <w:szCs w:val="18"/>
              </w:rPr>
            </w:pPr>
            <w:r w:rsidRPr="005E4472">
              <w:rPr>
                <w:rFonts w:ascii="Arial Narrow" w:hAnsi="Arial Narrow" w:cs="Arial"/>
                <w:sz w:val="18"/>
                <w:szCs w:val="18"/>
              </w:rPr>
              <w:t>Beni di consumo</w:t>
            </w:r>
          </w:p>
        </w:tc>
        <w:tc>
          <w:tcPr>
            <w:tcW w:w="1157" w:type="dxa"/>
            <w:shd w:val="clear" w:color="auto" w:fill="D9D9D9"/>
            <w:vAlign w:val="center"/>
          </w:tcPr>
          <w:p w14:paraId="2F1C541E" w14:textId="65E654F3"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+0,7</w:t>
            </w:r>
          </w:p>
        </w:tc>
        <w:tc>
          <w:tcPr>
            <w:tcW w:w="1334" w:type="dxa"/>
            <w:tcMar>
              <w:left w:w="0" w:type="dxa"/>
            </w:tcMar>
            <w:vAlign w:val="center"/>
          </w:tcPr>
          <w:p w14:paraId="6CD3C7C1" w14:textId="076C273F"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+8,8</w:t>
            </w:r>
          </w:p>
        </w:tc>
        <w:tc>
          <w:tcPr>
            <w:tcW w:w="1346" w:type="dxa"/>
            <w:shd w:val="clear" w:color="auto" w:fill="D9D9D9"/>
            <w:vAlign w:val="center"/>
          </w:tcPr>
          <w:p w14:paraId="13A3348C" w14:textId="7EDD8F5A"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+0,9</w:t>
            </w:r>
          </w:p>
        </w:tc>
        <w:tc>
          <w:tcPr>
            <w:tcW w:w="1349" w:type="dxa"/>
            <w:vAlign w:val="center"/>
          </w:tcPr>
          <w:p w14:paraId="77239508" w14:textId="43A74651"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+7,9</w:t>
            </w:r>
          </w:p>
        </w:tc>
        <w:tc>
          <w:tcPr>
            <w:tcW w:w="1345" w:type="dxa"/>
            <w:shd w:val="clear" w:color="auto" w:fill="D9D9D9"/>
            <w:vAlign w:val="center"/>
          </w:tcPr>
          <w:p w14:paraId="2B193A43" w14:textId="7F35C773"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+0,5</w:t>
            </w:r>
          </w:p>
        </w:tc>
        <w:tc>
          <w:tcPr>
            <w:tcW w:w="1346" w:type="dxa"/>
            <w:vAlign w:val="center"/>
          </w:tcPr>
          <w:p w14:paraId="01DCD49D" w14:textId="004AD17B"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+9,7</w:t>
            </w:r>
          </w:p>
        </w:tc>
      </w:tr>
      <w:tr w:rsidR="007801C1" w:rsidRPr="00452E5E" w14:paraId="16E47F0A" w14:textId="77777777" w:rsidTr="007815EF">
        <w:trPr>
          <w:gridAfter w:val="1"/>
          <w:wAfter w:w="12" w:type="dxa"/>
          <w:cantSplit/>
          <w:trHeight w:val="255"/>
        </w:trPr>
        <w:tc>
          <w:tcPr>
            <w:tcW w:w="2317" w:type="dxa"/>
            <w:vAlign w:val="center"/>
          </w:tcPr>
          <w:p w14:paraId="052A7DFB" w14:textId="77777777" w:rsidR="007801C1" w:rsidRPr="007F2CF0" w:rsidRDefault="007801C1" w:rsidP="007801C1">
            <w:pPr>
              <w:spacing w:before="40" w:after="20"/>
              <w:rPr>
                <w:rFonts w:ascii="Arial Narrow" w:hAnsi="Arial Narrow" w:cs="Arial"/>
                <w:sz w:val="18"/>
                <w:szCs w:val="18"/>
              </w:rPr>
            </w:pPr>
            <w:r w:rsidRPr="007F2CF0">
              <w:rPr>
                <w:rFonts w:ascii="Arial Narrow" w:hAnsi="Arial Narrow" w:cs="Arial"/>
                <w:sz w:val="18"/>
                <w:szCs w:val="18"/>
              </w:rPr>
              <w:t xml:space="preserve">  </w:t>
            </w:r>
            <w:r>
              <w:rPr>
                <w:rFonts w:ascii="Arial Narrow" w:hAnsi="Arial Narrow" w:cs="Arial"/>
                <w:sz w:val="18"/>
                <w:szCs w:val="18"/>
              </w:rPr>
              <w:t>d</w:t>
            </w:r>
            <w:r w:rsidRPr="007F2CF0">
              <w:rPr>
                <w:rFonts w:ascii="Arial Narrow" w:hAnsi="Arial Narrow" w:cs="Arial"/>
                <w:sz w:val="18"/>
                <w:szCs w:val="18"/>
              </w:rPr>
              <w:t>urevoli</w:t>
            </w:r>
          </w:p>
        </w:tc>
        <w:tc>
          <w:tcPr>
            <w:tcW w:w="1157" w:type="dxa"/>
            <w:shd w:val="clear" w:color="auto" w:fill="D9D9D9"/>
            <w:vAlign w:val="center"/>
          </w:tcPr>
          <w:p w14:paraId="4A2FB6A9" w14:textId="79DB50AD"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+0,1</w:t>
            </w:r>
          </w:p>
        </w:tc>
        <w:tc>
          <w:tcPr>
            <w:tcW w:w="1334" w:type="dxa"/>
            <w:tcMar>
              <w:left w:w="0" w:type="dxa"/>
            </w:tcMar>
            <w:vAlign w:val="center"/>
          </w:tcPr>
          <w:p w14:paraId="237F5F3E" w14:textId="08323B92"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+6,0</w:t>
            </w:r>
          </w:p>
        </w:tc>
        <w:tc>
          <w:tcPr>
            <w:tcW w:w="1346" w:type="dxa"/>
            <w:shd w:val="clear" w:color="auto" w:fill="D9D9D9"/>
            <w:vAlign w:val="center"/>
          </w:tcPr>
          <w:p w14:paraId="68758BF0" w14:textId="251494B1"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+0,7</w:t>
            </w:r>
          </w:p>
        </w:tc>
        <w:tc>
          <w:tcPr>
            <w:tcW w:w="1349" w:type="dxa"/>
            <w:vAlign w:val="center"/>
          </w:tcPr>
          <w:p w14:paraId="00865BCB" w14:textId="09D018FB"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+1,6</w:t>
            </w:r>
          </w:p>
        </w:tc>
        <w:tc>
          <w:tcPr>
            <w:tcW w:w="1345" w:type="dxa"/>
            <w:shd w:val="clear" w:color="auto" w:fill="D9D9D9"/>
            <w:vAlign w:val="center"/>
          </w:tcPr>
          <w:p w14:paraId="3D7C39E9" w14:textId="31489A00"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-0,2</w:t>
            </w:r>
          </w:p>
        </w:tc>
        <w:tc>
          <w:tcPr>
            <w:tcW w:w="1346" w:type="dxa"/>
            <w:vAlign w:val="center"/>
          </w:tcPr>
          <w:p w14:paraId="61C67E34" w14:textId="07341AA1"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+8,6</w:t>
            </w:r>
          </w:p>
        </w:tc>
      </w:tr>
      <w:tr w:rsidR="007801C1" w:rsidRPr="00452E5E" w14:paraId="10506094" w14:textId="77777777" w:rsidTr="007815EF">
        <w:trPr>
          <w:gridAfter w:val="1"/>
          <w:wAfter w:w="12" w:type="dxa"/>
          <w:cantSplit/>
          <w:trHeight w:val="255"/>
        </w:trPr>
        <w:tc>
          <w:tcPr>
            <w:tcW w:w="2317" w:type="dxa"/>
            <w:vAlign w:val="center"/>
          </w:tcPr>
          <w:p w14:paraId="56EA568F" w14:textId="77777777" w:rsidR="007801C1" w:rsidRPr="007F2CF0" w:rsidRDefault="007801C1" w:rsidP="007801C1">
            <w:pPr>
              <w:spacing w:before="40" w:after="20"/>
              <w:rPr>
                <w:rFonts w:ascii="Arial Narrow" w:hAnsi="Arial Narrow" w:cs="Arial"/>
                <w:sz w:val="18"/>
                <w:szCs w:val="18"/>
              </w:rPr>
            </w:pPr>
            <w:r w:rsidRPr="007F2CF0">
              <w:rPr>
                <w:rFonts w:ascii="Arial Narrow" w:hAnsi="Arial Narrow" w:cs="Arial"/>
                <w:sz w:val="18"/>
                <w:szCs w:val="18"/>
              </w:rPr>
              <w:t xml:space="preserve">  non durevoli</w:t>
            </w:r>
          </w:p>
        </w:tc>
        <w:tc>
          <w:tcPr>
            <w:tcW w:w="1157" w:type="dxa"/>
            <w:shd w:val="clear" w:color="auto" w:fill="D9D9D9"/>
            <w:vAlign w:val="center"/>
          </w:tcPr>
          <w:p w14:paraId="77078111" w14:textId="72EAF2D1"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+0,8</w:t>
            </w:r>
          </w:p>
        </w:tc>
        <w:tc>
          <w:tcPr>
            <w:tcW w:w="1334" w:type="dxa"/>
            <w:tcMar>
              <w:left w:w="0" w:type="dxa"/>
            </w:tcMar>
            <w:vAlign w:val="center"/>
          </w:tcPr>
          <w:p w14:paraId="75EF5033" w14:textId="477A3DC6"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+9,3</w:t>
            </w:r>
          </w:p>
        </w:tc>
        <w:tc>
          <w:tcPr>
            <w:tcW w:w="1346" w:type="dxa"/>
            <w:shd w:val="clear" w:color="auto" w:fill="D9D9D9"/>
            <w:vAlign w:val="center"/>
          </w:tcPr>
          <w:p w14:paraId="78E4AB6F" w14:textId="2CBC11F4"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+1,0</w:t>
            </w:r>
          </w:p>
        </w:tc>
        <w:tc>
          <w:tcPr>
            <w:tcW w:w="1349" w:type="dxa"/>
            <w:vAlign w:val="center"/>
          </w:tcPr>
          <w:p w14:paraId="7791CBB7" w14:textId="751FA83B"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+8,8</w:t>
            </w:r>
          </w:p>
        </w:tc>
        <w:tc>
          <w:tcPr>
            <w:tcW w:w="1345" w:type="dxa"/>
            <w:shd w:val="clear" w:color="auto" w:fill="D9D9D9"/>
            <w:vAlign w:val="center"/>
          </w:tcPr>
          <w:p w14:paraId="2F411834" w14:textId="58A592CB"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+0,7</w:t>
            </w:r>
          </w:p>
        </w:tc>
        <w:tc>
          <w:tcPr>
            <w:tcW w:w="1346" w:type="dxa"/>
            <w:vAlign w:val="center"/>
          </w:tcPr>
          <w:p w14:paraId="6F4A4BF1" w14:textId="2A05A920"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+10,1</w:t>
            </w:r>
          </w:p>
        </w:tc>
      </w:tr>
      <w:tr w:rsidR="007801C1" w:rsidRPr="00452E5E" w14:paraId="24F7398F" w14:textId="77777777" w:rsidTr="007815EF">
        <w:trPr>
          <w:gridAfter w:val="1"/>
          <w:wAfter w:w="12" w:type="dxa"/>
          <w:cantSplit/>
          <w:trHeight w:val="255"/>
        </w:trPr>
        <w:tc>
          <w:tcPr>
            <w:tcW w:w="2317" w:type="dxa"/>
            <w:vAlign w:val="center"/>
          </w:tcPr>
          <w:p w14:paraId="7695C356" w14:textId="77777777" w:rsidR="007801C1" w:rsidRPr="001C01EA" w:rsidRDefault="007801C1" w:rsidP="007801C1">
            <w:pPr>
              <w:spacing w:before="40" w:after="20"/>
              <w:rPr>
                <w:rFonts w:ascii="Arial Narrow" w:hAnsi="Arial Narrow" w:cs="Arial"/>
                <w:sz w:val="18"/>
                <w:szCs w:val="18"/>
              </w:rPr>
            </w:pPr>
            <w:r w:rsidRPr="001C01EA">
              <w:rPr>
                <w:rFonts w:ascii="Arial Narrow" w:hAnsi="Arial Narrow" w:cs="Arial"/>
                <w:sz w:val="18"/>
                <w:szCs w:val="18"/>
              </w:rPr>
              <w:t>Beni strumentali</w:t>
            </w:r>
          </w:p>
        </w:tc>
        <w:tc>
          <w:tcPr>
            <w:tcW w:w="1157" w:type="dxa"/>
            <w:shd w:val="clear" w:color="auto" w:fill="D9D9D9"/>
            <w:vAlign w:val="center"/>
          </w:tcPr>
          <w:p w14:paraId="6A73B592" w14:textId="4DFAD9EB"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0,0</w:t>
            </w:r>
          </w:p>
        </w:tc>
        <w:tc>
          <w:tcPr>
            <w:tcW w:w="1334" w:type="dxa"/>
            <w:tcMar>
              <w:left w:w="0" w:type="dxa"/>
            </w:tcMar>
            <w:vAlign w:val="center"/>
          </w:tcPr>
          <w:p w14:paraId="7409A1A4" w14:textId="6F82AB13"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+4,9</w:t>
            </w:r>
          </w:p>
        </w:tc>
        <w:tc>
          <w:tcPr>
            <w:tcW w:w="1346" w:type="dxa"/>
            <w:shd w:val="clear" w:color="auto" w:fill="D9D9D9"/>
            <w:vAlign w:val="center"/>
          </w:tcPr>
          <w:p w14:paraId="308AF73B" w14:textId="618FFBA1"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+0,1</w:t>
            </w:r>
          </w:p>
        </w:tc>
        <w:tc>
          <w:tcPr>
            <w:tcW w:w="1349" w:type="dxa"/>
            <w:vAlign w:val="center"/>
          </w:tcPr>
          <w:p w14:paraId="5E3B6694" w14:textId="23E4D751"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+4,2</w:t>
            </w:r>
          </w:p>
        </w:tc>
        <w:tc>
          <w:tcPr>
            <w:tcW w:w="1345" w:type="dxa"/>
            <w:shd w:val="clear" w:color="auto" w:fill="D9D9D9"/>
            <w:vAlign w:val="center"/>
          </w:tcPr>
          <w:p w14:paraId="27DB14EF" w14:textId="301E5D09"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-0,2</w:t>
            </w:r>
          </w:p>
        </w:tc>
        <w:tc>
          <w:tcPr>
            <w:tcW w:w="1346" w:type="dxa"/>
            <w:vAlign w:val="center"/>
          </w:tcPr>
          <w:p w14:paraId="1ABECE26" w14:textId="1F03DE97"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+6,0</w:t>
            </w:r>
          </w:p>
        </w:tc>
      </w:tr>
      <w:tr w:rsidR="007801C1" w:rsidRPr="00452E5E" w14:paraId="5981913F" w14:textId="77777777" w:rsidTr="007815EF">
        <w:trPr>
          <w:gridAfter w:val="1"/>
          <w:wAfter w:w="12" w:type="dxa"/>
          <w:cantSplit/>
          <w:trHeight w:val="255"/>
        </w:trPr>
        <w:tc>
          <w:tcPr>
            <w:tcW w:w="2317" w:type="dxa"/>
            <w:vAlign w:val="center"/>
          </w:tcPr>
          <w:p w14:paraId="3B67EDCE" w14:textId="77777777" w:rsidR="007801C1" w:rsidRPr="001C01EA" w:rsidRDefault="007801C1" w:rsidP="007801C1">
            <w:pPr>
              <w:spacing w:before="40" w:after="20"/>
              <w:rPr>
                <w:rFonts w:ascii="Arial Narrow" w:hAnsi="Arial Narrow" w:cs="Arial"/>
                <w:sz w:val="18"/>
                <w:szCs w:val="18"/>
              </w:rPr>
            </w:pPr>
            <w:r w:rsidRPr="001C01EA">
              <w:rPr>
                <w:rFonts w:ascii="Arial Narrow" w:hAnsi="Arial Narrow" w:cs="Arial"/>
                <w:sz w:val="18"/>
                <w:szCs w:val="18"/>
              </w:rPr>
              <w:t>Beni intermedi</w:t>
            </w:r>
          </w:p>
        </w:tc>
        <w:tc>
          <w:tcPr>
            <w:tcW w:w="1157" w:type="dxa"/>
            <w:tcBorders>
              <w:bottom w:val="single" w:sz="4" w:space="0" w:color="333333"/>
            </w:tcBorders>
            <w:shd w:val="clear" w:color="auto" w:fill="D9D9D9"/>
            <w:vAlign w:val="center"/>
          </w:tcPr>
          <w:p w14:paraId="1D1ABCEC" w14:textId="0DAF5109"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+0,2</w:t>
            </w:r>
          </w:p>
        </w:tc>
        <w:tc>
          <w:tcPr>
            <w:tcW w:w="1334" w:type="dxa"/>
            <w:tcMar>
              <w:left w:w="0" w:type="dxa"/>
            </w:tcMar>
            <w:vAlign w:val="center"/>
          </w:tcPr>
          <w:p w14:paraId="25CE6F58" w14:textId="2214DF56"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+17,8</w:t>
            </w:r>
          </w:p>
        </w:tc>
        <w:tc>
          <w:tcPr>
            <w:tcW w:w="1346" w:type="dxa"/>
            <w:tcBorders>
              <w:bottom w:val="single" w:sz="4" w:space="0" w:color="333333"/>
            </w:tcBorders>
            <w:shd w:val="clear" w:color="auto" w:fill="D9D9D9"/>
            <w:vAlign w:val="center"/>
          </w:tcPr>
          <w:p w14:paraId="7B9252FD" w14:textId="4E0E1EE0"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0,0</w:t>
            </w:r>
          </w:p>
        </w:tc>
        <w:tc>
          <w:tcPr>
            <w:tcW w:w="1349" w:type="dxa"/>
            <w:vAlign w:val="center"/>
          </w:tcPr>
          <w:p w14:paraId="3786B3D0" w14:textId="754085F6"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+17,2</w:t>
            </w:r>
          </w:p>
        </w:tc>
        <w:tc>
          <w:tcPr>
            <w:tcW w:w="1345" w:type="dxa"/>
            <w:tcBorders>
              <w:bottom w:val="single" w:sz="4" w:space="0" w:color="333333"/>
            </w:tcBorders>
            <w:shd w:val="clear" w:color="auto" w:fill="D9D9D9"/>
            <w:vAlign w:val="center"/>
          </w:tcPr>
          <w:p w14:paraId="45AD0ECD" w14:textId="4E4F3B26"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+0,4</w:t>
            </w:r>
          </w:p>
        </w:tc>
        <w:tc>
          <w:tcPr>
            <w:tcW w:w="1346" w:type="dxa"/>
            <w:vAlign w:val="center"/>
          </w:tcPr>
          <w:p w14:paraId="1B1D98F4" w14:textId="33B8218D"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+18,3</w:t>
            </w:r>
          </w:p>
        </w:tc>
      </w:tr>
      <w:tr w:rsidR="007801C1" w:rsidRPr="00452E5E" w14:paraId="17F64648" w14:textId="77777777" w:rsidTr="007815EF">
        <w:trPr>
          <w:gridAfter w:val="1"/>
          <w:wAfter w:w="12" w:type="dxa"/>
          <w:cantSplit/>
          <w:trHeight w:val="255"/>
        </w:trPr>
        <w:tc>
          <w:tcPr>
            <w:tcW w:w="2317" w:type="dxa"/>
            <w:tcBorders>
              <w:bottom w:val="single" w:sz="4" w:space="0" w:color="333333"/>
            </w:tcBorders>
            <w:vAlign w:val="center"/>
          </w:tcPr>
          <w:p w14:paraId="5AADF819" w14:textId="77777777" w:rsidR="007801C1" w:rsidRPr="001C01EA" w:rsidRDefault="007801C1" w:rsidP="007801C1">
            <w:pPr>
              <w:spacing w:before="40" w:after="20"/>
              <w:rPr>
                <w:rFonts w:ascii="Arial Narrow" w:hAnsi="Arial Narrow" w:cs="Arial"/>
                <w:sz w:val="18"/>
                <w:szCs w:val="18"/>
              </w:rPr>
            </w:pPr>
            <w:r w:rsidRPr="001C01EA">
              <w:rPr>
                <w:rFonts w:ascii="Arial Narrow" w:hAnsi="Arial Narrow" w:cs="Arial"/>
                <w:sz w:val="18"/>
                <w:szCs w:val="18"/>
              </w:rPr>
              <w:t>Energia</w:t>
            </w:r>
          </w:p>
        </w:tc>
        <w:tc>
          <w:tcPr>
            <w:tcW w:w="1157" w:type="dxa"/>
            <w:tcBorders>
              <w:bottom w:val="single" w:sz="4" w:space="0" w:color="333333"/>
            </w:tcBorders>
            <w:shd w:val="clear" w:color="auto" w:fill="D9D9D9"/>
            <w:vAlign w:val="center"/>
          </w:tcPr>
          <w:p w14:paraId="5F13CB98" w14:textId="2ABE04D3"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+3,7</w:t>
            </w:r>
          </w:p>
        </w:tc>
        <w:tc>
          <w:tcPr>
            <w:tcW w:w="1334" w:type="dxa"/>
            <w:tcBorders>
              <w:bottom w:val="single" w:sz="4" w:space="0" w:color="333333"/>
            </w:tcBorders>
            <w:tcMar>
              <w:left w:w="0" w:type="dxa"/>
            </w:tcMar>
            <w:vAlign w:val="center"/>
          </w:tcPr>
          <w:p w14:paraId="1576715E" w14:textId="6695E274"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+84,4</w:t>
            </w:r>
          </w:p>
        </w:tc>
        <w:tc>
          <w:tcPr>
            <w:tcW w:w="1346" w:type="dxa"/>
            <w:tcBorders>
              <w:bottom w:val="single" w:sz="4" w:space="0" w:color="333333"/>
            </w:tcBorders>
            <w:shd w:val="clear" w:color="auto" w:fill="D9D9D9"/>
            <w:vAlign w:val="center"/>
          </w:tcPr>
          <w:p w14:paraId="7BE7F33E" w14:textId="47F33C41"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+18,2</w:t>
            </w:r>
          </w:p>
        </w:tc>
        <w:tc>
          <w:tcPr>
            <w:tcW w:w="1349" w:type="dxa"/>
            <w:tcBorders>
              <w:bottom w:val="single" w:sz="4" w:space="0" w:color="333333"/>
            </w:tcBorders>
            <w:vAlign w:val="center"/>
          </w:tcPr>
          <w:p w14:paraId="0C6B9866" w14:textId="22BE0269"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+40,5</w:t>
            </w:r>
          </w:p>
        </w:tc>
        <w:tc>
          <w:tcPr>
            <w:tcW w:w="1345" w:type="dxa"/>
            <w:tcBorders>
              <w:bottom w:val="single" w:sz="4" w:space="0" w:color="333333"/>
            </w:tcBorders>
            <w:shd w:val="clear" w:color="auto" w:fill="D9D9D9"/>
            <w:vAlign w:val="center"/>
          </w:tcPr>
          <w:p w14:paraId="16C232BC" w14:textId="39A52A0C"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+2,6</w:t>
            </w:r>
          </w:p>
        </w:tc>
        <w:tc>
          <w:tcPr>
            <w:tcW w:w="1346" w:type="dxa"/>
            <w:tcBorders>
              <w:bottom w:val="single" w:sz="4" w:space="0" w:color="333333"/>
            </w:tcBorders>
            <w:vAlign w:val="center"/>
          </w:tcPr>
          <w:p w14:paraId="33211A2F" w14:textId="22D21430"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+89,2</w:t>
            </w:r>
          </w:p>
        </w:tc>
      </w:tr>
      <w:tr w:rsidR="007801C1" w:rsidRPr="00452E5E" w14:paraId="2E2CDFBE" w14:textId="77777777" w:rsidTr="007815EF">
        <w:trPr>
          <w:gridAfter w:val="1"/>
          <w:wAfter w:w="12" w:type="dxa"/>
          <w:cantSplit/>
          <w:trHeight w:val="255"/>
        </w:trPr>
        <w:tc>
          <w:tcPr>
            <w:tcW w:w="2317" w:type="dxa"/>
            <w:shd w:val="clear" w:color="auto" w:fill="auto"/>
            <w:vAlign w:val="center"/>
          </w:tcPr>
          <w:p w14:paraId="5DF2FD63" w14:textId="77777777" w:rsidR="007801C1" w:rsidRPr="007F2CF0" w:rsidRDefault="007801C1" w:rsidP="007801C1">
            <w:pPr>
              <w:spacing w:before="40" w:after="20"/>
              <w:rPr>
                <w:rFonts w:ascii="Arial Narrow" w:hAnsi="Arial Narrow" w:cs="Arial"/>
                <w:sz w:val="18"/>
                <w:szCs w:val="18"/>
              </w:rPr>
            </w:pPr>
            <w:r w:rsidRPr="001C01EA">
              <w:rPr>
                <w:rFonts w:ascii="Arial Narrow" w:hAnsi="Arial Narrow" w:cs="Arial"/>
                <w:sz w:val="18"/>
                <w:szCs w:val="18"/>
              </w:rPr>
              <w:t>Totale al netto dell’energia</w:t>
            </w:r>
          </w:p>
        </w:tc>
        <w:tc>
          <w:tcPr>
            <w:tcW w:w="1157" w:type="dxa"/>
            <w:shd w:val="clear" w:color="auto" w:fill="D9D9D9"/>
            <w:vAlign w:val="center"/>
          </w:tcPr>
          <w:p w14:paraId="4DEFB8DF" w14:textId="42675A20"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+0,3</w:t>
            </w:r>
          </w:p>
        </w:tc>
        <w:tc>
          <w:tcPr>
            <w:tcW w:w="1334" w:type="dxa"/>
            <w:shd w:val="clear" w:color="auto" w:fill="auto"/>
            <w:tcMar>
              <w:left w:w="0" w:type="dxa"/>
            </w:tcMar>
            <w:vAlign w:val="center"/>
          </w:tcPr>
          <w:p w14:paraId="00943129" w14:textId="2701B1DE"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+11,2</w:t>
            </w:r>
          </w:p>
        </w:tc>
        <w:tc>
          <w:tcPr>
            <w:tcW w:w="1346" w:type="dxa"/>
            <w:shd w:val="clear" w:color="auto" w:fill="D9D9D9"/>
            <w:vAlign w:val="center"/>
          </w:tcPr>
          <w:p w14:paraId="502EA5D2" w14:textId="406CC211"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+0,3</w:t>
            </w:r>
          </w:p>
        </w:tc>
        <w:tc>
          <w:tcPr>
            <w:tcW w:w="1349" w:type="dxa"/>
            <w:shd w:val="clear" w:color="auto" w:fill="auto"/>
            <w:vAlign w:val="center"/>
          </w:tcPr>
          <w:p w14:paraId="289C3E69" w14:textId="58D7BA92"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+10,2</w:t>
            </w:r>
          </w:p>
        </w:tc>
        <w:tc>
          <w:tcPr>
            <w:tcW w:w="1345" w:type="dxa"/>
            <w:shd w:val="clear" w:color="auto" w:fill="D9D9D9"/>
            <w:vAlign w:val="center"/>
          </w:tcPr>
          <w:p w14:paraId="0D130E46" w14:textId="6B79D5A1"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+0,3</w:t>
            </w:r>
          </w:p>
        </w:tc>
        <w:tc>
          <w:tcPr>
            <w:tcW w:w="1346" w:type="dxa"/>
            <w:shd w:val="clear" w:color="auto" w:fill="auto"/>
            <w:vAlign w:val="center"/>
          </w:tcPr>
          <w:p w14:paraId="2F175BE3" w14:textId="39A0BCCF" w:rsidR="007801C1" w:rsidRPr="00A764B0" w:rsidRDefault="007801C1" w:rsidP="007801C1">
            <w:pPr>
              <w:jc w:val="center"/>
              <w:rPr>
                <w:rFonts w:ascii="Arial Narrow" w:hAnsi="Arial Narrow" w:cs="Arial Narrow"/>
                <w:color w:val="000000"/>
                <w:sz w:val="18"/>
                <w:szCs w:val="18"/>
              </w:rPr>
            </w:pPr>
            <w:r w:rsidRPr="00F971A1">
              <w:rPr>
                <w:rFonts w:ascii="Arial Narrow" w:hAnsi="Arial Narrow" w:cs="Arial"/>
                <w:color w:val="000000"/>
                <w:sz w:val="18"/>
                <w:szCs w:val="18"/>
              </w:rPr>
              <w:t>+12,3</w:t>
            </w:r>
          </w:p>
        </w:tc>
      </w:tr>
      <w:tr w:rsidR="007801C1" w:rsidRPr="00824ACE" w14:paraId="18F55913" w14:textId="77777777" w:rsidTr="000916A8">
        <w:trPr>
          <w:gridAfter w:val="1"/>
          <w:wAfter w:w="12" w:type="dxa"/>
          <w:cantSplit/>
          <w:trHeight w:val="255"/>
        </w:trPr>
        <w:tc>
          <w:tcPr>
            <w:tcW w:w="2317" w:type="dxa"/>
            <w:shd w:val="clear" w:color="auto" w:fill="E42618"/>
            <w:vAlign w:val="center"/>
          </w:tcPr>
          <w:p w14:paraId="0A90526B" w14:textId="77777777" w:rsidR="007801C1" w:rsidRPr="00824ACE" w:rsidRDefault="007801C1" w:rsidP="007801C1">
            <w:pPr>
              <w:spacing w:before="40" w:after="20"/>
              <w:rPr>
                <w:rFonts w:ascii="Arial Narrow" w:hAnsi="Arial Narrow" w:cs="Arial"/>
                <w:b/>
                <w:color w:val="FFFFFF" w:themeColor="background1"/>
                <w:sz w:val="18"/>
                <w:szCs w:val="18"/>
              </w:rPr>
            </w:pPr>
            <w:r w:rsidRPr="00824ACE">
              <w:rPr>
                <w:rFonts w:ascii="Arial Narrow" w:hAnsi="Arial Narrow" w:cs="Arial"/>
                <w:b/>
                <w:color w:val="FFFFFF" w:themeColor="background1"/>
                <w:sz w:val="18"/>
                <w:szCs w:val="18"/>
              </w:rPr>
              <w:t>Totale</w:t>
            </w:r>
          </w:p>
        </w:tc>
        <w:tc>
          <w:tcPr>
            <w:tcW w:w="1157" w:type="dxa"/>
            <w:shd w:val="clear" w:color="auto" w:fill="E42618"/>
            <w:vAlign w:val="center"/>
          </w:tcPr>
          <w:p w14:paraId="5DB696E8" w14:textId="28E1A9C9" w:rsidR="007801C1" w:rsidRPr="00824ACE" w:rsidRDefault="007801C1" w:rsidP="007801C1">
            <w:pPr>
              <w:spacing w:before="40" w:after="20"/>
              <w:jc w:val="center"/>
              <w:rPr>
                <w:rFonts w:ascii="Arial Narrow" w:hAnsi="Arial Narrow" w:cs="Arial"/>
                <w:b/>
                <w:color w:val="FFFFFF" w:themeColor="background1"/>
                <w:sz w:val="18"/>
                <w:szCs w:val="18"/>
              </w:rPr>
            </w:pPr>
            <w:r w:rsidRPr="00F971A1">
              <w:rPr>
                <w:rFonts w:ascii="Arial Narrow" w:hAnsi="Arial Narrow" w:cs="Arial"/>
                <w:b/>
                <w:color w:val="FFFFFF" w:themeColor="background1"/>
                <w:sz w:val="18"/>
                <w:szCs w:val="18"/>
              </w:rPr>
              <w:t>+0,9</w:t>
            </w:r>
          </w:p>
        </w:tc>
        <w:tc>
          <w:tcPr>
            <w:tcW w:w="1334" w:type="dxa"/>
            <w:shd w:val="clear" w:color="auto" w:fill="E42618"/>
            <w:tcMar>
              <w:left w:w="0" w:type="dxa"/>
            </w:tcMar>
            <w:vAlign w:val="center"/>
          </w:tcPr>
          <w:p w14:paraId="40C8196C" w14:textId="1FAA2ADA" w:rsidR="007801C1" w:rsidRPr="00824ACE" w:rsidRDefault="007801C1" w:rsidP="007801C1">
            <w:pPr>
              <w:spacing w:before="40" w:after="20"/>
              <w:jc w:val="center"/>
              <w:rPr>
                <w:rFonts w:ascii="Arial Narrow" w:hAnsi="Arial Narrow" w:cs="Arial"/>
                <w:b/>
                <w:color w:val="FFFFFF" w:themeColor="background1"/>
                <w:sz w:val="18"/>
                <w:szCs w:val="18"/>
              </w:rPr>
            </w:pPr>
            <w:r w:rsidRPr="00F971A1">
              <w:rPr>
                <w:rFonts w:ascii="Arial Narrow" w:hAnsi="Arial Narrow" w:cs="Arial"/>
                <w:b/>
                <w:color w:val="FFFFFF" w:themeColor="background1"/>
                <w:sz w:val="18"/>
                <w:szCs w:val="18"/>
              </w:rPr>
              <w:t>+20,6</w:t>
            </w:r>
          </w:p>
        </w:tc>
        <w:tc>
          <w:tcPr>
            <w:tcW w:w="1346" w:type="dxa"/>
            <w:shd w:val="clear" w:color="auto" w:fill="E42618"/>
            <w:vAlign w:val="center"/>
          </w:tcPr>
          <w:p w14:paraId="57842797" w14:textId="0E548891" w:rsidR="007801C1" w:rsidRPr="00824ACE" w:rsidRDefault="007801C1" w:rsidP="007801C1">
            <w:pPr>
              <w:spacing w:before="40" w:after="20"/>
              <w:jc w:val="center"/>
              <w:rPr>
                <w:rFonts w:ascii="Arial Narrow" w:hAnsi="Arial Narrow" w:cs="Arial"/>
                <w:b/>
                <w:color w:val="FFFFFF" w:themeColor="background1"/>
                <w:sz w:val="18"/>
                <w:szCs w:val="18"/>
              </w:rPr>
            </w:pPr>
            <w:r w:rsidRPr="00F971A1">
              <w:rPr>
                <w:rFonts w:ascii="Arial Narrow" w:hAnsi="Arial Narrow" w:cs="Arial"/>
                <w:b/>
                <w:color w:val="FFFFFF" w:themeColor="background1"/>
                <w:sz w:val="18"/>
                <w:szCs w:val="18"/>
              </w:rPr>
              <w:t>+0,8</w:t>
            </w:r>
          </w:p>
        </w:tc>
        <w:tc>
          <w:tcPr>
            <w:tcW w:w="1349" w:type="dxa"/>
            <w:shd w:val="clear" w:color="auto" w:fill="E42618"/>
            <w:vAlign w:val="center"/>
          </w:tcPr>
          <w:p w14:paraId="03EFA027" w14:textId="36500994" w:rsidR="007801C1" w:rsidRPr="00824ACE" w:rsidRDefault="007801C1" w:rsidP="007801C1">
            <w:pPr>
              <w:spacing w:before="40" w:after="20"/>
              <w:jc w:val="center"/>
              <w:rPr>
                <w:rFonts w:ascii="Arial Narrow" w:hAnsi="Arial Narrow" w:cs="Arial"/>
                <w:b/>
                <w:color w:val="FFFFFF" w:themeColor="background1"/>
                <w:sz w:val="18"/>
                <w:szCs w:val="18"/>
              </w:rPr>
            </w:pPr>
            <w:r w:rsidRPr="00F971A1">
              <w:rPr>
                <w:rFonts w:ascii="Arial Narrow" w:hAnsi="Arial Narrow" w:cs="Arial"/>
                <w:b/>
                <w:color w:val="FFFFFF" w:themeColor="background1"/>
                <w:sz w:val="18"/>
                <w:szCs w:val="18"/>
              </w:rPr>
              <w:t>+11,0</w:t>
            </w:r>
          </w:p>
        </w:tc>
        <w:tc>
          <w:tcPr>
            <w:tcW w:w="1345" w:type="dxa"/>
            <w:shd w:val="clear" w:color="auto" w:fill="E42618"/>
            <w:vAlign w:val="center"/>
          </w:tcPr>
          <w:p w14:paraId="1ADFB8E9" w14:textId="1B8931D0" w:rsidR="007801C1" w:rsidRPr="00824ACE" w:rsidRDefault="007801C1" w:rsidP="007801C1">
            <w:pPr>
              <w:spacing w:before="40" w:after="20"/>
              <w:jc w:val="center"/>
              <w:rPr>
                <w:rFonts w:ascii="Arial Narrow" w:hAnsi="Arial Narrow" w:cs="Arial"/>
                <w:b/>
                <w:color w:val="FFFFFF" w:themeColor="background1"/>
                <w:sz w:val="18"/>
                <w:szCs w:val="18"/>
              </w:rPr>
            </w:pPr>
            <w:r w:rsidRPr="00F971A1">
              <w:rPr>
                <w:rFonts w:ascii="Arial Narrow" w:hAnsi="Arial Narrow" w:cs="Arial"/>
                <w:b/>
                <w:color w:val="FFFFFF" w:themeColor="background1"/>
                <w:sz w:val="18"/>
                <w:szCs w:val="18"/>
              </w:rPr>
              <w:t>+1,0</w:t>
            </w:r>
          </w:p>
        </w:tc>
        <w:tc>
          <w:tcPr>
            <w:tcW w:w="1346" w:type="dxa"/>
            <w:shd w:val="clear" w:color="auto" w:fill="E42618"/>
            <w:vAlign w:val="center"/>
          </w:tcPr>
          <w:p w14:paraId="13C573BA" w14:textId="74DD0337" w:rsidR="007801C1" w:rsidRPr="00824ACE" w:rsidRDefault="007801C1" w:rsidP="007801C1">
            <w:pPr>
              <w:spacing w:before="40" w:after="20"/>
              <w:jc w:val="center"/>
              <w:rPr>
                <w:rFonts w:ascii="Arial Narrow" w:hAnsi="Arial Narrow" w:cs="Arial"/>
                <w:b/>
                <w:color w:val="FFFFFF" w:themeColor="background1"/>
                <w:sz w:val="18"/>
                <w:szCs w:val="18"/>
              </w:rPr>
            </w:pPr>
            <w:r w:rsidRPr="00F971A1">
              <w:rPr>
                <w:rFonts w:ascii="Arial Narrow" w:hAnsi="Arial Narrow" w:cs="Arial"/>
                <w:b/>
                <w:color w:val="FFFFFF" w:themeColor="background1"/>
                <w:sz w:val="18"/>
                <w:szCs w:val="18"/>
              </w:rPr>
              <w:t>+30,1</w:t>
            </w:r>
          </w:p>
        </w:tc>
      </w:tr>
    </w:tbl>
    <w:p w14:paraId="56F929F3" w14:textId="2DEA85A1" w:rsidR="00A84F05" w:rsidRDefault="00A84F05" w:rsidP="00537BEB">
      <w:pPr>
        <w:pStyle w:val="Corpodeltesto1"/>
        <w:spacing w:after="120"/>
        <w:jc w:val="left"/>
        <w:rPr>
          <w:rFonts w:ascii="Arial Narrow" w:hAnsi="Arial Narrow" w:cs="Arial"/>
          <w:b w:val="0"/>
          <w:color w:val="5F5F5F"/>
          <w:kern w:val="28"/>
          <w:sz w:val="20"/>
          <w:szCs w:val="20"/>
        </w:rPr>
      </w:pPr>
    </w:p>
    <w:p w14:paraId="1B06A318" w14:textId="77777777" w:rsidR="007801C1" w:rsidRPr="004B371A" w:rsidRDefault="007801C1" w:rsidP="007801C1">
      <w:pPr>
        <w:pStyle w:val="001TitoloBolocco"/>
        <w:pBdr>
          <w:bottom w:val="none" w:sz="0" w:space="0" w:color="auto"/>
        </w:pBdr>
        <w:spacing w:after="100"/>
        <w:rPr>
          <w:rFonts w:ascii="Arial" w:hAnsi="Arial" w:cs="Times New Roman"/>
          <w:b w:val="0"/>
          <w:bCs w:val="0"/>
          <w:caps w:val="0"/>
          <w:color w:val="auto"/>
          <w:kern w:val="28"/>
          <w:sz w:val="21"/>
          <w:szCs w:val="21"/>
        </w:rPr>
      </w:pPr>
      <w:r>
        <w:rPr>
          <w:rFonts w:ascii="Arial" w:hAnsi="Arial" w:cs="Times New Roman"/>
          <w:b w:val="0"/>
          <w:bCs w:val="0"/>
          <w:caps w:val="0"/>
          <w:color w:val="auto"/>
          <w:kern w:val="28"/>
          <w:sz w:val="21"/>
          <w:szCs w:val="21"/>
        </w:rPr>
        <w:t xml:space="preserve">A luglio 2022 </w:t>
      </w:r>
      <w:r w:rsidRPr="004B371A">
        <w:rPr>
          <w:rFonts w:ascii="Arial" w:hAnsi="Arial" w:cs="Times New Roman"/>
          <w:b w:val="0"/>
          <w:bCs w:val="0"/>
          <w:caps w:val="0"/>
          <w:color w:val="auto"/>
          <w:kern w:val="28"/>
          <w:sz w:val="21"/>
          <w:szCs w:val="21"/>
        </w:rPr>
        <w:t xml:space="preserve">i prezzi all’importazione dei beni di </w:t>
      </w:r>
      <w:r>
        <w:rPr>
          <w:rFonts w:ascii="Arial" w:hAnsi="Arial" w:cs="Times New Roman"/>
          <w:b w:val="0"/>
          <w:bCs w:val="0"/>
          <w:caps w:val="0"/>
          <w:color w:val="auto"/>
          <w:kern w:val="28"/>
          <w:sz w:val="21"/>
          <w:szCs w:val="21"/>
        </w:rPr>
        <w:t>consumo</w:t>
      </w:r>
      <w:r w:rsidRPr="004B371A">
        <w:rPr>
          <w:rFonts w:ascii="Arial" w:hAnsi="Arial" w:cs="Times New Roman"/>
          <w:b w:val="0"/>
          <w:bCs w:val="0"/>
          <w:caps w:val="0"/>
          <w:color w:val="auto"/>
          <w:kern w:val="28"/>
          <w:sz w:val="21"/>
          <w:szCs w:val="21"/>
        </w:rPr>
        <w:t xml:space="preserve"> </w:t>
      </w:r>
      <w:r>
        <w:rPr>
          <w:rFonts w:ascii="Arial" w:hAnsi="Arial" w:cs="Times New Roman"/>
          <w:b w:val="0"/>
          <w:bCs w:val="0"/>
          <w:caps w:val="0"/>
          <w:color w:val="auto"/>
          <w:kern w:val="28"/>
          <w:sz w:val="21"/>
          <w:szCs w:val="21"/>
        </w:rPr>
        <w:t xml:space="preserve">aumentano, rispetto al mese precedente, dello 0,7% nel complesso (+0,9% per l’Area </w:t>
      </w:r>
      <w:r w:rsidRPr="00D267DD">
        <w:rPr>
          <w:rFonts w:ascii="Arial" w:hAnsi="Arial" w:cs="Times New Roman"/>
          <w:b w:val="0"/>
          <w:bCs w:val="0"/>
          <w:caps w:val="0"/>
          <w:color w:val="auto"/>
          <w:kern w:val="28"/>
          <w:sz w:val="21"/>
          <w:szCs w:val="21"/>
        </w:rPr>
        <w:t>euro</w:t>
      </w:r>
      <w:r>
        <w:rPr>
          <w:rFonts w:ascii="Arial" w:hAnsi="Arial" w:cs="Times New Roman"/>
          <w:b w:val="0"/>
          <w:bCs w:val="0"/>
          <w:caps w:val="0"/>
          <w:color w:val="auto"/>
          <w:kern w:val="28"/>
          <w:sz w:val="21"/>
          <w:szCs w:val="21"/>
        </w:rPr>
        <w:t>, +0,5% per l’Area non euro); su base annua,</w:t>
      </w:r>
      <w:r w:rsidRPr="004B371A">
        <w:rPr>
          <w:rFonts w:ascii="Arial" w:hAnsi="Arial" w:cs="Times New Roman"/>
          <w:b w:val="0"/>
          <w:bCs w:val="0"/>
          <w:caps w:val="0"/>
          <w:color w:val="auto"/>
          <w:kern w:val="28"/>
          <w:sz w:val="21"/>
          <w:szCs w:val="21"/>
        </w:rPr>
        <w:t xml:space="preserve"> </w:t>
      </w:r>
      <w:r>
        <w:rPr>
          <w:rFonts w:ascii="Arial" w:hAnsi="Arial" w:cs="Times New Roman"/>
          <w:b w:val="0"/>
          <w:bCs w:val="0"/>
          <w:caps w:val="0"/>
          <w:color w:val="auto"/>
          <w:kern w:val="28"/>
          <w:sz w:val="21"/>
          <w:szCs w:val="21"/>
        </w:rPr>
        <w:t>crescono dell’8,8% per il mercato totale, sintesi di incrementi del 7,9% per l’Area euro e del 9,7% per l’Area non euro.</w:t>
      </w:r>
    </w:p>
    <w:p w14:paraId="68AB9600" w14:textId="7BD36340" w:rsidR="007801C1" w:rsidRDefault="007801C1" w:rsidP="007801C1">
      <w:pPr>
        <w:pStyle w:val="001TitoloBolocco"/>
        <w:pBdr>
          <w:bottom w:val="none" w:sz="0" w:space="0" w:color="auto"/>
        </w:pBdr>
        <w:spacing w:after="100"/>
        <w:rPr>
          <w:rFonts w:ascii="Arial" w:hAnsi="Arial" w:cs="Times New Roman"/>
          <w:b w:val="0"/>
          <w:bCs w:val="0"/>
          <w:caps w:val="0"/>
          <w:color w:val="auto"/>
          <w:kern w:val="28"/>
          <w:sz w:val="21"/>
          <w:szCs w:val="21"/>
        </w:rPr>
      </w:pPr>
      <w:r w:rsidRPr="00822617">
        <w:rPr>
          <w:rFonts w:ascii="Arial" w:hAnsi="Arial" w:cs="Times New Roman"/>
          <w:b w:val="0"/>
          <w:bCs w:val="0"/>
          <w:caps w:val="0"/>
          <w:color w:val="auto"/>
          <w:kern w:val="28"/>
          <w:sz w:val="21"/>
          <w:szCs w:val="21"/>
        </w:rPr>
        <w:t>I prezzi all’importazione dei beni strumentali</w:t>
      </w:r>
      <w:r>
        <w:rPr>
          <w:rFonts w:ascii="Arial" w:hAnsi="Arial" w:cs="Times New Roman"/>
          <w:b w:val="0"/>
          <w:bCs w:val="0"/>
          <w:caps w:val="0"/>
          <w:color w:val="auto"/>
          <w:kern w:val="28"/>
          <w:sz w:val="21"/>
          <w:szCs w:val="21"/>
        </w:rPr>
        <w:t xml:space="preserve"> </w:t>
      </w:r>
      <w:r w:rsidR="00C00E9F">
        <w:rPr>
          <w:rFonts w:ascii="Arial" w:hAnsi="Arial" w:cs="Times New Roman"/>
          <w:b w:val="0"/>
          <w:bCs w:val="0"/>
          <w:caps w:val="0"/>
          <w:color w:val="auto"/>
          <w:kern w:val="28"/>
          <w:sz w:val="21"/>
          <w:szCs w:val="21"/>
        </w:rPr>
        <w:t>restano</w:t>
      </w:r>
      <w:r>
        <w:rPr>
          <w:rFonts w:ascii="Arial" w:hAnsi="Arial" w:cs="Times New Roman"/>
          <w:b w:val="0"/>
          <w:bCs w:val="0"/>
          <w:caps w:val="0"/>
          <w:color w:val="auto"/>
          <w:kern w:val="28"/>
          <w:sz w:val="21"/>
          <w:szCs w:val="21"/>
        </w:rPr>
        <w:t xml:space="preserve"> invariati su base mensile per il mercato totale</w:t>
      </w:r>
      <w:r w:rsidR="00C00E9F">
        <w:rPr>
          <w:rFonts w:ascii="Arial" w:hAnsi="Arial" w:cs="Times New Roman"/>
          <w:b w:val="0"/>
          <w:bCs w:val="0"/>
          <w:caps w:val="0"/>
          <w:color w:val="auto"/>
          <w:kern w:val="28"/>
          <w:sz w:val="21"/>
          <w:szCs w:val="21"/>
        </w:rPr>
        <w:t xml:space="preserve"> (+</w:t>
      </w:r>
      <w:r>
        <w:rPr>
          <w:rFonts w:ascii="Arial" w:hAnsi="Arial" w:cs="Times New Roman"/>
          <w:b w:val="0"/>
          <w:bCs w:val="0"/>
          <w:caps w:val="0"/>
          <w:color w:val="auto"/>
          <w:kern w:val="28"/>
          <w:sz w:val="21"/>
          <w:szCs w:val="21"/>
        </w:rPr>
        <w:t>0,1%</w:t>
      </w:r>
      <w:r w:rsidR="00C00E9F">
        <w:rPr>
          <w:rFonts w:ascii="Arial" w:hAnsi="Arial" w:cs="Times New Roman"/>
          <w:b w:val="0"/>
          <w:bCs w:val="0"/>
          <w:caps w:val="0"/>
          <w:color w:val="auto"/>
          <w:kern w:val="28"/>
          <w:sz w:val="21"/>
          <w:szCs w:val="21"/>
        </w:rPr>
        <w:t xml:space="preserve"> </w:t>
      </w:r>
      <w:r>
        <w:rPr>
          <w:rFonts w:ascii="Arial" w:hAnsi="Arial" w:cs="Times New Roman"/>
          <w:b w:val="0"/>
          <w:bCs w:val="0"/>
          <w:caps w:val="0"/>
          <w:color w:val="auto"/>
          <w:kern w:val="28"/>
          <w:sz w:val="21"/>
          <w:szCs w:val="21"/>
        </w:rPr>
        <w:t xml:space="preserve">Area </w:t>
      </w:r>
      <w:r w:rsidRPr="00D267DD">
        <w:rPr>
          <w:rFonts w:ascii="Arial" w:hAnsi="Arial" w:cs="Times New Roman"/>
          <w:b w:val="0"/>
          <w:bCs w:val="0"/>
          <w:caps w:val="0"/>
          <w:color w:val="auto"/>
          <w:kern w:val="28"/>
          <w:sz w:val="21"/>
          <w:szCs w:val="21"/>
        </w:rPr>
        <w:t>euro</w:t>
      </w:r>
      <w:r>
        <w:rPr>
          <w:rFonts w:ascii="Arial" w:hAnsi="Arial" w:cs="Times New Roman"/>
          <w:b w:val="0"/>
          <w:bCs w:val="0"/>
          <w:caps w:val="0"/>
          <w:color w:val="auto"/>
          <w:kern w:val="28"/>
          <w:sz w:val="21"/>
          <w:szCs w:val="21"/>
        </w:rPr>
        <w:t xml:space="preserve">, </w:t>
      </w:r>
      <w:r w:rsidR="00C00E9F">
        <w:rPr>
          <w:rFonts w:ascii="Arial" w:hAnsi="Arial" w:cs="Times New Roman"/>
          <w:b w:val="0"/>
          <w:bCs w:val="0"/>
          <w:caps w:val="0"/>
          <w:color w:val="auto"/>
          <w:kern w:val="28"/>
          <w:sz w:val="21"/>
          <w:szCs w:val="21"/>
        </w:rPr>
        <w:t>-</w:t>
      </w:r>
      <w:r>
        <w:rPr>
          <w:rFonts w:ascii="Arial" w:hAnsi="Arial" w:cs="Times New Roman"/>
          <w:b w:val="0"/>
          <w:bCs w:val="0"/>
          <w:caps w:val="0"/>
          <w:color w:val="auto"/>
          <w:kern w:val="28"/>
          <w:sz w:val="21"/>
          <w:szCs w:val="21"/>
        </w:rPr>
        <w:t>0,2% Area non euro</w:t>
      </w:r>
      <w:r w:rsidR="00C00E9F">
        <w:rPr>
          <w:rFonts w:ascii="Arial" w:hAnsi="Arial" w:cs="Times New Roman"/>
          <w:b w:val="0"/>
          <w:bCs w:val="0"/>
          <w:caps w:val="0"/>
          <w:color w:val="auto"/>
          <w:kern w:val="28"/>
          <w:sz w:val="21"/>
          <w:szCs w:val="21"/>
        </w:rPr>
        <w:t xml:space="preserve">) e in termini tendenziali crescono </w:t>
      </w:r>
      <w:r w:rsidRPr="00D267DD">
        <w:rPr>
          <w:rFonts w:ascii="Arial" w:hAnsi="Arial" w:cs="Times New Roman"/>
          <w:b w:val="0"/>
          <w:bCs w:val="0"/>
          <w:caps w:val="0"/>
          <w:color w:val="auto"/>
          <w:kern w:val="28"/>
          <w:sz w:val="21"/>
          <w:szCs w:val="21"/>
        </w:rPr>
        <w:t xml:space="preserve">del </w:t>
      </w:r>
      <w:r>
        <w:rPr>
          <w:rFonts w:ascii="Arial" w:hAnsi="Arial" w:cs="Times New Roman"/>
          <w:b w:val="0"/>
          <w:bCs w:val="0"/>
          <w:caps w:val="0"/>
          <w:color w:val="auto"/>
          <w:kern w:val="28"/>
          <w:sz w:val="21"/>
          <w:szCs w:val="21"/>
        </w:rPr>
        <w:t>4,9</w:t>
      </w:r>
      <w:r w:rsidRPr="00D267DD">
        <w:rPr>
          <w:rFonts w:ascii="Arial" w:hAnsi="Arial" w:cs="Times New Roman"/>
          <w:b w:val="0"/>
          <w:bCs w:val="0"/>
          <w:caps w:val="0"/>
          <w:color w:val="auto"/>
          <w:kern w:val="28"/>
          <w:sz w:val="21"/>
          <w:szCs w:val="21"/>
        </w:rPr>
        <w:t>%</w:t>
      </w:r>
      <w:r w:rsidRPr="00822617">
        <w:rPr>
          <w:rFonts w:ascii="Arial" w:hAnsi="Arial" w:cs="Times New Roman"/>
          <w:b w:val="0"/>
          <w:bCs w:val="0"/>
          <w:caps w:val="0"/>
          <w:color w:val="auto"/>
          <w:kern w:val="28"/>
          <w:sz w:val="21"/>
          <w:szCs w:val="21"/>
        </w:rPr>
        <w:t xml:space="preserve"> </w:t>
      </w:r>
      <w:r>
        <w:rPr>
          <w:rFonts w:ascii="Arial" w:hAnsi="Arial" w:cs="Times New Roman"/>
          <w:b w:val="0"/>
          <w:bCs w:val="0"/>
          <w:caps w:val="0"/>
          <w:color w:val="auto"/>
          <w:kern w:val="28"/>
          <w:sz w:val="21"/>
          <w:szCs w:val="21"/>
        </w:rPr>
        <w:t xml:space="preserve">(+4,2% </w:t>
      </w:r>
      <w:r w:rsidRPr="00822617">
        <w:rPr>
          <w:rFonts w:ascii="Arial" w:hAnsi="Arial" w:cs="Times New Roman"/>
          <w:b w:val="0"/>
          <w:bCs w:val="0"/>
          <w:caps w:val="0"/>
          <w:color w:val="auto"/>
          <w:kern w:val="28"/>
          <w:sz w:val="21"/>
          <w:szCs w:val="21"/>
        </w:rPr>
        <w:t>Area euro,</w:t>
      </w:r>
      <w:r>
        <w:rPr>
          <w:rFonts w:ascii="Arial" w:hAnsi="Arial" w:cs="Times New Roman"/>
          <w:b w:val="0"/>
          <w:bCs w:val="0"/>
          <w:caps w:val="0"/>
          <w:color w:val="auto"/>
          <w:kern w:val="28"/>
          <w:sz w:val="21"/>
          <w:szCs w:val="21"/>
        </w:rPr>
        <w:t xml:space="preserve"> +6,0% Area non euro). </w:t>
      </w:r>
    </w:p>
    <w:p w14:paraId="19A66661" w14:textId="202D5104" w:rsidR="007801C1" w:rsidRDefault="007801C1" w:rsidP="007801C1">
      <w:pPr>
        <w:pStyle w:val="001TitoloBolocco"/>
        <w:pBdr>
          <w:bottom w:val="none" w:sz="0" w:space="0" w:color="auto"/>
        </w:pBdr>
        <w:spacing w:after="0"/>
        <w:rPr>
          <w:rFonts w:ascii="Arial" w:hAnsi="Arial" w:cs="Times New Roman"/>
          <w:b w:val="0"/>
          <w:bCs w:val="0"/>
          <w:caps w:val="0"/>
          <w:color w:val="auto"/>
          <w:kern w:val="28"/>
          <w:sz w:val="21"/>
          <w:szCs w:val="21"/>
        </w:rPr>
      </w:pPr>
      <w:r>
        <w:rPr>
          <w:rFonts w:ascii="Arial" w:hAnsi="Arial" w:cs="Times New Roman"/>
          <w:b w:val="0"/>
          <w:bCs w:val="0"/>
          <w:caps w:val="0"/>
          <w:color w:val="auto"/>
          <w:kern w:val="28"/>
          <w:sz w:val="21"/>
          <w:szCs w:val="21"/>
        </w:rPr>
        <w:t xml:space="preserve">Per quanto riguarda i beni intermedi, i prezzi all’importazione crescono nel complesso dello 0,2% (invariati nell’Area euro, in aumento </w:t>
      </w:r>
      <w:r w:rsidR="00C00E9F">
        <w:rPr>
          <w:rFonts w:ascii="Arial" w:hAnsi="Arial" w:cs="Times New Roman"/>
          <w:b w:val="0"/>
          <w:bCs w:val="0"/>
          <w:caps w:val="0"/>
          <w:color w:val="auto"/>
          <w:kern w:val="28"/>
          <w:sz w:val="21"/>
          <w:szCs w:val="21"/>
        </w:rPr>
        <w:t xml:space="preserve">dello 0,4% </w:t>
      </w:r>
      <w:r>
        <w:rPr>
          <w:rFonts w:ascii="Arial" w:hAnsi="Arial" w:cs="Times New Roman"/>
          <w:b w:val="0"/>
          <w:bCs w:val="0"/>
          <w:caps w:val="0"/>
          <w:color w:val="auto"/>
          <w:kern w:val="28"/>
          <w:sz w:val="21"/>
          <w:szCs w:val="21"/>
        </w:rPr>
        <w:t>nell’Area non euro</w:t>
      </w:r>
      <w:r w:rsidRPr="004A689A">
        <w:rPr>
          <w:rFonts w:ascii="Arial" w:hAnsi="Arial" w:cs="Times New Roman"/>
          <w:b w:val="0"/>
          <w:bCs w:val="0"/>
          <w:caps w:val="0"/>
          <w:color w:val="auto"/>
          <w:kern w:val="28"/>
          <w:sz w:val="21"/>
          <w:szCs w:val="21"/>
        </w:rPr>
        <w:t>)</w:t>
      </w:r>
      <w:r>
        <w:rPr>
          <w:rFonts w:ascii="Arial" w:hAnsi="Arial" w:cs="Times New Roman"/>
          <w:b w:val="0"/>
          <w:bCs w:val="0"/>
          <w:caps w:val="0"/>
          <w:color w:val="auto"/>
          <w:kern w:val="28"/>
          <w:sz w:val="21"/>
          <w:szCs w:val="21"/>
        </w:rPr>
        <w:t>. Su base annua, i prezzi crescono del 17,8% per il mercato totale (+17,2% Area euro, +18,3%</w:t>
      </w:r>
      <w:r w:rsidRPr="004A689A">
        <w:rPr>
          <w:rFonts w:ascii="Arial" w:hAnsi="Arial" w:cs="Times New Roman"/>
          <w:b w:val="0"/>
          <w:bCs w:val="0"/>
          <w:caps w:val="0"/>
          <w:color w:val="auto"/>
          <w:kern w:val="28"/>
          <w:sz w:val="21"/>
          <w:szCs w:val="21"/>
        </w:rPr>
        <w:t xml:space="preserve"> </w:t>
      </w:r>
      <w:r>
        <w:rPr>
          <w:rFonts w:ascii="Arial" w:hAnsi="Arial" w:cs="Times New Roman"/>
          <w:b w:val="0"/>
          <w:bCs w:val="0"/>
          <w:caps w:val="0"/>
          <w:color w:val="auto"/>
          <w:kern w:val="28"/>
          <w:sz w:val="21"/>
          <w:szCs w:val="21"/>
        </w:rPr>
        <w:t>Area non euro)</w:t>
      </w:r>
      <w:r w:rsidRPr="004A689A">
        <w:rPr>
          <w:rFonts w:ascii="Arial" w:hAnsi="Arial" w:cs="Times New Roman"/>
          <w:b w:val="0"/>
          <w:bCs w:val="0"/>
          <w:caps w:val="0"/>
          <w:color w:val="auto"/>
          <w:kern w:val="28"/>
          <w:sz w:val="21"/>
          <w:szCs w:val="21"/>
        </w:rPr>
        <w:t>.</w:t>
      </w:r>
    </w:p>
    <w:p w14:paraId="6BD59225" w14:textId="1FD52801" w:rsidR="007A6B65" w:rsidRDefault="007A6B65" w:rsidP="007A6B65">
      <w:pPr>
        <w:pStyle w:val="001TitoloBolocco"/>
        <w:pBdr>
          <w:bottom w:val="none" w:sz="0" w:space="0" w:color="auto"/>
        </w:pBdr>
        <w:spacing w:after="0"/>
        <w:rPr>
          <w:rFonts w:ascii="Arial" w:hAnsi="Arial" w:cs="Times New Roman"/>
          <w:b w:val="0"/>
          <w:bCs w:val="0"/>
          <w:caps w:val="0"/>
          <w:color w:val="auto"/>
          <w:kern w:val="28"/>
          <w:sz w:val="21"/>
          <w:szCs w:val="21"/>
        </w:rPr>
      </w:pPr>
    </w:p>
    <w:p w14:paraId="6B2927D4" w14:textId="77777777" w:rsidR="007A6B65" w:rsidRPr="00E71B50" w:rsidRDefault="007A6B65" w:rsidP="007A6B65">
      <w:pPr>
        <w:pStyle w:val="001TitoloBolocco"/>
        <w:spacing w:after="120" w:line="240" w:lineRule="auto"/>
      </w:pPr>
      <w:r w:rsidRPr="00E71B50">
        <w:t>settori di attività economica</w:t>
      </w:r>
    </w:p>
    <w:p w14:paraId="24E9F04B" w14:textId="77777777" w:rsidR="007A6B65" w:rsidRPr="00E2552F" w:rsidRDefault="007A6B65" w:rsidP="007A6B65">
      <w:pPr>
        <w:jc w:val="both"/>
        <w:rPr>
          <w:rFonts w:ascii="Arial Narrow" w:hAnsi="Arial Narrow" w:cs="Arial"/>
          <w:b/>
          <w:color w:val="E42618"/>
          <w:kern w:val="28"/>
          <w:sz w:val="22"/>
          <w:szCs w:val="22"/>
        </w:rPr>
      </w:pPr>
      <w:r w:rsidRPr="00E2552F">
        <w:rPr>
          <w:rFonts w:ascii="Arial Narrow" w:hAnsi="Arial Narrow" w:cs="Arial"/>
          <w:b/>
          <w:color w:val="E42618"/>
          <w:kern w:val="28"/>
          <w:sz w:val="22"/>
          <w:szCs w:val="22"/>
        </w:rPr>
        <w:t>FIGURA 1</w:t>
      </w:r>
      <w:r>
        <w:rPr>
          <w:rFonts w:ascii="Arial Narrow" w:hAnsi="Arial Narrow" w:cs="Arial"/>
          <w:b/>
          <w:color w:val="E42618"/>
          <w:kern w:val="28"/>
          <w:sz w:val="22"/>
          <w:szCs w:val="22"/>
        </w:rPr>
        <w:t>1</w:t>
      </w:r>
      <w:r w:rsidRPr="00E2552F">
        <w:rPr>
          <w:rFonts w:ascii="Arial Narrow" w:hAnsi="Arial Narrow" w:cs="Arial"/>
          <w:b/>
          <w:color w:val="E42618"/>
          <w:kern w:val="28"/>
          <w:sz w:val="22"/>
          <w:szCs w:val="22"/>
        </w:rPr>
        <w:t xml:space="preserve">. </w:t>
      </w:r>
      <w:r w:rsidRPr="006218A7">
        <w:rPr>
          <w:rFonts w:ascii="Arial Narrow" w:hAnsi="Arial Narrow" w:cs="Arial"/>
          <w:b/>
          <w:color w:val="5F5F5F"/>
          <w:sz w:val="22"/>
          <w:szCs w:val="22"/>
        </w:rPr>
        <w:t>PREZZI ALL’IMPORTAZIONE PER SETTORE DI ATTIVITÀ ECONOMICA</w:t>
      </w:r>
    </w:p>
    <w:p w14:paraId="3DB445E3" w14:textId="78454374" w:rsidR="007A6B65" w:rsidRDefault="00B161A0" w:rsidP="007A6B65">
      <w:pPr>
        <w:pStyle w:val="Corpodeltesto1"/>
        <w:jc w:val="left"/>
        <w:rPr>
          <w:rFonts w:ascii="Arial Narrow" w:hAnsi="Arial Narrow" w:cs="Arial"/>
          <w:b w:val="0"/>
          <w:color w:val="5F5F5F"/>
          <w:kern w:val="28"/>
          <w:sz w:val="20"/>
          <w:szCs w:val="20"/>
        </w:rPr>
      </w:pPr>
      <w:r>
        <w:rPr>
          <w:rFonts w:ascii="Arial Narrow" w:hAnsi="Arial Narrow" w:cs="Arial"/>
          <w:b w:val="0"/>
          <w:color w:val="5F5F5F"/>
          <w:kern w:val="28"/>
          <w:sz w:val="20"/>
          <w:szCs w:val="20"/>
        </w:rPr>
        <w:t>Luglio</w:t>
      </w:r>
      <w:r w:rsidR="007A6B65" w:rsidRPr="00E2552F">
        <w:rPr>
          <w:rFonts w:ascii="Arial Narrow" w:hAnsi="Arial Narrow" w:cs="Arial"/>
          <w:b w:val="0"/>
          <w:color w:val="5F5F5F"/>
          <w:kern w:val="28"/>
          <w:sz w:val="20"/>
          <w:szCs w:val="20"/>
        </w:rPr>
        <w:t xml:space="preserve"> 202</w:t>
      </w:r>
      <w:r w:rsidR="007A6B65">
        <w:rPr>
          <w:rFonts w:ascii="Arial Narrow" w:hAnsi="Arial Narrow" w:cs="Arial"/>
          <w:b w:val="0"/>
          <w:color w:val="5F5F5F"/>
          <w:kern w:val="28"/>
          <w:sz w:val="20"/>
          <w:szCs w:val="20"/>
        </w:rPr>
        <w:t>2</w:t>
      </w:r>
      <w:r w:rsidR="007A6B65" w:rsidRPr="00E2552F">
        <w:rPr>
          <w:rFonts w:ascii="Arial Narrow" w:hAnsi="Arial Narrow" w:cs="Arial"/>
          <w:b w:val="0"/>
          <w:color w:val="5F5F5F"/>
          <w:kern w:val="28"/>
          <w:sz w:val="20"/>
          <w:szCs w:val="20"/>
        </w:rPr>
        <w:t>, variazioni percentuali tendenziali (base 2015=100)</w:t>
      </w:r>
    </w:p>
    <w:p w14:paraId="16163FCE" w14:textId="5C2DCB45" w:rsidR="00A84F05" w:rsidRDefault="007801C1" w:rsidP="002D3666">
      <w:pPr>
        <w:pStyle w:val="Corpodeltesto1"/>
        <w:spacing w:after="60"/>
        <w:jc w:val="left"/>
        <w:rPr>
          <w:rFonts w:ascii="Arial Narrow" w:hAnsi="Arial Narrow" w:cs="Arial"/>
          <w:b w:val="0"/>
          <w:color w:val="5F5F5F"/>
          <w:kern w:val="28"/>
          <w:sz w:val="20"/>
          <w:szCs w:val="20"/>
        </w:rPr>
      </w:pPr>
      <w:r w:rsidRPr="000916A8">
        <w:rPr>
          <w:noProof/>
          <w:shd w:val="clear" w:color="auto" w:fill="E42618"/>
        </w:rPr>
        <w:drawing>
          <wp:inline distT="0" distB="0" distL="0" distR="0" wp14:anchorId="63DC0628" wp14:editId="5DDBCCFD">
            <wp:extent cx="6660000" cy="2160000"/>
            <wp:effectExtent l="0" t="0" r="7620" b="0"/>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37388FD" w14:textId="68AB4B88" w:rsidR="00E05DFF" w:rsidRPr="00E05DFF" w:rsidRDefault="00E05DFF" w:rsidP="00E05DFF">
      <w:pPr>
        <w:jc w:val="both"/>
        <w:rPr>
          <w:rFonts w:ascii="Arial Narrow" w:hAnsi="Arial Narrow" w:cs="Arial"/>
          <w:color w:val="000000"/>
          <w:sz w:val="15"/>
          <w:szCs w:val="15"/>
        </w:rPr>
      </w:pPr>
      <w:r>
        <w:rPr>
          <w:rFonts w:ascii="Arial Narrow" w:hAnsi="Arial Narrow" w:cs="Calibri"/>
          <w:sz w:val="15"/>
          <w:szCs w:val="15"/>
        </w:rPr>
        <w:t>Codifiche</w:t>
      </w:r>
      <w:r>
        <w:rPr>
          <w:rFonts w:ascii="Arial Narrow" w:hAnsi="Arial Narrow"/>
          <w:sz w:val="15"/>
          <w:szCs w:val="15"/>
        </w:rPr>
        <w:t xml:space="preserve"> dei settori di attività economica</w:t>
      </w:r>
      <w:r w:rsidRPr="004D645B">
        <w:rPr>
          <w:rFonts w:ascii="Arial Narrow" w:hAnsi="Arial Narrow"/>
          <w:sz w:val="15"/>
          <w:szCs w:val="15"/>
        </w:rPr>
        <w:t>:</w:t>
      </w:r>
      <w:r w:rsidRPr="004D645B">
        <w:rPr>
          <w:rFonts w:ascii="Arial Narrow" w:hAnsi="Arial Narrow" w:cs="Calibri"/>
          <w:sz w:val="15"/>
          <w:szCs w:val="15"/>
        </w:rPr>
        <w:t xml:space="preserve"> </w:t>
      </w:r>
      <w:r>
        <w:rPr>
          <w:rFonts w:ascii="Arial Narrow" w:hAnsi="Arial Narrow" w:cs="Calibri"/>
          <w:sz w:val="15"/>
          <w:szCs w:val="15"/>
        </w:rPr>
        <w:t xml:space="preserve"> </w:t>
      </w:r>
      <w:r w:rsidRPr="00E05DFF">
        <w:rPr>
          <w:rFonts w:ascii="Arial Narrow" w:hAnsi="Arial Narrow" w:cs="Arial"/>
          <w:color w:val="000000"/>
          <w:sz w:val="15"/>
          <w:szCs w:val="15"/>
        </w:rPr>
        <w:t xml:space="preserve">CA - Industrie alimentari, bevande e tabacco; CB - Industrie tessili, abbigliamento, pelli e accessori; CC - Industria del legno, della carta e stampa; CD - Fabbricazione di coke e prodotti petroliferi raffinati; CE - Fabbricazione di prodotti chimici; CF - Produzione di prodotti farmaceutici di base e preparati farmaceutici; CG - Fabbricazione di articoli in gomma e materie plastiche, altri prodotti della lavorazione di minerali non metalliferi; CH - Metallurgia e fabbricazione di prodotti in metallo (esclusi macchine e impianti); CI - Fabbricazione di computer, prodotti di elettronica e ottica, apparecchi elettromedicali, apparecchi di misurazione e orologi; CJ - Fabbricazione di apparecchiature elettriche e apparecchiature per uso domestico non elettriche; CK - Fabbricazione di macchinari e attrezzature </w:t>
      </w:r>
      <w:proofErr w:type="spellStart"/>
      <w:r w:rsidRPr="00E05DFF">
        <w:rPr>
          <w:rFonts w:ascii="Arial Narrow" w:hAnsi="Arial Narrow" w:cs="Arial"/>
          <w:color w:val="000000"/>
          <w:sz w:val="15"/>
          <w:szCs w:val="15"/>
        </w:rPr>
        <w:t>n.c.a</w:t>
      </w:r>
      <w:proofErr w:type="spellEnd"/>
      <w:r w:rsidRPr="00E05DFF">
        <w:rPr>
          <w:rFonts w:ascii="Arial Narrow" w:hAnsi="Arial Narrow" w:cs="Arial"/>
          <w:color w:val="000000"/>
          <w:sz w:val="15"/>
          <w:szCs w:val="15"/>
        </w:rPr>
        <w:t>.; CL - Fabbricazione di mezzi di trasporto; CM - Altre industrie manifatturiere, riparazione e installazione di macchine e apparecchiature.</w:t>
      </w:r>
    </w:p>
    <w:p w14:paraId="6B72D06C" w14:textId="77777777" w:rsidR="00123742" w:rsidRPr="00505B4F" w:rsidRDefault="00123742" w:rsidP="00391ADB">
      <w:pPr>
        <w:jc w:val="both"/>
        <w:rPr>
          <w:rFonts w:ascii="Arial" w:hAnsi="Arial" w:cs="Arial"/>
          <w:color w:val="000000"/>
          <w:sz w:val="6"/>
          <w:szCs w:val="16"/>
        </w:rPr>
      </w:pPr>
    </w:p>
    <w:p w14:paraId="7492DEA3" w14:textId="77F4AF63" w:rsidR="00DF597A" w:rsidRDefault="00DF597A" w:rsidP="00A84F05">
      <w:pPr>
        <w:jc w:val="both"/>
        <w:rPr>
          <w:rFonts w:ascii="Arial" w:hAnsi="Arial" w:cs="Arial"/>
          <w:color w:val="000000"/>
          <w:sz w:val="21"/>
          <w:szCs w:val="21"/>
        </w:rPr>
      </w:pPr>
    </w:p>
    <w:p w14:paraId="00F95876" w14:textId="77777777" w:rsidR="00DF597A" w:rsidRDefault="00DF597A" w:rsidP="00A84F05">
      <w:pPr>
        <w:jc w:val="both"/>
        <w:rPr>
          <w:rFonts w:ascii="Arial" w:hAnsi="Arial" w:cs="Arial"/>
          <w:color w:val="000000"/>
          <w:sz w:val="21"/>
          <w:szCs w:val="21"/>
        </w:rPr>
      </w:pPr>
    </w:p>
    <w:p w14:paraId="4D2674BF" w14:textId="77777777" w:rsidR="00DF597A" w:rsidRDefault="00DF597A" w:rsidP="00A84F05">
      <w:pPr>
        <w:jc w:val="both"/>
        <w:rPr>
          <w:rFonts w:ascii="Arial" w:hAnsi="Arial" w:cs="Arial"/>
          <w:color w:val="000000"/>
          <w:sz w:val="21"/>
          <w:szCs w:val="21"/>
        </w:rPr>
      </w:pPr>
    </w:p>
    <w:p w14:paraId="0D74E919" w14:textId="77777777" w:rsidR="00435E9A" w:rsidRDefault="00435E9A" w:rsidP="00435E9A">
      <w:pPr>
        <w:jc w:val="both"/>
        <w:rPr>
          <w:rFonts w:ascii="Arial" w:hAnsi="Arial" w:cs="Arial"/>
          <w:color w:val="000000"/>
          <w:sz w:val="21"/>
          <w:szCs w:val="21"/>
        </w:rPr>
      </w:pPr>
    </w:p>
    <w:p w14:paraId="13906826" w14:textId="77777777" w:rsidR="00435E9A" w:rsidRDefault="00435E9A" w:rsidP="00435E9A">
      <w:pPr>
        <w:jc w:val="both"/>
        <w:rPr>
          <w:rFonts w:ascii="Arial" w:hAnsi="Arial" w:cs="Arial"/>
          <w:color w:val="000000"/>
          <w:sz w:val="21"/>
          <w:szCs w:val="21"/>
        </w:rPr>
      </w:pPr>
    </w:p>
    <w:p w14:paraId="0892D8CC" w14:textId="77777777" w:rsidR="007801C1" w:rsidRDefault="007801C1" w:rsidP="00D44754">
      <w:pPr>
        <w:jc w:val="both"/>
        <w:rPr>
          <w:rFonts w:ascii="Arial" w:hAnsi="Arial" w:cs="Arial"/>
          <w:color w:val="000000"/>
          <w:sz w:val="21"/>
          <w:szCs w:val="21"/>
          <w:highlight w:val="yellow"/>
        </w:rPr>
      </w:pPr>
    </w:p>
    <w:p w14:paraId="4A72A4AA" w14:textId="77777777" w:rsidR="007801C1" w:rsidRDefault="007801C1" w:rsidP="007801C1">
      <w:pPr>
        <w:jc w:val="both"/>
        <w:rPr>
          <w:rFonts w:ascii="Arial" w:hAnsi="Arial" w:cs="Arial"/>
          <w:b/>
          <w:spacing w:val="-3"/>
        </w:rPr>
      </w:pPr>
      <w:r>
        <w:rPr>
          <w:rFonts w:ascii="Arial" w:hAnsi="Arial" w:cs="Arial"/>
          <w:color w:val="000000"/>
          <w:sz w:val="21"/>
          <w:szCs w:val="21"/>
        </w:rPr>
        <w:t>I</w:t>
      </w:r>
      <w:r w:rsidRPr="005355BE">
        <w:rPr>
          <w:rFonts w:ascii="Arial" w:hAnsi="Arial" w:cs="Arial"/>
          <w:color w:val="000000"/>
          <w:sz w:val="21"/>
          <w:szCs w:val="21"/>
        </w:rPr>
        <w:t xml:space="preserve"> prezzi all’importazione segnano</w:t>
      </w:r>
      <w:r>
        <w:rPr>
          <w:rFonts w:ascii="Arial" w:hAnsi="Arial" w:cs="Arial"/>
          <w:color w:val="000000"/>
          <w:sz w:val="21"/>
          <w:szCs w:val="21"/>
        </w:rPr>
        <w:t xml:space="preserve"> incrementi</w:t>
      </w:r>
      <w:r w:rsidRPr="005355BE">
        <w:rPr>
          <w:rFonts w:ascii="Arial" w:hAnsi="Arial" w:cs="Arial"/>
          <w:color w:val="000000"/>
          <w:sz w:val="21"/>
          <w:szCs w:val="21"/>
        </w:rPr>
        <w:t xml:space="preserve"> tendenziali </w:t>
      </w:r>
      <w:r>
        <w:rPr>
          <w:rFonts w:ascii="Arial" w:hAnsi="Arial" w:cs="Arial"/>
          <w:color w:val="000000"/>
          <w:sz w:val="21"/>
          <w:szCs w:val="21"/>
        </w:rPr>
        <w:t xml:space="preserve">in tutti i settori manifatturieri, a esclusione di quello della </w:t>
      </w:r>
      <w:r w:rsidRPr="006E7675">
        <w:rPr>
          <w:rFonts w:ascii="Arial" w:hAnsi="Arial" w:cs="Arial"/>
          <w:color w:val="000000"/>
          <w:sz w:val="21"/>
          <w:szCs w:val="21"/>
        </w:rPr>
        <w:t>produzione di prodotti farmaceutici di bas</w:t>
      </w:r>
      <w:r>
        <w:rPr>
          <w:rFonts w:ascii="Arial" w:hAnsi="Arial" w:cs="Arial"/>
          <w:color w:val="000000"/>
          <w:sz w:val="21"/>
          <w:szCs w:val="21"/>
        </w:rPr>
        <w:t>e e preparati farmaceutici con riguardo all’Area non euro (-1,0</w:t>
      </w:r>
      <w:r w:rsidRPr="006E7675">
        <w:rPr>
          <w:rFonts w:ascii="Arial" w:hAnsi="Arial" w:cs="Arial"/>
          <w:color w:val="000000"/>
          <w:sz w:val="21"/>
          <w:szCs w:val="21"/>
        </w:rPr>
        <w:t>%</w:t>
      </w:r>
      <w:r>
        <w:rPr>
          <w:rFonts w:ascii="Arial" w:hAnsi="Arial" w:cs="Arial"/>
          <w:color w:val="000000"/>
          <w:sz w:val="21"/>
          <w:szCs w:val="21"/>
        </w:rPr>
        <w:t xml:space="preserve">). Gli incrementi </w:t>
      </w:r>
      <w:r w:rsidRPr="005355BE">
        <w:rPr>
          <w:rFonts w:ascii="Arial" w:hAnsi="Arial" w:cs="Arial"/>
          <w:color w:val="000000"/>
          <w:sz w:val="21"/>
          <w:szCs w:val="21"/>
        </w:rPr>
        <w:t xml:space="preserve">più elevati </w:t>
      </w:r>
      <w:r>
        <w:rPr>
          <w:rFonts w:ascii="Arial" w:hAnsi="Arial" w:cs="Arial"/>
          <w:color w:val="000000"/>
          <w:sz w:val="21"/>
          <w:szCs w:val="21"/>
        </w:rPr>
        <w:t xml:space="preserve">interessano fabbricazione di </w:t>
      </w:r>
      <w:r w:rsidRPr="005355BE">
        <w:rPr>
          <w:rFonts w:ascii="Arial" w:hAnsi="Arial" w:cs="Arial"/>
          <w:color w:val="000000"/>
          <w:sz w:val="21"/>
          <w:szCs w:val="21"/>
        </w:rPr>
        <w:t>coke e pr</w:t>
      </w:r>
      <w:r>
        <w:rPr>
          <w:rFonts w:ascii="Arial" w:hAnsi="Arial" w:cs="Arial"/>
          <w:color w:val="000000"/>
          <w:sz w:val="21"/>
          <w:szCs w:val="21"/>
        </w:rPr>
        <w:t>odotti petroliferi raffinati (+47,6% Area euro, +52,1% Area non euro), industria del legno, della carta e stampa (+31,1% Area euro, +28,5</w:t>
      </w:r>
      <w:r w:rsidRPr="006E7675">
        <w:rPr>
          <w:rFonts w:ascii="Arial" w:hAnsi="Arial" w:cs="Arial"/>
          <w:color w:val="000000"/>
          <w:sz w:val="21"/>
          <w:szCs w:val="21"/>
        </w:rPr>
        <w:t>% Area non euro),</w:t>
      </w:r>
      <w:r>
        <w:rPr>
          <w:rFonts w:ascii="Arial" w:hAnsi="Arial" w:cs="Arial"/>
          <w:color w:val="000000"/>
          <w:sz w:val="21"/>
          <w:szCs w:val="21"/>
        </w:rPr>
        <w:t xml:space="preserve"> m</w:t>
      </w:r>
      <w:r w:rsidRPr="00DA01C4">
        <w:rPr>
          <w:rFonts w:ascii="Arial" w:hAnsi="Arial" w:cs="Arial"/>
          <w:color w:val="000000"/>
          <w:sz w:val="21"/>
          <w:szCs w:val="21"/>
        </w:rPr>
        <w:t>etallurgia e fabbricazione di prodotti in metallo</w:t>
      </w:r>
      <w:r>
        <w:rPr>
          <w:rFonts w:ascii="Arial" w:hAnsi="Arial" w:cs="Arial"/>
          <w:color w:val="000000"/>
          <w:sz w:val="21"/>
          <w:szCs w:val="21"/>
        </w:rPr>
        <w:t xml:space="preserve">, </w:t>
      </w:r>
      <w:r w:rsidRPr="00DA01C4">
        <w:rPr>
          <w:rFonts w:ascii="Arial" w:hAnsi="Arial" w:cs="Arial"/>
          <w:color w:val="000000"/>
          <w:sz w:val="21"/>
          <w:szCs w:val="21"/>
        </w:rPr>
        <w:t>esclusi macchine e impianti</w:t>
      </w:r>
      <w:r>
        <w:rPr>
          <w:rFonts w:ascii="Arial" w:hAnsi="Arial" w:cs="Arial"/>
          <w:color w:val="000000"/>
          <w:sz w:val="21"/>
          <w:szCs w:val="21"/>
        </w:rPr>
        <w:t xml:space="preserve"> (+15,4% Area euro, +20,6% Area non euro), </w:t>
      </w:r>
      <w:r w:rsidRPr="006E7675">
        <w:rPr>
          <w:rFonts w:ascii="Arial" w:hAnsi="Arial" w:cs="Arial"/>
          <w:color w:val="000000"/>
          <w:sz w:val="21"/>
          <w:szCs w:val="21"/>
        </w:rPr>
        <w:t>fabbricazione di prodotti chimici (+</w:t>
      </w:r>
      <w:r>
        <w:rPr>
          <w:rFonts w:ascii="Arial" w:hAnsi="Arial" w:cs="Arial"/>
          <w:color w:val="000000"/>
          <w:sz w:val="21"/>
          <w:szCs w:val="21"/>
        </w:rPr>
        <w:t>19,3% Area euro, +20,5</w:t>
      </w:r>
      <w:r w:rsidRPr="006E7675">
        <w:rPr>
          <w:rFonts w:ascii="Arial" w:hAnsi="Arial" w:cs="Arial"/>
          <w:color w:val="000000"/>
          <w:sz w:val="21"/>
          <w:szCs w:val="21"/>
        </w:rPr>
        <w:t>% Area non euro)</w:t>
      </w:r>
      <w:r>
        <w:rPr>
          <w:rFonts w:ascii="Arial" w:hAnsi="Arial" w:cs="Arial"/>
          <w:color w:val="000000"/>
          <w:sz w:val="21"/>
          <w:szCs w:val="21"/>
        </w:rPr>
        <w:t xml:space="preserve">, </w:t>
      </w:r>
      <w:r w:rsidRPr="006E7675">
        <w:rPr>
          <w:rFonts w:ascii="Arial" w:hAnsi="Arial" w:cs="Arial"/>
          <w:color w:val="000000"/>
          <w:sz w:val="21"/>
          <w:szCs w:val="21"/>
        </w:rPr>
        <w:t>industrie al</w:t>
      </w:r>
      <w:r>
        <w:rPr>
          <w:rFonts w:ascii="Arial" w:hAnsi="Arial" w:cs="Arial"/>
          <w:color w:val="000000"/>
          <w:sz w:val="21"/>
          <w:szCs w:val="21"/>
        </w:rPr>
        <w:t>imentari, bevande e tabacco (+14</w:t>
      </w:r>
      <w:r w:rsidRPr="006E7675">
        <w:rPr>
          <w:rFonts w:ascii="Arial" w:hAnsi="Arial" w:cs="Arial"/>
          <w:color w:val="000000"/>
          <w:sz w:val="21"/>
          <w:szCs w:val="21"/>
        </w:rPr>
        <w:t>,</w:t>
      </w:r>
      <w:r>
        <w:rPr>
          <w:rFonts w:ascii="Arial" w:hAnsi="Arial" w:cs="Arial"/>
          <w:color w:val="000000"/>
          <w:sz w:val="21"/>
          <w:szCs w:val="21"/>
        </w:rPr>
        <w:t>5% Area euro, +16,3% Area non euro) e</w:t>
      </w:r>
      <w:r w:rsidRPr="006E7675">
        <w:rPr>
          <w:rFonts w:ascii="Arial" w:hAnsi="Arial" w:cs="Arial"/>
          <w:color w:val="000000"/>
          <w:sz w:val="21"/>
          <w:szCs w:val="21"/>
        </w:rPr>
        <w:t xml:space="preserve"> </w:t>
      </w:r>
      <w:r>
        <w:rPr>
          <w:rFonts w:ascii="Arial" w:hAnsi="Arial" w:cs="Arial"/>
          <w:color w:val="000000"/>
          <w:sz w:val="21"/>
          <w:szCs w:val="21"/>
        </w:rPr>
        <w:t>fabbricazione di articoli in gomma e materie plastiche, altri prodotti della lavorazione di minerali non metalliferi (+15,7% Area euro, +10,6% Area non euro).</w:t>
      </w:r>
    </w:p>
    <w:p w14:paraId="019C64F7" w14:textId="77777777" w:rsidR="00BD2C14" w:rsidRDefault="00BD2C14" w:rsidP="009B2E91">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b/>
          <w:spacing w:val="-3"/>
        </w:rPr>
        <w:sectPr w:rsidR="00BD2C14" w:rsidSect="009B2E91">
          <w:headerReference w:type="default" r:id="rId34"/>
          <w:pgSz w:w="11907" w:h="16840" w:code="9"/>
          <w:pgMar w:top="1534" w:right="851" w:bottom="680" w:left="851" w:header="567" w:footer="567" w:gutter="0"/>
          <w:cols w:space="720"/>
          <w:noEndnote/>
          <w:docGrid w:linePitch="272"/>
        </w:sectPr>
      </w:pPr>
    </w:p>
    <w:p w14:paraId="2CC81382" w14:textId="77777777" w:rsidR="00FE069A" w:rsidRDefault="00FE069A" w:rsidP="00010C7B">
      <w:pPr>
        <w:ind w:right="57"/>
        <w:jc w:val="both"/>
        <w:rPr>
          <w:rFonts w:ascii="Arial Narrow" w:hAnsi="Arial Narrow" w:cs="Arial"/>
          <w:b/>
          <w:color w:val="E42618"/>
          <w:sz w:val="22"/>
          <w:szCs w:val="22"/>
        </w:rPr>
      </w:pPr>
    </w:p>
    <w:p w14:paraId="12A12C42" w14:textId="738912B3" w:rsidR="00010C7B" w:rsidRPr="00AD4483" w:rsidRDefault="00010C7B" w:rsidP="00010C7B">
      <w:pPr>
        <w:ind w:right="57"/>
        <w:jc w:val="both"/>
        <w:rPr>
          <w:rFonts w:ascii="Arial Narrow" w:hAnsi="Arial Narrow" w:cs="Arial"/>
          <w:b/>
          <w:color w:val="5F5F5F"/>
          <w:sz w:val="22"/>
          <w:szCs w:val="22"/>
        </w:rPr>
      </w:pPr>
      <w:r w:rsidRPr="00AD4483">
        <w:rPr>
          <w:rFonts w:ascii="Arial Narrow" w:hAnsi="Arial Narrow" w:cs="Arial"/>
          <w:b/>
          <w:color w:val="E42618"/>
          <w:sz w:val="22"/>
          <w:szCs w:val="22"/>
        </w:rPr>
        <w:t xml:space="preserve">PROSPETTO </w:t>
      </w:r>
      <w:r w:rsidR="007D643E" w:rsidRPr="00AD4483">
        <w:rPr>
          <w:rFonts w:ascii="Arial Narrow" w:hAnsi="Arial Narrow" w:cs="Arial"/>
          <w:b/>
          <w:color w:val="E42618"/>
          <w:sz w:val="22"/>
          <w:szCs w:val="22"/>
        </w:rPr>
        <w:t>6</w:t>
      </w:r>
      <w:r w:rsidR="00E2032D">
        <w:rPr>
          <w:rFonts w:ascii="Arial Narrow" w:hAnsi="Arial Narrow" w:cs="Arial"/>
          <w:b/>
          <w:color w:val="E42618"/>
          <w:sz w:val="22"/>
          <w:szCs w:val="22"/>
        </w:rPr>
        <w:t>.</w:t>
      </w:r>
      <w:r w:rsidRPr="00AD4483">
        <w:rPr>
          <w:rFonts w:ascii="Arial Narrow" w:hAnsi="Arial Narrow" w:cs="Arial"/>
          <w:b/>
          <w:color w:val="5F5F5F"/>
        </w:rPr>
        <w:t xml:space="preserve"> </w:t>
      </w:r>
      <w:r w:rsidRPr="00AD4483">
        <w:rPr>
          <w:rFonts w:ascii="Arial Narrow" w:hAnsi="Arial Narrow" w:cs="Arial"/>
          <w:b/>
          <w:color w:val="5F5F5F"/>
          <w:sz w:val="22"/>
          <w:szCs w:val="22"/>
        </w:rPr>
        <w:t>ESPORTAZIONI E IMPORTAZIONI DI MERCI IN VALORE</w:t>
      </w:r>
    </w:p>
    <w:p w14:paraId="4C2BA523" w14:textId="5C266F71" w:rsidR="00010C7B" w:rsidRPr="00FF4F6A" w:rsidRDefault="00B161A0" w:rsidP="00FF4F6A">
      <w:pPr>
        <w:pStyle w:val="Corpodeltesto1"/>
        <w:spacing w:after="120"/>
        <w:jc w:val="left"/>
        <w:rPr>
          <w:rFonts w:ascii="Arial Narrow" w:hAnsi="Arial Narrow" w:cs="Arial"/>
          <w:b w:val="0"/>
          <w:color w:val="5F5F5F"/>
          <w:kern w:val="28"/>
          <w:sz w:val="20"/>
          <w:szCs w:val="20"/>
        </w:rPr>
      </w:pPr>
      <w:r>
        <w:rPr>
          <w:rFonts w:ascii="Arial Narrow" w:hAnsi="Arial Narrow" w:cs="Arial"/>
          <w:b w:val="0"/>
          <w:color w:val="5F5F5F"/>
          <w:kern w:val="28"/>
          <w:sz w:val="20"/>
          <w:szCs w:val="20"/>
        </w:rPr>
        <w:t>Luglio</w:t>
      </w:r>
      <w:r w:rsidR="00376CE6">
        <w:rPr>
          <w:rFonts w:ascii="Arial Narrow" w:hAnsi="Arial Narrow" w:cs="Arial"/>
          <w:b w:val="0"/>
          <w:color w:val="5F5F5F"/>
          <w:kern w:val="28"/>
          <w:sz w:val="20"/>
          <w:szCs w:val="20"/>
        </w:rPr>
        <w:t xml:space="preserve"> 2022</w:t>
      </w:r>
      <w:r w:rsidR="00010C7B" w:rsidRPr="00AD4483">
        <w:rPr>
          <w:rFonts w:ascii="Arial Narrow" w:hAnsi="Arial Narrow" w:cs="Arial"/>
          <w:b w:val="0"/>
          <w:color w:val="5F5F5F"/>
          <w:kern w:val="28"/>
          <w:sz w:val="20"/>
          <w:szCs w:val="20"/>
        </w:rPr>
        <w:t>, revisioni delle variazioni percentuali, differenze in punti percentuali</w:t>
      </w:r>
    </w:p>
    <w:tbl>
      <w:tblPr>
        <w:tblW w:w="10206" w:type="dxa"/>
        <w:tblBorders>
          <w:top w:val="single" w:sz="4" w:space="0" w:color="333333"/>
          <w:bottom w:val="single" w:sz="4" w:space="0" w:color="333333"/>
          <w:insideH w:val="single" w:sz="4" w:space="0" w:color="333333"/>
        </w:tblBorders>
        <w:tblLook w:val="01E0" w:firstRow="1" w:lastRow="1" w:firstColumn="1" w:lastColumn="1" w:noHBand="0" w:noVBand="0"/>
      </w:tblPr>
      <w:tblGrid>
        <w:gridCol w:w="1458"/>
        <w:gridCol w:w="1456"/>
        <w:gridCol w:w="1456"/>
        <w:gridCol w:w="1410"/>
        <w:gridCol w:w="1531"/>
        <w:gridCol w:w="1426"/>
        <w:gridCol w:w="1469"/>
      </w:tblGrid>
      <w:tr w:rsidR="0090230D" w:rsidRPr="001C01EA" w14:paraId="4D1A5551" w14:textId="77777777" w:rsidTr="00D6552B">
        <w:trPr>
          <w:trHeight w:val="255"/>
        </w:trPr>
        <w:tc>
          <w:tcPr>
            <w:tcW w:w="1458" w:type="dxa"/>
            <w:tcBorders>
              <w:bottom w:val="nil"/>
            </w:tcBorders>
            <w:shd w:val="clear" w:color="auto" w:fill="auto"/>
            <w:vAlign w:val="center"/>
          </w:tcPr>
          <w:p w14:paraId="416AFC4B" w14:textId="77777777" w:rsidR="0090230D" w:rsidRPr="001C01EA" w:rsidRDefault="0090230D" w:rsidP="00C8610A">
            <w:pPr>
              <w:spacing w:before="40" w:after="20"/>
              <w:ind w:firstLine="142"/>
              <w:jc w:val="center"/>
              <w:rPr>
                <w:rFonts w:ascii="Arial Narrow" w:hAnsi="Arial Narrow" w:cs="Arial"/>
                <w:b/>
                <w:bCs/>
                <w:sz w:val="18"/>
                <w:szCs w:val="18"/>
              </w:rPr>
            </w:pPr>
          </w:p>
        </w:tc>
        <w:tc>
          <w:tcPr>
            <w:tcW w:w="2912" w:type="dxa"/>
            <w:gridSpan w:val="2"/>
            <w:tcBorders>
              <w:bottom w:val="single" w:sz="4" w:space="0" w:color="333333"/>
            </w:tcBorders>
            <w:shd w:val="clear" w:color="auto" w:fill="E6E6E6"/>
            <w:vAlign w:val="center"/>
          </w:tcPr>
          <w:p w14:paraId="405D9526" w14:textId="77777777" w:rsidR="0090230D" w:rsidRPr="001C01EA" w:rsidRDefault="0090230D" w:rsidP="00C8610A">
            <w:pPr>
              <w:spacing w:before="40" w:after="20"/>
              <w:ind w:firstLine="142"/>
              <w:jc w:val="center"/>
              <w:rPr>
                <w:rFonts w:ascii="Arial Narrow" w:hAnsi="Arial Narrow" w:cs="Arial"/>
                <w:b/>
                <w:bCs/>
                <w:sz w:val="18"/>
                <w:szCs w:val="18"/>
              </w:rPr>
            </w:pPr>
            <w:r w:rsidRPr="001C01EA">
              <w:rPr>
                <w:rFonts w:ascii="Arial Narrow" w:hAnsi="Arial Narrow" w:cs="Arial"/>
                <w:b/>
                <w:bCs/>
                <w:sz w:val="18"/>
                <w:szCs w:val="18"/>
              </w:rPr>
              <w:t>Mondo</w:t>
            </w:r>
          </w:p>
        </w:tc>
        <w:tc>
          <w:tcPr>
            <w:tcW w:w="2941" w:type="dxa"/>
            <w:gridSpan w:val="2"/>
            <w:tcBorders>
              <w:bottom w:val="single" w:sz="4" w:space="0" w:color="333333"/>
            </w:tcBorders>
            <w:vAlign w:val="center"/>
          </w:tcPr>
          <w:p w14:paraId="612FACB8" w14:textId="6D0169D5" w:rsidR="0090230D" w:rsidRPr="001C01EA" w:rsidRDefault="0090230D" w:rsidP="00E25DE0">
            <w:pPr>
              <w:spacing w:before="40" w:after="20"/>
              <w:jc w:val="center"/>
              <w:rPr>
                <w:rFonts w:ascii="Arial Narrow" w:hAnsi="Arial Narrow" w:cs="Arial"/>
                <w:b/>
                <w:bCs/>
                <w:sz w:val="18"/>
                <w:szCs w:val="18"/>
              </w:rPr>
            </w:pPr>
            <w:r w:rsidRPr="001C01EA">
              <w:rPr>
                <w:rFonts w:ascii="Arial Narrow" w:hAnsi="Arial Narrow" w:cs="Arial"/>
                <w:b/>
                <w:bCs/>
                <w:sz w:val="18"/>
                <w:szCs w:val="18"/>
              </w:rPr>
              <w:t xml:space="preserve">Paesi </w:t>
            </w:r>
            <w:r w:rsidRPr="00C00E9F">
              <w:rPr>
                <w:rFonts w:ascii="Arial Narrow" w:hAnsi="Arial Narrow" w:cs="Arial"/>
                <w:b/>
                <w:bCs/>
                <w:sz w:val="18"/>
                <w:szCs w:val="18"/>
              </w:rPr>
              <w:t>Ue27</w:t>
            </w:r>
            <w:r w:rsidR="00E83AA1" w:rsidRPr="00C00E9F">
              <w:rPr>
                <w:rFonts w:ascii="Arial Narrow" w:hAnsi="Arial Narrow" w:cs="Arial"/>
                <w:b/>
                <w:bCs/>
                <w:sz w:val="18"/>
                <w:szCs w:val="18"/>
              </w:rPr>
              <w:t xml:space="preserve"> </w:t>
            </w:r>
            <w:r w:rsidR="00A63790" w:rsidRPr="00C00E9F">
              <w:rPr>
                <w:rFonts w:ascii="Arial Narrow" w:hAnsi="Arial Narrow" w:cs="Arial"/>
                <w:bCs/>
                <w:sz w:val="16"/>
                <w:szCs w:val="16"/>
              </w:rPr>
              <w:t>(a)</w:t>
            </w:r>
          </w:p>
        </w:tc>
        <w:tc>
          <w:tcPr>
            <w:tcW w:w="2895" w:type="dxa"/>
            <w:gridSpan w:val="2"/>
            <w:tcBorders>
              <w:bottom w:val="single" w:sz="4" w:space="0" w:color="333333"/>
            </w:tcBorders>
            <w:shd w:val="clear" w:color="auto" w:fill="E6E6E6"/>
            <w:vAlign w:val="center"/>
          </w:tcPr>
          <w:p w14:paraId="7D01E77B" w14:textId="5CB4B9F3" w:rsidR="0090230D" w:rsidRPr="001C01EA" w:rsidRDefault="0090230D" w:rsidP="00677B9D">
            <w:pPr>
              <w:spacing w:before="40" w:after="20"/>
              <w:jc w:val="center"/>
              <w:rPr>
                <w:rFonts w:ascii="Arial Narrow" w:hAnsi="Arial Narrow" w:cs="Arial"/>
                <w:b/>
                <w:bCs/>
                <w:sz w:val="18"/>
                <w:szCs w:val="18"/>
              </w:rPr>
            </w:pPr>
            <w:r w:rsidRPr="001C01EA">
              <w:rPr>
                <w:rFonts w:ascii="Arial Narrow" w:hAnsi="Arial Narrow" w:cs="Arial"/>
                <w:b/>
                <w:bCs/>
                <w:sz w:val="18"/>
                <w:szCs w:val="18"/>
              </w:rPr>
              <w:t>Paesi extra Ue</w:t>
            </w:r>
            <w:r>
              <w:rPr>
                <w:rFonts w:ascii="Arial Narrow" w:hAnsi="Arial Narrow" w:cs="Arial"/>
                <w:b/>
                <w:bCs/>
                <w:sz w:val="18"/>
                <w:szCs w:val="18"/>
              </w:rPr>
              <w:t>27</w:t>
            </w:r>
          </w:p>
        </w:tc>
      </w:tr>
      <w:tr w:rsidR="0090230D" w:rsidRPr="001C01EA" w14:paraId="2C5C6C71" w14:textId="77777777" w:rsidTr="00D6552B">
        <w:trPr>
          <w:trHeight w:val="255"/>
        </w:trPr>
        <w:tc>
          <w:tcPr>
            <w:tcW w:w="1458" w:type="dxa"/>
            <w:tcBorders>
              <w:top w:val="nil"/>
              <w:bottom w:val="nil"/>
            </w:tcBorders>
            <w:shd w:val="clear" w:color="auto" w:fill="auto"/>
            <w:vAlign w:val="center"/>
          </w:tcPr>
          <w:p w14:paraId="0647D32E" w14:textId="77777777" w:rsidR="0090230D" w:rsidRPr="001C01EA" w:rsidRDefault="0090230D" w:rsidP="00C8610A">
            <w:pPr>
              <w:spacing w:before="40" w:after="20"/>
              <w:jc w:val="center"/>
              <w:rPr>
                <w:rFonts w:ascii="Arial Narrow" w:hAnsi="Arial Narrow" w:cs="Arial"/>
                <w:bCs/>
                <w:sz w:val="18"/>
                <w:szCs w:val="18"/>
              </w:rPr>
            </w:pPr>
          </w:p>
        </w:tc>
        <w:tc>
          <w:tcPr>
            <w:tcW w:w="1456" w:type="dxa"/>
            <w:shd w:val="clear" w:color="auto" w:fill="E6E6E6"/>
            <w:vAlign w:val="center"/>
          </w:tcPr>
          <w:p w14:paraId="0C7D3B85" w14:textId="77777777" w:rsidR="0090230D" w:rsidRPr="001C01EA" w:rsidRDefault="0090230D" w:rsidP="00C8610A">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456" w:type="dxa"/>
            <w:vAlign w:val="center"/>
          </w:tcPr>
          <w:p w14:paraId="3B610C72" w14:textId="77777777" w:rsidR="0090230D" w:rsidRPr="001C01EA" w:rsidRDefault="0090230D" w:rsidP="00C8610A">
            <w:pPr>
              <w:spacing w:before="40" w:after="20"/>
              <w:jc w:val="center"/>
              <w:rPr>
                <w:rFonts w:ascii="Arial Narrow" w:hAnsi="Arial Narrow" w:cs="Arial"/>
                <w:bCs/>
                <w:sz w:val="18"/>
                <w:szCs w:val="18"/>
              </w:rPr>
            </w:pPr>
            <w:r>
              <w:rPr>
                <w:rFonts w:ascii="Arial Narrow" w:hAnsi="Arial Narrow" w:cs="Arial"/>
                <w:bCs/>
                <w:sz w:val="18"/>
                <w:szCs w:val="18"/>
              </w:rPr>
              <w:t>Congiunturali</w:t>
            </w:r>
          </w:p>
        </w:tc>
        <w:tc>
          <w:tcPr>
            <w:tcW w:w="1410" w:type="dxa"/>
            <w:shd w:val="clear" w:color="auto" w:fill="E6E6E6"/>
            <w:vAlign w:val="center"/>
          </w:tcPr>
          <w:p w14:paraId="152754EC" w14:textId="77777777" w:rsidR="0090230D" w:rsidRPr="001C01EA" w:rsidRDefault="0090230D" w:rsidP="00C8610A">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531" w:type="dxa"/>
            <w:vAlign w:val="center"/>
          </w:tcPr>
          <w:p w14:paraId="20F19D9B" w14:textId="77777777" w:rsidR="0090230D" w:rsidRPr="001C01EA" w:rsidRDefault="0090230D" w:rsidP="00C8610A">
            <w:pPr>
              <w:spacing w:before="40" w:after="20"/>
              <w:jc w:val="center"/>
              <w:rPr>
                <w:rFonts w:ascii="Arial Narrow" w:hAnsi="Arial Narrow" w:cs="Arial"/>
                <w:bCs/>
                <w:sz w:val="18"/>
                <w:szCs w:val="18"/>
              </w:rPr>
            </w:pPr>
            <w:r>
              <w:rPr>
                <w:rFonts w:ascii="Arial Narrow" w:hAnsi="Arial Narrow" w:cs="Arial"/>
                <w:bCs/>
                <w:sz w:val="18"/>
                <w:szCs w:val="18"/>
              </w:rPr>
              <w:t>Congiunturali</w:t>
            </w:r>
          </w:p>
        </w:tc>
        <w:tc>
          <w:tcPr>
            <w:tcW w:w="1426" w:type="dxa"/>
            <w:shd w:val="clear" w:color="auto" w:fill="E6E6E6"/>
            <w:vAlign w:val="center"/>
          </w:tcPr>
          <w:p w14:paraId="7037FBCD" w14:textId="77777777" w:rsidR="0090230D" w:rsidRPr="001C01EA" w:rsidRDefault="0090230D" w:rsidP="00C8610A">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469" w:type="dxa"/>
            <w:vAlign w:val="center"/>
          </w:tcPr>
          <w:p w14:paraId="2EC3E607" w14:textId="77777777" w:rsidR="0090230D" w:rsidRPr="001C01EA" w:rsidRDefault="0090230D" w:rsidP="00C8610A">
            <w:pPr>
              <w:spacing w:before="40" w:after="20"/>
              <w:jc w:val="center"/>
              <w:rPr>
                <w:rFonts w:ascii="Arial Narrow" w:hAnsi="Arial Narrow" w:cs="Arial"/>
                <w:bCs/>
                <w:sz w:val="18"/>
                <w:szCs w:val="18"/>
              </w:rPr>
            </w:pPr>
            <w:r>
              <w:rPr>
                <w:rFonts w:ascii="Arial Narrow" w:hAnsi="Arial Narrow" w:cs="Arial"/>
                <w:bCs/>
                <w:sz w:val="18"/>
                <w:szCs w:val="18"/>
              </w:rPr>
              <w:t>Congiunturali</w:t>
            </w:r>
          </w:p>
        </w:tc>
      </w:tr>
      <w:tr w:rsidR="0090230D" w:rsidRPr="001C01EA" w14:paraId="024E6F6A" w14:textId="77777777" w:rsidTr="00D6552B">
        <w:trPr>
          <w:trHeight w:val="255"/>
        </w:trPr>
        <w:tc>
          <w:tcPr>
            <w:tcW w:w="10206" w:type="dxa"/>
            <w:gridSpan w:val="7"/>
            <w:shd w:val="clear" w:color="auto" w:fill="FFFFFF"/>
            <w:vAlign w:val="center"/>
          </w:tcPr>
          <w:p w14:paraId="70B8F2FB" w14:textId="343889CA" w:rsidR="0090230D" w:rsidRPr="00010C7B" w:rsidRDefault="00B161A0" w:rsidP="00C8610A">
            <w:pPr>
              <w:spacing w:before="40" w:after="20"/>
              <w:jc w:val="center"/>
              <w:rPr>
                <w:rFonts w:ascii="Arial Narrow" w:hAnsi="Arial Narrow" w:cs="Arial Narrow"/>
                <w:b/>
                <w:color w:val="000000"/>
                <w:sz w:val="18"/>
                <w:szCs w:val="18"/>
              </w:rPr>
            </w:pPr>
            <w:r>
              <w:rPr>
                <w:rFonts w:ascii="Arial Narrow" w:hAnsi="Arial Narrow" w:cs="Arial Narrow"/>
                <w:b/>
                <w:color w:val="000000"/>
                <w:sz w:val="18"/>
                <w:szCs w:val="18"/>
              </w:rPr>
              <w:t>Luglio</w:t>
            </w:r>
            <w:r w:rsidR="00760BF5">
              <w:rPr>
                <w:rFonts w:ascii="Arial Narrow" w:hAnsi="Arial Narrow" w:cs="Arial Narrow"/>
                <w:b/>
                <w:color w:val="000000"/>
                <w:sz w:val="18"/>
                <w:szCs w:val="18"/>
              </w:rPr>
              <w:t xml:space="preserve"> </w:t>
            </w:r>
            <w:r w:rsidR="0090230D">
              <w:rPr>
                <w:rFonts w:ascii="Arial Narrow" w:hAnsi="Arial Narrow" w:cs="Arial Narrow"/>
                <w:b/>
                <w:color w:val="000000"/>
                <w:sz w:val="18"/>
                <w:szCs w:val="18"/>
              </w:rPr>
              <w:t>202</w:t>
            </w:r>
            <w:r w:rsidR="00376CE6">
              <w:rPr>
                <w:rFonts w:ascii="Arial Narrow" w:hAnsi="Arial Narrow" w:cs="Arial Narrow"/>
                <w:b/>
                <w:color w:val="000000"/>
                <w:sz w:val="18"/>
                <w:szCs w:val="18"/>
              </w:rPr>
              <w:t>2</w:t>
            </w:r>
          </w:p>
        </w:tc>
      </w:tr>
      <w:tr w:rsidR="002662C0" w:rsidRPr="008C0651" w14:paraId="5BA71B94" w14:textId="77777777" w:rsidTr="00D6552B">
        <w:trPr>
          <w:trHeight w:val="255"/>
        </w:trPr>
        <w:tc>
          <w:tcPr>
            <w:tcW w:w="1458" w:type="dxa"/>
            <w:shd w:val="clear" w:color="auto" w:fill="E6E6E6"/>
            <w:vAlign w:val="center"/>
          </w:tcPr>
          <w:p w14:paraId="1614DC19" w14:textId="77777777" w:rsidR="002662C0" w:rsidRPr="00C479EF" w:rsidRDefault="002662C0" w:rsidP="002662C0">
            <w:pPr>
              <w:spacing w:before="40" w:after="20"/>
              <w:jc w:val="center"/>
              <w:rPr>
                <w:rFonts w:ascii="Arial Narrow" w:hAnsi="Arial Narrow" w:cs="Arial"/>
                <w:bCs/>
                <w:sz w:val="18"/>
                <w:szCs w:val="18"/>
              </w:rPr>
            </w:pPr>
            <w:r w:rsidRPr="00C479EF">
              <w:rPr>
                <w:rFonts w:ascii="Arial Narrow" w:hAnsi="Arial Narrow" w:cs="Arial"/>
                <w:bCs/>
                <w:sz w:val="18"/>
                <w:szCs w:val="18"/>
              </w:rPr>
              <w:t>Export</w:t>
            </w:r>
          </w:p>
        </w:tc>
        <w:tc>
          <w:tcPr>
            <w:tcW w:w="1456" w:type="dxa"/>
            <w:shd w:val="clear" w:color="auto" w:fill="E6E6E6"/>
            <w:vAlign w:val="center"/>
          </w:tcPr>
          <w:p w14:paraId="394C7377" w14:textId="77777777" w:rsidR="002662C0" w:rsidRPr="00C479EF" w:rsidRDefault="002662C0" w:rsidP="002662C0">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56" w:type="dxa"/>
            <w:vAlign w:val="center"/>
          </w:tcPr>
          <w:p w14:paraId="44F6788B" w14:textId="77777777" w:rsidR="002662C0" w:rsidRPr="00C479EF" w:rsidRDefault="002662C0" w:rsidP="002662C0">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10" w:type="dxa"/>
            <w:shd w:val="clear" w:color="auto" w:fill="E6E6E6"/>
            <w:vAlign w:val="center"/>
          </w:tcPr>
          <w:p w14:paraId="3E7B3DF2" w14:textId="77777777" w:rsidR="002662C0" w:rsidRPr="00C479EF" w:rsidRDefault="002662C0" w:rsidP="002662C0">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531" w:type="dxa"/>
            <w:vAlign w:val="center"/>
          </w:tcPr>
          <w:p w14:paraId="19043167" w14:textId="77777777" w:rsidR="002662C0" w:rsidRPr="00C479EF" w:rsidRDefault="002662C0" w:rsidP="002662C0">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26" w:type="dxa"/>
            <w:shd w:val="clear" w:color="auto" w:fill="E6E6E6"/>
            <w:vAlign w:val="center"/>
          </w:tcPr>
          <w:p w14:paraId="50E7F0A4" w14:textId="2ED15814" w:rsidR="002662C0" w:rsidRDefault="002662C0" w:rsidP="002662C0">
            <w:pPr>
              <w:jc w:val="center"/>
              <w:rPr>
                <w:rFonts w:ascii="Arial Narrow" w:hAnsi="Arial Narrow"/>
                <w:color w:val="000000"/>
                <w:sz w:val="18"/>
                <w:szCs w:val="18"/>
              </w:rPr>
            </w:pPr>
            <w:r>
              <w:rPr>
                <w:rFonts w:ascii="Arial Narrow" w:hAnsi="Arial Narrow"/>
                <w:color w:val="000000"/>
                <w:sz w:val="18"/>
                <w:szCs w:val="18"/>
              </w:rPr>
              <w:t>0,</w:t>
            </w:r>
            <w:r w:rsidR="009C4D09">
              <w:rPr>
                <w:rFonts w:ascii="Arial Narrow" w:hAnsi="Arial Narrow"/>
                <w:color w:val="000000"/>
                <w:sz w:val="18"/>
                <w:szCs w:val="18"/>
              </w:rPr>
              <w:t>0</w:t>
            </w:r>
          </w:p>
        </w:tc>
        <w:tc>
          <w:tcPr>
            <w:tcW w:w="1469" w:type="dxa"/>
            <w:vAlign w:val="center"/>
          </w:tcPr>
          <w:p w14:paraId="6D07B491" w14:textId="74F3D49C" w:rsidR="002662C0" w:rsidRDefault="009C4D09" w:rsidP="002662C0">
            <w:pPr>
              <w:jc w:val="center"/>
              <w:rPr>
                <w:rFonts w:ascii="Arial Narrow" w:hAnsi="Arial Narrow"/>
                <w:color w:val="000000"/>
                <w:sz w:val="18"/>
                <w:szCs w:val="18"/>
              </w:rPr>
            </w:pPr>
            <w:r>
              <w:rPr>
                <w:rFonts w:ascii="Arial Narrow" w:hAnsi="Arial Narrow"/>
                <w:color w:val="000000"/>
                <w:sz w:val="18"/>
                <w:szCs w:val="18"/>
              </w:rPr>
              <w:t>0,0</w:t>
            </w:r>
          </w:p>
        </w:tc>
      </w:tr>
      <w:tr w:rsidR="002662C0" w:rsidRPr="008C0651" w14:paraId="18CA9FA4" w14:textId="77777777" w:rsidTr="00D6552B">
        <w:trPr>
          <w:trHeight w:val="255"/>
        </w:trPr>
        <w:tc>
          <w:tcPr>
            <w:tcW w:w="1458" w:type="dxa"/>
            <w:shd w:val="clear" w:color="auto" w:fill="E6E6E6"/>
            <w:vAlign w:val="center"/>
          </w:tcPr>
          <w:p w14:paraId="34D9F52D" w14:textId="77777777" w:rsidR="002662C0" w:rsidRPr="00C479EF" w:rsidRDefault="002662C0" w:rsidP="002662C0">
            <w:pPr>
              <w:spacing w:before="40" w:after="20"/>
              <w:jc w:val="center"/>
              <w:rPr>
                <w:rFonts w:ascii="Arial Narrow" w:hAnsi="Arial Narrow" w:cs="Arial"/>
                <w:bCs/>
                <w:sz w:val="18"/>
                <w:szCs w:val="18"/>
              </w:rPr>
            </w:pPr>
            <w:r w:rsidRPr="00C479EF">
              <w:rPr>
                <w:rFonts w:ascii="Arial Narrow" w:hAnsi="Arial Narrow" w:cs="Arial"/>
                <w:bCs/>
                <w:sz w:val="18"/>
                <w:szCs w:val="18"/>
              </w:rPr>
              <w:t>Import</w:t>
            </w:r>
          </w:p>
        </w:tc>
        <w:tc>
          <w:tcPr>
            <w:tcW w:w="1456" w:type="dxa"/>
            <w:shd w:val="clear" w:color="auto" w:fill="E6E6E6"/>
            <w:vAlign w:val="center"/>
          </w:tcPr>
          <w:p w14:paraId="289F9538" w14:textId="77777777" w:rsidR="002662C0" w:rsidRPr="00C479EF" w:rsidRDefault="002662C0" w:rsidP="002662C0">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56" w:type="dxa"/>
            <w:vAlign w:val="center"/>
          </w:tcPr>
          <w:p w14:paraId="0D2C3EF8" w14:textId="77777777" w:rsidR="002662C0" w:rsidRPr="00C479EF" w:rsidRDefault="002662C0" w:rsidP="002662C0">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10" w:type="dxa"/>
            <w:shd w:val="clear" w:color="auto" w:fill="E6E6E6"/>
            <w:vAlign w:val="center"/>
          </w:tcPr>
          <w:p w14:paraId="7578575A" w14:textId="77777777" w:rsidR="002662C0" w:rsidRPr="00C479EF" w:rsidRDefault="002662C0" w:rsidP="002662C0">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531" w:type="dxa"/>
            <w:vAlign w:val="center"/>
          </w:tcPr>
          <w:p w14:paraId="24BC1ECB" w14:textId="77777777" w:rsidR="002662C0" w:rsidRPr="00C479EF" w:rsidRDefault="002662C0" w:rsidP="002662C0">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26" w:type="dxa"/>
            <w:shd w:val="clear" w:color="auto" w:fill="E6E6E6"/>
            <w:vAlign w:val="center"/>
          </w:tcPr>
          <w:p w14:paraId="5FF61867" w14:textId="53203CFA" w:rsidR="002662C0" w:rsidRDefault="002662C0" w:rsidP="002662C0">
            <w:pPr>
              <w:jc w:val="center"/>
              <w:rPr>
                <w:rFonts w:ascii="Arial Narrow" w:hAnsi="Arial Narrow"/>
                <w:color w:val="000000"/>
                <w:sz w:val="18"/>
                <w:szCs w:val="18"/>
              </w:rPr>
            </w:pPr>
            <w:r>
              <w:rPr>
                <w:rFonts w:ascii="Arial Narrow" w:hAnsi="Arial Narrow"/>
                <w:color w:val="000000"/>
                <w:sz w:val="18"/>
                <w:szCs w:val="18"/>
              </w:rPr>
              <w:t>0,0</w:t>
            </w:r>
          </w:p>
        </w:tc>
        <w:tc>
          <w:tcPr>
            <w:tcW w:w="1469" w:type="dxa"/>
            <w:vAlign w:val="center"/>
          </w:tcPr>
          <w:p w14:paraId="7F130C45" w14:textId="67AA822B" w:rsidR="002662C0" w:rsidRDefault="002662C0" w:rsidP="002662C0">
            <w:pPr>
              <w:jc w:val="center"/>
              <w:rPr>
                <w:rFonts w:ascii="Arial Narrow" w:hAnsi="Arial Narrow"/>
                <w:color w:val="000000"/>
                <w:sz w:val="18"/>
                <w:szCs w:val="18"/>
              </w:rPr>
            </w:pPr>
            <w:r>
              <w:rPr>
                <w:rFonts w:ascii="Arial Narrow" w:hAnsi="Arial Narrow"/>
                <w:color w:val="000000"/>
                <w:sz w:val="18"/>
                <w:szCs w:val="18"/>
              </w:rPr>
              <w:t>0,0</w:t>
            </w:r>
          </w:p>
        </w:tc>
      </w:tr>
      <w:tr w:rsidR="0090230D" w:rsidRPr="001C01EA" w14:paraId="30C2BF91" w14:textId="77777777" w:rsidTr="00D6552B">
        <w:trPr>
          <w:trHeight w:val="255"/>
        </w:trPr>
        <w:tc>
          <w:tcPr>
            <w:tcW w:w="10206" w:type="dxa"/>
            <w:gridSpan w:val="7"/>
            <w:shd w:val="clear" w:color="auto" w:fill="FFFFFF"/>
            <w:vAlign w:val="center"/>
          </w:tcPr>
          <w:p w14:paraId="305B11B3" w14:textId="7B058507" w:rsidR="0090230D" w:rsidRPr="00010C7B" w:rsidRDefault="00B161A0" w:rsidP="00A63790">
            <w:pPr>
              <w:spacing w:before="40" w:after="20"/>
              <w:jc w:val="center"/>
              <w:rPr>
                <w:rFonts w:ascii="Arial Narrow" w:hAnsi="Arial Narrow" w:cs="Arial Narrow"/>
                <w:b/>
                <w:color w:val="000000"/>
                <w:sz w:val="18"/>
                <w:szCs w:val="18"/>
              </w:rPr>
            </w:pPr>
            <w:r>
              <w:rPr>
                <w:rFonts w:ascii="Arial Narrow" w:hAnsi="Arial Narrow" w:cs="Arial Narrow"/>
                <w:b/>
                <w:color w:val="000000"/>
                <w:sz w:val="18"/>
                <w:szCs w:val="18"/>
              </w:rPr>
              <w:t>Giugno</w:t>
            </w:r>
            <w:r w:rsidR="0090230D">
              <w:rPr>
                <w:rFonts w:ascii="Arial Narrow" w:hAnsi="Arial Narrow" w:cs="Arial Narrow"/>
                <w:b/>
                <w:color w:val="000000"/>
                <w:sz w:val="18"/>
                <w:szCs w:val="18"/>
              </w:rPr>
              <w:t xml:space="preserve"> 202</w:t>
            </w:r>
            <w:r w:rsidR="00CB06AD">
              <w:rPr>
                <w:rFonts w:ascii="Arial Narrow" w:hAnsi="Arial Narrow" w:cs="Arial Narrow"/>
                <w:b/>
                <w:color w:val="000000"/>
                <w:sz w:val="18"/>
                <w:szCs w:val="18"/>
              </w:rPr>
              <w:t>2</w:t>
            </w:r>
            <w:r w:rsidR="00E25DE0">
              <w:rPr>
                <w:rFonts w:ascii="Arial Narrow" w:hAnsi="Arial Narrow" w:cs="Arial Narrow"/>
                <w:b/>
                <w:color w:val="000000"/>
                <w:sz w:val="18"/>
                <w:szCs w:val="18"/>
              </w:rPr>
              <w:t xml:space="preserve"> </w:t>
            </w:r>
          </w:p>
        </w:tc>
      </w:tr>
      <w:tr w:rsidR="002662C0" w:rsidRPr="008C0651" w14:paraId="39380601" w14:textId="77777777" w:rsidTr="00D6552B">
        <w:trPr>
          <w:trHeight w:val="255"/>
        </w:trPr>
        <w:tc>
          <w:tcPr>
            <w:tcW w:w="1458" w:type="dxa"/>
            <w:shd w:val="clear" w:color="auto" w:fill="E6E6E6"/>
            <w:vAlign w:val="center"/>
          </w:tcPr>
          <w:p w14:paraId="3A3BF8B7" w14:textId="77777777" w:rsidR="002662C0" w:rsidRPr="00C479EF" w:rsidRDefault="002662C0" w:rsidP="002662C0">
            <w:pPr>
              <w:spacing w:before="40" w:after="20"/>
              <w:jc w:val="center"/>
              <w:rPr>
                <w:rFonts w:ascii="Arial Narrow" w:hAnsi="Arial Narrow" w:cs="Arial"/>
                <w:bCs/>
                <w:sz w:val="18"/>
                <w:szCs w:val="18"/>
              </w:rPr>
            </w:pPr>
            <w:r w:rsidRPr="00C479EF">
              <w:rPr>
                <w:rFonts w:ascii="Arial Narrow" w:hAnsi="Arial Narrow" w:cs="Arial"/>
                <w:bCs/>
                <w:sz w:val="18"/>
                <w:szCs w:val="18"/>
              </w:rPr>
              <w:t>Export</w:t>
            </w:r>
          </w:p>
        </w:tc>
        <w:tc>
          <w:tcPr>
            <w:tcW w:w="1456" w:type="dxa"/>
            <w:shd w:val="clear" w:color="auto" w:fill="E6E6E6"/>
            <w:vAlign w:val="center"/>
          </w:tcPr>
          <w:p w14:paraId="29C1528F" w14:textId="517EC2B8" w:rsidR="002662C0" w:rsidRDefault="002662C0" w:rsidP="002662C0">
            <w:pPr>
              <w:jc w:val="center"/>
              <w:rPr>
                <w:rFonts w:ascii="Arial Narrow" w:hAnsi="Arial Narrow"/>
                <w:color w:val="000000"/>
                <w:sz w:val="18"/>
                <w:szCs w:val="18"/>
              </w:rPr>
            </w:pPr>
            <w:r>
              <w:rPr>
                <w:rFonts w:ascii="Arial Narrow" w:hAnsi="Arial Narrow"/>
                <w:color w:val="000000"/>
                <w:sz w:val="18"/>
                <w:szCs w:val="18"/>
              </w:rPr>
              <w:t>+0,4</w:t>
            </w:r>
          </w:p>
        </w:tc>
        <w:tc>
          <w:tcPr>
            <w:tcW w:w="1456" w:type="dxa"/>
            <w:vAlign w:val="center"/>
          </w:tcPr>
          <w:p w14:paraId="7888F5C3" w14:textId="4C281082" w:rsidR="002662C0" w:rsidRDefault="002662C0" w:rsidP="002662C0">
            <w:pPr>
              <w:jc w:val="center"/>
              <w:rPr>
                <w:rFonts w:ascii="Arial Narrow" w:hAnsi="Arial Narrow"/>
                <w:color w:val="000000"/>
                <w:sz w:val="18"/>
                <w:szCs w:val="18"/>
              </w:rPr>
            </w:pPr>
            <w:r>
              <w:rPr>
                <w:rFonts w:ascii="Arial Narrow" w:hAnsi="Arial Narrow"/>
                <w:color w:val="000000"/>
                <w:sz w:val="18"/>
                <w:szCs w:val="18"/>
              </w:rPr>
              <w:t>+0,2</w:t>
            </w:r>
          </w:p>
        </w:tc>
        <w:tc>
          <w:tcPr>
            <w:tcW w:w="1410" w:type="dxa"/>
            <w:shd w:val="clear" w:color="auto" w:fill="E6E6E6"/>
            <w:vAlign w:val="center"/>
          </w:tcPr>
          <w:p w14:paraId="3949346C" w14:textId="128E24E5" w:rsidR="002662C0" w:rsidRDefault="002662C0" w:rsidP="002662C0">
            <w:pPr>
              <w:jc w:val="center"/>
              <w:rPr>
                <w:rFonts w:ascii="Arial Narrow" w:hAnsi="Arial Narrow"/>
                <w:color w:val="000000"/>
                <w:sz w:val="18"/>
                <w:szCs w:val="18"/>
              </w:rPr>
            </w:pPr>
            <w:r>
              <w:rPr>
                <w:rFonts w:ascii="Arial Narrow" w:hAnsi="Arial Narrow"/>
                <w:color w:val="000000"/>
                <w:sz w:val="18"/>
                <w:szCs w:val="18"/>
              </w:rPr>
              <w:t>+0,8</w:t>
            </w:r>
          </w:p>
        </w:tc>
        <w:tc>
          <w:tcPr>
            <w:tcW w:w="1531" w:type="dxa"/>
            <w:vAlign w:val="center"/>
          </w:tcPr>
          <w:p w14:paraId="486CF35E" w14:textId="52605C8B" w:rsidR="002662C0" w:rsidRDefault="002662C0" w:rsidP="002662C0">
            <w:pPr>
              <w:jc w:val="center"/>
              <w:rPr>
                <w:rFonts w:ascii="Arial Narrow" w:hAnsi="Arial Narrow"/>
                <w:color w:val="000000"/>
                <w:sz w:val="18"/>
                <w:szCs w:val="18"/>
              </w:rPr>
            </w:pPr>
            <w:r>
              <w:rPr>
                <w:rFonts w:ascii="Arial Narrow" w:hAnsi="Arial Narrow"/>
                <w:color w:val="000000"/>
                <w:sz w:val="18"/>
                <w:szCs w:val="18"/>
              </w:rPr>
              <w:t>+0,3</w:t>
            </w:r>
          </w:p>
        </w:tc>
        <w:tc>
          <w:tcPr>
            <w:tcW w:w="1426" w:type="dxa"/>
            <w:shd w:val="clear" w:color="auto" w:fill="E6E6E6"/>
            <w:vAlign w:val="center"/>
          </w:tcPr>
          <w:p w14:paraId="16C138B7" w14:textId="6EFFC168" w:rsidR="002662C0" w:rsidRDefault="002662C0" w:rsidP="002662C0">
            <w:pPr>
              <w:jc w:val="center"/>
              <w:rPr>
                <w:rFonts w:ascii="Arial Narrow" w:hAnsi="Arial Narrow"/>
                <w:color w:val="000000"/>
                <w:sz w:val="18"/>
                <w:szCs w:val="18"/>
              </w:rPr>
            </w:pPr>
            <w:r>
              <w:rPr>
                <w:rFonts w:ascii="Arial Narrow" w:hAnsi="Arial Narrow"/>
                <w:color w:val="000000"/>
                <w:sz w:val="18"/>
                <w:szCs w:val="18"/>
              </w:rPr>
              <w:t>-</w:t>
            </w:r>
          </w:p>
        </w:tc>
        <w:tc>
          <w:tcPr>
            <w:tcW w:w="1469" w:type="dxa"/>
            <w:vAlign w:val="center"/>
          </w:tcPr>
          <w:p w14:paraId="0DA9769C" w14:textId="5841B18D" w:rsidR="002662C0" w:rsidRDefault="002662C0" w:rsidP="002662C0">
            <w:pPr>
              <w:jc w:val="center"/>
              <w:rPr>
                <w:rFonts w:ascii="Arial Narrow" w:hAnsi="Arial Narrow"/>
                <w:color w:val="000000"/>
                <w:sz w:val="18"/>
                <w:szCs w:val="18"/>
              </w:rPr>
            </w:pPr>
            <w:r>
              <w:rPr>
                <w:rFonts w:ascii="Arial Narrow" w:hAnsi="Arial Narrow"/>
                <w:color w:val="000000"/>
                <w:sz w:val="18"/>
                <w:szCs w:val="18"/>
              </w:rPr>
              <w:t>0,0</w:t>
            </w:r>
          </w:p>
        </w:tc>
      </w:tr>
      <w:tr w:rsidR="002662C0" w:rsidRPr="008C0651" w14:paraId="1FE9FEC0" w14:textId="77777777" w:rsidTr="00D6552B">
        <w:trPr>
          <w:trHeight w:val="255"/>
        </w:trPr>
        <w:tc>
          <w:tcPr>
            <w:tcW w:w="1458" w:type="dxa"/>
            <w:shd w:val="clear" w:color="auto" w:fill="E6E6E6"/>
            <w:vAlign w:val="center"/>
          </w:tcPr>
          <w:p w14:paraId="354B2B35" w14:textId="77777777" w:rsidR="002662C0" w:rsidRPr="00C479EF" w:rsidRDefault="002662C0" w:rsidP="002662C0">
            <w:pPr>
              <w:spacing w:before="40" w:after="20"/>
              <w:jc w:val="center"/>
              <w:rPr>
                <w:rFonts w:ascii="Arial Narrow" w:hAnsi="Arial Narrow" w:cs="Arial"/>
                <w:bCs/>
                <w:sz w:val="18"/>
                <w:szCs w:val="18"/>
              </w:rPr>
            </w:pPr>
            <w:r w:rsidRPr="00C479EF">
              <w:rPr>
                <w:rFonts w:ascii="Arial Narrow" w:hAnsi="Arial Narrow" w:cs="Arial"/>
                <w:bCs/>
                <w:sz w:val="18"/>
                <w:szCs w:val="18"/>
              </w:rPr>
              <w:t>Import</w:t>
            </w:r>
          </w:p>
        </w:tc>
        <w:tc>
          <w:tcPr>
            <w:tcW w:w="1456" w:type="dxa"/>
            <w:shd w:val="clear" w:color="auto" w:fill="E6E6E6"/>
            <w:vAlign w:val="center"/>
          </w:tcPr>
          <w:p w14:paraId="1FC557BD" w14:textId="204CB362" w:rsidR="002662C0" w:rsidRDefault="002662C0" w:rsidP="002662C0">
            <w:pPr>
              <w:jc w:val="center"/>
              <w:rPr>
                <w:rFonts w:ascii="Arial Narrow" w:hAnsi="Arial Narrow"/>
                <w:color w:val="000000"/>
                <w:sz w:val="18"/>
                <w:szCs w:val="18"/>
              </w:rPr>
            </w:pPr>
            <w:r>
              <w:rPr>
                <w:rFonts w:ascii="Arial Narrow" w:hAnsi="Arial Narrow"/>
                <w:color w:val="000000"/>
                <w:sz w:val="18"/>
                <w:szCs w:val="18"/>
              </w:rPr>
              <w:t>+1,4</w:t>
            </w:r>
          </w:p>
        </w:tc>
        <w:tc>
          <w:tcPr>
            <w:tcW w:w="1456" w:type="dxa"/>
            <w:vAlign w:val="center"/>
          </w:tcPr>
          <w:p w14:paraId="70C3AC13" w14:textId="101C9B88" w:rsidR="002662C0" w:rsidRDefault="002662C0" w:rsidP="002662C0">
            <w:pPr>
              <w:jc w:val="center"/>
              <w:rPr>
                <w:rFonts w:ascii="Arial Narrow" w:hAnsi="Arial Narrow"/>
                <w:color w:val="000000"/>
                <w:sz w:val="18"/>
                <w:szCs w:val="18"/>
              </w:rPr>
            </w:pPr>
            <w:r>
              <w:rPr>
                <w:rFonts w:ascii="Arial Narrow" w:hAnsi="Arial Narrow"/>
                <w:color w:val="000000"/>
                <w:sz w:val="18"/>
                <w:szCs w:val="18"/>
              </w:rPr>
              <w:t>+0,8</w:t>
            </w:r>
          </w:p>
        </w:tc>
        <w:tc>
          <w:tcPr>
            <w:tcW w:w="1410" w:type="dxa"/>
            <w:shd w:val="clear" w:color="auto" w:fill="E6E6E6"/>
            <w:vAlign w:val="center"/>
          </w:tcPr>
          <w:p w14:paraId="1DAD3A82" w14:textId="4C31A2B1" w:rsidR="002662C0" w:rsidRDefault="002662C0" w:rsidP="002662C0">
            <w:pPr>
              <w:jc w:val="center"/>
              <w:rPr>
                <w:rFonts w:ascii="Arial Narrow" w:hAnsi="Arial Narrow"/>
                <w:color w:val="000000"/>
                <w:sz w:val="18"/>
                <w:szCs w:val="18"/>
              </w:rPr>
            </w:pPr>
            <w:r>
              <w:rPr>
                <w:rFonts w:ascii="Arial Narrow" w:hAnsi="Arial Narrow"/>
                <w:color w:val="000000"/>
                <w:sz w:val="18"/>
                <w:szCs w:val="18"/>
              </w:rPr>
              <w:t>+2,4</w:t>
            </w:r>
          </w:p>
        </w:tc>
        <w:tc>
          <w:tcPr>
            <w:tcW w:w="1531" w:type="dxa"/>
            <w:vAlign w:val="center"/>
          </w:tcPr>
          <w:p w14:paraId="19AA4C65" w14:textId="264C2797" w:rsidR="002662C0" w:rsidRDefault="002662C0" w:rsidP="002662C0">
            <w:pPr>
              <w:jc w:val="center"/>
              <w:rPr>
                <w:rFonts w:ascii="Arial Narrow" w:hAnsi="Arial Narrow"/>
                <w:color w:val="000000"/>
                <w:sz w:val="18"/>
                <w:szCs w:val="18"/>
              </w:rPr>
            </w:pPr>
            <w:r>
              <w:rPr>
                <w:rFonts w:ascii="Arial Narrow" w:hAnsi="Arial Narrow"/>
                <w:color w:val="000000"/>
                <w:sz w:val="18"/>
                <w:szCs w:val="18"/>
              </w:rPr>
              <w:t>+1,4</w:t>
            </w:r>
          </w:p>
        </w:tc>
        <w:tc>
          <w:tcPr>
            <w:tcW w:w="1426" w:type="dxa"/>
            <w:shd w:val="clear" w:color="auto" w:fill="E6E6E6"/>
            <w:vAlign w:val="center"/>
          </w:tcPr>
          <w:p w14:paraId="354176E3" w14:textId="191C5022" w:rsidR="002662C0" w:rsidRDefault="002662C0" w:rsidP="002662C0">
            <w:pPr>
              <w:jc w:val="center"/>
              <w:rPr>
                <w:rFonts w:ascii="Arial Narrow" w:hAnsi="Arial Narrow"/>
                <w:color w:val="000000"/>
                <w:sz w:val="18"/>
                <w:szCs w:val="18"/>
              </w:rPr>
            </w:pPr>
            <w:r>
              <w:rPr>
                <w:rFonts w:ascii="Arial Narrow" w:hAnsi="Arial Narrow"/>
                <w:color w:val="000000"/>
                <w:sz w:val="18"/>
                <w:szCs w:val="18"/>
              </w:rPr>
              <w:t>-</w:t>
            </w:r>
          </w:p>
        </w:tc>
        <w:tc>
          <w:tcPr>
            <w:tcW w:w="1469" w:type="dxa"/>
            <w:vAlign w:val="center"/>
          </w:tcPr>
          <w:p w14:paraId="2B7AC526" w14:textId="61F3927D" w:rsidR="002662C0" w:rsidRDefault="002662C0" w:rsidP="002662C0">
            <w:pPr>
              <w:jc w:val="center"/>
              <w:rPr>
                <w:rFonts w:ascii="Arial Narrow" w:hAnsi="Arial Narrow"/>
                <w:color w:val="000000"/>
                <w:sz w:val="18"/>
                <w:szCs w:val="18"/>
              </w:rPr>
            </w:pPr>
            <w:r>
              <w:rPr>
                <w:rFonts w:ascii="Arial Narrow" w:hAnsi="Arial Narrow"/>
                <w:color w:val="000000"/>
                <w:sz w:val="18"/>
                <w:szCs w:val="18"/>
              </w:rPr>
              <w:t>+0,2</w:t>
            </w:r>
          </w:p>
        </w:tc>
      </w:tr>
    </w:tbl>
    <w:p w14:paraId="1AA85290" w14:textId="155D517A" w:rsidR="009872D2" w:rsidRPr="00DD43E2" w:rsidRDefault="00E25DE0" w:rsidP="009872D2">
      <w:pPr>
        <w:spacing w:before="60"/>
        <w:ind w:right="28"/>
        <w:jc w:val="both"/>
        <w:rPr>
          <w:rFonts w:ascii="Arial Narrow" w:hAnsi="Arial Narrow"/>
          <w:sz w:val="15"/>
          <w:szCs w:val="15"/>
        </w:rPr>
      </w:pPr>
      <w:r w:rsidRPr="00235AA6">
        <w:rPr>
          <w:rFonts w:ascii="Arial Narrow" w:hAnsi="Arial Narrow"/>
          <w:sz w:val="15"/>
          <w:szCs w:val="15"/>
        </w:rPr>
        <w:t>(</w:t>
      </w:r>
      <w:r w:rsidR="00A63790" w:rsidRPr="00235AA6">
        <w:rPr>
          <w:rFonts w:ascii="Arial Narrow" w:hAnsi="Arial Narrow"/>
          <w:sz w:val="15"/>
          <w:szCs w:val="15"/>
        </w:rPr>
        <w:t>a</w:t>
      </w:r>
      <w:r w:rsidRPr="00235AA6">
        <w:rPr>
          <w:rFonts w:ascii="Arial Narrow" w:hAnsi="Arial Narrow"/>
          <w:sz w:val="15"/>
          <w:szCs w:val="15"/>
        </w:rPr>
        <w:t xml:space="preserve">) </w:t>
      </w:r>
      <w:r w:rsidR="00A1647D" w:rsidRPr="00235AA6">
        <w:rPr>
          <w:rFonts w:ascii="Arial Narrow" w:hAnsi="Arial Narrow"/>
          <w:sz w:val="15"/>
          <w:szCs w:val="15"/>
        </w:rPr>
        <w:t>I dati revisionati di giugno per l’aggregato Paesi Ue27 includono le dichiarazioni Intrastat ricevute per tale mese dopo il 21 agosto al termine del periodo di sospensione degli ademp</w:t>
      </w:r>
      <w:r w:rsidR="00235AA6" w:rsidRPr="00235AA6">
        <w:rPr>
          <w:rFonts w:ascii="Arial Narrow" w:hAnsi="Arial Narrow"/>
          <w:sz w:val="15"/>
          <w:szCs w:val="15"/>
        </w:rPr>
        <w:t>imenti</w:t>
      </w:r>
      <w:r w:rsidR="00A1647D" w:rsidRPr="00235AA6">
        <w:rPr>
          <w:rFonts w:ascii="Arial Narrow" w:hAnsi="Arial Narrow"/>
          <w:sz w:val="15"/>
          <w:szCs w:val="15"/>
        </w:rPr>
        <w:t xml:space="preserve"> e dei versamenti tribut</w:t>
      </w:r>
      <w:r w:rsidR="00235AA6" w:rsidRPr="00235AA6">
        <w:rPr>
          <w:rFonts w:ascii="Arial Narrow" w:hAnsi="Arial Narrow"/>
          <w:sz w:val="15"/>
          <w:szCs w:val="15"/>
        </w:rPr>
        <w:t>ari</w:t>
      </w:r>
      <w:r w:rsidR="00235AA6">
        <w:rPr>
          <w:rFonts w:ascii="Arial Narrow" w:hAnsi="Arial Narrow"/>
          <w:sz w:val="15"/>
          <w:szCs w:val="15"/>
        </w:rPr>
        <w:t>,</w:t>
      </w:r>
      <w:r w:rsidR="00235AA6" w:rsidRPr="00235AA6">
        <w:rPr>
          <w:rFonts w:ascii="Arial Narrow" w:hAnsi="Arial Narrow"/>
          <w:sz w:val="15"/>
          <w:szCs w:val="15"/>
        </w:rPr>
        <w:t xml:space="preserve"> </w:t>
      </w:r>
      <w:r w:rsidR="00A1647D" w:rsidRPr="00235AA6">
        <w:rPr>
          <w:rFonts w:ascii="Arial Narrow" w:hAnsi="Arial Narrow"/>
          <w:sz w:val="15"/>
          <w:szCs w:val="15"/>
        </w:rPr>
        <w:t>previst</w:t>
      </w:r>
      <w:r w:rsidR="00235AA6">
        <w:rPr>
          <w:rFonts w:ascii="Arial Narrow" w:hAnsi="Arial Narrow"/>
          <w:sz w:val="15"/>
          <w:szCs w:val="15"/>
        </w:rPr>
        <w:t>o</w:t>
      </w:r>
      <w:r w:rsidR="00A1647D" w:rsidRPr="00235AA6">
        <w:rPr>
          <w:rFonts w:ascii="Arial Narrow" w:hAnsi="Arial Narrow"/>
          <w:sz w:val="15"/>
          <w:szCs w:val="15"/>
        </w:rPr>
        <w:t xml:space="preserve"> dall’applicazione della “Proroga di Ferragosto</w:t>
      </w:r>
      <w:r w:rsidR="00235AA6" w:rsidRPr="00235AA6">
        <w:rPr>
          <w:rFonts w:ascii="Arial Narrow" w:hAnsi="Arial Narrow"/>
          <w:sz w:val="15"/>
          <w:szCs w:val="15"/>
        </w:rPr>
        <w:t>”</w:t>
      </w:r>
      <w:r w:rsidR="00A1647D" w:rsidRPr="00235AA6">
        <w:rPr>
          <w:rFonts w:ascii="Arial Narrow" w:hAnsi="Arial Narrow"/>
          <w:sz w:val="15"/>
          <w:szCs w:val="15"/>
        </w:rPr>
        <w:t xml:space="preserve"> </w:t>
      </w:r>
      <w:r w:rsidR="009872D2" w:rsidRPr="00235AA6">
        <w:rPr>
          <w:rFonts w:ascii="Arial Narrow" w:hAnsi="Arial Narrow"/>
          <w:sz w:val="15"/>
          <w:szCs w:val="15"/>
        </w:rPr>
        <w:t>(si veda Nota metodologica, pag. 14 del Comunicato Stampa Commercio estero</w:t>
      </w:r>
      <w:r w:rsidR="00C00E9F" w:rsidRPr="00235AA6">
        <w:rPr>
          <w:rFonts w:ascii="Arial Narrow" w:hAnsi="Arial Narrow"/>
          <w:sz w:val="15"/>
          <w:szCs w:val="15"/>
        </w:rPr>
        <w:t xml:space="preserve"> e prezzi all’import</w:t>
      </w:r>
      <w:r w:rsidR="009872D2" w:rsidRPr="00235AA6">
        <w:rPr>
          <w:rFonts w:ascii="Arial Narrow" w:hAnsi="Arial Narrow"/>
          <w:sz w:val="15"/>
          <w:szCs w:val="15"/>
        </w:rPr>
        <w:t>, diffuso il 12 agosto 2022).</w:t>
      </w:r>
    </w:p>
    <w:p w14:paraId="4AD25D59" w14:textId="77777777" w:rsidR="00D6552B" w:rsidRPr="00DD43E2" w:rsidRDefault="00D6552B" w:rsidP="00DD43E2">
      <w:pPr>
        <w:spacing w:before="60"/>
        <w:ind w:right="28"/>
        <w:jc w:val="both"/>
        <w:rPr>
          <w:rFonts w:ascii="Arial Narrow" w:hAnsi="Arial Narrow"/>
          <w:sz w:val="15"/>
          <w:szCs w:val="15"/>
        </w:rPr>
      </w:pPr>
    </w:p>
    <w:p w14:paraId="7426D10C" w14:textId="77777777" w:rsidR="006629BE" w:rsidRDefault="006629BE" w:rsidP="00072C03">
      <w:pPr>
        <w:ind w:right="28"/>
        <w:jc w:val="both"/>
        <w:rPr>
          <w:rFonts w:ascii="Arial Narrow" w:hAnsi="Arial Narrow" w:cs="Arial"/>
          <w:b/>
          <w:color w:val="E42618"/>
          <w:sz w:val="22"/>
          <w:szCs w:val="22"/>
        </w:rPr>
      </w:pPr>
    </w:p>
    <w:p w14:paraId="102EB212" w14:textId="77777777" w:rsidR="00072C03" w:rsidRPr="007801C1" w:rsidRDefault="00B076CD" w:rsidP="00072C03">
      <w:pPr>
        <w:ind w:right="28"/>
        <w:jc w:val="both"/>
        <w:rPr>
          <w:rFonts w:ascii="Arial Narrow" w:hAnsi="Arial Narrow" w:cs="Arial"/>
          <w:b/>
          <w:color w:val="5F5F5F"/>
          <w:sz w:val="22"/>
          <w:szCs w:val="22"/>
        </w:rPr>
      </w:pPr>
      <w:r w:rsidRPr="007801C1">
        <w:rPr>
          <w:rFonts w:ascii="Arial Narrow" w:hAnsi="Arial Narrow" w:cs="Arial"/>
          <w:b/>
          <w:color w:val="E42618"/>
          <w:sz w:val="22"/>
          <w:szCs w:val="22"/>
        </w:rPr>
        <w:t xml:space="preserve">PROSPETTO </w:t>
      </w:r>
      <w:r w:rsidR="007D643E" w:rsidRPr="007801C1">
        <w:rPr>
          <w:rFonts w:ascii="Arial Narrow" w:hAnsi="Arial Narrow" w:cs="Arial"/>
          <w:b/>
          <w:color w:val="E42618"/>
          <w:sz w:val="22"/>
          <w:szCs w:val="22"/>
        </w:rPr>
        <w:t>7</w:t>
      </w:r>
      <w:r w:rsidRPr="007801C1">
        <w:rPr>
          <w:rFonts w:ascii="Arial Narrow" w:hAnsi="Arial Narrow" w:cs="Arial"/>
          <w:b/>
          <w:color w:val="E42618"/>
          <w:sz w:val="22"/>
          <w:szCs w:val="22"/>
        </w:rPr>
        <w:t>.</w:t>
      </w:r>
      <w:r w:rsidRPr="007801C1">
        <w:rPr>
          <w:rFonts w:ascii="Arial Narrow" w:hAnsi="Arial Narrow" w:cs="Arial"/>
          <w:b/>
          <w:color w:val="5F5F5F"/>
        </w:rPr>
        <w:t xml:space="preserve"> </w:t>
      </w:r>
      <w:r w:rsidR="00B13FB7" w:rsidRPr="007801C1">
        <w:rPr>
          <w:rFonts w:ascii="Arial Narrow" w:hAnsi="Arial Narrow" w:cs="Arial"/>
          <w:b/>
          <w:color w:val="5F5F5F"/>
          <w:sz w:val="22"/>
          <w:szCs w:val="22"/>
        </w:rPr>
        <w:t>PREZZI ALL’IMPORTAZIONE</w:t>
      </w:r>
    </w:p>
    <w:p w14:paraId="6A7227FD" w14:textId="36DFA22F" w:rsidR="009370E6" w:rsidRPr="006304A5" w:rsidRDefault="00B161A0" w:rsidP="009370E6">
      <w:pPr>
        <w:pStyle w:val="Corpodeltesto1"/>
        <w:spacing w:after="120"/>
        <w:jc w:val="left"/>
        <w:rPr>
          <w:rFonts w:ascii="Arial Narrow" w:hAnsi="Arial Narrow" w:cs="Arial"/>
          <w:b w:val="0"/>
          <w:bCs/>
          <w:sz w:val="19"/>
          <w:szCs w:val="19"/>
        </w:rPr>
      </w:pPr>
      <w:r w:rsidRPr="007801C1">
        <w:rPr>
          <w:rFonts w:ascii="Arial Narrow" w:hAnsi="Arial Narrow" w:cs="Arial"/>
          <w:b w:val="0"/>
          <w:color w:val="5F5F5F"/>
          <w:kern w:val="28"/>
          <w:sz w:val="20"/>
          <w:szCs w:val="20"/>
        </w:rPr>
        <w:t>Giugno</w:t>
      </w:r>
      <w:r w:rsidR="00606941" w:rsidRPr="007801C1">
        <w:rPr>
          <w:rFonts w:ascii="Arial Narrow" w:hAnsi="Arial Narrow" w:cs="Arial"/>
          <w:b w:val="0"/>
          <w:color w:val="5F5F5F"/>
          <w:kern w:val="28"/>
          <w:sz w:val="20"/>
          <w:szCs w:val="20"/>
        </w:rPr>
        <w:t xml:space="preserve"> </w:t>
      </w:r>
      <w:r w:rsidR="00CB06AD" w:rsidRPr="007801C1">
        <w:rPr>
          <w:rFonts w:ascii="Arial Narrow" w:hAnsi="Arial Narrow" w:cs="Arial"/>
          <w:b w:val="0"/>
          <w:color w:val="5F5F5F"/>
          <w:kern w:val="28"/>
          <w:sz w:val="20"/>
          <w:szCs w:val="20"/>
        </w:rPr>
        <w:t>2022</w:t>
      </w:r>
      <w:r w:rsidR="00B076CD" w:rsidRPr="007801C1">
        <w:rPr>
          <w:rFonts w:ascii="Arial Narrow" w:hAnsi="Arial Narrow" w:cs="Arial"/>
          <w:b w:val="0"/>
          <w:color w:val="5F5F5F"/>
          <w:kern w:val="28"/>
          <w:sz w:val="20"/>
          <w:szCs w:val="20"/>
        </w:rPr>
        <w:t xml:space="preserve">, revisioni delle variazioni percentuali, differenze in punti percentuali </w:t>
      </w:r>
      <w:r w:rsidR="009370E6" w:rsidRPr="007801C1">
        <w:rPr>
          <w:rFonts w:ascii="Arial Narrow" w:hAnsi="Arial Narrow" w:cs="Arial"/>
          <w:b w:val="0"/>
          <w:color w:val="5F5F5F"/>
          <w:kern w:val="28"/>
          <w:sz w:val="20"/>
          <w:szCs w:val="20"/>
        </w:rPr>
        <w:t>(base 2015=100)</w:t>
      </w:r>
    </w:p>
    <w:tbl>
      <w:tblPr>
        <w:tblW w:w="10206" w:type="dxa"/>
        <w:tblBorders>
          <w:top w:val="single" w:sz="4" w:space="0" w:color="333333"/>
          <w:bottom w:val="single" w:sz="4" w:space="0" w:color="333333"/>
          <w:insideH w:val="single" w:sz="4" w:space="0" w:color="333333"/>
        </w:tblBorders>
        <w:tblLook w:val="01E0" w:firstRow="1" w:lastRow="1" w:firstColumn="1" w:lastColumn="1" w:noHBand="0" w:noVBand="0"/>
      </w:tblPr>
      <w:tblGrid>
        <w:gridCol w:w="1698"/>
        <w:gridCol w:w="1697"/>
        <w:gridCol w:w="1645"/>
        <w:gridCol w:w="1787"/>
        <w:gridCol w:w="1663"/>
        <w:gridCol w:w="1716"/>
      </w:tblGrid>
      <w:tr w:rsidR="00B076CD" w:rsidRPr="001C01EA" w14:paraId="1772340B" w14:textId="77777777" w:rsidTr="00D6552B">
        <w:trPr>
          <w:trHeight w:val="255"/>
        </w:trPr>
        <w:tc>
          <w:tcPr>
            <w:tcW w:w="3395" w:type="dxa"/>
            <w:gridSpan w:val="2"/>
            <w:tcBorders>
              <w:bottom w:val="single" w:sz="4" w:space="0" w:color="333333"/>
            </w:tcBorders>
            <w:shd w:val="clear" w:color="auto" w:fill="E6E6E6"/>
            <w:vAlign w:val="center"/>
          </w:tcPr>
          <w:p w14:paraId="387511BE" w14:textId="77777777" w:rsidR="00B076CD" w:rsidRPr="001C01EA" w:rsidRDefault="00B076CD" w:rsidP="00593C33">
            <w:pPr>
              <w:spacing w:before="40" w:after="20"/>
              <w:ind w:left="-142" w:firstLine="142"/>
              <w:jc w:val="center"/>
              <w:rPr>
                <w:rFonts w:ascii="Arial Narrow" w:hAnsi="Arial Narrow" w:cs="Arial"/>
                <w:b/>
                <w:bCs/>
                <w:sz w:val="18"/>
                <w:szCs w:val="18"/>
              </w:rPr>
            </w:pPr>
            <w:r w:rsidRPr="001C01EA">
              <w:rPr>
                <w:rFonts w:ascii="Arial Narrow" w:hAnsi="Arial Narrow" w:cs="Arial"/>
                <w:b/>
                <w:bCs/>
                <w:sz w:val="18"/>
                <w:szCs w:val="18"/>
              </w:rPr>
              <w:t>Totale</w:t>
            </w:r>
          </w:p>
        </w:tc>
        <w:tc>
          <w:tcPr>
            <w:tcW w:w="3432" w:type="dxa"/>
            <w:gridSpan w:val="2"/>
            <w:tcBorders>
              <w:bottom w:val="single" w:sz="4" w:space="0" w:color="333333"/>
            </w:tcBorders>
            <w:vAlign w:val="center"/>
          </w:tcPr>
          <w:p w14:paraId="7E367106" w14:textId="77777777" w:rsidR="00B076CD" w:rsidRPr="001C01EA" w:rsidRDefault="00B076CD" w:rsidP="00593C33">
            <w:pPr>
              <w:spacing w:before="40" w:after="20"/>
              <w:jc w:val="center"/>
              <w:rPr>
                <w:rFonts w:ascii="Arial Narrow" w:hAnsi="Arial Narrow" w:cs="Arial"/>
                <w:b/>
                <w:bCs/>
                <w:sz w:val="18"/>
                <w:szCs w:val="18"/>
              </w:rPr>
            </w:pPr>
            <w:r>
              <w:rPr>
                <w:rFonts w:ascii="Arial Narrow" w:hAnsi="Arial Narrow" w:cs="Arial"/>
                <w:b/>
                <w:bCs/>
                <w:sz w:val="18"/>
                <w:szCs w:val="18"/>
              </w:rPr>
              <w:t>Area euro</w:t>
            </w:r>
          </w:p>
        </w:tc>
        <w:tc>
          <w:tcPr>
            <w:tcW w:w="3379" w:type="dxa"/>
            <w:gridSpan w:val="2"/>
            <w:tcBorders>
              <w:bottom w:val="single" w:sz="4" w:space="0" w:color="333333"/>
            </w:tcBorders>
            <w:shd w:val="clear" w:color="auto" w:fill="E6E6E6"/>
            <w:vAlign w:val="center"/>
          </w:tcPr>
          <w:p w14:paraId="099AEC91" w14:textId="77777777" w:rsidR="00B076CD" w:rsidRPr="001C01EA" w:rsidRDefault="00B076CD" w:rsidP="00593C33">
            <w:pPr>
              <w:spacing w:before="40" w:after="20"/>
              <w:jc w:val="center"/>
              <w:rPr>
                <w:rFonts w:ascii="Arial Narrow" w:hAnsi="Arial Narrow" w:cs="Arial"/>
                <w:b/>
                <w:bCs/>
                <w:sz w:val="18"/>
                <w:szCs w:val="18"/>
              </w:rPr>
            </w:pPr>
            <w:r>
              <w:rPr>
                <w:rFonts w:ascii="Arial Narrow" w:hAnsi="Arial Narrow" w:cs="Arial"/>
                <w:b/>
                <w:bCs/>
                <w:sz w:val="18"/>
                <w:szCs w:val="18"/>
              </w:rPr>
              <w:t>Area non euro</w:t>
            </w:r>
          </w:p>
        </w:tc>
      </w:tr>
      <w:tr w:rsidR="00072C03" w:rsidRPr="001C01EA" w14:paraId="07E4D575" w14:textId="77777777" w:rsidTr="00D6552B">
        <w:trPr>
          <w:trHeight w:val="255"/>
        </w:trPr>
        <w:tc>
          <w:tcPr>
            <w:tcW w:w="1698" w:type="dxa"/>
            <w:shd w:val="clear" w:color="auto" w:fill="E6E6E6"/>
            <w:vAlign w:val="center"/>
          </w:tcPr>
          <w:p w14:paraId="13435AC6" w14:textId="77777777" w:rsidR="00072C03" w:rsidRPr="001C01EA" w:rsidRDefault="00072C03" w:rsidP="00593C33">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697" w:type="dxa"/>
            <w:vAlign w:val="center"/>
          </w:tcPr>
          <w:p w14:paraId="19FE0A11" w14:textId="77777777" w:rsidR="00072C03" w:rsidRPr="001C01EA" w:rsidRDefault="00072C03" w:rsidP="00593C33">
            <w:pPr>
              <w:spacing w:before="40" w:after="20"/>
              <w:jc w:val="center"/>
              <w:rPr>
                <w:rFonts w:ascii="Arial Narrow" w:hAnsi="Arial Narrow" w:cs="Arial"/>
                <w:bCs/>
                <w:sz w:val="18"/>
                <w:szCs w:val="18"/>
              </w:rPr>
            </w:pPr>
            <w:r>
              <w:rPr>
                <w:rFonts w:ascii="Arial Narrow" w:hAnsi="Arial Narrow" w:cs="Arial"/>
                <w:bCs/>
                <w:sz w:val="18"/>
                <w:szCs w:val="18"/>
              </w:rPr>
              <w:t>Congiunturali</w:t>
            </w:r>
          </w:p>
        </w:tc>
        <w:tc>
          <w:tcPr>
            <w:tcW w:w="1645" w:type="dxa"/>
            <w:shd w:val="clear" w:color="auto" w:fill="E6E6E6"/>
            <w:vAlign w:val="center"/>
          </w:tcPr>
          <w:p w14:paraId="41D4E121" w14:textId="77777777" w:rsidR="00072C03" w:rsidRPr="001C01EA" w:rsidRDefault="00072C03" w:rsidP="00246367">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787" w:type="dxa"/>
            <w:vAlign w:val="center"/>
          </w:tcPr>
          <w:p w14:paraId="1ECD763F" w14:textId="77777777" w:rsidR="00072C03" w:rsidRPr="001C01EA" w:rsidRDefault="00072C03" w:rsidP="00246367">
            <w:pPr>
              <w:spacing w:before="40" w:after="20"/>
              <w:jc w:val="center"/>
              <w:rPr>
                <w:rFonts w:ascii="Arial Narrow" w:hAnsi="Arial Narrow" w:cs="Arial"/>
                <w:bCs/>
                <w:sz w:val="18"/>
                <w:szCs w:val="18"/>
              </w:rPr>
            </w:pPr>
            <w:r>
              <w:rPr>
                <w:rFonts w:ascii="Arial Narrow" w:hAnsi="Arial Narrow" w:cs="Arial"/>
                <w:bCs/>
                <w:sz w:val="18"/>
                <w:szCs w:val="18"/>
              </w:rPr>
              <w:t>Congiunturali</w:t>
            </w:r>
          </w:p>
        </w:tc>
        <w:tc>
          <w:tcPr>
            <w:tcW w:w="1663" w:type="dxa"/>
            <w:shd w:val="clear" w:color="auto" w:fill="E6E6E6"/>
            <w:vAlign w:val="center"/>
          </w:tcPr>
          <w:p w14:paraId="4B3E1EC3" w14:textId="77777777" w:rsidR="00072C03" w:rsidRPr="001C01EA" w:rsidRDefault="00072C03" w:rsidP="00246367">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716" w:type="dxa"/>
            <w:vAlign w:val="center"/>
          </w:tcPr>
          <w:p w14:paraId="292EEA72" w14:textId="77777777" w:rsidR="00072C03" w:rsidRPr="001C01EA" w:rsidRDefault="00072C03" w:rsidP="00246367">
            <w:pPr>
              <w:spacing w:before="40" w:after="20"/>
              <w:jc w:val="center"/>
              <w:rPr>
                <w:rFonts w:ascii="Arial Narrow" w:hAnsi="Arial Narrow" w:cs="Arial"/>
                <w:bCs/>
                <w:sz w:val="18"/>
                <w:szCs w:val="18"/>
              </w:rPr>
            </w:pPr>
            <w:r>
              <w:rPr>
                <w:rFonts w:ascii="Arial Narrow" w:hAnsi="Arial Narrow" w:cs="Arial"/>
                <w:bCs/>
                <w:sz w:val="18"/>
                <w:szCs w:val="18"/>
              </w:rPr>
              <w:t>Congiunturali</w:t>
            </w:r>
          </w:p>
        </w:tc>
      </w:tr>
      <w:tr w:rsidR="007801C1" w:rsidRPr="00C201C1" w14:paraId="6A20B922" w14:textId="77777777" w:rsidTr="00CA2086">
        <w:trPr>
          <w:trHeight w:val="255"/>
        </w:trPr>
        <w:tc>
          <w:tcPr>
            <w:tcW w:w="1698" w:type="dxa"/>
            <w:shd w:val="clear" w:color="auto" w:fill="E6E6E6"/>
            <w:vAlign w:val="center"/>
          </w:tcPr>
          <w:p w14:paraId="078D2453" w14:textId="51510535" w:rsidR="007801C1" w:rsidRPr="00687873" w:rsidRDefault="007801C1" w:rsidP="007801C1">
            <w:pPr>
              <w:spacing w:before="40" w:after="20"/>
              <w:jc w:val="center"/>
              <w:rPr>
                <w:rFonts w:ascii="Arial Narrow" w:hAnsi="Arial Narrow" w:cs="Arial"/>
                <w:bCs/>
                <w:sz w:val="18"/>
                <w:szCs w:val="18"/>
              </w:rPr>
            </w:pPr>
            <w:r w:rsidRPr="00687873">
              <w:rPr>
                <w:rFonts w:ascii="Arial Narrow" w:hAnsi="Arial Narrow" w:cs="Arial"/>
                <w:color w:val="000000"/>
                <w:sz w:val="18"/>
                <w:szCs w:val="18"/>
              </w:rPr>
              <w:t>0,</w:t>
            </w:r>
            <w:r>
              <w:rPr>
                <w:rFonts w:ascii="Arial Narrow" w:hAnsi="Arial Narrow" w:cs="Arial"/>
                <w:color w:val="000000"/>
                <w:sz w:val="18"/>
                <w:szCs w:val="18"/>
              </w:rPr>
              <w:t>0</w:t>
            </w:r>
          </w:p>
        </w:tc>
        <w:tc>
          <w:tcPr>
            <w:tcW w:w="1697" w:type="dxa"/>
            <w:vAlign w:val="center"/>
          </w:tcPr>
          <w:p w14:paraId="4CB749FC" w14:textId="6D784618" w:rsidR="007801C1" w:rsidRPr="00687873" w:rsidRDefault="007801C1" w:rsidP="007801C1">
            <w:pPr>
              <w:spacing w:before="40" w:after="20"/>
              <w:jc w:val="center"/>
              <w:rPr>
                <w:rFonts w:ascii="Arial Narrow" w:hAnsi="Arial Narrow" w:cs="Arial"/>
                <w:bCs/>
                <w:sz w:val="18"/>
                <w:szCs w:val="18"/>
              </w:rPr>
            </w:pPr>
            <w:r w:rsidRPr="00687873">
              <w:rPr>
                <w:rFonts w:ascii="Arial Narrow" w:hAnsi="Arial Narrow" w:cs="Arial"/>
                <w:color w:val="000000"/>
                <w:sz w:val="18"/>
                <w:szCs w:val="18"/>
              </w:rPr>
              <w:t>0,</w:t>
            </w:r>
            <w:r>
              <w:rPr>
                <w:rFonts w:ascii="Arial Narrow" w:hAnsi="Arial Narrow" w:cs="Arial"/>
                <w:color w:val="000000"/>
                <w:sz w:val="18"/>
                <w:szCs w:val="18"/>
              </w:rPr>
              <w:t>0</w:t>
            </w:r>
          </w:p>
        </w:tc>
        <w:tc>
          <w:tcPr>
            <w:tcW w:w="1645" w:type="dxa"/>
            <w:shd w:val="clear" w:color="auto" w:fill="E6E6E6"/>
            <w:vAlign w:val="center"/>
          </w:tcPr>
          <w:p w14:paraId="2E9E2D7A" w14:textId="5CBF81B1" w:rsidR="007801C1" w:rsidRPr="00687873" w:rsidRDefault="007801C1" w:rsidP="007801C1">
            <w:pPr>
              <w:spacing w:before="40" w:after="20"/>
              <w:jc w:val="center"/>
              <w:rPr>
                <w:rFonts w:ascii="Arial Narrow" w:hAnsi="Arial Narrow" w:cs="Arial"/>
                <w:bCs/>
                <w:sz w:val="18"/>
                <w:szCs w:val="18"/>
              </w:rPr>
            </w:pPr>
            <w:r w:rsidRPr="00687873">
              <w:rPr>
                <w:rFonts w:ascii="Arial Narrow" w:hAnsi="Arial Narrow" w:cs="Arial"/>
                <w:color w:val="000000"/>
                <w:sz w:val="18"/>
                <w:szCs w:val="18"/>
              </w:rPr>
              <w:t>0,</w:t>
            </w:r>
            <w:r>
              <w:rPr>
                <w:rFonts w:ascii="Arial Narrow" w:hAnsi="Arial Narrow" w:cs="Arial"/>
                <w:color w:val="000000"/>
                <w:sz w:val="18"/>
                <w:szCs w:val="18"/>
              </w:rPr>
              <w:t>0</w:t>
            </w:r>
          </w:p>
        </w:tc>
        <w:tc>
          <w:tcPr>
            <w:tcW w:w="1787" w:type="dxa"/>
            <w:vAlign w:val="center"/>
          </w:tcPr>
          <w:p w14:paraId="05436E80" w14:textId="45A66F53" w:rsidR="007801C1" w:rsidRPr="00687873" w:rsidRDefault="007801C1" w:rsidP="007801C1">
            <w:pPr>
              <w:spacing w:before="40" w:after="20"/>
              <w:jc w:val="center"/>
              <w:rPr>
                <w:rFonts w:ascii="Arial Narrow" w:hAnsi="Arial Narrow" w:cs="Arial"/>
                <w:bCs/>
                <w:sz w:val="18"/>
                <w:szCs w:val="18"/>
              </w:rPr>
            </w:pPr>
            <w:r w:rsidRPr="00687873">
              <w:rPr>
                <w:rFonts w:ascii="Arial Narrow" w:hAnsi="Arial Narrow" w:cs="Arial"/>
                <w:color w:val="000000"/>
                <w:sz w:val="18"/>
                <w:szCs w:val="18"/>
              </w:rPr>
              <w:t>0,</w:t>
            </w:r>
            <w:r>
              <w:rPr>
                <w:rFonts w:ascii="Arial Narrow" w:hAnsi="Arial Narrow" w:cs="Arial"/>
                <w:color w:val="000000"/>
                <w:sz w:val="18"/>
                <w:szCs w:val="18"/>
              </w:rPr>
              <w:t>0</w:t>
            </w:r>
          </w:p>
        </w:tc>
        <w:tc>
          <w:tcPr>
            <w:tcW w:w="1663" w:type="dxa"/>
            <w:shd w:val="clear" w:color="auto" w:fill="E6E6E6"/>
            <w:vAlign w:val="center"/>
          </w:tcPr>
          <w:p w14:paraId="06F2DB6D" w14:textId="16D5570F" w:rsidR="007801C1" w:rsidRPr="00687873" w:rsidRDefault="007801C1" w:rsidP="007801C1">
            <w:pPr>
              <w:spacing w:before="40" w:after="20"/>
              <w:jc w:val="center"/>
              <w:rPr>
                <w:rFonts w:ascii="Arial Narrow" w:hAnsi="Arial Narrow" w:cs="Arial"/>
                <w:bCs/>
                <w:sz w:val="18"/>
                <w:szCs w:val="18"/>
              </w:rPr>
            </w:pPr>
            <w:r w:rsidRPr="00687873">
              <w:rPr>
                <w:rFonts w:ascii="Arial Narrow" w:hAnsi="Arial Narrow" w:cs="Arial"/>
                <w:color w:val="000000"/>
                <w:sz w:val="18"/>
                <w:szCs w:val="18"/>
              </w:rPr>
              <w:t>0,</w:t>
            </w:r>
            <w:r>
              <w:rPr>
                <w:rFonts w:ascii="Arial Narrow" w:hAnsi="Arial Narrow" w:cs="Arial"/>
                <w:color w:val="000000"/>
                <w:sz w:val="18"/>
                <w:szCs w:val="18"/>
              </w:rPr>
              <w:t>0</w:t>
            </w:r>
          </w:p>
        </w:tc>
        <w:tc>
          <w:tcPr>
            <w:tcW w:w="1716" w:type="dxa"/>
            <w:vAlign w:val="center"/>
          </w:tcPr>
          <w:p w14:paraId="2DD89D8B" w14:textId="7F213072" w:rsidR="007801C1" w:rsidRPr="00687873" w:rsidRDefault="007801C1" w:rsidP="007801C1">
            <w:pPr>
              <w:spacing w:before="40" w:after="20"/>
              <w:jc w:val="center"/>
              <w:rPr>
                <w:rFonts w:ascii="Arial Narrow" w:hAnsi="Arial Narrow" w:cs="Arial"/>
                <w:bCs/>
                <w:sz w:val="18"/>
                <w:szCs w:val="18"/>
              </w:rPr>
            </w:pPr>
            <w:r w:rsidRPr="00687873">
              <w:rPr>
                <w:rFonts w:ascii="Arial Narrow" w:hAnsi="Arial Narrow" w:cs="Arial"/>
                <w:color w:val="000000"/>
                <w:sz w:val="18"/>
                <w:szCs w:val="18"/>
              </w:rPr>
              <w:t>0,</w:t>
            </w:r>
            <w:r>
              <w:rPr>
                <w:rFonts w:ascii="Arial Narrow" w:hAnsi="Arial Narrow" w:cs="Arial"/>
                <w:color w:val="000000"/>
                <w:sz w:val="18"/>
                <w:szCs w:val="18"/>
              </w:rPr>
              <w:t>0</w:t>
            </w:r>
          </w:p>
        </w:tc>
      </w:tr>
    </w:tbl>
    <w:p w14:paraId="7770BD76" w14:textId="77777777" w:rsidR="009B2E91" w:rsidRDefault="009B2E91" w:rsidP="009B2E91">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b/>
          <w:spacing w:val="-3"/>
        </w:rPr>
      </w:pPr>
    </w:p>
    <w:p w14:paraId="3B215333" w14:textId="2E8294ED" w:rsidR="00111EC4" w:rsidRDefault="00111EC4" w:rsidP="009B2E91">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b/>
          <w:spacing w:val="-3"/>
        </w:rPr>
      </w:pPr>
    </w:p>
    <w:p w14:paraId="3A98CE61" w14:textId="3188B5D0" w:rsidR="00A1647D" w:rsidRDefault="00A1647D" w:rsidP="009B2E91">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pPr>
    </w:p>
    <w:p w14:paraId="64B3BCF5" w14:textId="77777777" w:rsidR="00A1647D" w:rsidRDefault="00A1647D" w:rsidP="009B2E91">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b/>
          <w:spacing w:val="-3"/>
        </w:rPr>
        <w:sectPr w:rsidR="00A1647D" w:rsidSect="009B2E91">
          <w:headerReference w:type="default" r:id="rId35"/>
          <w:pgSz w:w="11907" w:h="16840" w:code="9"/>
          <w:pgMar w:top="1534" w:right="851" w:bottom="680" w:left="851" w:header="567" w:footer="567" w:gutter="0"/>
          <w:cols w:space="720"/>
          <w:noEndnote/>
          <w:docGrid w:linePitch="272"/>
        </w:sectPr>
      </w:pPr>
    </w:p>
    <w:p w14:paraId="0881A4C5" w14:textId="77777777" w:rsidR="000B233D" w:rsidRPr="000B233D" w:rsidRDefault="000B233D" w:rsidP="00CC2949">
      <w:pPr>
        <w:ind w:right="57"/>
        <w:jc w:val="both"/>
        <w:rPr>
          <w:rFonts w:ascii="Arial" w:hAnsi="Arial" w:cs="Arial"/>
          <w:b/>
          <w:bCs/>
        </w:rPr>
      </w:pPr>
    </w:p>
    <w:p w14:paraId="709AD9DA"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Beni di consumo durevoli</w:t>
      </w:r>
      <w:r w:rsidRPr="00C9631A">
        <w:rPr>
          <w:rFonts w:ascii="Arial" w:hAnsi="Arial" w:cs="Arial"/>
          <w:sz w:val="20"/>
          <w:szCs w:val="20"/>
        </w:rPr>
        <w:t>: includono, tra gli altri, la fabbricazione di apparecchi per uso domestico, la fabbricazione di mobili, motocicli, la fabbricazione di apparecchi per la riproduzione del suono e dell’immagine.</w:t>
      </w:r>
    </w:p>
    <w:p w14:paraId="7FA47A8D"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Beni di consumo non durevoli</w:t>
      </w:r>
      <w:r w:rsidRPr="00C9631A">
        <w:rPr>
          <w:rFonts w:ascii="Arial" w:hAnsi="Arial" w:cs="Arial"/>
          <w:sz w:val="20"/>
          <w:szCs w:val="20"/>
        </w:rPr>
        <w:t>: includono, tra gli altri, la produzione, la lavorazione e la conservazione di prodotti alimentari e bevande, alcune industrie tessili, la fabbricazione di prodotti farmaceutici.</w:t>
      </w:r>
    </w:p>
    <w:p w14:paraId="63FE64E3"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Beni intermedi</w:t>
      </w:r>
      <w:r w:rsidRPr="00C9631A">
        <w:rPr>
          <w:rFonts w:ascii="Arial" w:hAnsi="Arial" w:cs="Arial"/>
          <w:sz w:val="20"/>
          <w:szCs w:val="20"/>
        </w:rPr>
        <w:t>: includono, tra gli altri, la fabbricazione di prodotti chimici, la fabbricazione di metalli e prodotti in metallo, la fabbricazione di apparecchi elettrici, l’industria del legno, la fabbricazione di tessuti.</w:t>
      </w:r>
    </w:p>
    <w:p w14:paraId="3171476F"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Beni strumentali</w:t>
      </w:r>
      <w:r w:rsidRPr="00C9631A">
        <w:rPr>
          <w:rFonts w:ascii="Arial" w:hAnsi="Arial" w:cs="Arial"/>
          <w:sz w:val="20"/>
          <w:szCs w:val="20"/>
        </w:rPr>
        <w:t>: includono, tra gli altri, la fabbricazione di macchine e motori, la fabbricazione di strumenti e apparecchi di misurazione e controllo, la fabbricazione di autoveicoli.</w:t>
      </w:r>
    </w:p>
    <w:p w14:paraId="61CE4789" w14:textId="77777777" w:rsidR="006B1C0B" w:rsidRPr="00C9631A" w:rsidRDefault="006B1C0B" w:rsidP="00E74CD4">
      <w:pPr>
        <w:pStyle w:val="Corpodeltesto1"/>
        <w:spacing w:after="120"/>
        <w:rPr>
          <w:rFonts w:ascii="Arial" w:hAnsi="Arial" w:cs="Arial"/>
          <w:b w:val="0"/>
          <w:bCs/>
          <w:sz w:val="20"/>
          <w:szCs w:val="20"/>
        </w:rPr>
      </w:pPr>
      <w:r w:rsidRPr="00C9631A">
        <w:rPr>
          <w:rFonts w:ascii="Arial" w:hAnsi="Arial" w:cs="Arial"/>
          <w:bCs/>
          <w:sz w:val="20"/>
          <w:szCs w:val="20"/>
        </w:rPr>
        <w:t>Contributo alla variazione tendenziale</w:t>
      </w:r>
      <w:r w:rsidRPr="00C9631A">
        <w:rPr>
          <w:rFonts w:ascii="Arial" w:hAnsi="Arial" w:cs="Arial"/>
          <w:b w:val="0"/>
          <w:bCs/>
          <w:sz w:val="20"/>
          <w:szCs w:val="20"/>
        </w:rPr>
        <w:t xml:space="preserve">: misura l’incidenza delle variazioni delle importazioni e delle esportazioni dei singoli aggregati merceologici o geografici sull’aumento o sulla diminuzione dei flussi aggregati. </w:t>
      </w:r>
    </w:p>
    <w:p w14:paraId="419B4749" w14:textId="77777777" w:rsidR="006B1C0B" w:rsidRPr="00C9631A" w:rsidRDefault="006B1C0B" w:rsidP="00E74CD4">
      <w:pPr>
        <w:spacing w:after="120"/>
        <w:ind w:right="23"/>
        <w:jc w:val="both"/>
        <w:rPr>
          <w:rFonts w:ascii="Arial" w:hAnsi="Arial" w:cs="Arial"/>
          <w:b/>
          <w:sz w:val="20"/>
          <w:szCs w:val="20"/>
        </w:rPr>
      </w:pPr>
      <w:r w:rsidRPr="00C9631A">
        <w:rPr>
          <w:rFonts w:ascii="Arial" w:hAnsi="Arial" w:cs="Arial"/>
          <w:b/>
          <w:bCs/>
          <w:sz w:val="20"/>
          <w:szCs w:val="20"/>
        </w:rPr>
        <w:t>Dati corretti per gli effetti di calendario</w:t>
      </w:r>
      <w:r w:rsidRPr="00C9631A">
        <w:rPr>
          <w:rFonts w:ascii="Arial" w:hAnsi="Arial" w:cs="Arial"/>
          <w:bCs/>
          <w:sz w:val="20"/>
          <w:szCs w:val="20"/>
        </w:rPr>
        <w:t>: dati depurati, mediante apposite tecniche statistiche, dalla variabilità attribuibile alla composizione del calendario nei singoli periodi (mesi o trimestri) dell’anno, dovuta al diverso numero di giorni lavorativi o di giorni specifici della settimana in essi contenuti, nonché dell’anno bisestile. Il ricorso a tale trasformazione dei dati consente di cogliere in maniera più adeguata sia le variazioni tendenziali (calcolate rispetto allo stesso periodo dell'anno precedente), sia le variazioni medie annue.</w:t>
      </w:r>
    </w:p>
    <w:p w14:paraId="7D0A804D" w14:textId="77777777" w:rsidR="006B1C0B" w:rsidRPr="00C9631A" w:rsidRDefault="006B1C0B" w:rsidP="00E74CD4">
      <w:pPr>
        <w:spacing w:after="120"/>
        <w:ind w:right="23"/>
        <w:jc w:val="both"/>
        <w:rPr>
          <w:rFonts w:ascii="Arial" w:hAnsi="Arial" w:cs="Arial"/>
          <w:sz w:val="20"/>
          <w:szCs w:val="20"/>
        </w:rPr>
      </w:pPr>
      <w:r w:rsidRPr="00C9631A">
        <w:rPr>
          <w:rFonts w:ascii="Arial" w:hAnsi="Arial" w:cs="Arial"/>
          <w:b/>
          <w:sz w:val="20"/>
          <w:szCs w:val="20"/>
        </w:rPr>
        <w:t>Dati destagionalizzati</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dati depurati, mediante apposite tecniche statistiche, dalle fluttuazioni attribuibili alla componente stagionale (dovute a fattori meteorologici, consuetudinari, legislativi, ecc.) e, se significativi, dagli effetti di calendario. Questa trasformazione dei dati è la più idonea a cogliere l’evoluzione congiunturale di un indicatore.</w:t>
      </w:r>
    </w:p>
    <w:p w14:paraId="16E90070"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Energia</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include l’industria estrattiva di materie prime energetiche (petrolio, gas naturale, lignite), l’industria della raffinazione, la produzione di energia elettrica, gas e acqua, vapore, la raccolta, depurazione e distribuzione dell’acqua.</w:t>
      </w:r>
    </w:p>
    <w:p w14:paraId="03C282E9" w14:textId="77777777" w:rsidR="006B1C0B" w:rsidRPr="00C9631A" w:rsidRDefault="006B1C0B" w:rsidP="00E74CD4">
      <w:pPr>
        <w:spacing w:after="120"/>
        <w:ind w:right="23"/>
        <w:jc w:val="both"/>
        <w:rPr>
          <w:rFonts w:ascii="Arial" w:hAnsi="Arial" w:cs="Arial"/>
          <w:sz w:val="20"/>
          <w:szCs w:val="20"/>
        </w:rPr>
      </w:pPr>
      <w:r w:rsidRPr="00C9631A">
        <w:rPr>
          <w:rFonts w:ascii="Arial" w:hAnsi="Arial" w:cs="Arial"/>
          <w:b/>
          <w:sz w:val="20"/>
          <w:szCs w:val="20"/>
        </w:rPr>
        <w:t>Esportazioni</w:t>
      </w:r>
      <w:r w:rsidRPr="00C9631A">
        <w:rPr>
          <w:rFonts w:ascii="Arial" w:hAnsi="Arial" w:cs="Arial"/>
          <w:sz w:val="20"/>
          <w:szCs w:val="20"/>
        </w:rPr>
        <w:t xml:space="preserve">: includono tutti i beni (nazionali o nazionalizzati, nuovi o usati) che, a titolo oneroso o gratuito, escono dal territorio economico del Paese per essere destinati al resto del mondo. Esse sono valutate al valore </w:t>
      </w:r>
      <w:proofErr w:type="spellStart"/>
      <w:r w:rsidRPr="00C9631A">
        <w:rPr>
          <w:rFonts w:ascii="Arial" w:hAnsi="Arial" w:cs="Arial"/>
          <w:sz w:val="20"/>
          <w:szCs w:val="20"/>
        </w:rPr>
        <w:t>Fob</w:t>
      </w:r>
      <w:proofErr w:type="spellEnd"/>
      <w:r w:rsidRPr="00C9631A">
        <w:rPr>
          <w:rFonts w:ascii="Arial" w:hAnsi="Arial" w:cs="Arial"/>
          <w:sz w:val="20"/>
          <w:szCs w:val="20"/>
        </w:rPr>
        <w:t xml:space="preserve"> (free on board), che corrisponde al prezzo di mercato alla frontiera del Paese esportatore. Questo prezzo comprende il prezzo ex-</w:t>
      </w:r>
      <w:proofErr w:type="spellStart"/>
      <w:r w:rsidRPr="00C9631A">
        <w:rPr>
          <w:rFonts w:ascii="Arial" w:hAnsi="Arial" w:cs="Arial"/>
          <w:sz w:val="20"/>
          <w:szCs w:val="20"/>
        </w:rPr>
        <w:t>fabrica</w:t>
      </w:r>
      <w:proofErr w:type="spellEnd"/>
      <w:r w:rsidRPr="00C9631A">
        <w:rPr>
          <w:rFonts w:ascii="Arial" w:hAnsi="Arial" w:cs="Arial"/>
          <w:sz w:val="20"/>
          <w:szCs w:val="20"/>
        </w:rPr>
        <w:t>, i margini commerciali, le spese di trasporto internazionale e gli eventuali diritti all'esportazione.</w:t>
      </w:r>
    </w:p>
    <w:p w14:paraId="5824DD4A" w14:textId="77777777" w:rsidR="006B1C0B" w:rsidRPr="00C9631A" w:rsidRDefault="006B1C0B" w:rsidP="00E74CD4">
      <w:pPr>
        <w:pStyle w:val="NormaleWeb"/>
        <w:spacing w:beforeAutospacing="0" w:after="120" w:afterAutospacing="0"/>
        <w:jc w:val="both"/>
        <w:rPr>
          <w:rFonts w:ascii="Arial" w:hAnsi="Arial" w:cs="Arial"/>
          <w:sz w:val="20"/>
          <w:szCs w:val="20"/>
        </w:rPr>
      </w:pPr>
      <w:r w:rsidRPr="00C9631A">
        <w:rPr>
          <w:rFonts w:ascii="Arial" w:hAnsi="Arial" w:cs="Arial"/>
          <w:b/>
          <w:sz w:val="20"/>
          <w:szCs w:val="20"/>
          <w:lang w:eastAsia="ar-SA"/>
        </w:rPr>
        <w:t>Importazioni</w:t>
      </w:r>
      <w:r w:rsidRPr="00C9631A">
        <w:rPr>
          <w:rFonts w:ascii="Arial" w:hAnsi="Arial" w:cs="Arial"/>
          <w:bCs/>
          <w:sz w:val="20"/>
          <w:szCs w:val="20"/>
          <w:lang w:eastAsia="ar-SA"/>
        </w:rPr>
        <w:t>:</w:t>
      </w:r>
      <w:r w:rsidRPr="00C9631A">
        <w:rPr>
          <w:rFonts w:ascii="Arial" w:hAnsi="Arial" w:cs="Arial"/>
          <w:sz w:val="20"/>
          <w:szCs w:val="20"/>
          <w:lang w:eastAsia="ar-SA"/>
        </w:rPr>
        <w:t xml:space="preserve"> comprendono tutti i beni (nuovi o usati) che, a titolo oneroso o gratuito, entrano nel territorio economico del Paese in provenienza dal Resto del mondo. Esse sono valutate al valore </w:t>
      </w:r>
      <w:proofErr w:type="spellStart"/>
      <w:r w:rsidRPr="00C9631A">
        <w:rPr>
          <w:rFonts w:ascii="Arial" w:hAnsi="Arial" w:cs="Arial"/>
          <w:sz w:val="20"/>
          <w:szCs w:val="20"/>
          <w:lang w:eastAsia="ar-SA"/>
        </w:rPr>
        <w:t>Cif</w:t>
      </w:r>
      <w:proofErr w:type="spellEnd"/>
      <w:r w:rsidRPr="00C9631A">
        <w:rPr>
          <w:rFonts w:ascii="Arial" w:hAnsi="Arial" w:cs="Arial"/>
          <w:sz w:val="20"/>
          <w:szCs w:val="20"/>
          <w:lang w:eastAsia="ar-SA"/>
        </w:rPr>
        <w:t xml:space="preserve"> (cost, insurance, </w:t>
      </w:r>
      <w:proofErr w:type="spellStart"/>
      <w:r w:rsidRPr="00C9631A">
        <w:rPr>
          <w:rFonts w:ascii="Arial" w:hAnsi="Arial" w:cs="Arial"/>
          <w:sz w:val="20"/>
          <w:szCs w:val="20"/>
          <w:lang w:eastAsia="ar-SA"/>
        </w:rPr>
        <w:t>freight</w:t>
      </w:r>
      <w:proofErr w:type="spellEnd"/>
      <w:r w:rsidRPr="00C9631A">
        <w:rPr>
          <w:rFonts w:ascii="Arial" w:hAnsi="Arial" w:cs="Arial"/>
          <w:sz w:val="20"/>
          <w:szCs w:val="20"/>
          <w:lang w:eastAsia="ar-SA"/>
        </w:rPr>
        <w:t xml:space="preserve">), che comprende: il valore </w:t>
      </w:r>
      <w:proofErr w:type="spellStart"/>
      <w:r w:rsidRPr="00C9631A">
        <w:rPr>
          <w:rFonts w:ascii="Arial" w:hAnsi="Arial" w:cs="Arial"/>
          <w:sz w:val="20"/>
          <w:szCs w:val="20"/>
          <w:lang w:eastAsia="ar-SA"/>
        </w:rPr>
        <w:t>Fob</w:t>
      </w:r>
      <w:proofErr w:type="spellEnd"/>
      <w:r w:rsidRPr="00C9631A">
        <w:rPr>
          <w:rFonts w:ascii="Arial" w:hAnsi="Arial" w:cs="Arial"/>
          <w:sz w:val="20"/>
          <w:szCs w:val="20"/>
          <w:lang w:eastAsia="ar-SA"/>
        </w:rPr>
        <w:t xml:space="preserve"> dei beni, le spese di trasporto e le attività assicurative tra la frontiera del Paese esportatore e la frontiera del Paese importatore.</w:t>
      </w:r>
    </w:p>
    <w:p w14:paraId="194A4603"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sz w:val="20"/>
          <w:szCs w:val="20"/>
        </w:rPr>
        <w:t>Indice dei prezzi all’importazione</w:t>
      </w:r>
      <w:r w:rsidRPr="00C9631A">
        <w:rPr>
          <w:rFonts w:ascii="Arial" w:hAnsi="Arial" w:cs="Arial"/>
          <w:bCs/>
          <w:sz w:val="20"/>
          <w:szCs w:val="20"/>
        </w:rPr>
        <w:t>:</w:t>
      </w:r>
      <w:r w:rsidRPr="00C9631A">
        <w:rPr>
          <w:rFonts w:ascii="Arial" w:hAnsi="Arial" w:cs="Arial"/>
          <w:b/>
          <w:bCs/>
          <w:sz w:val="20"/>
          <w:szCs w:val="20"/>
        </w:rPr>
        <w:t xml:space="preserve"> </w:t>
      </w:r>
      <w:r w:rsidRPr="00C9631A">
        <w:rPr>
          <w:rFonts w:ascii="Arial" w:hAnsi="Arial" w:cs="Arial"/>
          <w:sz w:val="20"/>
          <w:szCs w:val="20"/>
        </w:rPr>
        <w:t xml:space="preserve">indicatore mensile che misura le variazioni nel tempo dei prezzi all’importazione di un paniere rappresentativo dei principali prodotti industriali importati da imprese dell’industria e del commercio. I prezzi si riferiscono ai prodotti industriali importati da imprese (la cui attività economica prevalente nelle sezioni B, C, D, E, G della classificazione Ateco 2007 derivata dalla </w:t>
      </w:r>
      <w:proofErr w:type="spellStart"/>
      <w:r w:rsidRPr="00C9631A">
        <w:rPr>
          <w:rFonts w:ascii="Arial" w:hAnsi="Arial" w:cs="Arial"/>
          <w:sz w:val="20"/>
          <w:szCs w:val="20"/>
        </w:rPr>
        <w:t>Nace</w:t>
      </w:r>
      <w:proofErr w:type="spellEnd"/>
      <w:r w:rsidRPr="00C9631A">
        <w:rPr>
          <w:rFonts w:ascii="Arial" w:hAnsi="Arial" w:cs="Arial"/>
          <w:sz w:val="20"/>
          <w:szCs w:val="20"/>
        </w:rPr>
        <w:t xml:space="preserve"> Rev.2) situate sul territorio nazionale. L’indicatore è definito dal Regolamento delle Statistiche economiche congiunturali STS (CE) 1158/2005.</w:t>
      </w:r>
    </w:p>
    <w:p w14:paraId="516CAAAB" w14:textId="77777777" w:rsidR="006B1C0B" w:rsidRPr="00C9631A" w:rsidRDefault="006B1C0B" w:rsidP="00E74CD4">
      <w:pPr>
        <w:spacing w:after="120"/>
        <w:jc w:val="both"/>
        <w:rPr>
          <w:rFonts w:ascii="Arial" w:hAnsi="Arial" w:cs="Arial"/>
          <w:bCs/>
          <w:sz w:val="20"/>
          <w:szCs w:val="20"/>
        </w:rPr>
      </w:pPr>
      <w:r w:rsidRPr="00C9631A">
        <w:rPr>
          <w:rFonts w:ascii="Arial" w:hAnsi="Arial" w:cs="Arial"/>
          <w:b/>
          <w:bCs/>
          <w:sz w:val="20"/>
          <w:szCs w:val="20"/>
        </w:rPr>
        <w:t xml:space="preserve">Indice dei prezzi all’importazione </w:t>
      </w:r>
      <w:r w:rsidRPr="00C9631A">
        <w:rPr>
          <w:rFonts w:ascii="Arial" w:hAnsi="Arial" w:cs="Arial"/>
          <w:b/>
          <w:sz w:val="20"/>
          <w:szCs w:val="20"/>
        </w:rPr>
        <w:t>al netto dell’energia</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 xml:space="preserve">misura la componente di fondo dell’indice </w:t>
      </w:r>
      <w:r w:rsidRPr="00C9631A">
        <w:rPr>
          <w:rFonts w:ascii="Arial" w:hAnsi="Arial" w:cs="Arial"/>
          <w:bCs/>
          <w:sz w:val="20"/>
          <w:szCs w:val="20"/>
        </w:rPr>
        <w:t>aggregato, calcolata al netto del Raggruppamento principale di industria Energia.</w:t>
      </w:r>
    </w:p>
    <w:p w14:paraId="50DC4A32"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sz w:val="20"/>
          <w:szCs w:val="20"/>
        </w:rPr>
        <w:t>Indice totale dei prezzi all’importazione</w:t>
      </w:r>
      <w:r w:rsidRPr="00C9631A">
        <w:rPr>
          <w:rFonts w:ascii="Arial" w:hAnsi="Arial" w:cs="Arial"/>
          <w:bCs/>
          <w:sz w:val="20"/>
          <w:szCs w:val="20"/>
        </w:rPr>
        <w:t>:</w:t>
      </w:r>
      <w:r w:rsidRPr="00C9631A">
        <w:rPr>
          <w:rFonts w:ascii="Arial" w:hAnsi="Arial" w:cs="Arial"/>
          <w:b/>
          <w:bCs/>
          <w:sz w:val="20"/>
          <w:szCs w:val="20"/>
        </w:rPr>
        <w:t xml:space="preserve"> </w:t>
      </w:r>
      <w:r w:rsidRPr="00C9631A">
        <w:rPr>
          <w:rFonts w:ascii="Arial" w:hAnsi="Arial" w:cs="Arial"/>
          <w:sz w:val="20"/>
          <w:szCs w:val="20"/>
        </w:rPr>
        <w:t>indicatore definito dalla media aritmetica ponderata degli indici dei prezzi calcolati sui mercati dell’Area euro e non euro.</w:t>
      </w:r>
    </w:p>
    <w:p w14:paraId="2E174578" w14:textId="48B791D0" w:rsidR="006B1C0B" w:rsidRPr="00C9631A" w:rsidRDefault="006B1C0B" w:rsidP="00E74CD4">
      <w:pPr>
        <w:spacing w:after="120"/>
        <w:jc w:val="both"/>
        <w:rPr>
          <w:rFonts w:ascii="Arial" w:hAnsi="Arial" w:cs="Arial"/>
          <w:sz w:val="20"/>
          <w:szCs w:val="20"/>
        </w:rPr>
      </w:pPr>
      <w:r w:rsidRPr="00C9631A">
        <w:rPr>
          <w:rFonts w:ascii="Arial" w:hAnsi="Arial" w:cs="Arial"/>
          <w:b/>
          <w:bCs/>
          <w:sz w:val="20"/>
          <w:szCs w:val="20"/>
        </w:rPr>
        <w:t>Merce</w:t>
      </w:r>
      <w:r w:rsidRPr="00C9631A">
        <w:rPr>
          <w:rFonts w:ascii="Arial" w:hAnsi="Arial" w:cs="Arial"/>
          <w:bCs/>
          <w:sz w:val="20"/>
          <w:szCs w:val="20"/>
        </w:rPr>
        <w:t>: tutte le merci che fisicamente transitano la frontier</w:t>
      </w:r>
      <w:r w:rsidR="00E37A51">
        <w:rPr>
          <w:rFonts w:ascii="Arial" w:hAnsi="Arial" w:cs="Arial"/>
          <w:bCs/>
          <w:sz w:val="20"/>
          <w:szCs w:val="20"/>
        </w:rPr>
        <w:t>a</w:t>
      </w:r>
      <w:r w:rsidRPr="00C9631A">
        <w:rPr>
          <w:rFonts w:ascii="Arial" w:hAnsi="Arial" w:cs="Arial"/>
          <w:bCs/>
          <w:sz w:val="20"/>
          <w:szCs w:val="20"/>
        </w:rPr>
        <w:t xml:space="preserve"> nazionale, inclusa l'energia elettrica. Per i movimenti particolari, che includono navi e aerei è utilizzato il principio della proprietà economica.</w:t>
      </w:r>
    </w:p>
    <w:p w14:paraId="4DD0D63F" w14:textId="77777777" w:rsidR="006B1C0B" w:rsidRPr="00C9631A" w:rsidRDefault="006B1C0B" w:rsidP="00E74CD4">
      <w:pPr>
        <w:spacing w:after="120"/>
        <w:ind w:right="20"/>
        <w:jc w:val="both"/>
        <w:rPr>
          <w:rFonts w:ascii="Arial" w:hAnsi="Arial" w:cs="Arial"/>
          <w:sz w:val="20"/>
          <w:szCs w:val="20"/>
        </w:rPr>
      </w:pPr>
      <w:r w:rsidRPr="00C9631A">
        <w:rPr>
          <w:rFonts w:ascii="Arial" w:hAnsi="Arial" w:cs="Arial"/>
          <w:b/>
          <w:sz w:val="20"/>
          <w:szCs w:val="20"/>
        </w:rPr>
        <w:t>Quote di mercato</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 xml:space="preserve">rapporto percentuale tra valore delle esportazioni nazionali e valore delle esportazioni di un gruppo di paesi elaborato a partire da dati di fonte Eurostat rispetto all’ultimo periodo di disponibilità dei dati. </w:t>
      </w:r>
    </w:p>
    <w:p w14:paraId="5FB81DEE" w14:textId="77777777" w:rsidR="006B1C0B" w:rsidRPr="00C9631A" w:rsidRDefault="006B1C0B" w:rsidP="00E74CD4">
      <w:pPr>
        <w:spacing w:after="120"/>
        <w:ind w:right="20"/>
        <w:jc w:val="both"/>
        <w:rPr>
          <w:rFonts w:ascii="Arial" w:hAnsi="Arial" w:cs="Arial"/>
          <w:sz w:val="20"/>
          <w:szCs w:val="20"/>
        </w:rPr>
      </w:pPr>
      <w:r w:rsidRPr="00C9631A">
        <w:rPr>
          <w:rFonts w:ascii="Arial" w:hAnsi="Arial" w:cs="Arial"/>
          <w:b/>
          <w:sz w:val="20"/>
          <w:szCs w:val="20"/>
        </w:rPr>
        <w:t>Raggruppamenti principali di industrie</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gruppi e/o divisioni di attività economica definiti, secondo il criterio della prevalenza.</w:t>
      </w:r>
    </w:p>
    <w:p w14:paraId="356114A5"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Revisioni</w:t>
      </w:r>
      <w:r w:rsidRPr="00C9631A">
        <w:rPr>
          <w:rFonts w:ascii="Arial" w:hAnsi="Arial" w:cs="Arial"/>
          <w:sz w:val="20"/>
          <w:szCs w:val="20"/>
        </w:rPr>
        <w:t>: differenze in punti tra la variazione percentuale pubblicata come dato provvisorio nel precedente comunicato stampa e quella definitiva relativa allo stesso mese di riferimento. Data la complessità merceologica e geografica dei dati di commercio estero, oltre alla revisione mensile, i regolamenti statistici comunitari prevedono che i dati mensili dell’anno t-1 siano ulteriormente rivisti e diffusi nel mese di novembre dell’anno t.</w:t>
      </w:r>
    </w:p>
    <w:p w14:paraId="6861C7F8" w14:textId="77777777" w:rsidR="008028CC" w:rsidRDefault="008028CC" w:rsidP="00E74CD4">
      <w:pPr>
        <w:spacing w:after="120"/>
        <w:jc w:val="both"/>
        <w:rPr>
          <w:rFonts w:ascii="Arial" w:hAnsi="Arial" w:cs="Arial"/>
          <w:b/>
          <w:sz w:val="20"/>
          <w:szCs w:val="20"/>
        </w:rPr>
      </w:pPr>
    </w:p>
    <w:p w14:paraId="0A41609F" w14:textId="77777777" w:rsidR="008028CC" w:rsidRDefault="008028CC" w:rsidP="00E74CD4">
      <w:pPr>
        <w:spacing w:after="120"/>
        <w:jc w:val="both"/>
        <w:rPr>
          <w:rFonts w:ascii="Arial" w:hAnsi="Arial" w:cs="Arial"/>
          <w:b/>
          <w:sz w:val="20"/>
          <w:szCs w:val="20"/>
        </w:rPr>
      </w:pPr>
    </w:p>
    <w:p w14:paraId="092459FB" w14:textId="77777777" w:rsidR="008028CC" w:rsidRDefault="008028CC" w:rsidP="00E74CD4">
      <w:pPr>
        <w:spacing w:after="120"/>
        <w:jc w:val="both"/>
        <w:rPr>
          <w:rFonts w:ascii="Arial" w:hAnsi="Arial" w:cs="Arial"/>
          <w:b/>
          <w:sz w:val="20"/>
          <w:szCs w:val="20"/>
        </w:rPr>
      </w:pPr>
    </w:p>
    <w:p w14:paraId="529C97B9" w14:textId="77777777" w:rsidR="008028CC" w:rsidRDefault="008028CC" w:rsidP="00E74CD4">
      <w:pPr>
        <w:spacing w:after="120"/>
        <w:jc w:val="both"/>
        <w:rPr>
          <w:rFonts w:ascii="Arial" w:hAnsi="Arial" w:cs="Arial"/>
          <w:b/>
          <w:sz w:val="20"/>
          <w:szCs w:val="20"/>
        </w:rPr>
      </w:pPr>
    </w:p>
    <w:p w14:paraId="5C756E1F" w14:textId="77777777" w:rsidR="006B1C0B" w:rsidRPr="00C9631A" w:rsidRDefault="006B1C0B" w:rsidP="00E74CD4">
      <w:pPr>
        <w:spacing w:after="120"/>
        <w:jc w:val="both"/>
        <w:rPr>
          <w:rFonts w:ascii="Arial" w:hAnsi="Arial" w:cs="Arial"/>
          <w:b/>
          <w:sz w:val="20"/>
          <w:szCs w:val="20"/>
        </w:rPr>
      </w:pPr>
      <w:r w:rsidRPr="00C9631A">
        <w:rPr>
          <w:rFonts w:ascii="Arial" w:hAnsi="Arial" w:cs="Arial"/>
          <w:b/>
          <w:sz w:val="20"/>
          <w:szCs w:val="20"/>
        </w:rPr>
        <w:t>Settori di attività economica</w:t>
      </w:r>
      <w:r w:rsidRPr="00C9631A">
        <w:rPr>
          <w:rFonts w:ascii="Arial" w:hAnsi="Arial" w:cs="Arial"/>
          <w:sz w:val="20"/>
          <w:szCs w:val="20"/>
        </w:rPr>
        <w:t xml:space="preserve">: aggregati della classificazione </w:t>
      </w:r>
      <w:hyperlink r:id="rId36" w:history="1">
        <w:r w:rsidRPr="00C9631A">
          <w:rPr>
            <w:rStyle w:val="Collegamentoipertestuale"/>
            <w:rFonts w:ascii="Arial" w:hAnsi="Arial" w:cs="Arial"/>
            <w:sz w:val="20"/>
            <w:szCs w:val="20"/>
          </w:rPr>
          <w:t>SNA/ISIC A38</w:t>
        </w:r>
      </w:hyperlink>
      <w:r w:rsidRPr="00C9631A">
        <w:rPr>
          <w:rFonts w:ascii="Arial" w:hAnsi="Arial" w:cs="Arial"/>
          <w:sz w:val="20"/>
          <w:szCs w:val="20"/>
        </w:rPr>
        <w:t xml:space="preserve"> (non previsti dalla classificazione </w:t>
      </w:r>
      <w:hyperlink r:id="rId37" w:history="1">
        <w:proofErr w:type="spellStart"/>
        <w:r w:rsidRPr="00C9631A">
          <w:rPr>
            <w:rStyle w:val="Collegamentoipertestuale"/>
            <w:rFonts w:ascii="Arial" w:hAnsi="Arial" w:cs="Arial"/>
            <w:sz w:val="20"/>
            <w:szCs w:val="20"/>
          </w:rPr>
          <w:t>Nace</w:t>
        </w:r>
        <w:proofErr w:type="spellEnd"/>
        <w:r w:rsidRPr="00C9631A">
          <w:rPr>
            <w:rStyle w:val="Collegamentoipertestuale"/>
            <w:rFonts w:ascii="Arial" w:hAnsi="Arial" w:cs="Arial"/>
            <w:sz w:val="20"/>
            <w:szCs w:val="20"/>
          </w:rPr>
          <w:t xml:space="preserve"> Rev.2</w:t>
        </w:r>
      </w:hyperlink>
      <w:r w:rsidRPr="00C9631A">
        <w:rPr>
          <w:rFonts w:ascii="Arial" w:hAnsi="Arial" w:cs="Arial"/>
          <w:sz w:val="20"/>
          <w:szCs w:val="20"/>
        </w:rPr>
        <w:t>) pubblicati per continuità storica con l’informazione fornita prima del gennaio 2009.</w:t>
      </w:r>
    </w:p>
    <w:p w14:paraId="200E73E7" w14:textId="77777777" w:rsidR="006B1C0B" w:rsidRPr="00C9631A" w:rsidRDefault="006B1C0B" w:rsidP="00E74CD4">
      <w:pPr>
        <w:spacing w:after="120"/>
        <w:ind w:right="20"/>
        <w:jc w:val="both"/>
        <w:rPr>
          <w:rFonts w:ascii="Arial" w:hAnsi="Arial" w:cs="Arial"/>
          <w:sz w:val="20"/>
          <w:szCs w:val="20"/>
        </w:rPr>
      </w:pPr>
      <w:r w:rsidRPr="00C9631A">
        <w:rPr>
          <w:rFonts w:ascii="Arial" w:hAnsi="Arial" w:cs="Arial"/>
          <w:b/>
          <w:sz w:val="20"/>
          <w:szCs w:val="20"/>
        </w:rPr>
        <w:t>Variazione congiunturale</w:t>
      </w:r>
      <w:r w:rsidRPr="00C9631A">
        <w:rPr>
          <w:rFonts w:ascii="Arial" w:hAnsi="Arial" w:cs="Arial"/>
          <w:sz w:val="20"/>
          <w:szCs w:val="20"/>
        </w:rPr>
        <w:t>: variazione percentuale rispetto al mese o al periodo precedente.</w:t>
      </w:r>
    </w:p>
    <w:p w14:paraId="65813A2F" w14:textId="77777777" w:rsidR="006B1C0B" w:rsidRPr="00C9631A" w:rsidRDefault="006B1C0B" w:rsidP="00E74CD4">
      <w:pPr>
        <w:pStyle w:val="Corpodeltesto1"/>
        <w:spacing w:after="120"/>
        <w:rPr>
          <w:rFonts w:ascii="Arial" w:hAnsi="Arial" w:cs="Arial"/>
          <w:b w:val="0"/>
          <w:sz w:val="20"/>
          <w:szCs w:val="20"/>
        </w:rPr>
      </w:pPr>
      <w:r w:rsidRPr="00C9631A">
        <w:rPr>
          <w:rFonts w:ascii="Arial" w:hAnsi="Arial" w:cs="Arial"/>
          <w:sz w:val="20"/>
          <w:szCs w:val="20"/>
        </w:rPr>
        <w:t>Variazione tendenziale</w:t>
      </w:r>
      <w:r w:rsidRPr="00C9631A">
        <w:rPr>
          <w:rFonts w:ascii="Arial" w:hAnsi="Arial" w:cs="Arial"/>
          <w:b w:val="0"/>
          <w:bCs/>
          <w:sz w:val="20"/>
          <w:szCs w:val="20"/>
        </w:rPr>
        <w:t>:</w:t>
      </w:r>
      <w:r w:rsidRPr="00C9631A">
        <w:rPr>
          <w:rFonts w:ascii="Arial" w:hAnsi="Arial" w:cs="Arial"/>
          <w:b w:val="0"/>
          <w:sz w:val="20"/>
          <w:szCs w:val="20"/>
        </w:rPr>
        <w:t xml:space="preserve"> variazione percentuale rispetto allo stesso mese o allo stesso periodo dell’anno precedente.</w:t>
      </w:r>
    </w:p>
    <w:p w14:paraId="29A2120A" w14:textId="77777777" w:rsidR="008028CC" w:rsidRPr="00C9631A" w:rsidRDefault="008028CC" w:rsidP="006B1C0B">
      <w:pPr>
        <w:spacing w:after="120"/>
        <w:jc w:val="both"/>
        <w:rPr>
          <w:rFonts w:ascii="Arial" w:hAnsi="Arial" w:cs="Arial"/>
          <w:b/>
          <w:sz w:val="20"/>
          <w:szCs w:val="20"/>
        </w:rPr>
      </w:pPr>
    </w:p>
    <w:p w14:paraId="499AD1DD" w14:textId="77777777" w:rsidR="006B1C0B" w:rsidRDefault="006B1C0B" w:rsidP="006B1C0B">
      <w:pPr>
        <w:spacing w:after="120"/>
        <w:jc w:val="both"/>
        <w:rPr>
          <w:rFonts w:ascii="Arial" w:hAnsi="Arial" w:cs="Arial"/>
          <w:b/>
          <w:sz w:val="22"/>
          <w:szCs w:val="20"/>
        </w:rPr>
      </w:pPr>
      <w:r w:rsidRPr="00C9631A">
        <w:rPr>
          <w:rFonts w:ascii="Arial" w:hAnsi="Arial" w:cs="Arial"/>
          <w:b/>
          <w:sz w:val="22"/>
          <w:szCs w:val="20"/>
        </w:rPr>
        <w:t>Definizioni delle aree geografiche e geoeconomiche</w:t>
      </w:r>
    </w:p>
    <w:p w14:paraId="5371E905"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iCs/>
          <w:sz w:val="20"/>
          <w:szCs w:val="20"/>
        </w:rPr>
        <w:t>Africa settentrionale</w:t>
      </w:r>
      <w:r w:rsidRPr="00C9631A">
        <w:rPr>
          <w:rFonts w:ascii="Arial" w:hAnsi="Arial" w:cs="Arial"/>
          <w:sz w:val="20"/>
          <w:szCs w:val="20"/>
        </w:rPr>
        <w:t>: Algeria, Egitto, Ceuta, Libia, Marocco, Melilla, Sahara Occidentale, Tunisia.</w:t>
      </w:r>
    </w:p>
    <w:p w14:paraId="54054792"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iCs/>
          <w:sz w:val="20"/>
          <w:szCs w:val="20"/>
        </w:rPr>
        <w:t>Altri paesi africani</w:t>
      </w:r>
      <w:r w:rsidRPr="00C9631A">
        <w:rPr>
          <w:rFonts w:ascii="Arial" w:hAnsi="Arial" w:cs="Arial"/>
          <w:sz w:val="20"/>
          <w:szCs w:val="20"/>
        </w:rPr>
        <w:t xml:space="preserve">: Angola, Benin, Botswana, Burkina Faso, Burundi, Camerun, Capo Verde, Ciad, Comore, Congo, Costa d’Avorio, Eritrea, Etiopia, Gabon, Gambia, Ghana, Gibuti, Guinea, Guinea equatoriale, Guinea-Bissau, Kenya, Lesotho, Liberia, Madagascar, Malawi, Mali, Mauritania, Maurizio, Mayotte, Mozambico, Namibia, Niger, Nigeria, Repubblica Centrafricana, Repubblica democratica del Congo, Repubblica unita di Tanzania, Ruanda, Sant’Elena-Ascensione e Tristan da Cunha, </w:t>
      </w:r>
      <w:proofErr w:type="spellStart"/>
      <w:r w:rsidRPr="00C9631A">
        <w:rPr>
          <w:rFonts w:ascii="Arial" w:hAnsi="Arial" w:cs="Arial"/>
          <w:sz w:val="20"/>
          <w:szCs w:val="20"/>
        </w:rPr>
        <w:t>São</w:t>
      </w:r>
      <w:proofErr w:type="spellEnd"/>
      <w:r w:rsidRPr="00C9631A">
        <w:rPr>
          <w:rFonts w:ascii="Arial" w:hAnsi="Arial" w:cs="Arial"/>
          <w:sz w:val="20"/>
          <w:szCs w:val="20"/>
        </w:rPr>
        <w:t xml:space="preserve"> </w:t>
      </w:r>
      <w:proofErr w:type="spellStart"/>
      <w:r w:rsidRPr="00C9631A">
        <w:rPr>
          <w:rFonts w:ascii="Arial" w:hAnsi="Arial" w:cs="Arial"/>
          <w:sz w:val="20"/>
          <w:szCs w:val="20"/>
        </w:rPr>
        <w:t>Tomé</w:t>
      </w:r>
      <w:proofErr w:type="spellEnd"/>
      <w:r w:rsidRPr="00C9631A">
        <w:rPr>
          <w:rFonts w:ascii="Arial" w:hAnsi="Arial" w:cs="Arial"/>
          <w:sz w:val="20"/>
          <w:szCs w:val="20"/>
        </w:rPr>
        <w:t xml:space="preserve"> e Principe, Seychelles, Senegal, Sierra Leone, Somalia, Sud Africa, Sudan, Sud Sudan, Swaziland, Territorio britannico dell’ Oceano Indiano, Togo, Uganda, Zambia, Zimbabwe. </w:t>
      </w:r>
    </w:p>
    <w:p w14:paraId="69979550" w14:textId="77777777" w:rsidR="006B1C0B" w:rsidRPr="00C9631A" w:rsidRDefault="006B1C0B" w:rsidP="00E74CD4">
      <w:pPr>
        <w:spacing w:after="120"/>
        <w:jc w:val="both"/>
        <w:rPr>
          <w:rFonts w:ascii="Arial" w:hAnsi="Arial" w:cs="Arial"/>
          <w:b/>
          <w:bCs/>
          <w:i/>
          <w:iCs/>
          <w:sz w:val="20"/>
          <w:szCs w:val="20"/>
        </w:rPr>
      </w:pPr>
      <w:r w:rsidRPr="00C9631A">
        <w:rPr>
          <w:rFonts w:ascii="Arial" w:hAnsi="Arial" w:cs="Arial"/>
          <w:b/>
          <w:bCs/>
          <w:iCs/>
          <w:sz w:val="20"/>
          <w:szCs w:val="20"/>
        </w:rPr>
        <w:t>Altri paesi asiatici</w:t>
      </w:r>
      <w:r w:rsidRPr="00C9631A">
        <w:rPr>
          <w:rFonts w:ascii="Arial" w:hAnsi="Arial" w:cs="Arial"/>
          <w:i/>
          <w:iCs/>
          <w:sz w:val="20"/>
          <w:szCs w:val="20"/>
        </w:rPr>
        <w:t xml:space="preserve">: </w:t>
      </w:r>
      <w:r w:rsidRPr="00C9631A">
        <w:rPr>
          <w:rFonts w:ascii="Arial" w:hAnsi="Arial" w:cs="Arial"/>
          <w:sz w:val="20"/>
          <w:szCs w:val="20"/>
        </w:rPr>
        <w:t>Afghanistan, Bangladesh, Bhutan, Birmania, Brunei, Cambogia, Cina, Corea del Nord, Corea del Sud, Filippine, Giappone, Hong Kong, India, Indonesia, Kazakistan, Kirghizistan, Laos, Macao, Malaysia, Maldive, Mongolia, Nepal, Pakistan, Singapore, Sri Lanka, Tagikistan, Taiwan, Thailandia, Timor-Leste, Turkmenistan, Uzbekistan, Vietnam.</w:t>
      </w:r>
    </w:p>
    <w:p w14:paraId="7747FFC4" w14:textId="77777777" w:rsidR="006B1C0B" w:rsidRPr="00C9631A" w:rsidRDefault="006B1C0B" w:rsidP="00E74CD4">
      <w:pPr>
        <w:spacing w:after="120"/>
        <w:jc w:val="both"/>
        <w:rPr>
          <w:rFonts w:ascii="Arial" w:hAnsi="Arial" w:cs="Arial"/>
          <w:b/>
          <w:bCs/>
          <w:i/>
          <w:iCs/>
          <w:sz w:val="20"/>
          <w:szCs w:val="20"/>
        </w:rPr>
      </w:pPr>
      <w:r w:rsidRPr="00C9631A">
        <w:rPr>
          <w:rFonts w:ascii="Arial" w:hAnsi="Arial" w:cs="Arial"/>
          <w:b/>
          <w:bCs/>
          <w:iCs/>
          <w:sz w:val="20"/>
          <w:szCs w:val="20"/>
        </w:rPr>
        <w:t>America centro-meridionale</w:t>
      </w:r>
      <w:r w:rsidRPr="00C9631A">
        <w:rPr>
          <w:rFonts w:ascii="Arial" w:hAnsi="Arial" w:cs="Arial"/>
          <w:i/>
          <w:iCs/>
          <w:sz w:val="20"/>
          <w:szCs w:val="20"/>
        </w:rPr>
        <w:t xml:space="preserve">: </w:t>
      </w:r>
      <w:r w:rsidRPr="00C9631A">
        <w:rPr>
          <w:rFonts w:ascii="Arial" w:hAnsi="Arial" w:cs="Arial"/>
          <w:sz w:val="20"/>
          <w:szCs w:val="20"/>
        </w:rPr>
        <w:t xml:space="preserve">Anguilla, Antigua e Barbuda, Argentina, Aruba, Bahama, Barbados, Belize, Bermuda, Bolivia, </w:t>
      </w:r>
      <w:proofErr w:type="spellStart"/>
      <w:r w:rsidRPr="00C9631A">
        <w:rPr>
          <w:rFonts w:ascii="Arial" w:hAnsi="Arial" w:cs="Arial"/>
          <w:sz w:val="20"/>
          <w:szCs w:val="20"/>
        </w:rPr>
        <w:t>Bonaire</w:t>
      </w:r>
      <w:proofErr w:type="spellEnd"/>
      <w:r w:rsidRPr="00C9631A">
        <w:rPr>
          <w:rFonts w:ascii="Arial" w:hAnsi="Arial" w:cs="Arial"/>
          <w:sz w:val="20"/>
          <w:szCs w:val="20"/>
        </w:rPr>
        <w:t xml:space="preserve">, </w:t>
      </w:r>
      <w:proofErr w:type="spellStart"/>
      <w:r w:rsidRPr="00C9631A">
        <w:rPr>
          <w:rFonts w:ascii="Arial" w:hAnsi="Arial" w:cs="Arial"/>
          <w:sz w:val="20"/>
          <w:szCs w:val="20"/>
        </w:rPr>
        <w:t>Sint</w:t>
      </w:r>
      <w:proofErr w:type="spellEnd"/>
      <w:r w:rsidRPr="00C9631A">
        <w:rPr>
          <w:rFonts w:ascii="Arial" w:hAnsi="Arial" w:cs="Arial"/>
          <w:sz w:val="20"/>
          <w:szCs w:val="20"/>
        </w:rPr>
        <w:t xml:space="preserve"> </w:t>
      </w:r>
      <w:proofErr w:type="spellStart"/>
      <w:r w:rsidRPr="00C9631A">
        <w:rPr>
          <w:rFonts w:ascii="Arial" w:hAnsi="Arial" w:cs="Arial"/>
          <w:sz w:val="20"/>
          <w:szCs w:val="20"/>
        </w:rPr>
        <w:t>Eustatius</w:t>
      </w:r>
      <w:proofErr w:type="spellEnd"/>
      <w:r w:rsidRPr="00C9631A">
        <w:rPr>
          <w:rFonts w:ascii="Arial" w:hAnsi="Arial" w:cs="Arial"/>
          <w:sz w:val="20"/>
          <w:szCs w:val="20"/>
        </w:rPr>
        <w:t xml:space="preserve"> e Saba, Brasile, Cile, Colombia, Costa Rica, Cuba, Curaçao, Dominica, Ecuador, El Salvador, Giamaica, Grenada, Guatemala, Guyana, Haiti, Honduras, Isole Cayman, Isole Falkland, Isole Turks e Caicos, Isole Vergini Americane, Isole Vergini Britanniche, Messico, Montserrat, Nicaragua, Panama, Paraguay, Perù, Repubblica dominicana, Saint-Barthélemy, Saint Kitts e Nevis, Saint Vincente e le Grenadine, Santa Lucia, </w:t>
      </w:r>
      <w:proofErr w:type="spellStart"/>
      <w:r w:rsidRPr="00C9631A">
        <w:rPr>
          <w:rFonts w:ascii="Arial" w:hAnsi="Arial" w:cs="Arial"/>
          <w:sz w:val="20"/>
          <w:szCs w:val="20"/>
        </w:rPr>
        <w:t>Sint</w:t>
      </w:r>
      <w:proofErr w:type="spellEnd"/>
      <w:r w:rsidRPr="00C9631A">
        <w:rPr>
          <w:rFonts w:ascii="Arial" w:hAnsi="Arial" w:cs="Arial"/>
          <w:sz w:val="20"/>
          <w:szCs w:val="20"/>
        </w:rPr>
        <w:t xml:space="preserve"> Maarten, Suriname, Trinidad e Tobago, Uruguay, Venezuela. </w:t>
      </w:r>
    </w:p>
    <w:p w14:paraId="202BFD03" w14:textId="77777777" w:rsidR="006B1C0B" w:rsidRPr="00C9631A" w:rsidRDefault="006B1C0B" w:rsidP="00E74CD4">
      <w:pPr>
        <w:spacing w:after="120"/>
        <w:jc w:val="both"/>
        <w:rPr>
          <w:rFonts w:ascii="Arial" w:hAnsi="Arial" w:cs="Arial"/>
          <w:b/>
          <w:bCs/>
          <w:i/>
          <w:iCs/>
          <w:sz w:val="20"/>
          <w:szCs w:val="20"/>
        </w:rPr>
      </w:pPr>
      <w:r w:rsidRPr="00C9631A">
        <w:rPr>
          <w:rFonts w:ascii="Arial" w:hAnsi="Arial" w:cs="Arial"/>
          <w:b/>
          <w:bCs/>
          <w:iCs/>
          <w:sz w:val="20"/>
          <w:szCs w:val="20"/>
        </w:rPr>
        <w:t>America settentrionale</w:t>
      </w:r>
      <w:r w:rsidRPr="00C9631A">
        <w:rPr>
          <w:rFonts w:ascii="Arial" w:hAnsi="Arial" w:cs="Arial"/>
          <w:sz w:val="20"/>
          <w:szCs w:val="20"/>
        </w:rPr>
        <w:t>: Canada, Groenlandia, Saint-Pierre e Miquelon, Stati Uniti.</w:t>
      </w:r>
    </w:p>
    <w:p w14:paraId="52962AD7" w14:textId="77777777" w:rsidR="006B1C0B" w:rsidRPr="00C9631A" w:rsidRDefault="006B1C0B" w:rsidP="00E74CD4">
      <w:pPr>
        <w:suppressAutoHyphens/>
        <w:spacing w:after="120"/>
        <w:jc w:val="both"/>
        <w:rPr>
          <w:rFonts w:ascii="Arial" w:hAnsi="Arial" w:cs="Arial"/>
          <w:b/>
          <w:bCs/>
          <w:i/>
          <w:iCs/>
          <w:sz w:val="20"/>
          <w:szCs w:val="20"/>
        </w:rPr>
      </w:pPr>
      <w:r w:rsidRPr="00C9631A">
        <w:rPr>
          <w:rFonts w:ascii="Arial" w:hAnsi="Arial" w:cs="Arial"/>
          <w:b/>
          <w:bCs/>
          <w:iCs/>
          <w:sz w:val="20"/>
          <w:szCs w:val="20"/>
          <w:lang w:eastAsia="ar-SA"/>
        </w:rPr>
        <w:t>Area euro</w:t>
      </w:r>
      <w:r w:rsidRPr="00C9631A">
        <w:rPr>
          <w:rFonts w:ascii="Arial" w:hAnsi="Arial" w:cs="Arial"/>
          <w:sz w:val="20"/>
          <w:szCs w:val="20"/>
          <w:lang w:eastAsia="ar-SA"/>
        </w:rPr>
        <w:t>: Austria, Belgio, Cipro, Estonia, Finlandia, Francia, Germania, Grecia, Irlanda, Italia, Lettonia, Lituania, Lussemburgo, Malta, Paesi Bassi, Portogallo, Slovacchia, Slovenia, Spagna.</w:t>
      </w:r>
    </w:p>
    <w:p w14:paraId="65F65045" w14:textId="77777777" w:rsidR="006B1C0B" w:rsidRPr="00C9631A" w:rsidRDefault="006B1C0B" w:rsidP="00E74CD4">
      <w:pPr>
        <w:suppressAutoHyphens/>
        <w:spacing w:after="120"/>
        <w:jc w:val="both"/>
        <w:rPr>
          <w:rFonts w:ascii="Arial" w:hAnsi="Arial" w:cs="Arial"/>
          <w:b/>
          <w:bCs/>
          <w:i/>
          <w:iCs/>
          <w:sz w:val="20"/>
          <w:szCs w:val="20"/>
        </w:rPr>
      </w:pPr>
      <w:r w:rsidRPr="00C9631A">
        <w:rPr>
          <w:rFonts w:ascii="Arial" w:hAnsi="Arial" w:cs="Arial"/>
          <w:b/>
          <w:bCs/>
          <w:iCs/>
          <w:sz w:val="20"/>
          <w:szCs w:val="20"/>
          <w:lang w:eastAsia="ar-SA"/>
        </w:rPr>
        <w:t>Area non euro</w:t>
      </w:r>
      <w:r w:rsidRPr="00C9631A">
        <w:rPr>
          <w:rFonts w:ascii="Arial" w:hAnsi="Arial" w:cs="Arial"/>
          <w:bCs/>
          <w:iCs/>
          <w:sz w:val="20"/>
          <w:szCs w:val="20"/>
          <w:lang w:eastAsia="ar-SA"/>
        </w:rPr>
        <w:t>:</w:t>
      </w:r>
      <w:r w:rsidRPr="00C9631A">
        <w:rPr>
          <w:rFonts w:ascii="Arial" w:hAnsi="Arial" w:cs="Arial"/>
          <w:b/>
          <w:bCs/>
          <w:i/>
          <w:iCs/>
          <w:sz w:val="20"/>
          <w:szCs w:val="20"/>
          <w:lang w:eastAsia="ar-SA"/>
        </w:rPr>
        <w:t xml:space="preserve"> </w:t>
      </w:r>
      <w:r w:rsidRPr="00C9631A">
        <w:rPr>
          <w:rFonts w:ascii="Arial" w:hAnsi="Arial" w:cs="Arial"/>
          <w:bCs/>
          <w:iCs/>
          <w:sz w:val="20"/>
          <w:szCs w:val="20"/>
          <w:lang w:eastAsia="ar-SA"/>
        </w:rPr>
        <w:t>è costituita da tutti i paesi che non adottano l’euro: 1) Paesi che fanno parte dell’Unione europea ma che ancora non aderiscono all’euro (Bulgari</w:t>
      </w:r>
      <w:r w:rsidR="00C22FDA">
        <w:rPr>
          <w:rFonts w:ascii="Arial" w:hAnsi="Arial" w:cs="Arial"/>
          <w:bCs/>
          <w:iCs/>
          <w:sz w:val="20"/>
          <w:szCs w:val="20"/>
          <w:lang w:eastAsia="ar-SA"/>
        </w:rPr>
        <w:t>a, Croazia, Danimarca, Polonia</w:t>
      </w:r>
      <w:r w:rsidRPr="00C9631A">
        <w:rPr>
          <w:rFonts w:ascii="Arial" w:hAnsi="Arial" w:cs="Arial"/>
          <w:bCs/>
          <w:iCs/>
          <w:sz w:val="20"/>
          <w:szCs w:val="20"/>
          <w:lang w:eastAsia="ar-SA"/>
        </w:rPr>
        <w:t>, Repubblica ceca, Romania, Svezia, Ungheria); 2) tutti i Paesi del Resto del mondo. In particolare, Andorra, Città del Vaticano, Principato di Monaco e San Marino usano l’euro come moneta ufficiale ma non sono ufficialmente membri dell’Unione europea; pertanto, fanno parte dell’Area non euro.</w:t>
      </w:r>
    </w:p>
    <w:p w14:paraId="357262ED" w14:textId="77777777" w:rsidR="006B1C0B" w:rsidRPr="00C9631A" w:rsidRDefault="006B1C0B" w:rsidP="00E74CD4">
      <w:pPr>
        <w:suppressAutoHyphens/>
        <w:spacing w:after="120"/>
        <w:jc w:val="both"/>
        <w:rPr>
          <w:rFonts w:ascii="Arial" w:hAnsi="Arial" w:cs="Arial"/>
          <w:b/>
          <w:bCs/>
          <w:i/>
          <w:iCs/>
          <w:sz w:val="20"/>
          <w:szCs w:val="20"/>
          <w:lang w:eastAsia="ar-SA"/>
        </w:rPr>
      </w:pPr>
      <w:r w:rsidRPr="00C9631A">
        <w:rPr>
          <w:rFonts w:ascii="Arial" w:hAnsi="Arial" w:cs="Arial"/>
          <w:b/>
          <w:bCs/>
          <w:iCs/>
          <w:sz w:val="20"/>
          <w:szCs w:val="20"/>
          <w:lang w:eastAsia="ar-SA"/>
        </w:rPr>
        <w:t>Asean (Associazione delle Nazioni del Sud-Est Asiatico)</w:t>
      </w:r>
      <w:r w:rsidRPr="00C9631A">
        <w:rPr>
          <w:rFonts w:ascii="Arial" w:hAnsi="Arial" w:cs="Arial"/>
          <w:i/>
          <w:iCs/>
          <w:sz w:val="20"/>
          <w:szCs w:val="20"/>
          <w:lang w:eastAsia="ar-SA"/>
        </w:rPr>
        <w:t xml:space="preserve">: </w:t>
      </w:r>
      <w:r w:rsidRPr="00C9631A">
        <w:rPr>
          <w:rFonts w:ascii="Arial" w:hAnsi="Arial" w:cs="Arial"/>
          <w:sz w:val="20"/>
          <w:szCs w:val="20"/>
          <w:lang w:eastAsia="ar-SA"/>
        </w:rPr>
        <w:t xml:space="preserve">Brunei, Cambogia, Filippine, Indonesia, Laos, Malaysia, Birmania, Singapore, Thailandia, Vietnam. </w:t>
      </w:r>
    </w:p>
    <w:p w14:paraId="0049DB3E" w14:textId="77777777" w:rsidR="006B1C0B" w:rsidRPr="00C9631A" w:rsidRDefault="006B1C0B" w:rsidP="00E74CD4">
      <w:pPr>
        <w:spacing w:after="120"/>
        <w:jc w:val="both"/>
        <w:rPr>
          <w:rFonts w:ascii="Arial" w:hAnsi="Arial" w:cs="Arial"/>
          <w:b/>
          <w:bCs/>
          <w:i/>
          <w:iCs/>
          <w:sz w:val="20"/>
          <w:szCs w:val="20"/>
        </w:rPr>
      </w:pPr>
      <w:r w:rsidRPr="00C9631A">
        <w:rPr>
          <w:rFonts w:ascii="Arial" w:hAnsi="Arial" w:cs="Arial"/>
          <w:b/>
          <w:bCs/>
          <w:iCs/>
          <w:sz w:val="20"/>
          <w:szCs w:val="20"/>
        </w:rPr>
        <w:t>Medio Oriente</w:t>
      </w:r>
      <w:r w:rsidRPr="00C9631A">
        <w:rPr>
          <w:rFonts w:ascii="Arial" w:hAnsi="Arial" w:cs="Arial"/>
          <w:i/>
          <w:iCs/>
          <w:sz w:val="20"/>
          <w:szCs w:val="20"/>
        </w:rPr>
        <w:t xml:space="preserve">: </w:t>
      </w:r>
      <w:r w:rsidRPr="00C9631A">
        <w:rPr>
          <w:rFonts w:ascii="Arial" w:hAnsi="Arial" w:cs="Arial"/>
          <w:sz w:val="20"/>
          <w:szCs w:val="20"/>
        </w:rPr>
        <w:t xml:space="preserve">Arabia Saudita, Armenia, Azerbaigian, Bahrein, Emirati Arabi Uniti, Georgia, Giordania, Iraq, Israele, Kuwait, Libano, Oman, Qatar, Repubblica islamica dell’Iran, Siria, Territorio palestinese occupato, Yemen. </w:t>
      </w:r>
    </w:p>
    <w:p w14:paraId="2C6C9565"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iCs/>
          <w:sz w:val="20"/>
          <w:szCs w:val="20"/>
        </w:rPr>
        <w:t>Mercosur</w:t>
      </w:r>
      <w:r w:rsidRPr="00C9631A">
        <w:rPr>
          <w:rFonts w:ascii="Arial" w:hAnsi="Arial" w:cs="Arial"/>
          <w:sz w:val="20"/>
          <w:szCs w:val="20"/>
        </w:rPr>
        <w:t>: Brasile, Paraguay, Uruguay e Argentina.</w:t>
      </w:r>
    </w:p>
    <w:p w14:paraId="5CABFC30" w14:textId="77777777" w:rsidR="006B1C0B" w:rsidRPr="00C9631A" w:rsidRDefault="006B1C0B" w:rsidP="00E74CD4">
      <w:pPr>
        <w:spacing w:after="120"/>
        <w:jc w:val="both"/>
        <w:rPr>
          <w:rFonts w:ascii="Arial" w:hAnsi="Arial" w:cs="Arial"/>
          <w:bCs/>
          <w:i/>
          <w:iCs/>
          <w:sz w:val="20"/>
          <w:szCs w:val="20"/>
        </w:rPr>
      </w:pPr>
      <w:r w:rsidRPr="00C9631A">
        <w:rPr>
          <w:rFonts w:ascii="Arial" w:hAnsi="Arial" w:cs="Arial"/>
          <w:b/>
          <w:bCs/>
          <w:iCs/>
          <w:sz w:val="20"/>
          <w:szCs w:val="20"/>
        </w:rPr>
        <w:t>Oceania e altri territori</w:t>
      </w:r>
      <w:r w:rsidRPr="00C9631A">
        <w:rPr>
          <w:rFonts w:ascii="Arial" w:hAnsi="Arial" w:cs="Arial"/>
          <w:sz w:val="20"/>
          <w:szCs w:val="20"/>
        </w:rPr>
        <w:t>: Antartide, Australia, Figi, Georgia del Sud e Isole Sandwich australi, Isola di Bouvet, Isola Christmas, Isole Cocos (</w:t>
      </w:r>
      <w:proofErr w:type="spellStart"/>
      <w:r w:rsidRPr="00C9631A">
        <w:rPr>
          <w:rFonts w:ascii="Arial" w:hAnsi="Arial" w:cs="Arial"/>
          <w:sz w:val="20"/>
          <w:szCs w:val="20"/>
        </w:rPr>
        <w:t>Keeling</w:t>
      </w:r>
      <w:proofErr w:type="spellEnd"/>
      <w:r w:rsidRPr="00C9631A">
        <w:rPr>
          <w:rFonts w:ascii="Arial" w:hAnsi="Arial" w:cs="Arial"/>
          <w:sz w:val="20"/>
          <w:szCs w:val="20"/>
        </w:rPr>
        <w:t>), Isole Cook, Isole Heard e McDonald, Isole Marianne settentrionali, Isole Marshall, Isole minori periferiche degli Stati Uniti, Isola Norfolk, Isole Pitcairn, Isole Salomone, Kiribati, Nauru, Niue, Nuova Caledonia, Nuova Zelanda, Palau, Papua Nuova Guinea, Polinesia francese, Samoa, Samoa americane, Stati Federati di Micronesia, Terre australi e antartiche francesi, Tokelau, Tonga, Tuvalu, Vanuatu, Wallis e Futuna, Provviste e dotazioni di bordo, Paesi e territori non specificati, Paesi e territori non specificati per ragioni commerciali o militari.</w:t>
      </w:r>
    </w:p>
    <w:p w14:paraId="4CF6A404" w14:textId="2BC01BC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Opec</w:t>
      </w:r>
      <w:r w:rsidRPr="00C9631A">
        <w:rPr>
          <w:rFonts w:ascii="Arial" w:hAnsi="Arial" w:cs="Arial"/>
          <w:sz w:val="20"/>
          <w:szCs w:val="20"/>
        </w:rPr>
        <w:t>:</w:t>
      </w:r>
      <w:r w:rsidRPr="00C9631A">
        <w:rPr>
          <w:rFonts w:ascii="Arial" w:hAnsi="Arial" w:cs="Arial"/>
          <w:i/>
          <w:sz w:val="20"/>
          <w:szCs w:val="20"/>
        </w:rPr>
        <w:t xml:space="preserve"> </w:t>
      </w:r>
      <w:r w:rsidRPr="00C9631A">
        <w:rPr>
          <w:rFonts w:ascii="Arial" w:hAnsi="Arial" w:cs="Arial"/>
          <w:sz w:val="20"/>
          <w:szCs w:val="20"/>
        </w:rPr>
        <w:t xml:space="preserve">Algeria, Angola, Arabia Saudita, Emirati Arabi Uniti, Iraq, Kuwait, Libia, Nigeria, Repubblica islamica </w:t>
      </w:r>
      <w:r w:rsidR="00C9631A">
        <w:rPr>
          <w:rFonts w:ascii="Arial" w:hAnsi="Arial" w:cs="Arial"/>
          <w:sz w:val="20"/>
          <w:szCs w:val="20"/>
        </w:rPr>
        <w:t>d</w:t>
      </w:r>
      <w:r w:rsidRPr="00C9631A">
        <w:rPr>
          <w:rFonts w:ascii="Arial" w:hAnsi="Arial" w:cs="Arial"/>
          <w:sz w:val="20"/>
          <w:szCs w:val="20"/>
        </w:rPr>
        <w:t xml:space="preserve">ell’Iran, </w:t>
      </w:r>
      <w:r w:rsidR="00245D91">
        <w:rPr>
          <w:rFonts w:ascii="Arial" w:hAnsi="Arial" w:cs="Arial"/>
          <w:sz w:val="20"/>
          <w:szCs w:val="20"/>
        </w:rPr>
        <w:t>Venezuela</w:t>
      </w:r>
      <w:r w:rsidRPr="00C9631A">
        <w:rPr>
          <w:rFonts w:ascii="Arial" w:hAnsi="Arial" w:cs="Arial"/>
          <w:sz w:val="20"/>
          <w:szCs w:val="20"/>
        </w:rPr>
        <w:t xml:space="preserve">, </w:t>
      </w:r>
      <w:r w:rsidR="00883849" w:rsidRPr="00C9631A">
        <w:rPr>
          <w:rFonts w:ascii="Arial" w:hAnsi="Arial" w:cs="Arial"/>
          <w:sz w:val="20"/>
          <w:szCs w:val="20"/>
        </w:rPr>
        <w:t xml:space="preserve">Gabon, </w:t>
      </w:r>
      <w:r w:rsidRPr="00C9631A">
        <w:rPr>
          <w:rFonts w:ascii="Arial" w:hAnsi="Arial" w:cs="Arial"/>
          <w:sz w:val="20"/>
          <w:szCs w:val="20"/>
        </w:rPr>
        <w:t>Guinea Equatoriale</w:t>
      </w:r>
      <w:r w:rsidR="00883849" w:rsidRPr="00C9631A">
        <w:rPr>
          <w:rFonts w:ascii="Arial" w:hAnsi="Arial" w:cs="Arial"/>
          <w:sz w:val="20"/>
          <w:szCs w:val="20"/>
        </w:rPr>
        <w:t xml:space="preserve"> e Congo</w:t>
      </w:r>
      <w:r w:rsidRPr="00C9631A">
        <w:rPr>
          <w:rFonts w:ascii="Arial" w:hAnsi="Arial" w:cs="Arial"/>
          <w:sz w:val="20"/>
          <w:szCs w:val="20"/>
        </w:rPr>
        <w:t>.</w:t>
      </w:r>
    </w:p>
    <w:p w14:paraId="2CFEFA7B" w14:textId="662571DA" w:rsidR="006B1C0B" w:rsidRPr="00C9631A" w:rsidRDefault="006B1C0B" w:rsidP="00E74CD4">
      <w:pPr>
        <w:spacing w:after="120"/>
        <w:jc w:val="both"/>
        <w:rPr>
          <w:rFonts w:ascii="Arial" w:hAnsi="Arial" w:cs="Arial"/>
          <w:sz w:val="20"/>
          <w:szCs w:val="20"/>
        </w:rPr>
      </w:pPr>
      <w:r w:rsidRPr="00C9631A">
        <w:rPr>
          <w:rFonts w:ascii="Arial" w:hAnsi="Arial" w:cs="Arial"/>
          <w:b/>
          <w:bCs/>
          <w:iCs/>
          <w:sz w:val="20"/>
          <w:szCs w:val="20"/>
        </w:rPr>
        <w:t>Paesi europei non Ue</w:t>
      </w:r>
      <w:r w:rsidRPr="00C9631A">
        <w:rPr>
          <w:rFonts w:ascii="Arial" w:hAnsi="Arial" w:cs="Arial"/>
          <w:sz w:val="20"/>
          <w:szCs w:val="20"/>
        </w:rPr>
        <w:t xml:space="preserve">: Albania, Andorra, Bielorussia, Bosnia-Erzegovina, Fær Øer, Gibilterra, Islanda, Kosovo, Liechtenstein, </w:t>
      </w:r>
      <w:r w:rsidR="00EF21D2">
        <w:rPr>
          <w:rFonts w:ascii="Arial" w:hAnsi="Arial" w:cs="Arial"/>
          <w:sz w:val="20"/>
          <w:szCs w:val="20"/>
        </w:rPr>
        <w:t>Macedonia del Nord,</w:t>
      </w:r>
      <w:r w:rsidR="00EF21D2" w:rsidRPr="00C9631A">
        <w:rPr>
          <w:rFonts w:ascii="Arial" w:hAnsi="Arial" w:cs="Arial"/>
          <w:sz w:val="20"/>
          <w:szCs w:val="20"/>
        </w:rPr>
        <w:t xml:space="preserve"> </w:t>
      </w:r>
      <w:r w:rsidRPr="00C9631A">
        <w:rPr>
          <w:rFonts w:ascii="Arial" w:hAnsi="Arial" w:cs="Arial"/>
          <w:sz w:val="20"/>
          <w:szCs w:val="20"/>
        </w:rPr>
        <w:t xml:space="preserve">Montenegro, Norvegia, </w:t>
      </w:r>
      <w:r w:rsidR="00C22FDA">
        <w:rPr>
          <w:rFonts w:ascii="Arial" w:hAnsi="Arial" w:cs="Arial"/>
          <w:sz w:val="20"/>
          <w:szCs w:val="20"/>
        </w:rPr>
        <w:t xml:space="preserve">Regno Unito, </w:t>
      </w:r>
      <w:r w:rsidRPr="00C9631A">
        <w:rPr>
          <w:rFonts w:ascii="Arial" w:hAnsi="Arial" w:cs="Arial"/>
          <w:sz w:val="20"/>
          <w:szCs w:val="20"/>
        </w:rPr>
        <w:t>Repubblica moldova, Russia, Santa Sede (Stato della Città del Vaticano), Serbia, Svizzera, Turchia, Ucraina.</w:t>
      </w:r>
    </w:p>
    <w:p w14:paraId="4CDC1008" w14:textId="77777777" w:rsidR="00B24754" w:rsidRDefault="006B1C0B" w:rsidP="00F865D6">
      <w:pPr>
        <w:spacing w:after="120"/>
        <w:jc w:val="both"/>
        <w:rPr>
          <w:rFonts w:ascii="Arial" w:hAnsi="Arial" w:cs="Arial"/>
        </w:rPr>
      </w:pPr>
      <w:r w:rsidRPr="00C9631A">
        <w:rPr>
          <w:rFonts w:ascii="Arial" w:hAnsi="Arial" w:cs="Arial"/>
          <w:b/>
          <w:bCs/>
          <w:iCs/>
          <w:sz w:val="20"/>
          <w:szCs w:val="20"/>
        </w:rPr>
        <w:t>Unione europea</w:t>
      </w:r>
      <w:r w:rsidRPr="00C9631A">
        <w:rPr>
          <w:rFonts w:ascii="Arial" w:hAnsi="Arial" w:cs="Arial"/>
          <w:sz w:val="20"/>
          <w:szCs w:val="20"/>
        </w:rPr>
        <w:t>: Austria, Belgio, Bulgaria, Cipro, Croazia, Danimarca, Estonia, Finlandia, Francia, Germania, Grecia, Irlanda, Italia, Lettonia, Lituania, Lussemburgo, Malta, Pa</w:t>
      </w:r>
      <w:r w:rsidR="00C22FDA">
        <w:rPr>
          <w:rFonts w:ascii="Arial" w:hAnsi="Arial" w:cs="Arial"/>
          <w:sz w:val="20"/>
          <w:szCs w:val="20"/>
        </w:rPr>
        <w:t>esi Bassi, Polonia, Portogallo</w:t>
      </w:r>
      <w:r w:rsidRPr="00C9631A">
        <w:rPr>
          <w:rFonts w:ascii="Arial" w:hAnsi="Arial" w:cs="Arial"/>
          <w:sz w:val="20"/>
          <w:szCs w:val="20"/>
        </w:rPr>
        <w:t>, Repubblica ceca, Romania, Slovacchia, Slovenia, Spagna, Svezia, Ungheria.</w:t>
      </w:r>
    </w:p>
    <w:p w14:paraId="315FEA75" w14:textId="77777777" w:rsidR="00940950" w:rsidRDefault="00940950" w:rsidP="00B81D29">
      <w:pPr>
        <w:spacing w:after="120"/>
        <w:rPr>
          <w:rFonts w:ascii="Arial" w:hAnsi="Arial" w:cs="Arial"/>
        </w:rPr>
        <w:sectPr w:rsidR="00940950" w:rsidSect="00B81D29">
          <w:headerReference w:type="default" r:id="rId38"/>
          <w:pgSz w:w="11907" w:h="16840" w:code="9"/>
          <w:pgMar w:top="1534" w:right="851" w:bottom="680" w:left="851" w:header="567" w:footer="567" w:gutter="0"/>
          <w:cols w:space="720"/>
          <w:noEndnote/>
          <w:docGrid w:linePitch="272"/>
        </w:sectPr>
      </w:pPr>
    </w:p>
    <w:p w14:paraId="4C8B1FB9" w14:textId="77777777" w:rsidR="00501E02" w:rsidRPr="00397FAC" w:rsidRDefault="00501E02" w:rsidP="00501E02">
      <w:pPr>
        <w:spacing w:after="120"/>
        <w:rPr>
          <w:rFonts w:ascii="Arial" w:hAnsi="Arial" w:cs="Arial"/>
          <w:b/>
          <w:szCs w:val="28"/>
        </w:rPr>
      </w:pPr>
    </w:p>
    <w:p w14:paraId="104CD227" w14:textId="77777777" w:rsidR="00501E02" w:rsidRPr="00C9631A" w:rsidRDefault="00501E02" w:rsidP="00501E02">
      <w:pPr>
        <w:spacing w:after="120"/>
        <w:rPr>
          <w:rFonts w:ascii="Arial" w:hAnsi="Arial" w:cs="Arial"/>
          <w:b/>
          <w:sz w:val="22"/>
          <w:szCs w:val="20"/>
        </w:rPr>
      </w:pPr>
      <w:r w:rsidRPr="00C9631A">
        <w:rPr>
          <w:rFonts w:ascii="Arial" w:hAnsi="Arial" w:cs="Arial"/>
          <w:b/>
          <w:sz w:val="22"/>
          <w:szCs w:val="20"/>
        </w:rPr>
        <w:t>Introduzione</w:t>
      </w:r>
    </w:p>
    <w:p w14:paraId="6E26E2C1"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In questa nota sono riportati i principali riferimenti normativi e metodologici relativi alle rilevazioni sugli scambi con l’estero di merci e sui prezzi all’importazione dei prodotti industriali. Il Prospetto A ne riporta una sintesi.</w:t>
      </w:r>
    </w:p>
    <w:p w14:paraId="64D5F5FB" w14:textId="77777777" w:rsidR="00501E02" w:rsidRPr="00257DC4" w:rsidRDefault="00501E02" w:rsidP="00501E02">
      <w:pPr>
        <w:spacing w:before="240" w:after="120"/>
        <w:jc w:val="both"/>
        <w:rPr>
          <w:rFonts w:ascii="Arial Narrow" w:hAnsi="Arial Narrow" w:cs="Arial"/>
          <w:b/>
          <w:color w:val="7F7F7F"/>
          <w:sz w:val="19"/>
          <w:szCs w:val="19"/>
        </w:rPr>
      </w:pPr>
      <w:r w:rsidRPr="009E4A3B">
        <w:rPr>
          <w:rFonts w:ascii="Arial Narrow" w:hAnsi="Arial Narrow" w:cs="Arial"/>
          <w:b/>
          <w:color w:val="E42618"/>
          <w:sz w:val="22"/>
          <w:szCs w:val="22"/>
        </w:rPr>
        <w:t>PROSPETTO A.</w:t>
      </w:r>
      <w:r w:rsidRPr="009E4A3B">
        <w:rPr>
          <w:rFonts w:ascii="Arial Narrow" w:hAnsi="Arial Narrow" w:cs="Arial"/>
          <w:b/>
          <w:color w:val="C00000"/>
          <w:sz w:val="22"/>
          <w:szCs w:val="22"/>
        </w:rPr>
        <w:t xml:space="preserve"> </w:t>
      </w:r>
      <w:r w:rsidRPr="00257DC4">
        <w:rPr>
          <w:rFonts w:ascii="Arial Narrow" w:hAnsi="Arial Narrow" w:cs="Arial"/>
          <w:b/>
          <w:color w:val="7F7F7F"/>
          <w:sz w:val="22"/>
          <w:szCs w:val="22"/>
        </w:rPr>
        <w:t>RILEVAZIONI SUGLI SCAMBI CON L’ESTERO DI MERCI E SUI PREZZI ALL’IMPORTAZIONE</w:t>
      </w:r>
      <w:r>
        <w:rPr>
          <w:rFonts w:ascii="Arial Narrow" w:hAnsi="Arial Narrow" w:cs="Arial"/>
          <w:b/>
          <w:color w:val="7F7F7F"/>
          <w:sz w:val="22"/>
          <w:szCs w:val="22"/>
        </w:rPr>
        <w:t xml:space="preserve"> </w:t>
      </w:r>
      <w:r w:rsidRPr="00257DC4">
        <w:rPr>
          <w:rFonts w:ascii="Arial Narrow" w:hAnsi="Arial Narrow" w:cs="Arial"/>
          <w:b/>
          <w:color w:val="7F7F7F"/>
          <w:sz w:val="22"/>
          <w:szCs w:val="22"/>
        </w:rPr>
        <w:t>PRINCIPALI CARATTERISTICHE</w:t>
      </w:r>
    </w:p>
    <w:tbl>
      <w:tblPr>
        <w:tblW w:w="10206"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2026"/>
        <w:gridCol w:w="4089"/>
        <w:gridCol w:w="4091"/>
      </w:tblGrid>
      <w:tr w:rsidR="00501E02" w14:paraId="2357C0DF" w14:textId="77777777" w:rsidTr="002C489F">
        <w:trPr>
          <w:trHeight w:val="255"/>
        </w:trPr>
        <w:tc>
          <w:tcPr>
            <w:tcW w:w="993" w:type="pct"/>
            <w:vMerge w:val="restart"/>
            <w:shd w:val="clear" w:color="auto" w:fill="auto"/>
          </w:tcPr>
          <w:p w14:paraId="7F4A7F5D" w14:textId="77777777" w:rsidR="00501E02" w:rsidRPr="00232AB9" w:rsidRDefault="00501E02" w:rsidP="002C489F">
            <w:pPr>
              <w:spacing w:before="40" w:after="20"/>
              <w:jc w:val="center"/>
              <w:rPr>
                <w:rFonts w:ascii="Arial Narrow" w:hAnsi="Arial Narrow" w:cs="Arial"/>
                <w:b/>
                <w:sz w:val="18"/>
                <w:szCs w:val="18"/>
              </w:rPr>
            </w:pPr>
          </w:p>
        </w:tc>
        <w:tc>
          <w:tcPr>
            <w:tcW w:w="4007" w:type="pct"/>
            <w:gridSpan w:val="2"/>
            <w:shd w:val="clear" w:color="auto" w:fill="D9D9D9"/>
          </w:tcPr>
          <w:p w14:paraId="6805032D" w14:textId="77777777" w:rsidR="00501E02" w:rsidRPr="00232AB9" w:rsidRDefault="00501E02" w:rsidP="002C489F">
            <w:pPr>
              <w:spacing w:before="40" w:after="20"/>
              <w:jc w:val="center"/>
              <w:rPr>
                <w:rFonts w:ascii="Arial Narrow" w:hAnsi="Arial Narrow" w:cs="Arial"/>
                <w:b/>
                <w:sz w:val="18"/>
                <w:szCs w:val="18"/>
              </w:rPr>
            </w:pPr>
            <w:r w:rsidRPr="00232AB9">
              <w:rPr>
                <w:rFonts w:ascii="Arial Narrow" w:hAnsi="Arial Narrow" w:cs="Arial"/>
                <w:b/>
                <w:sz w:val="18"/>
                <w:szCs w:val="18"/>
              </w:rPr>
              <w:t>RILEVAZIONI</w:t>
            </w:r>
          </w:p>
        </w:tc>
      </w:tr>
      <w:tr w:rsidR="00501E02" w14:paraId="5CB00FD6" w14:textId="77777777" w:rsidTr="002C489F">
        <w:trPr>
          <w:trHeight w:val="255"/>
        </w:trPr>
        <w:tc>
          <w:tcPr>
            <w:tcW w:w="993" w:type="pct"/>
            <w:vMerge/>
            <w:shd w:val="clear" w:color="auto" w:fill="auto"/>
          </w:tcPr>
          <w:p w14:paraId="788EF796" w14:textId="77777777" w:rsidR="00501E02" w:rsidRPr="00232AB9" w:rsidRDefault="00501E02" w:rsidP="002C489F">
            <w:pPr>
              <w:spacing w:before="40" w:after="20"/>
              <w:jc w:val="center"/>
              <w:rPr>
                <w:rFonts w:ascii="Arial Narrow" w:hAnsi="Arial Narrow" w:cs="Arial"/>
                <w:b/>
                <w:sz w:val="18"/>
                <w:szCs w:val="18"/>
              </w:rPr>
            </w:pPr>
          </w:p>
        </w:tc>
        <w:tc>
          <w:tcPr>
            <w:tcW w:w="2003" w:type="pct"/>
            <w:shd w:val="clear" w:color="auto" w:fill="FFFFFF"/>
          </w:tcPr>
          <w:p w14:paraId="1FBD27C3" w14:textId="77777777" w:rsidR="00501E02" w:rsidRPr="00232AB9" w:rsidRDefault="00501E02" w:rsidP="002C489F">
            <w:pPr>
              <w:spacing w:before="40" w:after="20"/>
              <w:jc w:val="center"/>
              <w:rPr>
                <w:b/>
              </w:rPr>
            </w:pPr>
            <w:r w:rsidRPr="00232AB9">
              <w:rPr>
                <w:rFonts w:ascii="Arial Narrow" w:hAnsi="Arial Narrow" w:cs="Arial"/>
                <w:b/>
                <w:sz w:val="18"/>
                <w:szCs w:val="18"/>
              </w:rPr>
              <w:t>Scambi con l’estero di merci</w:t>
            </w:r>
          </w:p>
        </w:tc>
        <w:tc>
          <w:tcPr>
            <w:tcW w:w="2004" w:type="pct"/>
            <w:shd w:val="clear" w:color="auto" w:fill="FFFFFF"/>
          </w:tcPr>
          <w:p w14:paraId="36AB1777" w14:textId="77777777" w:rsidR="00501E02" w:rsidRPr="00232AB9" w:rsidRDefault="00501E02" w:rsidP="002C489F">
            <w:pPr>
              <w:spacing w:before="40" w:after="20"/>
              <w:jc w:val="center"/>
              <w:rPr>
                <w:b/>
              </w:rPr>
            </w:pPr>
            <w:r w:rsidRPr="00232AB9">
              <w:rPr>
                <w:rFonts w:ascii="Arial Narrow" w:hAnsi="Arial Narrow" w:cs="Arial"/>
                <w:b/>
                <w:sz w:val="18"/>
                <w:szCs w:val="18"/>
              </w:rPr>
              <w:t>Prezzi all’importazione</w:t>
            </w:r>
          </w:p>
        </w:tc>
      </w:tr>
      <w:tr w:rsidR="00501E02" w14:paraId="59CA6FE5" w14:textId="77777777" w:rsidTr="002C489F">
        <w:trPr>
          <w:trHeight w:val="255"/>
        </w:trPr>
        <w:tc>
          <w:tcPr>
            <w:tcW w:w="993" w:type="pct"/>
            <w:shd w:val="clear" w:color="auto" w:fill="auto"/>
          </w:tcPr>
          <w:p w14:paraId="695C7C40" w14:textId="77777777" w:rsidR="00501E02" w:rsidRPr="009575F1" w:rsidRDefault="00501E02" w:rsidP="002C489F">
            <w:pPr>
              <w:spacing w:before="40" w:after="20"/>
            </w:pPr>
            <w:r w:rsidRPr="00232AB9">
              <w:rPr>
                <w:rFonts w:ascii="Arial Narrow" w:hAnsi="Arial Narrow" w:cs="Arial"/>
                <w:b/>
                <w:sz w:val="18"/>
                <w:szCs w:val="18"/>
              </w:rPr>
              <w:t>Fonti</w:t>
            </w:r>
          </w:p>
        </w:tc>
        <w:tc>
          <w:tcPr>
            <w:tcW w:w="2003" w:type="pct"/>
            <w:shd w:val="clear" w:color="auto" w:fill="D9D9D9"/>
          </w:tcPr>
          <w:p w14:paraId="1C179897"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1) Utilizzo dati doganali e sistema Intrastat</w:t>
            </w:r>
          </w:p>
          <w:p w14:paraId="50459D90"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2) Elaborazioni da statistiche di base sugli Scambi con l’estero di merci</w:t>
            </w:r>
          </w:p>
          <w:p w14:paraId="19BA8CCF" w14:textId="77777777" w:rsidR="00501E02" w:rsidRPr="009575F1" w:rsidRDefault="00501E02" w:rsidP="002C489F">
            <w:pPr>
              <w:spacing w:before="40" w:after="20"/>
            </w:pPr>
            <w:r w:rsidRPr="00232AB9">
              <w:rPr>
                <w:rFonts w:ascii="Arial Narrow" w:hAnsi="Arial Narrow" w:cs="Arial"/>
                <w:sz w:val="18"/>
                <w:szCs w:val="18"/>
              </w:rPr>
              <w:t>3) Le stime di particolari merci sono frutto di elaborazioni ottenute integrando fonti informative diverse</w:t>
            </w:r>
          </w:p>
        </w:tc>
        <w:tc>
          <w:tcPr>
            <w:tcW w:w="2004" w:type="pct"/>
            <w:shd w:val="clear" w:color="auto" w:fill="auto"/>
          </w:tcPr>
          <w:p w14:paraId="24B89F77" w14:textId="77777777" w:rsidR="00501E02" w:rsidRDefault="00501E02" w:rsidP="002C489F">
            <w:pPr>
              <w:spacing w:before="40" w:after="20"/>
            </w:pPr>
            <w:r w:rsidRPr="00232AB9">
              <w:rPr>
                <w:rFonts w:ascii="Arial Narrow" w:hAnsi="Arial Narrow" w:cs="Arial"/>
                <w:sz w:val="18"/>
                <w:szCs w:val="18"/>
              </w:rPr>
              <w:t>Rilevazione diretta</w:t>
            </w:r>
          </w:p>
        </w:tc>
      </w:tr>
      <w:tr w:rsidR="00501E02" w14:paraId="10333363" w14:textId="77777777" w:rsidTr="002C489F">
        <w:trPr>
          <w:trHeight w:val="255"/>
        </w:trPr>
        <w:tc>
          <w:tcPr>
            <w:tcW w:w="993" w:type="pct"/>
            <w:shd w:val="clear" w:color="auto" w:fill="auto"/>
          </w:tcPr>
          <w:p w14:paraId="463391F6" w14:textId="77777777" w:rsidR="00501E02" w:rsidRDefault="00501E02" w:rsidP="002C489F">
            <w:pPr>
              <w:spacing w:before="40" w:after="20"/>
            </w:pPr>
            <w:r w:rsidRPr="00232AB9">
              <w:rPr>
                <w:rFonts w:ascii="Arial Narrow" w:hAnsi="Arial Narrow" w:cs="Arial"/>
                <w:b/>
                <w:sz w:val="18"/>
                <w:szCs w:val="18"/>
              </w:rPr>
              <w:t>Campo di osservazione</w:t>
            </w:r>
          </w:p>
        </w:tc>
        <w:tc>
          <w:tcPr>
            <w:tcW w:w="2003" w:type="pct"/>
            <w:shd w:val="clear" w:color="auto" w:fill="D9D9D9"/>
          </w:tcPr>
          <w:p w14:paraId="4373682D"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Tutte le merci (</w:t>
            </w:r>
            <w:proofErr w:type="spellStart"/>
            <w:r w:rsidRPr="00232AB9">
              <w:rPr>
                <w:rFonts w:ascii="Arial Narrow" w:hAnsi="Arial Narrow" w:cs="Arial"/>
                <w:sz w:val="18"/>
                <w:szCs w:val="18"/>
              </w:rPr>
              <w:t>cfr</w:t>
            </w:r>
            <w:proofErr w:type="spellEnd"/>
            <w:r w:rsidRPr="00232AB9">
              <w:rPr>
                <w:rFonts w:ascii="Arial Narrow" w:hAnsi="Arial Narrow" w:cs="Arial"/>
                <w:sz w:val="18"/>
                <w:szCs w:val="18"/>
              </w:rPr>
              <w:t xml:space="preserve"> glossario), senza restrizioni rispetto all'attività economica prevalente delle unità economiche che hanno attivato i flussi di scambi con l'estero, ad esclusione dell’oro monetario, del software personalizzato, degli strumenti di pagamento aventi corso legale e valori, delle merci destinate alla riparazione.</w:t>
            </w:r>
          </w:p>
        </w:tc>
        <w:tc>
          <w:tcPr>
            <w:tcW w:w="2004" w:type="pct"/>
            <w:shd w:val="clear" w:color="auto" w:fill="auto"/>
          </w:tcPr>
          <w:p w14:paraId="3D707012"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1) Prodott</w:t>
            </w:r>
            <w:r>
              <w:rPr>
                <w:rFonts w:ascii="Arial Narrow" w:hAnsi="Arial Narrow" w:cs="Arial"/>
                <w:sz w:val="18"/>
                <w:szCs w:val="18"/>
              </w:rPr>
              <w:t>i inclusi nelle sezioni da B a D</w:t>
            </w:r>
            <w:r w:rsidRPr="00232AB9">
              <w:rPr>
                <w:rFonts w:ascii="Arial Narrow" w:hAnsi="Arial Narrow" w:cs="Arial"/>
                <w:sz w:val="18"/>
                <w:szCs w:val="18"/>
              </w:rPr>
              <w:t xml:space="preserve"> della classificazione CPA (derivata dalla </w:t>
            </w:r>
            <w:proofErr w:type="spellStart"/>
            <w:r w:rsidRPr="00232AB9">
              <w:rPr>
                <w:rFonts w:ascii="Arial Narrow" w:hAnsi="Arial Narrow" w:cs="Arial"/>
                <w:sz w:val="18"/>
                <w:szCs w:val="18"/>
              </w:rPr>
              <w:t>Nace</w:t>
            </w:r>
            <w:proofErr w:type="spellEnd"/>
            <w:r w:rsidRPr="00232AB9">
              <w:rPr>
                <w:rFonts w:ascii="Arial Narrow" w:hAnsi="Arial Narrow" w:cs="Arial"/>
                <w:sz w:val="18"/>
                <w:szCs w:val="18"/>
              </w:rPr>
              <w:t xml:space="preserve"> Rev.2);</w:t>
            </w:r>
          </w:p>
          <w:p w14:paraId="1D8847B2" w14:textId="77777777" w:rsidR="00501E02" w:rsidRDefault="00501E02" w:rsidP="002C489F">
            <w:pPr>
              <w:spacing w:before="40" w:after="20"/>
            </w:pPr>
            <w:r w:rsidRPr="00232AB9">
              <w:rPr>
                <w:rFonts w:ascii="Arial Narrow" w:hAnsi="Arial Narrow" w:cs="Arial"/>
                <w:sz w:val="18"/>
                <w:szCs w:val="18"/>
              </w:rPr>
              <w:t xml:space="preserve">2) imprese con attività economica prevalente nelle sezioni B, C, D, E, G della classificazione Ateco 2007 (derivata dalla </w:t>
            </w:r>
            <w:proofErr w:type="spellStart"/>
            <w:r w:rsidRPr="00232AB9">
              <w:rPr>
                <w:rFonts w:ascii="Arial Narrow" w:hAnsi="Arial Narrow" w:cs="Arial"/>
                <w:sz w:val="18"/>
                <w:szCs w:val="18"/>
              </w:rPr>
              <w:t>Nace</w:t>
            </w:r>
            <w:proofErr w:type="spellEnd"/>
            <w:r w:rsidRPr="00232AB9">
              <w:rPr>
                <w:rFonts w:ascii="Arial Narrow" w:hAnsi="Arial Narrow" w:cs="Arial"/>
                <w:sz w:val="18"/>
                <w:szCs w:val="18"/>
              </w:rPr>
              <w:t xml:space="preserve"> Rev.2).</w:t>
            </w:r>
          </w:p>
        </w:tc>
      </w:tr>
      <w:tr w:rsidR="00501E02" w14:paraId="20128DAE" w14:textId="77777777" w:rsidTr="002C489F">
        <w:trPr>
          <w:trHeight w:val="255"/>
        </w:trPr>
        <w:tc>
          <w:tcPr>
            <w:tcW w:w="993" w:type="pct"/>
            <w:shd w:val="clear" w:color="auto" w:fill="auto"/>
          </w:tcPr>
          <w:p w14:paraId="17470787" w14:textId="77777777" w:rsidR="00501E02" w:rsidRDefault="00501E02" w:rsidP="002C489F">
            <w:pPr>
              <w:spacing w:before="40" w:after="20"/>
            </w:pPr>
            <w:r w:rsidRPr="00232AB9">
              <w:rPr>
                <w:rFonts w:ascii="Arial Narrow" w:hAnsi="Arial Narrow" w:cs="Arial"/>
                <w:b/>
                <w:sz w:val="18"/>
                <w:szCs w:val="18"/>
              </w:rPr>
              <w:t>Periodicità di diffusione e dettaglio territoriale dei dati</w:t>
            </w:r>
          </w:p>
        </w:tc>
        <w:tc>
          <w:tcPr>
            <w:tcW w:w="2003" w:type="pct"/>
            <w:shd w:val="clear" w:color="auto" w:fill="D9D9D9"/>
          </w:tcPr>
          <w:p w14:paraId="1AF8801D"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Cadenza mensile delle stime degli indicatori a livello nazionale</w:t>
            </w:r>
          </w:p>
        </w:tc>
        <w:tc>
          <w:tcPr>
            <w:tcW w:w="2004" w:type="pct"/>
            <w:shd w:val="clear" w:color="auto" w:fill="auto"/>
          </w:tcPr>
          <w:p w14:paraId="4A57A99B"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Cadenza mensile delle stime degli indicatori a livello nazionale</w:t>
            </w:r>
          </w:p>
        </w:tc>
      </w:tr>
      <w:tr w:rsidR="00501E02" w14:paraId="1E0E1AD5" w14:textId="77777777" w:rsidTr="002C489F">
        <w:trPr>
          <w:trHeight w:val="255"/>
        </w:trPr>
        <w:tc>
          <w:tcPr>
            <w:tcW w:w="993" w:type="pct"/>
            <w:shd w:val="clear" w:color="auto" w:fill="auto"/>
          </w:tcPr>
          <w:p w14:paraId="02D2150C" w14:textId="77777777" w:rsidR="00501E02" w:rsidRDefault="00501E02" w:rsidP="002C489F">
            <w:pPr>
              <w:spacing w:before="40" w:after="20"/>
            </w:pPr>
            <w:r w:rsidRPr="00232AB9">
              <w:rPr>
                <w:rFonts w:ascii="Arial Narrow" w:hAnsi="Arial Narrow" w:cs="Arial"/>
                <w:b/>
                <w:sz w:val="18"/>
                <w:szCs w:val="18"/>
              </w:rPr>
              <w:t>Periodo di riferimento</w:t>
            </w:r>
          </w:p>
        </w:tc>
        <w:tc>
          <w:tcPr>
            <w:tcW w:w="2003" w:type="pct"/>
            <w:shd w:val="clear" w:color="auto" w:fill="D9D9D9"/>
          </w:tcPr>
          <w:p w14:paraId="507E0FC0"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Mese e periodo cui si riferiscono le informazioni raccolte</w:t>
            </w:r>
          </w:p>
        </w:tc>
        <w:tc>
          <w:tcPr>
            <w:tcW w:w="2004" w:type="pct"/>
            <w:shd w:val="clear" w:color="auto" w:fill="auto"/>
          </w:tcPr>
          <w:p w14:paraId="0F2F20E8"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Mese e periodo cui si riferiscono le informazioni raccolte</w:t>
            </w:r>
          </w:p>
        </w:tc>
      </w:tr>
      <w:tr w:rsidR="00501E02" w14:paraId="0A1722C6" w14:textId="77777777" w:rsidTr="002C489F">
        <w:trPr>
          <w:trHeight w:val="255"/>
        </w:trPr>
        <w:tc>
          <w:tcPr>
            <w:tcW w:w="993" w:type="pct"/>
            <w:shd w:val="clear" w:color="auto" w:fill="auto"/>
          </w:tcPr>
          <w:p w14:paraId="1E2819D9" w14:textId="77777777" w:rsidR="00501E02" w:rsidRDefault="00501E02" w:rsidP="002C489F">
            <w:pPr>
              <w:spacing w:before="40" w:after="20"/>
            </w:pPr>
            <w:r w:rsidRPr="00232AB9">
              <w:rPr>
                <w:rFonts w:ascii="Arial Narrow" w:hAnsi="Arial Narrow" w:cs="Arial"/>
                <w:b/>
                <w:sz w:val="18"/>
                <w:szCs w:val="18"/>
              </w:rPr>
              <w:t>Principali indicatori</w:t>
            </w:r>
          </w:p>
        </w:tc>
        <w:tc>
          <w:tcPr>
            <w:tcW w:w="2003" w:type="pct"/>
            <w:shd w:val="clear" w:color="auto" w:fill="D9D9D9"/>
          </w:tcPr>
          <w:p w14:paraId="037463B7"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1) Valori monetari a prezzi correnti rilevati o stimati in termini di valore statistico (</w:t>
            </w:r>
            <w:proofErr w:type="spellStart"/>
            <w:r w:rsidRPr="00232AB9">
              <w:rPr>
                <w:rFonts w:ascii="Arial Narrow" w:hAnsi="Arial Narrow" w:cs="Arial"/>
                <w:sz w:val="18"/>
                <w:szCs w:val="18"/>
              </w:rPr>
              <w:t>Cif</w:t>
            </w:r>
            <w:proofErr w:type="spellEnd"/>
            <w:r w:rsidRPr="00232AB9">
              <w:rPr>
                <w:rFonts w:ascii="Arial Narrow" w:hAnsi="Arial Narrow" w:cs="Arial"/>
                <w:sz w:val="18"/>
                <w:szCs w:val="18"/>
              </w:rPr>
              <w:t xml:space="preserve">, </w:t>
            </w:r>
            <w:proofErr w:type="spellStart"/>
            <w:r w:rsidRPr="00232AB9">
              <w:rPr>
                <w:rFonts w:ascii="Arial Narrow" w:hAnsi="Arial Narrow" w:cs="Arial"/>
                <w:sz w:val="18"/>
                <w:szCs w:val="18"/>
              </w:rPr>
              <w:t>Fob</w:t>
            </w:r>
            <w:proofErr w:type="spellEnd"/>
            <w:r w:rsidRPr="00232AB9">
              <w:rPr>
                <w:rFonts w:ascii="Arial Narrow" w:hAnsi="Arial Narrow" w:cs="Arial"/>
                <w:sz w:val="18"/>
                <w:szCs w:val="18"/>
              </w:rPr>
              <w:t>)</w:t>
            </w:r>
          </w:p>
          <w:p w14:paraId="23221AB4" w14:textId="77777777" w:rsidR="00501E02" w:rsidRDefault="00501E02" w:rsidP="002C489F">
            <w:pPr>
              <w:spacing w:before="40" w:after="20"/>
            </w:pPr>
            <w:r w:rsidRPr="00232AB9">
              <w:rPr>
                <w:rFonts w:ascii="Arial Narrow" w:hAnsi="Arial Narrow" w:cs="Arial"/>
                <w:sz w:val="18"/>
                <w:szCs w:val="18"/>
              </w:rPr>
              <w:t>2) VMU e volumi: Indici di Fisher a base mobile concatenati</w:t>
            </w:r>
          </w:p>
        </w:tc>
        <w:tc>
          <w:tcPr>
            <w:tcW w:w="2004" w:type="pct"/>
            <w:shd w:val="clear" w:color="auto" w:fill="auto"/>
          </w:tcPr>
          <w:p w14:paraId="6E674035" w14:textId="3A951D2F" w:rsidR="00501E02" w:rsidRDefault="00501E02" w:rsidP="00DF597A">
            <w:pPr>
              <w:spacing w:before="40" w:after="20"/>
            </w:pPr>
            <w:r w:rsidRPr="00DF597A">
              <w:rPr>
                <w:rFonts w:ascii="Arial Narrow" w:hAnsi="Arial Narrow" w:cs="Arial"/>
                <w:sz w:val="18"/>
                <w:szCs w:val="18"/>
              </w:rPr>
              <w:t xml:space="preserve">Indice di </w:t>
            </w:r>
            <w:proofErr w:type="spellStart"/>
            <w:r w:rsidRPr="00DF597A">
              <w:rPr>
                <w:rFonts w:ascii="Arial Narrow" w:hAnsi="Arial Narrow" w:cs="Arial"/>
                <w:sz w:val="18"/>
                <w:szCs w:val="18"/>
              </w:rPr>
              <w:t>Laspeyres</w:t>
            </w:r>
            <w:proofErr w:type="spellEnd"/>
            <w:r w:rsidR="00DF597A" w:rsidRPr="00DF597A">
              <w:rPr>
                <w:rFonts w:ascii="Arial Narrow" w:hAnsi="Arial Narrow" w:cs="Arial"/>
                <w:sz w:val="18"/>
                <w:szCs w:val="18"/>
              </w:rPr>
              <w:t xml:space="preserve"> concatenato</w:t>
            </w:r>
          </w:p>
        </w:tc>
      </w:tr>
    </w:tbl>
    <w:p w14:paraId="349DC099" w14:textId="77777777" w:rsidR="00501E02" w:rsidRDefault="00501E02" w:rsidP="00501E02">
      <w:pPr>
        <w:spacing w:after="120"/>
        <w:jc w:val="both"/>
        <w:rPr>
          <w:rFonts w:ascii="Arial" w:hAnsi="Arial" w:cs="Arial"/>
          <w:b/>
        </w:rPr>
      </w:pPr>
    </w:p>
    <w:p w14:paraId="22F2900A" w14:textId="77777777" w:rsidR="00501E02" w:rsidRPr="00C9631A" w:rsidRDefault="00501E02" w:rsidP="00501E02">
      <w:pPr>
        <w:pStyle w:val="Titolo8"/>
        <w:spacing w:before="0" w:after="120"/>
        <w:rPr>
          <w:rFonts w:ascii="Arial" w:hAnsi="Arial" w:cs="Arial"/>
          <w:b/>
          <w:i w:val="0"/>
          <w:color w:val="E42618"/>
          <w:sz w:val="22"/>
          <w:szCs w:val="20"/>
        </w:rPr>
      </w:pPr>
      <w:r w:rsidRPr="00C9631A">
        <w:rPr>
          <w:rFonts w:ascii="Arial" w:hAnsi="Arial" w:cs="Arial"/>
          <w:b/>
          <w:i w:val="0"/>
          <w:color w:val="E42618"/>
          <w:sz w:val="22"/>
          <w:szCs w:val="20"/>
        </w:rPr>
        <w:t>Commercio con l’estero</w:t>
      </w:r>
    </w:p>
    <w:p w14:paraId="4E8C9D08" w14:textId="77777777" w:rsidR="00501E02" w:rsidRPr="00C21B33" w:rsidRDefault="00501E02" w:rsidP="00501E02">
      <w:pPr>
        <w:spacing w:after="120"/>
        <w:jc w:val="both"/>
        <w:rPr>
          <w:rFonts w:ascii="Arial" w:hAnsi="Arial" w:cs="Arial"/>
          <w:strike/>
          <w:sz w:val="20"/>
          <w:szCs w:val="20"/>
        </w:rPr>
      </w:pPr>
      <w:r w:rsidRPr="00C9631A">
        <w:rPr>
          <w:rFonts w:ascii="Arial" w:hAnsi="Arial" w:cs="Arial"/>
          <w:sz w:val="20"/>
          <w:szCs w:val="20"/>
        </w:rPr>
        <w:t>Le statistiche del commercio estero di beni sono il risultato di due rilevazioni che hanno come oggetto gli scambi dell’Italia con i paesi dell’Unione europea (Ue) e con i paesi extra Ue</w:t>
      </w:r>
      <w:r w:rsidRPr="00104132">
        <w:rPr>
          <w:rFonts w:ascii="Arial" w:hAnsi="Arial" w:cs="Arial"/>
          <w:sz w:val="20"/>
          <w:szCs w:val="20"/>
        </w:rPr>
        <w:t xml:space="preserve">. </w:t>
      </w:r>
    </w:p>
    <w:p w14:paraId="03712E1A" w14:textId="77777777" w:rsidR="00501E02" w:rsidRPr="00C9631A" w:rsidRDefault="00501E02" w:rsidP="00501E02">
      <w:pPr>
        <w:spacing w:after="120"/>
        <w:jc w:val="both"/>
        <w:rPr>
          <w:rFonts w:ascii="Arial" w:hAnsi="Arial" w:cs="Arial"/>
          <w:sz w:val="20"/>
          <w:szCs w:val="20"/>
        </w:rPr>
      </w:pPr>
    </w:p>
    <w:p w14:paraId="28024808" w14:textId="77777777" w:rsidR="00501E02" w:rsidRDefault="00501E02" w:rsidP="00501E02">
      <w:pPr>
        <w:spacing w:after="120"/>
        <w:jc w:val="both"/>
        <w:rPr>
          <w:rFonts w:ascii="Arial" w:hAnsi="Arial" w:cs="Arial"/>
          <w:b/>
          <w:sz w:val="20"/>
          <w:szCs w:val="20"/>
        </w:rPr>
      </w:pPr>
      <w:r w:rsidRPr="00C9631A">
        <w:rPr>
          <w:rFonts w:ascii="Arial" w:hAnsi="Arial" w:cs="Arial"/>
          <w:b/>
          <w:sz w:val="20"/>
          <w:szCs w:val="20"/>
        </w:rPr>
        <w:t>Quadro normativo di riferimento</w:t>
      </w:r>
    </w:p>
    <w:p w14:paraId="7A92114D" w14:textId="77777777" w:rsidR="00501E02" w:rsidRPr="00D61DDB" w:rsidRDefault="00501E02" w:rsidP="00501E02">
      <w:pPr>
        <w:spacing w:after="120"/>
        <w:jc w:val="both"/>
        <w:rPr>
          <w:rFonts w:ascii="Arial" w:hAnsi="Arial" w:cs="Arial"/>
          <w:sz w:val="20"/>
          <w:szCs w:val="20"/>
        </w:rPr>
      </w:pPr>
      <w:r w:rsidRPr="00D61DDB">
        <w:rPr>
          <w:rFonts w:ascii="Arial" w:hAnsi="Arial" w:cs="Arial"/>
          <w:sz w:val="20"/>
          <w:szCs w:val="20"/>
        </w:rPr>
        <w:t>L</w:t>
      </w:r>
      <w:r>
        <w:rPr>
          <w:rFonts w:ascii="Arial" w:hAnsi="Arial" w:cs="Arial"/>
          <w:sz w:val="20"/>
          <w:szCs w:val="20"/>
        </w:rPr>
        <w:t>e rilevazioni</w:t>
      </w:r>
      <w:r w:rsidRPr="00D61DDB">
        <w:rPr>
          <w:rFonts w:ascii="Arial" w:hAnsi="Arial" w:cs="Arial"/>
          <w:sz w:val="20"/>
          <w:szCs w:val="20"/>
        </w:rPr>
        <w:t xml:space="preserve"> del commercio con i paesi </w:t>
      </w:r>
      <w:r>
        <w:rPr>
          <w:rFonts w:ascii="Arial" w:hAnsi="Arial" w:cs="Arial"/>
          <w:sz w:val="20"/>
          <w:szCs w:val="20"/>
        </w:rPr>
        <w:t xml:space="preserve">Ue ed </w:t>
      </w:r>
      <w:r w:rsidRPr="00D61DDB">
        <w:rPr>
          <w:rFonts w:ascii="Arial" w:hAnsi="Arial" w:cs="Arial"/>
          <w:sz w:val="20"/>
          <w:szCs w:val="20"/>
        </w:rPr>
        <w:t xml:space="preserve">extra Ue </w:t>
      </w:r>
      <w:r>
        <w:rPr>
          <w:rFonts w:ascii="Arial" w:hAnsi="Arial" w:cs="Arial"/>
          <w:sz w:val="20"/>
          <w:szCs w:val="20"/>
        </w:rPr>
        <w:t>sono</w:t>
      </w:r>
      <w:r w:rsidRPr="00E41033">
        <w:rPr>
          <w:rFonts w:ascii="Arial" w:hAnsi="Arial" w:cs="Arial"/>
          <w:sz w:val="20"/>
          <w:szCs w:val="20"/>
        </w:rPr>
        <w:t xml:space="preserve"> effettuat</w:t>
      </w:r>
      <w:r>
        <w:rPr>
          <w:rFonts w:ascii="Arial" w:hAnsi="Arial" w:cs="Arial"/>
          <w:sz w:val="20"/>
          <w:szCs w:val="20"/>
        </w:rPr>
        <w:t>e</w:t>
      </w:r>
      <w:r w:rsidRPr="00D61DDB">
        <w:rPr>
          <w:rFonts w:ascii="Arial" w:hAnsi="Arial" w:cs="Arial"/>
          <w:sz w:val="20"/>
          <w:szCs w:val="20"/>
        </w:rPr>
        <w:t xml:space="preserve"> secondo la normativa comunitaria: Regolamento (UE) 2019/2152 del Parlamento europeo e del Consiglio relativo alle statistiche europee sulle imprese; Regolamento di esecuzione (UE) 2020/1197 della Commissione che stabilisce le specifiche tecniche e le modalità a norma del regolamento (UE) 2019/2152; Regolamento delegato (UE) 2021/1704 della Commissione che integra il regolamento (UE) 2019/2152 specificando ulteriormente i dettagli delle informazioni statistiche che devono essere fornite dalle autorità fiscali e doganali e che ne modifica gli allegati V e VI; Regolamento di esecuzione (UE) 2021/1225 della Commi</w:t>
      </w:r>
      <w:r>
        <w:rPr>
          <w:rFonts w:ascii="Arial" w:hAnsi="Arial" w:cs="Arial"/>
          <w:sz w:val="20"/>
          <w:szCs w:val="20"/>
        </w:rPr>
        <w:t>s</w:t>
      </w:r>
      <w:r w:rsidRPr="00D61DDB">
        <w:rPr>
          <w:rFonts w:ascii="Arial" w:hAnsi="Arial" w:cs="Arial"/>
          <w:sz w:val="20"/>
          <w:szCs w:val="20"/>
        </w:rPr>
        <w:t>sione che specifica le modalità degli scambi di dati a norma del regolamento (UE) 2019/2152 e che modifica il regolamento di esecuzione (UE) 2020/1197 per quanto riguarda lo Stato membro di esportazione extra-UE e gli obblighi delle unità rispondenti</w:t>
      </w:r>
      <w:r>
        <w:rPr>
          <w:rFonts w:ascii="Arial" w:hAnsi="Arial" w:cs="Arial"/>
          <w:sz w:val="20"/>
          <w:szCs w:val="20"/>
        </w:rPr>
        <w:t>.</w:t>
      </w:r>
    </w:p>
    <w:p w14:paraId="50AEB23B"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La rilevazione del commercio con i paesi appartenenti all’Unione europea </w:t>
      </w:r>
      <w:r>
        <w:rPr>
          <w:rFonts w:ascii="Arial" w:hAnsi="Arial" w:cs="Arial"/>
          <w:sz w:val="20"/>
          <w:szCs w:val="20"/>
        </w:rPr>
        <w:t>t</w:t>
      </w:r>
      <w:r w:rsidRPr="00C9631A">
        <w:rPr>
          <w:rFonts w:ascii="Arial" w:hAnsi="Arial" w:cs="Arial"/>
          <w:sz w:val="20"/>
          <w:szCs w:val="20"/>
        </w:rPr>
        <w:t>rova applicazione in sede nazionale con il Decreto Legislativo n. 18/2010 (GU n. 41 del 19-2-2010), il Decreto del Ministro dell’</w:t>
      </w:r>
      <w:r>
        <w:rPr>
          <w:rFonts w:ascii="Arial" w:hAnsi="Arial" w:cs="Arial"/>
          <w:sz w:val="20"/>
          <w:szCs w:val="20"/>
        </w:rPr>
        <w:t>e</w:t>
      </w:r>
      <w:r w:rsidRPr="00C9631A">
        <w:rPr>
          <w:rFonts w:ascii="Arial" w:hAnsi="Arial" w:cs="Arial"/>
          <w:sz w:val="20"/>
          <w:szCs w:val="20"/>
        </w:rPr>
        <w:t xml:space="preserve">conomia e delle </w:t>
      </w:r>
      <w:r>
        <w:rPr>
          <w:rFonts w:ascii="Arial" w:hAnsi="Arial" w:cs="Arial"/>
          <w:sz w:val="20"/>
          <w:szCs w:val="20"/>
        </w:rPr>
        <w:t>f</w:t>
      </w:r>
      <w:r w:rsidRPr="00C9631A">
        <w:rPr>
          <w:rFonts w:ascii="Arial" w:hAnsi="Arial" w:cs="Arial"/>
          <w:sz w:val="20"/>
          <w:szCs w:val="20"/>
        </w:rPr>
        <w:t>inanze del 22/2/2010 (GU n.53 del 5-3-2010) e l</w:t>
      </w:r>
      <w:r>
        <w:rPr>
          <w:rFonts w:ascii="Arial" w:hAnsi="Arial" w:cs="Arial"/>
          <w:sz w:val="20"/>
          <w:szCs w:val="20"/>
        </w:rPr>
        <w:t>a</w:t>
      </w:r>
      <w:r w:rsidRPr="00C9631A">
        <w:rPr>
          <w:rFonts w:ascii="Arial" w:hAnsi="Arial" w:cs="Arial"/>
          <w:sz w:val="20"/>
          <w:szCs w:val="20"/>
        </w:rPr>
        <w:t xml:space="preserve"> Determinazione </w:t>
      </w:r>
      <w:r>
        <w:rPr>
          <w:rFonts w:ascii="Arial" w:hAnsi="Arial" w:cs="Arial"/>
          <w:sz w:val="20"/>
          <w:szCs w:val="20"/>
        </w:rPr>
        <w:t xml:space="preserve">del Direttore </w:t>
      </w:r>
      <w:r w:rsidRPr="00C9631A">
        <w:rPr>
          <w:rFonts w:ascii="Arial" w:hAnsi="Arial" w:cs="Arial"/>
          <w:sz w:val="20"/>
          <w:szCs w:val="20"/>
        </w:rPr>
        <w:t xml:space="preserve">dell’Agenzia delle </w:t>
      </w:r>
      <w:r>
        <w:rPr>
          <w:rFonts w:ascii="Arial" w:hAnsi="Arial" w:cs="Arial"/>
          <w:sz w:val="20"/>
          <w:szCs w:val="20"/>
        </w:rPr>
        <w:t>d</w:t>
      </w:r>
      <w:r w:rsidRPr="00C9631A">
        <w:rPr>
          <w:rFonts w:ascii="Arial" w:hAnsi="Arial" w:cs="Arial"/>
          <w:sz w:val="20"/>
          <w:szCs w:val="20"/>
        </w:rPr>
        <w:t>ogane del 22/2/2010</w:t>
      </w:r>
      <w:r>
        <w:rPr>
          <w:rFonts w:ascii="Arial" w:hAnsi="Arial" w:cs="Arial"/>
          <w:sz w:val="20"/>
          <w:szCs w:val="20"/>
        </w:rPr>
        <w:t>,</w:t>
      </w:r>
      <w:r w:rsidRPr="00C9631A">
        <w:rPr>
          <w:rFonts w:ascii="Arial" w:hAnsi="Arial" w:cs="Arial"/>
          <w:sz w:val="20"/>
          <w:szCs w:val="20"/>
        </w:rPr>
        <w:t xml:space="preserve"> </w:t>
      </w:r>
      <w:r>
        <w:rPr>
          <w:rFonts w:ascii="Arial" w:hAnsi="Arial" w:cs="Arial"/>
          <w:sz w:val="20"/>
          <w:szCs w:val="20"/>
        </w:rPr>
        <w:t>il</w:t>
      </w:r>
      <w:r w:rsidRPr="00C9631A">
        <w:rPr>
          <w:rFonts w:ascii="Arial" w:hAnsi="Arial" w:cs="Arial"/>
          <w:sz w:val="20"/>
          <w:szCs w:val="20"/>
        </w:rPr>
        <w:t xml:space="preserve"> Provvedimento del </w:t>
      </w:r>
      <w:r>
        <w:rPr>
          <w:rFonts w:ascii="Arial" w:hAnsi="Arial" w:cs="Arial"/>
          <w:sz w:val="20"/>
          <w:szCs w:val="20"/>
        </w:rPr>
        <w:t>D</w:t>
      </w:r>
      <w:r w:rsidRPr="00C9631A">
        <w:rPr>
          <w:rFonts w:ascii="Arial" w:hAnsi="Arial" w:cs="Arial"/>
          <w:sz w:val="20"/>
          <w:szCs w:val="20"/>
        </w:rPr>
        <w:t>irettore dell'Agenzia delle entrate</w:t>
      </w:r>
      <w:r>
        <w:rPr>
          <w:rFonts w:ascii="Arial" w:hAnsi="Arial" w:cs="Arial"/>
          <w:sz w:val="20"/>
          <w:szCs w:val="20"/>
        </w:rPr>
        <w:t xml:space="preserve"> n. 194409 </w:t>
      </w:r>
      <w:r w:rsidRPr="00C9631A">
        <w:rPr>
          <w:rFonts w:ascii="Arial" w:hAnsi="Arial" w:cs="Arial"/>
          <w:sz w:val="20"/>
          <w:szCs w:val="20"/>
        </w:rPr>
        <w:t xml:space="preserve"> del 25/09/2017</w:t>
      </w:r>
      <w:r>
        <w:rPr>
          <w:rFonts w:ascii="Arial" w:hAnsi="Arial" w:cs="Arial"/>
          <w:sz w:val="20"/>
          <w:szCs w:val="20"/>
        </w:rPr>
        <w:t xml:space="preserve"> e la </w:t>
      </w:r>
      <w:r w:rsidRPr="00D05D6A">
        <w:rPr>
          <w:rFonts w:ascii="Arial" w:hAnsi="Arial" w:cs="Arial"/>
          <w:sz w:val="20"/>
          <w:szCs w:val="20"/>
        </w:rPr>
        <w:t xml:space="preserve">Determinazione </w:t>
      </w:r>
      <w:r>
        <w:rPr>
          <w:rFonts w:ascii="Arial" w:hAnsi="Arial" w:cs="Arial"/>
          <w:sz w:val="20"/>
          <w:szCs w:val="20"/>
        </w:rPr>
        <w:t xml:space="preserve">del Direttore dell’Agenzia delle dogane e monopoli </w:t>
      </w:r>
      <w:r w:rsidRPr="00D05D6A">
        <w:rPr>
          <w:rFonts w:ascii="Arial" w:hAnsi="Arial" w:cs="Arial"/>
          <w:sz w:val="20"/>
          <w:szCs w:val="20"/>
        </w:rPr>
        <w:t>n</w:t>
      </w:r>
      <w:r>
        <w:rPr>
          <w:rFonts w:ascii="Arial" w:hAnsi="Arial" w:cs="Arial"/>
          <w:sz w:val="20"/>
          <w:szCs w:val="20"/>
        </w:rPr>
        <w:t>.</w:t>
      </w:r>
      <w:r w:rsidRPr="00D05D6A">
        <w:rPr>
          <w:rFonts w:ascii="Arial" w:hAnsi="Arial" w:cs="Arial"/>
          <w:sz w:val="20"/>
          <w:szCs w:val="20"/>
        </w:rPr>
        <w:t xml:space="preserve"> 493869 del 23 dicembre 2021</w:t>
      </w:r>
      <w:r w:rsidRPr="00C9631A">
        <w:rPr>
          <w:rFonts w:ascii="Arial" w:hAnsi="Arial" w:cs="Arial"/>
          <w:sz w:val="20"/>
          <w:szCs w:val="20"/>
        </w:rPr>
        <w:t xml:space="preserve">. </w:t>
      </w:r>
    </w:p>
    <w:p w14:paraId="58F853A1" w14:textId="77777777" w:rsidR="00501E02" w:rsidRDefault="00501E02" w:rsidP="00501E02">
      <w:pPr>
        <w:spacing w:after="120"/>
        <w:jc w:val="both"/>
        <w:rPr>
          <w:rFonts w:ascii="Arial" w:hAnsi="Arial" w:cs="Arial"/>
          <w:sz w:val="20"/>
          <w:szCs w:val="20"/>
        </w:rPr>
      </w:pPr>
      <w:r w:rsidRPr="00C9631A">
        <w:rPr>
          <w:rFonts w:ascii="Arial" w:hAnsi="Arial" w:cs="Arial"/>
          <w:sz w:val="20"/>
          <w:szCs w:val="20"/>
        </w:rPr>
        <w:t xml:space="preserve">La rilevazione del commercio con i paesi extra Ue </w:t>
      </w:r>
      <w:r>
        <w:rPr>
          <w:rFonts w:ascii="Arial" w:hAnsi="Arial" w:cs="Arial"/>
          <w:sz w:val="20"/>
          <w:szCs w:val="20"/>
        </w:rPr>
        <w:t xml:space="preserve">trova </w:t>
      </w:r>
      <w:r w:rsidRPr="00C9631A">
        <w:rPr>
          <w:rFonts w:ascii="Arial" w:hAnsi="Arial" w:cs="Arial"/>
          <w:sz w:val="20"/>
          <w:szCs w:val="20"/>
        </w:rPr>
        <w:t xml:space="preserve">applicazione in sede nazionale con opportuni provvedimenti emanati dall’Agenzia delle </w:t>
      </w:r>
      <w:r>
        <w:rPr>
          <w:rFonts w:ascii="Arial" w:hAnsi="Arial" w:cs="Arial"/>
          <w:sz w:val="20"/>
          <w:szCs w:val="20"/>
        </w:rPr>
        <w:t>d</w:t>
      </w:r>
      <w:r w:rsidRPr="00C9631A">
        <w:rPr>
          <w:rFonts w:ascii="Arial" w:hAnsi="Arial" w:cs="Arial"/>
          <w:sz w:val="20"/>
          <w:szCs w:val="20"/>
        </w:rPr>
        <w:t>ogane</w:t>
      </w:r>
      <w:r>
        <w:rPr>
          <w:rFonts w:ascii="Arial" w:hAnsi="Arial" w:cs="Arial"/>
          <w:sz w:val="20"/>
          <w:szCs w:val="20"/>
        </w:rPr>
        <w:t>.</w:t>
      </w:r>
    </w:p>
    <w:p w14:paraId="49AD2B4B" w14:textId="77777777" w:rsidR="00501E02" w:rsidRDefault="00501E02" w:rsidP="00501E02">
      <w:pPr>
        <w:spacing w:after="120"/>
        <w:jc w:val="both"/>
        <w:rPr>
          <w:rFonts w:ascii="Arial" w:hAnsi="Arial" w:cs="Arial"/>
          <w:sz w:val="20"/>
          <w:szCs w:val="20"/>
        </w:rPr>
      </w:pPr>
    </w:p>
    <w:p w14:paraId="1362B3FD" w14:textId="77777777" w:rsidR="00501E02" w:rsidRDefault="00501E02" w:rsidP="00501E02">
      <w:pPr>
        <w:spacing w:after="120"/>
        <w:jc w:val="both"/>
        <w:rPr>
          <w:rFonts w:ascii="Arial" w:hAnsi="Arial" w:cs="Arial"/>
          <w:sz w:val="20"/>
          <w:szCs w:val="20"/>
        </w:rPr>
      </w:pPr>
    </w:p>
    <w:p w14:paraId="4C9FBF49" w14:textId="77777777" w:rsidR="00501E02" w:rsidRDefault="00501E02" w:rsidP="00501E02">
      <w:pPr>
        <w:spacing w:after="120"/>
        <w:jc w:val="both"/>
        <w:rPr>
          <w:rFonts w:ascii="Arial" w:hAnsi="Arial" w:cs="Arial"/>
          <w:sz w:val="20"/>
          <w:szCs w:val="20"/>
        </w:rPr>
      </w:pPr>
    </w:p>
    <w:p w14:paraId="277A2D36" w14:textId="77777777" w:rsidR="00501E02" w:rsidRDefault="00501E02" w:rsidP="00501E02">
      <w:pPr>
        <w:spacing w:after="120"/>
        <w:jc w:val="both"/>
        <w:rPr>
          <w:rFonts w:ascii="Arial" w:hAnsi="Arial" w:cs="Arial"/>
          <w:sz w:val="20"/>
          <w:szCs w:val="20"/>
        </w:rPr>
      </w:pPr>
    </w:p>
    <w:p w14:paraId="1525345B" w14:textId="77777777" w:rsidR="00501E02" w:rsidRPr="00C9631A" w:rsidRDefault="00501E02" w:rsidP="00501E02">
      <w:pPr>
        <w:spacing w:after="120"/>
        <w:jc w:val="both"/>
        <w:rPr>
          <w:rFonts w:ascii="Arial" w:hAnsi="Arial" w:cs="Arial"/>
          <w:sz w:val="20"/>
          <w:szCs w:val="20"/>
        </w:rPr>
      </w:pPr>
    </w:p>
    <w:p w14:paraId="4F564254"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 xml:space="preserve">Fonti utilizzate e raccolta dei dati </w:t>
      </w:r>
    </w:p>
    <w:p w14:paraId="3B3B5DFE" w14:textId="77777777" w:rsidR="00501E02" w:rsidRPr="00FA0113" w:rsidRDefault="00501E02" w:rsidP="00501E02">
      <w:pPr>
        <w:spacing w:after="120"/>
        <w:jc w:val="both"/>
        <w:rPr>
          <w:rFonts w:ascii="Arial" w:hAnsi="Arial" w:cs="Arial"/>
          <w:sz w:val="16"/>
          <w:szCs w:val="16"/>
        </w:rPr>
      </w:pPr>
      <w:r w:rsidRPr="00C9631A">
        <w:rPr>
          <w:rFonts w:ascii="Arial" w:hAnsi="Arial" w:cs="Arial"/>
          <w:sz w:val="20"/>
          <w:szCs w:val="20"/>
        </w:rPr>
        <w:t xml:space="preserve">Per la produzione di statistiche sugli scambi di merci con i paesi Ue, le informazioni sono raccolte tramite i modelli Intrastat che riportano, in sezioni distinte, le dichiarazioni per acquisti e cessioni di beni e per prestazioni di servizi resi e ricevuti. </w:t>
      </w:r>
    </w:p>
    <w:p w14:paraId="6F91AC11" w14:textId="77777777" w:rsidR="00501E02" w:rsidRPr="00A80498" w:rsidRDefault="00501E02" w:rsidP="00501E02">
      <w:pPr>
        <w:spacing w:after="120"/>
        <w:jc w:val="both"/>
        <w:rPr>
          <w:rFonts w:ascii="Arial" w:hAnsi="Arial" w:cs="Arial"/>
          <w:sz w:val="20"/>
          <w:szCs w:val="20"/>
        </w:rPr>
      </w:pPr>
      <w:r w:rsidRPr="00A80498">
        <w:rPr>
          <w:rFonts w:ascii="Arial" w:hAnsi="Arial" w:cs="Arial"/>
          <w:sz w:val="20"/>
          <w:szCs w:val="20"/>
        </w:rPr>
        <w:t>L’universo di riferimento è costituito dai soggetti economici identificati sulla base della partiva iva, che risultano aver effettuato almeno una transazione commerciale con i paesi Ue nel periodo considerato. Ai sensi della legge 27 febbraio 2017 n. 19 e della Determinazione del Direttore dell’Agenzia delle dogane e dei monopoli n. 493869 del 23 dicembre 2021, a partire dal 1° gennaio 2022 le soglie statistiche che determinano l’obbligatorietà di risposta alla rilevazione mensile Intrastat sono così definite:</w:t>
      </w:r>
    </w:p>
    <w:p w14:paraId="4282FD5D" w14:textId="77777777" w:rsidR="00501E02" w:rsidRPr="00A80498" w:rsidRDefault="00501E02" w:rsidP="00501E02">
      <w:pPr>
        <w:spacing w:after="120"/>
        <w:jc w:val="both"/>
        <w:rPr>
          <w:rFonts w:ascii="Arial" w:hAnsi="Arial" w:cs="Arial"/>
          <w:sz w:val="20"/>
          <w:szCs w:val="20"/>
        </w:rPr>
      </w:pPr>
      <w:r w:rsidRPr="00A80498">
        <w:rPr>
          <w:rFonts w:ascii="Arial" w:hAnsi="Arial" w:cs="Arial"/>
          <w:sz w:val="20"/>
          <w:szCs w:val="20"/>
        </w:rPr>
        <w:t>a) cessioni di beni, per i soggetti che hanno realizzato, in almeno uno dei quattro trimestri precedenti, un ammontare totale trimestrale superiore ai 100.000 euro (tale soglia resta la stessa in vigore dal 1° gennaio 2018);</w:t>
      </w:r>
    </w:p>
    <w:p w14:paraId="363EB5EC" w14:textId="77777777" w:rsidR="00501E02" w:rsidRPr="00C9631A" w:rsidRDefault="00501E02" w:rsidP="00501E02">
      <w:pPr>
        <w:spacing w:after="120"/>
        <w:jc w:val="both"/>
        <w:rPr>
          <w:rFonts w:ascii="Arial" w:hAnsi="Arial" w:cs="Arial"/>
          <w:sz w:val="20"/>
          <w:szCs w:val="20"/>
        </w:rPr>
      </w:pPr>
      <w:r w:rsidRPr="00A80498">
        <w:rPr>
          <w:rFonts w:ascii="Arial" w:hAnsi="Arial" w:cs="Arial"/>
          <w:sz w:val="20"/>
          <w:szCs w:val="20"/>
        </w:rPr>
        <w:t>b) acquisti di beni, per i soggetti che hanno realizzato, in almeno uno dei quattro trimestri precedenti, un ammontare totale trimestrale superiore ai 350.000 euro (da gennaio 2018 a dicembre 2021, la soglia era di 200.000 euro).</w:t>
      </w:r>
    </w:p>
    <w:p w14:paraId="1ED5F01C"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Le dichiarazioni Intrastat vengono trasmesse in via telematica all’Agenzia delle Dogane.</w:t>
      </w:r>
    </w:p>
    <w:p w14:paraId="10691FB1"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A partire dal 20</w:t>
      </w:r>
      <w:r>
        <w:rPr>
          <w:rFonts w:ascii="Arial" w:hAnsi="Arial" w:cs="Arial"/>
          <w:sz w:val="20"/>
          <w:szCs w:val="20"/>
        </w:rPr>
        <w:t>22</w:t>
      </w:r>
      <w:r w:rsidRPr="00C9631A">
        <w:rPr>
          <w:rFonts w:ascii="Arial" w:hAnsi="Arial" w:cs="Arial"/>
          <w:sz w:val="20"/>
          <w:szCs w:val="20"/>
        </w:rPr>
        <w:t>, i dati necessari alla compilazione delle statistiche sugli scambi di merci con i paesi dell’Ue sono forniti esclusivamente dagli operatori obbligati alle dichiarazioni mensili secondo le nuove soglie sopra riportate. I flussi di merci attivati da questi operatori coprono circa il 97% delle cessioni e il 9</w:t>
      </w:r>
      <w:r>
        <w:rPr>
          <w:rFonts w:ascii="Arial" w:hAnsi="Arial" w:cs="Arial"/>
          <w:sz w:val="20"/>
          <w:szCs w:val="20"/>
        </w:rPr>
        <w:t>1</w:t>
      </w:r>
      <w:r w:rsidRPr="00C9631A">
        <w:rPr>
          <w:rFonts w:ascii="Arial" w:hAnsi="Arial" w:cs="Arial"/>
          <w:sz w:val="20"/>
          <w:szCs w:val="20"/>
        </w:rPr>
        <w:t>% degli acquisti intracomunitari realizzando una consistente riduzione del carico informativo sugli operatori</w:t>
      </w:r>
      <w:r w:rsidRPr="00C9631A">
        <w:rPr>
          <w:rStyle w:val="Rimandonotaapidipagina"/>
          <w:rFonts w:ascii="Arial" w:hAnsi="Arial" w:cs="Arial"/>
          <w:sz w:val="20"/>
          <w:szCs w:val="20"/>
        </w:rPr>
        <w:footnoteReference w:id="1"/>
      </w:r>
      <w:r w:rsidRPr="00C9631A">
        <w:rPr>
          <w:rFonts w:ascii="Arial" w:hAnsi="Arial" w:cs="Arial"/>
          <w:sz w:val="20"/>
          <w:szCs w:val="20"/>
        </w:rPr>
        <w:t xml:space="preserve">. </w:t>
      </w:r>
    </w:p>
    <w:p w14:paraId="2BF181A6" w14:textId="5F36F63D" w:rsidR="00501E02" w:rsidRDefault="00501E02" w:rsidP="00501E02">
      <w:pPr>
        <w:spacing w:after="120"/>
        <w:jc w:val="both"/>
        <w:rPr>
          <w:rFonts w:ascii="Arial" w:hAnsi="Arial" w:cs="Arial"/>
          <w:sz w:val="20"/>
          <w:szCs w:val="20"/>
        </w:rPr>
      </w:pPr>
      <w:r w:rsidRPr="00C9631A">
        <w:rPr>
          <w:rFonts w:ascii="Arial" w:hAnsi="Arial" w:cs="Arial"/>
          <w:sz w:val="20"/>
          <w:szCs w:val="20"/>
        </w:rPr>
        <w:t xml:space="preserve">Al fine di realizzare una stima accurata e tempestiva che completi il quadro informativo rispetto all’universo degli operatori che realizzano scambi commerciali con i paesi dell’Ue è stato adottato un approccio di tipo </w:t>
      </w:r>
      <w:proofErr w:type="spellStart"/>
      <w:r w:rsidRPr="00AB0189">
        <w:rPr>
          <w:rFonts w:ascii="Arial" w:hAnsi="Arial" w:cs="Arial"/>
          <w:i/>
          <w:sz w:val="20"/>
          <w:szCs w:val="20"/>
        </w:rPr>
        <w:t>register-based</w:t>
      </w:r>
      <w:proofErr w:type="spellEnd"/>
      <w:r w:rsidRPr="00C9631A">
        <w:rPr>
          <w:rFonts w:ascii="Arial" w:hAnsi="Arial" w:cs="Arial"/>
          <w:sz w:val="20"/>
          <w:szCs w:val="20"/>
        </w:rPr>
        <w:t xml:space="preserve"> che provvede a stimare, attraverso opportune metodologie, la componente dei flussi attribuibile agli operatori non obbligati a fornire informazioni, considerando congiuntamente sia i domini nazionali che territoriali. In occasione della revisione annuale dei dati realizzata ogni anno a novembre, verranno considerate nei processi di imputazione e stima delle informazioni mancanti ulteriori informazioni presenti nel sistema dei registri e delle fonti fiscali e amministrative disponibili per migliorare ulteriormente la qualità e la copertura delle stime prodotte. </w:t>
      </w:r>
    </w:p>
    <w:p w14:paraId="6B07878E"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La rilevazione con i paesi extra Ue è effettuata elaborando dati provenienti da una base dati di tipo fiscale-amministrativo (Documento Amministrativo Unico – DAU) coerente con le definizioni e le classificazioni di tipo statistico e ha periodicità mensile.</w:t>
      </w:r>
    </w:p>
    <w:p w14:paraId="1AE85304" w14:textId="77777777" w:rsidR="00501E02" w:rsidRDefault="00501E02" w:rsidP="00501E02">
      <w:pPr>
        <w:spacing w:after="120"/>
        <w:jc w:val="both"/>
        <w:rPr>
          <w:rFonts w:ascii="Arial" w:hAnsi="Arial" w:cs="Arial"/>
          <w:sz w:val="20"/>
          <w:szCs w:val="20"/>
        </w:rPr>
      </w:pPr>
      <w:r w:rsidRPr="00C9631A">
        <w:rPr>
          <w:rFonts w:ascii="Arial" w:hAnsi="Arial" w:cs="Arial"/>
          <w:sz w:val="20"/>
          <w:szCs w:val="20"/>
        </w:rPr>
        <w:t>Conformemente alla normativa comunitaria, dal 2000 le esportazioni e le importazioni al di sotto delle soglie di esclusione (operazioni commerciali di valore – a partire dal 2010 – inferiore a 1.000 euro) vengono inserite nelle statistiche del commercio estero con i paesi extra Ue mensilmente in forma aggregata.</w:t>
      </w:r>
    </w:p>
    <w:p w14:paraId="5DC580D1" w14:textId="77777777" w:rsidR="00501E02" w:rsidRPr="00C9631A" w:rsidRDefault="00501E02" w:rsidP="00501E02">
      <w:pPr>
        <w:spacing w:after="120"/>
        <w:jc w:val="both"/>
        <w:rPr>
          <w:rFonts w:ascii="Arial" w:hAnsi="Arial" w:cs="Arial"/>
          <w:sz w:val="20"/>
          <w:szCs w:val="20"/>
        </w:rPr>
      </w:pPr>
      <w:r>
        <w:rPr>
          <w:rFonts w:ascii="Arial" w:hAnsi="Arial" w:cs="Arial"/>
          <w:sz w:val="20"/>
          <w:szCs w:val="20"/>
        </w:rPr>
        <w:t>A partire dal mese di gennaio 2022, i</w:t>
      </w:r>
      <w:r w:rsidRPr="00C232B1">
        <w:rPr>
          <w:rFonts w:ascii="Arial" w:hAnsi="Arial" w:cs="Arial"/>
          <w:sz w:val="20"/>
          <w:szCs w:val="20"/>
        </w:rPr>
        <w:t xml:space="preserve">n applicazione delle disposizioni di cui al Regolamento di </w:t>
      </w:r>
      <w:r>
        <w:rPr>
          <w:rFonts w:ascii="Arial" w:hAnsi="Arial" w:cs="Arial"/>
          <w:sz w:val="20"/>
          <w:szCs w:val="20"/>
        </w:rPr>
        <w:t xml:space="preserve">esecuzione (UE) 2020/1197, non è richiesta la disaggregazione dei flussi di interscambio intracomunitario in termini di singoli prodotti </w:t>
      </w:r>
      <w:r w:rsidRPr="00C232B1">
        <w:rPr>
          <w:rFonts w:ascii="Arial" w:hAnsi="Arial" w:cs="Arial"/>
          <w:sz w:val="20"/>
          <w:szCs w:val="20"/>
        </w:rPr>
        <w:t>della nomenclatura co</w:t>
      </w:r>
      <w:r>
        <w:rPr>
          <w:rFonts w:ascii="Arial" w:hAnsi="Arial" w:cs="Arial"/>
          <w:sz w:val="20"/>
          <w:szCs w:val="20"/>
        </w:rPr>
        <w:t xml:space="preserve">mbinata </w:t>
      </w:r>
      <w:r w:rsidRPr="00C232B1">
        <w:rPr>
          <w:rFonts w:ascii="Arial" w:hAnsi="Arial" w:cs="Arial"/>
          <w:sz w:val="20"/>
          <w:szCs w:val="20"/>
        </w:rPr>
        <w:t xml:space="preserve">per le spedizioni di valore inferiore </w:t>
      </w:r>
      <w:r>
        <w:rPr>
          <w:rFonts w:ascii="Arial" w:hAnsi="Arial" w:cs="Arial"/>
          <w:sz w:val="20"/>
          <w:szCs w:val="20"/>
        </w:rPr>
        <w:t>a</w:t>
      </w:r>
      <w:r w:rsidRPr="00C232B1">
        <w:rPr>
          <w:rFonts w:ascii="Arial" w:hAnsi="Arial" w:cs="Arial"/>
          <w:sz w:val="20"/>
          <w:szCs w:val="20"/>
        </w:rPr>
        <w:t xml:space="preserve"> 1.000</w:t>
      </w:r>
      <w:r>
        <w:rPr>
          <w:rFonts w:ascii="Arial" w:hAnsi="Arial" w:cs="Arial"/>
          <w:sz w:val="20"/>
          <w:szCs w:val="20"/>
        </w:rPr>
        <w:t xml:space="preserve"> euro.</w:t>
      </w:r>
    </w:p>
    <w:p w14:paraId="7CEBACE3" w14:textId="77777777" w:rsidR="00501E02" w:rsidRDefault="00501E02" w:rsidP="00501E02">
      <w:pPr>
        <w:suppressAutoHyphens/>
        <w:spacing w:after="120"/>
        <w:jc w:val="both"/>
        <w:rPr>
          <w:rFonts w:ascii="Arial" w:hAnsi="Arial" w:cs="Arial"/>
          <w:sz w:val="20"/>
          <w:szCs w:val="20"/>
        </w:rPr>
      </w:pPr>
      <w:r w:rsidRPr="00C9631A">
        <w:rPr>
          <w:rFonts w:ascii="Arial" w:hAnsi="Arial" w:cs="Arial"/>
          <w:sz w:val="20"/>
          <w:szCs w:val="20"/>
        </w:rPr>
        <w:t xml:space="preserve">A partire dal mese di settembre 2011 è stata implementata una nuova metodologia di produzione delle statistiche sugli scambi con l’estero di gas naturale allo stato gassoso e di energia elettrica, che si basa sull’impiego diretto di fonti informative alternative ai dati statistico-doganali solo per quanto riguarda la misurazione degli scambi complessivi in quantità, mentre per le altre variabili di analisi e classificazione richieste dai regolamenti statistici comunitari (dati in valore monetario e allocazione geografica dei flussi con l’estero per “paese statistico”) sono stati adottati opportuni criteri di stima. </w:t>
      </w:r>
    </w:p>
    <w:p w14:paraId="00C009EB" w14:textId="77777777" w:rsidR="00C50F34" w:rsidRPr="00C9631A" w:rsidRDefault="00C50F34" w:rsidP="00774D4C">
      <w:pPr>
        <w:spacing w:after="120"/>
        <w:jc w:val="both"/>
        <w:rPr>
          <w:rFonts w:ascii="Arial" w:hAnsi="Arial" w:cs="Arial"/>
          <w:sz w:val="20"/>
          <w:szCs w:val="20"/>
        </w:rPr>
      </w:pPr>
    </w:p>
    <w:p w14:paraId="5900496A"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Classificazioni utilizzate</w:t>
      </w:r>
    </w:p>
    <w:p w14:paraId="075E785B" w14:textId="7D8BCD17" w:rsidR="00501E02" w:rsidRDefault="00501E02" w:rsidP="00501E02">
      <w:pPr>
        <w:spacing w:after="100"/>
        <w:jc w:val="both"/>
        <w:rPr>
          <w:rFonts w:ascii="Arial" w:hAnsi="Arial" w:cs="Arial"/>
          <w:sz w:val="20"/>
          <w:szCs w:val="20"/>
        </w:rPr>
      </w:pPr>
      <w:r w:rsidRPr="00C9631A">
        <w:rPr>
          <w:rFonts w:ascii="Arial" w:hAnsi="Arial" w:cs="Arial"/>
          <w:sz w:val="20"/>
          <w:szCs w:val="20"/>
        </w:rPr>
        <w:t>Le principali classificazioni utilizzate nella produzione delle statistiche del commercio con l’estero sono definite a partire dall</w:t>
      </w:r>
      <w:r>
        <w:rPr>
          <w:rFonts w:ascii="Arial" w:hAnsi="Arial" w:cs="Arial"/>
          <w:sz w:val="20"/>
          <w:szCs w:val="20"/>
        </w:rPr>
        <w:t>e</w:t>
      </w:r>
      <w:r w:rsidRPr="00C9631A">
        <w:rPr>
          <w:rFonts w:ascii="Arial" w:hAnsi="Arial" w:cs="Arial"/>
          <w:sz w:val="20"/>
          <w:szCs w:val="20"/>
        </w:rPr>
        <w:t xml:space="preserve"> informazioni elementari riguardanti la tipologia delle merci, il paese statistico e la provincia di provenienza o destinazione delle merci. </w:t>
      </w:r>
    </w:p>
    <w:p w14:paraId="4E3BDC7A" w14:textId="48422151" w:rsidR="00501E02" w:rsidRDefault="00501E02" w:rsidP="00501E02">
      <w:pPr>
        <w:spacing w:after="100"/>
        <w:jc w:val="both"/>
        <w:rPr>
          <w:rFonts w:ascii="Arial" w:hAnsi="Arial" w:cs="Arial"/>
          <w:sz w:val="20"/>
          <w:szCs w:val="20"/>
        </w:rPr>
      </w:pPr>
      <w:r w:rsidRPr="00C9631A">
        <w:rPr>
          <w:rFonts w:ascii="Arial" w:hAnsi="Arial" w:cs="Arial"/>
          <w:sz w:val="20"/>
          <w:szCs w:val="20"/>
        </w:rPr>
        <w:t>Nel rispetto dei Regolamenti comunitari, gli scambi commerciali di beni tra paesi membri sono classificati secondo il paese di provenienza per gli acquisti e il paese di destinazione per le cessioni, mentre quelli con i paesi terzi sono classificati secondo il paese di origine per le importazioni e il paese di destinazione per le esportazioni.</w:t>
      </w:r>
    </w:p>
    <w:p w14:paraId="5CD2C4AE" w14:textId="77777777" w:rsidR="00874F65" w:rsidRDefault="00874F65" w:rsidP="00501E02">
      <w:pPr>
        <w:suppressAutoHyphens/>
        <w:spacing w:after="100"/>
        <w:jc w:val="both"/>
        <w:rPr>
          <w:rFonts w:ascii="Arial" w:hAnsi="Arial" w:cs="Arial"/>
          <w:sz w:val="20"/>
          <w:szCs w:val="20"/>
        </w:rPr>
      </w:pPr>
    </w:p>
    <w:p w14:paraId="23F0948D" w14:textId="77777777" w:rsidR="00874F65" w:rsidRDefault="00874F65" w:rsidP="00501E02">
      <w:pPr>
        <w:suppressAutoHyphens/>
        <w:spacing w:after="100"/>
        <w:jc w:val="both"/>
        <w:rPr>
          <w:rFonts w:ascii="Arial" w:hAnsi="Arial" w:cs="Arial"/>
          <w:sz w:val="20"/>
          <w:szCs w:val="20"/>
        </w:rPr>
      </w:pPr>
    </w:p>
    <w:p w14:paraId="69860E9B" w14:textId="4F950BC0" w:rsidR="00501E02" w:rsidRPr="00C9631A" w:rsidRDefault="00501E02" w:rsidP="00501E02">
      <w:pPr>
        <w:suppressAutoHyphens/>
        <w:spacing w:after="100"/>
        <w:jc w:val="both"/>
        <w:rPr>
          <w:rFonts w:ascii="Arial" w:hAnsi="Arial" w:cs="Arial"/>
          <w:sz w:val="20"/>
          <w:szCs w:val="20"/>
        </w:rPr>
      </w:pPr>
      <w:r w:rsidRPr="00C9631A">
        <w:rPr>
          <w:rFonts w:ascii="Arial" w:hAnsi="Arial" w:cs="Arial"/>
          <w:sz w:val="20"/>
          <w:szCs w:val="20"/>
        </w:rPr>
        <w:t xml:space="preserve">La classificazione utilizzata per definire le aree geografiche e le aree geoeconomiche di appartenenza dei paesi è la </w:t>
      </w:r>
      <w:proofErr w:type="spellStart"/>
      <w:r w:rsidRPr="00C9631A">
        <w:rPr>
          <w:rFonts w:ascii="Arial" w:hAnsi="Arial" w:cs="Arial"/>
          <w:sz w:val="20"/>
          <w:szCs w:val="20"/>
        </w:rPr>
        <w:t>Geonomenclatura</w:t>
      </w:r>
      <w:proofErr w:type="spellEnd"/>
      <w:r w:rsidRPr="00C9631A">
        <w:rPr>
          <w:rFonts w:ascii="Arial" w:hAnsi="Arial" w:cs="Arial"/>
          <w:sz w:val="20"/>
          <w:szCs w:val="20"/>
        </w:rPr>
        <w:t xml:space="preserve"> dei paesi e territori per le statistiche del commercio estero dell’Unione e del commercio tra i suoi Stati membri, stabilita da Eurostat.</w:t>
      </w:r>
    </w:p>
    <w:p w14:paraId="56EB4BCA" w14:textId="77777777" w:rsidR="00501E02" w:rsidRDefault="00501E02" w:rsidP="00501E02">
      <w:pPr>
        <w:spacing w:after="120"/>
        <w:jc w:val="both"/>
        <w:rPr>
          <w:rFonts w:ascii="Arial" w:hAnsi="Arial" w:cs="Arial"/>
          <w:sz w:val="20"/>
          <w:szCs w:val="20"/>
        </w:rPr>
      </w:pPr>
      <w:r w:rsidRPr="00C9631A">
        <w:rPr>
          <w:rFonts w:ascii="Arial" w:hAnsi="Arial" w:cs="Arial"/>
          <w:sz w:val="20"/>
          <w:szCs w:val="20"/>
        </w:rPr>
        <w:t xml:space="preserve">La classificazione di base utilizzata per la rilevazione di informazioni statistiche sugli scambi di merci è la Nomenclatura Combinata (NC), definita dall’Unione europea e annualmente aggiornata. </w:t>
      </w:r>
    </w:p>
    <w:p w14:paraId="1BC76B69"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A partire da gennaio 2009 i raggruppamenti di merci dell’interscambio commerciale sono definiti sulla base della classificazione delle attività economiche Ateco 2007 opportunamente adattata alle statistiche sul commercio estero. L’Ateco 2007, infatti, costituisce la versione nazionale della nomenclatura europea </w:t>
      </w:r>
      <w:proofErr w:type="spellStart"/>
      <w:r w:rsidRPr="00C9631A">
        <w:rPr>
          <w:rFonts w:ascii="Arial" w:hAnsi="Arial" w:cs="Arial"/>
          <w:sz w:val="20"/>
          <w:szCs w:val="20"/>
        </w:rPr>
        <w:t>Nace</w:t>
      </w:r>
      <w:proofErr w:type="spellEnd"/>
      <w:r w:rsidRPr="00C9631A">
        <w:rPr>
          <w:rFonts w:ascii="Arial" w:hAnsi="Arial" w:cs="Arial"/>
          <w:sz w:val="20"/>
          <w:szCs w:val="20"/>
        </w:rPr>
        <w:t xml:space="preserve"> rev. 2, pubblicata sull’Official Journal il 2 dicembre 2006 (Regolamento (CE) n. 1893/2006 del PE e del Consiglio del 20/12/2006), con la quale coincide fino alla quarta cifra.</w:t>
      </w:r>
    </w:p>
    <w:p w14:paraId="4C706B9E"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Ai fini di fornire le informazioni a un livello di dettaglio idoneo ad analizzare l’interscambio commerciale italiano, i dati sono rilasciati secondo un’opportuna disaggregazione intermedia delle sezioni.</w:t>
      </w:r>
    </w:p>
    <w:p w14:paraId="0FDD6963"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Nel corso dell’anno 2003, l’Istat ha modificato, per i dati di commercio estero così come per tutti gli indicatori congiunturali dell’industria, la classificazione delle aggregazioni per destinazione economica dei prodotti “Raggruppamenti Principali di Industrie (RPI)”, definiti dal Regolamento della Commissione n.586/2001 (G.U. delle Comunità europee del 27/03/2001). A seguito dell'entrata in vigore della </w:t>
      </w:r>
      <w:proofErr w:type="spellStart"/>
      <w:r w:rsidRPr="00C9631A">
        <w:rPr>
          <w:rFonts w:ascii="Arial" w:hAnsi="Arial" w:cs="Arial"/>
          <w:sz w:val="20"/>
          <w:szCs w:val="20"/>
        </w:rPr>
        <w:t>Nace</w:t>
      </w:r>
      <w:proofErr w:type="spellEnd"/>
      <w:r w:rsidRPr="00C9631A">
        <w:rPr>
          <w:rFonts w:ascii="Arial" w:hAnsi="Arial" w:cs="Arial"/>
          <w:sz w:val="20"/>
          <w:szCs w:val="20"/>
        </w:rPr>
        <w:t xml:space="preserve"> Rev. 2 tale Regolamento è stato modificato dal Regolamento (CE) n. 656/2007 del 14/06/2007.</w:t>
      </w:r>
    </w:p>
    <w:p w14:paraId="3C20BE67"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 Raggruppamenti Principali di Industrie (RPI) sono:</w:t>
      </w:r>
    </w:p>
    <w:p w14:paraId="4F353B2D"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Beni di consumo durevoli;</w:t>
      </w:r>
    </w:p>
    <w:p w14:paraId="482C0B4F"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Beni di consumo non durevoli;</w:t>
      </w:r>
    </w:p>
    <w:p w14:paraId="5CBAA6FF"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Beni strumentali;</w:t>
      </w:r>
    </w:p>
    <w:p w14:paraId="7FA5618B"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Prodotti intermedi;</w:t>
      </w:r>
    </w:p>
    <w:p w14:paraId="069C1AB2"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Energia.</w:t>
      </w:r>
    </w:p>
    <w:p w14:paraId="2DB8C242"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Al pari dell’Ateco 2007</w:t>
      </w:r>
      <w:r w:rsidRPr="00C9631A">
        <w:rPr>
          <w:rStyle w:val="Rimandonotaapidipagina"/>
          <w:rFonts w:ascii="Arial" w:hAnsi="Arial" w:cs="Arial"/>
          <w:sz w:val="20"/>
          <w:szCs w:val="20"/>
        </w:rPr>
        <w:footnoteReference w:id="2"/>
      </w:r>
      <w:r w:rsidRPr="00C9631A">
        <w:rPr>
          <w:rFonts w:ascii="Arial" w:hAnsi="Arial" w:cs="Arial"/>
          <w:sz w:val="20"/>
          <w:szCs w:val="20"/>
        </w:rPr>
        <w:t>, anche la classificazione RPI è stata adattata alle statistiche sul commercio con l’estero.</w:t>
      </w:r>
    </w:p>
    <w:p w14:paraId="24011C2B" w14:textId="77777777" w:rsidR="00501E02" w:rsidRPr="00C9631A" w:rsidRDefault="00501E02" w:rsidP="00501E02">
      <w:pPr>
        <w:spacing w:after="120"/>
        <w:jc w:val="both"/>
        <w:rPr>
          <w:rFonts w:ascii="Arial" w:hAnsi="Arial" w:cs="Arial"/>
          <w:sz w:val="20"/>
          <w:szCs w:val="20"/>
        </w:rPr>
      </w:pPr>
    </w:p>
    <w:p w14:paraId="59A26E51"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Strumenti di elaborazione dei dati</w:t>
      </w:r>
    </w:p>
    <w:p w14:paraId="476F0B51"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Insieme ai dati grezzi, vengono pubblicati anche i dati depurati della componente stagionale e dagli effetti di calendario. Tali dati sono ottenuti attraverso la procedura TRAMO-SEATS per Linux (versione di febbraio 2010).</w:t>
      </w:r>
    </w:p>
    <w:p w14:paraId="0A11FFDD" w14:textId="77777777" w:rsidR="00501E02" w:rsidRPr="00C9631A" w:rsidRDefault="00501E02" w:rsidP="00501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Arial" w:hAnsi="Arial" w:cs="Arial"/>
          <w:sz w:val="20"/>
          <w:szCs w:val="20"/>
        </w:rPr>
      </w:pPr>
      <w:r w:rsidRPr="00C9631A">
        <w:rPr>
          <w:rFonts w:ascii="Arial" w:hAnsi="Arial" w:cs="Arial"/>
          <w:sz w:val="20"/>
          <w:szCs w:val="20"/>
        </w:rPr>
        <w:t>A partire dai dati mensili del 2012, sono state introdotte alcune sostanziali innovazioni di processo e prodotto nelle procedure di destagionalizzazione, finalizzate a migliorare l’accuratezza delle stime prodotte e a fornire agli utenti un più ampio dettaglio degli indicatori statistici per l’analisi congiunturale del commercio con l’estero, rendendo disponibili nuove serie destagionalizzate a livello di raggruppamenti principali di industrie.</w:t>
      </w:r>
    </w:p>
    <w:p w14:paraId="6F91882A" w14:textId="77777777" w:rsidR="00501E02" w:rsidRDefault="00501E02" w:rsidP="00501E02">
      <w:pPr>
        <w:spacing w:after="120"/>
        <w:jc w:val="both"/>
        <w:rPr>
          <w:rFonts w:ascii="Arial" w:hAnsi="Arial" w:cs="Arial"/>
          <w:sz w:val="20"/>
          <w:szCs w:val="20"/>
        </w:rPr>
      </w:pPr>
      <w:r w:rsidRPr="00C9631A">
        <w:rPr>
          <w:rFonts w:ascii="Arial" w:hAnsi="Arial" w:cs="Arial"/>
          <w:sz w:val="20"/>
          <w:szCs w:val="20"/>
        </w:rPr>
        <w:t>I dati destagionalizzati sono soggetti a revisione ogni mese. I modelli utilizzati vengono verificati in occasione delle revisioni dei dati grezzi. Le specifiche utilizzate dall'Istat nell'ambito della procedura TRAMO-SEATS sono disponibili per gli utenti che ne facciano richiesta per proprie finalità di analisi.</w:t>
      </w:r>
    </w:p>
    <w:p w14:paraId="3D21AD04" w14:textId="77777777" w:rsidR="00501E02" w:rsidRPr="00C9631A" w:rsidRDefault="00501E02" w:rsidP="00501E02">
      <w:pPr>
        <w:spacing w:after="120"/>
        <w:jc w:val="both"/>
        <w:rPr>
          <w:rFonts w:ascii="Arial" w:hAnsi="Arial" w:cs="Arial"/>
          <w:sz w:val="20"/>
          <w:szCs w:val="20"/>
        </w:rPr>
      </w:pPr>
    </w:p>
    <w:p w14:paraId="4FF752BC"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Output</w:t>
      </w:r>
    </w:p>
    <w:p w14:paraId="1CA4C0AB" w14:textId="77777777" w:rsidR="00C50F34" w:rsidRDefault="00501E02" w:rsidP="00501E02">
      <w:pPr>
        <w:spacing w:after="120"/>
        <w:jc w:val="both"/>
        <w:rPr>
          <w:rFonts w:ascii="Arial" w:hAnsi="Arial" w:cs="Arial"/>
          <w:sz w:val="20"/>
          <w:szCs w:val="20"/>
        </w:rPr>
      </w:pPr>
      <w:r w:rsidRPr="00C9631A">
        <w:rPr>
          <w:rFonts w:ascii="Arial" w:hAnsi="Arial" w:cs="Arial"/>
          <w:sz w:val="20"/>
          <w:szCs w:val="20"/>
        </w:rPr>
        <w:t xml:space="preserve">I dati diffusi mensilmente riguardano i valori monetari, gli indici e le variazioni tendenziali e congiunturali relativi alle variabili che descrivono i flussi commerciali con l’estero. </w:t>
      </w:r>
    </w:p>
    <w:p w14:paraId="20EF655C" w14:textId="1B9F98C4"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 valori monetari a prezzi correnti si riferiscono alle importazioni ed esportazioni di merci rilevate o stimate in termini di valore statistico (</w:t>
      </w:r>
      <w:proofErr w:type="spellStart"/>
      <w:r w:rsidRPr="00C9631A">
        <w:rPr>
          <w:rFonts w:ascii="Arial" w:hAnsi="Arial" w:cs="Arial"/>
          <w:sz w:val="20"/>
          <w:szCs w:val="20"/>
        </w:rPr>
        <w:t>Cif</w:t>
      </w:r>
      <w:proofErr w:type="spellEnd"/>
      <w:r w:rsidRPr="00C9631A">
        <w:rPr>
          <w:rFonts w:ascii="Arial" w:hAnsi="Arial" w:cs="Arial"/>
          <w:sz w:val="20"/>
          <w:szCs w:val="20"/>
        </w:rPr>
        <w:t xml:space="preserve">, </w:t>
      </w:r>
      <w:proofErr w:type="spellStart"/>
      <w:r w:rsidRPr="00C9631A">
        <w:rPr>
          <w:rFonts w:ascii="Arial" w:hAnsi="Arial" w:cs="Arial"/>
          <w:sz w:val="20"/>
          <w:szCs w:val="20"/>
        </w:rPr>
        <w:t>Fob</w:t>
      </w:r>
      <w:proofErr w:type="spellEnd"/>
      <w:r w:rsidRPr="00C9631A">
        <w:rPr>
          <w:rFonts w:ascii="Arial" w:hAnsi="Arial" w:cs="Arial"/>
          <w:sz w:val="20"/>
          <w:szCs w:val="20"/>
        </w:rPr>
        <w:t xml:space="preserve">). </w:t>
      </w:r>
    </w:p>
    <w:p w14:paraId="6DD79FE5" w14:textId="77777777" w:rsidR="00874F65" w:rsidRDefault="00501E02" w:rsidP="00501E02">
      <w:pPr>
        <w:spacing w:after="120"/>
        <w:jc w:val="both"/>
        <w:rPr>
          <w:rFonts w:ascii="Arial" w:hAnsi="Arial" w:cs="Arial"/>
          <w:sz w:val="20"/>
          <w:szCs w:val="20"/>
        </w:rPr>
      </w:pPr>
      <w:r w:rsidRPr="00C9631A">
        <w:rPr>
          <w:rFonts w:ascii="Arial" w:hAnsi="Arial" w:cs="Arial"/>
          <w:sz w:val="20"/>
          <w:szCs w:val="20"/>
        </w:rPr>
        <w:t>La produzione di indici del commercio estero prevede la produzione e diffusione di indici dei valori medi unitari e dei volumi dei prodotti esportati e importati, secondo un break-down articolato per gruppi di</w:t>
      </w:r>
      <w:r w:rsidR="00220D58">
        <w:rPr>
          <w:rFonts w:ascii="Arial" w:hAnsi="Arial" w:cs="Arial"/>
          <w:sz w:val="20"/>
          <w:szCs w:val="20"/>
        </w:rPr>
        <w:t xml:space="preserve"> prodotto della classificazione </w:t>
      </w:r>
      <w:r w:rsidRPr="00C9631A">
        <w:rPr>
          <w:rFonts w:ascii="Arial" w:hAnsi="Arial" w:cs="Arial"/>
          <w:sz w:val="20"/>
          <w:szCs w:val="20"/>
        </w:rPr>
        <w:t>Ateco 2007 e per specifiche aree geografiche e/o geoeconomiche, nonché per raggruppamenti principali di industrie (RPI). I singoli indici mensili dei valori medi unitari relativi ai diversi gruppi di prodotti e con riferimento alle aree geografiche o geoeconomiche di provenienza o destinazione delle merci sono ottenuti utilizzando la formula di Fisher in cui l’anno base è rappresentato dall’anno immediatamente precedente (indici a “base mobile”). L’aggiornamento a cadenza annuale del sistema di ponderazione consente di calcolare le variazioni dei valori medi unitari seguendo</w:t>
      </w:r>
      <w:r w:rsidR="00C50F34">
        <w:rPr>
          <w:rFonts w:ascii="Arial" w:hAnsi="Arial" w:cs="Arial"/>
          <w:sz w:val="20"/>
          <w:szCs w:val="20"/>
        </w:rPr>
        <w:t xml:space="preserve"> </w:t>
      </w:r>
    </w:p>
    <w:p w14:paraId="5075270C" w14:textId="77777777" w:rsidR="00874F65" w:rsidRDefault="00874F65" w:rsidP="00501E02">
      <w:pPr>
        <w:spacing w:after="120"/>
        <w:jc w:val="both"/>
        <w:rPr>
          <w:rFonts w:ascii="Arial" w:hAnsi="Arial" w:cs="Arial"/>
          <w:sz w:val="20"/>
          <w:szCs w:val="20"/>
        </w:rPr>
      </w:pPr>
    </w:p>
    <w:p w14:paraId="28E5F8DB" w14:textId="56A9F051" w:rsidR="00501E02" w:rsidRDefault="00501E02" w:rsidP="00501E02">
      <w:pPr>
        <w:spacing w:after="120"/>
        <w:jc w:val="both"/>
        <w:rPr>
          <w:rFonts w:ascii="Arial" w:hAnsi="Arial" w:cs="Arial"/>
          <w:sz w:val="20"/>
          <w:szCs w:val="20"/>
        </w:rPr>
      </w:pPr>
      <w:r w:rsidRPr="00C9631A">
        <w:rPr>
          <w:rFonts w:ascii="Arial" w:hAnsi="Arial" w:cs="Arial"/>
          <w:sz w:val="20"/>
          <w:szCs w:val="20"/>
        </w:rPr>
        <w:t>più da vicino l’evoluzione in composizione del mix di prodotti movimentati. Tuttavia, poiché gli indici a base mobile di anni diversi</w:t>
      </w:r>
      <w:r>
        <w:rPr>
          <w:rFonts w:ascii="Arial" w:hAnsi="Arial" w:cs="Arial"/>
          <w:sz w:val="20"/>
          <w:szCs w:val="20"/>
        </w:rPr>
        <w:t xml:space="preserve"> </w:t>
      </w:r>
      <w:r w:rsidRPr="00C9631A">
        <w:rPr>
          <w:rFonts w:ascii="Arial" w:hAnsi="Arial" w:cs="Arial"/>
          <w:sz w:val="20"/>
          <w:szCs w:val="20"/>
        </w:rPr>
        <w:t>non</w:t>
      </w:r>
      <w:r>
        <w:rPr>
          <w:rFonts w:ascii="Arial" w:hAnsi="Arial" w:cs="Arial"/>
          <w:sz w:val="20"/>
          <w:szCs w:val="20"/>
        </w:rPr>
        <w:t xml:space="preserve"> </w:t>
      </w:r>
      <w:r w:rsidRPr="00C9631A">
        <w:rPr>
          <w:rFonts w:ascii="Arial" w:hAnsi="Arial" w:cs="Arial"/>
          <w:sz w:val="20"/>
          <w:szCs w:val="20"/>
        </w:rPr>
        <w:t>sono direttamente</w:t>
      </w:r>
      <w:r>
        <w:rPr>
          <w:rFonts w:ascii="Arial" w:hAnsi="Arial" w:cs="Arial"/>
          <w:sz w:val="20"/>
          <w:szCs w:val="20"/>
        </w:rPr>
        <w:t xml:space="preserve"> </w:t>
      </w:r>
      <w:r w:rsidRPr="00C9631A">
        <w:rPr>
          <w:rFonts w:ascii="Arial" w:hAnsi="Arial" w:cs="Arial"/>
          <w:sz w:val="20"/>
          <w:szCs w:val="20"/>
        </w:rPr>
        <w:t>confrontabili tra loro, per consentire l’analisi economica su</w:t>
      </w:r>
      <w:r>
        <w:rPr>
          <w:rFonts w:ascii="Arial" w:hAnsi="Arial" w:cs="Arial"/>
          <w:sz w:val="20"/>
          <w:szCs w:val="20"/>
        </w:rPr>
        <w:t xml:space="preserve"> </w:t>
      </w:r>
      <w:r w:rsidRPr="00C9631A">
        <w:rPr>
          <w:rFonts w:ascii="Arial" w:hAnsi="Arial" w:cs="Arial"/>
          <w:sz w:val="20"/>
          <w:szCs w:val="20"/>
        </w:rPr>
        <w:t xml:space="preserve">orizzonti temporali superiori ai dodici mesi, le serie storiche previste dal piano di diffusione sono ricondotte a uno stesso anno di riferimento, aggiornato ogni </w:t>
      </w:r>
      <w:proofErr w:type="gramStart"/>
      <w:r w:rsidRPr="00C9631A">
        <w:rPr>
          <w:rFonts w:ascii="Arial" w:hAnsi="Arial" w:cs="Arial"/>
          <w:sz w:val="20"/>
          <w:szCs w:val="20"/>
        </w:rPr>
        <w:t>5</w:t>
      </w:r>
      <w:proofErr w:type="gramEnd"/>
      <w:r w:rsidRPr="00C9631A">
        <w:rPr>
          <w:rFonts w:ascii="Arial" w:hAnsi="Arial" w:cs="Arial"/>
          <w:sz w:val="20"/>
          <w:szCs w:val="20"/>
        </w:rPr>
        <w:t xml:space="preserve"> anni in linea con le indicazioni fornite a livello internazionale per le statistiche congiunturali. </w:t>
      </w:r>
    </w:p>
    <w:p w14:paraId="1988ABF3" w14:textId="77777777" w:rsidR="00501E02" w:rsidRPr="00E07DF0" w:rsidRDefault="00501E02" w:rsidP="00501E02">
      <w:pPr>
        <w:spacing w:after="120"/>
        <w:jc w:val="both"/>
        <w:rPr>
          <w:rFonts w:ascii="Arial" w:hAnsi="Arial" w:cs="Arial"/>
          <w:sz w:val="20"/>
          <w:szCs w:val="20"/>
        </w:rPr>
      </w:pPr>
      <w:r w:rsidRPr="00C9631A">
        <w:rPr>
          <w:rFonts w:ascii="Arial" w:hAnsi="Arial" w:cs="Arial"/>
          <w:sz w:val="20"/>
          <w:szCs w:val="20"/>
        </w:rPr>
        <w:t xml:space="preserve">A partire dai dati di gennaio 2018, l’anno di riferimento è il 2015, assunto come “base” attraverso opportuni coefficienti di raccordo che legano tra loro gli indici riferiti alle diverse basi annuali. La metodologia adottata prevede il calcolo degli indici elementari a livello merceologico di nomenclatura combinata, l’individuazione e il trattamento di eventuali errori di misura e l’aggregazione degli indici elementari mediante medie troncate (Istat, “Nota informativa” del 25/02/2008). Gli indici dei valori medi unitari e gli indici di valore vengono calcolati in modo diretto, mentre gli indici dei volumi sono ottenuti dal rapporto tra gli indici di valore e i corrispondenti indici del valore medio unitario, in modo da assicurare la relazione di </w:t>
      </w:r>
      <w:proofErr w:type="gramStart"/>
      <w:r w:rsidRPr="00C9631A">
        <w:rPr>
          <w:rFonts w:ascii="Arial" w:hAnsi="Arial" w:cs="Arial"/>
          <w:sz w:val="20"/>
          <w:szCs w:val="20"/>
        </w:rPr>
        <w:t>complementarietà</w:t>
      </w:r>
      <w:proofErr w:type="gramEnd"/>
      <w:r w:rsidRPr="00C9631A">
        <w:rPr>
          <w:rFonts w:ascii="Arial" w:hAnsi="Arial" w:cs="Arial"/>
          <w:sz w:val="20"/>
          <w:szCs w:val="20"/>
        </w:rPr>
        <w:t xml:space="preserve"> tra i tre indici. Il piano di diffusione dispone la pubblicazione dei soli indici dei valori medi unitari e dei volumi. Gli indici annuali e trimestrali dei valori medi unitari sono calcolati come media aritmetica dei corrispondenti indici mensili, che non includono le dichiarazioni trimestrali e annuali relative all’indagine Intrastat. Al contrario, gli indici dei volumi vengono calcolati utilizzando indici del valore riferiti al totale delle transazioni, in modo da consentire una più precisa scomposizione delle variazioni dei valori in volume e valori </w:t>
      </w:r>
      <w:r w:rsidRPr="00E07DF0">
        <w:rPr>
          <w:rFonts w:ascii="Arial" w:hAnsi="Arial" w:cs="Arial"/>
          <w:sz w:val="20"/>
          <w:szCs w:val="20"/>
        </w:rPr>
        <w:t>medi unitari.</w:t>
      </w:r>
    </w:p>
    <w:p w14:paraId="2B393A35" w14:textId="77777777" w:rsidR="00501E02" w:rsidRPr="00C9631A" w:rsidRDefault="00501E02" w:rsidP="00501E02">
      <w:pPr>
        <w:spacing w:after="60"/>
        <w:jc w:val="both"/>
        <w:rPr>
          <w:rFonts w:ascii="Arial" w:hAnsi="Arial" w:cs="Arial"/>
          <w:sz w:val="20"/>
          <w:szCs w:val="20"/>
        </w:rPr>
      </w:pPr>
    </w:p>
    <w:p w14:paraId="4D7ACE2F"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Riservatezza</w:t>
      </w:r>
    </w:p>
    <w:p w14:paraId="7B44AD20"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A partire dall'anno 2000, l'Istat ha definito nuove procedure per il trattamento e la diffusione dei dati personali relativi agli scambi di merci con l'estero e ai soggetti importatori ed esportatori, compatibili con l'attuale quadro normativo nazionale (legge 675/96, D.lgs.322/89, 281/99 e 196/03).</w:t>
      </w:r>
    </w:p>
    <w:p w14:paraId="14B28C7B"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In particolare, le nuove procedure consentono di ridurre fortemente il rischio di identificazione, indiretta e accidentale, di dati confidenziali e </w:t>
      </w:r>
      <w:proofErr w:type="gramStart"/>
      <w:r w:rsidRPr="00C9631A">
        <w:rPr>
          <w:rFonts w:ascii="Arial" w:hAnsi="Arial" w:cs="Arial"/>
          <w:sz w:val="20"/>
          <w:szCs w:val="20"/>
        </w:rPr>
        <w:t>nel contempo</w:t>
      </w:r>
      <w:proofErr w:type="gramEnd"/>
      <w:r w:rsidRPr="00C9631A">
        <w:rPr>
          <w:rFonts w:ascii="Arial" w:hAnsi="Arial" w:cs="Arial"/>
          <w:sz w:val="20"/>
          <w:szCs w:val="20"/>
        </w:rPr>
        <w:t xml:space="preserve"> di limitare la perdita di informazione fornita agli utenti esterni.</w:t>
      </w:r>
    </w:p>
    <w:p w14:paraId="20C3F4DF"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Per quanto riguarda le statistiche relative alle merci, l'Istat, oltre a tutelare le informazioni riservate secondo il principio della riservatezza passiva, ha definito un piano per la diffusione delle statistiche del commercio con l'estero. Tale piano disciplina le possibilità di incrocio tra variabili in funzione di particolari livelli di dettaglio merceologico, geografico o territoriale riducendo entro soglie ragionevoli il rischio di identificazione dei soggetti indirettamente interessati.</w:t>
      </w:r>
    </w:p>
    <w:p w14:paraId="1895CC9B" w14:textId="77777777" w:rsidR="00501E02" w:rsidRPr="00C9631A" w:rsidRDefault="00501E02" w:rsidP="00501E02">
      <w:pPr>
        <w:spacing w:after="120"/>
        <w:jc w:val="both"/>
        <w:rPr>
          <w:rStyle w:val="Collegamentoipertestuale"/>
          <w:rFonts w:ascii="Arial" w:hAnsi="Arial" w:cs="Arial"/>
          <w:sz w:val="20"/>
          <w:szCs w:val="20"/>
        </w:rPr>
      </w:pPr>
      <w:r w:rsidRPr="00C9631A">
        <w:rPr>
          <w:rFonts w:ascii="Arial" w:hAnsi="Arial" w:cs="Arial"/>
          <w:sz w:val="20"/>
          <w:szCs w:val="20"/>
        </w:rPr>
        <w:t xml:space="preserve">Ulteriori informazioni sulla tutela della riservatezza sono disponibili al seguente link </w:t>
      </w:r>
      <w:hyperlink r:id="rId39" w:history="1">
        <w:r w:rsidRPr="00C9631A">
          <w:rPr>
            <w:rStyle w:val="Collegamentoipertestuale"/>
            <w:rFonts w:ascii="Arial" w:hAnsi="Arial" w:cs="Arial"/>
            <w:sz w:val="20"/>
            <w:szCs w:val="20"/>
          </w:rPr>
          <w:t>https://www.coeweb.istat.it</w:t>
        </w:r>
      </w:hyperlink>
    </w:p>
    <w:p w14:paraId="45D7159F" w14:textId="77777777" w:rsidR="00501E02" w:rsidRPr="00CC6703" w:rsidRDefault="00501E02" w:rsidP="00501E02">
      <w:pPr>
        <w:spacing w:after="120"/>
        <w:jc w:val="both"/>
        <w:rPr>
          <w:rFonts w:ascii="Arial" w:hAnsi="Arial" w:cs="Arial"/>
          <w:sz w:val="16"/>
          <w:szCs w:val="16"/>
        </w:rPr>
      </w:pPr>
    </w:p>
    <w:p w14:paraId="67656141" w14:textId="77777777" w:rsidR="00501E02" w:rsidRPr="00B0387D" w:rsidRDefault="00501E02" w:rsidP="00501E02">
      <w:pPr>
        <w:spacing w:after="120"/>
        <w:jc w:val="both"/>
        <w:rPr>
          <w:rFonts w:ascii="Arial" w:hAnsi="Arial" w:cs="Arial"/>
          <w:b/>
          <w:sz w:val="20"/>
          <w:szCs w:val="20"/>
        </w:rPr>
      </w:pPr>
      <w:r w:rsidRPr="00B0387D">
        <w:rPr>
          <w:rFonts w:ascii="Arial" w:hAnsi="Arial" w:cs="Arial"/>
          <w:b/>
          <w:sz w:val="20"/>
          <w:szCs w:val="20"/>
        </w:rPr>
        <w:t>L’emergenza sanitaria Covid-19 e la rilevazione Intrastat</w:t>
      </w:r>
    </w:p>
    <w:p w14:paraId="3750FB6A" w14:textId="77777777" w:rsidR="00501E02" w:rsidRDefault="00501E02" w:rsidP="00501E02">
      <w:pPr>
        <w:spacing w:after="120"/>
        <w:jc w:val="both"/>
        <w:rPr>
          <w:rFonts w:ascii="Arial" w:hAnsi="Arial" w:cs="Arial"/>
          <w:sz w:val="20"/>
          <w:szCs w:val="20"/>
        </w:rPr>
      </w:pPr>
      <w:r>
        <w:rPr>
          <w:rFonts w:ascii="Arial" w:hAnsi="Arial" w:cs="Arial"/>
          <w:sz w:val="20"/>
          <w:szCs w:val="20"/>
        </w:rPr>
        <w:t>Dal mese di giugno 2020</w:t>
      </w:r>
      <w:r w:rsidRPr="00111E5D">
        <w:rPr>
          <w:rFonts w:ascii="Arial" w:hAnsi="Arial" w:cs="Arial"/>
          <w:sz w:val="20"/>
          <w:szCs w:val="20"/>
        </w:rPr>
        <w:t>, la rilevazione Intrastat non registra più particolari criticità. Scaduto</w:t>
      </w:r>
      <w:r>
        <w:rPr>
          <w:rFonts w:ascii="Arial" w:hAnsi="Arial" w:cs="Arial"/>
          <w:sz w:val="20"/>
          <w:szCs w:val="20"/>
        </w:rPr>
        <w:t xml:space="preserve"> infatti</w:t>
      </w:r>
      <w:r w:rsidRPr="00111E5D">
        <w:rPr>
          <w:rFonts w:ascii="Arial" w:hAnsi="Arial" w:cs="Arial"/>
          <w:sz w:val="20"/>
          <w:szCs w:val="20"/>
        </w:rPr>
        <w:t>, il 30 giugno, il periodo di sospensione dei termini di trasmissione dei dati, previsto dal Decreto Legge 17 marzo 2020, n.18 (Decreto “Cura Italia”), il numero delle dichiarazioni Intrastat trasmesse – sia per le cessioni sia per gli acquisti – è tornato in linea con quello dei mesi precedenti all</w:t>
      </w:r>
      <w:r>
        <w:rPr>
          <w:rFonts w:ascii="Arial" w:hAnsi="Arial" w:cs="Arial"/>
          <w:sz w:val="20"/>
          <w:szCs w:val="20"/>
        </w:rPr>
        <w:t>a prima fase dell</w:t>
      </w:r>
      <w:r w:rsidRPr="00111E5D">
        <w:rPr>
          <w:rFonts w:ascii="Arial" w:hAnsi="Arial" w:cs="Arial"/>
          <w:sz w:val="20"/>
          <w:szCs w:val="20"/>
        </w:rPr>
        <w:t>’emergenza Covid-19.</w:t>
      </w:r>
    </w:p>
    <w:p w14:paraId="38C9F490" w14:textId="18D63B05" w:rsidR="00501E02" w:rsidRDefault="00501E02" w:rsidP="00501E02">
      <w:pPr>
        <w:spacing w:after="120"/>
        <w:jc w:val="both"/>
        <w:rPr>
          <w:rFonts w:ascii="Arial" w:hAnsi="Arial" w:cs="Arial"/>
          <w:sz w:val="20"/>
          <w:szCs w:val="20"/>
        </w:rPr>
      </w:pPr>
      <w:r>
        <w:rPr>
          <w:rFonts w:ascii="Arial" w:hAnsi="Arial" w:cs="Arial"/>
          <w:sz w:val="20"/>
          <w:szCs w:val="20"/>
        </w:rPr>
        <w:t>P</w:t>
      </w:r>
      <w:r w:rsidRPr="002D542F">
        <w:rPr>
          <w:rFonts w:ascii="Arial" w:hAnsi="Arial" w:cs="Arial"/>
          <w:sz w:val="20"/>
          <w:szCs w:val="20"/>
        </w:rPr>
        <w:t xml:space="preserve">er quanto riguarda la destagionalizzazione dei dati grezzi, </w:t>
      </w:r>
      <w:r>
        <w:rPr>
          <w:rFonts w:ascii="Arial" w:hAnsi="Arial" w:cs="Arial"/>
          <w:sz w:val="20"/>
          <w:szCs w:val="20"/>
        </w:rPr>
        <w:t xml:space="preserve">essa è stata effettuata coerentemente alle linee guida metodologiche indicate da Eurostat, disponibili alla pagina web </w:t>
      </w:r>
      <w:hyperlink r:id="rId40" w:history="1">
        <w:r w:rsidRPr="00A94B30">
          <w:rPr>
            <w:rStyle w:val="Collegamentoipertestuale"/>
            <w:rFonts w:ascii="Arial" w:hAnsi="Arial" w:cs="Arial"/>
            <w:sz w:val="20"/>
            <w:szCs w:val="20"/>
          </w:rPr>
          <w:t xml:space="preserve">Covid-19: Support for </w:t>
        </w:r>
        <w:proofErr w:type="spellStart"/>
        <w:r w:rsidRPr="00A94B30">
          <w:rPr>
            <w:rStyle w:val="Collegamentoipertestuale"/>
            <w:rFonts w:ascii="Arial" w:hAnsi="Arial" w:cs="Arial"/>
            <w:sz w:val="20"/>
            <w:szCs w:val="20"/>
          </w:rPr>
          <w:t>statisticians</w:t>
        </w:r>
        <w:proofErr w:type="spellEnd"/>
      </w:hyperlink>
      <w:r>
        <w:rPr>
          <w:rFonts w:ascii="Arial" w:hAnsi="Arial" w:cs="Arial"/>
          <w:sz w:val="20"/>
          <w:szCs w:val="20"/>
        </w:rPr>
        <w:t>.</w:t>
      </w:r>
    </w:p>
    <w:p w14:paraId="36B81719" w14:textId="77777777" w:rsidR="00501E02" w:rsidRPr="00632A22" w:rsidRDefault="00501E02" w:rsidP="00501E02">
      <w:pPr>
        <w:spacing w:after="120"/>
        <w:jc w:val="both"/>
        <w:rPr>
          <w:rFonts w:ascii="Arial" w:hAnsi="Arial" w:cs="Arial"/>
          <w:sz w:val="20"/>
          <w:szCs w:val="20"/>
        </w:rPr>
      </w:pPr>
      <w:r w:rsidRPr="00C21B33">
        <w:rPr>
          <w:rFonts w:ascii="Arial" w:hAnsi="Arial" w:cs="Arial"/>
          <w:sz w:val="20"/>
          <w:szCs w:val="20"/>
        </w:rPr>
        <w:t xml:space="preserve">Pertanto, nelle serie storiche si è tenuto conto – a partire da marzo 2020 - dell’ampiezza inusuale delle variazioni dei flussi commerciali intra ed extra comunitari inserendo nei modelli statistici di destagionalizzazione, ove statisticamente significativi, </w:t>
      </w:r>
      <w:proofErr w:type="spellStart"/>
      <w:r w:rsidRPr="00A80498">
        <w:rPr>
          <w:rFonts w:ascii="Arial" w:hAnsi="Arial" w:cs="Arial"/>
          <w:sz w:val="20"/>
          <w:szCs w:val="20"/>
        </w:rPr>
        <w:t>regressori</w:t>
      </w:r>
      <w:proofErr w:type="spellEnd"/>
      <w:r w:rsidRPr="00A80498">
        <w:rPr>
          <w:rFonts w:ascii="Arial" w:hAnsi="Arial" w:cs="Arial"/>
          <w:sz w:val="20"/>
          <w:szCs w:val="20"/>
        </w:rPr>
        <w:t xml:space="preserve"> aggiuntivi. Non appena le informazioni disponibili lo consentiranno, si procederà alla revisione dei modelli.</w:t>
      </w:r>
    </w:p>
    <w:p w14:paraId="6DA3BBC7" w14:textId="77777777" w:rsidR="00C50F34" w:rsidRPr="007817A4" w:rsidRDefault="00C50F34" w:rsidP="00501E02">
      <w:pPr>
        <w:spacing w:after="120"/>
        <w:jc w:val="both"/>
        <w:rPr>
          <w:rFonts w:ascii="Arial" w:hAnsi="Arial" w:cs="Arial"/>
          <w:sz w:val="20"/>
          <w:szCs w:val="20"/>
        </w:rPr>
      </w:pPr>
    </w:p>
    <w:p w14:paraId="6E01E547" w14:textId="35986D60" w:rsidR="00501E02" w:rsidRDefault="00501E02" w:rsidP="00501E02">
      <w:pPr>
        <w:spacing w:after="120"/>
        <w:jc w:val="both"/>
        <w:rPr>
          <w:rFonts w:ascii="Arial" w:hAnsi="Arial" w:cs="Arial"/>
          <w:b/>
          <w:sz w:val="20"/>
          <w:szCs w:val="20"/>
        </w:rPr>
      </w:pPr>
      <w:r>
        <w:rPr>
          <w:rFonts w:ascii="Arial" w:hAnsi="Arial" w:cs="Arial"/>
          <w:b/>
          <w:sz w:val="20"/>
          <w:szCs w:val="20"/>
        </w:rPr>
        <w:t xml:space="preserve">Le novità del sistema Intrastat </w:t>
      </w:r>
      <w:r w:rsidR="0026239E">
        <w:rPr>
          <w:rFonts w:ascii="Arial" w:hAnsi="Arial" w:cs="Arial"/>
          <w:b/>
          <w:sz w:val="20"/>
          <w:szCs w:val="20"/>
        </w:rPr>
        <w:t xml:space="preserve">a partire da </w:t>
      </w:r>
      <w:r w:rsidRPr="001D441E">
        <w:rPr>
          <w:rFonts w:ascii="Arial" w:hAnsi="Arial" w:cs="Arial"/>
          <w:b/>
          <w:sz w:val="20"/>
          <w:szCs w:val="20"/>
        </w:rPr>
        <w:t>gennaio 2022</w:t>
      </w:r>
    </w:p>
    <w:p w14:paraId="59C5BBBE" w14:textId="77777777" w:rsidR="00501E02" w:rsidRPr="005A72C3" w:rsidRDefault="00501E02" w:rsidP="00501E02">
      <w:pPr>
        <w:spacing w:after="120"/>
        <w:jc w:val="both"/>
        <w:rPr>
          <w:rFonts w:asciiTheme="minorHAnsi" w:hAnsiTheme="minorHAnsi"/>
          <w:sz w:val="22"/>
          <w:szCs w:val="22"/>
          <w:lang w:eastAsia="en-US"/>
        </w:rPr>
      </w:pPr>
      <w:r>
        <w:rPr>
          <w:rFonts w:ascii="Arial" w:hAnsi="Arial" w:cs="Arial"/>
          <w:sz w:val="20"/>
          <w:szCs w:val="20"/>
        </w:rPr>
        <w:t xml:space="preserve">Con </w:t>
      </w:r>
      <w:r w:rsidRPr="00615A28">
        <w:rPr>
          <w:rFonts w:ascii="Arial" w:hAnsi="Arial" w:cs="Arial"/>
          <w:sz w:val="20"/>
          <w:szCs w:val="20"/>
        </w:rPr>
        <w:t>Determinazione del Direttore dell’Agenzia delle dogane e dei monopoli n.</w:t>
      </w:r>
      <w:r>
        <w:rPr>
          <w:rFonts w:ascii="Arial" w:hAnsi="Arial" w:cs="Arial"/>
          <w:sz w:val="20"/>
          <w:szCs w:val="20"/>
        </w:rPr>
        <w:t xml:space="preserve"> </w:t>
      </w:r>
      <w:r w:rsidRPr="00615A28">
        <w:rPr>
          <w:rFonts w:ascii="Arial" w:hAnsi="Arial" w:cs="Arial"/>
          <w:sz w:val="20"/>
          <w:szCs w:val="20"/>
        </w:rPr>
        <w:t>493869 del 23 dicembre 2021</w:t>
      </w:r>
      <w:r>
        <w:rPr>
          <w:rFonts w:ascii="Arial" w:hAnsi="Arial" w:cs="Arial"/>
          <w:sz w:val="20"/>
          <w:szCs w:val="20"/>
        </w:rPr>
        <w:t xml:space="preserve">, a partire dai dati di gennaio 2022, sono state introdotte importanti novità nel </w:t>
      </w:r>
      <w:r w:rsidRPr="005A72C3">
        <w:rPr>
          <w:rFonts w:ascii="Arial" w:hAnsi="Arial" w:cs="Arial"/>
          <w:sz w:val="20"/>
          <w:szCs w:val="20"/>
        </w:rPr>
        <w:t>sistema Intrastat nel rispetto della recente normativa statistica comunitaria (</w:t>
      </w:r>
      <w:r w:rsidRPr="00D61DDB">
        <w:rPr>
          <w:rFonts w:ascii="Arial" w:hAnsi="Arial" w:cs="Arial"/>
          <w:sz w:val="20"/>
          <w:szCs w:val="20"/>
        </w:rPr>
        <w:t xml:space="preserve">Regolamento (UE) 2019/2152 </w:t>
      </w:r>
      <w:r>
        <w:rPr>
          <w:rFonts w:ascii="Arial" w:hAnsi="Arial" w:cs="Arial"/>
          <w:sz w:val="20"/>
          <w:szCs w:val="20"/>
        </w:rPr>
        <w:t xml:space="preserve">e il relativo </w:t>
      </w:r>
      <w:r w:rsidRPr="00D61DDB">
        <w:rPr>
          <w:rFonts w:ascii="Arial" w:hAnsi="Arial" w:cs="Arial"/>
          <w:sz w:val="20"/>
          <w:szCs w:val="20"/>
        </w:rPr>
        <w:t>Regolamento di esecuzione (UE) 2020/1197</w:t>
      </w:r>
      <w:r>
        <w:rPr>
          <w:rFonts w:ascii="Arial" w:hAnsi="Arial" w:cs="Arial"/>
          <w:sz w:val="20"/>
          <w:szCs w:val="20"/>
        </w:rPr>
        <w:t>)</w:t>
      </w:r>
      <w:r w:rsidRPr="005A72C3">
        <w:rPr>
          <w:rFonts w:ascii="Arial" w:hAnsi="Arial" w:cs="Arial"/>
          <w:sz w:val="20"/>
          <w:szCs w:val="20"/>
        </w:rPr>
        <w:t xml:space="preserve"> e nell’ottica della semplificazione e riduzione del carico statistico sugli operatori economici.</w:t>
      </w:r>
    </w:p>
    <w:p w14:paraId="1AFE66AE" w14:textId="2A27DE66" w:rsidR="00501E02" w:rsidRDefault="00501E02" w:rsidP="00501E02">
      <w:pPr>
        <w:spacing w:after="120"/>
        <w:jc w:val="both"/>
        <w:rPr>
          <w:rFonts w:ascii="Arial" w:hAnsi="Arial" w:cs="Arial"/>
          <w:sz w:val="20"/>
          <w:szCs w:val="20"/>
        </w:rPr>
      </w:pPr>
      <w:r w:rsidRPr="005A72C3">
        <w:rPr>
          <w:rFonts w:ascii="Arial" w:hAnsi="Arial" w:cs="Arial"/>
          <w:sz w:val="20"/>
          <w:szCs w:val="20"/>
        </w:rPr>
        <w:t xml:space="preserve">Il Regolamento </w:t>
      </w:r>
      <w:r>
        <w:rPr>
          <w:rFonts w:ascii="Arial" w:hAnsi="Arial" w:cs="Arial"/>
          <w:sz w:val="20"/>
          <w:szCs w:val="20"/>
        </w:rPr>
        <w:t>(</w:t>
      </w:r>
      <w:r w:rsidRPr="005A72C3">
        <w:rPr>
          <w:rFonts w:ascii="Arial" w:hAnsi="Arial" w:cs="Arial"/>
          <w:sz w:val="20"/>
          <w:szCs w:val="20"/>
        </w:rPr>
        <w:t>UE</w:t>
      </w:r>
      <w:r>
        <w:rPr>
          <w:rFonts w:ascii="Arial" w:hAnsi="Arial" w:cs="Arial"/>
          <w:sz w:val="20"/>
          <w:szCs w:val="20"/>
        </w:rPr>
        <w:t>)</w:t>
      </w:r>
      <w:r w:rsidRPr="005A72C3">
        <w:rPr>
          <w:rFonts w:ascii="Arial" w:hAnsi="Arial" w:cs="Arial"/>
          <w:sz w:val="20"/>
          <w:szCs w:val="20"/>
        </w:rPr>
        <w:t xml:space="preserve"> 2019/2152 introduce l’obbligo dello scambio di </w:t>
      </w:r>
      <w:proofErr w:type="spellStart"/>
      <w:r w:rsidRPr="005A72C3">
        <w:rPr>
          <w:rFonts w:ascii="Arial" w:hAnsi="Arial" w:cs="Arial"/>
          <w:sz w:val="20"/>
          <w:szCs w:val="20"/>
        </w:rPr>
        <w:t>microdati</w:t>
      </w:r>
      <w:proofErr w:type="spellEnd"/>
      <w:r w:rsidRPr="005A72C3">
        <w:rPr>
          <w:rFonts w:ascii="Arial" w:hAnsi="Arial" w:cs="Arial"/>
          <w:sz w:val="20"/>
          <w:szCs w:val="20"/>
        </w:rPr>
        <w:t xml:space="preserve"> relativi alle cessioni (indicate come esportazioni intracomunitarie nel nuovo Regolamento) tra gli Istituti nazionali di statistica dei Paesi membri a decorrere dal mese di gennaio 2022.</w:t>
      </w:r>
    </w:p>
    <w:p w14:paraId="7D537CBA" w14:textId="77777777" w:rsidR="00874F65" w:rsidRDefault="00874F65" w:rsidP="00501E02">
      <w:pPr>
        <w:spacing w:after="120"/>
        <w:jc w:val="both"/>
        <w:rPr>
          <w:rFonts w:ascii="Arial" w:hAnsi="Arial" w:cs="Arial"/>
          <w:sz w:val="20"/>
          <w:szCs w:val="20"/>
        </w:rPr>
      </w:pPr>
    </w:p>
    <w:p w14:paraId="7456DE93" w14:textId="77777777" w:rsidR="00874F65" w:rsidRDefault="00874F65" w:rsidP="00501E02">
      <w:pPr>
        <w:spacing w:after="120"/>
        <w:jc w:val="both"/>
        <w:rPr>
          <w:rFonts w:ascii="Arial" w:hAnsi="Arial" w:cs="Arial"/>
          <w:sz w:val="20"/>
          <w:szCs w:val="20"/>
        </w:rPr>
      </w:pPr>
    </w:p>
    <w:p w14:paraId="2CB5DC08" w14:textId="538A1BBC" w:rsidR="00501E02" w:rsidRPr="005A72C3" w:rsidRDefault="00501E02" w:rsidP="00501E02">
      <w:pPr>
        <w:spacing w:after="120"/>
        <w:jc w:val="both"/>
        <w:rPr>
          <w:rFonts w:ascii="Arial" w:hAnsi="Arial" w:cs="Arial"/>
          <w:sz w:val="20"/>
          <w:szCs w:val="20"/>
        </w:rPr>
      </w:pPr>
      <w:r w:rsidRPr="005A72C3">
        <w:rPr>
          <w:rFonts w:ascii="Arial" w:hAnsi="Arial" w:cs="Arial"/>
          <w:sz w:val="20"/>
          <w:szCs w:val="20"/>
        </w:rPr>
        <w:t xml:space="preserve">Il sistema di scambio dei </w:t>
      </w:r>
      <w:proofErr w:type="spellStart"/>
      <w:r w:rsidRPr="005A72C3">
        <w:rPr>
          <w:rFonts w:ascii="Arial" w:hAnsi="Arial" w:cs="Arial"/>
          <w:sz w:val="20"/>
          <w:szCs w:val="20"/>
        </w:rPr>
        <w:t>microdati</w:t>
      </w:r>
      <w:proofErr w:type="spellEnd"/>
      <w:r w:rsidRPr="005A72C3">
        <w:rPr>
          <w:rFonts w:ascii="Arial" w:hAnsi="Arial" w:cs="Arial"/>
          <w:sz w:val="20"/>
          <w:szCs w:val="20"/>
        </w:rPr>
        <w:t xml:space="preserve"> – basato sul principio che i dati non devono essere raccolti più di una volta (“once </w:t>
      </w:r>
      <w:proofErr w:type="spellStart"/>
      <w:r w:rsidRPr="005A72C3">
        <w:rPr>
          <w:rFonts w:ascii="Arial" w:hAnsi="Arial" w:cs="Arial"/>
          <w:sz w:val="20"/>
          <w:szCs w:val="20"/>
        </w:rPr>
        <w:t>only</w:t>
      </w:r>
      <w:proofErr w:type="spellEnd"/>
      <w:r w:rsidRPr="005A72C3">
        <w:rPr>
          <w:rFonts w:ascii="Arial" w:hAnsi="Arial" w:cs="Arial"/>
          <w:sz w:val="20"/>
          <w:szCs w:val="20"/>
        </w:rPr>
        <w:t>”) – costituisce un approccio innovativo per la compilazione delle statistiche di commercio intracomunitario, progettato in ambito europeo con la finalità di ridurre l’onere statistico del sistema Intrastat e di fornire ai Paesi membri una fonte aggiuntiva e dettagliata per la compilazione delle statistiche sugli acquisti intracomunitari.</w:t>
      </w:r>
    </w:p>
    <w:p w14:paraId="57C6E8EF" w14:textId="77777777" w:rsidR="00501E02" w:rsidRDefault="00501E02" w:rsidP="00501E02">
      <w:pPr>
        <w:spacing w:after="120"/>
        <w:jc w:val="both"/>
        <w:rPr>
          <w:rFonts w:ascii="Arial" w:hAnsi="Arial" w:cs="Arial"/>
          <w:sz w:val="20"/>
          <w:szCs w:val="20"/>
        </w:rPr>
      </w:pPr>
      <w:r w:rsidRPr="005A72C3">
        <w:rPr>
          <w:rFonts w:ascii="Arial" w:hAnsi="Arial" w:cs="Arial"/>
          <w:sz w:val="20"/>
          <w:szCs w:val="20"/>
        </w:rPr>
        <w:t xml:space="preserve">Per attuare </w:t>
      </w:r>
      <w:r>
        <w:rPr>
          <w:rFonts w:ascii="Arial" w:hAnsi="Arial" w:cs="Arial"/>
          <w:sz w:val="20"/>
          <w:szCs w:val="20"/>
        </w:rPr>
        <w:t xml:space="preserve">questo </w:t>
      </w:r>
      <w:r w:rsidRPr="005A72C3">
        <w:rPr>
          <w:rFonts w:ascii="Arial" w:hAnsi="Arial" w:cs="Arial"/>
          <w:sz w:val="20"/>
          <w:szCs w:val="20"/>
        </w:rPr>
        <w:t xml:space="preserve">nuovo approccio e consentire a tutti gli Istituti nazionali di statistica dei Paesi Ue di utilizzare i </w:t>
      </w:r>
      <w:proofErr w:type="spellStart"/>
      <w:r w:rsidRPr="005A72C3">
        <w:rPr>
          <w:rFonts w:ascii="Arial" w:hAnsi="Arial" w:cs="Arial"/>
          <w:sz w:val="20"/>
          <w:szCs w:val="20"/>
        </w:rPr>
        <w:t>microdati</w:t>
      </w:r>
      <w:proofErr w:type="spellEnd"/>
      <w:r w:rsidRPr="005A72C3">
        <w:rPr>
          <w:rFonts w:ascii="Arial" w:hAnsi="Arial" w:cs="Arial"/>
          <w:sz w:val="20"/>
          <w:szCs w:val="20"/>
        </w:rPr>
        <w:t xml:space="preserve"> sulle cessioni </w:t>
      </w:r>
      <w:r>
        <w:rPr>
          <w:rFonts w:ascii="Arial" w:hAnsi="Arial" w:cs="Arial"/>
          <w:sz w:val="20"/>
          <w:szCs w:val="20"/>
        </w:rPr>
        <w:t>de</w:t>
      </w:r>
      <w:r w:rsidRPr="005A72C3">
        <w:rPr>
          <w:rFonts w:ascii="Arial" w:hAnsi="Arial" w:cs="Arial"/>
          <w:sz w:val="20"/>
          <w:szCs w:val="20"/>
        </w:rPr>
        <w:t>gli altri Paesi partner</w:t>
      </w:r>
      <w:r>
        <w:rPr>
          <w:rFonts w:ascii="Arial" w:hAnsi="Arial" w:cs="Arial"/>
          <w:sz w:val="20"/>
          <w:szCs w:val="20"/>
        </w:rPr>
        <w:t xml:space="preserve"> – </w:t>
      </w:r>
      <w:r w:rsidRPr="005A72C3">
        <w:rPr>
          <w:rFonts w:ascii="Arial" w:hAnsi="Arial" w:cs="Arial"/>
          <w:sz w:val="20"/>
          <w:szCs w:val="20"/>
        </w:rPr>
        <w:t>in sostituzione totale o parziale dei dati raccolti a livello nazionale</w:t>
      </w:r>
      <w:r>
        <w:rPr>
          <w:rFonts w:ascii="Arial" w:hAnsi="Arial" w:cs="Arial"/>
          <w:sz w:val="20"/>
          <w:szCs w:val="20"/>
        </w:rPr>
        <w:t xml:space="preserve"> –</w:t>
      </w:r>
      <w:r w:rsidRPr="005A72C3">
        <w:rPr>
          <w:rFonts w:ascii="Arial" w:hAnsi="Arial" w:cs="Arial"/>
          <w:sz w:val="20"/>
          <w:szCs w:val="20"/>
        </w:rPr>
        <w:t>,</w:t>
      </w:r>
      <w:r w:rsidRPr="00656343">
        <w:rPr>
          <w:rFonts w:ascii="Arial" w:hAnsi="Arial" w:cs="Arial"/>
          <w:sz w:val="20"/>
          <w:szCs w:val="20"/>
        </w:rPr>
        <w:t xml:space="preserve"> a decorrere dai dati di gennaio 2022 è stata richiesta la compilazione di una </w:t>
      </w:r>
      <w:r>
        <w:rPr>
          <w:rFonts w:ascii="Arial" w:hAnsi="Arial" w:cs="Arial"/>
          <w:sz w:val="20"/>
          <w:szCs w:val="20"/>
        </w:rPr>
        <w:t xml:space="preserve">nuova </w:t>
      </w:r>
      <w:r w:rsidRPr="00656343">
        <w:rPr>
          <w:rFonts w:ascii="Arial" w:hAnsi="Arial" w:cs="Arial"/>
          <w:sz w:val="20"/>
          <w:szCs w:val="20"/>
        </w:rPr>
        <w:t>variabile nei modelli Intrastat relativi alle cessioni</w:t>
      </w:r>
      <w:r>
        <w:rPr>
          <w:rFonts w:ascii="Arial" w:hAnsi="Arial" w:cs="Arial"/>
          <w:sz w:val="20"/>
          <w:szCs w:val="20"/>
        </w:rPr>
        <w:t xml:space="preserve"> (</w:t>
      </w:r>
      <w:r w:rsidRPr="00656343">
        <w:rPr>
          <w:rFonts w:ascii="Arial" w:hAnsi="Arial" w:cs="Arial"/>
          <w:sz w:val="20"/>
          <w:szCs w:val="20"/>
        </w:rPr>
        <w:t>la variabile “Paese di origine” delle merci, definito come il paese in cui il bene è stato sottoposto all’ultima trasformazione o lavorazione sostanziale</w:t>
      </w:r>
      <w:r>
        <w:rPr>
          <w:rFonts w:ascii="Arial" w:hAnsi="Arial" w:cs="Arial"/>
          <w:sz w:val="20"/>
          <w:szCs w:val="20"/>
        </w:rPr>
        <w:t xml:space="preserve"> - </w:t>
      </w:r>
      <w:r w:rsidRPr="00656343">
        <w:rPr>
          <w:rFonts w:ascii="Arial" w:hAnsi="Arial" w:cs="Arial"/>
          <w:sz w:val="20"/>
          <w:szCs w:val="20"/>
        </w:rPr>
        <w:t xml:space="preserve">Regolamento </w:t>
      </w:r>
      <w:r>
        <w:rPr>
          <w:rFonts w:ascii="Arial" w:hAnsi="Arial" w:cs="Arial"/>
          <w:sz w:val="20"/>
          <w:szCs w:val="20"/>
        </w:rPr>
        <w:t>(</w:t>
      </w:r>
      <w:r w:rsidRPr="00656343">
        <w:rPr>
          <w:rFonts w:ascii="Arial" w:hAnsi="Arial" w:cs="Arial"/>
          <w:sz w:val="20"/>
          <w:szCs w:val="20"/>
        </w:rPr>
        <w:t>UE</w:t>
      </w:r>
      <w:r>
        <w:rPr>
          <w:rFonts w:ascii="Arial" w:hAnsi="Arial" w:cs="Arial"/>
          <w:sz w:val="20"/>
          <w:szCs w:val="20"/>
        </w:rPr>
        <w:t>)</w:t>
      </w:r>
      <w:r w:rsidRPr="00656343">
        <w:rPr>
          <w:rFonts w:ascii="Arial" w:hAnsi="Arial" w:cs="Arial"/>
          <w:sz w:val="20"/>
          <w:szCs w:val="20"/>
        </w:rPr>
        <w:t xml:space="preserve"> 2020/1197, sez. 12 par. 3). È stata inoltre adottata una codifica</w:t>
      </w:r>
      <w:r>
        <w:rPr>
          <w:rFonts w:ascii="Arial" w:hAnsi="Arial" w:cs="Arial"/>
          <w:sz w:val="20"/>
          <w:szCs w:val="20"/>
        </w:rPr>
        <w:t xml:space="preserve"> più dettagliata</w:t>
      </w:r>
      <w:r w:rsidRPr="00656343">
        <w:rPr>
          <w:rFonts w:ascii="Arial" w:hAnsi="Arial" w:cs="Arial"/>
          <w:sz w:val="20"/>
          <w:szCs w:val="20"/>
        </w:rPr>
        <w:t xml:space="preserve"> per la variabile “Natura della transazione”. </w:t>
      </w:r>
    </w:p>
    <w:p w14:paraId="04E3045A" w14:textId="77777777" w:rsidR="00501E02" w:rsidRDefault="00501E02" w:rsidP="00501E02">
      <w:pPr>
        <w:spacing w:after="120"/>
        <w:jc w:val="both"/>
        <w:rPr>
          <w:rFonts w:ascii="Arial" w:hAnsi="Arial" w:cs="Arial"/>
          <w:sz w:val="20"/>
          <w:szCs w:val="20"/>
        </w:rPr>
      </w:pPr>
      <w:r>
        <w:rPr>
          <w:rFonts w:ascii="Arial" w:hAnsi="Arial" w:cs="Arial"/>
          <w:sz w:val="20"/>
          <w:szCs w:val="20"/>
        </w:rPr>
        <w:t xml:space="preserve">Allo stesso tempo sono state introdotte numerose semplificazioni, tra queste l’innalzamento della soglia statistica che determina </w:t>
      </w:r>
      <w:r w:rsidRPr="00656343">
        <w:rPr>
          <w:rFonts w:ascii="Arial" w:hAnsi="Arial" w:cs="Arial"/>
          <w:sz w:val="20"/>
          <w:szCs w:val="20"/>
        </w:rPr>
        <w:t xml:space="preserve">l’obbligatorietà di compilazione mensile dei modelli Intrastat relativi agli acquisti (da 200.000 a 350.000 euro). </w:t>
      </w:r>
    </w:p>
    <w:p w14:paraId="23C55C92" w14:textId="46380F4B" w:rsidR="00501E02" w:rsidRDefault="006A2C28" w:rsidP="006A2C28">
      <w:pPr>
        <w:spacing w:after="120"/>
        <w:jc w:val="both"/>
        <w:rPr>
          <w:rFonts w:ascii="Arial" w:hAnsi="Arial" w:cs="Arial"/>
          <w:sz w:val="20"/>
          <w:szCs w:val="20"/>
        </w:rPr>
      </w:pPr>
      <w:r>
        <w:rPr>
          <w:rFonts w:ascii="Arial" w:hAnsi="Arial" w:cs="Arial"/>
          <w:sz w:val="20"/>
          <w:szCs w:val="20"/>
        </w:rPr>
        <w:t>Infine</w:t>
      </w:r>
      <w:r w:rsidR="00220D58">
        <w:rPr>
          <w:rFonts w:ascii="Arial" w:hAnsi="Arial" w:cs="Arial"/>
          <w:sz w:val="20"/>
          <w:szCs w:val="20"/>
        </w:rPr>
        <w:t>, ai soli fini fiscali,</w:t>
      </w:r>
      <w:r>
        <w:rPr>
          <w:rFonts w:ascii="Arial" w:hAnsi="Arial" w:cs="Arial"/>
          <w:sz w:val="20"/>
          <w:szCs w:val="20"/>
        </w:rPr>
        <w:t xml:space="preserve"> nei</w:t>
      </w:r>
      <w:r w:rsidRPr="00483363">
        <w:rPr>
          <w:rFonts w:ascii="Arial" w:hAnsi="Arial" w:cs="Arial"/>
          <w:sz w:val="20"/>
          <w:szCs w:val="20"/>
        </w:rPr>
        <w:t xml:space="preserve"> modelli Intrastat</w:t>
      </w:r>
      <w:r>
        <w:rPr>
          <w:rFonts w:ascii="Arial" w:hAnsi="Arial" w:cs="Arial"/>
          <w:sz w:val="20"/>
          <w:szCs w:val="20"/>
        </w:rPr>
        <w:t xml:space="preserve"> per </w:t>
      </w:r>
      <w:r w:rsidRPr="00483363">
        <w:rPr>
          <w:rFonts w:ascii="Arial" w:hAnsi="Arial" w:cs="Arial"/>
          <w:sz w:val="20"/>
          <w:szCs w:val="20"/>
        </w:rPr>
        <w:t xml:space="preserve">le </w:t>
      </w:r>
      <w:r>
        <w:rPr>
          <w:rFonts w:ascii="Arial" w:hAnsi="Arial" w:cs="Arial"/>
          <w:sz w:val="20"/>
          <w:szCs w:val="20"/>
        </w:rPr>
        <w:t>cessioni è stata inserita</w:t>
      </w:r>
      <w:r w:rsidRPr="00483363">
        <w:rPr>
          <w:rFonts w:ascii="Arial" w:hAnsi="Arial" w:cs="Arial"/>
          <w:sz w:val="20"/>
          <w:szCs w:val="20"/>
        </w:rPr>
        <w:t xml:space="preserve"> una nuova sezione </w:t>
      </w:r>
      <w:r>
        <w:rPr>
          <w:rFonts w:ascii="Arial" w:hAnsi="Arial" w:cs="Arial"/>
          <w:sz w:val="20"/>
          <w:szCs w:val="20"/>
        </w:rPr>
        <w:t>relativa alle cessioni in regime cosiddetto di “call-off stock” (</w:t>
      </w:r>
      <w:r w:rsidRPr="00217CBB">
        <w:rPr>
          <w:rFonts w:ascii="Arial" w:hAnsi="Arial" w:cs="Arial"/>
          <w:sz w:val="20"/>
          <w:szCs w:val="20"/>
        </w:rPr>
        <w:t>Decreto legislativo 5 novembre 2021, n. 192</w:t>
      </w:r>
      <w:r>
        <w:rPr>
          <w:rFonts w:ascii="Arial" w:hAnsi="Arial" w:cs="Arial"/>
          <w:sz w:val="20"/>
          <w:szCs w:val="20"/>
        </w:rPr>
        <w:t>).</w:t>
      </w:r>
    </w:p>
    <w:p w14:paraId="386EF34B" w14:textId="0D1BE8EA" w:rsidR="006A2C28" w:rsidRPr="006A2C28" w:rsidRDefault="006A2C28" w:rsidP="006A2C28">
      <w:pPr>
        <w:spacing w:after="120"/>
        <w:jc w:val="both"/>
        <w:rPr>
          <w:rFonts w:ascii="Arial" w:hAnsi="Arial" w:cs="Arial"/>
          <w:sz w:val="10"/>
          <w:szCs w:val="10"/>
        </w:rPr>
      </w:pPr>
    </w:p>
    <w:p w14:paraId="02C32224" w14:textId="77777777" w:rsidR="006A2C28" w:rsidRPr="006A2C28" w:rsidRDefault="006A2C28" w:rsidP="006A2C28">
      <w:pPr>
        <w:spacing w:after="120"/>
        <w:jc w:val="both"/>
        <w:rPr>
          <w:rFonts w:ascii="Arial" w:hAnsi="Arial" w:cs="Arial"/>
          <w:sz w:val="20"/>
          <w:szCs w:val="20"/>
        </w:rPr>
      </w:pPr>
    </w:p>
    <w:p w14:paraId="657D224E" w14:textId="77777777" w:rsidR="00501E02" w:rsidRPr="00C9631A" w:rsidRDefault="00501E02" w:rsidP="00501E02">
      <w:pPr>
        <w:pStyle w:val="Titolo8"/>
        <w:spacing w:before="0" w:after="120"/>
        <w:rPr>
          <w:rFonts w:ascii="Arial" w:hAnsi="Arial" w:cs="Arial"/>
          <w:b/>
          <w:i w:val="0"/>
          <w:color w:val="E42618"/>
          <w:sz w:val="22"/>
          <w:szCs w:val="20"/>
        </w:rPr>
      </w:pPr>
      <w:r w:rsidRPr="00C9631A">
        <w:rPr>
          <w:rFonts w:ascii="Arial" w:hAnsi="Arial" w:cs="Arial"/>
          <w:b/>
          <w:i w:val="0"/>
          <w:color w:val="E42618"/>
          <w:sz w:val="22"/>
          <w:szCs w:val="20"/>
        </w:rPr>
        <w:t>Prezzi all’importazione</w:t>
      </w:r>
    </w:p>
    <w:p w14:paraId="0C99FF4D" w14:textId="77777777" w:rsidR="00501E02" w:rsidRDefault="00501E02" w:rsidP="00501E02">
      <w:pPr>
        <w:spacing w:after="100"/>
        <w:jc w:val="both"/>
        <w:rPr>
          <w:rFonts w:ascii="Arial" w:hAnsi="Arial" w:cs="Arial"/>
          <w:b/>
          <w:bCs/>
          <w:sz w:val="20"/>
          <w:szCs w:val="20"/>
        </w:rPr>
      </w:pPr>
      <w:r w:rsidRPr="00BE3D84">
        <w:rPr>
          <w:rFonts w:ascii="Arial" w:hAnsi="Arial" w:cs="Arial"/>
          <w:b/>
          <w:bCs/>
          <w:sz w:val="20"/>
          <w:szCs w:val="20"/>
        </w:rPr>
        <w:t>Obiettivi conoscitivi e quadro normativo di riferimento</w:t>
      </w:r>
    </w:p>
    <w:p w14:paraId="0AE3F535" w14:textId="77777777" w:rsidR="00501E02" w:rsidRDefault="00501E02" w:rsidP="00501E02">
      <w:pPr>
        <w:spacing w:after="100"/>
        <w:jc w:val="both"/>
        <w:rPr>
          <w:rFonts w:ascii="Arial" w:hAnsi="Arial" w:cs="Arial"/>
          <w:bCs/>
          <w:sz w:val="20"/>
          <w:szCs w:val="20"/>
        </w:rPr>
      </w:pPr>
      <w:r w:rsidRPr="0038751B">
        <w:rPr>
          <w:rFonts w:ascii="Arial" w:hAnsi="Arial" w:cs="Arial"/>
          <w:bCs/>
          <w:sz w:val="20"/>
          <w:szCs w:val="20"/>
        </w:rPr>
        <w:t>Gli indici dei prezzi all’importazione misurano la variazione nel tempo dei prezzi di un paniere rappresentativo dei principali prodotti importati, dall’area euro e dall’area non euro, da imprese dell’industria e dei servizi.</w:t>
      </w:r>
    </w:p>
    <w:p w14:paraId="6642A9A0" w14:textId="77777777" w:rsidR="00501E02" w:rsidRDefault="00501E02" w:rsidP="00501E02">
      <w:pPr>
        <w:spacing w:after="100"/>
        <w:jc w:val="both"/>
        <w:rPr>
          <w:rFonts w:ascii="Arial" w:hAnsi="Arial" w:cs="Arial"/>
          <w:bCs/>
          <w:sz w:val="20"/>
          <w:szCs w:val="20"/>
        </w:rPr>
      </w:pPr>
      <w:r w:rsidRPr="00113EDF">
        <w:rPr>
          <w:rFonts w:ascii="Arial" w:hAnsi="Arial" w:cs="Arial"/>
          <w:b/>
          <w:sz w:val="20"/>
          <w:szCs w:val="20"/>
        </w:rPr>
        <w:t>A partire dai dati riferiti a gennaio 2022</w:t>
      </w:r>
      <w:r>
        <w:rPr>
          <w:rFonts w:ascii="Arial" w:hAnsi="Arial" w:cs="Arial"/>
          <w:sz w:val="20"/>
          <w:szCs w:val="20"/>
        </w:rPr>
        <w:t xml:space="preserve">, </w:t>
      </w:r>
      <w:r w:rsidRPr="00113EDF">
        <w:rPr>
          <w:rFonts w:ascii="Arial" w:hAnsi="Arial" w:cs="Arial"/>
          <w:bCs/>
          <w:sz w:val="20"/>
          <w:szCs w:val="20"/>
        </w:rPr>
        <w:t>gli indici dei prezzi all’importazione sono calcolati con il metodo del con</w:t>
      </w:r>
      <w:r>
        <w:rPr>
          <w:rFonts w:ascii="Arial" w:hAnsi="Arial" w:cs="Arial"/>
          <w:bCs/>
          <w:sz w:val="20"/>
          <w:szCs w:val="20"/>
        </w:rPr>
        <w:t>ca</w:t>
      </w:r>
      <w:r w:rsidRPr="00113EDF">
        <w:rPr>
          <w:rFonts w:ascii="Arial" w:hAnsi="Arial" w:cs="Arial"/>
          <w:bCs/>
          <w:sz w:val="20"/>
          <w:szCs w:val="20"/>
        </w:rPr>
        <w:t>tenamento annuale, utilizzando il mese di dicembre 2021 come base di calcolo; l’anno 2015 resta la base di riferimento.</w:t>
      </w:r>
    </w:p>
    <w:p w14:paraId="267241E2" w14:textId="77777777" w:rsidR="00501E02" w:rsidRPr="00BE3D84" w:rsidRDefault="00501E02" w:rsidP="00501E02">
      <w:pPr>
        <w:spacing w:after="100"/>
        <w:jc w:val="both"/>
        <w:rPr>
          <w:rFonts w:ascii="Arial" w:hAnsi="Arial" w:cs="Arial"/>
          <w:bCs/>
          <w:sz w:val="20"/>
          <w:szCs w:val="20"/>
        </w:rPr>
      </w:pPr>
      <w:r w:rsidRPr="00BE3D84">
        <w:rPr>
          <w:rFonts w:ascii="Arial" w:hAnsi="Arial" w:cs="Arial"/>
          <w:bCs/>
          <w:sz w:val="20"/>
          <w:szCs w:val="20"/>
        </w:rPr>
        <w:t>Dal 1° gennaio 2021 ha effetto il Regolamento (UE) 2019/2152 del Parlamento europeo e del Consiglio del 27 novembre 2019 (con successivo Regolamento di esecuzione (UE) 2020/1197 della Commissione europea del 30 luglio 2020) che sostituisce il Regolamento (CE) 1165/1998 del Consiglio europeo (successivamente emendato dal Regolamento (CE) 1158/2005) e stabilisce il livello di dettaglio, la metodologia e la cadenza con cui gli indicatori congiunturali devono essere prodotti e trasmessi a Eurostat.</w:t>
      </w:r>
    </w:p>
    <w:p w14:paraId="08563E04" w14:textId="77777777" w:rsidR="00501E02" w:rsidRDefault="00501E02" w:rsidP="00501E02">
      <w:pPr>
        <w:spacing w:after="100"/>
        <w:jc w:val="both"/>
        <w:rPr>
          <w:rFonts w:ascii="Arial" w:hAnsi="Arial" w:cs="Arial"/>
          <w:sz w:val="20"/>
          <w:szCs w:val="20"/>
        </w:rPr>
      </w:pPr>
      <w:r w:rsidRPr="00BE3D84">
        <w:rPr>
          <w:rFonts w:ascii="Arial" w:hAnsi="Arial" w:cs="Arial"/>
          <w:bCs/>
          <w:sz w:val="20"/>
          <w:szCs w:val="20"/>
        </w:rPr>
        <w:t>La rilevazione dei prezzi all’importazione è prevista dal Programma Statistico Nazionale in vigore, consultabile sul sito internet dell'Istat all'indirizzo</w:t>
      </w:r>
      <w:r w:rsidRPr="00380EB6">
        <w:rPr>
          <w:rFonts w:ascii="Arial" w:hAnsi="Arial" w:cs="Arial"/>
        </w:rPr>
        <w:t xml:space="preserve"> </w:t>
      </w:r>
      <w:hyperlink r:id="rId41" w:history="1">
        <w:r w:rsidRPr="00BE3D84">
          <w:rPr>
            <w:rStyle w:val="Collegamentoipertestuale"/>
            <w:rFonts w:ascii="Arial" w:hAnsi="Arial" w:cs="Arial"/>
            <w:sz w:val="20"/>
            <w:szCs w:val="20"/>
          </w:rPr>
          <w:t>https://www.istat.it/it/istituto-nazionale-di-statistica/organizzazione/normativa</w:t>
        </w:r>
      </w:hyperlink>
      <w:r w:rsidRPr="00BE3D84">
        <w:rPr>
          <w:rFonts w:ascii="Arial" w:hAnsi="Arial" w:cs="Arial"/>
          <w:sz w:val="20"/>
          <w:szCs w:val="20"/>
        </w:rPr>
        <w:t>.</w:t>
      </w:r>
    </w:p>
    <w:p w14:paraId="6D5E0F68" w14:textId="77777777" w:rsidR="00501E02" w:rsidRDefault="00501E02" w:rsidP="00501E02">
      <w:pPr>
        <w:spacing w:after="120"/>
        <w:jc w:val="both"/>
        <w:rPr>
          <w:rFonts w:ascii="Arial" w:hAnsi="Arial" w:cs="Arial"/>
          <w:b/>
          <w:bCs/>
          <w:sz w:val="20"/>
          <w:szCs w:val="20"/>
        </w:rPr>
      </w:pPr>
    </w:p>
    <w:p w14:paraId="4C8204A3" w14:textId="77777777" w:rsidR="00501E02" w:rsidRPr="00C9631A" w:rsidRDefault="00501E02" w:rsidP="00501E02">
      <w:pPr>
        <w:spacing w:after="120"/>
        <w:jc w:val="both"/>
        <w:rPr>
          <w:rFonts w:ascii="Arial" w:hAnsi="Arial" w:cs="Arial"/>
          <w:b/>
          <w:bCs/>
          <w:sz w:val="20"/>
          <w:szCs w:val="20"/>
        </w:rPr>
      </w:pPr>
      <w:r>
        <w:rPr>
          <w:rFonts w:ascii="Arial" w:hAnsi="Arial" w:cs="Arial"/>
          <w:b/>
          <w:bCs/>
          <w:sz w:val="20"/>
          <w:szCs w:val="20"/>
        </w:rPr>
        <w:t>Fonte dei dati, c</w:t>
      </w:r>
      <w:r w:rsidRPr="00C9631A">
        <w:rPr>
          <w:rFonts w:ascii="Arial" w:hAnsi="Arial" w:cs="Arial"/>
          <w:b/>
          <w:bCs/>
          <w:sz w:val="20"/>
          <w:szCs w:val="20"/>
        </w:rPr>
        <w:t>ampo di osservazione, unità di analisi e di rilevazione</w:t>
      </w:r>
    </w:p>
    <w:p w14:paraId="32F8C4CC" w14:textId="77777777" w:rsidR="00501E02" w:rsidRPr="00BE3D84" w:rsidRDefault="00501E02" w:rsidP="00501E02">
      <w:pPr>
        <w:spacing w:after="120"/>
        <w:jc w:val="both"/>
        <w:rPr>
          <w:rFonts w:ascii="Arial" w:hAnsi="Arial" w:cs="Arial"/>
          <w:sz w:val="20"/>
          <w:szCs w:val="20"/>
        </w:rPr>
      </w:pPr>
      <w:r w:rsidRPr="00A54830">
        <w:rPr>
          <w:rFonts w:ascii="Arial" w:hAnsi="Arial" w:cs="Arial"/>
          <w:sz w:val="20"/>
          <w:szCs w:val="20"/>
        </w:rPr>
        <w:t>Il sistema degli indici dei prezzi all’importazione è elaborato a partire dai dati raccolti mediante una rilevazione statistica campionaria, con periodicità mensile.</w:t>
      </w:r>
    </w:p>
    <w:p w14:paraId="0CA288F3" w14:textId="77777777" w:rsidR="00501E02" w:rsidRPr="00C9631A" w:rsidRDefault="00501E02" w:rsidP="00501E02">
      <w:pPr>
        <w:spacing w:after="100"/>
        <w:jc w:val="both"/>
        <w:rPr>
          <w:rFonts w:ascii="Arial" w:hAnsi="Arial" w:cs="Arial"/>
          <w:bCs/>
          <w:sz w:val="20"/>
          <w:szCs w:val="20"/>
        </w:rPr>
      </w:pPr>
      <w:r w:rsidRPr="00C9631A">
        <w:rPr>
          <w:rFonts w:ascii="Arial" w:hAnsi="Arial" w:cs="Arial"/>
          <w:bCs/>
          <w:sz w:val="20"/>
          <w:szCs w:val="20"/>
        </w:rPr>
        <w:t xml:space="preserve">Dal punto di vista dimensionale, l’indagine è basata su un campione </w:t>
      </w:r>
      <w:r>
        <w:rPr>
          <w:rFonts w:ascii="Arial" w:hAnsi="Arial" w:cs="Arial"/>
          <w:bCs/>
          <w:sz w:val="20"/>
          <w:szCs w:val="20"/>
        </w:rPr>
        <w:t>di</w:t>
      </w:r>
      <w:r w:rsidRPr="00C9631A">
        <w:rPr>
          <w:rFonts w:ascii="Arial" w:hAnsi="Arial" w:cs="Arial"/>
          <w:bCs/>
          <w:sz w:val="20"/>
          <w:szCs w:val="20"/>
        </w:rPr>
        <w:t xml:space="preserve"> 1.</w:t>
      </w:r>
      <w:r>
        <w:rPr>
          <w:rFonts w:ascii="Arial" w:hAnsi="Arial" w:cs="Arial"/>
          <w:bCs/>
          <w:sz w:val="20"/>
          <w:szCs w:val="20"/>
        </w:rPr>
        <w:t>241</w:t>
      </w:r>
      <w:r w:rsidRPr="00C9631A">
        <w:rPr>
          <w:rFonts w:ascii="Arial" w:hAnsi="Arial" w:cs="Arial"/>
          <w:bCs/>
          <w:sz w:val="20"/>
          <w:szCs w:val="20"/>
        </w:rPr>
        <w:t xml:space="preserve"> prodotti rilevati presso una lista di </w:t>
      </w:r>
      <w:r>
        <w:rPr>
          <w:rFonts w:ascii="Arial" w:hAnsi="Arial" w:cs="Arial"/>
          <w:bCs/>
          <w:sz w:val="20"/>
          <w:szCs w:val="20"/>
        </w:rPr>
        <w:t>3</w:t>
      </w:r>
      <w:r w:rsidRPr="00C9631A">
        <w:rPr>
          <w:rFonts w:ascii="Arial" w:hAnsi="Arial" w:cs="Arial"/>
          <w:bCs/>
          <w:sz w:val="20"/>
          <w:szCs w:val="20"/>
        </w:rPr>
        <w:t>.</w:t>
      </w:r>
      <w:r>
        <w:rPr>
          <w:rFonts w:ascii="Arial" w:hAnsi="Arial" w:cs="Arial"/>
          <w:bCs/>
          <w:sz w:val="20"/>
          <w:szCs w:val="20"/>
        </w:rPr>
        <w:t>652</w:t>
      </w:r>
      <w:r w:rsidRPr="00C9631A">
        <w:rPr>
          <w:rFonts w:ascii="Arial" w:hAnsi="Arial" w:cs="Arial"/>
          <w:bCs/>
          <w:sz w:val="20"/>
          <w:szCs w:val="20"/>
        </w:rPr>
        <w:t xml:space="preserve"> imprese che forniscono mensilmente </w:t>
      </w:r>
      <w:r>
        <w:rPr>
          <w:rFonts w:ascii="Arial" w:hAnsi="Arial" w:cs="Arial"/>
          <w:bCs/>
          <w:sz w:val="20"/>
          <w:szCs w:val="20"/>
        </w:rPr>
        <w:t>10.164</w:t>
      </w:r>
      <w:r w:rsidRPr="00C9631A">
        <w:rPr>
          <w:rFonts w:ascii="Arial" w:hAnsi="Arial" w:cs="Arial"/>
          <w:bCs/>
          <w:sz w:val="20"/>
          <w:szCs w:val="20"/>
        </w:rPr>
        <w:t xml:space="preserve"> quotazioni di prezzo.</w:t>
      </w:r>
    </w:p>
    <w:p w14:paraId="526C86A7"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Il campo di osservazione della rilevazione riguarda:</w:t>
      </w:r>
    </w:p>
    <w:p w14:paraId="28768D3C" w14:textId="77777777" w:rsidR="00501E02" w:rsidRPr="00C9631A" w:rsidRDefault="00501E02" w:rsidP="00501E02">
      <w:pPr>
        <w:numPr>
          <w:ilvl w:val="0"/>
          <w:numId w:val="31"/>
        </w:numPr>
        <w:spacing w:after="120"/>
        <w:ind w:left="426"/>
        <w:jc w:val="both"/>
        <w:rPr>
          <w:rFonts w:ascii="Arial" w:hAnsi="Arial" w:cs="Arial"/>
          <w:sz w:val="20"/>
          <w:szCs w:val="20"/>
        </w:rPr>
      </w:pPr>
      <w:r w:rsidRPr="00C9631A">
        <w:rPr>
          <w:rFonts w:ascii="Arial" w:hAnsi="Arial" w:cs="Arial"/>
          <w:sz w:val="20"/>
          <w:szCs w:val="20"/>
        </w:rPr>
        <w:t>prodotti inclusi nelle sezioni da B a D della classificazione CPA;</w:t>
      </w:r>
    </w:p>
    <w:p w14:paraId="67150518" w14:textId="77777777" w:rsidR="00501E02" w:rsidRPr="00C9631A" w:rsidRDefault="00501E02" w:rsidP="00501E02">
      <w:pPr>
        <w:numPr>
          <w:ilvl w:val="0"/>
          <w:numId w:val="31"/>
        </w:numPr>
        <w:spacing w:after="120"/>
        <w:ind w:left="426"/>
        <w:jc w:val="both"/>
        <w:rPr>
          <w:rFonts w:ascii="Arial" w:hAnsi="Arial" w:cs="Arial"/>
          <w:sz w:val="20"/>
          <w:szCs w:val="20"/>
        </w:rPr>
      </w:pPr>
      <w:r w:rsidRPr="00C9631A">
        <w:rPr>
          <w:rFonts w:ascii="Arial" w:hAnsi="Arial" w:cs="Arial"/>
          <w:sz w:val="20"/>
          <w:szCs w:val="20"/>
        </w:rPr>
        <w:t>imprese con attività economica prevalente nelle sezioni B, C, D, E, G della classificazione Ateco 2007.</w:t>
      </w:r>
    </w:p>
    <w:p w14:paraId="2C7162CE" w14:textId="7FD56D09" w:rsidR="00501E02" w:rsidRPr="00C9631A" w:rsidRDefault="00501E02" w:rsidP="00C50F34">
      <w:pPr>
        <w:spacing w:after="120"/>
        <w:jc w:val="both"/>
        <w:rPr>
          <w:rFonts w:ascii="Arial" w:hAnsi="Arial" w:cs="Arial"/>
          <w:sz w:val="20"/>
          <w:szCs w:val="20"/>
        </w:rPr>
      </w:pPr>
      <w:r w:rsidRPr="00C9631A">
        <w:rPr>
          <w:rFonts w:ascii="Arial" w:hAnsi="Arial" w:cs="Arial"/>
          <w:sz w:val="20"/>
          <w:szCs w:val="20"/>
        </w:rPr>
        <w:t xml:space="preserve">L’unità di analisi è il prodotto, ovvero la </w:t>
      </w:r>
      <w:r w:rsidRPr="00E660CB">
        <w:rPr>
          <w:rFonts w:ascii="Arial" w:hAnsi="Arial" w:cs="Arial"/>
          <w:sz w:val="20"/>
          <w:szCs w:val="20"/>
        </w:rPr>
        <w:t>tipologia di prodotto</w:t>
      </w:r>
      <w:r w:rsidRPr="00C9631A">
        <w:rPr>
          <w:rFonts w:ascii="Arial" w:hAnsi="Arial" w:cs="Arial"/>
          <w:sz w:val="20"/>
          <w:szCs w:val="20"/>
        </w:rPr>
        <w:t xml:space="preserve"> (materia prima, semilavorato e prodotto finito) acquistata sul mercato estero e destinata al reimpiego nel processo di produzione (nel caso di un’impresa industriale) oppure alla vendita sul territorio nazionale o estero (nel caso di un’impresa commerciale).</w:t>
      </w:r>
    </w:p>
    <w:p w14:paraId="14E840B2" w14:textId="4C5B0F7A" w:rsidR="00501E02" w:rsidRDefault="00501E02" w:rsidP="00C50F34">
      <w:pPr>
        <w:spacing w:after="120"/>
        <w:jc w:val="both"/>
        <w:rPr>
          <w:rFonts w:ascii="Arial" w:hAnsi="Arial" w:cs="Arial"/>
          <w:sz w:val="20"/>
          <w:szCs w:val="20"/>
        </w:rPr>
      </w:pPr>
      <w:r w:rsidRPr="00C9631A">
        <w:rPr>
          <w:rFonts w:ascii="Arial" w:hAnsi="Arial" w:cs="Arial"/>
          <w:sz w:val="20"/>
          <w:szCs w:val="20"/>
        </w:rPr>
        <w:t>L’unità di rilevazione – impresa – deve essere localizzata sul territorio nazionale; nel caso di impresa industriale, la localizzazione è riferita agli stabilimenti di produzione: l’impresa acquista sul mercato estero materie prime, semilavorati e prodotti finiti che reimpiega nel proprio processo di produzione. Se l’impresa è commerciale, acquista sul mercato estero materie prime, semilavorati e prodotti finiti al fine di rivenderli sul mercato nazionale o estero.</w:t>
      </w:r>
    </w:p>
    <w:p w14:paraId="34C5D63D" w14:textId="77777777" w:rsidR="00874F65" w:rsidRDefault="00874F65" w:rsidP="00501E02">
      <w:pPr>
        <w:spacing w:after="120"/>
        <w:jc w:val="both"/>
        <w:rPr>
          <w:rFonts w:ascii="Arial" w:hAnsi="Arial" w:cs="Arial"/>
          <w:sz w:val="20"/>
          <w:szCs w:val="20"/>
        </w:rPr>
      </w:pPr>
    </w:p>
    <w:p w14:paraId="0408F458" w14:textId="77777777" w:rsidR="00874F65" w:rsidRDefault="00874F65" w:rsidP="00501E02">
      <w:pPr>
        <w:spacing w:after="120"/>
        <w:jc w:val="both"/>
        <w:rPr>
          <w:rFonts w:ascii="Arial" w:hAnsi="Arial" w:cs="Arial"/>
          <w:sz w:val="20"/>
          <w:szCs w:val="20"/>
        </w:rPr>
      </w:pPr>
    </w:p>
    <w:p w14:paraId="2FA0D990" w14:textId="77777777" w:rsidR="00874F65" w:rsidRDefault="00874F65" w:rsidP="00501E02">
      <w:pPr>
        <w:spacing w:after="120"/>
        <w:jc w:val="both"/>
        <w:rPr>
          <w:rFonts w:ascii="Arial" w:hAnsi="Arial" w:cs="Arial"/>
          <w:sz w:val="20"/>
          <w:szCs w:val="20"/>
        </w:rPr>
      </w:pPr>
    </w:p>
    <w:p w14:paraId="5EF6AF66" w14:textId="77777777" w:rsidR="00874F65" w:rsidRDefault="00874F65" w:rsidP="00501E02">
      <w:pPr>
        <w:spacing w:after="120"/>
        <w:jc w:val="both"/>
        <w:rPr>
          <w:rFonts w:ascii="Arial" w:hAnsi="Arial" w:cs="Arial"/>
          <w:sz w:val="20"/>
          <w:szCs w:val="20"/>
        </w:rPr>
      </w:pPr>
    </w:p>
    <w:p w14:paraId="2D06A78F" w14:textId="76F2E2E0" w:rsidR="00501E02" w:rsidRPr="000D4A0C" w:rsidRDefault="00501E02" w:rsidP="00501E02">
      <w:pPr>
        <w:spacing w:after="120"/>
        <w:jc w:val="both"/>
        <w:rPr>
          <w:rFonts w:ascii="Arial" w:hAnsi="Arial" w:cs="Arial"/>
          <w:sz w:val="20"/>
          <w:szCs w:val="20"/>
        </w:rPr>
      </w:pPr>
      <w:r w:rsidRPr="000D4A0C">
        <w:rPr>
          <w:rFonts w:ascii="Arial" w:hAnsi="Arial" w:cs="Arial"/>
          <w:sz w:val="20"/>
          <w:szCs w:val="20"/>
        </w:rPr>
        <w:t>Il regime del commercio considerato è quello del regime del commercio speciale, sono pertanto incluse le importazioni normali nonché le importazioni in regime di perfezionamento attivo e dopo perfezionamento passivo, quando l’unità rispondente acquisisce la proprietà dei beni; sono escluse dal campo di osservazione:</w:t>
      </w:r>
    </w:p>
    <w:p w14:paraId="7356E9F2" w14:textId="77777777" w:rsidR="00501E02" w:rsidRDefault="00501E02" w:rsidP="00501E02">
      <w:pPr>
        <w:numPr>
          <w:ilvl w:val="0"/>
          <w:numId w:val="39"/>
        </w:numPr>
        <w:spacing w:after="120"/>
        <w:ind w:left="425" w:hanging="425"/>
        <w:jc w:val="both"/>
        <w:rPr>
          <w:rFonts w:ascii="Arial" w:hAnsi="Arial" w:cs="Arial"/>
          <w:sz w:val="20"/>
          <w:szCs w:val="20"/>
        </w:rPr>
      </w:pPr>
      <w:r w:rsidRPr="000D4A0C">
        <w:rPr>
          <w:rFonts w:ascii="Arial" w:hAnsi="Arial" w:cs="Arial"/>
          <w:sz w:val="20"/>
          <w:szCs w:val="20"/>
        </w:rPr>
        <w:t>le importazioni delle famiglie, delle amministrazioni pubbliche e delle istituzioni senza scopo di lucro;</w:t>
      </w:r>
    </w:p>
    <w:p w14:paraId="6859D050" w14:textId="77777777" w:rsidR="00501E02" w:rsidRDefault="00501E02" w:rsidP="00501E02">
      <w:pPr>
        <w:numPr>
          <w:ilvl w:val="0"/>
          <w:numId w:val="39"/>
        </w:numPr>
        <w:spacing w:after="120"/>
        <w:ind w:left="425" w:hanging="425"/>
        <w:jc w:val="both"/>
        <w:rPr>
          <w:rFonts w:ascii="Arial" w:hAnsi="Arial" w:cs="Arial"/>
          <w:sz w:val="20"/>
          <w:szCs w:val="20"/>
        </w:rPr>
      </w:pPr>
      <w:r w:rsidRPr="002A34BD">
        <w:rPr>
          <w:rFonts w:ascii="Arial" w:hAnsi="Arial" w:cs="Arial"/>
          <w:sz w:val="20"/>
          <w:szCs w:val="20"/>
        </w:rPr>
        <w:t>l’importazione a fini di riparazione;</w:t>
      </w:r>
    </w:p>
    <w:p w14:paraId="58998060" w14:textId="77777777" w:rsidR="00501E02" w:rsidRPr="002A34BD" w:rsidRDefault="00501E02" w:rsidP="00501E02">
      <w:pPr>
        <w:numPr>
          <w:ilvl w:val="0"/>
          <w:numId w:val="39"/>
        </w:numPr>
        <w:spacing w:after="120"/>
        <w:ind w:left="425" w:hanging="425"/>
        <w:jc w:val="both"/>
        <w:rPr>
          <w:rFonts w:ascii="Arial" w:hAnsi="Arial" w:cs="Arial"/>
          <w:sz w:val="20"/>
          <w:szCs w:val="20"/>
        </w:rPr>
      </w:pPr>
      <w:r w:rsidRPr="002A34BD">
        <w:rPr>
          <w:rFonts w:ascii="Arial" w:hAnsi="Arial" w:cs="Arial"/>
          <w:sz w:val="20"/>
          <w:szCs w:val="20"/>
        </w:rPr>
        <w:t>tutti i servizi correlati ai prodotti.</w:t>
      </w:r>
    </w:p>
    <w:p w14:paraId="13DED19F" w14:textId="77777777" w:rsidR="00501E02" w:rsidRPr="00C9631A" w:rsidRDefault="00501E02" w:rsidP="00501E02">
      <w:pPr>
        <w:spacing w:after="120"/>
        <w:ind w:left="426"/>
        <w:jc w:val="both"/>
        <w:rPr>
          <w:rFonts w:ascii="Arial" w:hAnsi="Arial" w:cs="Arial"/>
          <w:sz w:val="20"/>
          <w:szCs w:val="20"/>
        </w:rPr>
      </w:pPr>
    </w:p>
    <w:p w14:paraId="661C8612"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Disegno di campionamento</w:t>
      </w:r>
    </w:p>
    <w:p w14:paraId="6F503B0D"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La rilevazione mensile dei prezzi dei prodotti importati dall</w:t>
      </w:r>
      <w:r>
        <w:rPr>
          <w:rFonts w:ascii="Arial" w:hAnsi="Arial" w:cs="Arial"/>
          <w:sz w:val="20"/>
          <w:szCs w:val="20"/>
        </w:rPr>
        <w:t xml:space="preserve">e </w:t>
      </w:r>
      <w:r w:rsidRPr="00C9631A">
        <w:rPr>
          <w:rFonts w:ascii="Arial" w:hAnsi="Arial" w:cs="Arial"/>
          <w:sz w:val="20"/>
          <w:szCs w:val="20"/>
        </w:rPr>
        <w:t>impres</w:t>
      </w:r>
      <w:r>
        <w:rPr>
          <w:rFonts w:ascii="Arial" w:hAnsi="Arial" w:cs="Arial"/>
          <w:sz w:val="20"/>
          <w:szCs w:val="20"/>
        </w:rPr>
        <w:t xml:space="preserve">e </w:t>
      </w:r>
      <w:r w:rsidRPr="00C9631A">
        <w:rPr>
          <w:rFonts w:ascii="Arial" w:hAnsi="Arial" w:cs="Arial"/>
          <w:sz w:val="20"/>
          <w:szCs w:val="20"/>
        </w:rPr>
        <w:t xml:space="preserve">si effettua </w:t>
      </w:r>
      <w:r>
        <w:rPr>
          <w:rFonts w:ascii="Arial" w:hAnsi="Arial" w:cs="Arial"/>
          <w:sz w:val="20"/>
          <w:szCs w:val="20"/>
        </w:rPr>
        <w:t xml:space="preserve">– con riferimento alle due aree, euro e non euro – </w:t>
      </w:r>
      <w:r w:rsidRPr="00C9631A">
        <w:rPr>
          <w:rFonts w:ascii="Arial" w:hAnsi="Arial" w:cs="Arial"/>
          <w:sz w:val="20"/>
          <w:szCs w:val="20"/>
        </w:rPr>
        <w:t xml:space="preserve">sulla base di un disegno di campionamento nel quale si definiscono, relativamente </w:t>
      </w:r>
      <w:r>
        <w:rPr>
          <w:rFonts w:ascii="Arial" w:hAnsi="Arial" w:cs="Arial"/>
          <w:sz w:val="20"/>
          <w:szCs w:val="20"/>
        </w:rPr>
        <w:t>alla base di calcolo</w:t>
      </w:r>
      <w:r w:rsidRPr="00C9631A">
        <w:rPr>
          <w:rFonts w:ascii="Arial" w:hAnsi="Arial" w:cs="Arial"/>
          <w:sz w:val="20"/>
          <w:szCs w:val="20"/>
        </w:rPr>
        <w:t xml:space="preserve">, la composizione del paniere dei prodotti e la lista delle unità di rilevazione. </w:t>
      </w:r>
    </w:p>
    <w:p w14:paraId="73F64BBE"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Il paniere dei prodotti è costituito da un campione rappresentativo dei principali beni acquistati dalle imprese sul mercato estero e destinati al reimpiego nel processo di produzione (nel caso di un’impresa industriale) oppure alla vendita sul territorio nazionale o estero (nel caso di un’impresa commerciale). La selezione dei prodotti si effettua utilizzando, come informazione principale, quella proveniente dalle statistiche del commercio con l’estero (valore annuale delle importazioni a livello di merce, codificata secondo la Nomenclatura Combinata).</w:t>
      </w:r>
    </w:p>
    <w:p w14:paraId="4AC4B920" w14:textId="77777777" w:rsidR="00501E02" w:rsidRDefault="00501E02" w:rsidP="00501E02">
      <w:pPr>
        <w:spacing w:after="120"/>
        <w:jc w:val="both"/>
        <w:rPr>
          <w:rFonts w:ascii="Arial" w:hAnsi="Arial" w:cs="Arial"/>
          <w:sz w:val="20"/>
          <w:szCs w:val="20"/>
        </w:rPr>
      </w:pPr>
      <w:r w:rsidRPr="00C9631A">
        <w:rPr>
          <w:rFonts w:ascii="Arial" w:hAnsi="Arial" w:cs="Arial"/>
          <w:sz w:val="20"/>
          <w:szCs w:val="20"/>
        </w:rPr>
        <w:t>La lista delle unità di rilevazione è determinata integrando le informazioni sull’interscambio commerciale con quelle contenute nell’Archivio Statistico delle Imprese Attive (Asia) dell’Istat (relativamente all’identificativo dell’impresa e all’attività econo</w:t>
      </w:r>
      <w:r>
        <w:rPr>
          <w:rFonts w:ascii="Arial" w:hAnsi="Arial" w:cs="Arial"/>
          <w:sz w:val="20"/>
          <w:szCs w:val="20"/>
        </w:rPr>
        <w:t>mica prevalente della medesima)</w:t>
      </w:r>
      <w:r w:rsidRPr="00C9631A">
        <w:rPr>
          <w:rFonts w:ascii="Arial" w:hAnsi="Arial" w:cs="Arial"/>
          <w:sz w:val="20"/>
          <w:szCs w:val="20"/>
        </w:rPr>
        <w:t xml:space="preserve"> e nell’Anagrafe Tributaria (relativamente alla corrispondenza operatore economico/partita Iva – impresa/codice fiscale). Attraverso tale link si collegano le unità di analisi (i prodotti importati) alle unità di rilevazione (le imprese importatrici).</w:t>
      </w:r>
    </w:p>
    <w:p w14:paraId="77FED943" w14:textId="77777777" w:rsidR="00501E02" w:rsidRDefault="00501E02" w:rsidP="006A2C28">
      <w:pPr>
        <w:spacing w:after="240"/>
        <w:jc w:val="both"/>
        <w:rPr>
          <w:rFonts w:ascii="Arial" w:hAnsi="Arial" w:cs="Arial"/>
          <w:sz w:val="20"/>
          <w:szCs w:val="20"/>
        </w:rPr>
      </w:pPr>
      <w:r>
        <w:rPr>
          <w:rFonts w:ascii="Arial" w:hAnsi="Arial" w:cs="Arial"/>
          <w:sz w:val="20"/>
          <w:szCs w:val="20"/>
        </w:rPr>
        <w:t>Nel Prospetto B viene sintetizzata la composizione imprese/prodotti/prezzi della base di calcolo dicembre 2021, con riferimento alle tre variabili elaborate.</w:t>
      </w:r>
    </w:p>
    <w:p w14:paraId="06E1DAFA" w14:textId="77777777" w:rsidR="00501E02" w:rsidRDefault="00501E02" w:rsidP="00501E02">
      <w:pPr>
        <w:jc w:val="both"/>
        <w:rPr>
          <w:rFonts w:ascii="Arial Narrow" w:hAnsi="Arial Narrow" w:cs="Arial"/>
          <w:color w:val="7F7F7F"/>
          <w:sz w:val="20"/>
          <w:szCs w:val="20"/>
        </w:rPr>
      </w:pPr>
      <w:r w:rsidRPr="00861AAF">
        <w:rPr>
          <w:rFonts w:ascii="Arial Narrow" w:hAnsi="Arial Narrow" w:cs="Arial"/>
          <w:b/>
          <w:color w:val="E42618"/>
          <w:sz w:val="22"/>
          <w:szCs w:val="22"/>
        </w:rPr>
        <w:t xml:space="preserve">PROSPETTO </w:t>
      </w:r>
      <w:r>
        <w:rPr>
          <w:rFonts w:ascii="Arial Narrow" w:hAnsi="Arial Narrow" w:cs="Arial"/>
          <w:b/>
          <w:color w:val="E42618"/>
          <w:sz w:val="22"/>
          <w:szCs w:val="22"/>
        </w:rPr>
        <w:t>B</w:t>
      </w:r>
      <w:r w:rsidRPr="00861AAF">
        <w:rPr>
          <w:rFonts w:ascii="Arial Narrow" w:hAnsi="Arial Narrow" w:cs="Arial"/>
          <w:b/>
          <w:color w:val="E42618"/>
          <w:sz w:val="22"/>
          <w:szCs w:val="22"/>
        </w:rPr>
        <w:t>.</w:t>
      </w:r>
      <w:r w:rsidRPr="00861AAF">
        <w:rPr>
          <w:rFonts w:ascii="Arial Narrow" w:hAnsi="Arial Narrow" w:cs="Arial"/>
          <w:b/>
          <w:color w:val="7F7F7F"/>
          <w:sz w:val="22"/>
          <w:szCs w:val="22"/>
        </w:rPr>
        <w:t xml:space="preserve"> PREZZI ALL</w:t>
      </w:r>
      <w:r>
        <w:rPr>
          <w:rFonts w:ascii="Arial Narrow" w:hAnsi="Arial Narrow" w:cs="Arial"/>
          <w:b/>
          <w:color w:val="7F7F7F"/>
          <w:sz w:val="22"/>
          <w:szCs w:val="22"/>
        </w:rPr>
        <w:t xml:space="preserve">’IMPORTAZIONE. </w:t>
      </w:r>
      <w:r w:rsidRPr="00832200">
        <w:rPr>
          <w:rFonts w:ascii="Arial Narrow" w:hAnsi="Arial Narrow" w:cs="Arial"/>
          <w:b/>
          <w:color w:val="7F7F7F"/>
          <w:sz w:val="22"/>
          <w:szCs w:val="22"/>
        </w:rPr>
        <w:t>N</w:t>
      </w:r>
      <w:r>
        <w:rPr>
          <w:rFonts w:ascii="Arial Narrow" w:hAnsi="Arial Narrow" w:cs="Arial"/>
          <w:b/>
          <w:color w:val="7F7F7F"/>
          <w:sz w:val="22"/>
          <w:szCs w:val="22"/>
        </w:rPr>
        <w:t>U</w:t>
      </w:r>
      <w:r w:rsidRPr="00832200">
        <w:rPr>
          <w:rFonts w:ascii="Arial Narrow" w:hAnsi="Arial Narrow" w:cs="Arial"/>
          <w:b/>
          <w:color w:val="7F7F7F"/>
          <w:sz w:val="22"/>
          <w:szCs w:val="22"/>
        </w:rPr>
        <w:t>MEROSITÀ DEL CAMPIONE DEI PRODOTTI, IMPRESE E PREZZI</w:t>
      </w:r>
    </w:p>
    <w:p w14:paraId="219A5135" w14:textId="1680CBB9" w:rsidR="00501E02" w:rsidRPr="001F0B80" w:rsidRDefault="00AB0189" w:rsidP="00501E02">
      <w:pPr>
        <w:jc w:val="both"/>
        <w:rPr>
          <w:rFonts w:ascii="Arial Narrow" w:hAnsi="Arial Narrow" w:cs="Arial"/>
          <w:color w:val="7F7F7F"/>
          <w:sz w:val="20"/>
          <w:szCs w:val="20"/>
        </w:rPr>
      </w:pPr>
      <w:r>
        <w:rPr>
          <w:rFonts w:ascii="Arial Narrow" w:hAnsi="Arial Narrow" w:cs="Arial"/>
          <w:color w:val="7F7F7F"/>
          <w:sz w:val="20"/>
          <w:szCs w:val="20"/>
        </w:rPr>
        <w:t>Base di calcolo d</w:t>
      </w:r>
      <w:r w:rsidR="00501E02" w:rsidRPr="001F0B80">
        <w:rPr>
          <w:rFonts w:ascii="Arial Narrow" w:hAnsi="Arial Narrow" w:cs="Arial"/>
          <w:color w:val="7F7F7F"/>
          <w:sz w:val="20"/>
          <w:szCs w:val="20"/>
        </w:rPr>
        <w:t>icembre 2021</w:t>
      </w:r>
    </w:p>
    <w:tbl>
      <w:tblPr>
        <w:tblW w:w="10147" w:type="dxa"/>
        <w:tblCellMar>
          <w:left w:w="70" w:type="dxa"/>
          <w:right w:w="454" w:type="dxa"/>
        </w:tblCellMar>
        <w:tblLook w:val="04A0" w:firstRow="1" w:lastRow="0" w:firstColumn="1" w:lastColumn="0" w:noHBand="0" w:noVBand="1"/>
      </w:tblPr>
      <w:tblGrid>
        <w:gridCol w:w="2551"/>
        <w:gridCol w:w="2494"/>
        <w:gridCol w:w="2551"/>
        <w:gridCol w:w="2551"/>
      </w:tblGrid>
      <w:tr w:rsidR="00501E02" w:rsidRPr="00861AAF" w14:paraId="01948937" w14:textId="77777777" w:rsidTr="002C489F">
        <w:trPr>
          <w:trHeight w:val="340"/>
        </w:trPr>
        <w:tc>
          <w:tcPr>
            <w:tcW w:w="2551" w:type="dxa"/>
            <w:tcBorders>
              <w:top w:val="single" w:sz="8" w:space="0" w:color="333333"/>
              <w:left w:val="nil"/>
              <w:bottom w:val="single" w:sz="8" w:space="0" w:color="333333"/>
              <w:right w:val="nil"/>
            </w:tcBorders>
            <w:shd w:val="clear" w:color="auto" w:fill="auto"/>
            <w:vAlign w:val="center"/>
            <w:hideMark/>
          </w:tcPr>
          <w:p w14:paraId="382A346C" w14:textId="77777777" w:rsidR="00501E02" w:rsidRPr="00861AAF" w:rsidRDefault="00501E02" w:rsidP="002C489F">
            <w:pPr>
              <w:rPr>
                <w:rFonts w:ascii="Arial Narrow" w:hAnsi="Arial Narrow" w:cs="Arial"/>
                <w:b/>
                <w:bCs/>
                <w:color w:val="000000"/>
                <w:sz w:val="18"/>
                <w:szCs w:val="18"/>
              </w:rPr>
            </w:pPr>
            <w:r w:rsidRPr="00861AAF">
              <w:rPr>
                <w:rFonts w:ascii="Arial Narrow" w:hAnsi="Arial Narrow" w:cs="Arial"/>
                <w:b/>
                <w:bCs/>
                <w:color w:val="000000"/>
                <w:sz w:val="18"/>
                <w:szCs w:val="18"/>
              </w:rPr>
              <w:t>UNITÀ</w:t>
            </w:r>
          </w:p>
        </w:tc>
        <w:tc>
          <w:tcPr>
            <w:tcW w:w="2494" w:type="dxa"/>
            <w:tcBorders>
              <w:top w:val="single" w:sz="8" w:space="0" w:color="333333"/>
              <w:left w:val="nil"/>
              <w:bottom w:val="single" w:sz="4" w:space="0" w:color="auto"/>
              <w:right w:val="nil"/>
            </w:tcBorders>
            <w:shd w:val="clear" w:color="000000" w:fill="E6E6E6"/>
            <w:vAlign w:val="center"/>
            <w:hideMark/>
          </w:tcPr>
          <w:p w14:paraId="4629E8BA" w14:textId="77777777" w:rsidR="00501E02" w:rsidRPr="00861AAF" w:rsidRDefault="00501E02" w:rsidP="002C489F">
            <w:pPr>
              <w:jc w:val="right"/>
              <w:rPr>
                <w:rFonts w:ascii="Arial Narrow" w:hAnsi="Arial Narrow" w:cs="Arial"/>
                <w:b/>
                <w:bCs/>
                <w:color w:val="000000"/>
                <w:sz w:val="18"/>
                <w:szCs w:val="18"/>
              </w:rPr>
            </w:pPr>
            <w:r w:rsidRPr="00861AAF">
              <w:rPr>
                <w:rFonts w:ascii="Arial Narrow" w:hAnsi="Arial Narrow" w:cs="Arial"/>
                <w:b/>
                <w:bCs/>
                <w:color w:val="000000"/>
                <w:sz w:val="18"/>
                <w:szCs w:val="18"/>
              </w:rPr>
              <w:t>Totale</w:t>
            </w:r>
          </w:p>
        </w:tc>
        <w:tc>
          <w:tcPr>
            <w:tcW w:w="2551" w:type="dxa"/>
            <w:tcBorders>
              <w:top w:val="single" w:sz="8" w:space="0" w:color="333333"/>
              <w:left w:val="nil"/>
              <w:bottom w:val="single" w:sz="4" w:space="0" w:color="auto"/>
              <w:right w:val="nil"/>
            </w:tcBorders>
            <w:shd w:val="clear" w:color="auto" w:fill="auto"/>
            <w:vAlign w:val="center"/>
            <w:hideMark/>
          </w:tcPr>
          <w:p w14:paraId="50D20B13" w14:textId="77777777" w:rsidR="00501E02" w:rsidRPr="00861AAF" w:rsidRDefault="00501E02" w:rsidP="002C489F">
            <w:pPr>
              <w:jc w:val="right"/>
              <w:rPr>
                <w:rFonts w:ascii="Arial Narrow" w:hAnsi="Arial Narrow" w:cs="Arial"/>
                <w:b/>
                <w:bCs/>
                <w:color w:val="000000"/>
                <w:sz w:val="18"/>
                <w:szCs w:val="18"/>
              </w:rPr>
            </w:pPr>
            <w:r>
              <w:rPr>
                <w:rFonts w:ascii="Arial Narrow" w:hAnsi="Arial Narrow" w:cs="Arial"/>
                <w:b/>
                <w:bCs/>
                <w:color w:val="000000"/>
                <w:sz w:val="18"/>
                <w:szCs w:val="18"/>
              </w:rPr>
              <w:t>A</w:t>
            </w:r>
            <w:r w:rsidRPr="00861AAF">
              <w:rPr>
                <w:rFonts w:ascii="Arial Narrow" w:hAnsi="Arial Narrow" w:cs="Arial"/>
                <w:b/>
                <w:bCs/>
                <w:color w:val="000000"/>
                <w:sz w:val="18"/>
                <w:szCs w:val="18"/>
              </w:rPr>
              <w:t>rea euro</w:t>
            </w:r>
          </w:p>
        </w:tc>
        <w:tc>
          <w:tcPr>
            <w:tcW w:w="2551" w:type="dxa"/>
            <w:tcBorders>
              <w:top w:val="single" w:sz="8" w:space="0" w:color="333333"/>
              <w:left w:val="nil"/>
              <w:bottom w:val="single" w:sz="4" w:space="0" w:color="auto"/>
              <w:right w:val="nil"/>
            </w:tcBorders>
            <w:shd w:val="clear" w:color="000000" w:fill="E6E6E6"/>
            <w:vAlign w:val="center"/>
            <w:hideMark/>
          </w:tcPr>
          <w:p w14:paraId="24FFBA23" w14:textId="77777777" w:rsidR="00501E02" w:rsidRPr="00861AAF" w:rsidRDefault="00501E02" w:rsidP="002C489F">
            <w:pPr>
              <w:jc w:val="right"/>
              <w:rPr>
                <w:rFonts w:ascii="Arial Narrow" w:hAnsi="Arial Narrow" w:cs="Arial"/>
                <w:b/>
                <w:bCs/>
                <w:color w:val="000000"/>
                <w:sz w:val="18"/>
                <w:szCs w:val="18"/>
              </w:rPr>
            </w:pPr>
            <w:r>
              <w:rPr>
                <w:rFonts w:ascii="Arial Narrow" w:hAnsi="Arial Narrow" w:cs="Arial"/>
                <w:b/>
                <w:bCs/>
                <w:color w:val="000000"/>
                <w:sz w:val="18"/>
                <w:szCs w:val="18"/>
              </w:rPr>
              <w:t>A</w:t>
            </w:r>
            <w:r w:rsidRPr="00861AAF">
              <w:rPr>
                <w:rFonts w:ascii="Arial Narrow" w:hAnsi="Arial Narrow" w:cs="Arial"/>
                <w:b/>
                <w:bCs/>
                <w:color w:val="000000"/>
                <w:sz w:val="18"/>
                <w:szCs w:val="18"/>
              </w:rPr>
              <w:t>rea non euro</w:t>
            </w:r>
          </w:p>
        </w:tc>
      </w:tr>
      <w:tr w:rsidR="00501E02" w:rsidRPr="00861AAF" w14:paraId="0A151E60" w14:textId="77777777" w:rsidTr="002C489F">
        <w:trPr>
          <w:trHeight w:val="255"/>
        </w:trPr>
        <w:tc>
          <w:tcPr>
            <w:tcW w:w="2551" w:type="dxa"/>
            <w:tcBorders>
              <w:top w:val="nil"/>
              <w:left w:val="nil"/>
              <w:bottom w:val="single" w:sz="8" w:space="0" w:color="333333"/>
              <w:right w:val="nil"/>
            </w:tcBorders>
            <w:shd w:val="clear" w:color="auto" w:fill="auto"/>
            <w:vAlign w:val="center"/>
            <w:hideMark/>
          </w:tcPr>
          <w:p w14:paraId="3A60B4CF" w14:textId="77777777" w:rsidR="00501E02" w:rsidRPr="00861AAF" w:rsidRDefault="00501E02" w:rsidP="002C489F">
            <w:pPr>
              <w:rPr>
                <w:rFonts w:ascii="Arial Narrow" w:hAnsi="Arial Narrow" w:cs="Arial"/>
                <w:color w:val="000000"/>
                <w:sz w:val="18"/>
                <w:szCs w:val="18"/>
              </w:rPr>
            </w:pPr>
            <w:r w:rsidRPr="00861AAF">
              <w:rPr>
                <w:rFonts w:ascii="Arial Narrow" w:hAnsi="Arial Narrow" w:cs="Arial"/>
                <w:color w:val="000000"/>
                <w:sz w:val="18"/>
                <w:szCs w:val="18"/>
              </w:rPr>
              <w:t>Prodotti</w:t>
            </w:r>
          </w:p>
        </w:tc>
        <w:tc>
          <w:tcPr>
            <w:tcW w:w="2494" w:type="dxa"/>
            <w:tcBorders>
              <w:top w:val="single" w:sz="4" w:space="0" w:color="auto"/>
              <w:left w:val="nil"/>
              <w:bottom w:val="single" w:sz="8" w:space="0" w:color="333333"/>
              <w:right w:val="nil"/>
            </w:tcBorders>
            <w:shd w:val="clear" w:color="auto" w:fill="D9D9D9"/>
            <w:vAlign w:val="center"/>
          </w:tcPr>
          <w:p w14:paraId="2B053B06" w14:textId="77777777" w:rsidR="00501E02" w:rsidRPr="001F0B80" w:rsidRDefault="00501E02" w:rsidP="002C489F">
            <w:pPr>
              <w:jc w:val="right"/>
              <w:rPr>
                <w:rFonts w:ascii="Arial Narrow" w:hAnsi="Arial Narrow"/>
                <w:color w:val="000000"/>
                <w:sz w:val="18"/>
                <w:szCs w:val="18"/>
              </w:rPr>
            </w:pPr>
            <w:r w:rsidRPr="00861AAF">
              <w:rPr>
                <w:rFonts w:ascii="Arial Narrow" w:hAnsi="Arial Narrow"/>
                <w:color w:val="000000"/>
                <w:sz w:val="18"/>
                <w:szCs w:val="18"/>
              </w:rPr>
              <w:t>1.</w:t>
            </w:r>
            <w:r>
              <w:rPr>
                <w:rFonts w:ascii="Arial Narrow" w:hAnsi="Arial Narrow"/>
                <w:color w:val="000000"/>
                <w:sz w:val="18"/>
                <w:szCs w:val="18"/>
              </w:rPr>
              <w:t>241</w:t>
            </w:r>
          </w:p>
        </w:tc>
        <w:tc>
          <w:tcPr>
            <w:tcW w:w="2551" w:type="dxa"/>
            <w:tcBorders>
              <w:top w:val="single" w:sz="4" w:space="0" w:color="auto"/>
              <w:left w:val="nil"/>
              <w:bottom w:val="single" w:sz="8" w:space="0" w:color="333333"/>
              <w:right w:val="nil"/>
            </w:tcBorders>
            <w:shd w:val="clear" w:color="auto" w:fill="auto"/>
            <w:vAlign w:val="center"/>
          </w:tcPr>
          <w:p w14:paraId="02B6219C" w14:textId="77777777" w:rsidR="00501E02" w:rsidRPr="001F0B80" w:rsidRDefault="00501E02" w:rsidP="002C489F">
            <w:pPr>
              <w:jc w:val="right"/>
              <w:rPr>
                <w:rFonts w:ascii="Arial Narrow" w:hAnsi="Arial Narrow"/>
                <w:color w:val="000000"/>
                <w:sz w:val="18"/>
                <w:szCs w:val="18"/>
              </w:rPr>
            </w:pPr>
            <w:r>
              <w:rPr>
                <w:rFonts w:ascii="Arial Narrow" w:hAnsi="Arial Narrow"/>
                <w:color w:val="000000"/>
                <w:sz w:val="18"/>
                <w:szCs w:val="18"/>
              </w:rPr>
              <w:t>963</w:t>
            </w:r>
          </w:p>
        </w:tc>
        <w:tc>
          <w:tcPr>
            <w:tcW w:w="2551" w:type="dxa"/>
            <w:tcBorders>
              <w:top w:val="single" w:sz="4" w:space="0" w:color="auto"/>
              <w:left w:val="nil"/>
              <w:bottom w:val="single" w:sz="8" w:space="0" w:color="333333"/>
              <w:right w:val="nil"/>
            </w:tcBorders>
            <w:shd w:val="clear" w:color="auto" w:fill="D9D9D9"/>
            <w:vAlign w:val="center"/>
          </w:tcPr>
          <w:p w14:paraId="20341BA4" w14:textId="77777777" w:rsidR="00501E02" w:rsidRPr="001F0B80" w:rsidRDefault="00501E02" w:rsidP="002C489F">
            <w:pPr>
              <w:jc w:val="right"/>
              <w:rPr>
                <w:rFonts w:ascii="Arial Narrow" w:hAnsi="Arial Narrow"/>
                <w:color w:val="000000"/>
                <w:sz w:val="18"/>
                <w:szCs w:val="18"/>
              </w:rPr>
            </w:pPr>
            <w:r>
              <w:rPr>
                <w:rFonts w:ascii="Arial Narrow" w:hAnsi="Arial Narrow"/>
                <w:color w:val="000000"/>
                <w:sz w:val="18"/>
                <w:szCs w:val="18"/>
              </w:rPr>
              <w:t>800</w:t>
            </w:r>
          </w:p>
        </w:tc>
      </w:tr>
      <w:tr w:rsidR="00501E02" w:rsidRPr="00861AAF" w14:paraId="11D0F0DE" w14:textId="77777777" w:rsidTr="002C489F">
        <w:trPr>
          <w:trHeight w:val="255"/>
        </w:trPr>
        <w:tc>
          <w:tcPr>
            <w:tcW w:w="2551" w:type="dxa"/>
            <w:tcBorders>
              <w:top w:val="nil"/>
              <w:left w:val="nil"/>
              <w:bottom w:val="single" w:sz="8" w:space="0" w:color="333333"/>
              <w:right w:val="nil"/>
            </w:tcBorders>
            <w:shd w:val="clear" w:color="auto" w:fill="auto"/>
            <w:vAlign w:val="center"/>
            <w:hideMark/>
          </w:tcPr>
          <w:p w14:paraId="673B1167" w14:textId="77777777" w:rsidR="00501E02" w:rsidRPr="00861AAF" w:rsidRDefault="00501E02" w:rsidP="002C489F">
            <w:pPr>
              <w:rPr>
                <w:rFonts w:ascii="Arial Narrow" w:hAnsi="Arial Narrow" w:cs="Arial"/>
                <w:color w:val="000000"/>
                <w:sz w:val="18"/>
                <w:szCs w:val="18"/>
              </w:rPr>
            </w:pPr>
            <w:r w:rsidRPr="00861AAF">
              <w:rPr>
                <w:rFonts w:ascii="Arial Narrow" w:hAnsi="Arial Narrow" w:cs="Arial"/>
                <w:color w:val="000000"/>
                <w:sz w:val="18"/>
                <w:szCs w:val="18"/>
              </w:rPr>
              <w:t>Imprese</w:t>
            </w:r>
          </w:p>
        </w:tc>
        <w:tc>
          <w:tcPr>
            <w:tcW w:w="2494" w:type="dxa"/>
            <w:tcBorders>
              <w:top w:val="nil"/>
              <w:left w:val="nil"/>
              <w:bottom w:val="single" w:sz="8" w:space="0" w:color="333333"/>
              <w:right w:val="nil"/>
            </w:tcBorders>
            <w:shd w:val="clear" w:color="auto" w:fill="D9D9D9"/>
            <w:vAlign w:val="center"/>
          </w:tcPr>
          <w:p w14:paraId="60179606" w14:textId="77777777" w:rsidR="00501E02" w:rsidRPr="00861AAF" w:rsidRDefault="00501E02" w:rsidP="002C489F">
            <w:pPr>
              <w:jc w:val="right"/>
              <w:rPr>
                <w:rFonts w:ascii="Arial Narrow" w:hAnsi="Arial Narrow" w:cs="Arial"/>
                <w:color w:val="000000"/>
                <w:sz w:val="18"/>
                <w:szCs w:val="18"/>
              </w:rPr>
            </w:pPr>
            <w:r>
              <w:rPr>
                <w:rFonts w:ascii="Arial Narrow" w:hAnsi="Arial Narrow"/>
                <w:color w:val="000000"/>
                <w:sz w:val="18"/>
                <w:szCs w:val="18"/>
              </w:rPr>
              <w:t>3</w:t>
            </w:r>
            <w:r w:rsidRPr="00861AAF">
              <w:rPr>
                <w:rFonts w:ascii="Arial Narrow" w:hAnsi="Arial Narrow"/>
                <w:color w:val="000000"/>
                <w:sz w:val="18"/>
                <w:szCs w:val="18"/>
              </w:rPr>
              <w:t>.</w:t>
            </w:r>
            <w:r>
              <w:rPr>
                <w:rFonts w:ascii="Arial Narrow" w:hAnsi="Arial Narrow"/>
                <w:color w:val="000000"/>
                <w:sz w:val="18"/>
                <w:szCs w:val="18"/>
              </w:rPr>
              <w:t>652</w:t>
            </w:r>
          </w:p>
        </w:tc>
        <w:tc>
          <w:tcPr>
            <w:tcW w:w="2551" w:type="dxa"/>
            <w:tcBorders>
              <w:top w:val="nil"/>
              <w:left w:val="nil"/>
              <w:bottom w:val="single" w:sz="8" w:space="0" w:color="333333"/>
              <w:right w:val="nil"/>
            </w:tcBorders>
            <w:shd w:val="clear" w:color="auto" w:fill="auto"/>
            <w:vAlign w:val="center"/>
          </w:tcPr>
          <w:p w14:paraId="03E35CD1" w14:textId="77777777" w:rsidR="00501E02" w:rsidRPr="00861AAF" w:rsidRDefault="00501E02" w:rsidP="002C489F">
            <w:pPr>
              <w:jc w:val="right"/>
              <w:rPr>
                <w:rFonts w:ascii="Arial Narrow" w:hAnsi="Arial Narrow" w:cs="Arial"/>
                <w:color w:val="000000"/>
                <w:sz w:val="18"/>
                <w:szCs w:val="18"/>
              </w:rPr>
            </w:pPr>
            <w:r>
              <w:rPr>
                <w:rFonts w:ascii="Arial Narrow" w:hAnsi="Arial Narrow"/>
                <w:color w:val="000000"/>
                <w:sz w:val="18"/>
                <w:szCs w:val="18"/>
              </w:rPr>
              <w:t>2</w:t>
            </w:r>
            <w:r w:rsidRPr="00861AAF">
              <w:rPr>
                <w:rFonts w:ascii="Arial Narrow" w:hAnsi="Arial Narrow"/>
                <w:color w:val="000000"/>
                <w:sz w:val="18"/>
                <w:szCs w:val="18"/>
              </w:rPr>
              <w:t>.</w:t>
            </w:r>
            <w:r>
              <w:rPr>
                <w:rFonts w:ascii="Arial Narrow" w:hAnsi="Arial Narrow"/>
                <w:color w:val="000000"/>
                <w:sz w:val="18"/>
                <w:szCs w:val="18"/>
              </w:rPr>
              <w:t>196</w:t>
            </w:r>
          </w:p>
        </w:tc>
        <w:tc>
          <w:tcPr>
            <w:tcW w:w="2551" w:type="dxa"/>
            <w:tcBorders>
              <w:top w:val="nil"/>
              <w:left w:val="nil"/>
              <w:bottom w:val="single" w:sz="8" w:space="0" w:color="333333"/>
              <w:right w:val="nil"/>
            </w:tcBorders>
            <w:shd w:val="clear" w:color="auto" w:fill="D9D9D9"/>
            <w:vAlign w:val="center"/>
          </w:tcPr>
          <w:p w14:paraId="446C8256" w14:textId="77777777" w:rsidR="00501E02" w:rsidRPr="00861AAF" w:rsidRDefault="00501E02" w:rsidP="002C489F">
            <w:pPr>
              <w:jc w:val="right"/>
              <w:rPr>
                <w:rFonts w:ascii="Arial Narrow" w:hAnsi="Arial Narrow" w:cs="Arial"/>
                <w:color w:val="000000"/>
                <w:sz w:val="18"/>
                <w:szCs w:val="18"/>
              </w:rPr>
            </w:pPr>
            <w:r>
              <w:rPr>
                <w:rFonts w:ascii="Arial Narrow" w:hAnsi="Arial Narrow"/>
                <w:color w:val="000000"/>
                <w:sz w:val="18"/>
                <w:szCs w:val="18"/>
              </w:rPr>
              <w:t>2</w:t>
            </w:r>
            <w:r w:rsidRPr="00861AAF">
              <w:rPr>
                <w:rFonts w:ascii="Arial Narrow" w:hAnsi="Arial Narrow"/>
                <w:color w:val="000000"/>
                <w:sz w:val="18"/>
                <w:szCs w:val="18"/>
              </w:rPr>
              <w:t>.</w:t>
            </w:r>
            <w:r>
              <w:rPr>
                <w:rFonts w:ascii="Arial Narrow" w:hAnsi="Arial Narrow"/>
                <w:color w:val="000000"/>
                <w:sz w:val="18"/>
                <w:szCs w:val="18"/>
              </w:rPr>
              <w:t>087</w:t>
            </w:r>
          </w:p>
        </w:tc>
      </w:tr>
      <w:tr w:rsidR="00501E02" w:rsidRPr="00861AAF" w14:paraId="1D626E37" w14:textId="77777777" w:rsidTr="002C489F">
        <w:trPr>
          <w:trHeight w:val="255"/>
        </w:trPr>
        <w:tc>
          <w:tcPr>
            <w:tcW w:w="2551" w:type="dxa"/>
            <w:tcBorders>
              <w:top w:val="nil"/>
              <w:left w:val="nil"/>
              <w:bottom w:val="single" w:sz="8" w:space="0" w:color="333333"/>
              <w:right w:val="nil"/>
            </w:tcBorders>
            <w:shd w:val="clear" w:color="auto" w:fill="auto"/>
            <w:vAlign w:val="center"/>
            <w:hideMark/>
          </w:tcPr>
          <w:p w14:paraId="17B51D0A" w14:textId="77777777" w:rsidR="00501E02" w:rsidRPr="00861AAF" w:rsidRDefault="00501E02" w:rsidP="002C489F">
            <w:pPr>
              <w:rPr>
                <w:rFonts w:ascii="Arial Narrow" w:hAnsi="Arial Narrow" w:cs="Arial"/>
                <w:color w:val="000000"/>
                <w:sz w:val="18"/>
                <w:szCs w:val="18"/>
              </w:rPr>
            </w:pPr>
            <w:r w:rsidRPr="00861AAF">
              <w:rPr>
                <w:rFonts w:ascii="Arial Narrow" w:hAnsi="Arial Narrow" w:cs="Arial"/>
                <w:color w:val="000000"/>
                <w:sz w:val="18"/>
                <w:szCs w:val="18"/>
              </w:rPr>
              <w:t>Prezzi</w:t>
            </w:r>
          </w:p>
        </w:tc>
        <w:tc>
          <w:tcPr>
            <w:tcW w:w="2494" w:type="dxa"/>
            <w:tcBorders>
              <w:top w:val="nil"/>
              <w:left w:val="nil"/>
              <w:bottom w:val="single" w:sz="8" w:space="0" w:color="333333"/>
              <w:right w:val="nil"/>
            </w:tcBorders>
            <w:shd w:val="clear" w:color="auto" w:fill="D9D9D9"/>
            <w:vAlign w:val="center"/>
          </w:tcPr>
          <w:p w14:paraId="1A27B871" w14:textId="77777777" w:rsidR="00501E02" w:rsidRPr="00861AAF" w:rsidRDefault="00501E02" w:rsidP="002C489F">
            <w:pPr>
              <w:jc w:val="right"/>
              <w:rPr>
                <w:rFonts w:ascii="Arial Narrow" w:hAnsi="Arial Narrow" w:cs="Arial"/>
                <w:color w:val="000000"/>
                <w:sz w:val="18"/>
                <w:szCs w:val="18"/>
              </w:rPr>
            </w:pPr>
            <w:r>
              <w:rPr>
                <w:rFonts w:ascii="Arial Narrow" w:hAnsi="Arial Narrow"/>
                <w:color w:val="000000"/>
                <w:sz w:val="18"/>
                <w:szCs w:val="18"/>
              </w:rPr>
              <w:t>10</w:t>
            </w:r>
            <w:r w:rsidRPr="00861AAF">
              <w:rPr>
                <w:rFonts w:ascii="Arial Narrow" w:hAnsi="Arial Narrow"/>
                <w:color w:val="000000"/>
                <w:sz w:val="18"/>
                <w:szCs w:val="18"/>
              </w:rPr>
              <w:t>.1</w:t>
            </w:r>
            <w:r>
              <w:rPr>
                <w:rFonts w:ascii="Arial Narrow" w:hAnsi="Arial Narrow"/>
                <w:color w:val="000000"/>
                <w:sz w:val="18"/>
                <w:szCs w:val="18"/>
              </w:rPr>
              <w:t>64</w:t>
            </w:r>
          </w:p>
        </w:tc>
        <w:tc>
          <w:tcPr>
            <w:tcW w:w="2551" w:type="dxa"/>
            <w:tcBorders>
              <w:top w:val="nil"/>
              <w:left w:val="nil"/>
              <w:bottom w:val="single" w:sz="8" w:space="0" w:color="333333"/>
              <w:right w:val="nil"/>
            </w:tcBorders>
            <w:shd w:val="clear" w:color="auto" w:fill="auto"/>
            <w:vAlign w:val="center"/>
          </w:tcPr>
          <w:p w14:paraId="00DB762F" w14:textId="77777777" w:rsidR="00501E02" w:rsidRPr="00861AAF" w:rsidRDefault="00501E02" w:rsidP="002C489F">
            <w:pPr>
              <w:jc w:val="right"/>
              <w:rPr>
                <w:rFonts w:ascii="Arial Narrow" w:hAnsi="Arial Narrow" w:cs="Arial"/>
                <w:color w:val="000000"/>
                <w:sz w:val="18"/>
                <w:szCs w:val="18"/>
              </w:rPr>
            </w:pPr>
            <w:r>
              <w:rPr>
                <w:rFonts w:ascii="Arial Narrow" w:hAnsi="Arial Narrow"/>
                <w:color w:val="000000"/>
                <w:sz w:val="18"/>
                <w:szCs w:val="18"/>
              </w:rPr>
              <w:t>5</w:t>
            </w:r>
            <w:r w:rsidRPr="00861AAF">
              <w:rPr>
                <w:rFonts w:ascii="Arial Narrow" w:hAnsi="Arial Narrow"/>
                <w:color w:val="000000"/>
                <w:sz w:val="18"/>
                <w:szCs w:val="18"/>
              </w:rPr>
              <w:t>.</w:t>
            </w:r>
            <w:r>
              <w:rPr>
                <w:rFonts w:ascii="Arial Narrow" w:hAnsi="Arial Narrow"/>
                <w:color w:val="000000"/>
                <w:sz w:val="18"/>
                <w:szCs w:val="18"/>
              </w:rPr>
              <w:t>465</w:t>
            </w:r>
          </w:p>
        </w:tc>
        <w:tc>
          <w:tcPr>
            <w:tcW w:w="2551" w:type="dxa"/>
            <w:tcBorders>
              <w:top w:val="nil"/>
              <w:left w:val="nil"/>
              <w:bottom w:val="single" w:sz="8" w:space="0" w:color="333333"/>
              <w:right w:val="nil"/>
            </w:tcBorders>
            <w:shd w:val="clear" w:color="auto" w:fill="D9D9D9"/>
            <w:vAlign w:val="center"/>
          </w:tcPr>
          <w:p w14:paraId="7E51A636" w14:textId="77777777" w:rsidR="00501E02" w:rsidRPr="00861AAF" w:rsidRDefault="00501E02" w:rsidP="002C489F">
            <w:pPr>
              <w:jc w:val="right"/>
              <w:rPr>
                <w:rFonts w:ascii="Arial Narrow" w:hAnsi="Arial Narrow" w:cs="Arial"/>
                <w:color w:val="000000"/>
                <w:sz w:val="18"/>
                <w:szCs w:val="18"/>
              </w:rPr>
            </w:pPr>
            <w:r w:rsidRPr="00861AAF">
              <w:rPr>
                <w:rFonts w:ascii="Arial Narrow" w:hAnsi="Arial Narrow"/>
                <w:color w:val="000000"/>
                <w:sz w:val="18"/>
                <w:szCs w:val="18"/>
              </w:rPr>
              <w:t>4.</w:t>
            </w:r>
            <w:r>
              <w:rPr>
                <w:rFonts w:ascii="Arial Narrow" w:hAnsi="Arial Narrow"/>
                <w:color w:val="000000"/>
                <w:sz w:val="18"/>
                <w:szCs w:val="18"/>
              </w:rPr>
              <w:t>699</w:t>
            </w:r>
          </w:p>
        </w:tc>
      </w:tr>
    </w:tbl>
    <w:p w14:paraId="6D73B5E6" w14:textId="77777777" w:rsidR="00501E02" w:rsidRPr="00861AAF" w:rsidRDefault="00501E02" w:rsidP="00501E02">
      <w:pPr>
        <w:spacing w:before="120" w:after="120"/>
        <w:jc w:val="both"/>
        <w:rPr>
          <w:rFonts w:ascii="Arial" w:hAnsi="Arial" w:cs="Arial"/>
          <w:b/>
          <w:sz w:val="22"/>
          <w:szCs w:val="22"/>
        </w:rPr>
      </w:pPr>
    </w:p>
    <w:p w14:paraId="0B161C23" w14:textId="77777777" w:rsidR="00501E02" w:rsidRPr="00C9631A" w:rsidRDefault="00501E02" w:rsidP="00501E02">
      <w:pPr>
        <w:spacing w:after="120"/>
        <w:jc w:val="both"/>
        <w:rPr>
          <w:rFonts w:ascii="Arial" w:hAnsi="Arial" w:cs="Arial"/>
          <w:b/>
          <w:bCs/>
          <w:sz w:val="20"/>
          <w:szCs w:val="20"/>
        </w:rPr>
      </w:pPr>
      <w:r w:rsidRPr="00C9631A">
        <w:rPr>
          <w:rFonts w:ascii="Arial" w:hAnsi="Arial" w:cs="Arial"/>
          <w:b/>
          <w:bCs/>
          <w:sz w:val="20"/>
          <w:szCs w:val="20"/>
        </w:rPr>
        <w:t>Raccolta e controllo di qualità dei dati</w:t>
      </w:r>
    </w:p>
    <w:p w14:paraId="6A422DA0" w14:textId="77777777" w:rsidR="00501E02" w:rsidRDefault="00501E02" w:rsidP="00501E02">
      <w:pPr>
        <w:spacing w:after="120"/>
        <w:jc w:val="both"/>
        <w:rPr>
          <w:rFonts w:ascii="Arial" w:hAnsi="Arial" w:cs="Arial"/>
          <w:bCs/>
          <w:sz w:val="20"/>
          <w:szCs w:val="20"/>
        </w:rPr>
      </w:pPr>
      <w:r w:rsidRPr="00C9631A">
        <w:rPr>
          <w:rFonts w:ascii="Arial" w:hAnsi="Arial" w:cs="Arial"/>
          <w:bCs/>
          <w:sz w:val="20"/>
          <w:szCs w:val="20"/>
        </w:rPr>
        <w:t xml:space="preserve">La raccolta delle informazioni statistiche avviene mediante auto-compilazione del questionario elettronico disponibile all’interno del Portale statistico delle imprese, il sistema introdotto dall'Istat per la semplificazione degli adempimenti statistici delle imprese coinvolte nelle rilevazioni economiche. </w:t>
      </w:r>
    </w:p>
    <w:p w14:paraId="087B1A84" w14:textId="3E285E07" w:rsidR="0026239E" w:rsidRDefault="00501E02" w:rsidP="00501E02">
      <w:pPr>
        <w:pStyle w:val="Testocorrente"/>
        <w:keepNext w:val="0"/>
        <w:tabs>
          <w:tab w:val="left" w:pos="0"/>
        </w:tabs>
        <w:spacing w:after="120"/>
        <w:rPr>
          <w:rFonts w:ascii="Arial" w:hAnsi="Arial" w:cs="Arial"/>
          <w:b w:val="0"/>
          <w:i w:val="0"/>
          <w:sz w:val="20"/>
          <w:lang w:val="it-IT"/>
        </w:rPr>
      </w:pPr>
      <w:r w:rsidRPr="00DB2D37">
        <w:rPr>
          <w:rFonts w:ascii="Arial" w:hAnsi="Arial" w:cs="Arial"/>
          <w:b w:val="0"/>
          <w:i w:val="0"/>
          <w:sz w:val="20"/>
          <w:lang w:val="it-IT"/>
        </w:rPr>
        <w:t>Dall’edizione 2022, l’indagine si avvale della nuova piattaforma informatica integrata (nuovo questionario, nuovo software gestionale e nuov</w:t>
      </w:r>
      <w:r w:rsidR="0026239E">
        <w:rPr>
          <w:rFonts w:ascii="Arial" w:hAnsi="Arial" w:cs="Arial"/>
          <w:b w:val="0"/>
          <w:i w:val="0"/>
          <w:sz w:val="20"/>
          <w:lang w:val="it-IT"/>
        </w:rPr>
        <w:t>i</w:t>
      </w:r>
      <w:r w:rsidRPr="00DB2D37">
        <w:rPr>
          <w:rFonts w:ascii="Arial" w:hAnsi="Arial" w:cs="Arial"/>
          <w:b w:val="0"/>
          <w:i w:val="0"/>
          <w:sz w:val="20"/>
          <w:lang w:val="it-IT"/>
        </w:rPr>
        <w:t xml:space="preserve"> data base), denominata SINTESI, </w:t>
      </w:r>
      <w:r w:rsidR="0026239E" w:rsidRPr="0026239E">
        <w:rPr>
          <w:rFonts w:ascii="Arial" w:hAnsi="Arial" w:cs="Arial"/>
          <w:b w:val="0"/>
          <w:i w:val="0"/>
          <w:sz w:val="20"/>
          <w:lang w:val="it-IT"/>
        </w:rPr>
        <w:t>progettata e sviluppata internamente all’Istituto nell’ambito del progetto di modernizzazione/unificazione di metodi e strumenti per la gestione e conduzione dei processi di produzione delle indagini congiunturali sulle imprese</w:t>
      </w:r>
      <w:r w:rsidR="0026239E">
        <w:rPr>
          <w:rFonts w:ascii="Arial" w:hAnsi="Arial" w:cs="Arial"/>
          <w:b w:val="0"/>
          <w:i w:val="0"/>
          <w:sz w:val="20"/>
          <w:lang w:val="it-IT"/>
        </w:rPr>
        <w:t>.</w:t>
      </w:r>
    </w:p>
    <w:p w14:paraId="4C40A3D3" w14:textId="77777777" w:rsidR="00501E02" w:rsidRDefault="00501E02" w:rsidP="00501E02">
      <w:pPr>
        <w:spacing w:after="120"/>
        <w:jc w:val="both"/>
        <w:rPr>
          <w:rFonts w:ascii="Arial" w:hAnsi="Arial" w:cs="Arial"/>
          <w:bCs/>
          <w:sz w:val="20"/>
          <w:szCs w:val="20"/>
        </w:rPr>
      </w:pPr>
      <w:r w:rsidRPr="00C9631A">
        <w:rPr>
          <w:rFonts w:ascii="Arial" w:hAnsi="Arial" w:cs="Arial"/>
          <w:bCs/>
          <w:sz w:val="20"/>
          <w:szCs w:val="20"/>
        </w:rPr>
        <w:t xml:space="preserve">La modalità di compilazione per via telematica favorisce la tempestività della rilevazione dei dati e la qualità delle informazioni raccolte, poiché prevede un programma di </w:t>
      </w:r>
      <w:r w:rsidRPr="00C9631A">
        <w:rPr>
          <w:rFonts w:ascii="Arial" w:hAnsi="Arial" w:cs="Arial"/>
          <w:bCs/>
          <w:i/>
          <w:sz w:val="20"/>
          <w:szCs w:val="20"/>
        </w:rPr>
        <w:t>check</w:t>
      </w:r>
      <w:r w:rsidRPr="00C9631A">
        <w:rPr>
          <w:rFonts w:ascii="Arial" w:hAnsi="Arial" w:cs="Arial"/>
          <w:bCs/>
          <w:sz w:val="20"/>
          <w:szCs w:val="20"/>
        </w:rPr>
        <w:t xml:space="preserve"> automatico che segnala direttamente al rispondente eventuali risposte incompatibili, errori di coerenza, incongruenze e omissioni, che possono essere risolti nel corso della stessa compilazione.</w:t>
      </w:r>
    </w:p>
    <w:p w14:paraId="66D9A453" w14:textId="05F9382E" w:rsidR="00501E02" w:rsidRPr="00C9631A" w:rsidRDefault="00501E02" w:rsidP="00501E02">
      <w:pPr>
        <w:spacing w:after="120"/>
        <w:jc w:val="both"/>
        <w:rPr>
          <w:rFonts w:ascii="Arial" w:hAnsi="Arial" w:cs="Arial"/>
          <w:bCs/>
          <w:sz w:val="20"/>
          <w:szCs w:val="20"/>
        </w:rPr>
      </w:pPr>
      <w:r w:rsidRPr="00C9631A">
        <w:rPr>
          <w:rFonts w:ascii="Arial" w:hAnsi="Arial" w:cs="Arial"/>
          <w:bCs/>
          <w:sz w:val="20"/>
          <w:szCs w:val="20"/>
        </w:rPr>
        <w:t xml:space="preserve">I dati possono essere inviati dal </w:t>
      </w:r>
      <w:r>
        <w:rPr>
          <w:rFonts w:ascii="Arial" w:hAnsi="Arial" w:cs="Arial"/>
          <w:bCs/>
          <w:sz w:val="20"/>
          <w:szCs w:val="20"/>
        </w:rPr>
        <w:t>primo</w:t>
      </w:r>
      <w:r w:rsidRPr="00C9631A">
        <w:rPr>
          <w:rFonts w:ascii="Arial" w:hAnsi="Arial" w:cs="Arial"/>
          <w:bCs/>
          <w:sz w:val="20"/>
          <w:szCs w:val="20"/>
        </w:rPr>
        <w:t xml:space="preserve"> giorno dopo la fine del mese di riferimento</w:t>
      </w:r>
      <w:r>
        <w:rPr>
          <w:rFonts w:ascii="Arial" w:hAnsi="Arial" w:cs="Arial"/>
          <w:bCs/>
          <w:sz w:val="20"/>
          <w:szCs w:val="20"/>
        </w:rPr>
        <w:t xml:space="preserve"> e</w:t>
      </w:r>
      <w:r w:rsidRPr="00C9631A">
        <w:rPr>
          <w:rFonts w:ascii="Arial" w:hAnsi="Arial" w:cs="Arial"/>
          <w:bCs/>
          <w:sz w:val="20"/>
          <w:szCs w:val="20"/>
        </w:rPr>
        <w:t xml:space="preserve"> la trasmissione </w:t>
      </w:r>
      <w:r>
        <w:rPr>
          <w:rFonts w:ascii="Arial" w:hAnsi="Arial" w:cs="Arial"/>
          <w:bCs/>
          <w:sz w:val="20"/>
          <w:szCs w:val="20"/>
        </w:rPr>
        <w:t xml:space="preserve">deve </w:t>
      </w:r>
      <w:r w:rsidR="00AB0189">
        <w:rPr>
          <w:rFonts w:ascii="Arial" w:hAnsi="Arial" w:cs="Arial"/>
          <w:bCs/>
          <w:sz w:val="20"/>
          <w:szCs w:val="20"/>
        </w:rPr>
        <w:t>essere effettuata</w:t>
      </w:r>
      <w:r w:rsidRPr="00EE3D7B">
        <w:rPr>
          <w:rFonts w:ascii="Arial" w:hAnsi="Arial" w:cs="Arial"/>
          <w:bCs/>
          <w:sz w:val="20"/>
          <w:szCs w:val="20"/>
        </w:rPr>
        <w:t xml:space="preserve"> entro le date di</w:t>
      </w:r>
      <w:r>
        <w:rPr>
          <w:rFonts w:ascii="Arial" w:hAnsi="Arial" w:cs="Arial"/>
          <w:bCs/>
          <w:sz w:val="20"/>
          <w:szCs w:val="20"/>
        </w:rPr>
        <w:t xml:space="preserve"> indicate nella lettera informativa</w:t>
      </w:r>
      <w:r w:rsidRPr="00EE3D7B">
        <w:rPr>
          <w:rFonts w:ascii="Arial" w:hAnsi="Arial" w:cs="Arial"/>
          <w:bCs/>
          <w:sz w:val="20"/>
          <w:szCs w:val="20"/>
        </w:rPr>
        <w:t xml:space="preserve"> </w:t>
      </w:r>
      <w:r w:rsidRPr="00C9631A">
        <w:rPr>
          <w:rFonts w:ascii="Arial" w:hAnsi="Arial" w:cs="Arial"/>
          <w:bCs/>
          <w:sz w:val="20"/>
          <w:szCs w:val="20"/>
        </w:rPr>
        <w:t>al fine di poter rispettare le scadenze dei regolamenti europei</w:t>
      </w:r>
      <w:r>
        <w:rPr>
          <w:rFonts w:ascii="Arial" w:hAnsi="Arial" w:cs="Arial"/>
          <w:bCs/>
          <w:sz w:val="20"/>
          <w:szCs w:val="20"/>
        </w:rPr>
        <w:t>.</w:t>
      </w:r>
      <w:r w:rsidRPr="00C9631A">
        <w:rPr>
          <w:rFonts w:ascii="Arial" w:hAnsi="Arial" w:cs="Arial"/>
          <w:bCs/>
          <w:sz w:val="20"/>
          <w:szCs w:val="20"/>
        </w:rPr>
        <w:t xml:space="preserve"> </w:t>
      </w:r>
      <w:r>
        <w:rPr>
          <w:rFonts w:ascii="Arial" w:hAnsi="Arial" w:cs="Arial"/>
          <w:bCs/>
          <w:sz w:val="20"/>
          <w:szCs w:val="20"/>
        </w:rPr>
        <w:t>S</w:t>
      </w:r>
      <w:r w:rsidRPr="00C9631A">
        <w:rPr>
          <w:rFonts w:ascii="Arial" w:hAnsi="Arial" w:cs="Arial"/>
          <w:bCs/>
          <w:sz w:val="20"/>
          <w:szCs w:val="20"/>
        </w:rPr>
        <w:t>uccessivamente sono previste operazioni di sollecito e contatto delle unità non rispondenti al fine di aumentare la copertura delle stime provvisorie e definitive.</w:t>
      </w:r>
    </w:p>
    <w:p w14:paraId="4681F9B7" w14:textId="674296A4" w:rsidR="00501E02" w:rsidRDefault="00501E02" w:rsidP="00501E02">
      <w:pPr>
        <w:spacing w:after="120"/>
        <w:jc w:val="both"/>
        <w:rPr>
          <w:rFonts w:ascii="Arial" w:hAnsi="Arial" w:cs="Arial"/>
          <w:bCs/>
          <w:sz w:val="20"/>
          <w:szCs w:val="20"/>
        </w:rPr>
      </w:pPr>
      <w:r w:rsidRPr="00C9631A">
        <w:rPr>
          <w:rFonts w:ascii="Arial" w:hAnsi="Arial" w:cs="Arial"/>
          <w:bCs/>
          <w:sz w:val="20"/>
          <w:szCs w:val="20"/>
        </w:rPr>
        <w:t xml:space="preserve">Il questionario è di tipo chiuso, riporta prestampato l’elenco dei prodotti sottoposti a osservazione; l’impresa, coerentemente con la denominazione del prodotto assegnato, individua le </w:t>
      </w:r>
      <w:r w:rsidRPr="00C9631A">
        <w:rPr>
          <w:rFonts w:ascii="Arial" w:hAnsi="Arial" w:cs="Arial"/>
          <w:bCs/>
          <w:i/>
          <w:sz w:val="20"/>
          <w:szCs w:val="20"/>
        </w:rPr>
        <w:t>tipologie di prodotto</w:t>
      </w:r>
      <w:r w:rsidRPr="00C9631A">
        <w:rPr>
          <w:rFonts w:ascii="Arial" w:hAnsi="Arial" w:cs="Arial"/>
          <w:bCs/>
          <w:sz w:val="20"/>
          <w:szCs w:val="20"/>
        </w:rPr>
        <w:t xml:space="preserve"> maggiormente rappresentative delle importazioni dell’impresa per le quali sia possibile determinare regolarmente un prezzo di </w:t>
      </w:r>
      <w:r>
        <w:rPr>
          <w:rFonts w:ascii="Arial" w:hAnsi="Arial" w:cs="Arial"/>
          <w:bCs/>
          <w:sz w:val="20"/>
          <w:szCs w:val="20"/>
        </w:rPr>
        <w:t>a</w:t>
      </w:r>
      <w:r w:rsidRPr="00C9631A">
        <w:rPr>
          <w:rFonts w:ascii="Arial" w:hAnsi="Arial" w:cs="Arial"/>
          <w:bCs/>
          <w:sz w:val="20"/>
          <w:szCs w:val="20"/>
        </w:rPr>
        <w:t xml:space="preserve">cquisto nel tempo. </w:t>
      </w:r>
    </w:p>
    <w:p w14:paraId="425606EE" w14:textId="77777777" w:rsidR="00874F65" w:rsidRDefault="00874F65" w:rsidP="00501E02">
      <w:pPr>
        <w:spacing w:after="120"/>
        <w:jc w:val="both"/>
        <w:rPr>
          <w:rFonts w:ascii="Arial" w:hAnsi="Arial" w:cs="Arial"/>
          <w:bCs/>
          <w:sz w:val="20"/>
          <w:szCs w:val="20"/>
        </w:rPr>
      </w:pPr>
    </w:p>
    <w:p w14:paraId="0355BB19" w14:textId="1CFA1DCD" w:rsidR="00501E02" w:rsidRPr="00C9631A" w:rsidRDefault="00501E02" w:rsidP="00501E02">
      <w:pPr>
        <w:spacing w:after="120"/>
        <w:jc w:val="both"/>
        <w:rPr>
          <w:rFonts w:ascii="Arial" w:hAnsi="Arial" w:cs="Arial"/>
          <w:bCs/>
          <w:sz w:val="20"/>
          <w:szCs w:val="20"/>
        </w:rPr>
      </w:pPr>
      <w:r w:rsidRPr="00C9631A">
        <w:rPr>
          <w:rFonts w:ascii="Arial" w:hAnsi="Arial" w:cs="Arial"/>
          <w:bCs/>
          <w:sz w:val="20"/>
          <w:szCs w:val="20"/>
        </w:rPr>
        <w:t xml:space="preserve">La variabile rilevata è il prezzo all’importazione ovvero un prezzo di acquisto di un prodotto ceduto da un operatore non residente da parte di un’impresa residente in Italia. </w:t>
      </w:r>
      <w:r w:rsidRPr="00C9631A">
        <w:rPr>
          <w:rFonts w:ascii="Arial" w:hAnsi="Arial" w:cs="Arial"/>
          <w:sz w:val="20"/>
          <w:szCs w:val="20"/>
        </w:rPr>
        <w:t xml:space="preserve">Si tratta di un prezzo di mercato o di transazione reale, cioè un prezzo che si riferisce a un acquisto effettivamente realizzato. I prezzi sono rilevati in euro secondo la clausola </w:t>
      </w:r>
      <w:proofErr w:type="spellStart"/>
      <w:r w:rsidRPr="00C9631A">
        <w:rPr>
          <w:rFonts w:ascii="Arial" w:hAnsi="Arial" w:cs="Arial"/>
          <w:iCs/>
          <w:sz w:val="20"/>
          <w:szCs w:val="20"/>
        </w:rPr>
        <w:t>Cif</w:t>
      </w:r>
      <w:proofErr w:type="spellEnd"/>
      <w:r w:rsidRPr="00C9631A">
        <w:rPr>
          <w:rFonts w:ascii="Arial" w:hAnsi="Arial" w:cs="Arial"/>
          <w:iCs/>
          <w:sz w:val="20"/>
          <w:szCs w:val="20"/>
        </w:rPr>
        <w:t xml:space="preserve"> </w:t>
      </w:r>
      <w:r w:rsidRPr="00C9631A">
        <w:rPr>
          <w:rFonts w:ascii="Arial" w:hAnsi="Arial" w:cs="Arial"/>
          <w:sz w:val="20"/>
          <w:szCs w:val="20"/>
        </w:rPr>
        <w:t xml:space="preserve">(costo, assicurazione e nolo) alla frontiera nazionale; sono al netto dell'Iva e di ogni altro onere a carico dell'acquirente. </w:t>
      </w:r>
    </w:p>
    <w:p w14:paraId="0AF76ADA"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L’importazione è il </w:t>
      </w:r>
      <w:r w:rsidRPr="00C9631A">
        <w:rPr>
          <w:rFonts w:ascii="Arial" w:hAnsi="Arial" w:cs="Arial"/>
          <w:iCs/>
          <w:sz w:val="20"/>
          <w:szCs w:val="20"/>
        </w:rPr>
        <w:t xml:space="preserve">valore della merce acquistata all’estero dalle imprese industriali e commerciali, valutato </w:t>
      </w:r>
      <w:proofErr w:type="spellStart"/>
      <w:r w:rsidRPr="00C9631A">
        <w:rPr>
          <w:rFonts w:ascii="Arial" w:hAnsi="Arial" w:cs="Arial"/>
          <w:iCs/>
          <w:sz w:val="20"/>
          <w:szCs w:val="20"/>
        </w:rPr>
        <w:t>Cif</w:t>
      </w:r>
      <w:proofErr w:type="spellEnd"/>
      <w:r w:rsidRPr="00C9631A">
        <w:rPr>
          <w:rFonts w:ascii="Arial" w:hAnsi="Arial" w:cs="Arial"/>
          <w:iCs/>
          <w:sz w:val="20"/>
          <w:szCs w:val="20"/>
        </w:rPr>
        <w:t xml:space="preserve"> e riferito ai soli regimi definitivi (cioè al netto delle importazioni temporanee e delle reimportazioni), distinto per area di importazione euro/non euro.</w:t>
      </w:r>
    </w:p>
    <w:p w14:paraId="50CAEC95" w14:textId="77777777" w:rsidR="00501E02" w:rsidRPr="00C9631A" w:rsidRDefault="00501E02" w:rsidP="00501E02">
      <w:pPr>
        <w:spacing w:after="120"/>
        <w:jc w:val="both"/>
        <w:rPr>
          <w:rFonts w:ascii="Arial" w:hAnsi="Arial" w:cs="Arial"/>
          <w:bCs/>
          <w:sz w:val="20"/>
          <w:szCs w:val="20"/>
        </w:rPr>
      </w:pPr>
      <w:r w:rsidRPr="00C9631A">
        <w:rPr>
          <w:rFonts w:ascii="Arial" w:hAnsi="Arial" w:cs="Arial"/>
          <w:bCs/>
          <w:sz w:val="20"/>
          <w:szCs w:val="20"/>
        </w:rPr>
        <w:t>I dati raccolti sono sottoposti a un processo di controllo e correzione con integrazione delle mancate risposte. In particolare, si verifica la compatibilità dei valori con l’informazione richiesta (prezzo all’importazione), la coerenza intertemporale dei dati, la presenza di valori anomali; la validazione dei dati può richiedere il ritorno sul rispondente al fine di sanare i problemi rilevati. I dati mancanti sono stimati utilizzando l’ultima informazione disponibile validata.</w:t>
      </w:r>
    </w:p>
    <w:p w14:paraId="13E30399" w14:textId="067692F0" w:rsidR="00501E02" w:rsidRDefault="00501E02" w:rsidP="00501E02">
      <w:pPr>
        <w:spacing w:after="120"/>
        <w:jc w:val="both"/>
        <w:rPr>
          <w:rFonts w:ascii="Arial" w:hAnsi="Arial" w:cs="Arial"/>
          <w:bCs/>
          <w:sz w:val="20"/>
          <w:szCs w:val="20"/>
        </w:rPr>
      </w:pPr>
      <w:r w:rsidRPr="00C9631A">
        <w:rPr>
          <w:rFonts w:ascii="Arial" w:hAnsi="Arial" w:cs="Arial"/>
          <w:bCs/>
          <w:sz w:val="20"/>
          <w:szCs w:val="20"/>
        </w:rPr>
        <w:t>I dati raccolti mensilmente sono elaborati sotto forma di numeri indici di prezzo e sono diffusi in forma aggregata.</w:t>
      </w:r>
    </w:p>
    <w:p w14:paraId="0DEFAF1F" w14:textId="13B21FAC" w:rsidR="007815EF" w:rsidRDefault="007815EF" w:rsidP="00501E02">
      <w:pPr>
        <w:spacing w:after="120"/>
        <w:jc w:val="both"/>
        <w:rPr>
          <w:rFonts w:ascii="Arial" w:hAnsi="Arial" w:cs="Arial"/>
          <w:bCs/>
          <w:sz w:val="20"/>
          <w:szCs w:val="20"/>
        </w:rPr>
      </w:pPr>
      <w:r w:rsidRPr="00C9631A">
        <w:rPr>
          <w:rFonts w:ascii="Arial" w:hAnsi="Arial" w:cs="Arial"/>
          <w:sz w:val="20"/>
          <w:szCs w:val="20"/>
        </w:rPr>
        <w:t xml:space="preserve">A partire dal mese di </w:t>
      </w:r>
      <w:r>
        <w:rPr>
          <w:rFonts w:ascii="Arial" w:hAnsi="Arial" w:cs="Arial"/>
          <w:sz w:val="20"/>
          <w:szCs w:val="20"/>
        </w:rPr>
        <w:t>gennaio 2022</w:t>
      </w:r>
      <w:r w:rsidRPr="00C9631A">
        <w:rPr>
          <w:rFonts w:ascii="Arial" w:hAnsi="Arial" w:cs="Arial"/>
          <w:sz w:val="20"/>
          <w:szCs w:val="20"/>
        </w:rPr>
        <w:t xml:space="preserve"> è stata implementata una nuova metodologia di </w:t>
      </w:r>
      <w:r>
        <w:rPr>
          <w:rFonts w:ascii="Arial" w:hAnsi="Arial" w:cs="Arial"/>
          <w:sz w:val="20"/>
          <w:szCs w:val="20"/>
        </w:rPr>
        <w:t xml:space="preserve">calcolo degli indici dei prezzi all’importazione per alcuni prodotti energetici </w:t>
      </w:r>
      <w:r w:rsidRPr="00C9631A">
        <w:rPr>
          <w:rFonts w:ascii="Arial" w:hAnsi="Arial" w:cs="Arial"/>
          <w:sz w:val="20"/>
          <w:szCs w:val="20"/>
        </w:rPr>
        <w:t xml:space="preserve">che si basa </w:t>
      </w:r>
      <w:r>
        <w:rPr>
          <w:rFonts w:ascii="Arial" w:hAnsi="Arial" w:cs="Arial"/>
          <w:sz w:val="20"/>
          <w:szCs w:val="20"/>
        </w:rPr>
        <w:t>sulle informazioni mensili desunte dai dati di commercio con l’estero.</w:t>
      </w:r>
    </w:p>
    <w:p w14:paraId="070DB48A" w14:textId="77777777" w:rsidR="00501E02" w:rsidRDefault="00501E02" w:rsidP="00501E02">
      <w:pPr>
        <w:spacing w:after="120"/>
        <w:jc w:val="both"/>
        <w:rPr>
          <w:rFonts w:ascii="Arial" w:hAnsi="Arial" w:cs="Arial"/>
          <w:b/>
          <w:sz w:val="20"/>
          <w:szCs w:val="20"/>
        </w:rPr>
      </w:pPr>
    </w:p>
    <w:p w14:paraId="33D3CF33" w14:textId="77777777" w:rsidR="00501E02" w:rsidRDefault="00501E02" w:rsidP="00501E02">
      <w:pPr>
        <w:spacing w:after="120"/>
        <w:jc w:val="both"/>
        <w:rPr>
          <w:rFonts w:ascii="Arial" w:hAnsi="Arial" w:cs="Arial"/>
          <w:b/>
          <w:sz w:val="20"/>
          <w:szCs w:val="20"/>
        </w:rPr>
      </w:pPr>
      <w:r>
        <w:rPr>
          <w:rFonts w:ascii="Arial" w:hAnsi="Arial" w:cs="Arial"/>
          <w:b/>
          <w:sz w:val="20"/>
          <w:szCs w:val="20"/>
        </w:rPr>
        <w:t xml:space="preserve">Metodologia di calcolo del sistema </w:t>
      </w:r>
      <w:r w:rsidRPr="00C9631A">
        <w:rPr>
          <w:rFonts w:ascii="Arial" w:hAnsi="Arial" w:cs="Arial"/>
          <w:b/>
          <w:sz w:val="20"/>
          <w:szCs w:val="20"/>
        </w:rPr>
        <w:t>degli indici</w:t>
      </w:r>
    </w:p>
    <w:p w14:paraId="5FC0B2CA" w14:textId="77777777" w:rsidR="00501E02" w:rsidRDefault="00501E02" w:rsidP="00501E02">
      <w:pPr>
        <w:spacing w:after="120"/>
        <w:jc w:val="both"/>
        <w:rPr>
          <w:rFonts w:ascii="Arial" w:hAnsi="Arial" w:cs="Arial"/>
          <w:sz w:val="20"/>
          <w:szCs w:val="20"/>
        </w:rPr>
      </w:pPr>
      <w:r>
        <w:rPr>
          <w:rFonts w:ascii="Arial" w:hAnsi="Arial" w:cs="Arial"/>
          <w:sz w:val="20"/>
          <w:szCs w:val="20"/>
        </w:rPr>
        <w:t>D</w:t>
      </w:r>
      <w:r w:rsidRPr="00994100">
        <w:rPr>
          <w:rFonts w:ascii="Arial" w:hAnsi="Arial" w:cs="Arial"/>
          <w:sz w:val="20"/>
          <w:szCs w:val="20"/>
        </w:rPr>
        <w:t>a marzo 2022, con la diffusione dei dati riferiti a gennaio</w:t>
      </w:r>
      <w:r>
        <w:rPr>
          <w:rFonts w:ascii="Arial" w:hAnsi="Arial" w:cs="Arial"/>
          <w:sz w:val="20"/>
          <w:szCs w:val="20"/>
        </w:rPr>
        <w:t xml:space="preserve"> 2022</w:t>
      </w:r>
      <w:r w:rsidRPr="00994100">
        <w:rPr>
          <w:rFonts w:ascii="Arial" w:hAnsi="Arial" w:cs="Arial"/>
          <w:sz w:val="20"/>
          <w:szCs w:val="20"/>
        </w:rPr>
        <w:t xml:space="preserve">, gli indici dei prezzi </w:t>
      </w:r>
      <w:r w:rsidRPr="00C9631A">
        <w:rPr>
          <w:rFonts w:ascii="Arial" w:hAnsi="Arial" w:cs="Arial"/>
          <w:sz w:val="20"/>
          <w:szCs w:val="20"/>
        </w:rPr>
        <w:t>all’importazione</w:t>
      </w:r>
      <w:r w:rsidRPr="00994100">
        <w:rPr>
          <w:rFonts w:ascii="Arial" w:hAnsi="Arial" w:cs="Arial"/>
          <w:sz w:val="20"/>
          <w:szCs w:val="20"/>
        </w:rPr>
        <w:t xml:space="preserve"> </w:t>
      </w:r>
      <w:r>
        <w:rPr>
          <w:rFonts w:ascii="Arial" w:hAnsi="Arial" w:cs="Arial"/>
          <w:sz w:val="20"/>
          <w:szCs w:val="20"/>
        </w:rPr>
        <w:t>sono calcolati con il metodo del concatenamento annuale su base mensile; s</w:t>
      </w:r>
      <w:r w:rsidRPr="00994100">
        <w:rPr>
          <w:rFonts w:ascii="Arial" w:hAnsi="Arial" w:cs="Arial"/>
          <w:sz w:val="20"/>
          <w:szCs w:val="20"/>
        </w:rPr>
        <w:t xml:space="preserve">ono </w:t>
      </w:r>
      <w:r>
        <w:rPr>
          <w:rFonts w:ascii="Arial" w:hAnsi="Arial" w:cs="Arial"/>
          <w:sz w:val="20"/>
          <w:szCs w:val="20"/>
        </w:rPr>
        <w:t xml:space="preserve">pertanto </w:t>
      </w:r>
      <w:r w:rsidRPr="00994100">
        <w:rPr>
          <w:rFonts w:ascii="Arial" w:hAnsi="Arial" w:cs="Arial"/>
          <w:sz w:val="20"/>
          <w:szCs w:val="20"/>
        </w:rPr>
        <w:t>elaborati in base di calcolo dicembre 2021</w:t>
      </w:r>
      <w:r>
        <w:rPr>
          <w:rFonts w:ascii="Arial" w:hAnsi="Arial" w:cs="Arial"/>
          <w:sz w:val="20"/>
          <w:szCs w:val="20"/>
        </w:rPr>
        <w:t>. La base di riferimento resta l’anno</w:t>
      </w:r>
      <w:r w:rsidRPr="00994100">
        <w:rPr>
          <w:rFonts w:ascii="Arial" w:hAnsi="Arial" w:cs="Arial"/>
          <w:sz w:val="20"/>
          <w:szCs w:val="20"/>
        </w:rPr>
        <w:t xml:space="preserve"> 2015.</w:t>
      </w:r>
    </w:p>
    <w:p w14:paraId="7E97D25C" w14:textId="77777777" w:rsidR="00501E02" w:rsidRPr="00994100" w:rsidRDefault="00501E02" w:rsidP="00501E02">
      <w:pPr>
        <w:spacing w:after="120"/>
        <w:jc w:val="both"/>
        <w:rPr>
          <w:rFonts w:ascii="Arial" w:hAnsi="Arial" w:cs="Arial"/>
          <w:sz w:val="20"/>
          <w:szCs w:val="20"/>
        </w:rPr>
      </w:pPr>
      <w:r>
        <w:rPr>
          <w:rFonts w:ascii="Arial" w:hAnsi="Arial" w:cs="Arial"/>
          <w:sz w:val="20"/>
          <w:szCs w:val="20"/>
        </w:rPr>
        <w:t>Il sistema degli indici dei prezzi all’importazione è costituito da due variabili rilevate – riferite all’Area euro e all’Area non euro – e da una variabile di sintesi – totale (Area euro più Area non euro).</w:t>
      </w:r>
    </w:p>
    <w:p w14:paraId="216E119A" w14:textId="6256BC1A" w:rsidR="00501E02" w:rsidRPr="00942E72" w:rsidRDefault="00501E02" w:rsidP="00501E02">
      <w:pPr>
        <w:spacing w:after="120"/>
        <w:jc w:val="both"/>
        <w:rPr>
          <w:rFonts w:ascii="Arial" w:hAnsi="Arial" w:cs="Arial"/>
          <w:sz w:val="20"/>
          <w:szCs w:val="20"/>
        </w:rPr>
      </w:pPr>
      <w:r w:rsidRPr="00994100">
        <w:rPr>
          <w:rFonts w:ascii="Arial" w:hAnsi="Arial" w:cs="Arial"/>
          <w:sz w:val="20"/>
          <w:szCs w:val="20"/>
        </w:rPr>
        <w:t xml:space="preserve">Le variabili rilevate si calcolano prima longitudinalmente (o per colonna: indici in base di calcolo) quindi per riga (indici in base di riferimento). La procedura di calcolo è articolata in tre livelli: nel primo si definiscono i prezzi relativi (rapporti tra i prezzi correnti e quelli base </w:t>
      </w:r>
      <w:r w:rsidR="00AB0189">
        <w:rPr>
          <w:rFonts w:ascii="Arial" w:hAnsi="Arial" w:cs="Arial"/>
          <w:sz w:val="20"/>
          <w:szCs w:val="20"/>
        </w:rPr>
        <w:t>d</w:t>
      </w:r>
      <w:r w:rsidRPr="00994100">
        <w:rPr>
          <w:rFonts w:ascii="Arial" w:hAnsi="Arial" w:cs="Arial"/>
          <w:sz w:val="20"/>
          <w:szCs w:val="20"/>
        </w:rPr>
        <w:t xml:space="preserve">icembre 2021). Nel secondo, si aggregano in media geometrica semplice i prezzi relativi associati ai prodotti. Nel terzo si aggregano in media aritmetica ponderata gli indici dei sotto-aggregati, dai </w:t>
      </w:r>
      <w:r w:rsidRPr="00942E72">
        <w:rPr>
          <w:rFonts w:ascii="Arial" w:hAnsi="Arial" w:cs="Arial"/>
          <w:sz w:val="20"/>
          <w:szCs w:val="20"/>
        </w:rPr>
        <w:t xml:space="preserve">prodotti all’indice generale (formula tipo </w:t>
      </w:r>
      <w:proofErr w:type="spellStart"/>
      <w:r w:rsidRPr="00942E72">
        <w:rPr>
          <w:rFonts w:ascii="Arial" w:hAnsi="Arial" w:cs="Arial"/>
          <w:sz w:val="20"/>
          <w:szCs w:val="20"/>
        </w:rPr>
        <w:t>Laspeyres</w:t>
      </w:r>
      <w:proofErr w:type="spellEnd"/>
      <w:r w:rsidRPr="00942E72">
        <w:rPr>
          <w:rFonts w:ascii="Arial" w:hAnsi="Arial" w:cs="Arial"/>
          <w:sz w:val="20"/>
          <w:szCs w:val="20"/>
        </w:rPr>
        <w:t xml:space="preserve"> concatenato). </w:t>
      </w:r>
    </w:p>
    <w:p w14:paraId="16A6164B" w14:textId="77777777" w:rsidR="00501E02" w:rsidRPr="00994100" w:rsidRDefault="00501E02" w:rsidP="00501E02">
      <w:pPr>
        <w:spacing w:after="120"/>
        <w:jc w:val="both"/>
        <w:rPr>
          <w:rFonts w:ascii="Arial" w:hAnsi="Arial" w:cs="Arial"/>
          <w:sz w:val="20"/>
          <w:szCs w:val="20"/>
        </w:rPr>
      </w:pPr>
      <w:r w:rsidRPr="00942E72">
        <w:rPr>
          <w:rFonts w:ascii="Arial" w:hAnsi="Arial" w:cs="Arial"/>
          <w:sz w:val="20"/>
          <w:szCs w:val="20"/>
        </w:rPr>
        <w:t>Gli indici in base di riferimento dell</w:t>
      </w:r>
      <w:r>
        <w:rPr>
          <w:rFonts w:ascii="Arial" w:hAnsi="Arial" w:cs="Arial"/>
          <w:sz w:val="20"/>
          <w:szCs w:val="20"/>
        </w:rPr>
        <w:t>a variabile di sintesi</w:t>
      </w:r>
      <w:r w:rsidRPr="00942E72">
        <w:rPr>
          <w:rFonts w:ascii="Arial" w:hAnsi="Arial" w:cs="Arial"/>
          <w:sz w:val="20"/>
          <w:szCs w:val="20"/>
        </w:rPr>
        <w:t xml:space="preserve"> si definiscono a partire dalla media aritmetica ponderata degli indici in base di calcolo delle variabili rilevate, utilizzando – per ciascun aggregato – un coefficiente di ponderazione derivato dai </w:t>
      </w:r>
      <w:proofErr w:type="spellStart"/>
      <w:r w:rsidRPr="00942E72">
        <w:rPr>
          <w:rFonts w:ascii="Arial" w:hAnsi="Arial" w:cs="Arial"/>
          <w:sz w:val="20"/>
          <w:szCs w:val="20"/>
        </w:rPr>
        <w:t>pesi</w:t>
      </w:r>
      <w:proofErr w:type="spellEnd"/>
      <w:r w:rsidRPr="00942E72">
        <w:rPr>
          <w:rFonts w:ascii="Arial" w:hAnsi="Arial" w:cs="Arial"/>
          <w:sz w:val="20"/>
          <w:szCs w:val="20"/>
        </w:rPr>
        <w:t xml:space="preserve"> assoluti. Ottenuto l’indice in base di calcolo, quello in base di riferimento si deriva con la formula di concatenamento. Gli indici sono concatenati a partire dagli aggregati a 4 cifre Ateco 2007.</w:t>
      </w:r>
    </w:p>
    <w:p w14:paraId="7AA77186" w14:textId="77777777" w:rsidR="00501E02" w:rsidRDefault="00501E02" w:rsidP="00501E02">
      <w:pPr>
        <w:spacing w:after="120"/>
        <w:jc w:val="both"/>
        <w:rPr>
          <w:rFonts w:ascii="Arial" w:hAnsi="Arial" w:cs="Arial"/>
          <w:color w:val="000000"/>
          <w:sz w:val="20"/>
          <w:szCs w:val="20"/>
        </w:rPr>
      </w:pPr>
    </w:p>
    <w:p w14:paraId="04BB1898"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Struttura di ponderazione</w:t>
      </w:r>
    </w:p>
    <w:p w14:paraId="18AB3CE3"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 sistemi di ponderazione degli indici dei prezzi dei prodotti industriali importati dalle imprese (Area euro e Area non euro) sono determinati utilizzando le informazioni desumibili dalle statistiche del commercio con l’estero.</w:t>
      </w:r>
    </w:p>
    <w:p w14:paraId="7C4B96BF"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La variabile utilizzata per la costruzione del sistema di ponderazione (a partire dalle voci di prodotto sino al totale dell’industria) è il valore annuale delle importazioni di prodotti industriali realizzato nell’anno 201</w:t>
      </w:r>
      <w:r>
        <w:rPr>
          <w:rFonts w:ascii="Arial" w:hAnsi="Arial" w:cs="Arial"/>
          <w:sz w:val="20"/>
          <w:szCs w:val="20"/>
        </w:rPr>
        <w:t>9</w:t>
      </w:r>
      <w:r w:rsidRPr="00C9631A">
        <w:rPr>
          <w:rFonts w:ascii="Arial" w:hAnsi="Arial" w:cs="Arial"/>
          <w:sz w:val="20"/>
          <w:szCs w:val="20"/>
        </w:rPr>
        <w:t xml:space="preserve"> nell’Area euro e nell’Area non euro, misurato dalle rilevazioni del commercio con l’estero a livello di merce (ovvero 8 cifre della Nomenclatura Combinata espressa secondo la classificazione CPA) per area di importazione (euro e non euro). </w:t>
      </w:r>
      <w:r>
        <w:rPr>
          <w:rFonts w:ascii="Arial" w:hAnsi="Arial" w:cs="Arial"/>
          <w:sz w:val="20"/>
          <w:szCs w:val="20"/>
        </w:rPr>
        <w:t>I valori 2019 sono stati attualizzati al mese di dicembre 2021.</w:t>
      </w:r>
    </w:p>
    <w:p w14:paraId="7AE305C2"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I valori riferiti alle statistiche del commercio con l’estero - espressi inizialmente secondo i codici della Nomenclatura Combinata - sono riportati alla codifica della classificazione </w:t>
      </w:r>
      <w:proofErr w:type="spellStart"/>
      <w:r w:rsidRPr="00C9631A">
        <w:rPr>
          <w:rFonts w:ascii="Arial" w:hAnsi="Arial" w:cs="Arial"/>
          <w:sz w:val="20"/>
          <w:szCs w:val="20"/>
        </w:rPr>
        <w:t>ProdCom</w:t>
      </w:r>
      <w:proofErr w:type="spellEnd"/>
      <w:r w:rsidRPr="00C9631A">
        <w:rPr>
          <w:rFonts w:ascii="Arial" w:hAnsi="Arial" w:cs="Arial"/>
          <w:sz w:val="20"/>
          <w:szCs w:val="20"/>
        </w:rPr>
        <w:t xml:space="preserve"> (nelle prime 4 cifre derivata dalla Ateco 2007) mediante le tavole di corrispondenza messe a punto da Eurostat.</w:t>
      </w:r>
    </w:p>
    <w:p w14:paraId="7260E4BA" w14:textId="3DC10C6C"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Per l’indice all’importazione totale (sintesi delle due aree), la struttura di ponderazione è definita per ciascun livello di aggregazione settoriale sulla base dei pesi relativi delle due aree.</w:t>
      </w:r>
    </w:p>
    <w:p w14:paraId="0A339A27"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 prodotti inclusi nel campione hanno pesi rappresentativi anche dei prodotti simili non selezionati e i loro indici sono espressi secondo la classificazione Ateco 2007.</w:t>
      </w:r>
    </w:p>
    <w:p w14:paraId="7D18B9C6" w14:textId="53593B22" w:rsidR="006A2C28" w:rsidRDefault="006A2C28" w:rsidP="006A2C28">
      <w:pPr>
        <w:jc w:val="both"/>
        <w:rPr>
          <w:rFonts w:ascii="Arial" w:hAnsi="Arial" w:cs="Arial"/>
          <w:b/>
          <w:bCs/>
          <w:sz w:val="20"/>
          <w:szCs w:val="20"/>
        </w:rPr>
      </w:pPr>
    </w:p>
    <w:p w14:paraId="213E7B7E" w14:textId="1D15883A" w:rsidR="00874F65" w:rsidRDefault="00874F65" w:rsidP="006A2C28">
      <w:pPr>
        <w:jc w:val="both"/>
        <w:rPr>
          <w:rFonts w:ascii="Arial" w:hAnsi="Arial" w:cs="Arial"/>
          <w:b/>
          <w:bCs/>
          <w:sz w:val="20"/>
          <w:szCs w:val="20"/>
        </w:rPr>
      </w:pPr>
    </w:p>
    <w:p w14:paraId="5E17CC65" w14:textId="77777777" w:rsidR="00874F65" w:rsidRDefault="00874F65" w:rsidP="006A2C28">
      <w:pPr>
        <w:jc w:val="both"/>
        <w:rPr>
          <w:rFonts w:ascii="Arial" w:hAnsi="Arial" w:cs="Arial"/>
          <w:b/>
          <w:bCs/>
          <w:sz w:val="20"/>
          <w:szCs w:val="20"/>
        </w:rPr>
      </w:pPr>
    </w:p>
    <w:p w14:paraId="3F0AE86E" w14:textId="77777777" w:rsidR="00874F65" w:rsidRDefault="00874F65" w:rsidP="00501E02">
      <w:pPr>
        <w:spacing w:after="120"/>
        <w:jc w:val="both"/>
        <w:rPr>
          <w:rFonts w:ascii="Arial" w:hAnsi="Arial" w:cs="Arial"/>
          <w:b/>
          <w:bCs/>
          <w:sz w:val="20"/>
          <w:szCs w:val="20"/>
        </w:rPr>
      </w:pPr>
    </w:p>
    <w:p w14:paraId="30D14A9A" w14:textId="4CFDC8BD" w:rsidR="00501E02" w:rsidRPr="00C9631A" w:rsidRDefault="00501E02" w:rsidP="00501E02">
      <w:pPr>
        <w:spacing w:after="120"/>
        <w:jc w:val="both"/>
        <w:rPr>
          <w:rFonts w:ascii="Arial" w:hAnsi="Arial" w:cs="Arial"/>
          <w:b/>
          <w:bCs/>
          <w:sz w:val="20"/>
          <w:szCs w:val="20"/>
        </w:rPr>
      </w:pPr>
      <w:r w:rsidRPr="00C9631A">
        <w:rPr>
          <w:rFonts w:ascii="Arial" w:hAnsi="Arial" w:cs="Arial"/>
          <w:b/>
          <w:bCs/>
          <w:sz w:val="20"/>
          <w:szCs w:val="20"/>
        </w:rPr>
        <w:t>Riservatezza</w:t>
      </w:r>
    </w:p>
    <w:p w14:paraId="6827B302" w14:textId="77777777" w:rsidR="00501E02" w:rsidRPr="00C9631A" w:rsidRDefault="00501E02" w:rsidP="00501E02">
      <w:pPr>
        <w:spacing w:after="120"/>
        <w:jc w:val="both"/>
        <w:rPr>
          <w:rFonts w:ascii="Arial" w:hAnsi="Arial" w:cs="Arial"/>
          <w:bCs/>
          <w:sz w:val="20"/>
          <w:szCs w:val="20"/>
        </w:rPr>
      </w:pPr>
      <w:r w:rsidRPr="00C9631A">
        <w:rPr>
          <w:rFonts w:ascii="Arial" w:hAnsi="Arial" w:cs="Arial"/>
          <w:bCs/>
          <w:sz w:val="20"/>
          <w:szCs w:val="20"/>
        </w:rPr>
        <w:t xml:space="preserve">I dati raccolti nell’ambito </w:t>
      </w:r>
      <w:r w:rsidRPr="00E660CB">
        <w:rPr>
          <w:rFonts w:ascii="Arial" w:hAnsi="Arial" w:cs="Arial"/>
          <w:bCs/>
          <w:sz w:val="20"/>
          <w:szCs w:val="20"/>
        </w:rPr>
        <w:t>della Rilevazione dei prezzi all’importazione</w:t>
      </w:r>
      <w:r w:rsidRPr="00C9631A">
        <w:rPr>
          <w:rFonts w:ascii="Arial" w:hAnsi="Arial" w:cs="Arial"/>
          <w:bCs/>
          <w:sz w:val="20"/>
          <w:szCs w:val="20"/>
        </w:rPr>
        <w:t xml:space="preserve"> sono tutelati dal segreto statistico (art. 9 d.lgs. n. 322/89) e sottoposti alla normativa relativa alla protezione e al trattamento dei dati personali (d.lgs. 30 giugno 2003, n. 196).</w:t>
      </w:r>
    </w:p>
    <w:p w14:paraId="560B555A" w14:textId="77777777" w:rsidR="00501E02" w:rsidRDefault="00501E02" w:rsidP="00501E02">
      <w:pPr>
        <w:spacing w:after="120"/>
        <w:jc w:val="both"/>
        <w:rPr>
          <w:rFonts w:ascii="Arial" w:hAnsi="Arial" w:cs="Arial"/>
          <w:b/>
          <w:bCs/>
          <w:sz w:val="21"/>
          <w:szCs w:val="21"/>
        </w:rPr>
      </w:pPr>
    </w:p>
    <w:p w14:paraId="0BD640AE" w14:textId="77777777" w:rsidR="00501E02" w:rsidRPr="001971DE" w:rsidRDefault="00501E02" w:rsidP="00501E02">
      <w:pPr>
        <w:spacing w:after="120"/>
        <w:jc w:val="both"/>
        <w:rPr>
          <w:rFonts w:ascii="Arial" w:hAnsi="Arial" w:cs="Arial"/>
          <w:b/>
          <w:bCs/>
          <w:sz w:val="21"/>
          <w:szCs w:val="21"/>
        </w:rPr>
      </w:pPr>
      <w:r w:rsidRPr="001971DE">
        <w:rPr>
          <w:rFonts w:ascii="Arial" w:hAnsi="Arial" w:cs="Arial"/>
          <w:b/>
          <w:bCs/>
          <w:sz w:val="21"/>
          <w:szCs w:val="21"/>
        </w:rPr>
        <w:t>Commercio estero e prezzi all’import: la diffusione dei dati</w:t>
      </w:r>
    </w:p>
    <w:p w14:paraId="357C04AA"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Tempestività del rilascio e revisione dei dati</w:t>
      </w:r>
    </w:p>
    <w:p w14:paraId="71CBC319" w14:textId="77777777" w:rsidR="00501E02" w:rsidRPr="00C9631A" w:rsidRDefault="00501E02" w:rsidP="00501E02">
      <w:pPr>
        <w:spacing w:after="120"/>
        <w:jc w:val="both"/>
        <w:rPr>
          <w:rFonts w:ascii="Arial" w:hAnsi="Arial" w:cs="Arial"/>
          <w:bCs/>
          <w:sz w:val="20"/>
          <w:szCs w:val="20"/>
        </w:rPr>
      </w:pPr>
      <w:r w:rsidRPr="00C9631A">
        <w:rPr>
          <w:rFonts w:ascii="Arial" w:hAnsi="Arial" w:cs="Arial"/>
          <w:sz w:val="20"/>
          <w:szCs w:val="20"/>
        </w:rPr>
        <w:t>I dati sono pubblicati a 45 giorni dal mese di riferimento.</w:t>
      </w:r>
      <w:r w:rsidRPr="00C9631A">
        <w:rPr>
          <w:rFonts w:ascii="Arial" w:hAnsi="Arial" w:cs="Arial"/>
          <w:bCs/>
          <w:sz w:val="20"/>
          <w:szCs w:val="20"/>
        </w:rPr>
        <w:t xml:space="preserve"> Il </w:t>
      </w:r>
      <w:hyperlink r:id="rId42" w:history="1">
        <w:r w:rsidRPr="00E660CB">
          <w:rPr>
            <w:rStyle w:val="Collegamentoipertestuale"/>
            <w:rFonts w:ascii="Arial" w:hAnsi="Arial" w:cs="Arial"/>
            <w:bCs/>
            <w:sz w:val="20"/>
            <w:szCs w:val="20"/>
          </w:rPr>
          <w:t>calendario della diffusione</w:t>
        </w:r>
      </w:hyperlink>
      <w:r w:rsidRPr="00C9631A">
        <w:rPr>
          <w:rFonts w:ascii="Arial" w:hAnsi="Arial" w:cs="Arial"/>
          <w:bCs/>
          <w:sz w:val="20"/>
          <w:szCs w:val="20"/>
        </w:rPr>
        <w:t xml:space="preserve"> è definito annualmente e pubblicato sul sito web dell’Istituto</w:t>
      </w:r>
      <w:r>
        <w:rPr>
          <w:rFonts w:ascii="Arial" w:hAnsi="Arial" w:cs="Arial"/>
          <w:bCs/>
          <w:sz w:val="20"/>
          <w:szCs w:val="20"/>
        </w:rPr>
        <w:t>.</w:t>
      </w:r>
    </w:p>
    <w:p w14:paraId="31089204"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Al momento della prima pubblicazione, i dati di commercio estero sono di natura provvisoria e sono soggetti a una prima revisione nel mese successivo, al fine di incorporare ulteriori informazioni che si rendono disponibili successivamente alla loro diffusione, per essere definitivamente consolidati nel mese di novembre dell’anno seguente. </w:t>
      </w:r>
    </w:p>
    <w:p w14:paraId="30D667B7" w14:textId="77777777" w:rsidR="00501E02" w:rsidRPr="00C9631A" w:rsidRDefault="00501E02" w:rsidP="00501E02">
      <w:pPr>
        <w:spacing w:after="120"/>
        <w:jc w:val="both"/>
        <w:rPr>
          <w:rFonts w:ascii="Arial" w:hAnsi="Arial" w:cs="Arial"/>
          <w:sz w:val="20"/>
          <w:szCs w:val="20"/>
        </w:rPr>
      </w:pPr>
      <w:r w:rsidRPr="00C9631A">
        <w:rPr>
          <w:rFonts w:ascii="Arial" w:hAnsi="Arial" w:cs="Arial"/>
          <w:bCs/>
          <w:sz w:val="20"/>
          <w:szCs w:val="20"/>
        </w:rPr>
        <w:t>I dati definitivi dei prezzi all’import vengono invece diffusi dopo 75 giorni</w:t>
      </w:r>
      <w:r>
        <w:rPr>
          <w:rFonts w:ascii="Arial" w:hAnsi="Arial" w:cs="Arial"/>
          <w:bCs/>
          <w:sz w:val="20"/>
          <w:szCs w:val="20"/>
        </w:rPr>
        <w:t xml:space="preserve">, nel rispetto delle </w:t>
      </w:r>
      <w:r w:rsidRPr="00C9631A">
        <w:rPr>
          <w:rFonts w:ascii="Arial" w:hAnsi="Arial" w:cs="Arial"/>
          <w:bCs/>
          <w:sz w:val="20"/>
          <w:szCs w:val="20"/>
        </w:rPr>
        <w:t xml:space="preserve">condizioni richieste da Eurostat. </w:t>
      </w:r>
    </w:p>
    <w:p w14:paraId="2C559D2A"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Per ulteriori informazioni relative alle revisioni degli indicatori congiunturali, consultare la </w:t>
      </w:r>
      <w:hyperlink r:id="rId43" w:history="1">
        <w:r w:rsidRPr="00C9631A">
          <w:rPr>
            <w:rStyle w:val="Collegamentoipertestuale"/>
            <w:rFonts w:ascii="Arial" w:hAnsi="Arial" w:cs="Arial"/>
            <w:sz w:val="20"/>
            <w:szCs w:val="20"/>
          </w:rPr>
          <w:t>sezione dedicata</w:t>
        </w:r>
      </w:hyperlink>
      <w:r w:rsidRPr="00C9631A">
        <w:rPr>
          <w:rFonts w:ascii="Arial" w:hAnsi="Arial" w:cs="Arial"/>
          <w:sz w:val="20"/>
          <w:szCs w:val="20"/>
        </w:rPr>
        <w:t xml:space="preserve">. Fare riferimento, in particolare, alla </w:t>
      </w:r>
      <w:hyperlink r:id="rId44" w:history="1">
        <w:r w:rsidRPr="00C9631A">
          <w:rPr>
            <w:rStyle w:val="Collegamentoipertestuale"/>
            <w:rFonts w:ascii="Arial" w:hAnsi="Arial" w:cs="Arial"/>
            <w:sz w:val="20"/>
            <w:szCs w:val="20"/>
          </w:rPr>
          <w:t>scheda</w:t>
        </w:r>
      </w:hyperlink>
      <w:r w:rsidRPr="00C9631A">
        <w:rPr>
          <w:rFonts w:ascii="Arial" w:hAnsi="Arial" w:cs="Arial"/>
          <w:sz w:val="20"/>
          <w:szCs w:val="20"/>
        </w:rPr>
        <w:t xml:space="preserve"> relativa alle politiche di revisione degli indicatori del commercio con l’estero e prezzi all’import.</w:t>
      </w:r>
    </w:p>
    <w:p w14:paraId="6B7B2B3F" w14:textId="77777777" w:rsidR="00501E02" w:rsidRDefault="00501E02" w:rsidP="00501E02">
      <w:pPr>
        <w:spacing w:after="120"/>
        <w:jc w:val="both"/>
        <w:rPr>
          <w:rFonts w:ascii="Arial" w:hAnsi="Arial" w:cs="Arial"/>
          <w:b/>
          <w:sz w:val="20"/>
          <w:szCs w:val="20"/>
        </w:rPr>
      </w:pPr>
    </w:p>
    <w:p w14:paraId="6F370BAA"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I canali di diffusione dei dati statistici</w:t>
      </w:r>
    </w:p>
    <w:p w14:paraId="2DC77BA9" w14:textId="77777777" w:rsidR="00501E02" w:rsidRPr="00C9631A" w:rsidRDefault="00501E02" w:rsidP="00501E02">
      <w:pPr>
        <w:spacing w:after="120"/>
        <w:jc w:val="both"/>
        <w:rPr>
          <w:rFonts w:ascii="Arial" w:hAnsi="Arial" w:cs="Arial"/>
          <w:bCs/>
          <w:sz w:val="20"/>
          <w:szCs w:val="20"/>
        </w:rPr>
      </w:pPr>
      <w:r w:rsidRPr="00C9631A">
        <w:rPr>
          <w:rFonts w:ascii="Arial" w:hAnsi="Arial" w:cs="Arial"/>
          <w:bCs/>
          <w:sz w:val="20"/>
          <w:szCs w:val="20"/>
        </w:rPr>
        <w:t>I dati sono diffusi simultaneamente a tutte le parti interessate mediante il comunicato stampa mensile - la Statistica Flash “Commercio con l’estero e prezzi all’import dei prodotti industriali” – pubblicato sul sito web dell’Istituto:</w:t>
      </w:r>
    </w:p>
    <w:p w14:paraId="58DFC275" w14:textId="77777777" w:rsidR="00501E02" w:rsidRPr="00C9631A" w:rsidRDefault="00000000" w:rsidP="00501E02">
      <w:pPr>
        <w:pStyle w:val="Paragrafoelenco"/>
        <w:numPr>
          <w:ilvl w:val="0"/>
          <w:numId w:val="34"/>
        </w:numPr>
        <w:tabs>
          <w:tab w:val="clear" w:pos="426"/>
        </w:tabs>
        <w:ind w:left="426"/>
        <w:rPr>
          <w:rFonts w:ascii="Arial" w:hAnsi="Arial" w:cs="Arial"/>
          <w:sz w:val="20"/>
          <w:szCs w:val="20"/>
        </w:rPr>
      </w:pPr>
      <w:hyperlink r:id="rId45" w:history="1">
        <w:r w:rsidR="00501E02" w:rsidRPr="00C9631A">
          <w:rPr>
            <w:rStyle w:val="Collegamentoipertestuale"/>
            <w:rFonts w:ascii="Arial" w:hAnsi="Arial" w:cs="Arial"/>
            <w:sz w:val="20"/>
            <w:szCs w:val="20"/>
          </w:rPr>
          <w:t>Commercio estero e prezzi all’import</w:t>
        </w:r>
      </w:hyperlink>
    </w:p>
    <w:p w14:paraId="1B33E7F6" w14:textId="77777777" w:rsidR="00501E02" w:rsidRPr="00C9631A" w:rsidRDefault="00501E02" w:rsidP="00501E02">
      <w:pPr>
        <w:spacing w:after="120"/>
        <w:jc w:val="both"/>
        <w:rPr>
          <w:rFonts w:ascii="Arial" w:hAnsi="Arial" w:cs="Arial"/>
          <w:bCs/>
          <w:sz w:val="20"/>
          <w:szCs w:val="20"/>
        </w:rPr>
      </w:pPr>
      <w:r w:rsidRPr="00C9631A">
        <w:rPr>
          <w:rFonts w:ascii="Arial" w:hAnsi="Arial" w:cs="Arial"/>
          <w:bCs/>
          <w:sz w:val="20"/>
          <w:szCs w:val="20"/>
        </w:rPr>
        <w:t>Le serie storiche aggiornate sono pubblicate in allegato al comunicato stampa.</w:t>
      </w:r>
    </w:p>
    <w:p w14:paraId="31567999" w14:textId="77777777" w:rsidR="00501E02" w:rsidRPr="00C9631A" w:rsidRDefault="00501E02" w:rsidP="00501E02">
      <w:pPr>
        <w:jc w:val="both"/>
        <w:rPr>
          <w:rFonts w:ascii="Arial" w:hAnsi="Arial" w:cs="Arial"/>
          <w:sz w:val="20"/>
          <w:szCs w:val="20"/>
        </w:rPr>
      </w:pPr>
      <w:r w:rsidRPr="00C9631A">
        <w:rPr>
          <w:rFonts w:ascii="Arial" w:hAnsi="Arial" w:cs="Arial"/>
          <w:sz w:val="20"/>
          <w:szCs w:val="20"/>
        </w:rPr>
        <w:t>Ulteriori comunicati stampa sul commercio estero:</w:t>
      </w:r>
    </w:p>
    <w:p w14:paraId="5D83A305" w14:textId="77777777" w:rsidR="00501E02" w:rsidRPr="00C9631A" w:rsidRDefault="00000000" w:rsidP="00501E02">
      <w:pPr>
        <w:pStyle w:val="Paragrafoelenco"/>
        <w:numPr>
          <w:ilvl w:val="0"/>
          <w:numId w:val="34"/>
        </w:numPr>
        <w:tabs>
          <w:tab w:val="clear" w:pos="426"/>
        </w:tabs>
        <w:spacing w:before="120"/>
        <w:ind w:left="425" w:hanging="357"/>
        <w:rPr>
          <w:rFonts w:ascii="Arial" w:hAnsi="Arial" w:cs="Arial"/>
          <w:sz w:val="20"/>
          <w:szCs w:val="20"/>
        </w:rPr>
      </w:pPr>
      <w:hyperlink r:id="rId46" w:history="1">
        <w:r w:rsidR="00501E02" w:rsidRPr="00C9631A">
          <w:rPr>
            <w:rStyle w:val="Collegamentoipertestuale"/>
            <w:rFonts w:ascii="Arial" w:hAnsi="Arial" w:cs="Arial"/>
            <w:sz w:val="20"/>
            <w:szCs w:val="20"/>
          </w:rPr>
          <w:t>Commercio estero con i paesi extra UE</w:t>
        </w:r>
      </w:hyperlink>
    </w:p>
    <w:p w14:paraId="1E11D8C0" w14:textId="77777777" w:rsidR="00501E02" w:rsidRPr="00C9631A" w:rsidRDefault="00000000" w:rsidP="00501E02">
      <w:pPr>
        <w:pStyle w:val="Paragrafoelenco"/>
        <w:numPr>
          <w:ilvl w:val="0"/>
          <w:numId w:val="34"/>
        </w:numPr>
        <w:tabs>
          <w:tab w:val="clear" w:pos="426"/>
        </w:tabs>
        <w:spacing w:before="240"/>
        <w:ind w:left="426"/>
        <w:rPr>
          <w:rFonts w:ascii="Arial" w:hAnsi="Arial" w:cs="Arial"/>
          <w:sz w:val="20"/>
          <w:szCs w:val="20"/>
        </w:rPr>
      </w:pPr>
      <w:hyperlink r:id="rId47" w:history="1">
        <w:r w:rsidR="00501E02" w:rsidRPr="00C9631A">
          <w:rPr>
            <w:rStyle w:val="Collegamentoipertestuale"/>
            <w:rFonts w:ascii="Arial" w:hAnsi="Arial" w:cs="Arial"/>
            <w:sz w:val="20"/>
            <w:szCs w:val="20"/>
          </w:rPr>
          <w:t>Le esportazioni delle regioni italiane</w:t>
        </w:r>
      </w:hyperlink>
    </w:p>
    <w:p w14:paraId="2DB500BD" w14:textId="77777777" w:rsidR="00501E02" w:rsidRPr="00C9631A" w:rsidRDefault="00501E02" w:rsidP="00501E02">
      <w:pPr>
        <w:spacing w:after="120"/>
        <w:jc w:val="both"/>
        <w:rPr>
          <w:rFonts w:ascii="Arial" w:hAnsi="Arial" w:cs="Arial"/>
          <w:bCs/>
          <w:sz w:val="20"/>
          <w:szCs w:val="20"/>
        </w:rPr>
      </w:pPr>
      <w:r>
        <w:rPr>
          <w:rFonts w:ascii="Arial" w:hAnsi="Arial" w:cs="Arial"/>
          <w:bCs/>
          <w:sz w:val="20"/>
          <w:szCs w:val="20"/>
        </w:rPr>
        <w:t>I</w:t>
      </w:r>
      <w:r w:rsidRPr="00C9631A">
        <w:rPr>
          <w:rFonts w:ascii="Arial" w:hAnsi="Arial" w:cs="Arial"/>
          <w:bCs/>
          <w:sz w:val="20"/>
          <w:szCs w:val="20"/>
        </w:rPr>
        <w:t xml:space="preserve"> dati sono trasmessi mensilmente ad Eurostat e consultabili all’indirizzo </w:t>
      </w:r>
      <w:hyperlink r:id="rId48" w:history="1">
        <w:r w:rsidRPr="00C9631A">
          <w:rPr>
            <w:rFonts w:ascii="Arial" w:hAnsi="Arial" w:cs="Arial"/>
            <w:bCs/>
            <w:color w:val="0000FF"/>
            <w:sz w:val="20"/>
            <w:szCs w:val="20"/>
            <w:u w:val="single"/>
          </w:rPr>
          <w:t>http://ec.europa.eu/eurostat/data/database</w:t>
        </w:r>
      </w:hyperlink>
      <w:r w:rsidRPr="00C9631A">
        <w:rPr>
          <w:rFonts w:ascii="Arial" w:hAnsi="Arial" w:cs="Arial"/>
          <w:bCs/>
          <w:sz w:val="20"/>
          <w:szCs w:val="20"/>
        </w:rPr>
        <w:t xml:space="preserve"> (Tema </w:t>
      </w:r>
      <w:r w:rsidRPr="00C9631A">
        <w:rPr>
          <w:rFonts w:ascii="Arial" w:hAnsi="Arial" w:cs="Arial"/>
          <w:bCs/>
          <w:i/>
          <w:sz w:val="20"/>
          <w:szCs w:val="20"/>
        </w:rPr>
        <w:t>Industry, trade and services</w:t>
      </w:r>
      <w:r w:rsidRPr="00C9631A">
        <w:rPr>
          <w:rFonts w:ascii="Arial" w:hAnsi="Arial" w:cs="Arial"/>
          <w:bCs/>
          <w:sz w:val="20"/>
          <w:szCs w:val="20"/>
        </w:rPr>
        <w:t xml:space="preserve">, argomento </w:t>
      </w:r>
      <w:r w:rsidRPr="00C9631A">
        <w:rPr>
          <w:rFonts w:ascii="Arial" w:hAnsi="Arial" w:cs="Arial"/>
          <w:bCs/>
          <w:i/>
          <w:sz w:val="20"/>
          <w:szCs w:val="20"/>
        </w:rPr>
        <w:t>Short-</w:t>
      </w:r>
      <w:proofErr w:type="spellStart"/>
      <w:r w:rsidRPr="00C9631A">
        <w:rPr>
          <w:rFonts w:ascii="Arial" w:hAnsi="Arial" w:cs="Arial"/>
          <w:bCs/>
          <w:i/>
          <w:sz w:val="20"/>
          <w:szCs w:val="20"/>
        </w:rPr>
        <w:t>term</w:t>
      </w:r>
      <w:proofErr w:type="spellEnd"/>
      <w:r w:rsidRPr="00C9631A">
        <w:rPr>
          <w:rFonts w:ascii="Arial" w:hAnsi="Arial" w:cs="Arial"/>
          <w:bCs/>
          <w:i/>
          <w:sz w:val="20"/>
          <w:szCs w:val="20"/>
        </w:rPr>
        <w:t xml:space="preserve"> business </w:t>
      </w:r>
      <w:proofErr w:type="spellStart"/>
      <w:r w:rsidRPr="00C9631A">
        <w:rPr>
          <w:rFonts w:ascii="Arial" w:hAnsi="Arial" w:cs="Arial"/>
          <w:bCs/>
          <w:i/>
          <w:sz w:val="20"/>
          <w:szCs w:val="20"/>
        </w:rPr>
        <w:t>statistics</w:t>
      </w:r>
      <w:proofErr w:type="spellEnd"/>
      <w:r w:rsidRPr="00C9631A">
        <w:rPr>
          <w:rFonts w:ascii="Arial" w:hAnsi="Arial" w:cs="Arial"/>
          <w:bCs/>
          <w:i/>
          <w:sz w:val="20"/>
          <w:szCs w:val="20"/>
        </w:rPr>
        <w:t xml:space="preserve"> (</w:t>
      </w:r>
      <w:proofErr w:type="spellStart"/>
      <w:r w:rsidRPr="00C9631A">
        <w:rPr>
          <w:rFonts w:ascii="Arial" w:hAnsi="Arial" w:cs="Arial"/>
          <w:bCs/>
          <w:i/>
          <w:sz w:val="20"/>
          <w:szCs w:val="20"/>
        </w:rPr>
        <w:t>sts</w:t>
      </w:r>
      <w:proofErr w:type="spellEnd"/>
      <w:r w:rsidRPr="00C9631A">
        <w:rPr>
          <w:rFonts w:ascii="Arial" w:hAnsi="Arial" w:cs="Arial"/>
          <w:bCs/>
          <w:i/>
          <w:sz w:val="20"/>
          <w:szCs w:val="20"/>
        </w:rPr>
        <w:t>)</w:t>
      </w:r>
      <w:r w:rsidRPr="00C9631A">
        <w:rPr>
          <w:rFonts w:ascii="Arial" w:hAnsi="Arial" w:cs="Arial"/>
          <w:bCs/>
          <w:sz w:val="20"/>
          <w:szCs w:val="20"/>
        </w:rPr>
        <w:t>).</w:t>
      </w:r>
    </w:p>
    <w:p w14:paraId="4E69BA6E"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I dati di commercio estero sono disponibili su </w:t>
      </w:r>
      <w:proofErr w:type="spellStart"/>
      <w:r w:rsidRPr="00C9631A">
        <w:rPr>
          <w:rFonts w:ascii="Arial" w:hAnsi="Arial" w:cs="Arial"/>
          <w:sz w:val="20"/>
          <w:szCs w:val="20"/>
        </w:rPr>
        <w:t>Coeweb</w:t>
      </w:r>
      <w:proofErr w:type="spellEnd"/>
      <w:r w:rsidRPr="00C9631A">
        <w:rPr>
          <w:rFonts w:ascii="Arial" w:hAnsi="Arial" w:cs="Arial"/>
          <w:sz w:val="20"/>
          <w:szCs w:val="20"/>
        </w:rPr>
        <w:t>, il datawarehouse completamente dedicato alle statistiche del commercio con l'estero, nel mese successivo all’uscita del comunicato. La banca dati fornisce, con cadenza mensile, un ricco patrimonio informativo sui flussi commerciali dell'Italia con il resto del mondo e contiene informazioni e serie storiche a partire dal 1991.</w:t>
      </w:r>
    </w:p>
    <w:p w14:paraId="4921F955"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Le serie aggiornate degli indici dei prezzi all’importazione sono pubblicate, in concomitanza con la diffusione del comunicato stampa, sul datawarehouse dell’Istituto (</w:t>
      </w:r>
      <w:proofErr w:type="spellStart"/>
      <w:r w:rsidRPr="00C9631A">
        <w:rPr>
          <w:rFonts w:ascii="Arial" w:hAnsi="Arial" w:cs="Arial"/>
          <w:sz w:val="20"/>
          <w:szCs w:val="20"/>
        </w:rPr>
        <w:t>I.</w:t>
      </w:r>
      <w:r>
        <w:rPr>
          <w:rFonts w:ascii="Arial" w:hAnsi="Arial" w:cs="Arial"/>
          <w:sz w:val="20"/>
          <w:szCs w:val="20"/>
        </w:rPr>
        <w:t>S</w:t>
      </w:r>
      <w:r w:rsidRPr="00C9631A">
        <w:rPr>
          <w:rFonts w:ascii="Arial" w:hAnsi="Arial" w:cs="Arial"/>
          <w:sz w:val="20"/>
          <w:szCs w:val="20"/>
        </w:rPr>
        <w:t>tat</w:t>
      </w:r>
      <w:proofErr w:type="spellEnd"/>
      <w:r w:rsidRPr="00C9631A">
        <w:rPr>
          <w:rFonts w:ascii="Arial" w:hAnsi="Arial" w:cs="Arial"/>
          <w:sz w:val="20"/>
          <w:szCs w:val="20"/>
        </w:rPr>
        <w:t>) all’interno del tema Prezzi - Prezzi all'importazione.</w:t>
      </w:r>
    </w:p>
    <w:p w14:paraId="376716E2" w14:textId="77777777" w:rsidR="00501E02" w:rsidRPr="00C9631A" w:rsidRDefault="00501E02" w:rsidP="00501E02">
      <w:pPr>
        <w:spacing w:after="120"/>
        <w:jc w:val="both"/>
        <w:rPr>
          <w:rFonts w:ascii="Arial" w:hAnsi="Arial" w:cs="Arial"/>
          <w:sz w:val="20"/>
          <w:szCs w:val="20"/>
        </w:rPr>
      </w:pPr>
    </w:p>
    <w:p w14:paraId="08E5B040" w14:textId="77777777" w:rsidR="00501E02" w:rsidRPr="00C9631A" w:rsidRDefault="00501E02" w:rsidP="00501E02">
      <w:pPr>
        <w:spacing w:after="120"/>
        <w:jc w:val="both"/>
        <w:rPr>
          <w:rFonts w:ascii="Arial" w:hAnsi="Arial" w:cs="Arial"/>
          <w:b/>
          <w:bCs/>
          <w:sz w:val="20"/>
          <w:szCs w:val="20"/>
        </w:rPr>
      </w:pPr>
      <w:r w:rsidRPr="00C9631A">
        <w:rPr>
          <w:rFonts w:ascii="Arial" w:hAnsi="Arial" w:cs="Arial"/>
          <w:b/>
          <w:bCs/>
          <w:sz w:val="20"/>
          <w:szCs w:val="20"/>
        </w:rPr>
        <w:t>Approfondimenti</w:t>
      </w:r>
    </w:p>
    <w:p w14:paraId="6EA73A0D" w14:textId="77777777" w:rsidR="00501E02" w:rsidRPr="00C9631A" w:rsidRDefault="00000000" w:rsidP="00501E02">
      <w:pPr>
        <w:numPr>
          <w:ilvl w:val="0"/>
          <w:numId w:val="36"/>
        </w:numPr>
        <w:spacing w:after="120"/>
        <w:ind w:left="284" w:hanging="284"/>
        <w:jc w:val="both"/>
        <w:rPr>
          <w:rFonts w:ascii="Arial" w:hAnsi="Arial" w:cs="Arial"/>
          <w:sz w:val="20"/>
          <w:szCs w:val="20"/>
        </w:rPr>
      </w:pPr>
      <w:hyperlink r:id="rId49" w:history="1">
        <w:r w:rsidR="00501E02" w:rsidRPr="00C9631A">
          <w:rPr>
            <w:rStyle w:val="Collegamentoipertestuale"/>
            <w:rFonts w:ascii="Arial" w:hAnsi="Arial" w:cs="Arial"/>
            <w:sz w:val="20"/>
            <w:szCs w:val="20"/>
          </w:rPr>
          <w:t>Nota Informativa</w:t>
        </w:r>
      </w:hyperlink>
      <w:r w:rsidR="00501E02" w:rsidRPr="00C9631A">
        <w:rPr>
          <w:rFonts w:ascii="Arial" w:hAnsi="Arial" w:cs="Arial"/>
          <w:sz w:val="20"/>
          <w:szCs w:val="20"/>
        </w:rPr>
        <w:t xml:space="preserve"> sulle caratteristiche dei nuovi indici del commercio con l’estero del 25/02/2008.</w:t>
      </w:r>
    </w:p>
    <w:p w14:paraId="206AE469" w14:textId="77777777" w:rsidR="00501E02" w:rsidRPr="00C9631A" w:rsidRDefault="00000000" w:rsidP="00501E02">
      <w:pPr>
        <w:numPr>
          <w:ilvl w:val="0"/>
          <w:numId w:val="36"/>
        </w:numPr>
        <w:spacing w:after="120"/>
        <w:ind w:left="284" w:hanging="284"/>
        <w:jc w:val="both"/>
        <w:rPr>
          <w:rFonts w:ascii="Arial" w:hAnsi="Arial" w:cs="Arial"/>
          <w:sz w:val="20"/>
          <w:szCs w:val="20"/>
        </w:rPr>
      </w:pPr>
      <w:hyperlink r:id="rId50" w:history="1">
        <w:r w:rsidR="00501E02" w:rsidRPr="00C9631A">
          <w:rPr>
            <w:rStyle w:val="Collegamentoipertestuale"/>
            <w:rFonts w:ascii="Arial" w:hAnsi="Arial" w:cs="Arial"/>
            <w:sz w:val="20"/>
            <w:szCs w:val="20"/>
          </w:rPr>
          <w:t>Nota informativa</w:t>
        </w:r>
      </w:hyperlink>
      <w:r w:rsidR="00501E02" w:rsidRPr="00C9631A">
        <w:rPr>
          <w:rFonts w:ascii="Arial" w:hAnsi="Arial" w:cs="Arial"/>
          <w:sz w:val="20"/>
          <w:szCs w:val="20"/>
        </w:rPr>
        <w:t xml:space="preserve"> sul nuovo sistema di produzione delle statistiche sugli scambi con l’estero di gas naturale ed energia elettrica del 15/11/2011.</w:t>
      </w:r>
    </w:p>
    <w:p w14:paraId="3FC941F9" w14:textId="77777777" w:rsidR="00501E02" w:rsidRPr="00C9631A" w:rsidRDefault="00000000" w:rsidP="00501E02">
      <w:pPr>
        <w:numPr>
          <w:ilvl w:val="0"/>
          <w:numId w:val="36"/>
        </w:numPr>
        <w:spacing w:after="120"/>
        <w:ind w:left="284" w:hanging="284"/>
        <w:jc w:val="both"/>
        <w:rPr>
          <w:rFonts w:ascii="Arial" w:hAnsi="Arial" w:cs="Arial"/>
          <w:sz w:val="20"/>
          <w:szCs w:val="20"/>
        </w:rPr>
      </w:pPr>
      <w:hyperlink r:id="rId51" w:history="1">
        <w:r w:rsidR="00501E02" w:rsidRPr="00C9631A">
          <w:rPr>
            <w:rStyle w:val="Collegamentoipertestuale"/>
            <w:rFonts w:ascii="Arial" w:hAnsi="Arial" w:cs="Arial"/>
            <w:sz w:val="20"/>
            <w:szCs w:val="20"/>
          </w:rPr>
          <w:t>Nota informativa</w:t>
        </w:r>
      </w:hyperlink>
      <w:r w:rsidR="00501E02" w:rsidRPr="00C9631A">
        <w:rPr>
          <w:rFonts w:ascii="Arial" w:hAnsi="Arial" w:cs="Arial"/>
          <w:sz w:val="20"/>
          <w:szCs w:val="20"/>
        </w:rPr>
        <w:t xml:space="preserve"> sull’avvio della rilevazione</w:t>
      </w:r>
      <w:r w:rsidR="00501E02">
        <w:rPr>
          <w:rFonts w:ascii="Arial" w:hAnsi="Arial" w:cs="Arial"/>
          <w:sz w:val="20"/>
          <w:szCs w:val="20"/>
        </w:rPr>
        <w:t xml:space="preserve"> dei prezzi all’import,</w:t>
      </w:r>
      <w:r w:rsidR="00501E02" w:rsidRPr="00C9631A">
        <w:rPr>
          <w:rFonts w:ascii="Arial" w:hAnsi="Arial" w:cs="Arial"/>
          <w:sz w:val="20"/>
          <w:szCs w:val="20"/>
        </w:rPr>
        <w:t xml:space="preserve"> del 24/02/2014. </w:t>
      </w:r>
    </w:p>
    <w:p w14:paraId="26F4BF48" w14:textId="111B1F9A" w:rsidR="00501E02" w:rsidRPr="00C9631A" w:rsidRDefault="00000000" w:rsidP="00501E02">
      <w:pPr>
        <w:numPr>
          <w:ilvl w:val="0"/>
          <w:numId w:val="36"/>
        </w:numPr>
        <w:spacing w:after="120"/>
        <w:ind w:left="284" w:hanging="284"/>
        <w:jc w:val="both"/>
        <w:rPr>
          <w:rFonts w:ascii="Arial" w:hAnsi="Arial" w:cs="Arial"/>
          <w:b/>
          <w:sz w:val="20"/>
          <w:szCs w:val="20"/>
        </w:rPr>
      </w:pPr>
      <w:hyperlink r:id="rId52" w:history="1">
        <w:r w:rsidR="00501E02" w:rsidRPr="008A6D09">
          <w:rPr>
            <w:rStyle w:val="Collegamentoipertestuale"/>
            <w:rFonts w:ascii="Arial" w:hAnsi="Arial" w:cs="Arial"/>
            <w:sz w:val="20"/>
            <w:szCs w:val="20"/>
          </w:rPr>
          <w:t>Nota informativa</w:t>
        </w:r>
      </w:hyperlink>
      <w:r w:rsidR="00501E02" w:rsidRPr="00C9631A">
        <w:rPr>
          <w:rFonts w:ascii="Arial" w:hAnsi="Arial" w:cs="Arial"/>
          <w:sz w:val="20"/>
          <w:szCs w:val="20"/>
        </w:rPr>
        <w:t xml:space="preserve"> sulla ricostruzione delle serie storiche </w:t>
      </w:r>
      <w:r w:rsidR="00501E02">
        <w:rPr>
          <w:rFonts w:ascii="Arial" w:hAnsi="Arial" w:cs="Arial"/>
          <w:sz w:val="20"/>
          <w:szCs w:val="20"/>
        </w:rPr>
        <w:t xml:space="preserve">degli indici dei prezzi all’import </w:t>
      </w:r>
      <w:r w:rsidR="00501E02" w:rsidRPr="00C9631A">
        <w:rPr>
          <w:rFonts w:ascii="Arial" w:hAnsi="Arial" w:cs="Arial"/>
          <w:sz w:val="20"/>
          <w:szCs w:val="20"/>
        </w:rPr>
        <w:t>per il periodo 2005 – 2009, del 16/10/2015.</w:t>
      </w:r>
    </w:p>
    <w:p w14:paraId="165AEE1F" w14:textId="77777777" w:rsidR="00501E02" w:rsidRPr="00222CB7" w:rsidRDefault="00000000" w:rsidP="00501E02">
      <w:pPr>
        <w:numPr>
          <w:ilvl w:val="0"/>
          <w:numId w:val="36"/>
        </w:numPr>
        <w:spacing w:after="120"/>
        <w:ind w:left="284" w:hanging="284"/>
        <w:jc w:val="both"/>
        <w:rPr>
          <w:rFonts w:ascii="Arial" w:hAnsi="Arial" w:cs="Arial"/>
          <w:sz w:val="20"/>
          <w:szCs w:val="20"/>
        </w:rPr>
      </w:pPr>
      <w:hyperlink r:id="rId53" w:history="1">
        <w:r w:rsidR="00501E02" w:rsidRPr="00222CB7">
          <w:rPr>
            <w:rStyle w:val="Collegamentoipertestuale"/>
            <w:rFonts w:ascii="Arial" w:hAnsi="Arial" w:cs="Arial"/>
            <w:sz w:val="20"/>
            <w:szCs w:val="20"/>
          </w:rPr>
          <w:t>Nota informativa</w:t>
        </w:r>
      </w:hyperlink>
      <w:r w:rsidR="00501E02" w:rsidRPr="00222CB7">
        <w:rPr>
          <w:rFonts w:ascii="Arial" w:hAnsi="Arial" w:cs="Arial"/>
          <w:sz w:val="20"/>
          <w:szCs w:val="20"/>
        </w:rPr>
        <w:t xml:space="preserve"> sulla nuova base 2015</w:t>
      </w:r>
      <w:r w:rsidR="00501E02">
        <w:rPr>
          <w:rFonts w:ascii="Arial" w:hAnsi="Arial" w:cs="Arial"/>
          <w:sz w:val="20"/>
          <w:szCs w:val="20"/>
        </w:rPr>
        <w:t xml:space="preserve"> degli indici dei prezzi all’import</w:t>
      </w:r>
      <w:r w:rsidR="00501E02" w:rsidRPr="00222CB7">
        <w:rPr>
          <w:rFonts w:ascii="Arial" w:hAnsi="Arial" w:cs="Arial"/>
          <w:sz w:val="20"/>
          <w:szCs w:val="20"/>
        </w:rPr>
        <w:t>, del 17/05/2018.</w:t>
      </w:r>
    </w:p>
    <w:p w14:paraId="396DE13F" w14:textId="263FBB8E" w:rsidR="00501E02" w:rsidRDefault="00000000" w:rsidP="00501E02">
      <w:pPr>
        <w:numPr>
          <w:ilvl w:val="0"/>
          <w:numId w:val="36"/>
        </w:numPr>
        <w:spacing w:after="120"/>
        <w:ind w:left="284" w:hanging="284"/>
        <w:jc w:val="both"/>
        <w:rPr>
          <w:rFonts w:ascii="Arial" w:hAnsi="Arial" w:cs="Arial"/>
          <w:sz w:val="20"/>
          <w:szCs w:val="20"/>
        </w:rPr>
      </w:pPr>
      <w:hyperlink r:id="rId54" w:history="1">
        <w:r w:rsidR="00501E02" w:rsidRPr="00DD73E1">
          <w:rPr>
            <w:rStyle w:val="Collegamentoipertestuale"/>
            <w:rFonts w:ascii="Arial" w:hAnsi="Arial" w:cs="Arial"/>
            <w:sz w:val="20"/>
            <w:szCs w:val="20"/>
          </w:rPr>
          <w:t>Nota informativa</w:t>
        </w:r>
      </w:hyperlink>
      <w:r w:rsidR="00501E02" w:rsidRPr="00DD73E1">
        <w:rPr>
          <w:rFonts w:ascii="Arial" w:hAnsi="Arial" w:cs="Arial"/>
          <w:sz w:val="20"/>
          <w:szCs w:val="20"/>
        </w:rPr>
        <w:t xml:space="preserve"> sulla revisione dei dati di commercio estero per il periodo 2019, gennaio-maggio 2020.</w:t>
      </w:r>
    </w:p>
    <w:p w14:paraId="150DD0CF" w14:textId="5219192D" w:rsidR="00EB3E42" w:rsidRPr="0053425B" w:rsidRDefault="00EB3E42" w:rsidP="00EB3E42">
      <w:pPr>
        <w:numPr>
          <w:ilvl w:val="0"/>
          <w:numId w:val="36"/>
        </w:numPr>
        <w:spacing w:after="120"/>
        <w:ind w:left="284" w:hanging="284"/>
        <w:jc w:val="both"/>
        <w:rPr>
          <w:rFonts w:ascii="Arial" w:hAnsi="Arial" w:cs="Arial"/>
          <w:sz w:val="20"/>
          <w:szCs w:val="20"/>
        </w:rPr>
      </w:pPr>
      <w:r w:rsidRPr="0053425B">
        <w:rPr>
          <w:rStyle w:val="Collegamentoipertestuale"/>
          <w:rFonts w:ascii="Arial" w:hAnsi="Arial" w:cs="Arial"/>
          <w:sz w:val="20"/>
          <w:szCs w:val="20"/>
        </w:rPr>
        <w:t>Nota informativa</w:t>
      </w:r>
      <w:r w:rsidRPr="0053425B">
        <w:rPr>
          <w:rFonts w:ascii="Arial" w:hAnsi="Arial" w:cs="Arial"/>
          <w:sz w:val="20"/>
          <w:szCs w:val="20"/>
        </w:rPr>
        <w:t xml:space="preserve"> </w:t>
      </w:r>
      <w:r w:rsidR="0053425B" w:rsidRPr="0053425B">
        <w:rPr>
          <w:rFonts w:ascii="Arial" w:hAnsi="Arial" w:cs="Arial"/>
          <w:sz w:val="20"/>
          <w:szCs w:val="20"/>
        </w:rPr>
        <w:t xml:space="preserve">sul passaggio </w:t>
      </w:r>
      <w:r w:rsidR="0053425B">
        <w:rPr>
          <w:rFonts w:ascii="Arial" w:hAnsi="Arial" w:cs="Arial"/>
          <w:sz w:val="20"/>
          <w:szCs w:val="20"/>
        </w:rPr>
        <w:t xml:space="preserve">da indici a </w:t>
      </w:r>
      <w:r w:rsidR="0053425B" w:rsidRPr="0053425B">
        <w:rPr>
          <w:rFonts w:ascii="Arial" w:hAnsi="Arial" w:cs="Arial"/>
          <w:sz w:val="20"/>
          <w:szCs w:val="20"/>
        </w:rPr>
        <w:t xml:space="preserve">base fissa a indici </w:t>
      </w:r>
      <w:r w:rsidR="0053425B">
        <w:rPr>
          <w:rFonts w:ascii="Arial" w:hAnsi="Arial" w:cs="Arial"/>
          <w:sz w:val="20"/>
          <w:szCs w:val="20"/>
        </w:rPr>
        <w:t>concatenati</w:t>
      </w:r>
      <w:r w:rsidR="006A2C28">
        <w:rPr>
          <w:rFonts w:ascii="Arial" w:hAnsi="Arial" w:cs="Arial"/>
          <w:sz w:val="20"/>
          <w:szCs w:val="20"/>
        </w:rPr>
        <w:t xml:space="preserve"> per i prezzi all’import</w:t>
      </w:r>
      <w:r w:rsidRPr="0053425B">
        <w:rPr>
          <w:rFonts w:ascii="Arial" w:hAnsi="Arial" w:cs="Arial"/>
          <w:sz w:val="20"/>
          <w:szCs w:val="20"/>
        </w:rPr>
        <w:t>, del 20/04/2022.</w:t>
      </w:r>
    </w:p>
    <w:p w14:paraId="097F327A" w14:textId="77777777" w:rsidR="00C50F34" w:rsidRDefault="00C50F34" w:rsidP="00220D58">
      <w:pPr>
        <w:pStyle w:val="NormaleWeb"/>
        <w:spacing w:before="360" w:beforeAutospacing="0" w:after="240" w:afterAutospacing="0"/>
        <w:rPr>
          <w:rFonts w:ascii="Arial" w:hAnsi="Arial" w:cs="Arial"/>
          <w:bCs/>
          <w:color w:val="CD242F"/>
          <w:sz w:val="36"/>
          <w:szCs w:val="36"/>
        </w:rPr>
      </w:pPr>
    </w:p>
    <w:p w14:paraId="096DC865" w14:textId="3DEDDF40" w:rsidR="00501E02" w:rsidRPr="002300D8" w:rsidRDefault="00501E02" w:rsidP="00220D58">
      <w:pPr>
        <w:pStyle w:val="NormaleWeb"/>
        <w:spacing w:before="120" w:beforeAutospacing="0" w:after="120" w:afterAutospacing="0"/>
        <w:rPr>
          <w:rFonts w:ascii="Arial" w:hAnsi="Arial" w:cs="Arial"/>
          <w:color w:val="CD242F"/>
          <w:sz w:val="36"/>
          <w:szCs w:val="36"/>
        </w:rPr>
      </w:pPr>
      <w:r w:rsidRPr="002300D8">
        <w:rPr>
          <w:rFonts w:ascii="Arial" w:hAnsi="Arial" w:cs="Arial"/>
          <w:bCs/>
          <w:color w:val="CD242F"/>
          <w:sz w:val="36"/>
          <w:szCs w:val="36"/>
        </w:rPr>
        <w:t>Per chiarimenti tecnici e metodologici</w:t>
      </w:r>
    </w:p>
    <w:tbl>
      <w:tblPr>
        <w:tblW w:w="9814" w:type="dxa"/>
        <w:tblBorders>
          <w:top w:val="dotted" w:sz="4" w:space="0" w:color="808080"/>
        </w:tblBorders>
        <w:tblLook w:val="04A0" w:firstRow="1" w:lastRow="0" w:firstColumn="1" w:lastColumn="0" w:noHBand="0" w:noVBand="1"/>
      </w:tblPr>
      <w:tblGrid>
        <w:gridCol w:w="2835"/>
        <w:gridCol w:w="6979"/>
      </w:tblGrid>
      <w:tr w:rsidR="00501E02" w:rsidRPr="00E655EB" w14:paraId="40699954" w14:textId="77777777" w:rsidTr="002C489F">
        <w:trPr>
          <w:trHeight w:val="166"/>
        </w:trPr>
        <w:tc>
          <w:tcPr>
            <w:tcW w:w="9814" w:type="dxa"/>
            <w:gridSpan w:val="2"/>
            <w:shd w:val="clear" w:color="auto" w:fill="auto"/>
            <w:tcMar>
              <w:top w:w="170" w:type="dxa"/>
              <w:left w:w="0" w:type="dxa"/>
              <w:right w:w="0" w:type="dxa"/>
            </w:tcMar>
          </w:tcPr>
          <w:p w14:paraId="53AD74E0" w14:textId="77777777" w:rsidR="00501E02" w:rsidRPr="00E30D50" w:rsidRDefault="00501E02" w:rsidP="002C489F">
            <w:pPr>
              <w:pStyle w:val="NormaleWeb"/>
              <w:rPr>
                <w:rFonts w:ascii="Arial" w:hAnsi="Arial" w:cs="Arial"/>
                <w:b/>
              </w:rPr>
            </w:pPr>
            <w:r w:rsidRPr="00E30D50">
              <w:rPr>
                <w:rFonts w:ascii="Arial" w:hAnsi="Arial" w:cs="Arial"/>
                <w:b/>
                <w:bCs/>
              </w:rPr>
              <w:t>Commercio con l’estero</w:t>
            </w:r>
          </w:p>
        </w:tc>
      </w:tr>
      <w:tr w:rsidR="00501E02" w:rsidRPr="00E655EB" w14:paraId="2721D0A2" w14:textId="77777777" w:rsidTr="002C489F">
        <w:trPr>
          <w:trHeight w:val="1134"/>
        </w:trPr>
        <w:tc>
          <w:tcPr>
            <w:tcW w:w="2835" w:type="dxa"/>
            <w:shd w:val="clear" w:color="auto" w:fill="auto"/>
            <w:tcMar>
              <w:top w:w="170" w:type="dxa"/>
              <w:left w:w="0" w:type="dxa"/>
              <w:right w:w="0" w:type="dxa"/>
            </w:tcMar>
          </w:tcPr>
          <w:p w14:paraId="2E2C1132" w14:textId="77777777" w:rsidR="00501E02" w:rsidRPr="00E655EB" w:rsidRDefault="00501E02" w:rsidP="002C489F">
            <w:pPr>
              <w:pStyle w:val="NormaleWeb"/>
              <w:spacing w:beforeAutospacing="0" w:after="120" w:afterAutospacing="0"/>
              <w:rPr>
                <w:rFonts w:ascii="Arial" w:hAnsi="Arial" w:cs="Arial"/>
                <w:b/>
                <w:bCs/>
                <w:color w:val="CD242F"/>
                <w:sz w:val="22"/>
                <w:szCs w:val="22"/>
              </w:rPr>
            </w:pPr>
            <w:r>
              <w:rPr>
                <w:rFonts w:ascii="Arial" w:hAnsi="Arial" w:cs="Arial"/>
                <w:b/>
                <w:bCs/>
                <w:color w:val="CD242F"/>
                <w:sz w:val="22"/>
                <w:szCs w:val="22"/>
              </w:rPr>
              <w:t>Maria Serena Causo</w:t>
            </w:r>
          </w:p>
          <w:p w14:paraId="6B9C714B" w14:textId="77777777" w:rsidR="00501E02" w:rsidRPr="00E655EB" w:rsidRDefault="00501E02" w:rsidP="002C489F">
            <w:pPr>
              <w:pStyle w:val="NormaleWeb"/>
              <w:spacing w:beforeAutospacing="0" w:afterAutospacing="0"/>
              <w:rPr>
                <w:rFonts w:ascii="Arial" w:hAnsi="Arial" w:cs="Arial"/>
                <w:color w:val="000000"/>
              </w:rPr>
            </w:pPr>
            <w:r w:rsidRPr="00E655EB">
              <w:rPr>
                <w:rFonts w:ascii="Arial" w:hAnsi="Arial" w:cs="Arial"/>
                <w:color w:val="000000"/>
              </w:rPr>
              <w:t>tel.</w:t>
            </w:r>
            <w:r>
              <w:rPr>
                <w:rFonts w:ascii="Arial" w:hAnsi="Arial" w:cs="Arial"/>
                <w:color w:val="000000"/>
              </w:rPr>
              <w:t xml:space="preserve"> +39 </w:t>
            </w:r>
            <w:r w:rsidRPr="00E655EB">
              <w:rPr>
                <w:rFonts w:ascii="Arial" w:hAnsi="Arial" w:cs="Arial"/>
                <w:color w:val="000000"/>
              </w:rPr>
              <w:t>06 4673.</w:t>
            </w:r>
            <w:r>
              <w:rPr>
                <w:rFonts w:ascii="Arial" w:hAnsi="Arial" w:cs="Arial"/>
                <w:color w:val="000000"/>
              </w:rPr>
              <w:t>6651</w:t>
            </w:r>
          </w:p>
          <w:p w14:paraId="6BB34B0C" w14:textId="77777777" w:rsidR="00501E02" w:rsidRPr="00E655EB" w:rsidRDefault="00000000" w:rsidP="002C489F">
            <w:pPr>
              <w:pStyle w:val="NormaleWeb"/>
              <w:spacing w:beforeAutospacing="0" w:after="120" w:afterAutospacing="0"/>
              <w:rPr>
                <w:rFonts w:ascii="Arial" w:hAnsi="Arial" w:cs="Arial"/>
                <w:color w:val="000000"/>
              </w:rPr>
            </w:pPr>
            <w:hyperlink r:id="rId55" w:history="1">
              <w:r w:rsidR="00501E02" w:rsidRPr="003E2D10">
                <w:rPr>
                  <w:rStyle w:val="Collegamentoipertestuale"/>
                  <w:rFonts w:ascii="Arial" w:hAnsi="Arial" w:cs="Arial"/>
                </w:rPr>
                <w:t>causo@istat.it</w:t>
              </w:r>
            </w:hyperlink>
          </w:p>
        </w:tc>
        <w:tc>
          <w:tcPr>
            <w:tcW w:w="6979" w:type="dxa"/>
            <w:shd w:val="clear" w:color="auto" w:fill="auto"/>
            <w:tcMar>
              <w:top w:w="170" w:type="dxa"/>
              <w:left w:w="0" w:type="dxa"/>
              <w:right w:w="0" w:type="dxa"/>
            </w:tcMar>
          </w:tcPr>
          <w:p w14:paraId="5852EE7D" w14:textId="77777777" w:rsidR="00501E02" w:rsidRPr="00E655EB" w:rsidRDefault="00501E02" w:rsidP="002C489F">
            <w:pPr>
              <w:pStyle w:val="NormaleWeb"/>
              <w:spacing w:beforeAutospacing="0" w:after="120" w:afterAutospacing="0"/>
              <w:rPr>
                <w:rFonts w:ascii="Arial" w:hAnsi="Arial" w:cs="Arial"/>
                <w:color w:val="CD242F"/>
              </w:rPr>
            </w:pPr>
            <w:r>
              <w:rPr>
                <w:rFonts w:ascii="Arial" w:hAnsi="Arial" w:cs="Arial"/>
                <w:b/>
                <w:bCs/>
                <w:color w:val="CD242F"/>
                <w:sz w:val="22"/>
                <w:szCs w:val="22"/>
              </w:rPr>
              <w:t>Adele Vendetti</w:t>
            </w:r>
          </w:p>
          <w:p w14:paraId="0094173E" w14:textId="77777777" w:rsidR="00501E02" w:rsidRPr="00E655EB" w:rsidRDefault="00501E02" w:rsidP="002C489F">
            <w:pPr>
              <w:pStyle w:val="NormaleWeb"/>
              <w:spacing w:beforeAutospacing="0" w:after="120" w:afterAutospacing="0"/>
              <w:rPr>
                <w:rFonts w:ascii="Arial" w:hAnsi="Arial" w:cs="Arial"/>
                <w:color w:val="000000"/>
              </w:rPr>
            </w:pPr>
            <w:r w:rsidRPr="00E655EB">
              <w:rPr>
                <w:rFonts w:ascii="Arial" w:hAnsi="Arial" w:cs="Arial"/>
                <w:color w:val="000000"/>
              </w:rPr>
              <w:t>tel.</w:t>
            </w:r>
            <w:r>
              <w:rPr>
                <w:rFonts w:ascii="Arial" w:hAnsi="Arial" w:cs="Arial"/>
                <w:color w:val="000000"/>
              </w:rPr>
              <w:t xml:space="preserve"> +39</w:t>
            </w:r>
            <w:r w:rsidRPr="00E655EB">
              <w:rPr>
                <w:rFonts w:ascii="Arial" w:hAnsi="Arial" w:cs="Arial"/>
                <w:color w:val="000000"/>
              </w:rPr>
              <w:t xml:space="preserve"> 06 4673.</w:t>
            </w:r>
            <w:r>
              <w:rPr>
                <w:rFonts w:ascii="Arial" w:hAnsi="Arial" w:cs="Arial"/>
                <w:color w:val="000000"/>
              </w:rPr>
              <w:t>6342</w:t>
            </w:r>
            <w:r w:rsidRPr="00E655EB">
              <w:rPr>
                <w:rFonts w:ascii="Arial" w:hAnsi="Arial" w:cs="Arial"/>
                <w:color w:val="000000"/>
              </w:rPr>
              <w:br/>
            </w:r>
            <w:hyperlink r:id="rId56" w:history="1">
              <w:r w:rsidRPr="003E2D10">
                <w:rPr>
                  <w:rStyle w:val="Collegamentoipertestuale"/>
                  <w:rFonts w:ascii="Arial" w:hAnsi="Arial" w:cs="Arial"/>
                </w:rPr>
                <w:t>vendetti@istat.it</w:t>
              </w:r>
            </w:hyperlink>
          </w:p>
          <w:p w14:paraId="4C4C533B" w14:textId="77777777" w:rsidR="00501E02" w:rsidRPr="00E655EB" w:rsidRDefault="00501E02" w:rsidP="002C489F">
            <w:pPr>
              <w:pStyle w:val="NormaleWeb"/>
              <w:rPr>
                <w:rFonts w:ascii="Arial" w:hAnsi="Arial" w:cs="Arial"/>
                <w:color w:val="000000"/>
              </w:rPr>
            </w:pPr>
          </w:p>
        </w:tc>
      </w:tr>
      <w:tr w:rsidR="00501E02" w:rsidRPr="00E655EB" w14:paraId="57F6A533" w14:textId="77777777" w:rsidTr="002C489F">
        <w:trPr>
          <w:trHeight w:val="294"/>
        </w:trPr>
        <w:tc>
          <w:tcPr>
            <w:tcW w:w="9814" w:type="dxa"/>
            <w:gridSpan w:val="2"/>
            <w:shd w:val="clear" w:color="auto" w:fill="auto"/>
            <w:tcMar>
              <w:top w:w="170" w:type="dxa"/>
              <w:left w:w="0" w:type="dxa"/>
              <w:right w:w="0" w:type="dxa"/>
            </w:tcMar>
          </w:tcPr>
          <w:p w14:paraId="574D9FC1" w14:textId="77777777" w:rsidR="00501E02" w:rsidRPr="00E30D50" w:rsidRDefault="00501E02" w:rsidP="002C489F">
            <w:pPr>
              <w:pStyle w:val="NormaleWeb"/>
              <w:rPr>
                <w:rFonts w:ascii="Arial" w:hAnsi="Arial" w:cs="Arial"/>
                <w:b/>
                <w:bCs/>
                <w:sz w:val="22"/>
                <w:szCs w:val="22"/>
              </w:rPr>
            </w:pPr>
            <w:r w:rsidRPr="00E30D50">
              <w:rPr>
                <w:rFonts w:ascii="Arial" w:hAnsi="Arial" w:cs="Arial"/>
                <w:b/>
                <w:bCs/>
              </w:rPr>
              <w:t>Prezzi all’import</w:t>
            </w:r>
          </w:p>
        </w:tc>
      </w:tr>
      <w:tr w:rsidR="00501E02" w14:paraId="3D825D6F" w14:textId="77777777" w:rsidTr="002C489F">
        <w:trPr>
          <w:trHeight w:val="1134"/>
        </w:trPr>
        <w:tc>
          <w:tcPr>
            <w:tcW w:w="2835" w:type="dxa"/>
            <w:tcBorders>
              <w:top w:val="dotted" w:sz="4" w:space="0" w:color="808080"/>
              <w:left w:val="nil"/>
              <w:bottom w:val="nil"/>
              <w:right w:val="nil"/>
            </w:tcBorders>
            <w:tcMar>
              <w:top w:w="170" w:type="dxa"/>
              <w:left w:w="0" w:type="dxa"/>
              <w:bottom w:w="0" w:type="dxa"/>
              <w:right w:w="0" w:type="dxa"/>
            </w:tcMar>
            <w:hideMark/>
          </w:tcPr>
          <w:p w14:paraId="2C2C798F" w14:textId="77777777" w:rsidR="00501E02" w:rsidRDefault="00501E02" w:rsidP="002C489F">
            <w:pPr>
              <w:pStyle w:val="NormaleWeb"/>
              <w:spacing w:beforeAutospacing="0" w:afterAutospacing="0" w:line="276" w:lineRule="auto"/>
              <w:rPr>
                <w:rFonts w:ascii="Arial" w:hAnsi="Arial" w:cs="Arial"/>
                <w:b/>
                <w:bCs/>
                <w:color w:val="CD242F"/>
                <w:sz w:val="22"/>
                <w:szCs w:val="22"/>
                <w:lang w:eastAsia="en-US"/>
              </w:rPr>
            </w:pPr>
            <w:r>
              <w:rPr>
                <w:rFonts w:ascii="Arial" w:hAnsi="Arial" w:cs="Arial"/>
                <w:b/>
                <w:bCs/>
                <w:color w:val="CD242F"/>
                <w:sz w:val="22"/>
                <w:szCs w:val="22"/>
                <w:lang w:eastAsia="en-US"/>
              </w:rPr>
              <w:t>Emiliano Sibio</w:t>
            </w:r>
          </w:p>
          <w:p w14:paraId="4140293B" w14:textId="77777777" w:rsidR="00501E02" w:rsidRDefault="00501E02" w:rsidP="002C489F">
            <w:pPr>
              <w:pStyle w:val="NormaleWeb"/>
              <w:spacing w:beforeAutospacing="0" w:afterAutospacing="0" w:line="276" w:lineRule="auto"/>
              <w:rPr>
                <w:rFonts w:ascii="Arial" w:hAnsi="Arial" w:cs="Arial"/>
                <w:color w:val="000000"/>
                <w:lang w:eastAsia="en-US"/>
              </w:rPr>
            </w:pPr>
            <w:r>
              <w:rPr>
                <w:rFonts w:ascii="Arial" w:hAnsi="Arial" w:cs="Arial"/>
                <w:color w:val="000000"/>
                <w:lang w:eastAsia="en-US"/>
              </w:rPr>
              <w:t>tel. +39 06 4673.6028</w:t>
            </w:r>
          </w:p>
          <w:p w14:paraId="557AA4CF" w14:textId="77777777" w:rsidR="00501E02" w:rsidRDefault="00000000" w:rsidP="002C489F">
            <w:pPr>
              <w:pStyle w:val="NormaleWeb"/>
              <w:spacing w:beforeAutospacing="0" w:afterAutospacing="0" w:line="276" w:lineRule="auto"/>
              <w:rPr>
                <w:rFonts w:ascii="Arial" w:hAnsi="Arial" w:cs="Arial"/>
                <w:b/>
                <w:bCs/>
                <w:color w:val="CD242F"/>
                <w:sz w:val="22"/>
                <w:szCs w:val="22"/>
                <w:lang w:eastAsia="en-US"/>
              </w:rPr>
            </w:pPr>
            <w:hyperlink r:id="rId57" w:history="1">
              <w:r w:rsidR="00501E02">
                <w:rPr>
                  <w:rStyle w:val="Collegamentoipertestuale"/>
                  <w:rFonts w:ascii="Arial" w:hAnsi="Arial" w:cs="Arial"/>
                  <w:lang w:eastAsia="en-US"/>
                </w:rPr>
                <w:t>sibio@istat.it</w:t>
              </w:r>
            </w:hyperlink>
          </w:p>
        </w:tc>
        <w:tc>
          <w:tcPr>
            <w:tcW w:w="6979" w:type="dxa"/>
            <w:tcBorders>
              <w:top w:val="dotted" w:sz="4" w:space="0" w:color="808080"/>
              <w:left w:val="nil"/>
              <w:bottom w:val="nil"/>
              <w:right w:val="nil"/>
            </w:tcBorders>
            <w:tcMar>
              <w:top w:w="170" w:type="dxa"/>
              <w:left w:w="0" w:type="dxa"/>
              <w:bottom w:w="0" w:type="dxa"/>
              <w:right w:w="0" w:type="dxa"/>
            </w:tcMar>
            <w:hideMark/>
          </w:tcPr>
          <w:p w14:paraId="5D117403" w14:textId="77777777" w:rsidR="00501E02" w:rsidRDefault="00501E02" w:rsidP="002C489F">
            <w:pPr>
              <w:pStyle w:val="NormaleWeb"/>
              <w:spacing w:beforeAutospacing="0" w:afterAutospacing="0" w:line="276" w:lineRule="auto"/>
              <w:rPr>
                <w:rFonts w:ascii="Arial" w:hAnsi="Arial" w:cs="Arial"/>
                <w:b/>
                <w:bCs/>
                <w:color w:val="CD242F"/>
                <w:sz w:val="22"/>
                <w:szCs w:val="22"/>
                <w:lang w:eastAsia="en-US"/>
              </w:rPr>
            </w:pPr>
            <w:r>
              <w:rPr>
                <w:rFonts w:ascii="Arial" w:hAnsi="Arial" w:cs="Arial"/>
                <w:b/>
                <w:bCs/>
                <w:color w:val="CD242F"/>
                <w:sz w:val="22"/>
                <w:szCs w:val="22"/>
                <w:lang w:eastAsia="en-US"/>
              </w:rPr>
              <w:t>Lorenzo D’Orazio</w:t>
            </w:r>
          </w:p>
          <w:p w14:paraId="019C76A1" w14:textId="77777777" w:rsidR="00501E02" w:rsidRDefault="00501E02" w:rsidP="002C489F">
            <w:pPr>
              <w:pStyle w:val="NormaleWeb"/>
              <w:spacing w:beforeAutospacing="0" w:afterAutospacing="0" w:line="276" w:lineRule="auto"/>
              <w:rPr>
                <w:rFonts w:ascii="Arial" w:hAnsi="Arial" w:cs="Arial"/>
                <w:color w:val="000000"/>
                <w:lang w:eastAsia="en-US"/>
              </w:rPr>
            </w:pPr>
            <w:r>
              <w:rPr>
                <w:rFonts w:ascii="Arial" w:hAnsi="Arial" w:cs="Arial"/>
                <w:color w:val="000000"/>
                <w:lang w:eastAsia="en-US"/>
              </w:rPr>
              <w:t>tel. +39 06 4673.6281</w:t>
            </w:r>
          </w:p>
          <w:p w14:paraId="6A7FA24D" w14:textId="77777777" w:rsidR="00501E02" w:rsidRDefault="00000000" w:rsidP="002C489F">
            <w:pPr>
              <w:pStyle w:val="NormaleWeb"/>
              <w:spacing w:beforeAutospacing="0" w:afterAutospacing="0" w:line="276" w:lineRule="auto"/>
              <w:rPr>
                <w:rFonts w:ascii="Arial" w:hAnsi="Arial" w:cs="Arial"/>
                <w:b/>
                <w:bCs/>
                <w:color w:val="CD242F"/>
                <w:sz w:val="22"/>
                <w:szCs w:val="22"/>
                <w:lang w:eastAsia="en-US"/>
              </w:rPr>
            </w:pPr>
            <w:hyperlink r:id="rId58" w:history="1">
              <w:r w:rsidR="00501E02" w:rsidRPr="00B86CCC">
                <w:rPr>
                  <w:rStyle w:val="Collegamentoipertestuale"/>
                  <w:rFonts w:ascii="Arial" w:hAnsi="Arial" w:cs="Arial"/>
                  <w:lang w:eastAsia="en-US"/>
                </w:rPr>
                <w:t>lodorazi@istat.it</w:t>
              </w:r>
            </w:hyperlink>
          </w:p>
        </w:tc>
      </w:tr>
    </w:tbl>
    <w:p w14:paraId="4D473B1F" w14:textId="77777777" w:rsidR="00501E02" w:rsidRDefault="00501E02" w:rsidP="00501E02">
      <w:pPr>
        <w:pStyle w:val="Default"/>
        <w:spacing w:after="120"/>
        <w:jc w:val="both"/>
        <w:rPr>
          <w:rFonts w:ascii="Arial" w:hAnsi="Arial" w:cs="Arial"/>
          <w:sz w:val="20"/>
          <w:szCs w:val="20"/>
        </w:rPr>
      </w:pPr>
    </w:p>
    <w:p w14:paraId="40B3FF42" w14:textId="77777777" w:rsidR="00501E02" w:rsidRPr="00C9631A" w:rsidRDefault="00501E02" w:rsidP="00501E02">
      <w:pPr>
        <w:spacing w:after="120"/>
        <w:rPr>
          <w:rFonts w:ascii="Arial" w:hAnsi="Arial" w:cs="Arial"/>
          <w:sz w:val="20"/>
          <w:szCs w:val="20"/>
        </w:rPr>
      </w:pPr>
    </w:p>
    <w:p w14:paraId="47B26564" w14:textId="2455F8CA" w:rsidR="00257DC4" w:rsidRPr="00397FAC" w:rsidRDefault="00257DC4" w:rsidP="00257DC4">
      <w:pPr>
        <w:spacing w:after="120"/>
        <w:rPr>
          <w:rFonts w:ascii="Arial" w:hAnsi="Arial" w:cs="Arial"/>
          <w:b/>
          <w:szCs w:val="28"/>
        </w:rPr>
      </w:pPr>
    </w:p>
    <w:sectPr w:rsidR="00257DC4" w:rsidRPr="00397FAC" w:rsidSect="00B81D29">
      <w:headerReference w:type="default" r:id="rId59"/>
      <w:pgSz w:w="11907" w:h="16840" w:code="9"/>
      <w:pgMar w:top="1534" w:right="851" w:bottom="680" w:left="851" w:header="567" w:footer="567"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3FC05" w14:textId="77777777" w:rsidR="00D330D5" w:rsidRDefault="00D330D5">
      <w:r>
        <w:separator/>
      </w:r>
    </w:p>
  </w:endnote>
  <w:endnote w:type="continuationSeparator" w:id="0">
    <w:p w14:paraId="70A303D2" w14:textId="77777777" w:rsidR="00D330D5" w:rsidRDefault="00D33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Roman">
    <w:altName w:val="Times New Roman"/>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D454E" w14:textId="0BDF16C1" w:rsidR="0055610F" w:rsidRPr="002548DD" w:rsidRDefault="0055610F" w:rsidP="002548DD">
    <w:pPr>
      <w:pStyle w:val="Pidipagina"/>
      <w:ind w:left="1560"/>
      <w:rPr>
        <w:rFonts w:ascii="Calibri" w:hAnsi="Calibri"/>
      </w:rPr>
    </w:pPr>
    <w:r w:rsidRPr="00AA5409">
      <w:rPr>
        <w:rFonts w:ascii="Calibri" w:hAnsi="Calibri"/>
        <w:b/>
        <w:noProof/>
        <w:color w:val="E42618"/>
        <w:szCs w:val="28"/>
      </w:rPr>
      <w:drawing>
        <wp:anchor distT="0" distB="0" distL="114300" distR="114300" simplePos="0" relativeHeight="251656192" behindDoc="0" locked="0" layoutInCell="1" allowOverlap="1" wp14:anchorId="75D3DE23" wp14:editId="3DC2B47C">
          <wp:simplePos x="0" y="0"/>
          <wp:positionH relativeFrom="column">
            <wp:posOffset>13335</wp:posOffset>
          </wp:positionH>
          <wp:positionV relativeFrom="paragraph">
            <wp:posOffset>-50800</wp:posOffset>
          </wp:positionV>
          <wp:extent cx="943610" cy="390525"/>
          <wp:effectExtent l="0" t="0" r="0" b="0"/>
          <wp:wrapNone/>
          <wp:docPr id="11"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pic:spPr>
              </pic:pic>
            </a:graphicData>
          </a:graphic>
        </wp:anchor>
      </w:drawing>
    </w:r>
    <w:r w:rsidRPr="00AA5409">
      <w:rPr>
        <w:rStyle w:val="Numeropagina"/>
        <w:rFonts w:ascii="Calibri" w:hAnsi="Calibri"/>
        <w:b/>
        <w:color w:val="E42618"/>
        <w:szCs w:val="28"/>
      </w:rPr>
      <w:t>|</w:t>
    </w:r>
    <w:r>
      <w:rPr>
        <w:rStyle w:val="Numeropagina"/>
        <w:rFonts w:ascii="Calibri" w:hAnsi="Calibri"/>
        <w:color w:val="E31C18"/>
        <w:sz w:val="28"/>
        <w:szCs w:val="28"/>
      </w:rPr>
      <w:t xml:space="preserve"> </w:t>
    </w:r>
    <w:r w:rsidRPr="00AA5409">
      <w:rPr>
        <w:rFonts w:ascii="Calibri" w:hAnsi="Calibri" w:cs="Arial"/>
        <w:color w:val="5F5F5F"/>
      </w:rPr>
      <w:fldChar w:fldCharType="begin"/>
    </w:r>
    <w:r w:rsidRPr="00AA5409">
      <w:rPr>
        <w:rFonts w:ascii="Calibri" w:hAnsi="Calibri" w:cs="Arial"/>
        <w:color w:val="5F5F5F"/>
      </w:rPr>
      <w:instrText>PAGE   \* MERGEFORMAT</w:instrText>
    </w:r>
    <w:r w:rsidRPr="00AA5409">
      <w:rPr>
        <w:rFonts w:ascii="Calibri" w:hAnsi="Calibri" w:cs="Arial"/>
        <w:color w:val="5F5F5F"/>
      </w:rPr>
      <w:fldChar w:fldCharType="separate"/>
    </w:r>
    <w:r w:rsidR="009C7762">
      <w:rPr>
        <w:rFonts w:ascii="Calibri" w:hAnsi="Calibri" w:cs="Arial"/>
        <w:noProof/>
        <w:color w:val="5F5F5F"/>
      </w:rPr>
      <w:t>3</w:t>
    </w:r>
    <w:r w:rsidRPr="00AA5409">
      <w:rPr>
        <w:rFonts w:ascii="Calibri" w:hAnsi="Calibri" w:cs="Arial"/>
        <w:color w:val="5F5F5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EB521" w14:textId="77777777" w:rsidR="00D330D5" w:rsidRDefault="00D330D5">
      <w:r>
        <w:separator/>
      </w:r>
    </w:p>
  </w:footnote>
  <w:footnote w:type="continuationSeparator" w:id="0">
    <w:p w14:paraId="096299F3" w14:textId="77777777" w:rsidR="00D330D5" w:rsidRDefault="00D330D5">
      <w:r>
        <w:continuationSeparator/>
      </w:r>
    </w:p>
  </w:footnote>
  <w:footnote w:id="1">
    <w:p w14:paraId="54546F80" w14:textId="77777777" w:rsidR="0055610F" w:rsidRPr="00E74CD4" w:rsidRDefault="0055610F" w:rsidP="00501E02">
      <w:pPr>
        <w:pStyle w:val="Testonotaapidipagina"/>
        <w:jc w:val="both"/>
        <w:rPr>
          <w:rFonts w:ascii="Arial Narrow" w:hAnsi="Arial Narrow"/>
          <w:sz w:val="15"/>
          <w:szCs w:val="15"/>
        </w:rPr>
      </w:pPr>
      <w:r w:rsidRPr="00AF0A9F">
        <w:rPr>
          <w:rFonts w:ascii="Arial Narrow" w:hAnsi="Arial Narrow" w:cs="Arial"/>
          <w:sz w:val="15"/>
          <w:szCs w:val="15"/>
          <w:vertAlign w:val="superscript"/>
        </w:rPr>
        <w:footnoteRef/>
      </w:r>
      <w:r w:rsidRPr="00E74CD4">
        <w:rPr>
          <w:rFonts w:ascii="Arial Narrow" w:hAnsi="Arial Narrow" w:cs="Arial"/>
          <w:sz w:val="15"/>
          <w:szCs w:val="15"/>
        </w:rPr>
        <w:t xml:space="preserve"> I</w:t>
      </w:r>
      <w:r>
        <w:rPr>
          <w:rFonts w:ascii="Arial Narrow" w:hAnsi="Arial Narrow" w:cs="Arial"/>
          <w:sz w:val="15"/>
          <w:szCs w:val="15"/>
        </w:rPr>
        <w:t>n conseguenza dell’innalzamento della soglia di esenzione introdotto a partire da gennaio 2022, il</w:t>
      </w:r>
      <w:r w:rsidRPr="00E74CD4">
        <w:rPr>
          <w:rFonts w:ascii="Arial Narrow" w:hAnsi="Arial Narrow" w:cs="Arial"/>
          <w:sz w:val="15"/>
          <w:szCs w:val="15"/>
        </w:rPr>
        <w:t xml:space="preserve"> numero degli operatori tenuti a presentare il modello mensile Intrastat per gli acquisti </w:t>
      </w:r>
      <w:r>
        <w:rPr>
          <w:rFonts w:ascii="Arial Narrow" w:hAnsi="Arial Narrow" w:cs="Arial"/>
          <w:sz w:val="15"/>
          <w:szCs w:val="15"/>
        </w:rPr>
        <w:t>passa a</w:t>
      </w:r>
      <w:r w:rsidRPr="00E74CD4">
        <w:rPr>
          <w:rFonts w:ascii="Arial Narrow" w:hAnsi="Arial Narrow" w:cs="Arial"/>
          <w:sz w:val="15"/>
          <w:szCs w:val="15"/>
        </w:rPr>
        <w:t xml:space="preserve"> </w:t>
      </w:r>
      <w:r>
        <w:rPr>
          <w:rFonts w:ascii="Arial Narrow" w:hAnsi="Arial Narrow" w:cs="Arial"/>
          <w:sz w:val="15"/>
          <w:szCs w:val="15"/>
        </w:rPr>
        <w:t xml:space="preserve">14.000 </w:t>
      </w:r>
      <w:r w:rsidRPr="00E74CD4">
        <w:rPr>
          <w:rFonts w:ascii="Arial Narrow" w:hAnsi="Arial Narrow" w:cs="Arial"/>
          <w:sz w:val="15"/>
          <w:szCs w:val="15"/>
        </w:rPr>
        <w:t xml:space="preserve">rispetto ai </w:t>
      </w:r>
      <w:r>
        <w:rPr>
          <w:rFonts w:ascii="Arial Narrow" w:hAnsi="Arial Narrow" w:cs="Arial"/>
          <w:sz w:val="15"/>
          <w:szCs w:val="15"/>
        </w:rPr>
        <w:t>18.</w:t>
      </w:r>
      <w:r w:rsidRPr="00D42794">
        <w:rPr>
          <w:rFonts w:ascii="Arial Narrow" w:hAnsi="Arial Narrow" w:cs="Arial"/>
          <w:sz w:val="15"/>
          <w:szCs w:val="15"/>
        </w:rPr>
        <w:t xml:space="preserve">000 </w:t>
      </w:r>
      <w:r>
        <w:rPr>
          <w:rFonts w:ascii="Arial Narrow" w:hAnsi="Arial Narrow" w:cs="Arial"/>
          <w:sz w:val="15"/>
          <w:szCs w:val="15"/>
        </w:rPr>
        <w:t xml:space="preserve"> soggetti obbligati del 2021</w:t>
      </w:r>
      <w:r w:rsidRPr="00E74CD4">
        <w:rPr>
          <w:rFonts w:ascii="Arial Narrow" w:hAnsi="Arial Narrow" w:cs="Arial"/>
          <w:sz w:val="15"/>
          <w:szCs w:val="15"/>
        </w:rPr>
        <w:t>.</w:t>
      </w:r>
      <w:r w:rsidRPr="00E74CD4">
        <w:rPr>
          <w:rFonts w:ascii="Arial Narrow" w:hAnsi="Arial Narrow"/>
          <w:sz w:val="15"/>
          <w:szCs w:val="15"/>
        </w:rPr>
        <w:t xml:space="preserve"> </w:t>
      </w:r>
    </w:p>
  </w:footnote>
  <w:footnote w:id="2">
    <w:p w14:paraId="46466A40" w14:textId="77777777" w:rsidR="0055610F" w:rsidRPr="00E74CD4" w:rsidRDefault="0055610F" w:rsidP="00501E02">
      <w:pPr>
        <w:pStyle w:val="Testonotaapidipagina"/>
        <w:jc w:val="both"/>
        <w:rPr>
          <w:rFonts w:ascii="Arial Narrow" w:hAnsi="Arial Narrow" w:cs="Arial"/>
          <w:sz w:val="15"/>
          <w:szCs w:val="15"/>
        </w:rPr>
      </w:pPr>
      <w:r w:rsidRPr="00E74CD4">
        <w:rPr>
          <w:rStyle w:val="Rimandonotaapidipagina"/>
          <w:rFonts w:ascii="Arial Narrow" w:hAnsi="Arial Narrow"/>
          <w:sz w:val="15"/>
          <w:szCs w:val="15"/>
        </w:rPr>
        <w:footnoteRef/>
      </w:r>
      <w:r w:rsidRPr="00E74CD4">
        <w:rPr>
          <w:rFonts w:ascii="Arial Narrow" w:hAnsi="Arial Narrow"/>
          <w:sz w:val="15"/>
          <w:szCs w:val="15"/>
        </w:rPr>
        <w:t xml:space="preserve"> </w:t>
      </w:r>
      <w:r w:rsidRPr="00E74CD4">
        <w:rPr>
          <w:rFonts w:ascii="Arial Narrow" w:hAnsi="Arial Narrow" w:cs="Arial"/>
          <w:sz w:val="15"/>
          <w:szCs w:val="15"/>
        </w:rPr>
        <w:t>Le serie storiche dei valori di importazioni ed esportazioni per RPI sono state ricostruite e possono, quindi, differire da quelle precedentemente pubblicate.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D952" w14:textId="77777777" w:rsidR="0055610F" w:rsidRPr="009E5F03" w:rsidRDefault="0055610F" w:rsidP="009E5F03">
    <w:pPr>
      <w:pStyle w:val="Intestazione"/>
    </w:pPr>
    <w:r>
      <w:rPr>
        <w:noProof/>
      </w:rPr>
      <mc:AlternateContent>
        <mc:Choice Requires="wps">
          <w:drawing>
            <wp:anchor distT="0" distB="0" distL="114300" distR="114300" simplePos="0" relativeHeight="251657216" behindDoc="0" locked="0" layoutInCell="1" allowOverlap="1" wp14:anchorId="7BFABAE4" wp14:editId="5CE0B1B7">
              <wp:simplePos x="0" y="0"/>
              <wp:positionH relativeFrom="column">
                <wp:posOffset>552450</wp:posOffset>
              </wp:positionH>
              <wp:positionV relativeFrom="paragraph">
                <wp:posOffset>65405</wp:posOffset>
              </wp:positionV>
              <wp:extent cx="1824355" cy="390525"/>
              <wp:effectExtent l="0" t="0" r="4445" b="0"/>
              <wp:wrapNone/>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390525"/>
                      </a:xfrm>
                      <a:prstGeom prst="rect">
                        <a:avLst/>
                      </a:prstGeom>
                      <a:solidFill>
                        <a:srgbClr val="FFFFFF"/>
                      </a:solidFill>
                      <a:ln w="9525">
                        <a:solidFill>
                          <a:srgbClr val="FFFFFF"/>
                        </a:solidFill>
                        <a:miter lim="800000"/>
                        <a:headEnd/>
                        <a:tailEnd/>
                      </a:ln>
                    </wps:spPr>
                    <wps:txbx>
                      <w:txbxContent>
                        <w:p w14:paraId="0CF4011B" w14:textId="77777777" w:rsidR="0055610F" w:rsidRPr="000F5A7E" w:rsidRDefault="0055610F" w:rsidP="00862146">
                          <w:pPr>
                            <w:pStyle w:val="Intestazione"/>
                            <w:spacing w:line="200" w:lineRule="exact"/>
                            <w:rPr>
                              <w:rFonts w:ascii="Arial Narrow" w:hAnsi="Arial Narrow"/>
                              <w:b/>
                              <w:color w:val="808080"/>
                              <w:sz w:val="20"/>
                            </w:rPr>
                          </w:pPr>
                          <w:r w:rsidRPr="000F5A7E">
                            <w:rPr>
                              <w:rFonts w:ascii="Arial Narrow" w:hAnsi="Arial Narrow"/>
                              <w:b/>
                              <w:color w:val="808080"/>
                              <w:sz w:val="20"/>
                            </w:rPr>
                            <w:t>COMMERCIO ESTERO E PREZZI ALL’IMPORT</w:t>
                          </w:r>
                        </w:p>
                        <w:p w14:paraId="07DB22BB" w14:textId="77777777" w:rsidR="0055610F" w:rsidRPr="00E26DB7" w:rsidRDefault="0055610F" w:rsidP="00862146">
                          <w:pPr>
                            <w:pStyle w:val="Intestazione"/>
                            <w:spacing w:line="200" w:lineRule="exact"/>
                            <w:rPr>
                              <w:rFonts w:ascii="Arial Narrow" w:hAnsi="Arial Narrow"/>
                              <w:b/>
                              <w:color w:val="5F5F5F"/>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BFABAE4" id="_x0000_t202" coordsize="21600,21600" o:spt="202" path="m,l,21600r21600,l21600,xe">
              <v:stroke joinstyle="miter"/>
              <v:path gradientshapeok="t" o:connecttype="rect"/>
            </v:shapetype>
            <v:shape id="_x0000_s1027" type="#_x0000_t202" style="position:absolute;margin-left:43.5pt;margin-top:5.15pt;width:143.65pt;height:30.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ZqHQIAAEgEAAAOAAAAZHJzL2Uyb0RvYy54bWysVFFv0zAQfkfiP1h+p2k7irqo6TQ6ipDG&#10;QBr8gIvjJBaOz9huk/LrOTtNN+Btwg/WOT5/9913d9ncDJ1mR+m8QlPwxWzOmTQCK2Wagn//tn+z&#10;5swHMBVoNLLgJ+n5zfb1q01vc7nEFnUlHSMQ4/PeFrwNweZZ5kUrO/AztNLQZY2ug0BH12SVg57Q&#10;O50t5/N3WY+usg6F9J6+3o2XfJvw61qK8KWuvQxMF5y4hbS7tJdxz7YbyBsHtlXiTANewKIDZSjo&#10;BeoOArCDU/9AdUo49FiHmcAuw7pWQqYcKJvF/K9sHluwMuVC4nh7kcn/P1jxcPzqmKoKvuLMQEcl&#10;2oGXWgOrFAvSB2TLqFJvfU7Oj5bcw/AeB6p2ytjbexQ/PDO4a8E08tY57FsJFbFcxJfZs6cjjo8g&#10;Zf8ZKwoHh4AJaKhdFyUkURihU7VOlwrJITARQ66Xb69WRFXQ3dX1fLVcpRCQT6+t8+GjxI5Fo+CO&#10;OiChw/Heh8gG8sklBvOoVbVXWqeDa8qdduwI1C37tM7of7hpw/qCX8fYL4XoVKC216or+HoeV4wD&#10;eZTtg6mSHUDp0SbK2px1jNKNIoahHMgxiltidSJFHY7tTeNIRovuF2c9tXbB/c8DOMmZ/mSoKnEO&#10;JsNNRjkZYAQ9LXjgbDR3YZyXg3WqaQl5qvstVW6vkqhPLM48qV2T1ufRivPw/Jy8nn4A298AAAD/&#10;/wMAUEsDBBQABgAIAAAAIQBWSs0Z3AAAAAgBAAAPAAAAZHJzL2Rvd25yZXYueG1sTI9BT8MwDIXv&#10;SPsPkSdxY+koIqU0ndDQdhoHBtyzxmsrGqdq0q3995gT3Gy/p+fvFZvJdeKCQ2g9aVivEhBIlbct&#10;1Ro+P3Z3GYgQDVnTeUINMwbYlIubwuTWX+kdL8dYCw6hkBsNTYx9LmWoGnQmrHyPxNrZD85EXoda&#10;2sFcOdx18j5JHqUzLfGHxvS4bbD6Po5Ow9nJ9IsOW/Wkpv4w78d0fn0jrW+X08sziIhT/DPDLz6j&#10;Q8lMJz+SDaLTkCmuEvmepCBYT9UDDycNap2BLAv5v0D5AwAA//8DAFBLAQItABQABgAIAAAAIQC2&#10;gziS/gAAAOEBAAATAAAAAAAAAAAAAAAAAAAAAABbQ29udGVudF9UeXBlc10ueG1sUEsBAi0AFAAG&#10;AAgAAAAhADj9If/WAAAAlAEAAAsAAAAAAAAAAAAAAAAALwEAAF9yZWxzLy5yZWxzUEsBAi0AFAAG&#10;AAgAAAAhALbRJmodAgAASAQAAA4AAAAAAAAAAAAAAAAALgIAAGRycy9lMm9Eb2MueG1sUEsBAi0A&#10;FAAGAAgAAAAhAFZKzRncAAAACAEAAA8AAAAAAAAAAAAAAAAAdwQAAGRycy9kb3ducmV2LnhtbFBL&#10;BQYAAAAABAAEAPMAAACABQAAAAA=&#10;" strokecolor="white">
              <v:textbox style="mso-fit-shape-to-text:t" inset="0,0,0,0">
                <w:txbxContent>
                  <w:p w14:paraId="0CF4011B" w14:textId="77777777" w:rsidR="0055610F" w:rsidRPr="000F5A7E" w:rsidRDefault="0055610F" w:rsidP="00862146">
                    <w:pPr>
                      <w:pStyle w:val="Intestazione"/>
                      <w:spacing w:line="200" w:lineRule="exact"/>
                      <w:rPr>
                        <w:rFonts w:ascii="Arial Narrow" w:hAnsi="Arial Narrow"/>
                        <w:b/>
                        <w:color w:val="808080"/>
                        <w:sz w:val="20"/>
                      </w:rPr>
                    </w:pPr>
                    <w:r w:rsidRPr="000F5A7E">
                      <w:rPr>
                        <w:rFonts w:ascii="Arial Narrow" w:hAnsi="Arial Narrow"/>
                        <w:b/>
                        <w:color w:val="808080"/>
                        <w:sz w:val="20"/>
                      </w:rPr>
                      <w:t>COMMERCIO ESTERO E PREZZI ALL’IMPORT</w:t>
                    </w:r>
                  </w:p>
                  <w:p w14:paraId="07DB22BB" w14:textId="77777777" w:rsidR="0055610F" w:rsidRPr="00E26DB7" w:rsidRDefault="0055610F" w:rsidP="00862146">
                    <w:pPr>
                      <w:pStyle w:val="Intestazione"/>
                      <w:spacing w:line="200" w:lineRule="exact"/>
                      <w:rPr>
                        <w:rFonts w:ascii="Arial Narrow" w:hAnsi="Arial Narrow"/>
                        <w:b/>
                        <w:color w:val="5F5F5F"/>
                      </w:rPr>
                    </w:pPr>
                  </w:p>
                </w:txbxContent>
              </v:textbox>
            </v:shape>
          </w:pict>
        </mc:Fallback>
      </mc:AlternateContent>
    </w:r>
    <w:r>
      <w:rPr>
        <w:noProof/>
      </w:rPr>
      <w:drawing>
        <wp:inline distT="0" distB="0" distL="0" distR="0" wp14:anchorId="330EA11B" wp14:editId="53476AAA">
          <wp:extent cx="6477000" cy="581025"/>
          <wp:effectExtent l="0" t="0" r="0" b="0"/>
          <wp:docPr id="9" name="Immagine 9"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810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140CE" w14:textId="2D91102F" w:rsidR="0055610F" w:rsidRDefault="0055610F" w:rsidP="004342C5">
    <w:pPr>
      <w:pStyle w:val="Intestazione"/>
      <w:rPr>
        <w:sz w:val="20"/>
        <w:szCs w:val="20"/>
      </w:rPr>
    </w:pPr>
    <w:r>
      <w:rPr>
        <w:noProof/>
      </w:rPr>
      <w:drawing>
        <wp:anchor distT="0" distB="0" distL="114300" distR="114300" simplePos="0" relativeHeight="251665408" behindDoc="0" locked="0" layoutInCell="1" allowOverlap="1" wp14:anchorId="729C517F" wp14:editId="5D81AF42">
          <wp:simplePos x="0" y="0"/>
          <wp:positionH relativeFrom="column">
            <wp:posOffset>15875</wp:posOffset>
          </wp:positionH>
          <wp:positionV relativeFrom="paragraph">
            <wp:posOffset>-138430</wp:posOffset>
          </wp:positionV>
          <wp:extent cx="5332730" cy="1137920"/>
          <wp:effectExtent l="0" t="0" r="1270" b="5080"/>
          <wp:wrapNone/>
          <wp:docPr id="15" name="Immagine 15" descr="iconeComunicatiRosso-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descr="iconeComunicatiRosso-01"/>
                  <pic:cNvPicPr>
                    <a:picLocks noChangeArrowheads="1"/>
                  </pic:cNvPicPr>
                </pic:nvPicPr>
                <pic:blipFill>
                  <a:blip r:embed="rId1">
                    <a:extLst>
                      <a:ext uri="{28A0092B-C50C-407E-A947-70E740481C1C}">
                        <a14:useLocalDpi xmlns:a14="http://schemas.microsoft.com/office/drawing/2010/main" val="0"/>
                      </a:ext>
                    </a:extLst>
                  </a:blip>
                  <a:srcRect l="5" t="-12706" r="16052" b="7286"/>
                  <a:stretch>
                    <a:fillRect/>
                  </a:stretch>
                </pic:blipFill>
                <pic:spPr bwMode="auto">
                  <a:xfrm>
                    <a:off x="0" y="0"/>
                    <a:ext cx="5332730" cy="113792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71EF73FD" wp14:editId="002A6955">
              <wp:simplePos x="0" y="0"/>
              <wp:positionH relativeFrom="column">
                <wp:posOffset>5434965</wp:posOffset>
              </wp:positionH>
              <wp:positionV relativeFrom="paragraph">
                <wp:posOffset>363855</wp:posOffset>
              </wp:positionV>
              <wp:extent cx="994410" cy="701675"/>
              <wp:effectExtent l="0" t="0" r="0" b="3175"/>
              <wp:wrapNone/>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4410" cy="701675"/>
                      </a:xfrm>
                      <a:prstGeom prst="rect">
                        <a:avLst/>
                      </a:prstGeom>
                      <a:solidFill>
                        <a:sysClr val="window" lastClr="FFFFFF"/>
                      </a:solidFill>
                      <a:ln w="6350">
                        <a:noFill/>
                      </a:ln>
                    </wps:spPr>
                    <wps:txbx>
                      <w:txbxContent>
                        <w:p w14:paraId="12715719" w14:textId="77777777" w:rsidR="0055610F" w:rsidRPr="004342C5" w:rsidRDefault="0055610F" w:rsidP="004342C5">
                          <w:pPr>
                            <w:spacing w:after="120" w:line="180" w:lineRule="exact"/>
                            <w:rPr>
                              <w:rFonts w:ascii="Arial Narrow" w:hAnsi="Arial Narrow"/>
                              <w:sz w:val="18"/>
                              <w:szCs w:val="18"/>
                            </w:rPr>
                          </w:pPr>
                          <w:r w:rsidRPr="004342C5">
                            <w:rPr>
                              <w:rFonts w:ascii="Arial Narrow" w:hAnsi="Arial Narrow"/>
                              <w:sz w:val="18"/>
                              <w:szCs w:val="18"/>
                            </w:rPr>
                            <w:t>http://www.istat.it</w:t>
                          </w:r>
                        </w:p>
                        <w:p w14:paraId="2127246A" w14:textId="77777777" w:rsidR="0055610F" w:rsidRDefault="0055610F" w:rsidP="004342C5">
                          <w:pPr>
                            <w:spacing w:after="120" w:line="180" w:lineRule="exact"/>
                            <w:rPr>
                              <w:rFonts w:ascii="Arial Narrow" w:hAnsi="Arial Narrow"/>
                              <w:b/>
                              <w:bCs/>
                              <w:sz w:val="18"/>
                              <w:szCs w:val="18"/>
                              <w:lang w:val="en-US"/>
                            </w:rPr>
                          </w:pPr>
                          <w:r w:rsidRPr="004342C5">
                            <w:rPr>
                              <w:rFonts w:ascii="Arial Narrow" w:hAnsi="Arial Narrow"/>
                              <w:b/>
                              <w:bCs/>
                              <w:sz w:val="18"/>
                              <w:szCs w:val="18"/>
                            </w:rPr>
                            <w:t>Ufficio Stampa</w:t>
                          </w:r>
                          <w:r w:rsidRPr="004342C5">
                            <w:rPr>
                              <w:rFonts w:ascii="Arial Narrow" w:hAnsi="Arial Narrow"/>
                              <w:b/>
                              <w:bCs/>
                              <w:sz w:val="18"/>
                              <w:szCs w:val="18"/>
                            </w:rPr>
                            <w:br/>
                          </w:r>
                          <w:r w:rsidRPr="004342C5">
                            <w:rPr>
                              <w:rFonts w:ascii="Arial Narrow" w:hAnsi="Arial Narrow"/>
                              <w:sz w:val="18"/>
                              <w:szCs w:val="18"/>
                            </w:rPr>
                            <w:t xml:space="preserve">tel. </w:t>
                          </w:r>
                          <w:r>
                            <w:rPr>
                              <w:rFonts w:ascii="Arial Narrow" w:hAnsi="Arial Narrow"/>
                              <w:sz w:val="18"/>
                              <w:szCs w:val="18"/>
                              <w:lang w:val="en-US"/>
                            </w:rPr>
                            <w:t>+39 06 4673.2243/4</w:t>
                          </w:r>
                        </w:p>
                        <w:p w14:paraId="75ACB12C" w14:textId="77777777" w:rsidR="0055610F" w:rsidRDefault="0055610F" w:rsidP="004342C5">
                          <w:pPr>
                            <w:spacing w:after="120" w:line="180" w:lineRule="exact"/>
                            <w:rPr>
                              <w:rFonts w:ascii="Arial Narrow" w:hAnsi="Arial Narrow"/>
                              <w:b/>
                              <w:bCs/>
                              <w:color w:val="7F7F7F"/>
                              <w:sz w:val="18"/>
                              <w:szCs w:val="18"/>
                              <w:lang w:val="en-US"/>
                            </w:rPr>
                          </w:pPr>
                          <w:r>
                            <w:rPr>
                              <w:rFonts w:ascii="Arial Narrow" w:hAnsi="Arial Narrow"/>
                              <w:b/>
                              <w:bCs/>
                              <w:color w:val="7F7F7F"/>
                              <w:sz w:val="18"/>
                              <w:szCs w:val="18"/>
                              <w:lang w:val="en-US"/>
                            </w:rPr>
                            <w:t>ufficiostampa@istat.it</w:t>
                          </w:r>
                        </w:p>
                        <w:p w14:paraId="7D15EDCD" w14:textId="77777777" w:rsidR="0055610F" w:rsidRDefault="0055610F" w:rsidP="004342C5">
                          <w:pPr>
                            <w:rPr>
                              <w:rFonts w:ascii="Arial Narrow" w:hAnsi="Arial Narrow"/>
                              <w:b/>
                              <w:bCs/>
                              <w:color w:val="7F7F7F"/>
                              <w:sz w:val="18"/>
                              <w:szCs w:val="1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F73FD" id="_x0000_t202" coordsize="21600,21600" o:spt="202" path="m,l,21600r21600,l21600,xe">
              <v:stroke joinstyle="miter"/>
              <v:path gradientshapeok="t" o:connecttype="rect"/>
            </v:shapetype>
            <v:shape id="Casella di testo 36" o:spid="_x0000_s1028" type="#_x0000_t202" style="position:absolute;margin-left:427.95pt;margin-top:28.65pt;width:78.3pt;height:5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UjdVAIAAKMEAAAOAAAAZHJzL2Uyb0RvYy54bWysVN1v2jAQf5+0/8Hy+0joB20RoWJUTJNQ&#10;W4lOfTaOA9Ycn+czJOyv39lJ2q7b0zQezNn3/bvfZXbb1oYdlUcNtuDjUc6ZshJKbXcF//a0+nTN&#10;GQZhS2HAqoKfFPLb+ccPs8ZN1RnswZTKMwpicdq4gu9DcNMsQ7lXtcAROGVJWYGvRaCr32WlFw1F&#10;r012lueTrAFfOg9SIdLrXafk8xS/qpQMD1WFKjBTcKotpNOncxvPbD4T050Xbq9lX4b4hypqoS0l&#10;fQl1J4JgB6//CFVr6QGhCiMJdQZVpaVKPVA34/xdN5u9cCr1QuCge4EJ/19YeX989EyXBT+fcGZF&#10;TTNaClTGCFZqFhQGYKQinBqHUzLfOHII7Wdoad6pZ3RrkN+RTLI3Np0DknXEpa18Hf+pY0aONIrT&#10;C/yqDUzS483NxcWYNJJUV/l4cnUZ02avzs5j+KKgZlEouKfppgLEcY2hMx1MYi4Eo8uVNiZdTrg0&#10;nh0FEYH4U0LDmREY6LHgq/Trs/3mZixrCj45v8xTJgsxXpfK2L7hrsfYemi3bQJzPAC2hfJEeHno&#10;mIdOrjQVv6bMj8IT1ahfWp/wQEdlgHJBL3G2B//zb+/RnhhAWs4aom7B8cdBeEUNfbXEjcjzQfCD&#10;sB0Ee6iXQCCMaTGdTCI5+GAGsfJQP9NWLWIWUgkrKVfBwyAuQ7dAtJVSLRbJiNjsRFjbjZMDLeIo&#10;ntpn4V0/r0CDvoeB1GL6bmydbZyVhcUhQKXTTCOuHYo93LQJiRX91sZVe3tPVq/flvkvAAAA//8D&#10;AFBLAwQUAAYACAAAACEAtZAJSuEAAAALAQAADwAAAGRycy9kb3ducmV2LnhtbEyPwU7DMAyG70i8&#10;Q2QkbizdULeuNJ0QGhw4bKLlAbzGa8sap2rSrbw92WncbPnT7+/PNpPpxJkG11pWMJ9FIIgrq1uu&#10;FXyX708JCOeRNXaWScEvOdjk93cZptpe+IvOha9FCGGXooLG+z6V0lUNGXQz2xOH29EOBn1Yh1rq&#10;AS8h3HRyEUVLabDl8KHBnt4aqk7FaBTg5347JuV+akv5sT0V6139c9wp9fgwvb6A8DT5GwxX/aAO&#10;eXA62JG1E52CJI7XAVUQr55BXIFovohBHMK0XCUg80z+75D/AQAA//8DAFBLAQItABQABgAIAAAA&#10;IQC2gziS/gAAAOEBAAATAAAAAAAAAAAAAAAAAAAAAABbQ29udGVudF9UeXBlc10ueG1sUEsBAi0A&#10;FAAGAAgAAAAhADj9If/WAAAAlAEAAAsAAAAAAAAAAAAAAAAALwEAAF9yZWxzLy5yZWxzUEsBAi0A&#10;FAAGAAgAAAAhAITlSN1UAgAAowQAAA4AAAAAAAAAAAAAAAAALgIAAGRycy9lMm9Eb2MueG1sUEsB&#10;Ai0AFAAGAAgAAAAhALWQCUrhAAAACwEAAA8AAAAAAAAAAAAAAAAArgQAAGRycy9kb3ducmV2Lnht&#10;bFBLBQYAAAAABAAEAPMAAAC8BQAAAAA=&#10;" fillcolor="window" stroked="f" strokeweight=".5pt">
              <v:path arrowok="t"/>
              <v:textbox inset="0,0,0,0">
                <w:txbxContent>
                  <w:p w14:paraId="12715719" w14:textId="77777777" w:rsidR="0055610F" w:rsidRPr="004342C5" w:rsidRDefault="0055610F" w:rsidP="004342C5">
                    <w:pPr>
                      <w:spacing w:after="120" w:line="180" w:lineRule="exact"/>
                      <w:rPr>
                        <w:rFonts w:ascii="Arial Narrow" w:hAnsi="Arial Narrow"/>
                        <w:sz w:val="18"/>
                        <w:szCs w:val="18"/>
                      </w:rPr>
                    </w:pPr>
                    <w:r w:rsidRPr="004342C5">
                      <w:rPr>
                        <w:rFonts w:ascii="Arial Narrow" w:hAnsi="Arial Narrow"/>
                        <w:sz w:val="18"/>
                        <w:szCs w:val="18"/>
                      </w:rPr>
                      <w:t>http://www.istat.it</w:t>
                    </w:r>
                  </w:p>
                  <w:p w14:paraId="2127246A" w14:textId="77777777" w:rsidR="0055610F" w:rsidRDefault="0055610F" w:rsidP="004342C5">
                    <w:pPr>
                      <w:spacing w:after="120" w:line="180" w:lineRule="exact"/>
                      <w:rPr>
                        <w:rFonts w:ascii="Arial Narrow" w:hAnsi="Arial Narrow"/>
                        <w:b/>
                        <w:bCs/>
                        <w:sz w:val="18"/>
                        <w:szCs w:val="18"/>
                        <w:lang w:val="en-US"/>
                      </w:rPr>
                    </w:pPr>
                    <w:r w:rsidRPr="004342C5">
                      <w:rPr>
                        <w:rFonts w:ascii="Arial Narrow" w:hAnsi="Arial Narrow"/>
                        <w:b/>
                        <w:bCs/>
                        <w:sz w:val="18"/>
                        <w:szCs w:val="18"/>
                      </w:rPr>
                      <w:t>Ufficio Stampa</w:t>
                    </w:r>
                    <w:r w:rsidRPr="004342C5">
                      <w:rPr>
                        <w:rFonts w:ascii="Arial Narrow" w:hAnsi="Arial Narrow"/>
                        <w:b/>
                        <w:bCs/>
                        <w:sz w:val="18"/>
                        <w:szCs w:val="18"/>
                      </w:rPr>
                      <w:br/>
                    </w:r>
                    <w:r w:rsidRPr="004342C5">
                      <w:rPr>
                        <w:rFonts w:ascii="Arial Narrow" w:hAnsi="Arial Narrow"/>
                        <w:sz w:val="18"/>
                        <w:szCs w:val="18"/>
                      </w:rPr>
                      <w:t xml:space="preserve">tel. </w:t>
                    </w:r>
                    <w:r>
                      <w:rPr>
                        <w:rFonts w:ascii="Arial Narrow" w:hAnsi="Arial Narrow"/>
                        <w:sz w:val="18"/>
                        <w:szCs w:val="18"/>
                        <w:lang w:val="en-US"/>
                      </w:rPr>
                      <w:t>+39 06 4673.2243/4</w:t>
                    </w:r>
                  </w:p>
                  <w:p w14:paraId="75ACB12C" w14:textId="77777777" w:rsidR="0055610F" w:rsidRDefault="0055610F" w:rsidP="004342C5">
                    <w:pPr>
                      <w:spacing w:after="120" w:line="180" w:lineRule="exact"/>
                      <w:rPr>
                        <w:rFonts w:ascii="Arial Narrow" w:hAnsi="Arial Narrow"/>
                        <w:b/>
                        <w:bCs/>
                        <w:color w:val="7F7F7F"/>
                        <w:sz w:val="18"/>
                        <w:szCs w:val="18"/>
                        <w:lang w:val="en-US"/>
                      </w:rPr>
                    </w:pPr>
                    <w:r>
                      <w:rPr>
                        <w:rFonts w:ascii="Arial Narrow" w:hAnsi="Arial Narrow"/>
                        <w:b/>
                        <w:bCs/>
                        <w:color w:val="7F7F7F"/>
                        <w:sz w:val="18"/>
                        <w:szCs w:val="18"/>
                        <w:lang w:val="en-US"/>
                      </w:rPr>
                      <w:t>ufficiostampa@istat.it</w:t>
                    </w:r>
                  </w:p>
                  <w:p w14:paraId="7D15EDCD" w14:textId="77777777" w:rsidR="0055610F" w:rsidRDefault="0055610F" w:rsidP="004342C5">
                    <w:pPr>
                      <w:rPr>
                        <w:rFonts w:ascii="Arial Narrow" w:hAnsi="Arial Narrow"/>
                        <w:b/>
                        <w:bCs/>
                        <w:color w:val="7F7F7F"/>
                        <w:sz w:val="18"/>
                        <w:szCs w:val="18"/>
                        <w:lang w:val="en-US"/>
                      </w:rPr>
                    </w:pPr>
                  </w:p>
                </w:txbxContent>
              </v:textbox>
            </v:shape>
          </w:pict>
        </mc:Fallback>
      </mc:AlternateContent>
    </w:r>
    <w:r>
      <w:rPr>
        <w:noProof/>
      </w:rPr>
      <mc:AlternateContent>
        <mc:Choice Requires="wps">
          <w:drawing>
            <wp:anchor distT="4294967295" distB="4294967295" distL="114300" distR="114300" simplePos="0" relativeHeight="251664384" behindDoc="0" locked="0" layoutInCell="1" allowOverlap="1" wp14:anchorId="0A419EAF" wp14:editId="1D103BB8">
              <wp:simplePos x="0" y="0"/>
              <wp:positionH relativeFrom="column">
                <wp:posOffset>0</wp:posOffset>
              </wp:positionH>
              <wp:positionV relativeFrom="paragraph">
                <wp:posOffset>1082039</wp:posOffset>
              </wp:positionV>
              <wp:extent cx="6414770" cy="0"/>
              <wp:effectExtent l="0" t="0" r="24130" b="19050"/>
              <wp:wrapNone/>
              <wp:docPr id="37" name="Connettore dirit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4770" cy="0"/>
                      </a:xfrm>
                      <a:prstGeom prst="line">
                        <a:avLst/>
                      </a:prstGeom>
                      <a:noFill/>
                      <a:ln w="9525"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line w14:anchorId="2A59623B" id="Connettore diritto 3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85.2pt" to="505.1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hj6QEAAMMDAAAOAAAAZHJzL2Uyb0RvYy54bWysU0tvGjEQvlfqf7B8Lws0hHTFkgOIXtIW&#10;Ke0PmNhe1qpf8jjs8u879gKh7a2qD9Z4Ht+8Pq8eB2vYUUXU3jV8NplyppzwUrtDw39833144AwT&#10;OAnGO9Xwk0L+uH7/btWHWs19541UkRGIw7oPDe9SCnVVoeiUBZz4oBwZWx8tJHrGQyUj9IRuTTWf&#10;Tu+r3kcZohcKkbTb0cjXBb9tlUjf2hZVYqbhVFsqdyz3S76r9QrqQ4TQaXEuA/6hCgvaUdIr1BYS&#10;sNeo/4KyWkSPvk0T4W3l21YLVXqgbmbTP7p57iCo0gsNB8N1TPj/YMXX4z4yLRv+ccmZA0s72njn&#10;VEo+KiZ11CQxMtKk+oA1BWzcPuZexeCew5MXP5Fs1W/G/MAwug1ttNmdmmVDmfzpOnk1JCZIeX83&#10;u1suaUHiYqugvgSGiOmz8pZloeFGuzwUqOH4hCmnhvriktXO77QxZbHGsb7hnxbzBSED0as1kEi0&#10;gRpGd+AMzIF4K1IsiOiNljk64+AJNyayIxB1iHHS95wZwETKhu/KKUHm1X7xcvRbTOnkUVFNY/wo&#10;3uLmWreA3RhRUo40tDrRXzDaNvwh41yAjMvlqMLmc8dv883Si5enfbwsgZhSkp5Znal4+yb59u+t&#10;fwEAAP//AwBQSwMEFAAGAAgAAAAhAArmGR7dAAAACQEAAA8AAABkcnMvZG93bnJldi54bWxMj09L&#10;AzEQxe+C3yGM4M0mreKfdbOlFSuIB3UVvE43083SzWRJ0nb99qYg6HHee7z5vXI+ul7sKcTOs4bp&#10;RIEgbrzpuNXw+bG6uAURE7LB3jNp+KYI8+r0pMTC+AO/075OrcglHAvUYFMaCiljY8lhnPiBOHsb&#10;HxymfIZWmoCHXO56OVPqWjrsOH+wONCDpWZb75wGfnqNd2+r7WN8vqzDJi2WX8sXq/X52bi4B5Fo&#10;TH9hOOJndKgy09rv2ETRa8hDUlZv1BWIo62magZi/SvJqpT/F1Q/AAAA//8DAFBLAQItABQABgAI&#10;AAAAIQC2gziS/gAAAOEBAAATAAAAAAAAAAAAAAAAAAAAAABbQ29udGVudF9UeXBlc10ueG1sUEsB&#10;Ai0AFAAGAAgAAAAhADj9If/WAAAAlAEAAAsAAAAAAAAAAAAAAAAALwEAAF9yZWxzLy5yZWxzUEsB&#10;Ai0AFAAGAAgAAAAhAFQMGGPpAQAAwwMAAA4AAAAAAAAAAAAAAAAALgIAAGRycy9lMm9Eb2MueG1s&#10;UEsBAi0AFAAGAAgAAAAhAArmGR7dAAAACQEAAA8AAAAAAAAAAAAAAAAAQwQAAGRycy9kb3ducmV2&#10;LnhtbFBLBQYAAAAABAAEAPMAAABNBQAAAAA=&#10;" strokecolor="#7f7f7f">
              <v:stroke joinstyle="miter"/>
              <o:lock v:ext="edit" shapetype="f"/>
            </v:line>
          </w:pict>
        </mc:Fallback>
      </mc:AlternateContent>
    </w:r>
  </w:p>
  <w:p w14:paraId="314B2889" w14:textId="428A5D81" w:rsidR="0055610F" w:rsidRPr="004342C5" w:rsidRDefault="0055610F" w:rsidP="004342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9DA63" w14:textId="77777777" w:rsidR="0055610F" w:rsidRPr="009E5F03" w:rsidRDefault="0055610F" w:rsidP="009E5F03">
    <w:pPr>
      <w:pStyle w:val="Intestazione"/>
    </w:pPr>
    <w:r>
      <w:rPr>
        <w:noProof/>
      </w:rPr>
      <mc:AlternateContent>
        <mc:Choice Requires="wps">
          <w:drawing>
            <wp:anchor distT="0" distB="0" distL="114300" distR="114300" simplePos="0" relativeHeight="251659264" behindDoc="0" locked="0" layoutInCell="1" allowOverlap="1" wp14:anchorId="587627AC" wp14:editId="47DCDAFC">
              <wp:simplePos x="0" y="0"/>
              <wp:positionH relativeFrom="column">
                <wp:posOffset>536575</wp:posOffset>
              </wp:positionH>
              <wp:positionV relativeFrom="paragraph">
                <wp:posOffset>60960</wp:posOffset>
              </wp:positionV>
              <wp:extent cx="1752600" cy="390525"/>
              <wp:effectExtent l="0" t="0" r="0" b="0"/>
              <wp:wrapNone/>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90525"/>
                      </a:xfrm>
                      <a:prstGeom prst="rect">
                        <a:avLst/>
                      </a:prstGeom>
                      <a:solidFill>
                        <a:srgbClr val="FFFFFF"/>
                      </a:solidFill>
                      <a:ln w="9525">
                        <a:solidFill>
                          <a:srgbClr val="FFFFFF"/>
                        </a:solidFill>
                        <a:miter lim="800000"/>
                        <a:headEnd/>
                        <a:tailEnd/>
                      </a:ln>
                    </wps:spPr>
                    <wps:txbx>
                      <w:txbxContent>
                        <w:p w14:paraId="57DE39C9" w14:textId="77777777" w:rsidR="0055610F" w:rsidRPr="000F5A7E" w:rsidRDefault="0055610F" w:rsidP="00B72ADE">
                          <w:pPr>
                            <w:pStyle w:val="Intestazione"/>
                            <w:spacing w:line="200" w:lineRule="exact"/>
                            <w:rPr>
                              <w:rFonts w:ascii="Arial Narrow" w:hAnsi="Arial Narrow"/>
                              <w:b/>
                              <w:color w:val="808080"/>
                              <w:sz w:val="20"/>
                            </w:rPr>
                          </w:pPr>
                          <w:r w:rsidRPr="000F5A7E">
                            <w:rPr>
                              <w:rFonts w:ascii="Arial Narrow" w:hAnsi="Arial Narrow"/>
                              <w:b/>
                              <w:color w:val="808080"/>
                              <w:sz w:val="20"/>
                            </w:rPr>
                            <w:t>COMMERCIO ESTERO E PREZZI ALL’IMPORT</w:t>
                          </w:r>
                        </w:p>
                        <w:p w14:paraId="035BC28B" w14:textId="77777777" w:rsidR="0055610F" w:rsidRPr="0017508C" w:rsidRDefault="0055610F" w:rsidP="00B249D0">
                          <w:pPr>
                            <w:pStyle w:val="Intestazione"/>
                            <w:spacing w:line="200" w:lineRule="exact"/>
                            <w:rPr>
                              <w:rFonts w:ascii="Arial Narrow" w:hAnsi="Arial Narrow"/>
                              <w:b/>
                              <w:color w:val="999999"/>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87627AC" id="_x0000_t202" coordsize="21600,21600" o:spt="202" path="m,l,21600r21600,l21600,xe">
              <v:stroke joinstyle="miter"/>
              <v:path gradientshapeok="t" o:connecttype="rect"/>
            </v:shapetype>
            <v:shape id="_x0000_s1029" type="#_x0000_t202" style="position:absolute;margin-left:42.25pt;margin-top:4.8pt;width:138pt;height:30.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HbIAIAAE8EAAAOAAAAZHJzL2Uyb0RvYy54bWysVNtu2zAMfR+wfxD0vtjJlq414hRdugwD&#10;ugvQ7QNoWbaFyaImKbG7ry8lx1m3vRXTg0BZ1CF5DunN9dhrdpTOKzQlXy5yzqQRWCvTlvz7t/2r&#10;S858AFODRiNL/iA9v96+fLEZbCFX2KGupWMEYnwx2JJ3Idgiy7zoZA9+gVYaumzQ9RDo6NqsdjAQ&#10;eq+zVZ5fZAO62joU0nv6ejtd8m3Cbxopwpem8TIwXXLKLaTdpb2Ke7bdQNE6sJ0SpzTgGVn0oAwF&#10;PUPdQgB2cOofqF4Jhx6bsBDYZ9g0SshUA1WzzP+q5r4DK1MtRI63Z5r8/4MVn49fHVN1yd9wZqAn&#10;iXbgpdbAasWC9AHZKrI0WF+Q870l9zC+w5HUThV7e4fih2cGdx2YVt44h0MnoaYsl/Fl9uTphOMj&#10;SDV8wprCwSFgAhob10cKiRRG6KTWw1khOQYmYsi369VFTleC7l5f5evVOoWAYn5tnQ8fJPYsGiV3&#10;1AEJHY53PsRsoJhdYjCPWtV7pXU6uLbaaceOQN2yT+uE/oebNmwo+VWM/VyIXgVqe636kl/mccU4&#10;UETa3ps62QGUnmxKWZsTj5G6icQwVmMS7ixPhfUDEetw6nKaSjI6dL84G6jDS+5/HsBJzvRHQ+LE&#10;cZgNNxvVbIAR9LTkgbPJ3IVpbA7WqbYj5Fn+GxJwrxK3Uekpi1O61LWJ8tOExbF4ek5ev/8D20cA&#10;AAD//wMAUEsDBBQABgAIAAAAIQAIJ6bz2wAAAAcBAAAPAAAAZHJzL2Rvd25yZXYueG1sTI7BToNA&#10;FEX3Jv7D5Jm4swOi0FIejanRVbuw6n7KvAIp84YwQwt/77jS5c29OfcUm8l04kKDay0jxIsIBHFl&#10;dcs1wtfn28MShPOKteosE8JMDjbl7U2hcm2v/EGXg69FgLDLFULjfZ9L6aqGjHIL2xOH7mQHo3yI&#10;Qy31oK4Bbjr5GEWpNKrl8NConrYNVefDaBBORibfvNtmq2zqd/P7mMyve0a8v5te1iA8Tf5vDL/6&#10;QR3K4HS0I2snOoTl03NYIqxSEKFO0ijkI0IWxyDLQv73L38AAAD//wMAUEsBAi0AFAAGAAgAAAAh&#10;ALaDOJL+AAAA4QEAABMAAAAAAAAAAAAAAAAAAAAAAFtDb250ZW50X1R5cGVzXS54bWxQSwECLQAU&#10;AAYACAAAACEAOP0h/9YAAACUAQAACwAAAAAAAAAAAAAAAAAvAQAAX3JlbHMvLnJlbHNQSwECLQAU&#10;AAYACAAAACEAT4hh2yACAABPBAAADgAAAAAAAAAAAAAAAAAuAgAAZHJzL2Uyb0RvYy54bWxQSwEC&#10;LQAUAAYACAAAACEACCem89sAAAAHAQAADwAAAAAAAAAAAAAAAAB6BAAAZHJzL2Rvd25yZXYueG1s&#10;UEsFBgAAAAAEAAQA8wAAAIIFAAAAAA==&#10;" strokecolor="white">
              <v:textbox style="mso-fit-shape-to-text:t" inset="0,0,0,0">
                <w:txbxContent>
                  <w:p w14:paraId="57DE39C9" w14:textId="77777777" w:rsidR="0055610F" w:rsidRPr="000F5A7E" w:rsidRDefault="0055610F" w:rsidP="00B72ADE">
                    <w:pPr>
                      <w:pStyle w:val="Intestazione"/>
                      <w:spacing w:line="200" w:lineRule="exact"/>
                      <w:rPr>
                        <w:rFonts w:ascii="Arial Narrow" w:hAnsi="Arial Narrow"/>
                        <w:b/>
                        <w:color w:val="808080"/>
                        <w:sz w:val="20"/>
                      </w:rPr>
                    </w:pPr>
                    <w:r w:rsidRPr="000F5A7E">
                      <w:rPr>
                        <w:rFonts w:ascii="Arial Narrow" w:hAnsi="Arial Narrow"/>
                        <w:b/>
                        <w:color w:val="808080"/>
                        <w:sz w:val="20"/>
                      </w:rPr>
                      <w:t>COMMERCIO ESTERO E PREZZI ALL’IMPORT</w:t>
                    </w:r>
                  </w:p>
                  <w:p w14:paraId="035BC28B" w14:textId="77777777" w:rsidR="0055610F" w:rsidRPr="0017508C" w:rsidRDefault="0055610F" w:rsidP="00B249D0">
                    <w:pPr>
                      <w:pStyle w:val="Intestazione"/>
                      <w:spacing w:line="200" w:lineRule="exact"/>
                      <w:rPr>
                        <w:rFonts w:ascii="Arial Narrow" w:hAnsi="Arial Narrow"/>
                        <w:b/>
                        <w:color w:val="999999"/>
                      </w:rPr>
                    </w:pPr>
                  </w:p>
                </w:txbxContent>
              </v:textbox>
            </v:shape>
          </w:pict>
        </mc:Fallback>
      </mc:AlternateContent>
    </w:r>
    <w:r w:rsidRPr="00287543">
      <w:rPr>
        <w:noProof/>
      </w:rPr>
      <w:drawing>
        <wp:inline distT="0" distB="0" distL="0" distR="0" wp14:anchorId="7EC9C5CB" wp14:editId="1DB5EB31">
          <wp:extent cx="6477000" cy="590550"/>
          <wp:effectExtent l="0" t="0" r="0" b="0"/>
          <wp:docPr id="7" name="Immagine 7" descr="iconeComunicatiRoss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eComunicatiRosso-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4C4D9" w14:textId="77777777" w:rsidR="0055610F" w:rsidRPr="009E5F03" w:rsidRDefault="0055610F" w:rsidP="009E5F03">
    <w:pPr>
      <w:pStyle w:val="Intestazione"/>
    </w:pPr>
    <w:r>
      <w:rPr>
        <w:noProof/>
      </w:rPr>
      <mc:AlternateContent>
        <mc:Choice Requires="wps">
          <w:drawing>
            <wp:anchor distT="0" distB="0" distL="114300" distR="114300" simplePos="0" relativeHeight="251660288" behindDoc="0" locked="0" layoutInCell="1" allowOverlap="1" wp14:anchorId="670C86BF" wp14:editId="669A4652">
              <wp:simplePos x="0" y="0"/>
              <wp:positionH relativeFrom="column">
                <wp:posOffset>536575</wp:posOffset>
              </wp:positionH>
              <wp:positionV relativeFrom="paragraph">
                <wp:posOffset>60960</wp:posOffset>
              </wp:positionV>
              <wp:extent cx="1752600" cy="263525"/>
              <wp:effectExtent l="0" t="0" r="0" b="3810"/>
              <wp:wrapNone/>
              <wp:docPr id="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3525"/>
                      </a:xfrm>
                      <a:prstGeom prst="rect">
                        <a:avLst/>
                      </a:prstGeom>
                      <a:solidFill>
                        <a:srgbClr val="FFFFFF"/>
                      </a:solidFill>
                      <a:ln w="9525">
                        <a:solidFill>
                          <a:srgbClr val="FFFFFF"/>
                        </a:solidFill>
                        <a:miter lim="800000"/>
                        <a:headEnd/>
                        <a:tailEnd/>
                      </a:ln>
                    </wps:spPr>
                    <wps:txbx>
                      <w:txbxContent>
                        <w:p w14:paraId="0F39A46F" w14:textId="77777777" w:rsidR="0055610F" w:rsidRPr="00E74CD4" w:rsidRDefault="0055610F" w:rsidP="00B249D0">
                          <w:pPr>
                            <w:pStyle w:val="Intestazione"/>
                            <w:spacing w:line="200" w:lineRule="exact"/>
                            <w:rPr>
                              <w:rFonts w:ascii="Arial Narrow" w:hAnsi="Arial Narrow"/>
                              <w:b/>
                              <w:color w:val="808080"/>
                              <w:sz w:val="20"/>
                              <w:szCs w:val="20"/>
                            </w:rPr>
                          </w:pPr>
                          <w:r w:rsidRPr="00E74CD4">
                            <w:rPr>
                              <w:rFonts w:ascii="Arial Narrow" w:hAnsi="Arial Narrow"/>
                              <w:b/>
                              <w:color w:val="808080"/>
                              <w:sz w:val="20"/>
                              <w:szCs w:val="20"/>
                            </w:rPr>
                            <w:t>COMMERCIO ESTERO E PREZZI ALL’IMPORT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70C86BF" id="_x0000_t202" coordsize="21600,21600" o:spt="202" path="m,l,21600r21600,l21600,xe">
              <v:stroke joinstyle="miter"/>
              <v:path gradientshapeok="t" o:connecttype="rect"/>
            </v:shapetype>
            <v:shape id="_x0000_s1030" type="#_x0000_t202" style="position:absolute;margin-left:42.25pt;margin-top:4.8pt;width:138pt;height: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sTXHwIAAE8EAAAOAAAAZHJzL2Uyb0RvYy54bWysVFGP0zAMfkfiP0R5Z9162jiqdadjxxDS&#10;cSAd/AA3TdeINA5Jtnb8epy02x3wdiIPkVPbn+3Pdtc3Q6fZUTqv0JR8MZtzJo3AWpl9yb9/2725&#10;5swHMDVoNLLkJ+n5zeb1q3VvC5lji7qWjhGI8UVvS96GYIss86KVHfgZWmlI2aDrINDT7bPaQU/o&#10;nc7y+XyV9ehq61BI7+nr3ajkm4TfNFKEL03jZWC65JRbSLdLdxXvbLOGYu/AtkpMacALsuhAGQp6&#10;gbqDAOzg1D9QnRIOPTZhJrDLsGmUkKkGqmYx/6uaxxasTLUQOd5eaPL/D1Y8HL86puqSX3FmoKMW&#10;bcFLrYHVigXpA7I8stRbX5DxoyXzMLzHgbqdKvb2HsUPzwxuWzB7eesc9q2EmrJcRM/smeuI4yNI&#10;1X/GmsLBIWACGhrXRQqJFEbo1K3TpUNyCEzEkG+X+WpOKkG6fHW1zJcpBBRnb+t8+CixY1EouaMJ&#10;SOhwvPchZgPF2SQG86hVvVNap4fbV1vt2BFoWnbpTOh/mGnD+pK/i7FfCtGpQGOvVVfy63k8MQ4U&#10;kbYPpk5yAKVHmVLWZuIxUjeSGIZqmBpH9pHjCusTEetwnHLaShJadL8462nCS+5/HsBJzvQnQ82J&#10;63AW3FmozgIYQa4lD5yN4jaMa3OwTu1bQj63/5YauFOJ26cspnRpahPl04bFtXj+TlZP/4HNbwAA&#10;AP//AwBQSwMEFAAGAAgAAAAhAADdYDTeAAAABwEAAA8AAABkcnMvZG93bnJldi54bWxMjs1OwzAQ&#10;hO9IvIO1SFwQdVKaqIQ4FVSCVuKACDyAE29+1HgdxW4beHqWExxHM/rmyzezHcQJJ987UhAvIhBI&#10;tTM9tQo+P55v1yB80GT04AgVfKGHTXF5kevMuDO946kMrWAI+Uwr6EIYMyl93aHVfuFGJO4aN1kd&#10;OE6tNJM+M9wOchlFqbS6J37o9IjbDutDebQKbPPUlNtqZ76Tt8PuZf/qlu5mpdT11fz4ACLgHP7G&#10;8KvP6lCwU+WOZLwYFKxXCS8V3KcguL5LI86VgiSOQRa5/O9f/AAAAP//AwBQSwECLQAUAAYACAAA&#10;ACEAtoM4kv4AAADhAQAAEwAAAAAAAAAAAAAAAAAAAAAAW0NvbnRlbnRfVHlwZXNdLnhtbFBLAQIt&#10;ABQABgAIAAAAIQA4/SH/1gAAAJQBAAALAAAAAAAAAAAAAAAAAC8BAABfcmVscy8ucmVsc1BLAQIt&#10;ABQABgAIAAAAIQB5tsTXHwIAAE8EAAAOAAAAAAAAAAAAAAAAAC4CAABkcnMvZTJvRG9jLnhtbFBL&#10;AQItABQABgAIAAAAIQAA3WA03gAAAAcBAAAPAAAAAAAAAAAAAAAAAHkEAABkcnMvZG93bnJldi54&#10;bWxQSwUGAAAAAAQABADzAAAAhAUAAAAA&#10;" strokecolor="white">
              <v:textbox style="mso-fit-shape-to-text:t" inset="0,0,0,0">
                <w:txbxContent>
                  <w:p w14:paraId="0F39A46F" w14:textId="77777777" w:rsidR="0055610F" w:rsidRPr="00E74CD4" w:rsidRDefault="0055610F" w:rsidP="00B249D0">
                    <w:pPr>
                      <w:pStyle w:val="Intestazione"/>
                      <w:spacing w:line="200" w:lineRule="exact"/>
                      <w:rPr>
                        <w:rFonts w:ascii="Arial Narrow" w:hAnsi="Arial Narrow"/>
                        <w:b/>
                        <w:color w:val="808080"/>
                        <w:sz w:val="20"/>
                        <w:szCs w:val="20"/>
                      </w:rPr>
                    </w:pPr>
                    <w:r w:rsidRPr="00E74CD4">
                      <w:rPr>
                        <w:rFonts w:ascii="Arial Narrow" w:hAnsi="Arial Narrow"/>
                        <w:b/>
                        <w:color w:val="808080"/>
                        <w:sz w:val="20"/>
                        <w:szCs w:val="20"/>
                      </w:rPr>
                      <w:t>COMMERCIO ESTERO E PREZZI ALL’IMPORT</w:t>
                    </w:r>
                  </w:p>
                </w:txbxContent>
              </v:textbox>
            </v:shape>
          </w:pict>
        </mc:Fallback>
      </mc:AlternateContent>
    </w:r>
    <w:r>
      <w:rPr>
        <w:noProof/>
      </w:rPr>
      <w:drawing>
        <wp:inline distT="0" distB="0" distL="0" distR="0" wp14:anchorId="47889812" wp14:editId="5E3ED409">
          <wp:extent cx="6477000" cy="590550"/>
          <wp:effectExtent l="0" t="0" r="0" b="0"/>
          <wp:docPr id="21" name="Immagine 21" descr="iconeComunicat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oneComunicati-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CA90" w14:textId="77777777" w:rsidR="0055610F" w:rsidRPr="009E5F03" w:rsidRDefault="0055610F" w:rsidP="009E5F03">
    <w:pPr>
      <w:pStyle w:val="Intestazione"/>
    </w:pPr>
    <w:r>
      <w:rPr>
        <w:noProof/>
      </w:rPr>
      <mc:AlternateContent>
        <mc:Choice Requires="wps">
          <w:drawing>
            <wp:anchor distT="0" distB="0" distL="114300" distR="114300" simplePos="0" relativeHeight="251655168" behindDoc="0" locked="0" layoutInCell="1" allowOverlap="1" wp14:anchorId="2B5953E2" wp14:editId="1CF3CD2F">
              <wp:simplePos x="0" y="0"/>
              <wp:positionH relativeFrom="column">
                <wp:posOffset>536575</wp:posOffset>
              </wp:positionH>
              <wp:positionV relativeFrom="paragraph">
                <wp:posOffset>60960</wp:posOffset>
              </wp:positionV>
              <wp:extent cx="1965325" cy="39052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390525"/>
                      </a:xfrm>
                      <a:prstGeom prst="rect">
                        <a:avLst/>
                      </a:prstGeom>
                      <a:solidFill>
                        <a:srgbClr val="FFFFFF"/>
                      </a:solidFill>
                      <a:ln w="9525">
                        <a:solidFill>
                          <a:srgbClr val="FFFFFF"/>
                        </a:solidFill>
                        <a:miter lim="800000"/>
                        <a:headEnd/>
                        <a:tailEnd/>
                      </a:ln>
                    </wps:spPr>
                    <wps:txbx>
                      <w:txbxContent>
                        <w:p w14:paraId="300BD506" w14:textId="77777777" w:rsidR="0055610F" w:rsidRPr="00E74CD4" w:rsidRDefault="0055610F" w:rsidP="00B72ADE">
                          <w:pPr>
                            <w:pStyle w:val="Intestazione"/>
                            <w:spacing w:line="200" w:lineRule="exact"/>
                            <w:rPr>
                              <w:rFonts w:ascii="Arial Narrow" w:hAnsi="Arial Narrow"/>
                              <w:b/>
                              <w:color w:val="808080"/>
                              <w:sz w:val="20"/>
                            </w:rPr>
                          </w:pPr>
                          <w:r w:rsidRPr="00E74CD4">
                            <w:rPr>
                              <w:rFonts w:ascii="Arial Narrow" w:hAnsi="Arial Narrow"/>
                              <w:b/>
                              <w:color w:val="808080"/>
                              <w:sz w:val="20"/>
                            </w:rPr>
                            <w:t>COMMERCIO ESTERO E PREZZI ALL’IMPORT</w:t>
                          </w:r>
                        </w:p>
                        <w:p w14:paraId="50F805BE" w14:textId="77777777" w:rsidR="0055610F" w:rsidRPr="00B81D29" w:rsidRDefault="0055610F" w:rsidP="00B249D0">
                          <w:pPr>
                            <w:pStyle w:val="Intestazione"/>
                            <w:spacing w:line="200" w:lineRule="exact"/>
                            <w:rPr>
                              <w:rFonts w:ascii="Arial Narrow" w:hAnsi="Arial Narrow"/>
                              <w:b/>
                              <w:color w:val="808080"/>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B5953E2" id="_x0000_t202" coordsize="21600,21600" o:spt="202" path="m,l,21600r21600,l21600,xe">
              <v:stroke joinstyle="miter"/>
              <v:path gradientshapeok="t" o:connecttype="rect"/>
            </v:shapetype>
            <v:shape id="_x0000_s1031" type="#_x0000_t202" style="position:absolute;margin-left:42.25pt;margin-top:4.8pt;width:154.75pt;height:30.7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O0HwIAAE8EAAAOAAAAZHJzL2Uyb0RvYy54bWysVNtu2zAMfR+wfxD0vthJl6Ix4hRdugwD&#10;ugvQ7QNoWY6FyaImKbGzrx8lx2m3vRXzg3AUkYfkIZn17dBpdpTOKzQln89yzqQRWCuzL/n3b7s3&#10;N5z5AKYGjUaW/CQ9v928frXubSEX2KKupWNEYnzR25K3Idgiy7xoZQd+hlYaemzQdRDo6vZZ7aAn&#10;9k5nizy/znp0tXUopPf06/34yDeJv2mkCF+axsvAdMkpt5BOl84qntlmDcXegW2VOKcBL8iiA2Uo&#10;6IXqHgKwg1P/UHVKOPTYhJnALsOmUUKmGqiaef5XNY8tWJlqIXG8vcjk/x+t+Hz86piqS77gzEBH&#10;LdqCl1oDqxUL0gdki6hSb31Bxo+WzMPwDgfqdqrY2wcUPzwzuG3B7OWdc9i3EmrKch49s2euI4+P&#10;JFX/CWsKB4eAiWhoXBclJFEYsVO3TpcOySEwEUOurpdXiyVngt6uVvmScAwBxeRtnQ8fJHYsgpI7&#10;moDEDscHH0bTySQG86hVvVNap4vbV1vt2BFoWnbpO7P/YaYN60u+irFfStGpQGOvVVfymzx+MQ4U&#10;Ubb3pk44gNIjpuq0OesYpRtFDEM1pMa9jb5R4wrrEwnrcJxy2koCLbpfnPU04SX3Pw/gJGf6o6Hm&#10;xHWYgJtANQEwglxLHjgb4TaMa3OwTu1bYp7af0cN3Kmk7VMW53RpalN3zhsW1+L5PVk9/Q9sfgMA&#10;AP//AwBQSwMEFAAGAAgAAAAhAGdvBqbcAAAABwEAAA8AAABkcnMvZG93bnJldi54bWxMj0FPg0AU&#10;hO8m/ofNM/FmF6QtBVkaU6OnerDqfcu+ApF9S9ilhX/v60mPk5nMfFNsJ9uJMw6+daQgXkQgkCpn&#10;WqoVfH2+PmxA+KDJ6M4RKpjRw7a8vSl0btyFPvB8CLXgEvK5VtCE0OdS+qpBq/3C9UjsndxgdWA5&#10;1NIM+sLltpOPUbSWVrfEC43ucddg9XMYrYKTlck37Xdplk79fn4bk/nlnZS6v5uen0AEnMJfGK74&#10;jA4lMx3dSMaLTsFmueKkgmwNgu0kW/K1o4I0jkGWhfzPX/4CAAD//wMAUEsBAi0AFAAGAAgAAAAh&#10;ALaDOJL+AAAA4QEAABMAAAAAAAAAAAAAAAAAAAAAAFtDb250ZW50X1R5cGVzXS54bWxQSwECLQAU&#10;AAYACAAAACEAOP0h/9YAAACUAQAACwAAAAAAAAAAAAAAAAAvAQAAX3JlbHMvLnJlbHNQSwECLQAU&#10;AAYACAAAACEA4HwDtB8CAABPBAAADgAAAAAAAAAAAAAAAAAuAgAAZHJzL2Uyb0RvYy54bWxQSwEC&#10;LQAUAAYACAAAACEAZ28GptwAAAAHAQAADwAAAAAAAAAAAAAAAAB5BAAAZHJzL2Rvd25yZXYueG1s&#10;UEsFBgAAAAAEAAQA8wAAAIIFAAAAAA==&#10;" strokecolor="white">
              <v:textbox style="mso-fit-shape-to-text:t" inset="0,0,0,0">
                <w:txbxContent>
                  <w:p w14:paraId="300BD506" w14:textId="77777777" w:rsidR="0055610F" w:rsidRPr="00E74CD4" w:rsidRDefault="0055610F" w:rsidP="00B72ADE">
                    <w:pPr>
                      <w:pStyle w:val="Intestazione"/>
                      <w:spacing w:line="200" w:lineRule="exact"/>
                      <w:rPr>
                        <w:rFonts w:ascii="Arial Narrow" w:hAnsi="Arial Narrow"/>
                        <w:b/>
                        <w:color w:val="808080"/>
                        <w:sz w:val="20"/>
                      </w:rPr>
                    </w:pPr>
                    <w:r w:rsidRPr="00E74CD4">
                      <w:rPr>
                        <w:rFonts w:ascii="Arial Narrow" w:hAnsi="Arial Narrow"/>
                        <w:b/>
                        <w:color w:val="808080"/>
                        <w:sz w:val="20"/>
                      </w:rPr>
                      <w:t>COMMERCIO ESTERO E PREZZI ALL’IMPORT</w:t>
                    </w:r>
                  </w:p>
                  <w:p w14:paraId="50F805BE" w14:textId="77777777" w:rsidR="0055610F" w:rsidRPr="00B81D29" w:rsidRDefault="0055610F" w:rsidP="00B249D0">
                    <w:pPr>
                      <w:pStyle w:val="Intestazione"/>
                      <w:spacing w:line="200" w:lineRule="exact"/>
                      <w:rPr>
                        <w:rFonts w:ascii="Arial Narrow" w:hAnsi="Arial Narrow"/>
                        <w:b/>
                        <w:color w:val="808080"/>
                      </w:rPr>
                    </w:pPr>
                  </w:p>
                </w:txbxContent>
              </v:textbox>
            </v:shape>
          </w:pict>
        </mc:Fallback>
      </mc:AlternateContent>
    </w:r>
    <w:r w:rsidRPr="00670D3C">
      <w:rPr>
        <w:noProof/>
      </w:rPr>
      <w:drawing>
        <wp:inline distT="0" distB="0" distL="0" distR="0" wp14:anchorId="501353DF" wp14:editId="10857D03">
          <wp:extent cx="6477000" cy="590550"/>
          <wp:effectExtent l="0" t="0" r="0" b="0"/>
          <wp:docPr id="22" name="Immagine 22" descr="iconeComunicatiRoss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eComunicatiRosso-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4C28" w14:textId="77777777" w:rsidR="0055610F" w:rsidRPr="009E5F03" w:rsidRDefault="0055610F" w:rsidP="009E5F03">
    <w:pPr>
      <w:pStyle w:val="Intestazione"/>
    </w:pPr>
    <w:r>
      <w:rPr>
        <w:noProof/>
      </w:rPr>
      <mc:AlternateContent>
        <mc:Choice Requires="wps">
          <w:drawing>
            <wp:anchor distT="0" distB="0" distL="114300" distR="114300" simplePos="0" relativeHeight="251667456" behindDoc="0" locked="0" layoutInCell="1" allowOverlap="1" wp14:anchorId="283D027B" wp14:editId="4794F03D">
              <wp:simplePos x="0" y="0"/>
              <wp:positionH relativeFrom="column">
                <wp:posOffset>536575</wp:posOffset>
              </wp:positionH>
              <wp:positionV relativeFrom="paragraph">
                <wp:posOffset>60960</wp:posOffset>
              </wp:positionV>
              <wp:extent cx="1965325" cy="390525"/>
              <wp:effectExtent l="0" t="0" r="0" b="0"/>
              <wp:wrapNone/>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390525"/>
                      </a:xfrm>
                      <a:prstGeom prst="rect">
                        <a:avLst/>
                      </a:prstGeom>
                      <a:solidFill>
                        <a:srgbClr val="FFFFFF"/>
                      </a:solidFill>
                      <a:ln w="9525">
                        <a:solidFill>
                          <a:srgbClr val="FFFFFF"/>
                        </a:solidFill>
                        <a:miter lim="800000"/>
                        <a:headEnd/>
                        <a:tailEnd/>
                      </a:ln>
                    </wps:spPr>
                    <wps:txbx>
                      <w:txbxContent>
                        <w:p w14:paraId="0626CF6E" w14:textId="77777777" w:rsidR="0055610F" w:rsidRPr="00E74CD4" w:rsidRDefault="0055610F" w:rsidP="00B72ADE">
                          <w:pPr>
                            <w:pStyle w:val="Intestazione"/>
                            <w:spacing w:line="200" w:lineRule="exact"/>
                            <w:rPr>
                              <w:rFonts w:ascii="Arial Narrow" w:hAnsi="Arial Narrow"/>
                              <w:b/>
                              <w:color w:val="808080"/>
                              <w:sz w:val="20"/>
                            </w:rPr>
                          </w:pPr>
                          <w:r w:rsidRPr="00E74CD4">
                            <w:rPr>
                              <w:rFonts w:ascii="Arial Narrow" w:hAnsi="Arial Narrow"/>
                              <w:b/>
                              <w:color w:val="808080"/>
                              <w:sz w:val="20"/>
                            </w:rPr>
                            <w:t>COMMERCIO ESTERO E PREZZI ALL’IMPORT</w:t>
                          </w:r>
                        </w:p>
                        <w:p w14:paraId="19F054A7" w14:textId="77777777" w:rsidR="0055610F" w:rsidRPr="00B81D29" w:rsidRDefault="0055610F" w:rsidP="00B249D0">
                          <w:pPr>
                            <w:pStyle w:val="Intestazione"/>
                            <w:spacing w:line="200" w:lineRule="exact"/>
                            <w:rPr>
                              <w:rFonts w:ascii="Arial Narrow" w:hAnsi="Arial Narrow"/>
                              <w:b/>
                              <w:color w:val="808080"/>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83D027B" id="_x0000_t202" coordsize="21600,21600" o:spt="202" path="m,l,21600r21600,l21600,xe">
              <v:stroke joinstyle="miter"/>
              <v:path gradientshapeok="t" o:connecttype="rect"/>
            </v:shapetype>
            <v:shape id="_x0000_s1032" type="#_x0000_t202" style="position:absolute;margin-left:42.25pt;margin-top:4.8pt;width:154.75pt;height:30.7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38HQIAAFAEAAAOAAAAZHJzL2Uyb0RvYy54bWysVMFu2zAMvQ/YPwi6L3ZSpGiMOEWXLsOA&#10;bh3Q7QMYWbaFyaImKbGzrx8lx2m33Yr5IDxF5CP5SGZ9O3SaHaXzCk3J57OcM2kEVso0Jf/+bffu&#10;hjMfwFSg0ciSn6Tnt5u3b9a9LeQCW9SVdIxIjC96W/I2BFtkmRet7MDP0EpDjzW6DgJdXZNVDnpi&#10;73S2yPPrrEdXWYdCek+/3o+PfJP461qK8FjXXgamS065hXS6dO7jmW3WUDQObKvEOQ14RRYdKENB&#10;L1T3EIAdnPqHqlPCocc6zAR2Gda1EjLVQNXM87+qeWrBylQLiePtRSb//2jFl+NXx1RFvSN5DHTU&#10;oy14qTWwSrEgfUC2iDL11hdk/WTJPgzvcSCXVLK3Dyh+eGZw24Jp5J1z2LcSKkpzHj2zF64jj48k&#10;+/4zVhQODgET0VC7LmpIqjBip3xOlxbJITARQ66ul1eLJWeC3q5W+ZJwDAHF5G2dDx8ldiyCkjsa&#10;gcQOxwcfRtPJJAbzqFW1U1qni2v2W+3YEWhcduk7s/9hpg3rS76KsV9L0alAc69VV/KbPH4xDhRR&#10;tg+mSjiA0iOm6rQ56xilG0UMw35InUsKRI33WJ1IWIfjmNNaEmjR/eKspxEvuf95ACc5058MNSfu&#10;wwTcBPYTACPIteSBsxFuw7g3B+tU0xLz1P47auBOJW2fszinS2ObunNesbgXL+/J6vmPYPMbAAD/&#10;/wMAUEsDBBQABgAIAAAAIQBnbwam3AAAAAcBAAAPAAAAZHJzL2Rvd25yZXYueG1sTI9BT4NAFITv&#10;Jv6HzTPxZhekLQVZGlOjp3qw6n3LvgKRfUvYpYV/7+tJj5OZzHxTbCfbiTMOvnWkIF5EIJAqZ1qq&#10;FXx9vj5sQPigyejOESqY0cO2vL0pdG7chT7wfAi14BLyuVbQhNDnUvqqQav9wvVI7J3cYHVgOdTS&#10;DPrC5baTj1G0lla3xAuN7nHXYPVzGK2Ck5XJN+13aZZO/X5+G5P55Z2Uur+bnp9ABJzCXxiu+IwO&#10;JTMd3UjGi07BZrnipIJsDYLtJFvytaOCNI5BloX8z1/+AgAA//8DAFBLAQItABQABgAIAAAAIQC2&#10;gziS/gAAAOEBAAATAAAAAAAAAAAAAAAAAAAAAABbQ29udGVudF9UeXBlc10ueG1sUEsBAi0AFAAG&#10;AAgAAAAhADj9If/WAAAAlAEAAAsAAAAAAAAAAAAAAAAALwEAAF9yZWxzLy5yZWxzUEsBAi0AFAAG&#10;AAgAAAAhABIgDfwdAgAAUAQAAA4AAAAAAAAAAAAAAAAALgIAAGRycy9lMm9Eb2MueG1sUEsBAi0A&#10;FAAGAAgAAAAhAGdvBqbcAAAABwEAAA8AAAAAAAAAAAAAAAAAdwQAAGRycy9kb3ducmV2LnhtbFBL&#10;BQYAAAAABAAEAPMAAACABQAAAAA=&#10;" strokecolor="white">
              <v:textbox style="mso-fit-shape-to-text:t" inset="0,0,0,0">
                <w:txbxContent>
                  <w:p w14:paraId="0626CF6E" w14:textId="77777777" w:rsidR="00E90FC4" w:rsidRPr="00E74CD4" w:rsidRDefault="00E90FC4" w:rsidP="00B72ADE">
                    <w:pPr>
                      <w:pStyle w:val="Intestazione"/>
                      <w:spacing w:line="200" w:lineRule="exact"/>
                      <w:rPr>
                        <w:rFonts w:ascii="Arial Narrow" w:hAnsi="Arial Narrow"/>
                        <w:b/>
                        <w:color w:val="808080"/>
                        <w:sz w:val="20"/>
                      </w:rPr>
                    </w:pPr>
                    <w:r w:rsidRPr="00E74CD4">
                      <w:rPr>
                        <w:rFonts w:ascii="Arial Narrow" w:hAnsi="Arial Narrow"/>
                        <w:b/>
                        <w:color w:val="808080"/>
                        <w:sz w:val="20"/>
                      </w:rPr>
                      <w:t>COMMERCIO ESTERO E PREZZI ALL’IMPORT</w:t>
                    </w:r>
                  </w:p>
                  <w:p w14:paraId="19F054A7" w14:textId="77777777" w:rsidR="00E90FC4" w:rsidRPr="00B81D29" w:rsidRDefault="00E90FC4" w:rsidP="00B249D0">
                    <w:pPr>
                      <w:pStyle w:val="Intestazione"/>
                      <w:spacing w:line="200" w:lineRule="exact"/>
                      <w:rPr>
                        <w:rFonts w:ascii="Arial Narrow" w:hAnsi="Arial Narrow"/>
                        <w:b/>
                        <w:color w:val="808080"/>
                      </w:rPr>
                    </w:pPr>
                  </w:p>
                </w:txbxContent>
              </v:textbox>
            </v:shape>
          </w:pict>
        </mc:Fallback>
      </mc:AlternateContent>
    </w:r>
    <w:r w:rsidRPr="0052352C">
      <w:rPr>
        <w:noProof/>
      </w:rPr>
      <w:drawing>
        <wp:inline distT="0" distB="0" distL="0" distR="0" wp14:anchorId="37D13FE8" wp14:editId="718D88C3">
          <wp:extent cx="6477000" cy="590550"/>
          <wp:effectExtent l="0" t="0" r="0" b="0"/>
          <wp:docPr id="13" name="Immagine 13" descr="iconeComunicatiRos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eComunicatiRosso-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8.45pt;height:8.45pt" o:bullet="t">
        <v:imagedata r:id="rId1" o:title=""/>
      </v:shape>
    </w:pict>
  </w:numPicBullet>
  <w:numPicBullet w:numPicBulletId="1">
    <w:pict>
      <v:shape id="_x0000_i1103" type="#_x0000_t75" style="width:4.5pt;height:7.2pt" o:bullet="t">
        <v:imagedata r:id="rId2" o:title=""/>
      </v:shape>
    </w:pict>
  </w:numPicBullet>
  <w:abstractNum w:abstractNumId="0" w15:restartNumberingAfterBreak="0">
    <w:nsid w:val="FFFFFF1D"/>
    <w:multiLevelType w:val="multilevel"/>
    <w:tmpl w:val="F1A4DC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22D62"/>
    <w:multiLevelType w:val="hybridMultilevel"/>
    <w:tmpl w:val="2EA4AA2A"/>
    <w:lvl w:ilvl="0" w:tplc="7FE041A6">
      <w:start w:val="1"/>
      <w:numFmt w:val="bullet"/>
      <w:lvlText w:val=""/>
      <w:lvlJc w:val="left"/>
      <w:pPr>
        <w:ind w:left="720" w:hanging="360"/>
      </w:pPr>
      <w:rPr>
        <w:rFonts w:ascii="Wingdings" w:hAnsi="Wingdings" w:hint="default"/>
        <w:b/>
        <w:i w:val="0"/>
        <w:color w:val="FF00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6E56C4"/>
    <w:multiLevelType w:val="hybridMultilevel"/>
    <w:tmpl w:val="AB00ACB0"/>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3" w15:restartNumberingAfterBreak="0">
    <w:nsid w:val="03B30D2B"/>
    <w:multiLevelType w:val="hybridMultilevel"/>
    <w:tmpl w:val="5CEC454A"/>
    <w:lvl w:ilvl="0" w:tplc="785E333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3E056BD"/>
    <w:multiLevelType w:val="hybridMultilevel"/>
    <w:tmpl w:val="93188842"/>
    <w:lvl w:ilvl="0" w:tplc="04100017">
      <w:start w:val="1"/>
      <w:numFmt w:val="lowerLetter"/>
      <w:lvlText w:val="%1)"/>
      <w:lvlJc w:val="left"/>
      <w:pPr>
        <w:ind w:left="2517" w:hanging="360"/>
      </w:pPr>
    </w:lvl>
    <w:lvl w:ilvl="1" w:tplc="04100003" w:tentative="1">
      <w:start w:val="1"/>
      <w:numFmt w:val="bullet"/>
      <w:lvlText w:val="o"/>
      <w:lvlJc w:val="left"/>
      <w:pPr>
        <w:ind w:left="3237" w:hanging="360"/>
      </w:pPr>
      <w:rPr>
        <w:rFonts w:ascii="Courier New" w:hAnsi="Courier New" w:cs="Courier New" w:hint="default"/>
      </w:rPr>
    </w:lvl>
    <w:lvl w:ilvl="2" w:tplc="04100005" w:tentative="1">
      <w:start w:val="1"/>
      <w:numFmt w:val="bullet"/>
      <w:lvlText w:val=""/>
      <w:lvlJc w:val="left"/>
      <w:pPr>
        <w:ind w:left="3957" w:hanging="360"/>
      </w:pPr>
      <w:rPr>
        <w:rFonts w:ascii="Wingdings" w:hAnsi="Wingdings" w:hint="default"/>
      </w:rPr>
    </w:lvl>
    <w:lvl w:ilvl="3" w:tplc="04100001" w:tentative="1">
      <w:start w:val="1"/>
      <w:numFmt w:val="bullet"/>
      <w:lvlText w:val=""/>
      <w:lvlJc w:val="left"/>
      <w:pPr>
        <w:ind w:left="4677" w:hanging="360"/>
      </w:pPr>
      <w:rPr>
        <w:rFonts w:ascii="Symbol" w:hAnsi="Symbol" w:hint="default"/>
      </w:rPr>
    </w:lvl>
    <w:lvl w:ilvl="4" w:tplc="04100003" w:tentative="1">
      <w:start w:val="1"/>
      <w:numFmt w:val="bullet"/>
      <w:lvlText w:val="o"/>
      <w:lvlJc w:val="left"/>
      <w:pPr>
        <w:ind w:left="5397" w:hanging="360"/>
      </w:pPr>
      <w:rPr>
        <w:rFonts w:ascii="Courier New" w:hAnsi="Courier New" w:cs="Courier New" w:hint="default"/>
      </w:rPr>
    </w:lvl>
    <w:lvl w:ilvl="5" w:tplc="04100005" w:tentative="1">
      <w:start w:val="1"/>
      <w:numFmt w:val="bullet"/>
      <w:lvlText w:val=""/>
      <w:lvlJc w:val="left"/>
      <w:pPr>
        <w:ind w:left="6117" w:hanging="360"/>
      </w:pPr>
      <w:rPr>
        <w:rFonts w:ascii="Wingdings" w:hAnsi="Wingdings" w:hint="default"/>
      </w:rPr>
    </w:lvl>
    <w:lvl w:ilvl="6" w:tplc="04100001" w:tentative="1">
      <w:start w:val="1"/>
      <w:numFmt w:val="bullet"/>
      <w:lvlText w:val=""/>
      <w:lvlJc w:val="left"/>
      <w:pPr>
        <w:ind w:left="6837" w:hanging="360"/>
      </w:pPr>
      <w:rPr>
        <w:rFonts w:ascii="Symbol" w:hAnsi="Symbol" w:hint="default"/>
      </w:rPr>
    </w:lvl>
    <w:lvl w:ilvl="7" w:tplc="04100003" w:tentative="1">
      <w:start w:val="1"/>
      <w:numFmt w:val="bullet"/>
      <w:lvlText w:val="o"/>
      <w:lvlJc w:val="left"/>
      <w:pPr>
        <w:ind w:left="7557" w:hanging="360"/>
      </w:pPr>
      <w:rPr>
        <w:rFonts w:ascii="Courier New" w:hAnsi="Courier New" w:cs="Courier New" w:hint="default"/>
      </w:rPr>
    </w:lvl>
    <w:lvl w:ilvl="8" w:tplc="04100005" w:tentative="1">
      <w:start w:val="1"/>
      <w:numFmt w:val="bullet"/>
      <w:lvlText w:val=""/>
      <w:lvlJc w:val="left"/>
      <w:pPr>
        <w:ind w:left="8277" w:hanging="360"/>
      </w:pPr>
      <w:rPr>
        <w:rFonts w:ascii="Wingdings" w:hAnsi="Wingdings" w:hint="default"/>
      </w:rPr>
    </w:lvl>
  </w:abstractNum>
  <w:abstractNum w:abstractNumId="5" w15:restartNumberingAfterBreak="0">
    <w:nsid w:val="056C3596"/>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59315D3"/>
    <w:multiLevelType w:val="hybridMultilevel"/>
    <w:tmpl w:val="EF400274"/>
    <w:lvl w:ilvl="0" w:tplc="8CAC103E">
      <w:start w:val="1"/>
      <w:numFmt w:val="bullet"/>
      <w:lvlText w:val=""/>
      <w:lvlPicBulletId w:val="1"/>
      <w:lvlJc w:val="left"/>
      <w:pPr>
        <w:tabs>
          <w:tab w:val="num" w:pos="720"/>
        </w:tabs>
        <w:ind w:left="720" w:hanging="360"/>
      </w:pPr>
      <w:rPr>
        <w:rFonts w:ascii="Symbol" w:hAnsi="Symbol" w:hint="default"/>
      </w:rPr>
    </w:lvl>
    <w:lvl w:ilvl="1" w:tplc="950A23AE" w:tentative="1">
      <w:start w:val="1"/>
      <w:numFmt w:val="bullet"/>
      <w:lvlText w:val=""/>
      <w:lvlJc w:val="left"/>
      <w:pPr>
        <w:tabs>
          <w:tab w:val="num" w:pos="1440"/>
        </w:tabs>
        <w:ind w:left="1440" w:hanging="360"/>
      </w:pPr>
      <w:rPr>
        <w:rFonts w:ascii="Symbol" w:hAnsi="Symbol" w:hint="default"/>
      </w:rPr>
    </w:lvl>
    <w:lvl w:ilvl="2" w:tplc="10E0DD76" w:tentative="1">
      <w:start w:val="1"/>
      <w:numFmt w:val="bullet"/>
      <w:lvlText w:val=""/>
      <w:lvlJc w:val="left"/>
      <w:pPr>
        <w:tabs>
          <w:tab w:val="num" w:pos="2160"/>
        </w:tabs>
        <w:ind w:left="2160" w:hanging="360"/>
      </w:pPr>
      <w:rPr>
        <w:rFonts w:ascii="Symbol" w:hAnsi="Symbol" w:hint="default"/>
      </w:rPr>
    </w:lvl>
    <w:lvl w:ilvl="3" w:tplc="A5229CBE" w:tentative="1">
      <w:start w:val="1"/>
      <w:numFmt w:val="bullet"/>
      <w:lvlText w:val=""/>
      <w:lvlJc w:val="left"/>
      <w:pPr>
        <w:tabs>
          <w:tab w:val="num" w:pos="2880"/>
        </w:tabs>
        <w:ind w:left="2880" w:hanging="360"/>
      </w:pPr>
      <w:rPr>
        <w:rFonts w:ascii="Symbol" w:hAnsi="Symbol" w:hint="default"/>
      </w:rPr>
    </w:lvl>
    <w:lvl w:ilvl="4" w:tplc="BD863054" w:tentative="1">
      <w:start w:val="1"/>
      <w:numFmt w:val="bullet"/>
      <w:lvlText w:val=""/>
      <w:lvlJc w:val="left"/>
      <w:pPr>
        <w:tabs>
          <w:tab w:val="num" w:pos="3600"/>
        </w:tabs>
        <w:ind w:left="3600" w:hanging="360"/>
      </w:pPr>
      <w:rPr>
        <w:rFonts w:ascii="Symbol" w:hAnsi="Symbol" w:hint="default"/>
      </w:rPr>
    </w:lvl>
    <w:lvl w:ilvl="5" w:tplc="6046C154" w:tentative="1">
      <w:start w:val="1"/>
      <w:numFmt w:val="bullet"/>
      <w:lvlText w:val=""/>
      <w:lvlJc w:val="left"/>
      <w:pPr>
        <w:tabs>
          <w:tab w:val="num" w:pos="4320"/>
        </w:tabs>
        <w:ind w:left="4320" w:hanging="360"/>
      </w:pPr>
      <w:rPr>
        <w:rFonts w:ascii="Symbol" w:hAnsi="Symbol" w:hint="default"/>
      </w:rPr>
    </w:lvl>
    <w:lvl w:ilvl="6" w:tplc="377ACC06" w:tentative="1">
      <w:start w:val="1"/>
      <w:numFmt w:val="bullet"/>
      <w:lvlText w:val=""/>
      <w:lvlJc w:val="left"/>
      <w:pPr>
        <w:tabs>
          <w:tab w:val="num" w:pos="5040"/>
        </w:tabs>
        <w:ind w:left="5040" w:hanging="360"/>
      </w:pPr>
      <w:rPr>
        <w:rFonts w:ascii="Symbol" w:hAnsi="Symbol" w:hint="default"/>
      </w:rPr>
    </w:lvl>
    <w:lvl w:ilvl="7" w:tplc="8D744430" w:tentative="1">
      <w:start w:val="1"/>
      <w:numFmt w:val="bullet"/>
      <w:lvlText w:val=""/>
      <w:lvlJc w:val="left"/>
      <w:pPr>
        <w:tabs>
          <w:tab w:val="num" w:pos="5760"/>
        </w:tabs>
        <w:ind w:left="5760" w:hanging="360"/>
      </w:pPr>
      <w:rPr>
        <w:rFonts w:ascii="Symbol" w:hAnsi="Symbol" w:hint="default"/>
      </w:rPr>
    </w:lvl>
    <w:lvl w:ilvl="8" w:tplc="49A80EF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83B7600"/>
    <w:multiLevelType w:val="hybridMultilevel"/>
    <w:tmpl w:val="857A09D8"/>
    <w:lvl w:ilvl="0" w:tplc="04100017">
      <w:start w:val="1"/>
      <w:numFmt w:val="lowerLetter"/>
      <w:lvlText w:val="%1)"/>
      <w:lvlJc w:val="left"/>
      <w:pPr>
        <w:ind w:left="2517" w:hanging="360"/>
      </w:pPr>
    </w:lvl>
    <w:lvl w:ilvl="1" w:tplc="04100003" w:tentative="1">
      <w:start w:val="1"/>
      <w:numFmt w:val="bullet"/>
      <w:lvlText w:val="o"/>
      <w:lvlJc w:val="left"/>
      <w:pPr>
        <w:ind w:left="3237" w:hanging="360"/>
      </w:pPr>
      <w:rPr>
        <w:rFonts w:ascii="Courier New" w:hAnsi="Courier New" w:cs="Courier New" w:hint="default"/>
      </w:rPr>
    </w:lvl>
    <w:lvl w:ilvl="2" w:tplc="04100005" w:tentative="1">
      <w:start w:val="1"/>
      <w:numFmt w:val="bullet"/>
      <w:lvlText w:val=""/>
      <w:lvlJc w:val="left"/>
      <w:pPr>
        <w:ind w:left="3957" w:hanging="360"/>
      </w:pPr>
      <w:rPr>
        <w:rFonts w:ascii="Wingdings" w:hAnsi="Wingdings" w:hint="default"/>
      </w:rPr>
    </w:lvl>
    <w:lvl w:ilvl="3" w:tplc="04100001" w:tentative="1">
      <w:start w:val="1"/>
      <w:numFmt w:val="bullet"/>
      <w:lvlText w:val=""/>
      <w:lvlJc w:val="left"/>
      <w:pPr>
        <w:ind w:left="4677" w:hanging="360"/>
      </w:pPr>
      <w:rPr>
        <w:rFonts w:ascii="Symbol" w:hAnsi="Symbol" w:hint="default"/>
      </w:rPr>
    </w:lvl>
    <w:lvl w:ilvl="4" w:tplc="04100003" w:tentative="1">
      <w:start w:val="1"/>
      <w:numFmt w:val="bullet"/>
      <w:lvlText w:val="o"/>
      <w:lvlJc w:val="left"/>
      <w:pPr>
        <w:ind w:left="5397" w:hanging="360"/>
      </w:pPr>
      <w:rPr>
        <w:rFonts w:ascii="Courier New" w:hAnsi="Courier New" w:cs="Courier New" w:hint="default"/>
      </w:rPr>
    </w:lvl>
    <w:lvl w:ilvl="5" w:tplc="04100005" w:tentative="1">
      <w:start w:val="1"/>
      <w:numFmt w:val="bullet"/>
      <w:lvlText w:val=""/>
      <w:lvlJc w:val="left"/>
      <w:pPr>
        <w:ind w:left="6117" w:hanging="360"/>
      </w:pPr>
      <w:rPr>
        <w:rFonts w:ascii="Wingdings" w:hAnsi="Wingdings" w:hint="default"/>
      </w:rPr>
    </w:lvl>
    <w:lvl w:ilvl="6" w:tplc="04100001" w:tentative="1">
      <w:start w:val="1"/>
      <w:numFmt w:val="bullet"/>
      <w:lvlText w:val=""/>
      <w:lvlJc w:val="left"/>
      <w:pPr>
        <w:ind w:left="6837" w:hanging="360"/>
      </w:pPr>
      <w:rPr>
        <w:rFonts w:ascii="Symbol" w:hAnsi="Symbol" w:hint="default"/>
      </w:rPr>
    </w:lvl>
    <w:lvl w:ilvl="7" w:tplc="04100003" w:tentative="1">
      <w:start w:val="1"/>
      <w:numFmt w:val="bullet"/>
      <w:lvlText w:val="o"/>
      <w:lvlJc w:val="left"/>
      <w:pPr>
        <w:ind w:left="7557" w:hanging="360"/>
      </w:pPr>
      <w:rPr>
        <w:rFonts w:ascii="Courier New" w:hAnsi="Courier New" w:cs="Courier New" w:hint="default"/>
      </w:rPr>
    </w:lvl>
    <w:lvl w:ilvl="8" w:tplc="04100005" w:tentative="1">
      <w:start w:val="1"/>
      <w:numFmt w:val="bullet"/>
      <w:lvlText w:val=""/>
      <w:lvlJc w:val="left"/>
      <w:pPr>
        <w:ind w:left="8277" w:hanging="360"/>
      </w:pPr>
      <w:rPr>
        <w:rFonts w:ascii="Wingdings" w:hAnsi="Wingdings" w:hint="default"/>
      </w:rPr>
    </w:lvl>
  </w:abstractNum>
  <w:abstractNum w:abstractNumId="8" w15:restartNumberingAfterBreak="0">
    <w:nsid w:val="08BF3BFF"/>
    <w:multiLevelType w:val="hybridMultilevel"/>
    <w:tmpl w:val="625CFFF6"/>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9" w15:restartNumberingAfterBreak="0">
    <w:nsid w:val="09B04BFB"/>
    <w:multiLevelType w:val="hybridMultilevel"/>
    <w:tmpl w:val="41BE7B76"/>
    <w:lvl w:ilvl="0" w:tplc="C8782680">
      <w:start w:val="1"/>
      <w:numFmt w:val="bullet"/>
      <w:lvlText w:val=""/>
      <w:lvlJc w:val="left"/>
      <w:pPr>
        <w:ind w:left="360" w:hanging="360"/>
      </w:pPr>
      <w:rPr>
        <w:rFonts w:ascii="Wingdings" w:hAnsi="Wingdings" w:hint="default"/>
        <w:color w:val="E42618"/>
        <w:sz w:val="21"/>
        <w:szCs w:val="21"/>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9EC4AD0"/>
    <w:multiLevelType w:val="multilevel"/>
    <w:tmpl w:val="781664CC"/>
    <w:lvl w:ilvl="0">
      <w:start w:val="1"/>
      <w:numFmt w:val="lowerLetter"/>
      <w:lvlText w:val="(%1)"/>
      <w:lvlJc w:val="left"/>
      <w:pPr>
        <w:tabs>
          <w:tab w:val="num" w:pos="360"/>
        </w:tabs>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AB86367"/>
    <w:multiLevelType w:val="hybridMultilevel"/>
    <w:tmpl w:val="4FFCC8FE"/>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2" w15:restartNumberingAfterBreak="0">
    <w:nsid w:val="0B643584"/>
    <w:multiLevelType w:val="hybridMultilevel"/>
    <w:tmpl w:val="51E2D8B6"/>
    <w:lvl w:ilvl="0" w:tplc="46243AC4">
      <w:start w:val="1"/>
      <w:numFmt w:val="lowerLetter"/>
      <w:lvlText w:val="%1)"/>
      <w:lvlJc w:val="left"/>
      <w:pPr>
        <w:ind w:left="2517" w:hanging="360"/>
      </w:pPr>
      <w:rPr>
        <w:rFonts w:ascii="Arial" w:eastAsia="Times New Roman" w:hAnsi="Arial" w:cs="Arial"/>
      </w:rPr>
    </w:lvl>
    <w:lvl w:ilvl="1" w:tplc="04100003" w:tentative="1">
      <w:start w:val="1"/>
      <w:numFmt w:val="bullet"/>
      <w:lvlText w:val="o"/>
      <w:lvlJc w:val="left"/>
      <w:pPr>
        <w:ind w:left="3237" w:hanging="360"/>
      </w:pPr>
      <w:rPr>
        <w:rFonts w:ascii="Courier New" w:hAnsi="Courier New" w:cs="Courier New" w:hint="default"/>
      </w:rPr>
    </w:lvl>
    <w:lvl w:ilvl="2" w:tplc="04100005" w:tentative="1">
      <w:start w:val="1"/>
      <w:numFmt w:val="bullet"/>
      <w:lvlText w:val=""/>
      <w:lvlJc w:val="left"/>
      <w:pPr>
        <w:ind w:left="3957" w:hanging="360"/>
      </w:pPr>
      <w:rPr>
        <w:rFonts w:ascii="Wingdings" w:hAnsi="Wingdings" w:hint="default"/>
      </w:rPr>
    </w:lvl>
    <w:lvl w:ilvl="3" w:tplc="04100001" w:tentative="1">
      <w:start w:val="1"/>
      <w:numFmt w:val="bullet"/>
      <w:lvlText w:val=""/>
      <w:lvlJc w:val="left"/>
      <w:pPr>
        <w:ind w:left="4677" w:hanging="360"/>
      </w:pPr>
      <w:rPr>
        <w:rFonts w:ascii="Symbol" w:hAnsi="Symbol" w:hint="default"/>
      </w:rPr>
    </w:lvl>
    <w:lvl w:ilvl="4" w:tplc="04100003" w:tentative="1">
      <w:start w:val="1"/>
      <w:numFmt w:val="bullet"/>
      <w:lvlText w:val="o"/>
      <w:lvlJc w:val="left"/>
      <w:pPr>
        <w:ind w:left="5397" w:hanging="360"/>
      </w:pPr>
      <w:rPr>
        <w:rFonts w:ascii="Courier New" w:hAnsi="Courier New" w:cs="Courier New" w:hint="default"/>
      </w:rPr>
    </w:lvl>
    <w:lvl w:ilvl="5" w:tplc="04100005" w:tentative="1">
      <w:start w:val="1"/>
      <w:numFmt w:val="bullet"/>
      <w:lvlText w:val=""/>
      <w:lvlJc w:val="left"/>
      <w:pPr>
        <w:ind w:left="6117" w:hanging="360"/>
      </w:pPr>
      <w:rPr>
        <w:rFonts w:ascii="Wingdings" w:hAnsi="Wingdings" w:hint="default"/>
      </w:rPr>
    </w:lvl>
    <w:lvl w:ilvl="6" w:tplc="04100001" w:tentative="1">
      <w:start w:val="1"/>
      <w:numFmt w:val="bullet"/>
      <w:lvlText w:val=""/>
      <w:lvlJc w:val="left"/>
      <w:pPr>
        <w:ind w:left="6837" w:hanging="360"/>
      </w:pPr>
      <w:rPr>
        <w:rFonts w:ascii="Symbol" w:hAnsi="Symbol" w:hint="default"/>
      </w:rPr>
    </w:lvl>
    <w:lvl w:ilvl="7" w:tplc="04100003" w:tentative="1">
      <w:start w:val="1"/>
      <w:numFmt w:val="bullet"/>
      <w:lvlText w:val="o"/>
      <w:lvlJc w:val="left"/>
      <w:pPr>
        <w:ind w:left="7557" w:hanging="360"/>
      </w:pPr>
      <w:rPr>
        <w:rFonts w:ascii="Courier New" w:hAnsi="Courier New" w:cs="Courier New" w:hint="default"/>
      </w:rPr>
    </w:lvl>
    <w:lvl w:ilvl="8" w:tplc="04100005" w:tentative="1">
      <w:start w:val="1"/>
      <w:numFmt w:val="bullet"/>
      <w:lvlText w:val=""/>
      <w:lvlJc w:val="left"/>
      <w:pPr>
        <w:ind w:left="8277" w:hanging="360"/>
      </w:pPr>
      <w:rPr>
        <w:rFonts w:ascii="Wingdings" w:hAnsi="Wingdings" w:hint="default"/>
      </w:rPr>
    </w:lvl>
  </w:abstractNum>
  <w:abstractNum w:abstractNumId="13" w15:restartNumberingAfterBreak="0">
    <w:nsid w:val="0CE739D6"/>
    <w:multiLevelType w:val="hybridMultilevel"/>
    <w:tmpl w:val="2C004114"/>
    <w:lvl w:ilvl="0" w:tplc="FFFFFFFF">
      <w:start w:val="1"/>
      <w:numFmt w:val="bullet"/>
      <w:lvlText w:val=""/>
      <w:lvlJc w:val="left"/>
      <w:pPr>
        <w:tabs>
          <w:tab w:val="num" w:pos="340"/>
        </w:tabs>
        <w:ind w:left="0" w:firstLine="0"/>
      </w:pPr>
      <w:rPr>
        <w:rFonts w:ascii="Wingdings" w:hAnsi="Wingdings" w:hint="default"/>
        <w:b w:val="0"/>
        <w:i w:val="0"/>
        <w:color w:val="FF0000"/>
        <w:spacing w:val="0"/>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407BCC"/>
    <w:multiLevelType w:val="hybridMultilevel"/>
    <w:tmpl w:val="F20AF4D8"/>
    <w:lvl w:ilvl="0" w:tplc="5270E3B4">
      <w:start w:val="1"/>
      <w:numFmt w:val="lowerLetter"/>
      <w:lvlText w:val="(%1)"/>
      <w:lvlJc w:val="left"/>
      <w:pPr>
        <w:ind w:left="2174" w:hanging="360"/>
      </w:pPr>
      <w:rPr>
        <w:rFonts w:hint="default"/>
      </w:rPr>
    </w:lvl>
    <w:lvl w:ilvl="1" w:tplc="04100019" w:tentative="1">
      <w:start w:val="1"/>
      <w:numFmt w:val="lowerLetter"/>
      <w:lvlText w:val="%2."/>
      <w:lvlJc w:val="left"/>
      <w:pPr>
        <w:ind w:left="2894" w:hanging="360"/>
      </w:pPr>
    </w:lvl>
    <w:lvl w:ilvl="2" w:tplc="0410001B" w:tentative="1">
      <w:start w:val="1"/>
      <w:numFmt w:val="lowerRoman"/>
      <w:lvlText w:val="%3."/>
      <w:lvlJc w:val="right"/>
      <w:pPr>
        <w:ind w:left="3614" w:hanging="180"/>
      </w:pPr>
    </w:lvl>
    <w:lvl w:ilvl="3" w:tplc="0410000F" w:tentative="1">
      <w:start w:val="1"/>
      <w:numFmt w:val="decimal"/>
      <w:lvlText w:val="%4."/>
      <w:lvlJc w:val="left"/>
      <w:pPr>
        <w:ind w:left="4334" w:hanging="360"/>
      </w:pPr>
    </w:lvl>
    <w:lvl w:ilvl="4" w:tplc="04100019" w:tentative="1">
      <w:start w:val="1"/>
      <w:numFmt w:val="lowerLetter"/>
      <w:lvlText w:val="%5."/>
      <w:lvlJc w:val="left"/>
      <w:pPr>
        <w:ind w:left="5054" w:hanging="360"/>
      </w:pPr>
    </w:lvl>
    <w:lvl w:ilvl="5" w:tplc="0410001B" w:tentative="1">
      <w:start w:val="1"/>
      <w:numFmt w:val="lowerRoman"/>
      <w:lvlText w:val="%6."/>
      <w:lvlJc w:val="right"/>
      <w:pPr>
        <w:ind w:left="5774" w:hanging="180"/>
      </w:pPr>
    </w:lvl>
    <w:lvl w:ilvl="6" w:tplc="0410000F" w:tentative="1">
      <w:start w:val="1"/>
      <w:numFmt w:val="decimal"/>
      <w:lvlText w:val="%7."/>
      <w:lvlJc w:val="left"/>
      <w:pPr>
        <w:ind w:left="6494" w:hanging="360"/>
      </w:pPr>
    </w:lvl>
    <w:lvl w:ilvl="7" w:tplc="04100019" w:tentative="1">
      <w:start w:val="1"/>
      <w:numFmt w:val="lowerLetter"/>
      <w:lvlText w:val="%8."/>
      <w:lvlJc w:val="left"/>
      <w:pPr>
        <w:ind w:left="7214" w:hanging="360"/>
      </w:pPr>
    </w:lvl>
    <w:lvl w:ilvl="8" w:tplc="0410001B" w:tentative="1">
      <w:start w:val="1"/>
      <w:numFmt w:val="lowerRoman"/>
      <w:lvlText w:val="%9."/>
      <w:lvlJc w:val="right"/>
      <w:pPr>
        <w:ind w:left="7934" w:hanging="180"/>
      </w:pPr>
    </w:lvl>
  </w:abstractNum>
  <w:abstractNum w:abstractNumId="15" w15:restartNumberingAfterBreak="0">
    <w:nsid w:val="0E172E02"/>
    <w:multiLevelType w:val="hybridMultilevel"/>
    <w:tmpl w:val="98E2AEF0"/>
    <w:lvl w:ilvl="0" w:tplc="A8762A92">
      <w:start w:val="1"/>
      <w:numFmt w:val="bullet"/>
      <w:lvlText w:val=""/>
      <w:lvlPicBulletId w:val="0"/>
      <w:lvlJc w:val="left"/>
      <w:pPr>
        <w:tabs>
          <w:tab w:val="num" w:pos="720"/>
        </w:tabs>
        <w:ind w:left="720" w:hanging="360"/>
      </w:pPr>
      <w:rPr>
        <w:rFonts w:ascii="Symbol" w:hAnsi="Symbol" w:hint="default"/>
      </w:rPr>
    </w:lvl>
    <w:lvl w:ilvl="1" w:tplc="6D6EAF6E">
      <w:start w:val="1"/>
      <w:numFmt w:val="bullet"/>
      <w:lvlText w:val=""/>
      <w:lvlJc w:val="left"/>
      <w:pPr>
        <w:tabs>
          <w:tab w:val="num" w:pos="1440"/>
        </w:tabs>
        <w:ind w:left="1440" w:hanging="360"/>
      </w:pPr>
      <w:rPr>
        <w:rFonts w:ascii="Symbol" w:hAnsi="Symbol" w:hint="default"/>
      </w:rPr>
    </w:lvl>
    <w:lvl w:ilvl="2" w:tplc="7A64CB7E" w:tentative="1">
      <w:start w:val="1"/>
      <w:numFmt w:val="bullet"/>
      <w:lvlText w:val=""/>
      <w:lvlJc w:val="left"/>
      <w:pPr>
        <w:tabs>
          <w:tab w:val="num" w:pos="2160"/>
        </w:tabs>
        <w:ind w:left="2160" w:hanging="360"/>
      </w:pPr>
      <w:rPr>
        <w:rFonts w:ascii="Symbol" w:hAnsi="Symbol" w:hint="default"/>
      </w:rPr>
    </w:lvl>
    <w:lvl w:ilvl="3" w:tplc="19A2BEA6" w:tentative="1">
      <w:start w:val="1"/>
      <w:numFmt w:val="bullet"/>
      <w:lvlText w:val=""/>
      <w:lvlJc w:val="left"/>
      <w:pPr>
        <w:tabs>
          <w:tab w:val="num" w:pos="2880"/>
        </w:tabs>
        <w:ind w:left="2880" w:hanging="360"/>
      </w:pPr>
      <w:rPr>
        <w:rFonts w:ascii="Symbol" w:hAnsi="Symbol" w:hint="default"/>
      </w:rPr>
    </w:lvl>
    <w:lvl w:ilvl="4" w:tplc="7A906554" w:tentative="1">
      <w:start w:val="1"/>
      <w:numFmt w:val="bullet"/>
      <w:lvlText w:val=""/>
      <w:lvlJc w:val="left"/>
      <w:pPr>
        <w:tabs>
          <w:tab w:val="num" w:pos="3600"/>
        </w:tabs>
        <w:ind w:left="3600" w:hanging="360"/>
      </w:pPr>
      <w:rPr>
        <w:rFonts w:ascii="Symbol" w:hAnsi="Symbol" w:hint="default"/>
      </w:rPr>
    </w:lvl>
    <w:lvl w:ilvl="5" w:tplc="DF94CC1E" w:tentative="1">
      <w:start w:val="1"/>
      <w:numFmt w:val="bullet"/>
      <w:lvlText w:val=""/>
      <w:lvlJc w:val="left"/>
      <w:pPr>
        <w:tabs>
          <w:tab w:val="num" w:pos="4320"/>
        </w:tabs>
        <w:ind w:left="4320" w:hanging="360"/>
      </w:pPr>
      <w:rPr>
        <w:rFonts w:ascii="Symbol" w:hAnsi="Symbol" w:hint="default"/>
      </w:rPr>
    </w:lvl>
    <w:lvl w:ilvl="6" w:tplc="10AAB236" w:tentative="1">
      <w:start w:val="1"/>
      <w:numFmt w:val="bullet"/>
      <w:lvlText w:val=""/>
      <w:lvlJc w:val="left"/>
      <w:pPr>
        <w:tabs>
          <w:tab w:val="num" w:pos="5040"/>
        </w:tabs>
        <w:ind w:left="5040" w:hanging="360"/>
      </w:pPr>
      <w:rPr>
        <w:rFonts w:ascii="Symbol" w:hAnsi="Symbol" w:hint="default"/>
      </w:rPr>
    </w:lvl>
    <w:lvl w:ilvl="7" w:tplc="387E825A" w:tentative="1">
      <w:start w:val="1"/>
      <w:numFmt w:val="bullet"/>
      <w:lvlText w:val=""/>
      <w:lvlJc w:val="left"/>
      <w:pPr>
        <w:tabs>
          <w:tab w:val="num" w:pos="5760"/>
        </w:tabs>
        <w:ind w:left="5760" w:hanging="360"/>
      </w:pPr>
      <w:rPr>
        <w:rFonts w:ascii="Symbol" w:hAnsi="Symbol" w:hint="default"/>
      </w:rPr>
    </w:lvl>
    <w:lvl w:ilvl="8" w:tplc="4A64336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C24545E"/>
    <w:multiLevelType w:val="hybridMultilevel"/>
    <w:tmpl w:val="2BE66A3A"/>
    <w:lvl w:ilvl="0" w:tplc="6888BADE">
      <w:start w:val="1"/>
      <w:numFmt w:val="bullet"/>
      <w:lvlText w:val=""/>
      <w:lvlJc w:val="left"/>
      <w:pPr>
        <w:tabs>
          <w:tab w:val="num" w:pos="340"/>
        </w:tabs>
      </w:pPr>
      <w:rPr>
        <w:rFonts w:ascii="Webdings" w:hAnsi="Webdings" w:hint="default"/>
        <w:b w:val="0"/>
        <w:i w:val="0"/>
        <w:color w:val="E42618"/>
        <w:spacing w:val="0"/>
        <w:sz w:val="24"/>
        <w:szCs w:val="18"/>
      </w:rPr>
    </w:lvl>
    <w:lvl w:ilvl="1" w:tplc="E8FCC02E">
      <w:start w:val="1"/>
      <w:numFmt w:val="bullet"/>
      <w:lvlText w:val="o"/>
      <w:lvlJc w:val="left"/>
      <w:pPr>
        <w:tabs>
          <w:tab w:val="num" w:pos="1440"/>
        </w:tabs>
        <w:ind w:left="1440" w:hanging="360"/>
      </w:pPr>
      <w:rPr>
        <w:rFonts w:ascii="Courier New" w:hAnsi="Courier New"/>
      </w:rPr>
    </w:lvl>
    <w:lvl w:ilvl="2" w:tplc="57B2E412">
      <w:start w:val="1"/>
      <w:numFmt w:val="bullet"/>
      <w:lvlText w:val=""/>
      <w:lvlJc w:val="left"/>
      <w:pPr>
        <w:tabs>
          <w:tab w:val="num" w:pos="2160"/>
        </w:tabs>
        <w:ind w:left="2160" w:hanging="360"/>
      </w:pPr>
      <w:rPr>
        <w:rFonts w:ascii="Wingdings" w:hAnsi="Wingdings"/>
      </w:rPr>
    </w:lvl>
    <w:lvl w:ilvl="3" w:tplc="31BA2B30">
      <w:start w:val="1"/>
      <w:numFmt w:val="bullet"/>
      <w:lvlText w:val=""/>
      <w:lvlJc w:val="left"/>
      <w:pPr>
        <w:tabs>
          <w:tab w:val="num" w:pos="2880"/>
        </w:tabs>
        <w:ind w:left="2880" w:hanging="360"/>
      </w:pPr>
      <w:rPr>
        <w:rFonts w:ascii="Symbol" w:hAnsi="Symbol"/>
      </w:rPr>
    </w:lvl>
    <w:lvl w:ilvl="4" w:tplc="2C2276D6">
      <w:start w:val="1"/>
      <w:numFmt w:val="bullet"/>
      <w:lvlText w:val="o"/>
      <w:lvlJc w:val="left"/>
      <w:pPr>
        <w:tabs>
          <w:tab w:val="num" w:pos="3600"/>
        </w:tabs>
        <w:ind w:left="3600" w:hanging="360"/>
      </w:pPr>
      <w:rPr>
        <w:rFonts w:ascii="Courier New" w:hAnsi="Courier New"/>
      </w:rPr>
    </w:lvl>
    <w:lvl w:ilvl="5" w:tplc="85BACC6E">
      <w:start w:val="1"/>
      <w:numFmt w:val="bullet"/>
      <w:lvlText w:val=""/>
      <w:lvlJc w:val="left"/>
      <w:pPr>
        <w:tabs>
          <w:tab w:val="num" w:pos="4320"/>
        </w:tabs>
        <w:ind w:left="4320" w:hanging="360"/>
      </w:pPr>
      <w:rPr>
        <w:rFonts w:ascii="Wingdings" w:hAnsi="Wingdings"/>
      </w:rPr>
    </w:lvl>
    <w:lvl w:ilvl="6" w:tplc="1F3EF924">
      <w:start w:val="1"/>
      <w:numFmt w:val="bullet"/>
      <w:lvlText w:val=""/>
      <w:lvlJc w:val="left"/>
      <w:pPr>
        <w:tabs>
          <w:tab w:val="num" w:pos="5040"/>
        </w:tabs>
        <w:ind w:left="5040" w:hanging="360"/>
      </w:pPr>
      <w:rPr>
        <w:rFonts w:ascii="Symbol" w:hAnsi="Symbol"/>
      </w:rPr>
    </w:lvl>
    <w:lvl w:ilvl="7" w:tplc="6D82A608">
      <w:start w:val="1"/>
      <w:numFmt w:val="bullet"/>
      <w:lvlText w:val="o"/>
      <w:lvlJc w:val="left"/>
      <w:pPr>
        <w:tabs>
          <w:tab w:val="num" w:pos="5760"/>
        </w:tabs>
        <w:ind w:left="5760" w:hanging="360"/>
      </w:pPr>
      <w:rPr>
        <w:rFonts w:ascii="Courier New" w:hAnsi="Courier New"/>
      </w:rPr>
    </w:lvl>
    <w:lvl w:ilvl="8" w:tplc="11E84114">
      <w:start w:val="1"/>
      <w:numFmt w:val="bullet"/>
      <w:lvlText w:val=""/>
      <w:lvlJc w:val="left"/>
      <w:pPr>
        <w:tabs>
          <w:tab w:val="num" w:pos="6480"/>
        </w:tabs>
        <w:ind w:left="6480" w:hanging="360"/>
      </w:pPr>
      <w:rPr>
        <w:rFonts w:ascii="Wingdings" w:hAnsi="Wingdings"/>
      </w:rPr>
    </w:lvl>
  </w:abstractNum>
  <w:abstractNum w:abstractNumId="17" w15:restartNumberingAfterBreak="0">
    <w:nsid w:val="1C424650"/>
    <w:multiLevelType w:val="hybridMultilevel"/>
    <w:tmpl w:val="4FC00012"/>
    <w:lvl w:ilvl="0" w:tplc="086C8314">
      <w:start w:val="1"/>
      <w:numFmt w:val="bullet"/>
      <w:lvlText w:val=""/>
      <w:lvlJc w:val="left"/>
      <w:pPr>
        <w:tabs>
          <w:tab w:val="num" w:pos="340"/>
        </w:tabs>
        <w:ind w:left="0" w:firstLine="0"/>
      </w:pPr>
      <w:rPr>
        <w:rFonts w:ascii="Wingdings" w:hAnsi="Wingdings" w:hint="default"/>
        <w:b w:val="0"/>
        <w:i w:val="0"/>
        <w:color w:val="E42618"/>
        <w:spacing w:val="0"/>
        <w:sz w:val="26"/>
        <w:szCs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343AE3"/>
    <w:multiLevelType w:val="hybridMultilevel"/>
    <w:tmpl w:val="6EC29A46"/>
    <w:lvl w:ilvl="0" w:tplc="DB7A5FB8">
      <w:start w:val="1"/>
      <w:numFmt w:val="lowerLetter"/>
      <w:lvlText w:val="%1)"/>
      <w:lvlJc w:val="left"/>
      <w:pPr>
        <w:ind w:left="2174" w:hanging="360"/>
      </w:pPr>
      <w:rPr>
        <w:rFonts w:hint="default"/>
      </w:rPr>
    </w:lvl>
    <w:lvl w:ilvl="1" w:tplc="04100019" w:tentative="1">
      <w:start w:val="1"/>
      <w:numFmt w:val="lowerLetter"/>
      <w:lvlText w:val="%2."/>
      <w:lvlJc w:val="left"/>
      <w:pPr>
        <w:ind w:left="2894" w:hanging="360"/>
      </w:pPr>
    </w:lvl>
    <w:lvl w:ilvl="2" w:tplc="0410001B" w:tentative="1">
      <w:start w:val="1"/>
      <w:numFmt w:val="lowerRoman"/>
      <w:lvlText w:val="%3."/>
      <w:lvlJc w:val="right"/>
      <w:pPr>
        <w:ind w:left="3614" w:hanging="180"/>
      </w:pPr>
    </w:lvl>
    <w:lvl w:ilvl="3" w:tplc="0410000F" w:tentative="1">
      <w:start w:val="1"/>
      <w:numFmt w:val="decimal"/>
      <w:lvlText w:val="%4."/>
      <w:lvlJc w:val="left"/>
      <w:pPr>
        <w:ind w:left="4334" w:hanging="360"/>
      </w:pPr>
    </w:lvl>
    <w:lvl w:ilvl="4" w:tplc="04100019" w:tentative="1">
      <w:start w:val="1"/>
      <w:numFmt w:val="lowerLetter"/>
      <w:lvlText w:val="%5."/>
      <w:lvlJc w:val="left"/>
      <w:pPr>
        <w:ind w:left="5054" w:hanging="360"/>
      </w:pPr>
    </w:lvl>
    <w:lvl w:ilvl="5" w:tplc="0410001B" w:tentative="1">
      <w:start w:val="1"/>
      <w:numFmt w:val="lowerRoman"/>
      <w:lvlText w:val="%6."/>
      <w:lvlJc w:val="right"/>
      <w:pPr>
        <w:ind w:left="5774" w:hanging="180"/>
      </w:pPr>
    </w:lvl>
    <w:lvl w:ilvl="6" w:tplc="0410000F" w:tentative="1">
      <w:start w:val="1"/>
      <w:numFmt w:val="decimal"/>
      <w:lvlText w:val="%7."/>
      <w:lvlJc w:val="left"/>
      <w:pPr>
        <w:ind w:left="6494" w:hanging="360"/>
      </w:pPr>
    </w:lvl>
    <w:lvl w:ilvl="7" w:tplc="04100019" w:tentative="1">
      <w:start w:val="1"/>
      <w:numFmt w:val="lowerLetter"/>
      <w:lvlText w:val="%8."/>
      <w:lvlJc w:val="left"/>
      <w:pPr>
        <w:ind w:left="7214" w:hanging="360"/>
      </w:pPr>
    </w:lvl>
    <w:lvl w:ilvl="8" w:tplc="0410001B" w:tentative="1">
      <w:start w:val="1"/>
      <w:numFmt w:val="lowerRoman"/>
      <w:lvlText w:val="%9."/>
      <w:lvlJc w:val="right"/>
      <w:pPr>
        <w:ind w:left="7934" w:hanging="180"/>
      </w:pPr>
    </w:lvl>
  </w:abstractNum>
  <w:abstractNum w:abstractNumId="19" w15:restartNumberingAfterBreak="0">
    <w:nsid w:val="21557202"/>
    <w:multiLevelType w:val="hybridMultilevel"/>
    <w:tmpl w:val="0A3276F0"/>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7D531E"/>
    <w:multiLevelType w:val="hybridMultilevel"/>
    <w:tmpl w:val="73003C7A"/>
    <w:lvl w:ilvl="0" w:tplc="7FE041A6">
      <w:start w:val="1"/>
      <w:numFmt w:val="bullet"/>
      <w:lvlText w:val=""/>
      <w:lvlJc w:val="left"/>
      <w:pPr>
        <w:ind w:left="2534" w:hanging="360"/>
      </w:pPr>
      <w:rPr>
        <w:rFonts w:ascii="Wingdings" w:hAnsi="Wingdings" w:hint="default"/>
        <w:b/>
        <w:i w:val="0"/>
        <w:color w:val="FF0000"/>
        <w:sz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1" w15:restartNumberingAfterBreak="0">
    <w:nsid w:val="29FC5E71"/>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08A6599"/>
    <w:multiLevelType w:val="hybridMultilevel"/>
    <w:tmpl w:val="B76E8456"/>
    <w:lvl w:ilvl="0" w:tplc="2B42CDCC">
      <w:start w:val="1"/>
      <w:numFmt w:val="bullet"/>
      <w:lvlText w:val=""/>
      <w:lvlJc w:val="left"/>
      <w:pPr>
        <w:tabs>
          <w:tab w:val="num" w:pos="340"/>
        </w:tabs>
      </w:pPr>
      <w:rPr>
        <w:rFonts w:ascii="Wingdings" w:hAnsi="Wingdings" w:hint="default"/>
        <w:b w:val="0"/>
        <w:i w:val="0"/>
        <w:color w:val="FF0000"/>
        <w:spacing w:val="0"/>
        <w:sz w:val="26"/>
      </w:rPr>
    </w:lvl>
    <w:lvl w:ilvl="1" w:tplc="BEA8D876">
      <w:start w:val="1"/>
      <w:numFmt w:val="bullet"/>
      <w:lvlText w:val="o"/>
      <w:lvlJc w:val="left"/>
      <w:pPr>
        <w:tabs>
          <w:tab w:val="num" w:pos="1440"/>
        </w:tabs>
        <w:ind w:left="1440" w:hanging="360"/>
      </w:pPr>
      <w:rPr>
        <w:rFonts w:ascii="Courier New" w:hAnsi="Courier New" w:hint="default"/>
      </w:rPr>
    </w:lvl>
    <w:lvl w:ilvl="2" w:tplc="CA689E7A">
      <w:start w:val="1"/>
      <w:numFmt w:val="bullet"/>
      <w:lvlText w:val=""/>
      <w:lvlJc w:val="left"/>
      <w:pPr>
        <w:tabs>
          <w:tab w:val="num" w:pos="2160"/>
        </w:tabs>
        <w:ind w:left="2160" w:hanging="360"/>
      </w:pPr>
      <w:rPr>
        <w:rFonts w:ascii="Wingdings" w:hAnsi="Wingdings" w:hint="default"/>
      </w:rPr>
    </w:lvl>
    <w:lvl w:ilvl="3" w:tplc="1B16916C">
      <w:start w:val="1"/>
      <w:numFmt w:val="bullet"/>
      <w:lvlText w:val=""/>
      <w:lvlJc w:val="left"/>
      <w:pPr>
        <w:tabs>
          <w:tab w:val="num" w:pos="2880"/>
        </w:tabs>
        <w:ind w:left="2880" w:hanging="360"/>
      </w:pPr>
      <w:rPr>
        <w:rFonts w:ascii="Symbol" w:hAnsi="Symbol" w:hint="default"/>
      </w:rPr>
    </w:lvl>
    <w:lvl w:ilvl="4" w:tplc="8584BC78">
      <w:start w:val="1"/>
      <w:numFmt w:val="bullet"/>
      <w:lvlText w:val="o"/>
      <w:lvlJc w:val="left"/>
      <w:pPr>
        <w:tabs>
          <w:tab w:val="num" w:pos="3600"/>
        </w:tabs>
        <w:ind w:left="3600" w:hanging="360"/>
      </w:pPr>
      <w:rPr>
        <w:rFonts w:ascii="Courier New" w:hAnsi="Courier New" w:hint="default"/>
      </w:rPr>
    </w:lvl>
    <w:lvl w:ilvl="5" w:tplc="FE628432">
      <w:start w:val="1"/>
      <w:numFmt w:val="bullet"/>
      <w:lvlText w:val=""/>
      <w:lvlJc w:val="left"/>
      <w:pPr>
        <w:tabs>
          <w:tab w:val="num" w:pos="4320"/>
        </w:tabs>
        <w:ind w:left="4320" w:hanging="360"/>
      </w:pPr>
      <w:rPr>
        <w:rFonts w:ascii="Wingdings" w:hAnsi="Wingdings" w:hint="default"/>
      </w:rPr>
    </w:lvl>
    <w:lvl w:ilvl="6" w:tplc="DA4E5C98">
      <w:start w:val="1"/>
      <w:numFmt w:val="bullet"/>
      <w:lvlText w:val=""/>
      <w:lvlJc w:val="left"/>
      <w:pPr>
        <w:tabs>
          <w:tab w:val="num" w:pos="5040"/>
        </w:tabs>
        <w:ind w:left="5040" w:hanging="360"/>
      </w:pPr>
      <w:rPr>
        <w:rFonts w:ascii="Symbol" w:hAnsi="Symbol" w:hint="default"/>
      </w:rPr>
    </w:lvl>
    <w:lvl w:ilvl="7" w:tplc="CF50E1B2">
      <w:start w:val="1"/>
      <w:numFmt w:val="bullet"/>
      <w:lvlText w:val="o"/>
      <w:lvlJc w:val="left"/>
      <w:pPr>
        <w:tabs>
          <w:tab w:val="num" w:pos="5760"/>
        </w:tabs>
        <w:ind w:left="5760" w:hanging="360"/>
      </w:pPr>
      <w:rPr>
        <w:rFonts w:ascii="Courier New" w:hAnsi="Courier New" w:hint="default"/>
      </w:rPr>
    </w:lvl>
    <w:lvl w:ilvl="8" w:tplc="E9CCC43E">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133F22"/>
    <w:multiLevelType w:val="hybridMultilevel"/>
    <w:tmpl w:val="07B4D620"/>
    <w:lvl w:ilvl="0" w:tplc="894A4710">
      <w:start w:val="1"/>
      <w:numFmt w:val="lowerLetter"/>
      <w:lvlText w:val="(%1)"/>
      <w:lvlJc w:val="left"/>
      <w:pPr>
        <w:tabs>
          <w:tab w:val="num" w:pos="2202"/>
        </w:tabs>
        <w:ind w:left="2202" w:hanging="360"/>
      </w:pPr>
      <w:rPr>
        <w:rFonts w:hint="default"/>
      </w:rPr>
    </w:lvl>
    <w:lvl w:ilvl="1" w:tplc="04100019" w:tentative="1">
      <w:start w:val="1"/>
      <w:numFmt w:val="lowerLetter"/>
      <w:lvlText w:val="%2."/>
      <w:lvlJc w:val="left"/>
      <w:pPr>
        <w:tabs>
          <w:tab w:val="num" w:pos="2922"/>
        </w:tabs>
        <w:ind w:left="2922" w:hanging="360"/>
      </w:pPr>
    </w:lvl>
    <w:lvl w:ilvl="2" w:tplc="0410001B" w:tentative="1">
      <w:start w:val="1"/>
      <w:numFmt w:val="lowerRoman"/>
      <w:lvlText w:val="%3."/>
      <w:lvlJc w:val="right"/>
      <w:pPr>
        <w:tabs>
          <w:tab w:val="num" w:pos="3642"/>
        </w:tabs>
        <w:ind w:left="3642" w:hanging="180"/>
      </w:pPr>
    </w:lvl>
    <w:lvl w:ilvl="3" w:tplc="0410000F" w:tentative="1">
      <w:start w:val="1"/>
      <w:numFmt w:val="decimal"/>
      <w:lvlText w:val="%4."/>
      <w:lvlJc w:val="left"/>
      <w:pPr>
        <w:tabs>
          <w:tab w:val="num" w:pos="4362"/>
        </w:tabs>
        <w:ind w:left="4362" w:hanging="360"/>
      </w:pPr>
    </w:lvl>
    <w:lvl w:ilvl="4" w:tplc="04100019" w:tentative="1">
      <w:start w:val="1"/>
      <w:numFmt w:val="lowerLetter"/>
      <w:lvlText w:val="%5."/>
      <w:lvlJc w:val="left"/>
      <w:pPr>
        <w:tabs>
          <w:tab w:val="num" w:pos="5082"/>
        </w:tabs>
        <w:ind w:left="5082" w:hanging="360"/>
      </w:pPr>
    </w:lvl>
    <w:lvl w:ilvl="5" w:tplc="0410001B" w:tentative="1">
      <w:start w:val="1"/>
      <w:numFmt w:val="lowerRoman"/>
      <w:lvlText w:val="%6."/>
      <w:lvlJc w:val="right"/>
      <w:pPr>
        <w:tabs>
          <w:tab w:val="num" w:pos="5802"/>
        </w:tabs>
        <w:ind w:left="5802" w:hanging="180"/>
      </w:pPr>
    </w:lvl>
    <w:lvl w:ilvl="6" w:tplc="0410000F" w:tentative="1">
      <w:start w:val="1"/>
      <w:numFmt w:val="decimal"/>
      <w:lvlText w:val="%7."/>
      <w:lvlJc w:val="left"/>
      <w:pPr>
        <w:tabs>
          <w:tab w:val="num" w:pos="6522"/>
        </w:tabs>
        <w:ind w:left="6522" w:hanging="360"/>
      </w:pPr>
    </w:lvl>
    <w:lvl w:ilvl="7" w:tplc="04100019" w:tentative="1">
      <w:start w:val="1"/>
      <w:numFmt w:val="lowerLetter"/>
      <w:lvlText w:val="%8."/>
      <w:lvlJc w:val="left"/>
      <w:pPr>
        <w:tabs>
          <w:tab w:val="num" w:pos="7242"/>
        </w:tabs>
        <w:ind w:left="7242" w:hanging="360"/>
      </w:pPr>
    </w:lvl>
    <w:lvl w:ilvl="8" w:tplc="0410001B" w:tentative="1">
      <w:start w:val="1"/>
      <w:numFmt w:val="lowerRoman"/>
      <w:lvlText w:val="%9."/>
      <w:lvlJc w:val="right"/>
      <w:pPr>
        <w:tabs>
          <w:tab w:val="num" w:pos="7962"/>
        </w:tabs>
        <w:ind w:left="7962" w:hanging="180"/>
      </w:pPr>
    </w:lvl>
  </w:abstractNum>
  <w:abstractNum w:abstractNumId="24" w15:restartNumberingAfterBreak="0">
    <w:nsid w:val="32534E50"/>
    <w:multiLevelType w:val="hybridMultilevel"/>
    <w:tmpl w:val="143823E6"/>
    <w:lvl w:ilvl="0" w:tplc="D72441C4">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33D95BC4"/>
    <w:multiLevelType w:val="hybridMultilevel"/>
    <w:tmpl w:val="A086B6BA"/>
    <w:lvl w:ilvl="0" w:tplc="973C3CC0">
      <w:start w:val="1"/>
      <w:numFmt w:val="lowerLetter"/>
      <w:lvlText w:val="(%1)"/>
      <w:lvlJc w:val="left"/>
      <w:pPr>
        <w:ind w:left="420" w:hanging="360"/>
      </w:pPr>
      <w:rPr>
        <w:rFonts w:ascii="Arial Narrow" w:hAnsi="Arial Narrow" w:hint="default"/>
        <w:sz w:val="15"/>
        <w:szCs w:val="15"/>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26" w15:restartNumberingAfterBreak="0">
    <w:nsid w:val="34CC2B15"/>
    <w:multiLevelType w:val="hybridMultilevel"/>
    <w:tmpl w:val="968862AE"/>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7" w15:restartNumberingAfterBreak="0">
    <w:nsid w:val="3B126581"/>
    <w:multiLevelType w:val="hybridMultilevel"/>
    <w:tmpl w:val="3EDCEA5C"/>
    <w:lvl w:ilvl="0" w:tplc="723CD9BA">
      <w:start w:val="1"/>
      <w:numFmt w:val="bullet"/>
      <w:lvlText w:val=""/>
      <w:lvlPicBulletId w:val="1"/>
      <w:lvlJc w:val="left"/>
      <w:pPr>
        <w:tabs>
          <w:tab w:val="num" w:pos="720"/>
        </w:tabs>
        <w:ind w:left="720" w:hanging="360"/>
      </w:pPr>
      <w:rPr>
        <w:rFonts w:ascii="Symbol" w:hAnsi="Symbol" w:hint="default"/>
      </w:rPr>
    </w:lvl>
    <w:lvl w:ilvl="1" w:tplc="F08261B2" w:tentative="1">
      <w:start w:val="1"/>
      <w:numFmt w:val="bullet"/>
      <w:lvlText w:val=""/>
      <w:lvlJc w:val="left"/>
      <w:pPr>
        <w:tabs>
          <w:tab w:val="num" w:pos="1440"/>
        </w:tabs>
        <w:ind w:left="1440" w:hanging="360"/>
      </w:pPr>
      <w:rPr>
        <w:rFonts w:ascii="Symbol" w:hAnsi="Symbol" w:hint="default"/>
      </w:rPr>
    </w:lvl>
    <w:lvl w:ilvl="2" w:tplc="6414E90C" w:tentative="1">
      <w:start w:val="1"/>
      <w:numFmt w:val="bullet"/>
      <w:lvlText w:val=""/>
      <w:lvlJc w:val="left"/>
      <w:pPr>
        <w:tabs>
          <w:tab w:val="num" w:pos="2160"/>
        </w:tabs>
        <w:ind w:left="2160" w:hanging="360"/>
      </w:pPr>
      <w:rPr>
        <w:rFonts w:ascii="Symbol" w:hAnsi="Symbol" w:hint="default"/>
      </w:rPr>
    </w:lvl>
    <w:lvl w:ilvl="3" w:tplc="35F41C48" w:tentative="1">
      <w:start w:val="1"/>
      <w:numFmt w:val="bullet"/>
      <w:lvlText w:val=""/>
      <w:lvlJc w:val="left"/>
      <w:pPr>
        <w:tabs>
          <w:tab w:val="num" w:pos="2880"/>
        </w:tabs>
        <w:ind w:left="2880" w:hanging="360"/>
      </w:pPr>
      <w:rPr>
        <w:rFonts w:ascii="Symbol" w:hAnsi="Symbol" w:hint="default"/>
      </w:rPr>
    </w:lvl>
    <w:lvl w:ilvl="4" w:tplc="76DC5C08" w:tentative="1">
      <w:start w:val="1"/>
      <w:numFmt w:val="bullet"/>
      <w:lvlText w:val=""/>
      <w:lvlJc w:val="left"/>
      <w:pPr>
        <w:tabs>
          <w:tab w:val="num" w:pos="3600"/>
        </w:tabs>
        <w:ind w:left="3600" w:hanging="360"/>
      </w:pPr>
      <w:rPr>
        <w:rFonts w:ascii="Symbol" w:hAnsi="Symbol" w:hint="default"/>
      </w:rPr>
    </w:lvl>
    <w:lvl w:ilvl="5" w:tplc="078CC066" w:tentative="1">
      <w:start w:val="1"/>
      <w:numFmt w:val="bullet"/>
      <w:lvlText w:val=""/>
      <w:lvlJc w:val="left"/>
      <w:pPr>
        <w:tabs>
          <w:tab w:val="num" w:pos="4320"/>
        </w:tabs>
        <w:ind w:left="4320" w:hanging="360"/>
      </w:pPr>
      <w:rPr>
        <w:rFonts w:ascii="Symbol" w:hAnsi="Symbol" w:hint="default"/>
      </w:rPr>
    </w:lvl>
    <w:lvl w:ilvl="6" w:tplc="993C39C0" w:tentative="1">
      <w:start w:val="1"/>
      <w:numFmt w:val="bullet"/>
      <w:lvlText w:val=""/>
      <w:lvlJc w:val="left"/>
      <w:pPr>
        <w:tabs>
          <w:tab w:val="num" w:pos="5040"/>
        </w:tabs>
        <w:ind w:left="5040" w:hanging="360"/>
      </w:pPr>
      <w:rPr>
        <w:rFonts w:ascii="Symbol" w:hAnsi="Symbol" w:hint="default"/>
      </w:rPr>
    </w:lvl>
    <w:lvl w:ilvl="7" w:tplc="0EB0D25C" w:tentative="1">
      <w:start w:val="1"/>
      <w:numFmt w:val="bullet"/>
      <w:lvlText w:val=""/>
      <w:lvlJc w:val="left"/>
      <w:pPr>
        <w:tabs>
          <w:tab w:val="num" w:pos="5760"/>
        </w:tabs>
        <w:ind w:left="5760" w:hanging="360"/>
      </w:pPr>
      <w:rPr>
        <w:rFonts w:ascii="Symbol" w:hAnsi="Symbol" w:hint="default"/>
      </w:rPr>
    </w:lvl>
    <w:lvl w:ilvl="8" w:tplc="B874B23E"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3F8F0948"/>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03F6CFD"/>
    <w:multiLevelType w:val="hybridMultilevel"/>
    <w:tmpl w:val="DB5CFE1A"/>
    <w:lvl w:ilvl="0" w:tplc="A8762A92">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0" w15:restartNumberingAfterBreak="0">
    <w:nsid w:val="46526AED"/>
    <w:multiLevelType w:val="hybridMultilevel"/>
    <w:tmpl w:val="F10A9D34"/>
    <w:lvl w:ilvl="0" w:tplc="680C282C">
      <w:start w:val="1"/>
      <w:numFmt w:val="bullet"/>
      <w:lvlText w:val="n"/>
      <w:lvlJc w:val="left"/>
      <w:pPr>
        <w:tabs>
          <w:tab w:val="num" w:pos="360"/>
        </w:tabs>
        <w:ind w:left="360" w:hanging="360"/>
      </w:pPr>
      <w:rPr>
        <w:rFonts w:ascii="Wingdings" w:hAnsi="Wingdings" w:hint="default"/>
        <w:color w:val="E42618"/>
        <w:sz w:val="24"/>
        <w:szCs w:val="24"/>
      </w:rPr>
    </w:lvl>
    <w:lvl w:ilvl="1" w:tplc="E7AC5A20">
      <w:start w:val="1"/>
      <w:numFmt w:val="bullet"/>
      <w:lvlText w:val=""/>
      <w:lvlJc w:val="left"/>
      <w:pPr>
        <w:tabs>
          <w:tab w:val="num" w:pos="1440"/>
        </w:tabs>
        <w:ind w:left="1440" w:hanging="360"/>
      </w:pPr>
      <w:rPr>
        <w:rFonts w:ascii="Symbol" w:hAnsi="Symbol"/>
      </w:rPr>
    </w:lvl>
    <w:lvl w:ilvl="2" w:tplc="050AAA86">
      <w:start w:val="1"/>
      <w:numFmt w:val="bullet"/>
      <w:lvlText w:val=""/>
      <w:lvlJc w:val="left"/>
      <w:pPr>
        <w:tabs>
          <w:tab w:val="num" w:pos="2160"/>
        </w:tabs>
        <w:ind w:left="2160" w:hanging="360"/>
      </w:pPr>
      <w:rPr>
        <w:rFonts w:ascii="Symbol" w:hAnsi="Symbol"/>
      </w:rPr>
    </w:lvl>
    <w:lvl w:ilvl="3" w:tplc="8B3E2E4E">
      <w:start w:val="1"/>
      <w:numFmt w:val="bullet"/>
      <w:lvlText w:val=""/>
      <w:lvlJc w:val="left"/>
      <w:pPr>
        <w:tabs>
          <w:tab w:val="num" w:pos="2880"/>
        </w:tabs>
        <w:ind w:left="2880" w:hanging="360"/>
      </w:pPr>
      <w:rPr>
        <w:rFonts w:ascii="Symbol" w:hAnsi="Symbol"/>
      </w:rPr>
    </w:lvl>
    <w:lvl w:ilvl="4" w:tplc="D36450B0">
      <w:start w:val="1"/>
      <w:numFmt w:val="bullet"/>
      <w:lvlText w:val=""/>
      <w:lvlJc w:val="left"/>
      <w:pPr>
        <w:tabs>
          <w:tab w:val="num" w:pos="3600"/>
        </w:tabs>
        <w:ind w:left="3600" w:hanging="360"/>
      </w:pPr>
      <w:rPr>
        <w:rFonts w:ascii="Symbol" w:hAnsi="Symbol"/>
      </w:rPr>
    </w:lvl>
    <w:lvl w:ilvl="5" w:tplc="EB62B692">
      <w:start w:val="1"/>
      <w:numFmt w:val="bullet"/>
      <w:lvlText w:val=""/>
      <w:lvlJc w:val="left"/>
      <w:pPr>
        <w:tabs>
          <w:tab w:val="num" w:pos="4320"/>
        </w:tabs>
        <w:ind w:left="4320" w:hanging="360"/>
      </w:pPr>
      <w:rPr>
        <w:rFonts w:ascii="Symbol" w:hAnsi="Symbol"/>
      </w:rPr>
    </w:lvl>
    <w:lvl w:ilvl="6" w:tplc="A796B456">
      <w:start w:val="1"/>
      <w:numFmt w:val="bullet"/>
      <w:lvlText w:val=""/>
      <w:lvlJc w:val="left"/>
      <w:pPr>
        <w:tabs>
          <w:tab w:val="num" w:pos="5040"/>
        </w:tabs>
        <w:ind w:left="5040" w:hanging="360"/>
      </w:pPr>
      <w:rPr>
        <w:rFonts w:ascii="Symbol" w:hAnsi="Symbol"/>
      </w:rPr>
    </w:lvl>
    <w:lvl w:ilvl="7" w:tplc="F144444C">
      <w:start w:val="1"/>
      <w:numFmt w:val="bullet"/>
      <w:lvlText w:val=""/>
      <w:lvlJc w:val="left"/>
      <w:pPr>
        <w:tabs>
          <w:tab w:val="num" w:pos="5760"/>
        </w:tabs>
        <w:ind w:left="5760" w:hanging="360"/>
      </w:pPr>
      <w:rPr>
        <w:rFonts w:ascii="Symbol" w:hAnsi="Symbol"/>
      </w:rPr>
    </w:lvl>
    <w:lvl w:ilvl="8" w:tplc="AC58295C">
      <w:start w:val="1"/>
      <w:numFmt w:val="bullet"/>
      <w:lvlText w:val=""/>
      <w:lvlJc w:val="left"/>
      <w:pPr>
        <w:tabs>
          <w:tab w:val="num" w:pos="6480"/>
        </w:tabs>
        <w:ind w:left="6480" w:hanging="360"/>
      </w:pPr>
      <w:rPr>
        <w:rFonts w:ascii="Symbol" w:hAnsi="Symbol"/>
      </w:rPr>
    </w:lvl>
  </w:abstractNum>
  <w:abstractNum w:abstractNumId="31" w15:restartNumberingAfterBreak="0">
    <w:nsid w:val="4B7641BD"/>
    <w:multiLevelType w:val="hybridMultilevel"/>
    <w:tmpl w:val="6ADE222C"/>
    <w:lvl w:ilvl="0" w:tplc="723CD9BA">
      <w:start w:val="1"/>
      <w:numFmt w:val="bullet"/>
      <w:lvlText w:val=""/>
      <w:lvlPicBulletId w:val="1"/>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32" w15:restartNumberingAfterBreak="0">
    <w:nsid w:val="52F30A1F"/>
    <w:multiLevelType w:val="hybridMultilevel"/>
    <w:tmpl w:val="02607124"/>
    <w:lvl w:ilvl="0" w:tplc="04090001">
      <w:start w:val="1"/>
      <w:numFmt w:val="bullet"/>
      <w:lvlText w:val=""/>
      <w:lvlJc w:val="left"/>
      <w:pPr>
        <w:ind w:left="2534" w:hanging="360"/>
      </w:pPr>
      <w:rPr>
        <w:rFonts w:ascii="Symbol" w:hAnsi="Symbol" w:hint="default"/>
      </w:rPr>
    </w:lvl>
    <w:lvl w:ilvl="1" w:tplc="04090003" w:tentative="1">
      <w:start w:val="1"/>
      <w:numFmt w:val="bullet"/>
      <w:lvlText w:val="o"/>
      <w:lvlJc w:val="left"/>
      <w:pPr>
        <w:ind w:left="3254" w:hanging="360"/>
      </w:pPr>
      <w:rPr>
        <w:rFonts w:ascii="Courier New" w:hAnsi="Courier New" w:cs="Courier New" w:hint="default"/>
      </w:rPr>
    </w:lvl>
    <w:lvl w:ilvl="2" w:tplc="04090005" w:tentative="1">
      <w:start w:val="1"/>
      <w:numFmt w:val="bullet"/>
      <w:lvlText w:val=""/>
      <w:lvlJc w:val="left"/>
      <w:pPr>
        <w:ind w:left="3974" w:hanging="360"/>
      </w:pPr>
      <w:rPr>
        <w:rFonts w:ascii="Wingdings" w:hAnsi="Wingdings" w:hint="default"/>
      </w:rPr>
    </w:lvl>
    <w:lvl w:ilvl="3" w:tplc="04090001" w:tentative="1">
      <w:start w:val="1"/>
      <w:numFmt w:val="bullet"/>
      <w:lvlText w:val=""/>
      <w:lvlJc w:val="left"/>
      <w:pPr>
        <w:ind w:left="4694" w:hanging="360"/>
      </w:pPr>
      <w:rPr>
        <w:rFonts w:ascii="Symbol" w:hAnsi="Symbol" w:hint="default"/>
      </w:rPr>
    </w:lvl>
    <w:lvl w:ilvl="4" w:tplc="04090003" w:tentative="1">
      <w:start w:val="1"/>
      <w:numFmt w:val="bullet"/>
      <w:lvlText w:val="o"/>
      <w:lvlJc w:val="left"/>
      <w:pPr>
        <w:ind w:left="5414" w:hanging="360"/>
      </w:pPr>
      <w:rPr>
        <w:rFonts w:ascii="Courier New" w:hAnsi="Courier New" w:cs="Courier New" w:hint="default"/>
      </w:rPr>
    </w:lvl>
    <w:lvl w:ilvl="5" w:tplc="04090005" w:tentative="1">
      <w:start w:val="1"/>
      <w:numFmt w:val="bullet"/>
      <w:lvlText w:val=""/>
      <w:lvlJc w:val="left"/>
      <w:pPr>
        <w:ind w:left="6134" w:hanging="360"/>
      </w:pPr>
      <w:rPr>
        <w:rFonts w:ascii="Wingdings" w:hAnsi="Wingdings" w:hint="default"/>
      </w:rPr>
    </w:lvl>
    <w:lvl w:ilvl="6" w:tplc="04090001" w:tentative="1">
      <w:start w:val="1"/>
      <w:numFmt w:val="bullet"/>
      <w:lvlText w:val=""/>
      <w:lvlJc w:val="left"/>
      <w:pPr>
        <w:ind w:left="6854" w:hanging="360"/>
      </w:pPr>
      <w:rPr>
        <w:rFonts w:ascii="Symbol" w:hAnsi="Symbol" w:hint="default"/>
      </w:rPr>
    </w:lvl>
    <w:lvl w:ilvl="7" w:tplc="04090003" w:tentative="1">
      <w:start w:val="1"/>
      <w:numFmt w:val="bullet"/>
      <w:lvlText w:val="o"/>
      <w:lvlJc w:val="left"/>
      <w:pPr>
        <w:ind w:left="7574" w:hanging="360"/>
      </w:pPr>
      <w:rPr>
        <w:rFonts w:ascii="Courier New" w:hAnsi="Courier New" w:cs="Courier New" w:hint="default"/>
      </w:rPr>
    </w:lvl>
    <w:lvl w:ilvl="8" w:tplc="04090005" w:tentative="1">
      <w:start w:val="1"/>
      <w:numFmt w:val="bullet"/>
      <w:lvlText w:val=""/>
      <w:lvlJc w:val="left"/>
      <w:pPr>
        <w:ind w:left="8294" w:hanging="360"/>
      </w:pPr>
      <w:rPr>
        <w:rFonts w:ascii="Wingdings" w:hAnsi="Wingdings" w:hint="default"/>
      </w:rPr>
    </w:lvl>
  </w:abstractNum>
  <w:abstractNum w:abstractNumId="33" w15:restartNumberingAfterBreak="0">
    <w:nsid w:val="549A678C"/>
    <w:multiLevelType w:val="hybridMultilevel"/>
    <w:tmpl w:val="7EFE57B6"/>
    <w:lvl w:ilvl="0" w:tplc="7ED098F6">
      <w:start w:val="1"/>
      <w:numFmt w:val="lowerLetter"/>
      <w:lvlText w:val="%1)"/>
      <w:lvlJc w:val="left"/>
      <w:pPr>
        <w:ind w:left="2517"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20E061A"/>
    <w:multiLevelType w:val="multilevel"/>
    <w:tmpl w:val="A14EDF6A"/>
    <w:lvl w:ilvl="0">
      <w:start w:val="1"/>
      <w:numFmt w:val="lowerLetter"/>
      <w:lvlText w:val="(%1)"/>
      <w:lvlJc w:val="left"/>
      <w:pPr>
        <w:tabs>
          <w:tab w:val="num" w:pos="1980"/>
        </w:tabs>
        <w:ind w:left="19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6D53A64"/>
    <w:multiLevelType w:val="hybridMultilevel"/>
    <w:tmpl w:val="E73EDCB6"/>
    <w:lvl w:ilvl="0" w:tplc="723CD9BA">
      <w:start w:val="1"/>
      <w:numFmt w:val="bullet"/>
      <w:lvlText w:val=""/>
      <w:lvlPicBulletId w:val="1"/>
      <w:lvlJc w:val="left"/>
      <w:pPr>
        <w:tabs>
          <w:tab w:val="num" w:pos="720"/>
        </w:tabs>
        <w:ind w:left="720" w:hanging="360"/>
      </w:pPr>
      <w:rPr>
        <w:rFonts w:ascii="Symbol" w:hAnsi="Symbol" w:hint="default"/>
      </w:rPr>
    </w:lvl>
    <w:lvl w:ilvl="1" w:tplc="58A4F34A" w:tentative="1">
      <w:start w:val="1"/>
      <w:numFmt w:val="bullet"/>
      <w:lvlText w:val=""/>
      <w:lvlJc w:val="left"/>
      <w:pPr>
        <w:tabs>
          <w:tab w:val="num" w:pos="1440"/>
        </w:tabs>
        <w:ind w:left="1440" w:hanging="360"/>
      </w:pPr>
      <w:rPr>
        <w:rFonts w:ascii="Symbol" w:hAnsi="Symbol" w:hint="default"/>
      </w:rPr>
    </w:lvl>
    <w:lvl w:ilvl="2" w:tplc="10282158" w:tentative="1">
      <w:start w:val="1"/>
      <w:numFmt w:val="bullet"/>
      <w:lvlText w:val=""/>
      <w:lvlJc w:val="left"/>
      <w:pPr>
        <w:tabs>
          <w:tab w:val="num" w:pos="2160"/>
        </w:tabs>
        <w:ind w:left="2160" w:hanging="360"/>
      </w:pPr>
      <w:rPr>
        <w:rFonts w:ascii="Symbol" w:hAnsi="Symbol" w:hint="default"/>
      </w:rPr>
    </w:lvl>
    <w:lvl w:ilvl="3" w:tplc="9C6C8776" w:tentative="1">
      <w:start w:val="1"/>
      <w:numFmt w:val="bullet"/>
      <w:lvlText w:val=""/>
      <w:lvlJc w:val="left"/>
      <w:pPr>
        <w:tabs>
          <w:tab w:val="num" w:pos="2880"/>
        </w:tabs>
        <w:ind w:left="2880" w:hanging="360"/>
      </w:pPr>
      <w:rPr>
        <w:rFonts w:ascii="Symbol" w:hAnsi="Symbol" w:hint="default"/>
      </w:rPr>
    </w:lvl>
    <w:lvl w:ilvl="4" w:tplc="539C2334" w:tentative="1">
      <w:start w:val="1"/>
      <w:numFmt w:val="bullet"/>
      <w:lvlText w:val=""/>
      <w:lvlJc w:val="left"/>
      <w:pPr>
        <w:tabs>
          <w:tab w:val="num" w:pos="3600"/>
        </w:tabs>
        <w:ind w:left="3600" w:hanging="360"/>
      </w:pPr>
      <w:rPr>
        <w:rFonts w:ascii="Symbol" w:hAnsi="Symbol" w:hint="default"/>
      </w:rPr>
    </w:lvl>
    <w:lvl w:ilvl="5" w:tplc="E6ECA502" w:tentative="1">
      <w:start w:val="1"/>
      <w:numFmt w:val="bullet"/>
      <w:lvlText w:val=""/>
      <w:lvlJc w:val="left"/>
      <w:pPr>
        <w:tabs>
          <w:tab w:val="num" w:pos="4320"/>
        </w:tabs>
        <w:ind w:left="4320" w:hanging="360"/>
      </w:pPr>
      <w:rPr>
        <w:rFonts w:ascii="Symbol" w:hAnsi="Symbol" w:hint="default"/>
      </w:rPr>
    </w:lvl>
    <w:lvl w:ilvl="6" w:tplc="BF40799E" w:tentative="1">
      <w:start w:val="1"/>
      <w:numFmt w:val="bullet"/>
      <w:lvlText w:val=""/>
      <w:lvlJc w:val="left"/>
      <w:pPr>
        <w:tabs>
          <w:tab w:val="num" w:pos="5040"/>
        </w:tabs>
        <w:ind w:left="5040" w:hanging="360"/>
      </w:pPr>
      <w:rPr>
        <w:rFonts w:ascii="Symbol" w:hAnsi="Symbol" w:hint="default"/>
      </w:rPr>
    </w:lvl>
    <w:lvl w:ilvl="7" w:tplc="3502FF1A" w:tentative="1">
      <w:start w:val="1"/>
      <w:numFmt w:val="bullet"/>
      <w:lvlText w:val=""/>
      <w:lvlJc w:val="left"/>
      <w:pPr>
        <w:tabs>
          <w:tab w:val="num" w:pos="5760"/>
        </w:tabs>
        <w:ind w:left="5760" w:hanging="360"/>
      </w:pPr>
      <w:rPr>
        <w:rFonts w:ascii="Symbol" w:hAnsi="Symbol" w:hint="default"/>
      </w:rPr>
    </w:lvl>
    <w:lvl w:ilvl="8" w:tplc="3312820E"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1F92649"/>
    <w:multiLevelType w:val="hybridMultilevel"/>
    <w:tmpl w:val="1644907C"/>
    <w:lvl w:ilvl="0" w:tplc="0410000B">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7" w15:restartNumberingAfterBreak="0">
    <w:nsid w:val="72F1680C"/>
    <w:multiLevelType w:val="hybridMultilevel"/>
    <w:tmpl w:val="D9427482"/>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num w:numId="1" w16cid:durableId="1380202616">
    <w:abstractNumId w:val="15"/>
  </w:num>
  <w:num w:numId="2" w16cid:durableId="744689963">
    <w:abstractNumId w:val="27"/>
  </w:num>
  <w:num w:numId="3" w16cid:durableId="664816880">
    <w:abstractNumId w:val="31"/>
  </w:num>
  <w:num w:numId="4" w16cid:durableId="1659074150">
    <w:abstractNumId w:val="6"/>
  </w:num>
  <w:num w:numId="5" w16cid:durableId="612827721">
    <w:abstractNumId w:val="20"/>
  </w:num>
  <w:num w:numId="6" w16cid:durableId="2039968513">
    <w:abstractNumId w:val="5"/>
  </w:num>
  <w:num w:numId="7" w16cid:durableId="193618986">
    <w:abstractNumId w:val="0"/>
  </w:num>
  <w:num w:numId="8" w16cid:durableId="1786925581">
    <w:abstractNumId w:val="21"/>
  </w:num>
  <w:num w:numId="9" w16cid:durableId="1697807991">
    <w:abstractNumId w:val="28"/>
  </w:num>
  <w:num w:numId="10" w16cid:durableId="920942630">
    <w:abstractNumId w:val="11"/>
  </w:num>
  <w:num w:numId="11" w16cid:durableId="153378998">
    <w:abstractNumId w:val="26"/>
  </w:num>
  <w:num w:numId="12" w16cid:durableId="193156544">
    <w:abstractNumId w:val="2"/>
  </w:num>
  <w:num w:numId="13" w16cid:durableId="1054356352">
    <w:abstractNumId w:val="35"/>
  </w:num>
  <w:num w:numId="14" w16cid:durableId="605893390">
    <w:abstractNumId w:val="8"/>
  </w:num>
  <w:num w:numId="15" w16cid:durableId="1106804422">
    <w:abstractNumId w:val="37"/>
  </w:num>
  <w:num w:numId="16" w16cid:durableId="438646052">
    <w:abstractNumId w:val="13"/>
  </w:num>
  <w:num w:numId="17" w16cid:durableId="1688093366">
    <w:abstractNumId w:val="24"/>
  </w:num>
  <w:num w:numId="18" w16cid:durableId="1386685525">
    <w:abstractNumId w:val="1"/>
  </w:num>
  <w:num w:numId="19" w16cid:durableId="475268961">
    <w:abstractNumId w:val="17"/>
  </w:num>
  <w:num w:numId="20" w16cid:durableId="57095533">
    <w:abstractNumId w:val="30"/>
  </w:num>
  <w:num w:numId="21" w16cid:durableId="14431860">
    <w:abstractNumId w:val="9"/>
  </w:num>
  <w:num w:numId="22" w16cid:durableId="2125035133">
    <w:abstractNumId w:val="29"/>
  </w:num>
  <w:num w:numId="23" w16cid:durableId="712311138">
    <w:abstractNumId w:val="34"/>
  </w:num>
  <w:num w:numId="24" w16cid:durableId="1935749496">
    <w:abstractNumId w:val="23"/>
  </w:num>
  <w:num w:numId="25" w16cid:durableId="1261330759">
    <w:abstractNumId w:val="10"/>
  </w:num>
  <w:num w:numId="26" w16cid:durableId="193674919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35628950">
    <w:abstractNumId w:val="18"/>
  </w:num>
  <w:num w:numId="28" w16cid:durableId="1305115773">
    <w:abstractNumId w:val="22"/>
  </w:num>
  <w:num w:numId="29" w16cid:durableId="661203358">
    <w:abstractNumId w:val="14"/>
  </w:num>
  <w:num w:numId="30" w16cid:durableId="586353087">
    <w:abstractNumId w:val="12"/>
  </w:num>
  <w:num w:numId="31" w16cid:durableId="475684241">
    <w:abstractNumId w:val="4"/>
  </w:num>
  <w:num w:numId="32" w16cid:durableId="552540372">
    <w:abstractNumId w:val="36"/>
  </w:num>
  <w:num w:numId="33" w16cid:durableId="1361661326">
    <w:abstractNumId w:val="7"/>
  </w:num>
  <w:num w:numId="34" w16cid:durableId="744574909">
    <w:abstractNumId w:val="32"/>
  </w:num>
  <w:num w:numId="35" w16cid:durableId="2079789185">
    <w:abstractNumId w:val="16"/>
  </w:num>
  <w:num w:numId="36" w16cid:durableId="1809322431">
    <w:abstractNumId w:val="19"/>
  </w:num>
  <w:num w:numId="37" w16cid:durableId="1148400965">
    <w:abstractNumId w:val="3"/>
  </w:num>
  <w:num w:numId="38" w16cid:durableId="1254439726">
    <w:abstractNumId w:val="25"/>
  </w:num>
  <w:num w:numId="39" w16cid:durableId="974797415">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hideSpellingErrors/>
  <w:hideGrammaticalErrors/>
  <w:activeWritingStyle w:appName="MSWord" w:lang="it-IT" w:vendorID="64" w:dllVersion="6" w:nlCheck="1" w:checkStyle="0"/>
  <w:activeWritingStyle w:appName="MSWord" w:lang="en-GB" w:vendorID="64" w:dllVersion="6" w:nlCheck="1" w:checkStyle="0"/>
  <w:activeWritingStyle w:appName="MSWord" w:lang="en-US" w:vendorID="64" w:dllVersion="6"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0" style="mso-position-horizontal:center;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C7E"/>
    <w:rsid w:val="0000001C"/>
    <w:rsid w:val="000000E6"/>
    <w:rsid w:val="00000148"/>
    <w:rsid w:val="00000728"/>
    <w:rsid w:val="000008B7"/>
    <w:rsid w:val="00000A07"/>
    <w:rsid w:val="00000B94"/>
    <w:rsid w:val="00001548"/>
    <w:rsid w:val="000015D1"/>
    <w:rsid w:val="00001605"/>
    <w:rsid w:val="00001C85"/>
    <w:rsid w:val="000020B7"/>
    <w:rsid w:val="0000242C"/>
    <w:rsid w:val="000026DF"/>
    <w:rsid w:val="00002F2D"/>
    <w:rsid w:val="000034C8"/>
    <w:rsid w:val="00003834"/>
    <w:rsid w:val="000039B0"/>
    <w:rsid w:val="00003AAA"/>
    <w:rsid w:val="00003AB5"/>
    <w:rsid w:val="00003AD9"/>
    <w:rsid w:val="00003F46"/>
    <w:rsid w:val="00003F7B"/>
    <w:rsid w:val="000041BD"/>
    <w:rsid w:val="000043D5"/>
    <w:rsid w:val="00004794"/>
    <w:rsid w:val="000049DD"/>
    <w:rsid w:val="00004CF5"/>
    <w:rsid w:val="00004DDD"/>
    <w:rsid w:val="00004DF3"/>
    <w:rsid w:val="00004E38"/>
    <w:rsid w:val="0000500C"/>
    <w:rsid w:val="000054F2"/>
    <w:rsid w:val="00005A6B"/>
    <w:rsid w:val="00006709"/>
    <w:rsid w:val="0000683C"/>
    <w:rsid w:val="000068CA"/>
    <w:rsid w:val="00006A17"/>
    <w:rsid w:val="00006DB7"/>
    <w:rsid w:val="00006E53"/>
    <w:rsid w:val="00007042"/>
    <w:rsid w:val="0000740E"/>
    <w:rsid w:val="000077FA"/>
    <w:rsid w:val="00007876"/>
    <w:rsid w:val="00010006"/>
    <w:rsid w:val="00010041"/>
    <w:rsid w:val="000101B6"/>
    <w:rsid w:val="0001021B"/>
    <w:rsid w:val="000102D5"/>
    <w:rsid w:val="00010573"/>
    <w:rsid w:val="0001089C"/>
    <w:rsid w:val="000108ED"/>
    <w:rsid w:val="00010957"/>
    <w:rsid w:val="0001097F"/>
    <w:rsid w:val="000109E3"/>
    <w:rsid w:val="00010A46"/>
    <w:rsid w:val="00010B15"/>
    <w:rsid w:val="00010B3C"/>
    <w:rsid w:val="00010B8D"/>
    <w:rsid w:val="00010C7B"/>
    <w:rsid w:val="00010D06"/>
    <w:rsid w:val="00011270"/>
    <w:rsid w:val="000113F8"/>
    <w:rsid w:val="00011473"/>
    <w:rsid w:val="00011610"/>
    <w:rsid w:val="0001181A"/>
    <w:rsid w:val="000119A0"/>
    <w:rsid w:val="00011A51"/>
    <w:rsid w:val="00011DC6"/>
    <w:rsid w:val="00011EAF"/>
    <w:rsid w:val="00011F76"/>
    <w:rsid w:val="00012364"/>
    <w:rsid w:val="0001244E"/>
    <w:rsid w:val="00012499"/>
    <w:rsid w:val="0001283C"/>
    <w:rsid w:val="0001287A"/>
    <w:rsid w:val="00012A11"/>
    <w:rsid w:val="00012FD3"/>
    <w:rsid w:val="0001319C"/>
    <w:rsid w:val="000134A3"/>
    <w:rsid w:val="0001357A"/>
    <w:rsid w:val="000135AB"/>
    <w:rsid w:val="00013751"/>
    <w:rsid w:val="00013995"/>
    <w:rsid w:val="00013A1E"/>
    <w:rsid w:val="00013F41"/>
    <w:rsid w:val="00014269"/>
    <w:rsid w:val="000142DC"/>
    <w:rsid w:val="000146B3"/>
    <w:rsid w:val="00014863"/>
    <w:rsid w:val="00014927"/>
    <w:rsid w:val="0001494F"/>
    <w:rsid w:val="000152B4"/>
    <w:rsid w:val="00015517"/>
    <w:rsid w:val="0001561A"/>
    <w:rsid w:val="00015D22"/>
    <w:rsid w:val="00015DAF"/>
    <w:rsid w:val="00015EAD"/>
    <w:rsid w:val="00016024"/>
    <w:rsid w:val="0001638E"/>
    <w:rsid w:val="000167F5"/>
    <w:rsid w:val="00016974"/>
    <w:rsid w:val="00016B13"/>
    <w:rsid w:val="00016C00"/>
    <w:rsid w:val="00016C6A"/>
    <w:rsid w:val="00017353"/>
    <w:rsid w:val="0001745D"/>
    <w:rsid w:val="00017951"/>
    <w:rsid w:val="000204CC"/>
    <w:rsid w:val="000204D8"/>
    <w:rsid w:val="000205CA"/>
    <w:rsid w:val="0002065A"/>
    <w:rsid w:val="000208F9"/>
    <w:rsid w:val="000211AD"/>
    <w:rsid w:val="000213E2"/>
    <w:rsid w:val="00021652"/>
    <w:rsid w:val="0002181D"/>
    <w:rsid w:val="00021B34"/>
    <w:rsid w:val="00022197"/>
    <w:rsid w:val="00022763"/>
    <w:rsid w:val="000228CB"/>
    <w:rsid w:val="000233BC"/>
    <w:rsid w:val="000235E9"/>
    <w:rsid w:val="000235FB"/>
    <w:rsid w:val="00023D90"/>
    <w:rsid w:val="00024050"/>
    <w:rsid w:val="000241B7"/>
    <w:rsid w:val="00024BDA"/>
    <w:rsid w:val="00024DBE"/>
    <w:rsid w:val="000250BC"/>
    <w:rsid w:val="0002515C"/>
    <w:rsid w:val="0002519B"/>
    <w:rsid w:val="00025294"/>
    <w:rsid w:val="000253FD"/>
    <w:rsid w:val="000254AC"/>
    <w:rsid w:val="0002574E"/>
    <w:rsid w:val="000257C6"/>
    <w:rsid w:val="00025822"/>
    <w:rsid w:val="00025AA7"/>
    <w:rsid w:val="00025C48"/>
    <w:rsid w:val="00026495"/>
    <w:rsid w:val="000266A7"/>
    <w:rsid w:val="000271F4"/>
    <w:rsid w:val="00027F95"/>
    <w:rsid w:val="00027FBC"/>
    <w:rsid w:val="000305B0"/>
    <w:rsid w:val="00030AB8"/>
    <w:rsid w:val="00030BEE"/>
    <w:rsid w:val="00030C3A"/>
    <w:rsid w:val="00030D02"/>
    <w:rsid w:val="00030DD9"/>
    <w:rsid w:val="0003114F"/>
    <w:rsid w:val="00031258"/>
    <w:rsid w:val="00031311"/>
    <w:rsid w:val="000317E1"/>
    <w:rsid w:val="00031864"/>
    <w:rsid w:val="00031934"/>
    <w:rsid w:val="00031C2E"/>
    <w:rsid w:val="00031E4E"/>
    <w:rsid w:val="000320B7"/>
    <w:rsid w:val="00032111"/>
    <w:rsid w:val="0003236F"/>
    <w:rsid w:val="00032A4E"/>
    <w:rsid w:val="00032BB1"/>
    <w:rsid w:val="00033432"/>
    <w:rsid w:val="00033801"/>
    <w:rsid w:val="0003391B"/>
    <w:rsid w:val="000344D7"/>
    <w:rsid w:val="00034CCB"/>
    <w:rsid w:val="00034D9C"/>
    <w:rsid w:val="00034E73"/>
    <w:rsid w:val="00034F28"/>
    <w:rsid w:val="0003502D"/>
    <w:rsid w:val="000350E3"/>
    <w:rsid w:val="00035164"/>
    <w:rsid w:val="0003517C"/>
    <w:rsid w:val="000352CC"/>
    <w:rsid w:val="00035555"/>
    <w:rsid w:val="00035837"/>
    <w:rsid w:val="0003608C"/>
    <w:rsid w:val="0003629C"/>
    <w:rsid w:val="000363D3"/>
    <w:rsid w:val="000366BA"/>
    <w:rsid w:val="0003704B"/>
    <w:rsid w:val="00037BBD"/>
    <w:rsid w:val="00037F26"/>
    <w:rsid w:val="0004002D"/>
    <w:rsid w:val="00040033"/>
    <w:rsid w:val="000402DE"/>
    <w:rsid w:val="00040619"/>
    <w:rsid w:val="000408F2"/>
    <w:rsid w:val="00041081"/>
    <w:rsid w:val="000410DD"/>
    <w:rsid w:val="00041445"/>
    <w:rsid w:val="000418D6"/>
    <w:rsid w:val="00041D3A"/>
    <w:rsid w:val="00041D56"/>
    <w:rsid w:val="00041DD2"/>
    <w:rsid w:val="00041DDD"/>
    <w:rsid w:val="00041DEF"/>
    <w:rsid w:val="0004257E"/>
    <w:rsid w:val="000425DB"/>
    <w:rsid w:val="00042B16"/>
    <w:rsid w:val="00042D21"/>
    <w:rsid w:val="00042E71"/>
    <w:rsid w:val="00042F77"/>
    <w:rsid w:val="000433C2"/>
    <w:rsid w:val="0004346C"/>
    <w:rsid w:val="000437DE"/>
    <w:rsid w:val="00043C45"/>
    <w:rsid w:val="00043C67"/>
    <w:rsid w:val="00043F9E"/>
    <w:rsid w:val="000445F5"/>
    <w:rsid w:val="0004471F"/>
    <w:rsid w:val="00044806"/>
    <w:rsid w:val="00044845"/>
    <w:rsid w:val="0004496E"/>
    <w:rsid w:val="00044B3D"/>
    <w:rsid w:val="00044BA2"/>
    <w:rsid w:val="00044D3A"/>
    <w:rsid w:val="0004504F"/>
    <w:rsid w:val="000450EF"/>
    <w:rsid w:val="000452A7"/>
    <w:rsid w:val="000455A6"/>
    <w:rsid w:val="00045656"/>
    <w:rsid w:val="000456DB"/>
    <w:rsid w:val="000457A7"/>
    <w:rsid w:val="00045BC9"/>
    <w:rsid w:val="000462ED"/>
    <w:rsid w:val="00046401"/>
    <w:rsid w:val="00046645"/>
    <w:rsid w:val="00046668"/>
    <w:rsid w:val="00046881"/>
    <w:rsid w:val="00046950"/>
    <w:rsid w:val="00046AF5"/>
    <w:rsid w:val="000474A3"/>
    <w:rsid w:val="000474EA"/>
    <w:rsid w:val="000478E6"/>
    <w:rsid w:val="0004797F"/>
    <w:rsid w:val="000479D4"/>
    <w:rsid w:val="00047CCE"/>
    <w:rsid w:val="00047E42"/>
    <w:rsid w:val="00047EA6"/>
    <w:rsid w:val="00050117"/>
    <w:rsid w:val="00050441"/>
    <w:rsid w:val="00050489"/>
    <w:rsid w:val="00050496"/>
    <w:rsid w:val="000506A1"/>
    <w:rsid w:val="000508D1"/>
    <w:rsid w:val="00050B87"/>
    <w:rsid w:val="00051081"/>
    <w:rsid w:val="000512D1"/>
    <w:rsid w:val="0005132D"/>
    <w:rsid w:val="0005182E"/>
    <w:rsid w:val="00051CCA"/>
    <w:rsid w:val="00051D92"/>
    <w:rsid w:val="00051E6A"/>
    <w:rsid w:val="00051FC2"/>
    <w:rsid w:val="000525CE"/>
    <w:rsid w:val="00052A04"/>
    <w:rsid w:val="00052D6F"/>
    <w:rsid w:val="0005317F"/>
    <w:rsid w:val="00053471"/>
    <w:rsid w:val="000537BB"/>
    <w:rsid w:val="00053850"/>
    <w:rsid w:val="000538A1"/>
    <w:rsid w:val="000541C7"/>
    <w:rsid w:val="00054645"/>
    <w:rsid w:val="00054A4F"/>
    <w:rsid w:val="00054ACA"/>
    <w:rsid w:val="00054B66"/>
    <w:rsid w:val="00054E68"/>
    <w:rsid w:val="0005548B"/>
    <w:rsid w:val="0005548D"/>
    <w:rsid w:val="000557ED"/>
    <w:rsid w:val="00055990"/>
    <w:rsid w:val="00055CB6"/>
    <w:rsid w:val="00055E26"/>
    <w:rsid w:val="00056137"/>
    <w:rsid w:val="00056138"/>
    <w:rsid w:val="000565A3"/>
    <w:rsid w:val="00056612"/>
    <w:rsid w:val="00056635"/>
    <w:rsid w:val="000567BC"/>
    <w:rsid w:val="000569E0"/>
    <w:rsid w:val="00056DA9"/>
    <w:rsid w:val="00056EEF"/>
    <w:rsid w:val="00057588"/>
    <w:rsid w:val="00057640"/>
    <w:rsid w:val="000578A2"/>
    <w:rsid w:val="00057CB1"/>
    <w:rsid w:val="00060045"/>
    <w:rsid w:val="00060073"/>
    <w:rsid w:val="00060194"/>
    <w:rsid w:val="0006043F"/>
    <w:rsid w:val="0006068C"/>
    <w:rsid w:val="00060769"/>
    <w:rsid w:val="000607A6"/>
    <w:rsid w:val="00061253"/>
    <w:rsid w:val="00061378"/>
    <w:rsid w:val="0006148E"/>
    <w:rsid w:val="00061580"/>
    <w:rsid w:val="000617F3"/>
    <w:rsid w:val="000617FF"/>
    <w:rsid w:val="00061BEA"/>
    <w:rsid w:val="00061DC7"/>
    <w:rsid w:val="00061E48"/>
    <w:rsid w:val="00061E67"/>
    <w:rsid w:val="00061EE4"/>
    <w:rsid w:val="000620FB"/>
    <w:rsid w:val="000621DF"/>
    <w:rsid w:val="00062354"/>
    <w:rsid w:val="00062437"/>
    <w:rsid w:val="000626C4"/>
    <w:rsid w:val="000629AB"/>
    <w:rsid w:val="00062C7C"/>
    <w:rsid w:val="00062E45"/>
    <w:rsid w:val="00063308"/>
    <w:rsid w:val="000635F7"/>
    <w:rsid w:val="00063D28"/>
    <w:rsid w:val="000641F8"/>
    <w:rsid w:val="000643F7"/>
    <w:rsid w:val="00064404"/>
    <w:rsid w:val="000646B8"/>
    <w:rsid w:val="00064936"/>
    <w:rsid w:val="00064E2A"/>
    <w:rsid w:val="00065001"/>
    <w:rsid w:val="000651DE"/>
    <w:rsid w:val="00065319"/>
    <w:rsid w:val="0006537C"/>
    <w:rsid w:val="000653E1"/>
    <w:rsid w:val="00065467"/>
    <w:rsid w:val="00065496"/>
    <w:rsid w:val="000657E2"/>
    <w:rsid w:val="00065B83"/>
    <w:rsid w:val="000662FB"/>
    <w:rsid w:val="0006665B"/>
    <w:rsid w:val="0006690F"/>
    <w:rsid w:val="00067292"/>
    <w:rsid w:val="00067430"/>
    <w:rsid w:val="000674B5"/>
    <w:rsid w:val="0006757F"/>
    <w:rsid w:val="00067AB5"/>
    <w:rsid w:val="00067F81"/>
    <w:rsid w:val="00070718"/>
    <w:rsid w:val="0007076D"/>
    <w:rsid w:val="000708D3"/>
    <w:rsid w:val="00070B2A"/>
    <w:rsid w:val="00070E18"/>
    <w:rsid w:val="00070F2A"/>
    <w:rsid w:val="00071DBD"/>
    <w:rsid w:val="00071EFA"/>
    <w:rsid w:val="000720F5"/>
    <w:rsid w:val="000720F8"/>
    <w:rsid w:val="00072142"/>
    <w:rsid w:val="00072711"/>
    <w:rsid w:val="00072728"/>
    <w:rsid w:val="000727B5"/>
    <w:rsid w:val="00072B3F"/>
    <w:rsid w:val="00072BE2"/>
    <w:rsid w:val="00072C03"/>
    <w:rsid w:val="00072DD4"/>
    <w:rsid w:val="00073223"/>
    <w:rsid w:val="000732DF"/>
    <w:rsid w:val="000732FD"/>
    <w:rsid w:val="0007358E"/>
    <w:rsid w:val="00073792"/>
    <w:rsid w:val="00073872"/>
    <w:rsid w:val="00073A89"/>
    <w:rsid w:val="00073D34"/>
    <w:rsid w:val="00073F42"/>
    <w:rsid w:val="00073FA9"/>
    <w:rsid w:val="00074665"/>
    <w:rsid w:val="000746D5"/>
    <w:rsid w:val="00074709"/>
    <w:rsid w:val="000749B9"/>
    <w:rsid w:val="00074D11"/>
    <w:rsid w:val="00074DA1"/>
    <w:rsid w:val="000754FC"/>
    <w:rsid w:val="000755F9"/>
    <w:rsid w:val="000756DF"/>
    <w:rsid w:val="00075941"/>
    <w:rsid w:val="00075CC6"/>
    <w:rsid w:val="00075E7A"/>
    <w:rsid w:val="0007633F"/>
    <w:rsid w:val="000764A2"/>
    <w:rsid w:val="0007650D"/>
    <w:rsid w:val="000765B6"/>
    <w:rsid w:val="00076C27"/>
    <w:rsid w:val="00076D5D"/>
    <w:rsid w:val="00076DE8"/>
    <w:rsid w:val="0007706A"/>
    <w:rsid w:val="00077534"/>
    <w:rsid w:val="0007754A"/>
    <w:rsid w:val="00077592"/>
    <w:rsid w:val="0007778B"/>
    <w:rsid w:val="000778A2"/>
    <w:rsid w:val="00077E7D"/>
    <w:rsid w:val="00080263"/>
    <w:rsid w:val="000803AD"/>
    <w:rsid w:val="000806D4"/>
    <w:rsid w:val="00080736"/>
    <w:rsid w:val="00080844"/>
    <w:rsid w:val="000808E3"/>
    <w:rsid w:val="00080B60"/>
    <w:rsid w:val="00080F62"/>
    <w:rsid w:val="000811D8"/>
    <w:rsid w:val="000817F5"/>
    <w:rsid w:val="000818DD"/>
    <w:rsid w:val="000819D4"/>
    <w:rsid w:val="000828E6"/>
    <w:rsid w:val="000829B6"/>
    <w:rsid w:val="000829D1"/>
    <w:rsid w:val="00082A62"/>
    <w:rsid w:val="00082D10"/>
    <w:rsid w:val="00082E1E"/>
    <w:rsid w:val="00083173"/>
    <w:rsid w:val="00083421"/>
    <w:rsid w:val="00083429"/>
    <w:rsid w:val="00083FA8"/>
    <w:rsid w:val="00083FE3"/>
    <w:rsid w:val="0008411D"/>
    <w:rsid w:val="00084387"/>
    <w:rsid w:val="00084761"/>
    <w:rsid w:val="000849DF"/>
    <w:rsid w:val="00084AF6"/>
    <w:rsid w:val="00084E02"/>
    <w:rsid w:val="00084EA2"/>
    <w:rsid w:val="00084EE6"/>
    <w:rsid w:val="00084F63"/>
    <w:rsid w:val="0008506C"/>
    <w:rsid w:val="0008524E"/>
    <w:rsid w:val="0008527C"/>
    <w:rsid w:val="0008545A"/>
    <w:rsid w:val="00085AC2"/>
    <w:rsid w:val="00085AFD"/>
    <w:rsid w:val="00085BC7"/>
    <w:rsid w:val="00085C22"/>
    <w:rsid w:val="00085C51"/>
    <w:rsid w:val="00085D7F"/>
    <w:rsid w:val="00085E26"/>
    <w:rsid w:val="0008600B"/>
    <w:rsid w:val="0008600F"/>
    <w:rsid w:val="00086154"/>
    <w:rsid w:val="000868F5"/>
    <w:rsid w:val="00086C43"/>
    <w:rsid w:val="00086C83"/>
    <w:rsid w:val="000873CD"/>
    <w:rsid w:val="000873E7"/>
    <w:rsid w:val="000876D8"/>
    <w:rsid w:val="000876FA"/>
    <w:rsid w:val="00087774"/>
    <w:rsid w:val="00087BB3"/>
    <w:rsid w:val="00087C9E"/>
    <w:rsid w:val="0009016A"/>
    <w:rsid w:val="000901BC"/>
    <w:rsid w:val="000909B9"/>
    <w:rsid w:val="00090A07"/>
    <w:rsid w:val="00090B9F"/>
    <w:rsid w:val="00090D41"/>
    <w:rsid w:val="00090DE6"/>
    <w:rsid w:val="00090F1B"/>
    <w:rsid w:val="0009127D"/>
    <w:rsid w:val="00091382"/>
    <w:rsid w:val="000916A8"/>
    <w:rsid w:val="000917F4"/>
    <w:rsid w:val="00091AA3"/>
    <w:rsid w:val="00091AFB"/>
    <w:rsid w:val="00091D57"/>
    <w:rsid w:val="00092358"/>
    <w:rsid w:val="00092391"/>
    <w:rsid w:val="000924A8"/>
    <w:rsid w:val="000924D4"/>
    <w:rsid w:val="00092C29"/>
    <w:rsid w:val="00093042"/>
    <w:rsid w:val="00093540"/>
    <w:rsid w:val="00093DB0"/>
    <w:rsid w:val="0009434D"/>
    <w:rsid w:val="00094463"/>
    <w:rsid w:val="00094B3C"/>
    <w:rsid w:val="00094CB4"/>
    <w:rsid w:val="000951A2"/>
    <w:rsid w:val="00095213"/>
    <w:rsid w:val="00095528"/>
    <w:rsid w:val="00095538"/>
    <w:rsid w:val="00095ABF"/>
    <w:rsid w:val="00096313"/>
    <w:rsid w:val="00096371"/>
    <w:rsid w:val="000964A7"/>
    <w:rsid w:val="0009657B"/>
    <w:rsid w:val="00096954"/>
    <w:rsid w:val="00096C13"/>
    <w:rsid w:val="00096DB8"/>
    <w:rsid w:val="0009700D"/>
    <w:rsid w:val="00097014"/>
    <w:rsid w:val="0009723F"/>
    <w:rsid w:val="000972EF"/>
    <w:rsid w:val="000977C6"/>
    <w:rsid w:val="00097C94"/>
    <w:rsid w:val="000A085E"/>
    <w:rsid w:val="000A0936"/>
    <w:rsid w:val="000A09E7"/>
    <w:rsid w:val="000A0AC7"/>
    <w:rsid w:val="000A0D56"/>
    <w:rsid w:val="000A0D76"/>
    <w:rsid w:val="000A0DC1"/>
    <w:rsid w:val="000A0F77"/>
    <w:rsid w:val="000A1070"/>
    <w:rsid w:val="000A10AB"/>
    <w:rsid w:val="000A123E"/>
    <w:rsid w:val="000A1285"/>
    <w:rsid w:val="000A169F"/>
    <w:rsid w:val="000A1D68"/>
    <w:rsid w:val="000A2640"/>
    <w:rsid w:val="000A27BB"/>
    <w:rsid w:val="000A29A5"/>
    <w:rsid w:val="000A2EB6"/>
    <w:rsid w:val="000A2EFD"/>
    <w:rsid w:val="000A32BD"/>
    <w:rsid w:val="000A353C"/>
    <w:rsid w:val="000A3E31"/>
    <w:rsid w:val="000A3EBA"/>
    <w:rsid w:val="000A4087"/>
    <w:rsid w:val="000A40FD"/>
    <w:rsid w:val="000A4124"/>
    <w:rsid w:val="000A4139"/>
    <w:rsid w:val="000A4871"/>
    <w:rsid w:val="000A4E9A"/>
    <w:rsid w:val="000A510B"/>
    <w:rsid w:val="000A5314"/>
    <w:rsid w:val="000A539F"/>
    <w:rsid w:val="000A5A83"/>
    <w:rsid w:val="000A5D8F"/>
    <w:rsid w:val="000A5D99"/>
    <w:rsid w:val="000A6163"/>
    <w:rsid w:val="000A630E"/>
    <w:rsid w:val="000A63AD"/>
    <w:rsid w:val="000A6591"/>
    <w:rsid w:val="000A677A"/>
    <w:rsid w:val="000A69D2"/>
    <w:rsid w:val="000A77D6"/>
    <w:rsid w:val="000A78EC"/>
    <w:rsid w:val="000A7B77"/>
    <w:rsid w:val="000A7C4C"/>
    <w:rsid w:val="000A7CF9"/>
    <w:rsid w:val="000A7D15"/>
    <w:rsid w:val="000A7D4B"/>
    <w:rsid w:val="000A7F51"/>
    <w:rsid w:val="000B01FA"/>
    <w:rsid w:val="000B022B"/>
    <w:rsid w:val="000B02ED"/>
    <w:rsid w:val="000B06A7"/>
    <w:rsid w:val="000B0DCE"/>
    <w:rsid w:val="000B14E7"/>
    <w:rsid w:val="000B1BA4"/>
    <w:rsid w:val="000B1F20"/>
    <w:rsid w:val="000B1F2B"/>
    <w:rsid w:val="000B20D4"/>
    <w:rsid w:val="000B2213"/>
    <w:rsid w:val="000B233D"/>
    <w:rsid w:val="000B27E0"/>
    <w:rsid w:val="000B2A82"/>
    <w:rsid w:val="000B2AAC"/>
    <w:rsid w:val="000B2B3C"/>
    <w:rsid w:val="000B2CD6"/>
    <w:rsid w:val="000B2FC3"/>
    <w:rsid w:val="000B32C5"/>
    <w:rsid w:val="000B32E4"/>
    <w:rsid w:val="000B3304"/>
    <w:rsid w:val="000B3667"/>
    <w:rsid w:val="000B38EA"/>
    <w:rsid w:val="000B3C3F"/>
    <w:rsid w:val="000B3D51"/>
    <w:rsid w:val="000B3EAD"/>
    <w:rsid w:val="000B3F89"/>
    <w:rsid w:val="000B4C82"/>
    <w:rsid w:val="000B51E7"/>
    <w:rsid w:val="000B53F2"/>
    <w:rsid w:val="000B56C0"/>
    <w:rsid w:val="000B57DB"/>
    <w:rsid w:val="000B5A90"/>
    <w:rsid w:val="000B5B83"/>
    <w:rsid w:val="000B5DC1"/>
    <w:rsid w:val="000B5F3D"/>
    <w:rsid w:val="000B5FA3"/>
    <w:rsid w:val="000B60D2"/>
    <w:rsid w:val="000B6575"/>
    <w:rsid w:val="000B6A87"/>
    <w:rsid w:val="000B6B12"/>
    <w:rsid w:val="000B6C6C"/>
    <w:rsid w:val="000B6CD3"/>
    <w:rsid w:val="000B6D0F"/>
    <w:rsid w:val="000B6E6D"/>
    <w:rsid w:val="000B72E0"/>
    <w:rsid w:val="000B7600"/>
    <w:rsid w:val="000B7664"/>
    <w:rsid w:val="000B7680"/>
    <w:rsid w:val="000B7989"/>
    <w:rsid w:val="000B7AE5"/>
    <w:rsid w:val="000B7E0D"/>
    <w:rsid w:val="000C01F6"/>
    <w:rsid w:val="000C0226"/>
    <w:rsid w:val="000C023A"/>
    <w:rsid w:val="000C0726"/>
    <w:rsid w:val="000C076E"/>
    <w:rsid w:val="000C099C"/>
    <w:rsid w:val="000C0F55"/>
    <w:rsid w:val="000C1097"/>
    <w:rsid w:val="000C139B"/>
    <w:rsid w:val="000C140B"/>
    <w:rsid w:val="000C15E3"/>
    <w:rsid w:val="000C1C3E"/>
    <w:rsid w:val="000C233C"/>
    <w:rsid w:val="000C24DA"/>
    <w:rsid w:val="000C25D8"/>
    <w:rsid w:val="000C267B"/>
    <w:rsid w:val="000C2980"/>
    <w:rsid w:val="000C2FB7"/>
    <w:rsid w:val="000C30CB"/>
    <w:rsid w:val="000C35FB"/>
    <w:rsid w:val="000C3630"/>
    <w:rsid w:val="000C3830"/>
    <w:rsid w:val="000C399A"/>
    <w:rsid w:val="000C39B4"/>
    <w:rsid w:val="000C3AD0"/>
    <w:rsid w:val="000C3DA5"/>
    <w:rsid w:val="000C42ED"/>
    <w:rsid w:val="000C4457"/>
    <w:rsid w:val="000C4589"/>
    <w:rsid w:val="000C4689"/>
    <w:rsid w:val="000C4738"/>
    <w:rsid w:val="000C4968"/>
    <w:rsid w:val="000C4CC0"/>
    <w:rsid w:val="000C4D5C"/>
    <w:rsid w:val="000C5202"/>
    <w:rsid w:val="000C53F5"/>
    <w:rsid w:val="000C5564"/>
    <w:rsid w:val="000C55DB"/>
    <w:rsid w:val="000C5602"/>
    <w:rsid w:val="000C584E"/>
    <w:rsid w:val="000C59C4"/>
    <w:rsid w:val="000C5B36"/>
    <w:rsid w:val="000C5D65"/>
    <w:rsid w:val="000C627A"/>
    <w:rsid w:val="000C6F05"/>
    <w:rsid w:val="000C71C5"/>
    <w:rsid w:val="000C727A"/>
    <w:rsid w:val="000C730E"/>
    <w:rsid w:val="000C7450"/>
    <w:rsid w:val="000C7697"/>
    <w:rsid w:val="000C76DA"/>
    <w:rsid w:val="000C789E"/>
    <w:rsid w:val="000C79D0"/>
    <w:rsid w:val="000C7ABE"/>
    <w:rsid w:val="000C7B4C"/>
    <w:rsid w:val="000C7D70"/>
    <w:rsid w:val="000C7EF4"/>
    <w:rsid w:val="000D0459"/>
    <w:rsid w:val="000D072A"/>
    <w:rsid w:val="000D09C3"/>
    <w:rsid w:val="000D0B34"/>
    <w:rsid w:val="000D0EC2"/>
    <w:rsid w:val="000D0F51"/>
    <w:rsid w:val="000D1221"/>
    <w:rsid w:val="000D17A9"/>
    <w:rsid w:val="000D1B06"/>
    <w:rsid w:val="000D1D83"/>
    <w:rsid w:val="000D1E54"/>
    <w:rsid w:val="000D215B"/>
    <w:rsid w:val="000D24E2"/>
    <w:rsid w:val="000D2BA7"/>
    <w:rsid w:val="000D3585"/>
    <w:rsid w:val="000D3A7C"/>
    <w:rsid w:val="000D3CAE"/>
    <w:rsid w:val="000D42CA"/>
    <w:rsid w:val="000D4498"/>
    <w:rsid w:val="000D4568"/>
    <w:rsid w:val="000D4A0C"/>
    <w:rsid w:val="000D4EE8"/>
    <w:rsid w:val="000D4FE9"/>
    <w:rsid w:val="000D5383"/>
    <w:rsid w:val="000D53B8"/>
    <w:rsid w:val="000D5624"/>
    <w:rsid w:val="000D5955"/>
    <w:rsid w:val="000D68E4"/>
    <w:rsid w:val="000D70CE"/>
    <w:rsid w:val="000D70FA"/>
    <w:rsid w:val="000D7279"/>
    <w:rsid w:val="000D74A4"/>
    <w:rsid w:val="000D7679"/>
    <w:rsid w:val="000D7CD3"/>
    <w:rsid w:val="000E0C8A"/>
    <w:rsid w:val="000E0D71"/>
    <w:rsid w:val="000E0DD4"/>
    <w:rsid w:val="000E0F62"/>
    <w:rsid w:val="000E0FC9"/>
    <w:rsid w:val="000E1054"/>
    <w:rsid w:val="000E1158"/>
    <w:rsid w:val="000E13B0"/>
    <w:rsid w:val="000E1473"/>
    <w:rsid w:val="000E162A"/>
    <w:rsid w:val="000E177D"/>
    <w:rsid w:val="000E19F0"/>
    <w:rsid w:val="000E1E6F"/>
    <w:rsid w:val="000E2098"/>
    <w:rsid w:val="000E21B1"/>
    <w:rsid w:val="000E22B3"/>
    <w:rsid w:val="000E237E"/>
    <w:rsid w:val="000E23BF"/>
    <w:rsid w:val="000E23EF"/>
    <w:rsid w:val="000E2664"/>
    <w:rsid w:val="000E2903"/>
    <w:rsid w:val="000E2BE0"/>
    <w:rsid w:val="000E2C2B"/>
    <w:rsid w:val="000E2E1B"/>
    <w:rsid w:val="000E327D"/>
    <w:rsid w:val="000E32BE"/>
    <w:rsid w:val="000E32CD"/>
    <w:rsid w:val="000E3463"/>
    <w:rsid w:val="000E3464"/>
    <w:rsid w:val="000E3886"/>
    <w:rsid w:val="000E3CFC"/>
    <w:rsid w:val="000E404D"/>
    <w:rsid w:val="000E40CB"/>
    <w:rsid w:val="000E420F"/>
    <w:rsid w:val="000E42F6"/>
    <w:rsid w:val="000E44A9"/>
    <w:rsid w:val="000E4A6D"/>
    <w:rsid w:val="000E4D8F"/>
    <w:rsid w:val="000E5429"/>
    <w:rsid w:val="000E5B28"/>
    <w:rsid w:val="000E5D0D"/>
    <w:rsid w:val="000E62CE"/>
    <w:rsid w:val="000E63BC"/>
    <w:rsid w:val="000E649F"/>
    <w:rsid w:val="000E66DF"/>
    <w:rsid w:val="000E6AF8"/>
    <w:rsid w:val="000E6B08"/>
    <w:rsid w:val="000E70A5"/>
    <w:rsid w:val="000E70F6"/>
    <w:rsid w:val="000E7523"/>
    <w:rsid w:val="000E77B0"/>
    <w:rsid w:val="000E78BC"/>
    <w:rsid w:val="000E7960"/>
    <w:rsid w:val="000E7F42"/>
    <w:rsid w:val="000F01EE"/>
    <w:rsid w:val="000F034B"/>
    <w:rsid w:val="000F039B"/>
    <w:rsid w:val="000F0528"/>
    <w:rsid w:val="000F06DE"/>
    <w:rsid w:val="000F0888"/>
    <w:rsid w:val="000F0DEA"/>
    <w:rsid w:val="000F0DFE"/>
    <w:rsid w:val="000F0E8F"/>
    <w:rsid w:val="000F1394"/>
    <w:rsid w:val="000F1519"/>
    <w:rsid w:val="000F18A3"/>
    <w:rsid w:val="000F19CA"/>
    <w:rsid w:val="000F1A51"/>
    <w:rsid w:val="000F1CEF"/>
    <w:rsid w:val="000F25EE"/>
    <w:rsid w:val="000F269A"/>
    <w:rsid w:val="000F26C0"/>
    <w:rsid w:val="000F2852"/>
    <w:rsid w:val="000F2873"/>
    <w:rsid w:val="000F2BE7"/>
    <w:rsid w:val="000F2CE4"/>
    <w:rsid w:val="000F2DD7"/>
    <w:rsid w:val="000F2FB2"/>
    <w:rsid w:val="000F32AC"/>
    <w:rsid w:val="000F3597"/>
    <w:rsid w:val="000F370D"/>
    <w:rsid w:val="000F376F"/>
    <w:rsid w:val="000F37E4"/>
    <w:rsid w:val="000F3856"/>
    <w:rsid w:val="000F3E1E"/>
    <w:rsid w:val="000F3E50"/>
    <w:rsid w:val="000F41E0"/>
    <w:rsid w:val="000F43CA"/>
    <w:rsid w:val="000F4698"/>
    <w:rsid w:val="000F48B5"/>
    <w:rsid w:val="000F4D00"/>
    <w:rsid w:val="000F4E41"/>
    <w:rsid w:val="000F4FE7"/>
    <w:rsid w:val="000F5554"/>
    <w:rsid w:val="000F57C2"/>
    <w:rsid w:val="000F5A7E"/>
    <w:rsid w:val="000F5D44"/>
    <w:rsid w:val="000F5E41"/>
    <w:rsid w:val="000F5E6F"/>
    <w:rsid w:val="000F5EC4"/>
    <w:rsid w:val="000F6152"/>
    <w:rsid w:val="000F6161"/>
    <w:rsid w:val="000F63EF"/>
    <w:rsid w:val="000F6442"/>
    <w:rsid w:val="000F68EC"/>
    <w:rsid w:val="000F75A1"/>
    <w:rsid w:val="000F763F"/>
    <w:rsid w:val="000F7AD5"/>
    <w:rsid w:val="000F7CB4"/>
    <w:rsid w:val="000F7F64"/>
    <w:rsid w:val="000F7FAE"/>
    <w:rsid w:val="00100058"/>
    <w:rsid w:val="00100268"/>
    <w:rsid w:val="00100472"/>
    <w:rsid w:val="001008F0"/>
    <w:rsid w:val="001009C1"/>
    <w:rsid w:val="00100B0C"/>
    <w:rsid w:val="00101A55"/>
    <w:rsid w:val="00101B88"/>
    <w:rsid w:val="00101EC8"/>
    <w:rsid w:val="00101F21"/>
    <w:rsid w:val="0010203F"/>
    <w:rsid w:val="0010243C"/>
    <w:rsid w:val="00102509"/>
    <w:rsid w:val="00102B37"/>
    <w:rsid w:val="00102E12"/>
    <w:rsid w:val="001030AE"/>
    <w:rsid w:val="0010327A"/>
    <w:rsid w:val="001032AD"/>
    <w:rsid w:val="00103356"/>
    <w:rsid w:val="00103433"/>
    <w:rsid w:val="001035FC"/>
    <w:rsid w:val="0010374F"/>
    <w:rsid w:val="0010385A"/>
    <w:rsid w:val="00103A48"/>
    <w:rsid w:val="0010401A"/>
    <w:rsid w:val="00104132"/>
    <w:rsid w:val="00104168"/>
    <w:rsid w:val="00104365"/>
    <w:rsid w:val="001045C8"/>
    <w:rsid w:val="00104992"/>
    <w:rsid w:val="00104E68"/>
    <w:rsid w:val="00104EC6"/>
    <w:rsid w:val="00104EE9"/>
    <w:rsid w:val="00105326"/>
    <w:rsid w:val="001054A5"/>
    <w:rsid w:val="00105774"/>
    <w:rsid w:val="00105B08"/>
    <w:rsid w:val="0010607E"/>
    <w:rsid w:val="001062CA"/>
    <w:rsid w:val="0010642A"/>
    <w:rsid w:val="0010687A"/>
    <w:rsid w:val="00106AA3"/>
    <w:rsid w:val="001070B0"/>
    <w:rsid w:val="00107126"/>
    <w:rsid w:val="001075A8"/>
    <w:rsid w:val="001079C3"/>
    <w:rsid w:val="00107B24"/>
    <w:rsid w:val="00110342"/>
    <w:rsid w:val="00110856"/>
    <w:rsid w:val="00111160"/>
    <w:rsid w:val="001112CB"/>
    <w:rsid w:val="00111347"/>
    <w:rsid w:val="001113CA"/>
    <w:rsid w:val="001115C7"/>
    <w:rsid w:val="00111823"/>
    <w:rsid w:val="00111D39"/>
    <w:rsid w:val="00111D49"/>
    <w:rsid w:val="00111E5D"/>
    <w:rsid w:val="00111EC4"/>
    <w:rsid w:val="001120AE"/>
    <w:rsid w:val="001124E6"/>
    <w:rsid w:val="001127A0"/>
    <w:rsid w:val="001128FF"/>
    <w:rsid w:val="00112A83"/>
    <w:rsid w:val="00112D15"/>
    <w:rsid w:val="00112EAD"/>
    <w:rsid w:val="00112FD6"/>
    <w:rsid w:val="00113224"/>
    <w:rsid w:val="00113274"/>
    <w:rsid w:val="0011349E"/>
    <w:rsid w:val="00113A3A"/>
    <w:rsid w:val="00113BDB"/>
    <w:rsid w:val="00113CDF"/>
    <w:rsid w:val="00113DC8"/>
    <w:rsid w:val="00113E20"/>
    <w:rsid w:val="00113E61"/>
    <w:rsid w:val="00113F0D"/>
    <w:rsid w:val="00114045"/>
    <w:rsid w:val="001143AE"/>
    <w:rsid w:val="001143D0"/>
    <w:rsid w:val="001144D0"/>
    <w:rsid w:val="0011455D"/>
    <w:rsid w:val="001146BF"/>
    <w:rsid w:val="00114704"/>
    <w:rsid w:val="001148C3"/>
    <w:rsid w:val="00114F41"/>
    <w:rsid w:val="0011506B"/>
    <w:rsid w:val="0011508E"/>
    <w:rsid w:val="0011562D"/>
    <w:rsid w:val="00115651"/>
    <w:rsid w:val="001156D5"/>
    <w:rsid w:val="00115AB8"/>
    <w:rsid w:val="00115FBE"/>
    <w:rsid w:val="001169B6"/>
    <w:rsid w:val="00116AB6"/>
    <w:rsid w:val="00116DD5"/>
    <w:rsid w:val="00117309"/>
    <w:rsid w:val="00117AF1"/>
    <w:rsid w:val="00117B03"/>
    <w:rsid w:val="00117BB0"/>
    <w:rsid w:val="00117CBF"/>
    <w:rsid w:val="0012007E"/>
    <w:rsid w:val="0012011D"/>
    <w:rsid w:val="00120457"/>
    <w:rsid w:val="00120D62"/>
    <w:rsid w:val="00120D7F"/>
    <w:rsid w:val="00120F89"/>
    <w:rsid w:val="00121090"/>
    <w:rsid w:val="00121177"/>
    <w:rsid w:val="001211E8"/>
    <w:rsid w:val="00121299"/>
    <w:rsid w:val="001213F2"/>
    <w:rsid w:val="001216FA"/>
    <w:rsid w:val="00121DFD"/>
    <w:rsid w:val="00121F1E"/>
    <w:rsid w:val="00122786"/>
    <w:rsid w:val="001228C0"/>
    <w:rsid w:val="00122912"/>
    <w:rsid w:val="00122976"/>
    <w:rsid w:val="00122ECC"/>
    <w:rsid w:val="00123742"/>
    <w:rsid w:val="0012380F"/>
    <w:rsid w:val="00123A77"/>
    <w:rsid w:val="00123C76"/>
    <w:rsid w:val="0012468A"/>
    <w:rsid w:val="001248B9"/>
    <w:rsid w:val="00124943"/>
    <w:rsid w:val="001249B2"/>
    <w:rsid w:val="00124A96"/>
    <w:rsid w:val="0012503F"/>
    <w:rsid w:val="00125420"/>
    <w:rsid w:val="001254C6"/>
    <w:rsid w:val="00125651"/>
    <w:rsid w:val="00125958"/>
    <w:rsid w:val="00125AC1"/>
    <w:rsid w:val="00125C51"/>
    <w:rsid w:val="00125D56"/>
    <w:rsid w:val="00125FC1"/>
    <w:rsid w:val="001261E2"/>
    <w:rsid w:val="00126235"/>
    <w:rsid w:val="0012664B"/>
    <w:rsid w:val="001267F9"/>
    <w:rsid w:val="00126876"/>
    <w:rsid w:val="00126F68"/>
    <w:rsid w:val="00126F98"/>
    <w:rsid w:val="00127273"/>
    <w:rsid w:val="001273DA"/>
    <w:rsid w:val="00127CCE"/>
    <w:rsid w:val="00127DBA"/>
    <w:rsid w:val="001304C0"/>
    <w:rsid w:val="0013060B"/>
    <w:rsid w:val="001306A7"/>
    <w:rsid w:val="00131084"/>
    <w:rsid w:val="0013108B"/>
    <w:rsid w:val="0013114E"/>
    <w:rsid w:val="001315D4"/>
    <w:rsid w:val="001315EA"/>
    <w:rsid w:val="0013171C"/>
    <w:rsid w:val="001319AE"/>
    <w:rsid w:val="00131E75"/>
    <w:rsid w:val="00132098"/>
    <w:rsid w:val="00132391"/>
    <w:rsid w:val="0013239A"/>
    <w:rsid w:val="00132472"/>
    <w:rsid w:val="001324FE"/>
    <w:rsid w:val="00132674"/>
    <w:rsid w:val="00132A09"/>
    <w:rsid w:val="00132D0E"/>
    <w:rsid w:val="00132DBF"/>
    <w:rsid w:val="00132E23"/>
    <w:rsid w:val="00132F27"/>
    <w:rsid w:val="001334D9"/>
    <w:rsid w:val="001335FA"/>
    <w:rsid w:val="00133862"/>
    <w:rsid w:val="0013399B"/>
    <w:rsid w:val="00133D17"/>
    <w:rsid w:val="00134308"/>
    <w:rsid w:val="0013455F"/>
    <w:rsid w:val="00134704"/>
    <w:rsid w:val="001348C2"/>
    <w:rsid w:val="00135140"/>
    <w:rsid w:val="00135207"/>
    <w:rsid w:val="00135418"/>
    <w:rsid w:val="001358CD"/>
    <w:rsid w:val="00135D93"/>
    <w:rsid w:val="00135EC9"/>
    <w:rsid w:val="001360C7"/>
    <w:rsid w:val="00136843"/>
    <w:rsid w:val="00136895"/>
    <w:rsid w:val="00136EF3"/>
    <w:rsid w:val="001371D2"/>
    <w:rsid w:val="00137464"/>
    <w:rsid w:val="001376AE"/>
    <w:rsid w:val="00137940"/>
    <w:rsid w:val="00137B50"/>
    <w:rsid w:val="00137F30"/>
    <w:rsid w:val="00137FEB"/>
    <w:rsid w:val="0014041C"/>
    <w:rsid w:val="00141831"/>
    <w:rsid w:val="001418F8"/>
    <w:rsid w:val="001419EF"/>
    <w:rsid w:val="00141A22"/>
    <w:rsid w:val="00141A37"/>
    <w:rsid w:val="00141B4A"/>
    <w:rsid w:val="00141C42"/>
    <w:rsid w:val="00141F60"/>
    <w:rsid w:val="001421E4"/>
    <w:rsid w:val="00142813"/>
    <w:rsid w:val="00142C78"/>
    <w:rsid w:val="00142EF1"/>
    <w:rsid w:val="00142F44"/>
    <w:rsid w:val="00142F8B"/>
    <w:rsid w:val="00143151"/>
    <w:rsid w:val="001431DB"/>
    <w:rsid w:val="001433D4"/>
    <w:rsid w:val="00143799"/>
    <w:rsid w:val="00143A1B"/>
    <w:rsid w:val="00143A49"/>
    <w:rsid w:val="00143C18"/>
    <w:rsid w:val="00143EB8"/>
    <w:rsid w:val="001440DD"/>
    <w:rsid w:val="001446B2"/>
    <w:rsid w:val="00144813"/>
    <w:rsid w:val="00144ADB"/>
    <w:rsid w:val="00144DF8"/>
    <w:rsid w:val="00145468"/>
    <w:rsid w:val="00145A1D"/>
    <w:rsid w:val="00146099"/>
    <w:rsid w:val="00146396"/>
    <w:rsid w:val="001463B3"/>
    <w:rsid w:val="00146D9F"/>
    <w:rsid w:val="00146F6C"/>
    <w:rsid w:val="00147253"/>
    <w:rsid w:val="00147422"/>
    <w:rsid w:val="0014748A"/>
    <w:rsid w:val="00147559"/>
    <w:rsid w:val="001478BA"/>
    <w:rsid w:val="00147CB5"/>
    <w:rsid w:val="00147CF6"/>
    <w:rsid w:val="001509A4"/>
    <w:rsid w:val="001511A4"/>
    <w:rsid w:val="00151214"/>
    <w:rsid w:val="0015128D"/>
    <w:rsid w:val="00151343"/>
    <w:rsid w:val="001514E2"/>
    <w:rsid w:val="001516DB"/>
    <w:rsid w:val="00151BB3"/>
    <w:rsid w:val="0015208C"/>
    <w:rsid w:val="001523C9"/>
    <w:rsid w:val="001524CE"/>
    <w:rsid w:val="00152751"/>
    <w:rsid w:val="00152E56"/>
    <w:rsid w:val="00153176"/>
    <w:rsid w:val="001531DE"/>
    <w:rsid w:val="00153299"/>
    <w:rsid w:val="001532E5"/>
    <w:rsid w:val="001536EB"/>
    <w:rsid w:val="001538D3"/>
    <w:rsid w:val="0015390C"/>
    <w:rsid w:val="00153A3C"/>
    <w:rsid w:val="00153DCC"/>
    <w:rsid w:val="00153E1C"/>
    <w:rsid w:val="001546D3"/>
    <w:rsid w:val="00154733"/>
    <w:rsid w:val="001547AB"/>
    <w:rsid w:val="00154850"/>
    <w:rsid w:val="0015485C"/>
    <w:rsid w:val="00154B63"/>
    <w:rsid w:val="00154CB3"/>
    <w:rsid w:val="00154E23"/>
    <w:rsid w:val="00155117"/>
    <w:rsid w:val="001555D0"/>
    <w:rsid w:val="001559AA"/>
    <w:rsid w:val="00155EC4"/>
    <w:rsid w:val="0015634E"/>
    <w:rsid w:val="0015639F"/>
    <w:rsid w:val="001564C3"/>
    <w:rsid w:val="00156C7D"/>
    <w:rsid w:val="00156D13"/>
    <w:rsid w:val="001570B0"/>
    <w:rsid w:val="00157260"/>
    <w:rsid w:val="001575B4"/>
    <w:rsid w:val="001575D8"/>
    <w:rsid w:val="00157664"/>
    <w:rsid w:val="00157E6E"/>
    <w:rsid w:val="001600DF"/>
    <w:rsid w:val="00160180"/>
    <w:rsid w:val="0016038B"/>
    <w:rsid w:val="00160503"/>
    <w:rsid w:val="00160627"/>
    <w:rsid w:val="001606AA"/>
    <w:rsid w:val="00160985"/>
    <w:rsid w:val="00160B79"/>
    <w:rsid w:val="00161148"/>
    <w:rsid w:val="001611C8"/>
    <w:rsid w:val="00161230"/>
    <w:rsid w:val="00161280"/>
    <w:rsid w:val="00161444"/>
    <w:rsid w:val="0016149C"/>
    <w:rsid w:val="001614D8"/>
    <w:rsid w:val="0016192A"/>
    <w:rsid w:val="0016195F"/>
    <w:rsid w:val="00161A69"/>
    <w:rsid w:val="00161A6B"/>
    <w:rsid w:val="00161AEE"/>
    <w:rsid w:val="00161BFF"/>
    <w:rsid w:val="00161D72"/>
    <w:rsid w:val="00162056"/>
    <w:rsid w:val="001622D3"/>
    <w:rsid w:val="001622ED"/>
    <w:rsid w:val="00162C0B"/>
    <w:rsid w:val="00162F8F"/>
    <w:rsid w:val="0016306C"/>
    <w:rsid w:val="0016323D"/>
    <w:rsid w:val="001632FB"/>
    <w:rsid w:val="0016343C"/>
    <w:rsid w:val="00163477"/>
    <w:rsid w:val="00163540"/>
    <w:rsid w:val="00163E5A"/>
    <w:rsid w:val="00164204"/>
    <w:rsid w:val="00164402"/>
    <w:rsid w:val="001645B6"/>
    <w:rsid w:val="00164720"/>
    <w:rsid w:val="00164938"/>
    <w:rsid w:val="00164B50"/>
    <w:rsid w:val="00164DAA"/>
    <w:rsid w:val="00165041"/>
    <w:rsid w:val="0016523C"/>
    <w:rsid w:val="001657D2"/>
    <w:rsid w:val="001657F8"/>
    <w:rsid w:val="00165947"/>
    <w:rsid w:val="00165C17"/>
    <w:rsid w:val="00165C76"/>
    <w:rsid w:val="00165E0A"/>
    <w:rsid w:val="001661D3"/>
    <w:rsid w:val="00166288"/>
    <w:rsid w:val="00166316"/>
    <w:rsid w:val="00166319"/>
    <w:rsid w:val="001664CA"/>
    <w:rsid w:val="0016655B"/>
    <w:rsid w:val="00166759"/>
    <w:rsid w:val="001667BA"/>
    <w:rsid w:val="00166956"/>
    <w:rsid w:val="001669F6"/>
    <w:rsid w:val="001671CF"/>
    <w:rsid w:val="00167305"/>
    <w:rsid w:val="001674B4"/>
    <w:rsid w:val="00167687"/>
    <w:rsid w:val="00167757"/>
    <w:rsid w:val="00167891"/>
    <w:rsid w:val="00167A99"/>
    <w:rsid w:val="00167C39"/>
    <w:rsid w:val="00167FAA"/>
    <w:rsid w:val="00167FBE"/>
    <w:rsid w:val="00167FDD"/>
    <w:rsid w:val="001703A0"/>
    <w:rsid w:val="00170967"/>
    <w:rsid w:val="00170991"/>
    <w:rsid w:val="001709E7"/>
    <w:rsid w:val="00170A4B"/>
    <w:rsid w:val="00170D6A"/>
    <w:rsid w:val="00170E15"/>
    <w:rsid w:val="00170E70"/>
    <w:rsid w:val="00170F0C"/>
    <w:rsid w:val="0017188E"/>
    <w:rsid w:val="00171F12"/>
    <w:rsid w:val="00172E48"/>
    <w:rsid w:val="00173151"/>
    <w:rsid w:val="0017316E"/>
    <w:rsid w:val="00173439"/>
    <w:rsid w:val="00173944"/>
    <w:rsid w:val="00174622"/>
    <w:rsid w:val="001747FB"/>
    <w:rsid w:val="00174879"/>
    <w:rsid w:val="0017489B"/>
    <w:rsid w:val="00174B36"/>
    <w:rsid w:val="00174D35"/>
    <w:rsid w:val="00174DDB"/>
    <w:rsid w:val="0017508C"/>
    <w:rsid w:val="00175120"/>
    <w:rsid w:val="001751D9"/>
    <w:rsid w:val="00175364"/>
    <w:rsid w:val="00175897"/>
    <w:rsid w:val="00175B59"/>
    <w:rsid w:val="00175DBA"/>
    <w:rsid w:val="00175FBA"/>
    <w:rsid w:val="0017600F"/>
    <w:rsid w:val="00176295"/>
    <w:rsid w:val="00176CF4"/>
    <w:rsid w:val="00176E46"/>
    <w:rsid w:val="00176F23"/>
    <w:rsid w:val="00176FA2"/>
    <w:rsid w:val="001770F1"/>
    <w:rsid w:val="001772A7"/>
    <w:rsid w:val="0017738A"/>
    <w:rsid w:val="0017799F"/>
    <w:rsid w:val="0018016F"/>
    <w:rsid w:val="001801A0"/>
    <w:rsid w:val="00180464"/>
    <w:rsid w:val="00180A46"/>
    <w:rsid w:val="00180B4B"/>
    <w:rsid w:val="00180BAF"/>
    <w:rsid w:val="00180C96"/>
    <w:rsid w:val="00180F58"/>
    <w:rsid w:val="00181180"/>
    <w:rsid w:val="00181281"/>
    <w:rsid w:val="00181340"/>
    <w:rsid w:val="00181353"/>
    <w:rsid w:val="00181555"/>
    <w:rsid w:val="001818AE"/>
    <w:rsid w:val="00181A1C"/>
    <w:rsid w:val="00182103"/>
    <w:rsid w:val="00182179"/>
    <w:rsid w:val="001822CF"/>
    <w:rsid w:val="001823B9"/>
    <w:rsid w:val="001828BF"/>
    <w:rsid w:val="00182997"/>
    <w:rsid w:val="00182A18"/>
    <w:rsid w:val="00182B9D"/>
    <w:rsid w:val="00182F7C"/>
    <w:rsid w:val="001832AE"/>
    <w:rsid w:val="001834C2"/>
    <w:rsid w:val="001836BE"/>
    <w:rsid w:val="0018384A"/>
    <w:rsid w:val="00183A63"/>
    <w:rsid w:val="00183ACA"/>
    <w:rsid w:val="00184065"/>
    <w:rsid w:val="00184632"/>
    <w:rsid w:val="00184694"/>
    <w:rsid w:val="00184D24"/>
    <w:rsid w:val="00185048"/>
    <w:rsid w:val="001857BC"/>
    <w:rsid w:val="00185B90"/>
    <w:rsid w:val="00185DEC"/>
    <w:rsid w:val="00185DFF"/>
    <w:rsid w:val="00185E3F"/>
    <w:rsid w:val="00185F1A"/>
    <w:rsid w:val="00185FCF"/>
    <w:rsid w:val="00186029"/>
    <w:rsid w:val="00186A54"/>
    <w:rsid w:val="00186CB1"/>
    <w:rsid w:val="0018714C"/>
    <w:rsid w:val="001871F1"/>
    <w:rsid w:val="00187799"/>
    <w:rsid w:val="00187ED5"/>
    <w:rsid w:val="00190077"/>
    <w:rsid w:val="00190333"/>
    <w:rsid w:val="001904EF"/>
    <w:rsid w:val="001906DB"/>
    <w:rsid w:val="0019079B"/>
    <w:rsid w:val="00190D9D"/>
    <w:rsid w:val="001910F4"/>
    <w:rsid w:val="00191237"/>
    <w:rsid w:val="001914C0"/>
    <w:rsid w:val="0019150C"/>
    <w:rsid w:val="00191515"/>
    <w:rsid w:val="0019163F"/>
    <w:rsid w:val="001919AA"/>
    <w:rsid w:val="00191B28"/>
    <w:rsid w:val="00191D63"/>
    <w:rsid w:val="00191F98"/>
    <w:rsid w:val="00192227"/>
    <w:rsid w:val="00192293"/>
    <w:rsid w:val="001927F0"/>
    <w:rsid w:val="00192880"/>
    <w:rsid w:val="00192C9C"/>
    <w:rsid w:val="00192E96"/>
    <w:rsid w:val="00192F98"/>
    <w:rsid w:val="00193A14"/>
    <w:rsid w:val="00193A4B"/>
    <w:rsid w:val="00193CF7"/>
    <w:rsid w:val="00193D54"/>
    <w:rsid w:val="00193F94"/>
    <w:rsid w:val="00194279"/>
    <w:rsid w:val="00194384"/>
    <w:rsid w:val="00194DAF"/>
    <w:rsid w:val="0019511A"/>
    <w:rsid w:val="0019536B"/>
    <w:rsid w:val="00195459"/>
    <w:rsid w:val="001954B1"/>
    <w:rsid w:val="00195940"/>
    <w:rsid w:val="001959E9"/>
    <w:rsid w:val="00195C16"/>
    <w:rsid w:val="00196479"/>
    <w:rsid w:val="00196515"/>
    <w:rsid w:val="001966A2"/>
    <w:rsid w:val="001967B2"/>
    <w:rsid w:val="00196C94"/>
    <w:rsid w:val="00196D70"/>
    <w:rsid w:val="00196DE0"/>
    <w:rsid w:val="0019709D"/>
    <w:rsid w:val="001971CB"/>
    <w:rsid w:val="001971DE"/>
    <w:rsid w:val="0019720C"/>
    <w:rsid w:val="0019728F"/>
    <w:rsid w:val="001972CA"/>
    <w:rsid w:val="0019772C"/>
    <w:rsid w:val="001977AD"/>
    <w:rsid w:val="00197AD3"/>
    <w:rsid w:val="001A047F"/>
    <w:rsid w:val="001A0668"/>
    <w:rsid w:val="001A0BBB"/>
    <w:rsid w:val="001A0D3B"/>
    <w:rsid w:val="001A0DDA"/>
    <w:rsid w:val="001A11E5"/>
    <w:rsid w:val="001A13B6"/>
    <w:rsid w:val="001A14D5"/>
    <w:rsid w:val="001A19E6"/>
    <w:rsid w:val="001A20C6"/>
    <w:rsid w:val="001A21CD"/>
    <w:rsid w:val="001A22C1"/>
    <w:rsid w:val="001A2616"/>
    <w:rsid w:val="001A28FB"/>
    <w:rsid w:val="001A2902"/>
    <w:rsid w:val="001A291E"/>
    <w:rsid w:val="001A30F6"/>
    <w:rsid w:val="001A34D7"/>
    <w:rsid w:val="001A3A0A"/>
    <w:rsid w:val="001A3ADB"/>
    <w:rsid w:val="001A3BCF"/>
    <w:rsid w:val="001A3D26"/>
    <w:rsid w:val="001A3EFA"/>
    <w:rsid w:val="001A3F3F"/>
    <w:rsid w:val="001A41BF"/>
    <w:rsid w:val="001A424B"/>
    <w:rsid w:val="001A4D76"/>
    <w:rsid w:val="001A50F8"/>
    <w:rsid w:val="001A5199"/>
    <w:rsid w:val="001A51B6"/>
    <w:rsid w:val="001A54BF"/>
    <w:rsid w:val="001A55A4"/>
    <w:rsid w:val="001A57C1"/>
    <w:rsid w:val="001A5AFA"/>
    <w:rsid w:val="001A609A"/>
    <w:rsid w:val="001A78C8"/>
    <w:rsid w:val="001A7AAD"/>
    <w:rsid w:val="001A7D5A"/>
    <w:rsid w:val="001A7EAD"/>
    <w:rsid w:val="001B000F"/>
    <w:rsid w:val="001B01CB"/>
    <w:rsid w:val="001B01D9"/>
    <w:rsid w:val="001B0702"/>
    <w:rsid w:val="001B07B9"/>
    <w:rsid w:val="001B0ADE"/>
    <w:rsid w:val="001B10B4"/>
    <w:rsid w:val="001B1426"/>
    <w:rsid w:val="001B15BA"/>
    <w:rsid w:val="001B1A43"/>
    <w:rsid w:val="001B20F5"/>
    <w:rsid w:val="001B28C7"/>
    <w:rsid w:val="001B2A8B"/>
    <w:rsid w:val="001B2B8F"/>
    <w:rsid w:val="001B2BF1"/>
    <w:rsid w:val="001B3221"/>
    <w:rsid w:val="001B3415"/>
    <w:rsid w:val="001B34BB"/>
    <w:rsid w:val="001B3775"/>
    <w:rsid w:val="001B38A3"/>
    <w:rsid w:val="001B3AD8"/>
    <w:rsid w:val="001B4143"/>
    <w:rsid w:val="001B434B"/>
    <w:rsid w:val="001B4695"/>
    <w:rsid w:val="001B47C2"/>
    <w:rsid w:val="001B4EA0"/>
    <w:rsid w:val="001B52C9"/>
    <w:rsid w:val="001B5337"/>
    <w:rsid w:val="001B5342"/>
    <w:rsid w:val="001B53B1"/>
    <w:rsid w:val="001B53BC"/>
    <w:rsid w:val="001B57BC"/>
    <w:rsid w:val="001B599E"/>
    <w:rsid w:val="001B5A78"/>
    <w:rsid w:val="001B5CAF"/>
    <w:rsid w:val="001B5DA8"/>
    <w:rsid w:val="001B6B0B"/>
    <w:rsid w:val="001B6C59"/>
    <w:rsid w:val="001B72FD"/>
    <w:rsid w:val="001B752E"/>
    <w:rsid w:val="001B7735"/>
    <w:rsid w:val="001B7B68"/>
    <w:rsid w:val="001C0172"/>
    <w:rsid w:val="001C061E"/>
    <w:rsid w:val="001C0AA2"/>
    <w:rsid w:val="001C0BB3"/>
    <w:rsid w:val="001C0C12"/>
    <w:rsid w:val="001C0F2E"/>
    <w:rsid w:val="001C0F4B"/>
    <w:rsid w:val="001C0FBC"/>
    <w:rsid w:val="001C129F"/>
    <w:rsid w:val="001C13AD"/>
    <w:rsid w:val="001C190B"/>
    <w:rsid w:val="001C1BCC"/>
    <w:rsid w:val="001C1F72"/>
    <w:rsid w:val="001C218A"/>
    <w:rsid w:val="001C2213"/>
    <w:rsid w:val="001C26AF"/>
    <w:rsid w:val="001C29AF"/>
    <w:rsid w:val="001C2C8A"/>
    <w:rsid w:val="001C2E71"/>
    <w:rsid w:val="001C2F22"/>
    <w:rsid w:val="001C3CD9"/>
    <w:rsid w:val="001C41AB"/>
    <w:rsid w:val="001C44B6"/>
    <w:rsid w:val="001C4DF7"/>
    <w:rsid w:val="001C506B"/>
    <w:rsid w:val="001C51E1"/>
    <w:rsid w:val="001C5236"/>
    <w:rsid w:val="001C58B2"/>
    <w:rsid w:val="001C59A7"/>
    <w:rsid w:val="001C5F64"/>
    <w:rsid w:val="001C6181"/>
    <w:rsid w:val="001C6347"/>
    <w:rsid w:val="001C6ACC"/>
    <w:rsid w:val="001C6B2C"/>
    <w:rsid w:val="001C736C"/>
    <w:rsid w:val="001C749C"/>
    <w:rsid w:val="001C78BB"/>
    <w:rsid w:val="001D03F2"/>
    <w:rsid w:val="001D053B"/>
    <w:rsid w:val="001D07C1"/>
    <w:rsid w:val="001D09ED"/>
    <w:rsid w:val="001D0D4A"/>
    <w:rsid w:val="001D0DC3"/>
    <w:rsid w:val="001D1045"/>
    <w:rsid w:val="001D2416"/>
    <w:rsid w:val="001D2592"/>
    <w:rsid w:val="001D2606"/>
    <w:rsid w:val="001D26FF"/>
    <w:rsid w:val="001D2B1F"/>
    <w:rsid w:val="001D2C5F"/>
    <w:rsid w:val="001D2EDE"/>
    <w:rsid w:val="001D2F90"/>
    <w:rsid w:val="001D2FB6"/>
    <w:rsid w:val="001D3010"/>
    <w:rsid w:val="001D3155"/>
    <w:rsid w:val="001D3456"/>
    <w:rsid w:val="001D34EF"/>
    <w:rsid w:val="001D3505"/>
    <w:rsid w:val="001D35C0"/>
    <w:rsid w:val="001D39BA"/>
    <w:rsid w:val="001D3A08"/>
    <w:rsid w:val="001D4279"/>
    <w:rsid w:val="001D42D4"/>
    <w:rsid w:val="001D447C"/>
    <w:rsid w:val="001D4555"/>
    <w:rsid w:val="001D4709"/>
    <w:rsid w:val="001D48D8"/>
    <w:rsid w:val="001D4A08"/>
    <w:rsid w:val="001D4AD4"/>
    <w:rsid w:val="001D4BF0"/>
    <w:rsid w:val="001D4CAA"/>
    <w:rsid w:val="001D4CDE"/>
    <w:rsid w:val="001D4E3C"/>
    <w:rsid w:val="001D4FB9"/>
    <w:rsid w:val="001D5006"/>
    <w:rsid w:val="001D55C6"/>
    <w:rsid w:val="001D58AB"/>
    <w:rsid w:val="001D5E51"/>
    <w:rsid w:val="001D6B45"/>
    <w:rsid w:val="001D744B"/>
    <w:rsid w:val="001D7569"/>
    <w:rsid w:val="001D794C"/>
    <w:rsid w:val="001D7CAD"/>
    <w:rsid w:val="001E059D"/>
    <w:rsid w:val="001E079A"/>
    <w:rsid w:val="001E081F"/>
    <w:rsid w:val="001E08DA"/>
    <w:rsid w:val="001E0CC3"/>
    <w:rsid w:val="001E0EDB"/>
    <w:rsid w:val="001E15E8"/>
    <w:rsid w:val="001E1B40"/>
    <w:rsid w:val="001E1DF0"/>
    <w:rsid w:val="001E22BC"/>
    <w:rsid w:val="001E2459"/>
    <w:rsid w:val="001E24EA"/>
    <w:rsid w:val="001E2B29"/>
    <w:rsid w:val="001E2EC4"/>
    <w:rsid w:val="001E2F57"/>
    <w:rsid w:val="001E3688"/>
    <w:rsid w:val="001E3BFC"/>
    <w:rsid w:val="001E3D9F"/>
    <w:rsid w:val="001E46D9"/>
    <w:rsid w:val="001E4755"/>
    <w:rsid w:val="001E4769"/>
    <w:rsid w:val="001E4804"/>
    <w:rsid w:val="001E4DD5"/>
    <w:rsid w:val="001E4F73"/>
    <w:rsid w:val="001E50FE"/>
    <w:rsid w:val="001E51F7"/>
    <w:rsid w:val="001E52C1"/>
    <w:rsid w:val="001E531B"/>
    <w:rsid w:val="001E54C0"/>
    <w:rsid w:val="001E551F"/>
    <w:rsid w:val="001E5A1D"/>
    <w:rsid w:val="001E5D07"/>
    <w:rsid w:val="001E5DAC"/>
    <w:rsid w:val="001E5ECB"/>
    <w:rsid w:val="001E6089"/>
    <w:rsid w:val="001E67C4"/>
    <w:rsid w:val="001E70D2"/>
    <w:rsid w:val="001E711C"/>
    <w:rsid w:val="001E7354"/>
    <w:rsid w:val="001E74DB"/>
    <w:rsid w:val="001E7779"/>
    <w:rsid w:val="001E779F"/>
    <w:rsid w:val="001E77DD"/>
    <w:rsid w:val="001E79F6"/>
    <w:rsid w:val="001E7BE6"/>
    <w:rsid w:val="001F0235"/>
    <w:rsid w:val="001F0698"/>
    <w:rsid w:val="001F0A5F"/>
    <w:rsid w:val="001F0E8E"/>
    <w:rsid w:val="001F1597"/>
    <w:rsid w:val="001F1ABF"/>
    <w:rsid w:val="001F1DAA"/>
    <w:rsid w:val="001F1EA6"/>
    <w:rsid w:val="001F1F05"/>
    <w:rsid w:val="001F21DC"/>
    <w:rsid w:val="001F21EC"/>
    <w:rsid w:val="001F2819"/>
    <w:rsid w:val="001F3366"/>
    <w:rsid w:val="001F352E"/>
    <w:rsid w:val="001F38BF"/>
    <w:rsid w:val="001F38D3"/>
    <w:rsid w:val="001F3938"/>
    <w:rsid w:val="001F3958"/>
    <w:rsid w:val="001F3C81"/>
    <w:rsid w:val="001F3E90"/>
    <w:rsid w:val="001F3EF9"/>
    <w:rsid w:val="001F4595"/>
    <w:rsid w:val="001F4642"/>
    <w:rsid w:val="001F53EF"/>
    <w:rsid w:val="001F5726"/>
    <w:rsid w:val="001F573B"/>
    <w:rsid w:val="001F5C37"/>
    <w:rsid w:val="001F5EA0"/>
    <w:rsid w:val="001F60A2"/>
    <w:rsid w:val="001F62FE"/>
    <w:rsid w:val="001F6302"/>
    <w:rsid w:val="001F64D7"/>
    <w:rsid w:val="001F66D3"/>
    <w:rsid w:val="001F6803"/>
    <w:rsid w:val="001F6C4F"/>
    <w:rsid w:val="001F7077"/>
    <w:rsid w:val="001F70B7"/>
    <w:rsid w:val="001F7282"/>
    <w:rsid w:val="001F76C7"/>
    <w:rsid w:val="001F780C"/>
    <w:rsid w:val="001F7CF5"/>
    <w:rsid w:val="001F7D1B"/>
    <w:rsid w:val="001F7DF9"/>
    <w:rsid w:val="002000D5"/>
    <w:rsid w:val="002000EB"/>
    <w:rsid w:val="002005A8"/>
    <w:rsid w:val="002005F7"/>
    <w:rsid w:val="0020091F"/>
    <w:rsid w:val="00200A45"/>
    <w:rsid w:val="00200C03"/>
    <w:rsid w:val="00200EAC"/>
    <w:rsid w:val="0020169C"/>
    <w:rsid w:val="0020174D"/>
    <w:rsid w:val="00201B43"/>
    <w:rsid w:val="00201D00"/>
    <w:rsid w:val="00201D2E"/>
    <w:rsid w:val="002021CD"/>
    <w:rsid w:val="002023EE"/>
    <w:rsid w:val="002027C7"/>
    <w:rsid w:val="00202B77"/>
    <w:rsid w:val="00202FBE"/>
    <w:rsid w:val="002034BA"/>
    <w:rsid w:val="0020368C"/>
    <w:rsid w:val="002039D7"/>
    <w:rsid w:val="00203B8B"/>
    <w:rsid w:val="00203C61"/>
    <w:rsid w:val="002044A4"/>
    <w:rsid w:val="0020473B"/>
    <w:rsid w:val="00204871"/>
    <w:rsid w:val="00204C24"/>
    <w:rsid w:val="00204C57"/>
    <w:rsid w:val="00204C6A"/>
    <w:rsid w:val="002056AA"/>
    <w:rsid w:val="002057AA"/>
    <w:rsid w:val="00205C4E"/>
    <w:rsid w:val="00205C76"/>
    <w:rsid w:val="002066AC"/>
    <w:rsid w:val="002066DE"/>
    <w:rsid w:val="002068C9"/>
    <w:rsid w:val="00206A18"/>
    <w:rsid w:val="00206BBF"/>
    <w:rsid w:val="00206E6F"/>
    <w:rsid w:val="00207188"/>
    <w:rsid w:val="002073C2"/>
    <w:rsid w:val="0020766F"/>
    <w:rsid w:val="00207BBC"/>
    <w:rsid w:val="00207C1A"/>
    <w:rsid w:val="00207DA8"/>
    <w:rsid w:val="00207EF4"/>
    <w:rsid w:val="0021014C"/>
    <w:rsid w:val="00210301"/>
    <w:rsid w:val="00210662"/>
    <w:rsid w:val="00210DD3"/>
    <w:rsid w:val="00210F10"/>
    <w:rsid w:val="00211045"/>
    <w:rsid w:val="00211212"/>
    <w:rsid w:val="002113A9"/>
    <w:rsid w:val="00211448"/>
    <w:rsid w:val="002115AB"/>
    <w:rsid w:val="0021161A"/>
    <w:rsid w:val="00211886"/>
    <w:rsid w:val="00211E2E"/>
    <w:rsid w:val="00211EC0"/>
    <w:rsid w:val="00211EF1"/>
    <w:rsid w:val="00212443"/>
    <w:rsid w:val="00212661"/>
    <w:rsid w:val="00212E5D"/>
    <w:rsid w:val="0021357B"/>
    <w:rsid w:val="00213BB5"/>
    <w:rsid w:val="002142A5"/>
    <w:rsid w:val="0021442F"/>
    <w:rsid w:val="00214777"/>
    <w:rsid w:val="00214A66"/>
    <w:rsid w:val="00214B5D"/>
    <w:rsid w:val="00214D0C"/>
    <w:rsid w:val="00214DFD"/>
    <w:rsid w:val="002152D5"/>
    <w:rsid w:val="00215554"/>
    <w:rsid w:val="0021563A"/>
    <w:rsid w:val="00215733"/>
    <w:rsid w:val="0021595C"/>
    <w:rsid w:val="00215FC4"/>
    <w:rsid w:val="002161F6"/>
    <w:rsid w:val="0021649E"/>
    <w:rsid w:val="002165F4"/>
    <w:rsid w:val="00216B43"/>
    <w:rsid w:val="00217777"/>
    <w:rsid w:val="00217C10"/>
    <w:rsid w:val="00217F9A"/>
    <w:rsid w:val="002200A5"/>
    <w:rsid w:val="00220978"/>
    <w:rsid w:val="00220D58"/>
    <w:rsid w:val="002210D5"/>
    <w:rsid w:val="00221867"/>
    <w:rsid w:val="00221BAA"/>
    <w:rsid w:val="00221EF9"/>
    <w:rsid w:val="00222251"/>
    <w:rsid w:val="002222B9"/>
    <w:rsid w:val="0022256F"/>
    <w:rsid w:val="002227FF"/>
    <w:rsid w:val="0022293C"/>
    <w:rsid w:val="00222B53"/>
    <w:rsid w:val="00223166"/>
    <w:rsid w:val="00223A96"/>
    <w:rsid w:val="00223EEC"/>
    <w:rsid w:val="002243CC"/>
    <w:rsid w:val="002244A4"/>
    <w:rsid w:val="002244F6"/>
    <w:rsid w:val="002244FD"/>
    <w:rsid w:val="0022476B"/>
    <w:rsid w:val="002248A7"/>
    <w:rsid w:val="00224A5E"/>
    <w:rsid w:val="00224BE7"/>
    <w:rsid w:val="00224DC1"/>
    <w:rsid w:val="00224E8B"/>
    <w:rsid w:val="00225129"/>
    <w:rsid w:val="0022532F"/>
    <w:rsid w:val="0022535F"/>
    <w:rsid w:val="0022556A"/>
    <w:rsid w:val="002258B8"/>
    <w:rsid w:val="00225979"/>
    <w:rsid w:val="00225B5B"/>
    <w:rsid w:val="00225C8E"/>
    <w:rsid w:val="002262D0"/>
    <w:rsid w:val="00226403"/>
    <w:rsid w:val="00226461"/>
    <w:rsid w:val="00226679"/>
    <w:rsid w:val="00226782"/>
    <w:rsid w:val="00226932"/>
    <w:rsid w:val="00226EB9"/>
    <w:rsid w:val="002272AB"/>
    <w:rsid w:val="002274CB"/>
    <w:rsid w:val="00227555"/>
    <w:rsid w:val="002277F5"/>
    <w:rsid w:val="00227B3D"/>
    <w:rsid w:val="002300AE"/>
    <w:rsid w:val="00230515"/>
    <w:rsid w:val="0023087D"/>
    <w:rsid w:val="00230ABF"/>
    <w:rsid w:val="00230B28"/>
    <w:rsid w:val="00230E55"/>
    <w:rsid w:val="00230F62"/>
    <w:rsid w:val="002311C5"/>
    <w:rsid w:val="002311F1"/>
    <w:rsid w:val="002312ED"/>
    <w:rsid w:val="002317F6"/>
    <w:rsid w:val="0023184A"/>
    <w:rsid w:val="00231891"/>
    <w:rsid w:val="00231899"/>
    <w:rsid w:val="00232082"/>
    <w:rsid w:val="002320ED"/>
    <w:rsid w:val="00232443"/>
    <w:rsid w:val="00232684"/>
    <w:rsid w:val="002328F7"/>
    <w:rsid w:val="00232AB9"/>
    <w:rsid w:val="00232CBC"/>
    <w:rsid w:val="00233142"/>
    <w:rsid w:val="00233167"/>
    <w:rsid w:val="0023361F"/>
    <w:rsid w:val="002336B8"/>
    <w:rsid w:val="002338C4"/>
    <w:rsid w:val="00233B11"/>
    <w:rsid w:val="00233B58"/>
    <w:rsid w:val="00233C5C"/>
    <w:rsid w:val="002344A7"/>
    <w:rsid w:val="002346FD"/>
    <w:rsid w:val="00234B37"/>
    <w:rsid w:val="00234D9F"/>
    <w:rsid w:val="00234F0F"/>
    <w:rsid w:val="00235417"/>
    <w:rsid w:val="00235535"/>
    <w:rsid w:val="0023575A"/>
    <w:rsid w:val="00235A66"/>
    <w:rsid w:val="00235AA6"/>
    <w:rsid w:val="00235EFE"/>
    <w:rsid w:val="0023612D"/>
    <w:rsid w:val="0023622A"/>
    <w:rsid w:val="002363B1"/>
    <w:rsid w:val="002366EE"/>
    <w:rsid w:val="00236734"/>
    <w:rsid w:val="002367E7"/>
    <w:rsid w:val="0023687E"/>
    <w:rsid w:val="0023707F"/>
    <w:rsid w:val="00237263"/>
    <w:rsid w:val="00237837"/>
    <w:rsid w:val="00240008"/>
    <w:rsid w:val="00240394"/>
    <w:rsid w:val="00240C21"/>
    <w:rsid w:val="002410A5"/>
    <w:rsid w:val="00241295"/>
    <w:rsid w:val="00241566"/>
    <w:rsid w:val="002417D6"/>
    <w:rsid w:val="002417F9"/>
    <w:rsid w:val="00241BE0"/>
    <w:rsid w:val="0024212F"/>
    <w:rsid w:val="00242210"/>
    <w:rsid w:val="00242456"/>
    <w:rsid w:val="002429F4"/>
    <w:rsid w:val="00242CF9"/>
    <w:rsid w:val="00242E35"/>
    <w:rsid w:val="00243133"/>
    <w:rsid w:val="0024336A"/>
    <w:rsid w:val="00243604"/>
    <w:rsid w:val="00243660"/>
    <w:rsid w:val="00243992"/>
    <w:rsid w:val="00243A79"/>
    <w:rsid w:val="00243B1E"/>
    <w:rsid w:val="00243B6A"/>
    <w:rsid w:val="00243CF9"/>
    <w:rsid w:val="00243D71"/>
    <w:rsid w:val="00243EB0"/>
    <w:rsid w:val="00244133"/>
    <w:rsid w:val="00244169"/>
    <w:rsid w:val="00244198"/>
    <w:rsid w:val="002443A9"/>
    <w:rsid w:val="00244441"/>
    <w:rsid w:val="002447BE"/>
    <w:rsid w:val="0024489D"/>
    <w:rsid w:val="00244C69"/>
    <w:rsid w:val="002450DB"/>
    <w:rsid w:val="0024513A"/>
    <w:rsid w:val="0024526D"/>
    <w:rsid w:val="002452F4"/>
    <w:rsid w:val="002455DB"/>
    <w:rsid w:val="00245D91"/>
    <w:rsid w:val="00245E94"/>
    <w:rsid w:val="00245ECC"/>
    <w:rsid w:val="00246367"/>
    <w:rsid w:val="0024683F"/>
    <w:rsid w:val="00246CF4"/>
    <w:rsid w:val="002471C5"/>
    <w:rsid w:val="002473BB"/>
    <w:rsid w:val="0024768D"/>
    <w:rsid w:val="00247B54"/>
    <w:rsid w:val="00247D0F"/>
    <w:rsid w:val="00250052"/>
    <w:rsid w:val="002500FB"/>
    <w:rsid w:val="0025034A"/>
    <w:rsid w:val="00250697"/>
    <w:rsid w:val="00250829"/>
    <w:rsid w:val="00250BDF"/>
    <w:rsid w:val="0025136E"/>
    <w:rsid w:val="002513EA"/>
    <w:rsid w:val="00251428"/>
    <w:rsid w:val="0025163C"/>
    <w:rsid w:val="002516EC"/>
    <w:rsid w:val="00251722"/>
    <w:rsid w:val="00251B16"/>
    <w:rsid w:val="00251D0B"/>
    <w:rsid w:val="002523C9"/>
    <w:rsid w:val="0025254B"/>
    <w:rsid w:val="00252594"/>
    <w:rsid w:val="00252BBA"/>
    <w:rsid w:val="00252F1D"/>
    <w:rsid w:val="002532EB"/>
    <w:rsid w:val="002534FD"/>
    <w:rsid w:val="002538A9"/>
    <w:rsid w:val="002538CC"/>
    <w:rsid w:val="00253BC4"/>
    <w:rsid w:val="00253E7F"/>
    <w:rsid w:val="002546FF"/>
    <w:rsid w:val="00254781"/>
    <w:rsid w:val="002548A2"/>
    <w:rsid w:val="002548DD"/>
    <w:rsid w:val="00254C07"/>
    <w:rsid w:val="002550C2"/>
    <w:rsid w:val="00255B18"/>
    <w:rsid w:val="00255B2E"/>
    <w:rsid w:val="0025622B"/>
    <w:rsid w:val="0025636A"/>
    <w:rsid w:val="00256443"/>
    <w:rsid w:val="002564F9"/>
    <w:rsid w:val="00256A69"/>
    <w:rsid w:val="00256AA0"/>
    <w:rsid w:val="00256C8A"/>
    <w:rsid w:val="00256E1E"/>
    <w:rsid w:val="002570B1"/>
    <w:rsid w:val="00257380"/>
    <w:rsid w:val="0025771E"/>
    <w:rsid w:val="00257DC4"/>
    <w:rsid w:val="00257EA6"/>
    <w:rsid w:val="00257F9D"/>
    <w:rsid w:val="0026018C"/>
    <w:rsid w:val="00260508"/>
    <w:rsid w:val="00260841"/>
    <w:rsid w:val="00260A10"/>
    <w:rsid w:val="00260A19"/>
    <w:rsid w:val="00260B0F"/>
    <w:rsid w:val="00260C44"/>
    <w:rsid w:val="00260CD6"/>
    <w:rsid w:val="00261067"/>
    <w:rsid w:val="002610AB"/>
    <w:rsid w:val="002612CB"/>
    <w:rsid w:val="0026158D"/>
    <w:rsid w:val="00261836"/>
    <w:rsid w:val="00261967"/>
    <w:rsid w:val="0026196A"/>
    <w:rsid w:val="002619F6"/>
    <w:rsid w:val="00261DB4"/>
    <w:rsid w:val="00262092"/>
    <w:rsid w:val="002621B0"/>
    <w:rsid w:val="0026234A"/>
    <w:rsid w:val="0026239E"/>
    <w:rsid w:val="0026240F"/>
    <w:rsid w:val="002625ED"/>
    <w:rsid w:val="00262636"/>
    <w:rsid w:val="00262C3B"/>
    <w:rsid w:val="00263374"/>
    <w:rsid w:val="002639B6"/>
    <w:rsid w:val="00263B9E"/>
    <w:rsid w:val="0026417C"/>
    <w:rsid w:val="002641E5"/>
    <w:rsid w:val="00264262"/>
    <w:rsid w:val="002643AD"/>
    <w:rsid w:val="002645E0"/>
    <w:rsid w:val="002646BC"/>
    <w:rsid w:val="002646D6"/>
    <w:rsid w:val="00264C3C"/>
    <w:rsid w:val="00264D1C"/>
    <w:rsid w:val="00264EF6"/>
    <w:rsid w:val="00264FD3"/>
    <w:rsid w:val="002651C4"/>
    <w:rsid w:val="002652E2"/>
    <w:rsid w:val="0026533A"/>
    <w:rsid w:val="00265594"/>
    <w:rsid w:val="002655A1"/>
    <w:rsid w:val="002656E7"/>
    <w:rsid w:val="00265A7E"/>
    <w:rsid w:val="00265D49"/>
    <w:rsid w:val="00265E8B"/>
    <w:rsid w:val="0026602E"/>
    <w:rsid w:val="002660E7"/>
    <w:rsid w:val="002662C0"/>
    <w:rsid w:val="00266427"/>
    <w:rsid w:val="002668FD"/>
    <w:rsid w:val="0026698A"/>
    <w:rsid w:val="00266999"/>
    <w:rsid w:val="002669DF"/>
    <w:rsid w:val="00266A37"/>
    <w:rsid w:val="00266A4E"/>
    <w:rsid w:val="00266C25"/>
    <w:rsid w:val="00266C71"/>
    <w:rsid w:val="0026788C"/>
    <w:rsid w:val="002703EE"/>
    <w:rsid w:val="00270486"/>
    <w:rsid w:val="00270922"/>
    <w:rsid w:val="00270AB8"/>
    <w:rsid w:val="00270B75"/>
    <w:rsid w:val="00270BA6"/>
    <w:rsid w:val="00270E82"/>
    <w:rsid w:val="00271495"/>
    <w:rsid w:val="002719F7"/>
    <w:rsid w:val="00271BB0"/>
    <w:rsid w:val="00272239"/>
    <w:rsid w:val="0027241B"/>
    <w:rsid w:val="002724D9"/>
    <w:rsid w:val="0027254B"/>
    <w:rsid w:val="0027257D"/>
    <w:rsid w:val="0027278D"/>
    <w:rsid w:val="002727F1"/>
    <w:rsid w:val="0027284A"/>
    <w:rsid w:val="0027289D"/>
    <w:rsid w:val="002733D4"/>
    <w:rsid w:val="0027349E"/>
    <w:rsid w:val="00273798"/>
    <w:rsid w:val="0027381D"/>
    <w:rsid w:val="0027386A"/>
    <w:rsid w:val="00273960"/>
    <w:rsid w:val="00273D39"/>
    <w:rsid w:val="002743FA"/>
    <w:rsid w:val="00274620"/>
    <w:rsid w:val="00274738"/>
    <w:rsid w:val="0027489C"/>
    <w:rsid w:val="00274BBB"/>
    <w:rsid w:val="00274CF9"/>
    <w:rsid w:val="0027566E"/>
    <w:rsid w:val="002756DD"/>
    <w:rsid w:val="00275729"/>
    <w:rsid w:val="00275A35"/>
    <w:rsid w:val="00275D3C"/>
    <w:rsid w:val="00275D68"/>
    <w:rsid w:val="00276171"/>
    <w:rsid w:val="00276900"/>
    <w:rsid w:val="00276C62"/>
    <w:rsid w:val="00276DA5"/>
    <w:rsid w:val="00276F21"/>
    <w:rsid w:val="0027710B"/>
    <w:rsid w:val="0027752A"/>
    <w:rsid w:val="002775B4"/>
    <w:rsid w:val="00277A13"/>
    <w:rsid w:val="00277C1C"/>
    <w:rsid w:val="00277CCE"/>
    <w:rsid w:val="00277D4A"/>
    <w:rsid w:val="00277E37"/>
    <w:rsid w:val="00277E82"/>
    <w:rsid w:val="00280061"/>
    <w:rsid w:val="0028035C"/>
    <w:rsid w:val="00280377"/>
    <w:rsid w:val="002804AC"/>
    <w:rsid w:val="002804EB"/>
    <w:rsid w:val="00280DF7"/>
    <w:rsid w:val="00280DFA"/>
    <w:rsid w:val="00281059"/>
    <w:rsid w:val="002812BC"/>
    <w:rsid w:val="00281554"/>
    <w:rsid w:val="00281A05"/>
    <w:rsid w:val="00281C4A"/>
    <w:rsid w:val="00282236"/>
    <w:rsid w:val="0028242F"/>
    <w:rsid w:val="002828FD"/>
    <w:rsid w:val="00282B90"/>
    <w:rsid w:val="00282F5A"/>
    <w:rsid w:val="00283A8A"/>
    <w:rsid w:val="00283AE9"/>
    <w:rsid w:val="00283CFC"/>
    <w:rsid w:val="00283E15"/>
    <w:rsid w:val="00283F8C"/>
    <w:rsid w:val="002840A3"/>
    <w:rsid w:val="002843F0"/>
    <w:rsid w:val="00284988"/>
    <w:rsid w:val="00284AB7"/>
    <w:rsid w:val="00284D53"/>
    <w:rsid w:val="00284F38"/>
    <w:rsid w:val="002850B0"/>
    <w:rsid w:val="002850DB"/>
    <w:rsid w:val="002859B9"/>
    <w:rsid w:val="00285BFF"/>
    <w:rsid w:val="00285C5D"/>
    <w:rsid w:val="00285D73"/>
    <w:rsid w:val="00285F5C"/>
    <w:rsid w:val="002862AB"/>
    <w:rsid w:val="002862DE"/>
    <w:rsid w:val="002863A8"/>
    <w:rsid w:val="002865B7"/>
    <w:rsid w:val="002865EA"/>
    <w:rsid w:val="002868AA"/>
    <w:rsid w:val="00286B7C"/>
    <w:rsid w:val="00286C49"/>
    <w:rsid w:val="00286CE5"/>
    <w:rsid w:val="00286CFA"/>
    <w:rsid w:val="00286D69"/>
    <w:rsid w:val="00286F5A"/>
    <w:rsid w:val="002871C8"/>
    <w:rsid w:val="00287290"/>
    <w:rsid w:val="00287543"/>
    <w:rsid w:val="002875CB"/>
    <w:rsid w:val="0028777D"/>
    <w:rsid w:val="00287B33"/>
    <w:rsid w:val="002900F6"/>
    <w:rsid w:val="00290211"/>
    <w:rsid w:val="00290CF7"/>
    <w:rsid w:val="00290DD8"/>
    <w:rsid w:val="002910C5"/>
    <w:rsid w:val="002915CF"/>
    <w:rsid w:val="002915D7"/>
    <w:rsid w:val="002915EA"/>
    <w:rsid w:val="0029194F"/>
    <w:rsid w:val="00291D10"/>
    <w:rsid w:val="00291E21"/>
    <w:rsid w:val="00291E77"/>
    <w:rsid w:val="0029200F"/>
    <w:rsid w:val="002920FE"/>
    <w:rsid w:val="00292686"/>
    <w:rsid w:val="00292729"/>
    <w:rsid w:val="00292C6D"/>
    <w:rsid w:val="00292E42"/>
    <w:rsid w:val="00292EB6"/>
    <w:rsid w:val="002930F0"/>
    <w:rsid w:val="0029317C"/>
    <w:rsid w:val="00293972"/>
    <w:rsid w:val="002939A1"/>
    <w:rsid w:val="00293E11"/>
    <w:rsid w:val="00294271"/>
    <w:rsid w:val="0029428F"/>
    <w:rsid w:val="002943C8"/>
    <w:rsid w:val="002943D6"/>
    <w:rsid w:val="00294B12"/>
    <w:rsid w:val="00294CC4"/>
    <w:rsid w:val="00294DB4"/>
    <w:rsid w:val="00294E55"/>
    <w:rsid w:val="00294E58"/>
    <w:rsid w:val="002950D8"/>
    <w:rsid w:val="00295425"/>
    <w:rsid w:val="002957D8"/>
    <w:rsid w:val="00295FAD"/>
    <w:rsid w:val="002965FA"/>
    <w:rsid w:val="0029661E"/>
    <w:rsid w:val="00296AA9"/>
    <w:rsid w:val="00296BFD"/>
    <w:rsid w:val="00296C8E"/>
    <w:rsid w:val="00296CA0"/>
    <w:rsid w:val="00296E94"/>
    <w:rsid w:val="0029700A"/>
    <w:rsid w:val="00297049"/>
    <w:rsid w:val="00297394"/>
    <w:rsid w:val="00297619"/>
    <w:rsid w:val="00297699"/>
    <w:rsid w:val="00297761"/>
    <w:rsid w:val="002978BE"/>
    <w:rsid w:val="00297947"/>
    <w:rsid w:val="00297C04"/>
    <w:rsid w:val="00297E84"/>
    <w:rsid w:val="002A0347"/>
    <w:rsid w:val="002A03DC"/>
    <w:rsid w:val="002A0843"/>
    <w:rsid w:val="002A0A1D"/>
    <w:rsid w:val="002A0B81"/>
    <w:rsid w:val="002A10BF"/>
    <w:rsid w:val="002A12C9"/>
    <w:rsid w:val="002A153A"/>
    <w:rsid w:val="002A1652"/>
    <w:rsid w:val="002A22B8"/>
    <w:rsid w:val="002A2528"/>
    <w:rsid w:val="002A2A2D"/>
    <w:rsid w:val="002A34BD"/>
    <w:rsid w:val="002A373D"/>
    <w:rsid w:val="002A3DE5"/>
    <w:rsid w:val="002A3E42"/>
    <w:rsid w:val="002A3E83"/>
    <w:rsid w:val="002A3ED7"/>
    <w:rsid w:val="002A3EE0"/>
    <w:rsid w:val="002A3FE5"/>
    <w:rsid w:val="002A44A4"/>
    <w:rsid w:val="002A4657"/>
    <w:rsid w:val="002A47AF"/>
    <w:rsid w:val="002A484E"/>
    <w:rsid w:val="002A48FF"/>
    <w:rsid w:val="002A49A1"/>
    <w:rsid w:val="002A4BAE"/>
    <w:rsid w:val="002A50F1"/>
    <w:rsid w:val="002A5DF7"/>
    <w:rsid w:val="002A61A8"/>
    <w:rsid w:val="002A629A"/>
    <w:rsid w:val="002A670F"/>
    <w:rsid w:val="002A6EF8"/>
    <w:rsid w:val="002A76E0"/>
    <w:rsid w:val="002A78AC"/>
    <w:rsid w:val="002A7B14"/>
    <w:rsid w:val="002A7D91"/>
    <w:rsid w:val="002A7EC9"/>
    <w:rsid w:val="002B0249"/>
    <w:rsid w:val="002B03F7"/>
    <w:rsid w:val="002B0481"/>
    <w:rsid w:val="002B089E"/>
    <w:rsid w:val="002B0CB4"/>
    <w:rsid w:val="002B0E38"/>
    <w:rsid w:val="002B0FC9"/>
    <w:rsid w:val="002B113A"/>
    <w:rsid w:val="002B130B"/>
    <w:rsid w:val="002B13A6"/>
    <w:rsid w:val="002B141C"/>
    <w:rsid w:val="002B1735"/>
    <w:rsid w:val="002B1812"/>
    <w:rsid w:val="002B1B4B"/>
    <w:rsid w:val="002B1B82"/>
    <w:rsid w:val="002B1F2C"/>
    <w:rsid w:val="002B1FD9"/>
    <w:rsid w:val="002B24A5"/>
    <w:rsid w:val="002B25FB"/>
    <w:rsid w:val="002B2A7B"/>
    <w:rsid w:val="002B3064"/>
    <w:rsid w:val="002B323E"/>
    <w:rsid w:val="002B3294"/>
    <w:rsid w:val="002B3352"/>
    <w:rsid w:val="002B3371"/>
    <w:rsid w:val="002B34FF"/>
    <w:rsid w:val="002B3890"/>
    <w:rsid w:val="002B3A6B"/>
    <w:rsid w:val="002B3BA3"/>
    <w:rsid w:val="002B3C30"/>
    <w:rsid w:val="002B3D63"/>
    <w:rsid w:val="002B3EB9"/>
    <w:rsid w:val="002B42A0"/>
    <w:rsid w:val="002B42C8"/>
    <w:rsid w:val="002B487A"/>
    <w:rsid w:val="002B4B86"/>
    <w:rsid w:val="002B4EA8"/>
    <w:rsid w:val="002B575D"/>
    <w:rsid w:val="002B596F"/>
    <w:rsid w:val="002B5A11"/>
    <w:rsid w:val="002B5B1A"/>
    <w:rsid w:val="002B5BCB"/>
    <w:rsid w:val="002B5D15"/>
    <w:rsid w:val="002B5D56"/>
    <w:rsid w:val="002B5EAA"/>
    <w:rsid w:val="002B633E"/>
    <w:rsid w:val="002B645E"/>
    <w:rsid w:val="002B6831"/>
    <w:rsid w:val="002B692F"/>
    <w:rsid w:val="002B6F8C"/>
    <w:rsid w:val="002B706E"/>
    <w:rsid w:val="002B73B6"/>
    <w:rsid w:val="002B745C"/>
    <w:rsid w:val="002B7529"/>
    <w:rsid w:val="002B75CB"/>
    <w:rsid w:val="002B76A5"/>
    <w:rsid w:val="002B7983"/>
    <w:rsid w:val="002C0080"/>
    <w:rsid w:val="002C0147"/>
    <w:rsid w:val="002C032B"/>
    <w:rsid w:val="002C03CE"/>
    <w:rsid w:val="002C04B2"/>
    <w:rsid w:val="002C0E2C"/>
    <w:rsid w:val="002C0ECE"/>
    <w:rsid w:val="002C112A"/>
    <w:rsid w:val="002C13AE"/>
    <w:rsid w:val="002C1564"/>
    <w:rsid w:val="002C17A3"/>
    <w:rsid w:val="002C1BD4"/>
    <w:rsid w:val="002C1C92"/>
    <w:rsid w:val="002C1FF9"/>
    <w:rsid w:val="002C2097"/>
    <w:rsid w:val="002C269B"/>
    <w:rsid w:val="002C2756"/>
    <w:rsid w:val="002C28FB"/>
    <w:rsid w:val="002C29DD"/>
    <w:rsid w:val="002C2BAC"/>
    <w:rsid w:val="002C2EEC"/>
    <w:rsid w:val="002C2FD9"/>
    <w:rsid w:val="002C3122"/>
    <w:rsid w:val="002C362C"/>
    <w:rsid w:val="002C3714"/>
    <w:rsid w:val="002C3A95"/>
    <w:rsid w:val="002C3E89"/>
    <w:rsid w:val="002C421F"/>
    <w:rsid w:val="002C44A8"/>
    <w:rsid w:val="002C489F"/>
    <w:rsid w:val="002C4BCB"/>
    <w:rsid w:val="002C4EEE"/>
    <w:rsid w:val="002C4F15"/>
    <w:rsid w:val="002C4F8C"/>
    <w:rsid w:val="002C500F"/>
    <w:rsid w:val="002C63C4"/>
    <w:rsid w:val="002C64C2"/>
    <w:rsid w:val="002C667B"/>
    <w:rsid w:val="002C6AB6"/>
    <w:rsid w:val="002C6C39"/>
    <w:rsid w:val="002C702C"/>
    <w:rsid w:val="002C7275"/>
    <w:rsid w:val="002C77D8"/>
    <w:rsid w:val="002C7905"/>
    <w:rsid w:val="002C7A4F"/>
    <w:rsid w:val="002C7D73"/>
    <w:rsid w:val="002C7E45"/>
    <w:rsid w:val="002D0179"/>
    <w:rsid w:val="002D0197"/>
    <w:rsid w:val="002D0339"/>
    <w:rsid w:val="002D07EA"/>
    <w:rsid w:val="002D08F7"/>
    <w:rsid w:val="002D0DC9"/>
    <w:rsid w:val="002D14C1"/>
    <w:rsid w:val="002D19C2"/>
    <w:rsid w:val="002D1E8F"/>
    <w:rsid w:val="002D206A"/>
    <w:rsid w:val="002D209B"/>
    <w:rsid w:val="002D24AF"/>
    <w:rsid w:val="002D2D74"/>
    <w:rsid w:val="002D2FA6"/>
    <w:rsid w:val="002D3487"/>
    <w:rsid w:val="002D3666"/>
    <w:rsid w:val="002D377F"/>
    <w:rsid w:val="002D37B7"/>
    <w:rsid w:val="002D3AE9"/>
    <w:rsid w:val="002D3D34"/>
    <w:rsid w:val="002D40B9"/>
    <w:rsid w:val="002D44D5"/>
    <w:rsid w:val="002D45C1"/>
    <w:rsid w:val="002D45DD"/>
    <w:rsid w:val="002D465E"/>
    <w:rsid w:val="002D56AD"/>
    <w:rsid w:val="002D583E"/>
    <w:rsid w:val="002D60F0"/>
    <w:rsid w:val="002D6341"/>
    <w:rsid w:val="002D66F4"/>
    <w:rsid w:val="002D6B88"/>
    <w:rsid w:val="002D719A"/>
    <w:rsid w:val="002D72B4"/>
    <w:rsid w:val="002D7C26"/>
    <w:rsid w:val="002E039D"/>
    <w:rsid w:val="002E0647"/>
    <w:rsid w:val="002E071A"/>
    <w:rsid w:val="002E09D6"/>
    <w:rsid w:val="002E0A17"/>
    <w:rsid w:val="002E0BFA"/>
    <w:rsid w:val="002E0E0F"/>
    <w:rsid w:val="002E1638"/>
    <w:rsid w:val="002E167C"/>
    <w:rsid w:val="002E18AC"/>
    <w:rsid w:val="002E1E79"/>
    <w:rsid w:val="002E223A"/>
    <w:rsid w:val="002E27E0"/>
    <w:rsid w:val="002E2D2B"/>
    <w:rsid w:val="002E35E0"/>
    <w:rsid w:val="002E35E8"/>
    <w:rsid w:val="002E3DCA"/>
    <w:rsid w:val="002E4450"/>
    <w:rsid w:val="002E4604"/>
    <w:rsid w:val="002E478E"/>
    <w:rsid w:val="002E4DA4"/>
    <w:rsid w:val="002E4EF4"/>
    <w:rsid w:val="002E525F"/>
    <w:rsid w:val="002E52A5"/>
    <w:rsid w:val="002E54A7"/>
    <w:rsid w:val="002E5E0C"/>
    <w:rsid w:val="002E60B7"/>
    <w:rsid w:val="002E62E9"/>
    <w:rsid w:val="002E6345"/>
    <w:rsid w:val="002E6375"/>
    <w:rsid w:val="002E6590"/>
    <w:rsid w:val="002E663C"/>
    <w:rsid w:val="002E6B6F"/>
    <w:rsid w:val="002E6D9D"/>
    <w:rsid w:val="002E6F10"/>
    <w:rsid w:val="002E70D8"/>
    <w:rsid w:val="002E71EE"/>
    <w:rsid w:val="002E72A9"/>
    <w:rsid w:val="002E7D00"/>
    <w:rsid w:val="002F0225"/>
    <w:rsid w:val="002F03F0"/>
    <w:rsid w:val="002F0EBD"/>
    <w:rsid w:val="002F0F72"/>
    <w:rsid w:val="002F119D"/>
    <w:rsid w:val="002F1260"/>
    <w:rsid w:val="002F12FC"/>
    <w:rsid w:val="002F14CD"/>
    <w:rsid w:val="002F15AD"/>
    <w:rsid w:val="002F1774"/>
    <w:rsid w:val="002F17CD"/>
    <w:rsid w:val="002F19C1"/>
    <w:rsid w:val="002F1EC3"/>
    <w:rsid w:val="002F1F01"/>
    <w:rsid w:val="002F204E"/>
    <w:rsid w:val="002F20D7"/>
    <w:rsid w:val="002F2129"/>
    <w:rsid w:val="002F2215"/>
    <w:rsid w:val="002F245A"/>
    <w:rsid w:val="002F2678"/>
    <w:rsid w:val="002F27B8"/>
    <w:rsid w:val="002F2916"/>
    <w:rsid w:val="002F2CD0"/>
    <w:rsid w:val="002F2D41"/>
    <w:rsid w:val="002F2DB7"/>
    <w:rsid w:val="002F3222"/>
    <w:rsid w:val="002F34EB"/>
    <w:rsid w:val="002F37DE"/>
    <w:rsid w:val="002F3B21"/>
    <w:rsid w:val="002F3B64"/>
    <w:rsid w:val="002F3DA7"/>
    <w:rsid w:val="002F4141"/>
    <w:rsid w:val="002F4710"/>
    <w:rsid w:val="002F48E0"/>
    <w:rsid w:val="002F498C"/>
    <w:rsid w:val="002F50BF"/>
    <w:rsid w:val="002F51B1"/>
    <w:rsid w:val="002F53DF"/>
    <w:rsid w:val="002F576D"/>
    <w:rsid w:val="002F57F2"/>
    <w:rsid w:val="002F5CD6"/>
    <w:rsid w:val="002F5D43"/>
    <w:rsid w:val="002F5DE5"/>
    <w:rsid w:val="002F5E1F"/>
    <w:rsid w:val="002F62AC"/>
    <w:rsid w:val="002F6355"/>
    <w:rsid w:val="002F6395"/>
    <w:rsid w:val="002F67F1"/>
    <w:rsid w:val="002F68A4"/>
    <w:rsid w:val="002F7122"/>
    <w:rsid w:val="002F72FC"/>
    <w:rsid w:val="002F7538"/>
    <w:rsid w:val="002F75C8"/>
    <w:rsid w:val="002F7D08"/>
    <w:rsid w:val="002F7D8B"/>
    <w:rsid w:val="002F7ED7"/>
    <w:rsid w:val="0030020B"/>
    <w:rsid w:val="0030043E"/>
    <w:rsid w:val="00300706"/>
    <w:rsid w:val="0030088A"/>
    <w:rsid w:val="0030190B"/>
    <w:rsid w:val="00301A87"/>
    <w:rsid w:val="00301DD8"/>
    <w:rsid w:val="00301E6E"/>
    <w:rsid w:val="0030234B"/>
    <w:rsid w:val="003026B2"/>
    <w:rsid w:val="00302920"/>
    <w:rsid w:val="00302A3F"/>
    <w:rsid w:val="00302FF0"/>
    <w:rsid w:val="00303223"/>
    <w:rsid w:val="00303350"/>
    <w:rsid w:val="00303393"/>
    <w:rsid w:val="00303585"/>
    <w:rsid w:val="003037E8"/>
    <w:rsid w:val="00303AD6"/>
    <w:rsid w:val="00303B74"/>
    <w:rsid w:val="00303D6C"/>
    <w:rsid w:val="00304690"/>
    <w:rsid w:val="003048AB"/>
    <w:rsid w:val="00304ACC"/>
    <w:rsid w:val="00304B6B"/>
    <w:rsid w:val="00304B86"/>
    <w:rsid w:val="00304EC3"/>
    <w:rsid w:val="003051F6"/>
    <w:rsid w:val="0030522F"/>
    <w:rsid w:val="003055A0"/>
    <w:rsid w:val="003056FE"/>
    <w:rsid w:val="00305772"/>
    <w:rsid w:val="003057A5"/>
    <w:rsid w:val="0030595E"/>
    <w:rsid w:val="00305B1A"/>
    <w:rsid w:val="00305F64"/>
    <w:rsid w:val="0030644E"/>
    <w:rsid w:val="003065A1"/>
    <w:rsid w:val="00306CEE"/>
    <w:rsid w:val="00306EE6"/>
    <w:rsid w:val="00307292"/>
    <w:rsid w:val="0030729E"/>
    <w:rsid w:val="003075F3"/>
    <w:rsid w:val="00307B6D"/>
    <w:rsid w:val="00307D3C"/>
    <w:rsid w:val="00307EA9"/>
    <w:rsid w:val="00307F9B"/>
    <w:rsid w:val="00310271"/>
    <w:rsid w:val="003104E1"/>
    <w:rsid w:val="003106A2"/>
    <w:rsid w:val="0031082C"/>
    <w:rsid w:val="0031090A"/>
    <w:rsid w:val="00310C18"/>
    <w:rsid w:val="00310D0E"/>
    <w:rsid w:val="00311741"/>
    <w:rsid w:val="003118F8"/>
    <w:rsid w:val="00311FF1"/>
    <w:rsid w:val="003122C6"/>
    <w:rsid w:val="00312636"/>
    <w:rsid w:val="0031271D"/>
    <w:rsid w:val="00312A54"/>
    <w:rsid w:val="00312BD8"/>
    <w:rsid w:val="00312F3A"/>
    <w:rsid w:val="00313640"/>
    <w:rsid w:val="003137B8"/>
    <w:rsid w:val="003138A5"/>
    <w:rsid w:val="00313A64"/>
    <w:rsid w:val="00313B75"/>
    <w:rsid w:val="00313CAA"/>
    <w:rsid w:val="00313E32"/>
    <w:rsid w:val="00313E74"/>
    <w:rsid w:val="00313E95"/>
    <w:rsid w:val="00314383"/>
    <w:rsid w:val="003143E5"/>
    <w:rsid w:val="0031492A"/>
    <w:rsid w:val="00314DE9"/>
    <w:rsid w:val="00314E9E"/>
    <w:rsid w:val="003155AC"/>
    <w:rsid w:val="00315C41"/>
    <w:rsid w:val="00315EBD"/>
    <w:rsid w:val="00316068"/>
    <w:rsid w:val="003161BB"/>
    <w:rsid w:val="00316818"/>
    <w:rsid w:val="0031766A"/>
    <w:rsid w:val="003179CC"/>
    <w:rsid w:val="00317F2C"/>
    <w:rsid w:val="00320129"/>
    <w:rsid w:val="00320150"/>
    <w:rsid w:val="003201D6"/>
    <w:rsid w:val="00320550"/>
    <w:rsid w:val="0032072B"/>
    <w:rsid w:val="003207B6"/>
    <w:rsid w:val="00320DF2"/>
    <w:rsid w:val="00321E0F"/>
    <w:rsid w:val="00321E1C"/>
    <w:rsid w:val="003227AE"/>
    <w:rsid w:val="00322877"/>
    <w:rsid w:val="00322CF8"/>
    <w:rsid w:val="00322E45"/>
    <w:rsid w:val="003230EF"/>
    <w:rsid w:val="0032311C"/>
    <w:rsid w:val="00323185"/>
    <w:rsid w:val="003231D1"/>
    <w:rsid w:val="0032353D"/>
    <w:rsid w:val="00323903"/>
    <w:rsid w:val="0032400C"/>
    <w:rsid w:val="00324153"/>
    <w:rsid w:val="003241B5"/>
    <w:rsid w:val="00324289"/>
    <w:rsid w:val="00324396"/>
    <w:rsid w:val="00324B8F"/>
    <w:rsid w:val="00324DEB"/>
    <w:rsid w:val="00325667"/>
    <w:rsid w:val="003261B1"/>
    <w:rsid w:val="00326311"/>
    <w:rsid w:val="003266E3"/>
    <w:rsid w:val="003267AB"/>
    <w:rsid w:val="00326A33"/>
    <w:rsid w:val="00326ED5"/>
    <w:rsid w:val="0032779B"/>
    <w:rsid w:val="003277C6"/>
    <w:rsid w:val="0032797F"/>
    <w:rsid w:val="003279B1"/>
    <w:rsid w:val="00327A93"/>
    <w:rsid w:val="00330CD1"/>
    <w:rsid w:val="00330E78"/>
    <w:rsid w:val="00330F96"/>
    <w:rsid w:val="00331402"/>
    <w:rsid w:val="003314E4"/>
    <w:rsid w:val="00331564"/>
    <w:rsid w:val="00331C83"/>
    <w:rsid w:val="00331F43"/>
    <w:rsid w:val="00332085"/>
    <w:rsid w:val="00332258"/>
    <w:rsid w:val="003322D5"/>
    <w:rsid w:val="0033240F"/>
    <w:rsid w:val="00332651"/>
    <w:rsid w:val="0033282D"/>
    <w:rsid w:val="00332A28"/>
    <w:rsid w:val="00332C71"/>
    <w:rsid w:val="00332E1C"/>
    <w:rsid w:val="00332FE7"/>
    <w:rsid w:val="0033326F"/>
    <w:rsid w:val="00334216"/>
    <w:rsid w:val="00334694"/>
    <w:rsid w:val="00334FEC"/>
    <w:rsid w:val="00334FFB"/>
    <w:rsid w:val="00335234"/>
    <w:rsid w:val="00335424"/>
    <w:rsid w:val="003355DC"/>
    <w:rsid w:val="003357A5"/>
    <w:rsid w:val="003358AC"/>
    <w:rsid w:val="0033590A"/>
    <w:rsid w:val="00335A67"/>
    <w:rsid w:val="00335ACF"/>
    <w:rsid w:val="00335C69"/>
    <w:rsid w:val="00335DFC"/>
    <w:rsid w:val="003362C7"/>
    <w:rsid w:val="00336743"/>
    <w:rsid w:val="003369E9"/>
    <w:rsid w:val="00336AF8"/>
    <w:rsid w:val="00336D82"/>
    <w:rsid w:val="00336E00"/>
    <w:rsid w:val="00336FCE"/>
    <w:rsid w:val="00340100"/>
    <w:rsid w:val="0034014F"/>
    <w:rsid w:val="00340212"/>
    <w:rsid w:val="00340640"/>
    <w:rsid w:val="00340943"/>
    <w:rsid w:val="00340A08"/>
    <w:rsid w:val="00340D6C"/>
    <w:rsid w:val="00340F93"/>
    <w:rsid w:val="00340F98"/>
    <w:rsid w:val="00341201"/>
    <w:rsid w:val="0034151E"/>
    <w:rsid w:val="00341652"/>
    <w:rsid w:val="003416F3"/>
    <w:rsid w:val="003417A1"/>
    <w:rsid w:val="00341C4E"/>
    <w:rsid w:val="00341F7B"/>
    <w:rsid w:val="0034221D"/>
    <w:rsid w:val="00342284"/>
    <w:rsid w:val="00342417"/>
    <w:rsid w:val="003428A8"/>
    <w:rsid w:val="0034294A"/>
    <w:rsid w:val="00342971"/>
    <w:rsid w:val="00342BC2"/>
    <w:rsid w:val="00342CDD"/>
    <w:rsid w:val="00342F43"/>
    <w:rsid w:val="003433E1"/>
    <w:rsid w:val="0034376F"/>
    <w:rsid w:val="0034379A"/>
    <w:rsid w:val="00343A06"/>
    <w:rsid w:val="00343C4C"/>
    <w:rsid w:val="003444EA"/>
    <w:rsid w:val="00344816"/>
    <w:rsid w:val="00344820"/>
    <w:rsid w:val="00344BB7"/>
    <w:rsid w:val="00345096"/>
    <w:rsid w:val="003456ED"/>
    <w:rsid w:val="00345DA7"/>
    <w:rsid w:val="00345E28"/>
    <w:rsid w:val="00345F3F"/>
    <w:rsid w:val="00346061"/>
    <w:rsid w:val="003466C2"/>
    <w:rsid w:val="00346AE9"/>
    <w:rsid w:val="00346CD9"/>
    <w:rsid w:val="00346FC5"/>
    <w:rsid w:val="0034755D"/>
    <w:rsid w:val="0034781D"/>
    <w:rsid w:val="00347A7B"/>
    <w:rsid w:val="00347C78"/>
    <w:rsid w:val="00350336"/>
    <w:rsid w:val="0035069C"/>
    <w:rsid w:val="003506A3"/>
    <w:rsid w:val="0035073E"/>
    <w:rsid w:val="003508F5"/>
    <w:rsid w:val="00350AA8"/>
    <w:rsid w:val="00350ED6"/>
    <w:rsid w:val="00351508"/>
    <w:rsid w:val="00351659"/>
    <w:rsid w:val="003516AB"/>
    <w:rsid w:val="00351756"/>
    <w:rsid w:val="00351791"/>
    <w:rsid w:val="00352059"/>
    <w:rsid w:val="003520F2"/>
    <w:rsid w:val="00352478"/>
    <w:rsid w:val="003525F3"/>
    <w:rsid w:val="00352844"/>
    <w:rsid w:val="00352B30"/>
    <w:rsid w:val="00352DD2"/>
    <w:rsid w:val="00352F42"/>
    <w:rsid w:val="00353066"/>
    <w:rsid w:val="003530D0"/>
    <w:rsid w:val="003534F2"/>
    <w:rsid w:val="00353955"/>
    <w:rsid w:val="00353A33"/>
    <w:rsid w:val="00353B9E"/>
    <w:rsid w:val="00353F86"/>
    <w:rsid w:val="00354081"/>
    <w:rsid w:val="00354271"/>
    <w:rsid w:val="00354501"/>
    <w:rsid w:val="003546A4"/>
    <w:rsid w:val="003547A7"/>
    <w:rsid w:val="00354EA0"/>
    <w:rsid w:val="003552DE"/>
    <w:rsid w:val="003552EC"/>
    <w:rsid w:val="00355346"/>
    <w:rsid w:val="0035597C"/>
    <w:rsid w:val="00355B7C"/>
    <w:rsid w:val="00356327"/>
    <w:rsid w:val="00357042"/>
    <w:rsid w:val="0035733C"/>
    <w:rsid w:val="00357450"/>
    <w:rsid w:val="003574CB"/>
    <w:rsid w:val="00357726"/>
    <w:rsid w:val="00357DB0"/>
    <w:rsid w:val="0036024D"/>
    <w:rsid w:val="003602E7"/>
    <w:rsid w:val="00360878"/>
    <w:rsid w:val="00360ADD"/>
    <w:rsid w:val="00360CF8"/>
    <w:rsid w:val="00361074"/>
    <w:rsid w:val="003611DC"/>
    <w:rsid w:val="00361487"/>
    <w:rsid w:val="003617E9"/>
    <w:rsid w:val="003618BA"/>
    <w:rsid w:val="00361AD2"/>
    <w:rsid w:val="00362655"/>
    <w:rsid w:val="00362B31"/>
    <w:rsid w:val="00362D34"/>
    <w:rsid w:val="00362ED6"/>
    <w:rsid w:val="00363320"/>
    <w:rsid w:val="00363362"/>
    <w:rsid w:val="0036364D"/>
    <w:rsid w:val="00363751"/>
    <w:rsid w:val="00363892"/>
    <w:rsid w:val="00363BA9"/>
    <w:rsid w:val="00363C34"/>
    <w:rsid w:val="00363C4E"/>
    <w:rsid w:val="00363F79"/>
    <w:rsid w:val="003642CF"/>
    <w:rsid w:val="003643A6"/>
    <w:rsid w:val="003645AF"/>
    <w:rsid w:val="003646B0"/>
    <w:rsid w:val="00364B65"/>
    <w:rsid w:val="00364C67"/>
    <w:rsid w:val="003655D7"/>
    <w:rsid w:val="003656F1"/>
    <w:rsid w:val="003658FF"/>
    <w:rsid w:val="0036595E"/>
    <w:rsid w:val="003662D4"/>
    <w:rsid w:val="00366483"/>
    <w:rsid w:val="003664C9"/>
    <w:rsid w:val="0036650E"/>
    <w:rsid w:val="0036682B"/>
    <w:rsid w:val="003668BF"/>
    <w:rsid w:val="0036699E"/>
    <w:rsid w:val="00366C9B"/>
    <w:rsid w:val="00366D2A"/>
    <w:rsid w:val="00366D35"/>
    <w:rsid w:val="003672B7"/>
    <w:rsid w:val="00367842"/>
    <w:rsid w:val="00367843"/>
    <w:rsid w:val="00367F22"/>
    <w:rsid w:val="003705A2"/>
    <w:rsid w:val="003706BB"/>
    <w:rsid w:val="00370778"/>
    <w:rsid w:val="00370DCA"/>
    <w:rsid w:val="0037158A"/>
    <w:rsid w:val="003715A2"/>
    <w:rsid w:val="00371ABC"/>
    <w:rsid w:val="0037211E"/>
    <w:rsid w:val="00372319"/>
    <w:rsid w:val="00372368"/>
    <w:rsid w:val="00372586"/>
    <w:rsid w:val="003725DB"/>
    <w:rsid w:val="00372DEF"/>
    <w:rsid w:val="0037347F"/>
    <w:rsid w:val="00373511"/>
    <w:rsid w:val="003735B2"/>
    <w:rsid w:val="003739FC"/>
    <w:rsid w:val="00373C22"/>
    <w:rsid w:val="00373C52"/>
    <w:rsid w:val="00373ED7"/>
    <w:rsid w:val="003742E8"/>
    <w:rsid w:val="003749B0"/>
    <w:rsid w:val="00374C56"/>
    <w:rsid w:val="003752B5"/>
    <w:rsid w:val="0037537D"/>
    <w:rsid w:val="00375811"/>
    <w:rsid w:val="00375BF6"/>
    <w:rsid w:val="00375E18"/>
    <w:rsid w:val="0037600D"/>
    <w:rsid w:val="003760B4"/>
    <w:rsid w:val="0037631A"/>
    <w:rsid w:val="0037686F"/>
    <w:rsid w:val="00376A03"/>
    <w:rsid w:val="00376C06"/>
    <w:rsid w:val="00376CE6"/>
    <w:rsid w:val="00377031"/>
    <w:rsid w:val="0037737E"/>
    <w:rsid w:val="00377691"/>
    <w:rsid w:val="003779B7"/>
    <w:rsid w:val="00377ACB"/>
    <w:rsid w:val="00377BBF"/>
    <w:rsid w:val="00377D23"/>
    <w:rsid w:val="0038003F"/>
    <w:rsid w:val="0038018E"/>
    <w:rsid w:val="00380240"/>
    <w:rsid w:val="00380298"/>
    <w:rsid w:val="00380666"/>
    <w:rsid w:val="00380684"/>
    <w:rsid w:val="00380FB8"/>
    <w:rsid w:val="003812C2"/>
    <w:rsid w:val="0038131C"/>
    <w:rsid w:val="00381419"/>
    <w:rsid w:val="0038149D"/>
    <w:rsid w:val="00381751"/>
    <w:rsid w:val="003818C4"/>
    <w:rsid w:val="00381B5C"/>
    <w:rsid w:val="00381C1B"/>
    <w:rsid w:val="00381C48"/>
    <w:rsid w:val="00381DE4"/>
    <w:rsid w:val="0038218E"/>
    <w:rsid w:val="003825B1"/>
    <w:rsid w:val="0038287A"/>
    <w:rsid w:val="00382C4F"/>
    <w:rsid w:val="00382D37"/>
    <w:rsid w:val="00382DFD"/>
    <w:rsid w:val="003830F2"/>
    <w:rsid w:val="003831BB"/>
    <w:rsid w:val="00383286"/>
    <w:rsid w:val="00383416"/>
    <w:rsid w:val="0038342A"/>
    <w:rsid w:val="0038386C"/>
    <w:rsid w:val="00383AEB"/>
    <w:rsid w:val="0038448A"/>
    <w:rsid w:val="003846D9"/>
    <w:rsid w:val="003847F8"/>
    <w:rsid w:val="00384DCF"/>
    <w:rsid w:val="003851B1"/>
    <w:rsid w:val="0038537B"/>
    <w:rsid w:val="0038543F"/>
    <w:rsid w:val="003855EC"/>
    <w:rsid w:val="0038587C"/>
    <w:rsid w:val="003858E3"/>
    <w:rsid w:val="003859A7"/>
    <w:rsid w:val="00385B90"/>
    <w:rsid w:val="003860BA"/>
    <w:rsid w:val="003865BC"/>
    <w:rsid w:val="00386705"/>
    <w:rsid w:val="00386BE2"/>
    <w:rsid w:val="00386BF7"/>
    <w:rsid w:val="00386C51"/>
    <w:rsid w:val="00386EB7"/>
    <w:rsid w:val="00386FD7"/>
    <w:rsid w:val="003870C7"/>
    <w:rsid w:val="003871E9"/>
    <w:rsid w:val="00387279"/>
    <w:rsid w:val="003873EC"/>
    <w:rsid w:val="0038751B"/>
    <w:rsid w:val="0038758C"/>
    <w:rsid w:val="0038769F"/>
    <w:rsid w:val="003877FA"/>
    <w:rsid w:val="00387954"/>
    <w:rsid w:val="00387B14"/>
    <w:rsid w:val="00387F54"/>
    <w:rsid w:val="0039050A"/>
    <w:rsid w:val="00390AC4"/>
    <w:rsid w:val="00390BBB"/>
    <w:rsid w:val="00390D82"/>
    <w:rsid w:val="00390DCA"/>
    <w:rsid w:val="00391051"/>
    <w:rsid w:val="00391722"/>
    <w:rsid w:val="003918C2"/>
    <w:rsid w:val="00391ADB"/>
    <w:rsid w:val="00391F7C"/>
    <w:rsid w:val="003923C9"/>
    <w:rsid w:val="0039298D"/>
    <w:rsid w:val="003929B9"/>
    <w:rsid w:val="0039302C"/>
    <w:rsid w:val="003930E4"/>
    <w:rsid w:val="003932BB"/>
    <w:rsid w:val="00393835"/>
    <w:rsid w:val="0039389D"/>
    <w:rsid w:val="00393B51"/>
    <w:rsid w:val="00393D4D"/>
    <w:rsid w:val="0039447D"/>
    <w:rsid w:val="0039486E"/>
    <w:rsid w:val="00394F9A"/>
    <w:rsid w:val="00395136"/>
    <w:rsid w:val="003951DA"/>
    <w:rsid w:val="003953BC"/>
    <w:rsid w:val="003953F6"/>
    <w:rsid w:val="0039581F"/>
    <w:rsid w:val="00395BF7"/>
    <w:rsid w:val="00395D05"/>
    <w:rsid w:val="00395D07"/>
    <w:rsid w:val="00395D70"/>
    <w:rsid w:val="0039625A"/>
    <w:rsid w:val="00396664"/>
    <w:rsid w:val="00396DE8"/>
    <w:rsid w:val="00396E03"/>
    <w:rsid w:val="00397213"/>
    <w:rsid w:val="003974F3"/>
    <w:rsid w:val="003977A3"/>
    <w:rsid w:val="00397B3F"/>
    <w:rsid w:val="00397D59"/>
    <w:rsid w:val="00397E52"/>
    <w:rsid w:val="00397FAC"/>
    <w:rsid w:val="003A02E4"/>
    <w:rsid w:val="003A050D"/>
    <w:rsid w:val="003A0852"/>
    <w:rsid w:val="003A0B9D"/>
    <w:rsid w:val="003A0C00"/>
    <w:rsid w:val="003A0E36"/>
    <w:rsid w:val="003A1006"/>
    <w:rsid w:val="003A117A"/>
    <w:rsid w:val="003A13A2"/>
    <w:rsid w:val="003A1761"/>
    <w:rsid w:val="003A1781"/>
    <w:rsid w:val="003A1870"/>
    <w:rsid w:val="003A1A49"/>
    <w:rsid w:val="003A2171"/>
    <w:rsid w:val="003A2214"/>
    <w:rsid w:val="003A2282"/>
    <w:rsid w:val="003A2290"/>
    <w:rsid w:val="003A2350"/>
    <w:rsid w:val="003A265D"/>
    <w:rsid w:val="003A33FB"/>
    <w:rsid w:val="003A36FC"/>
    <w:rsid w:val="003A3841"/>
    <w:rsid w:val="003A3DF1"/>
    <w:rsid w:val="003A3F86"/>
    <w:rsid w:val="003A3FE5"/>
    <w:rsid w:val="003A49A1"/>
    <w:rsid w:val="003A49F1"/>
    <w:rsid w:val="003A518A"/>
    <w:rsid w:val="003A577F"/>
    <w:rsid w:val="003A5977"/>
    <w:rsid w:val="003A5B17"/>
    <w:rsid w:val="003A5F33"/>
    <w:rsid w:val="003A5FD3"/>
    <w:rsid w:val="003A6105"/>
    <w:rsid w:val="003A61A8"/>
    <w:rsid w:val="003A6494"/>
    <w:rsid w:val="003A6CD3"/>
    <w:rsid w:val="003A7DC3"/>
    <w:rsid w:val="003A7FE6"/>
    <w:rsid w:val="003B030F"/>
    <w:rsid w:val="003B0761"/>
    <w:rsid w:val="003B076F"/>
    <w:rsid w:val="003B0AB5"/>
    <w:rsid w:val="003B0C3B"/>
    <w:rsid w:val="003B0E7D"/>
    <w:rsid w:val="003B1525"/>
    <w:rsid w:val="003B184B"/>
    <w:rsid w:val="003B1CD3"/>
    <w:rsid w:val="003B1D7D"/>
    <w:rsid w:val="003B1EF7"/>
    <w:rsid w:val="003B220C"/>
    <w:rsid w:val="003B2492"/>
    <w:rsid w:val="003B2805"/>
    <w:rsid w:val="003B2C01"/>
    <w:rsid w:val="003B2C22"/>
    <w:rsid w:val="003B2C2C"/>
    <w:rsid w:val="003B2CB9"/>
    <w:rsid w:val="003B2F20"/>
    <w:rsid w:val="003B2F26"/>
    <w:rsid w:val="003B3529"/>
    <w:rsid w:val="003B384A"/>
    <w:rsid w:val="003B3A3F"/>
    <w:rsid w:val="003B40B4"/>
    <w:rsid w:val="003B413A"/>
    <w:rsid w:val="003B428D"/>
    <w:rsid w:val="003B4338"/>
    <w:rsid w:val="003B451E"/>
    <w:rsid w:val="003B4529"/>
    <w:rsid w:val="003B4643"/>
    <w:rsid w:val="003B46B1"/>
    <w:rsid w:val="003B4B61"/>
    <w:rsid w:val="003B4C8E"/>
    <w:rsid w:val="003B53D3"/>
    <w:rsid w:val="003B545E"/>
    <w:rsid w:val="003B54AA"/>
    <w:rsid w:val="003B561B"/>
    <w:rsid w:val="003B573B"/>
    <w:rsid w:val="003B574D"/>
    <w:rsid w:val="003B5B18"/>
    <w:rsid w:val="003B5E91"/>
    <w:rsid w:val="003B5F5D"/>
    <w:rsid w:val="003B5FFA"/>
    <w:rsid w:val="003B635A"/>
    <w:rsid w:val="003B64EB"/>
    <w:rsid w:val="003B65BB"/>
    <w:rsid w:val="003B6BED"/>
    <w:rsid w:val="003B6C70"/>
    <w:rsid w:val="003B6EA9"/>
    <w:rsid w:val="003B6FCF"/>
    <w:rsid w:val="003B7026"/>
    <w:rsid w:val="003B70A3"/>
    <w:rsid w:val="003B76C8"/>
    <w:rsid w:val="003B7844"/>
    <w:rsid w:val="003B7859"/>
    <w:rsid w:val="003B7C67"/>
    <w:rsid w:val="003B7D50"/>
    <w:rsid w:val="003B7DDB"/>
    <w:rsid w:val="003B7E52"/>
    <w:rsid w:val="003B7E9F"/>
    <w:rsid w:val="003C017E"/>
    <w:rsid w:val="003C06C4"/>
    <w:rsid w:val="003C09F5"/>
    <w:rsid w:val="003C101C"/>
    <w:rsid w:val="003C11C5"/>
    <w:rsid w:val="003C1208"/>
    <w:rsid w:val="003C1441"/>
    <w:rsid w:val="003C14F9"/>
    <w:rsid w:val="003C1B9D"/>
    <w:rsid w:val="003C1BBD"/>
    <w:rsid w:val="003C2370"/>
    <w:rsid w:val="003C23B9"/>
    <w:rsid w:val="003C2520"/>
    <w:rsid w:val="003C25CD"/>
    <w:rsid w:val="003C292B"/>
    <w:rsid w:val="003C2DCA"/>
    <w:rsid w:val="003C3836"/>
    <w:rsid w:val="003C3B3F"/>
    <w:rsid w:val="003C42CD"/>
    <w:rsid w:val="003C44CC"/>
    <w:rsid w:val="003C4600"/>
    <w:rsid w:val="003C47CE"/>
    <w:rsid w:val="003C48A9"/>
    <w:rsid w:val="003C48AB"/>
    <w:rsid w:val="003C4A98"/>
    <w:rsid w:val="003C4BDA"/>
    <w:rsid w:val="003C4DED"/>
    <w:rsid w:val="003C4E2D"/>
    <w:rsid w:val="003C4EEE"/>
    <w:rsid w:val="003C547D"/>
    <w:rsid w:val="003C56AF"/>
    <w:rsid w:val="003C57FE"/>
    <w:rsid w:val="003C5803"/>
    <w:rsid w:val="003C69E7"/>
    <w:rsid w:val="003C6B1B"/>
    <w:rsid w:val="003C6D66"/>
    <w:rsid w:val="003C741B"/>
    <w:rsid w:val="003C7722"/>
    <w:rsid w:val="003C7D1B"/>
    <w:rsid w:val="003D0918"/>
    <w:rsid w:val="003D097D"/>
    <w:rsid w:val="003D1233"/>
    <w:rsid w:val="003D1432"/>
    <w:rsid w:val="003D17D8"/>
    <w:rsid w:val="003D1848"/>
    <w:rsid w:val="003D1C2B"/>
    <w:rsid w:val="003D21BE"/>
    <w:rsid w:val="003D22C2"/>
    <w:rsid w:val="003D2311"/>
    <w:rsid w:val="003D25ED"/>
    <w:rsid w:val="003D2A7F"/>
    <w:rsid w:val="003D2CD5"/>
    <w:rsid w:val="003D2D9F"/>
    <w:rsid w:val="003D30AC"/>
    <w:rsid w:val="003D33F5"/>
    <w:rsid w:val="003D364B"/>
    <w:rsid w:val="003D3945"/>
    <w:rsid w:val="003D3F63"/>
    <w:rsid w:val="003D434D"/>
    <w:rsid w:val="003D4770"/>
    <w:rsid w:val="003D4993"/>
    <w:rsid w:val="003D4BFD"/>
    <w:rsid w:val="003D4FFD"/>
    <w:rsid w:val="003D52BE"/>
    <w:rsid w:val="003D52C2"/>
    <w:rsid w:val="003D560D"/>
    <w:rsid w:val="003D5AA5"/>
    <w:rsid w:val="003D615C"/>
    <w:rsid w:val="003D634A"/>
    <w:rsid w:val="003D64AC"/>
    <w:rsid w:val="003D6539"/>
    <w:rsid w:val="003D65F6"/>
    <w:rsid w:val="003D6953"/>
    <w:rsid w:val="003D6A3A"/>
    <w:rsid w:val="003D6ABA"/>
    <w:rsid w:val="003D6C84"/>
    <w:rsid w:val="003D6F1B"/>
    <w:rsid w:val="003D6F97"/>
    <w:rsid w:val="003D7233"/>
    <w:rsid w:val="003D77A5"/>
    <w:rsid w:val="003D78BB"/>
    <w:rsid w:val="003D7AD3"/>
    <w:rsid w:val="003E05F3"/>
    <w:rsid w:val="003E06FC"/>
    <w:rsid w:val="003E14E7"/>
    <w:rsid w:val="003E1514"/>
    <w:rsid w:val="003E16A5"/>
    <w:rsid w:val="003E17A7"/>
    <w:rsid w:val="003E17C2"/>
    <w:rsid w:val="003E18FD"/>
    <w:rsid w:val="003E1BDD"/>
    <w:rsid w:val="003E2081"/>
    <w:rsid w:val="003E2087"/>
    <w:rsid w:val="003E22BD"/>
    <w:rsid w:val="003E2BD1"/>
    <w:rsid w:val="003E3529"/>
    <w:rsid w:val="003E399B"/>
    <w:rsid w:val="003E3B7C"/>
    <w:rsid w:val="003E3B8B"/>
    <w:rsid w:val="003E40B3"/>
    <w:rsid w:val="003E42DF"/>
    <w:rsid w:val="003E457C"/>
    <w:rsid w:val="003E477B"/>
    <w:rsid w:val="003E4A69"/>
    <w:rsid w:val="003E50B6"/>
    <w:rsid w:val="003E5238"/>
    <w:rsid w:val="003E5560"/>
    <w:rsid w:val="003E5695"/>
    <w:rsid w:val="003E584F"/>
    <w:rsid w:val="003E5B51"/>
    <w:rsid w:val="003E5D2A"/>
    <w:rsid w:val="003E5D7F"/>
    <w:rsid w:val="003E5E29"/>
    <w:rsid w:val="003E6098"/>
    <w:rsid w:val="003E6167"/>
    <w:rsid w:val="003E6417"/>
    <w:rsid w:val="003E6717"/>
    <w:rsid w:val="003E675A"/>
    <w:rsid w:val="003E689E"/>
    <w:rsid w:val="003E6E80"/>
    <w:rsid w:val="003E7764"/>
    <w:rsid w:val="003E7F5A"/>
    <w:rsid w:val="003F0B3C"/>
    <w:rsid w:val="003F0C5A"/>
    <w:rsid w:val="003F0D44"/>
    <w:rsid w:val="003F12A2"/>
    <w:rsid w:val="003F14CC"/>
    <w:rsid w:val="003F1748"/>
    <w:rsid w:val="003F1B38"/>
    <w:rsid w:val="003F1DD9"/>
    <w:rsid w:val="003F223B"/>
    <w:rsid w:val="003F22A7"/>
    <w:rsid w:val="003F22EA"/>
    <w:rsid w:val="003F25E0"/>
    <w:rsid w:val="003F2A8E"/>
    <w:rsid w:val="003F2DC8"/>
    <w:rsid w:val="003F361C"/>
    <w:rsid w:val="003F3AEF"/>
    <w:rsid w:val="003F3C01"/>
    <w:rsid w:val="003F3CEC"/>
    <w:rsid w:val="003F3D11"/>
    <w:rsid w:val="003F3F99"/>
    <w:rsid w:val="003F4863"/>
    <w:rsid w:val="003F4893"/>
    <w:rsid w:val="003F49EB"/>
    <w:rsid w:val="003F4E7B"/>
    <w:rsid w:val="003F5231"/>
    <w:rsid w:val="003F53A1"/>
    <w:rsid w:val="003F53E7"/>
    <w:rsid w:val="003F5639"/>
    <w:rsid w:val="003F56A8"/>
    <w:rsid w:val="003F5E6C"/>
    <w:rsid w:val="003F601F"/>
    <w:rsid w:val="003F614A"/>
    <w:rsid w:val="003F617A"/>
    <w:rsid w:val="003F620B"/>
    <w:rsid w:val="003F6302"/>
    <w:rsid w:val="003F63A9"/>
    <w:rsid w:val="003F63EC"/>
    <w:rsid w:val="003F6511"/>
    <w:rsid w:val="003F682F"/>
    <w:rsid w:val="003F6ACA"/>
    <w:rsid w:val="003F6B5B"/>
    <w:rsid w:val="003F6BDC"/>
    <w:rsid w:val="003F6CD8"/>
    <w:rsid w:val="003F6D10"/>
    <w:rsid w:val="003F6D4B"/>
    <w:rsid w:val="003F734A"/>
    <w:rsid w:val="003F7809"/>
    <w:rsid w:val="003F7DC6"/>
    <w:rsid w:val="00400764"/>
    <w:rsid w:val="00400936"/>
    <w:rsid w:val="00400939"/>
    <w:rsid w:val="00400BDB"/>
    <w:rsid w:val="00400C57"/>
    <w:rsid w:val="00400E9B"/>
    <w:rsid w:val="00400F9C"/>
    <w:rsid w:val="00401217"/>
    <w:rsid w:val="004012D2"/>
    <w:rsid w:val="00401933"/>
    <w:rsid w:val="00401A73"/>
    <w:rsid w:val="00401D27"/>
    <w:rsid w:val="00401ED6"/>
    <w:rsid w:val="00402141"/>
    <w:rsid w:val="00402420"/>
    <w:rsid w:val="004025BF"/>
    <w:rsid w:val="004027F2"/>
    <w:rsid w:val="00402936"/>
    <w:rsid w:val="00402C58"/>
    <w:rsid w:val="00403189"/>
    <w:rsid w:val="0040329B"/>
    <w:rsid w:val="004032AB"/>
    <w:rsid w:val="0040359C"/>
    <w:rsid w:val="004035CE"/>
    <w:rsid w:val="00403738"/>
    <w:rsid w:val="00403783"/>
    <w:rsid w:val="00403CC8"/>
    <w:rsid w:val="00403CE2"/>
    <w:rsid w:val="004048C7"/>
    <w:rsid w:val="00404B2C"/>
    <w:rsid w:val="00404BA0"/>
    <w:rsid w:val="00404D59"/>
    <w:rsid w:val="0040523B"/>
    <w:rsid w:val="004057E0"/>
    <w:rsid w:val="00405905"/>
    <w:rsid w:val="00405963"/>
    <w:rsid w:val="00405A4B"/>
    <w:rsid w:val="00405D4C"/>
    <w:rsid w:val="004065D7"/>
    <w:rsid w:val="0040672B"/>
    <w:rsid w:val="004069A7"/>
    <w:rsid w:val="00406A92"/>
    <w:rsid w:val="00406BFA"/>
    <w:rsid w:val="00406CA5"/>
    <w:rsid w:val="00406E02"/>
    <w:rsid w:val="00406F16"/>
    <w:rsid w:val="00406F3B"/>
    <w:rsid w:val="00406F3C"/>
    <w:rsid w:val="00407435"/>
    <w:rsid w:val="004077BD"/>
    <w:rsid w:val="00407978"/>
    <w:rsid w:val="00407D29"/>
    <w:rsid w:val="00407EDC"/>
    <w:rsid w:val="004106ED"/>
    <w:rsid w:val="00410931"/>
    <w:rsid w:val="00410977"/>
    <w:rsid w:val="00410B07"/>
    <w:rsid w:val="00410BEC"/>
    <w:rsid w:val="0041103D"/>
    <w:rsid w:val="0041201D"/>
    <w:rsid w:val="004120EB"/>
    <w:rsid w:val="00412449"/>
    <w:rsid w:val="004124B7"/>
    <w:rsid w:val="00412A58"/>
    <w:rsid w:val="00412A73"/>
    <w:rsid w:val="004132A8"/>
    <w:rsid w:val="00413355"/>
    <w:rsid w:val="004133BF"/>
    <w:rsid w:val="004134A7"/>
    <w:rsid w:val="004135B3"/>
    <w:rsid w:val="00414009"/>
    <w:rsid w:val="004158A8"/>
    <w:rsid w:val="00415C52"/>
    <w:rsid w:val="00415DE2"/>
    <w:rsid w:val="0041602E"/>
    <w:rsid w:val="0041615B"/>
    <w:rsid w:val="004166D8"/>
    <w:rsid w:val="00416739"/>
    <w:rsid w:val="0041679A"/>
    <w:rsid w:val="00416911"/>
    <w:rsid w:val="004169B9"/>
    <w:rsid w:val="00416A32"/>
    <w:rsid w:val="00416A9D"/>
    <w:rsid w:val="00417504"/>
    <w:rsid w:val="004175B6"/>
    <w:rsid w:val="00417714"/>
    <w:rsid w:val="004177D7"/>
    <w:rsid w:val="004179B1"/>
    <w:rsid w:val="00417BB4"/>
    <w:rsid w:val="00417C33"/>
    <w:rsid w:val="00417CC4"/>
    <w:rsid w:val="00417D16"/>
    <w:rsid w:val="00417E1D"/>
    <w:rsid w:val="00417ECD"/>
    <w:rsid w:val="0042033F"/>
    <w:rsid w:val="00420545"/>
    <w:rsid w:val="00420620"/>
    <w:rsid w:val="004206CC"/>
    <w:rsid w:val="00420946"/>
    <w:rsid w:val="00420AA9"/>
    <w:rsid w:val="00420CB5"/>
    <w:rsid w:val="00420F56"/>
    <w:rsid w:val="00420F97"/>
    <w:rsid w:val="00421232"/>
    <w:rsid w:val="004212F8"/>
    <w:rsid w:val="00421615"/>
    <w:rsid w:val="00421675"/>
    <w:rsid w:val="00421A7F"/>
    <w:rsid w:val="00421D67"/>
    <w:rsid w:val="00421DCE"/>
    <w:rsid w:val="00421ED1"/>
    <w:rsid w:val="00422146"/>
    <w:rsid w:val="00422204"/>
    <w:rsid w:val="0042262B"/>
    <w:rsid w:val="00422630"/>
    <w:rsid w:val="004229CF"/>
    <w:rsid w:val="00422ED6"/>
    <w:rsid w:val="00422EED"/>
    <w:rsid w:val="00423484"/>
    <w:rsid w:val="004236AB"/>
    <w:rsid w:val="00423811"/>
    <w:rsid w:val="004239FF"/>
    <w:rsid w:val="00423A39"/>
    <w:rsid w:val="00423C08"/>
    <w:rsid w:val="004243F9"/>
    <w:rsid w:val="004244D4"/>
    <w:rsid w:val="00424636"/>
    <w:rsid w:val="00424647"/>
    <w:rsid w:val="00425437"/>
    <w:rsid w:val="00425724"/>
    <w:rsid w:val="004257D5"/>
    <w:rsid w:val="00425AC0"/>
    <w:rsid w:val="00425AED"/>
    <w:rsid w:val="00425B02"/>
    <w:rsid w:val="00425BD6"/>
    <w:rsid w:val="00425DA0"/>
    <w:rsid w:val="00425E97"/>
    <w:rsid w:val="0042609B"/>
    <w:rsid w:val="00426210"/>
    <w:rsid w:val="00426293"/>
    <w:rsid w:val="004267C2"/>
    <w:rsid w:val="00426B1C"/>
    <w:rsid w:val="00426B82"/>
    <w:rsid w:val="00426E6B"/>
    <w:rsid w:val="00426F10"/>
    <w:rsid w:val="0042730F"/>
    <w:rsid w:val="004279EA"/>
    <w:rsid w:val="00427B02"/>
    <w:rsid w:val="00427ED8"/>
    <w:rsid w:val="00427FF2"/>
    <w:rsid w:val="00430300"/>
    <w:rsid w:val="00430489"/>
    <w:rsid w:val="00430931"/>
    <w:rsid w:val="004309C8"/>
    <w:rsid w:val="00430B6C"/>
    <w:rsid w:val="00430B7F"/>
    <w:rsid w:val="00430EA4"/>
    <w:rsid w:val="00430F36"/>
    <w:rsid w:val="00431596"/>
    <w:rsid w:val="00431975"/>
    <w:rsid w:val="00431E54"/>
    <w:rsid w:val="00431E9A"/>
    <w:rsid w:val="004320E6"/>
    <w:rsid w:val="004323D0"/>
    <w:rsid w:val="00432528"/>
    <w:rsid w:val="00432932"/>
    <w:rsid w:val="00432A85"/>
    <w:rsid w:val="00432A8E"/>
    <w:rsid w:val="00432B6E"/>
    <w:rsid w:val="00432E67"/>
    <w:rsid w:val="00432E68"/>
    <w:rsid w:val="00433863"/>
    <w:rsid w:val="00433B94"/>
    <w:rsid w:val="00434015"/>
    <w:rsid w:val="004342C5"/>
    <w:rsid w:val="00434325"/>
    <w:rsid w:val="0043456C"/>
    <w:rsid w:val="004348C5"/>
    <w:rsid w:val="00434932"/>
    <w:rsid w:val="004349F7"/>
    <w:rsid w:val="00434A21"/>
    <w:rsid w:val="00434CE4"/>
    <w:rsid w:val="00434D0D"/>
    <w:rsid w:val="004350BA"/>
    <w:rsid w:val="00435802"/>
    <w:rsid w:val="004358FA"/>
    <w:rsid w:val="00435A1B"/>
    <w:rsid w:val="00435D51"/>
    <w:rsid w:val="00435E9A"/>
    <w:rsid w:val="00436758"/>
    <w:rsid w:val="00436860"/>
    <w:rsid w:val="00436BBA"/>
    <w:rsid w:val="00436D25"/>
    <w:rsid w:val="00437253"/>
    <w:rsid w:val="004375A1"/>
    <w:rsid w:val="004375D1"/>
    <w:rsid w:val="004379D2"/>
    <w:rsid w:val="004404A2"/>
    <w:rsid w:val="0044098D"/>
    <w:rsid w:val="00440A2D"/>
    <w:rsid w:val="00440C89"/>
    <w:rsid w:val="00440F98"/>
    <w:rsid w:val="004416A0"/>
    <w:rsid w:val="00441AF8"/>
    <w:rsid w:val="00441B06"/>
    <w:rsid w:val="004423DE"/>
    <w:rsid w:val="004424F6"/>
    <w:rsid w:val="004426FE"/>
    <w:rsid w:val="004429EF"/>
    <w:rsid w:val="00442A1A"/>
    <w:rsid w:val="00442C1F"/>
    <w:rsid w:val="00442DCC"/>
    <w:rsid w:val="00443806"/>
    <w:rsid w:val="00443AE4"/>
    <w:rsid w:val="00443AEA"/>
    <w:rsid w:val="0044408A"/>
    <w:rsid w:val="0044429F"/>
    <w:rsid w:val="00444495"/>
    <w:rsid w:val="00444508"/>
    <w:rsid w:val="00444509"/>
    <w:rsid w:val="00444DBA"/>
    <w:rsid w:val="00445096"/>
    <w:rsid w:val="0044536C"/>
    <w:rsid w:val="00445B5C"/>
    <w:rsid w:val="00445DEB"/>
    <w:rsid w:val="00445FBF"/>
    <w:rsid w:val="0044605D"/>
    <w:rsid w:val="004461DD"/>
    <w:rsid w:val="00446341"/>
    <w:rsid w:val="0044666B"/>
    <w:rsid w:val="004467B6"/>
    <w:rsid w:val="0044694C"/>
    <w:rsid w:val="00446A13"/>
    <w:rsid w:val="00446AD8"/>
    <w:rsid w:val="00446DD3"/>
    <w:rsid w:val="004474D4"/>
    <w:rsid w:val="00447576"/>
    <w:rsid w:val="00447A29"/>
    <w:rsid w:val="00447EA3"/>
    <w:rsid w:val="00450A3E"/>
    <w:rsid w:val="00450DD9"/>
    <w:rsid w:val="00450FD5"/>
    <w:rsid w:val="00451137"/>
    <w:rsid w:val="0045113B"/>
    <w:rsid w:val="0045113E"/>
    <w:rsid w:val="004513FE"/>
    <w:rsid w:val="004514A2"/>
    <w:rsid w:val="00451D14"/>
    <w:rsid w:val="00451FAA"/>
    <w:rsid w:val="00452D69"/>
    <w:rsid w:val="00452E3B"/>
    <w:rsid w:val="00452E5E"/>
    <w:rsid w:val="00452F7A"/>
    <w:rsid w:val="00453222"/>
    <w:rsid w:val="004535F3"/>
    <w:rsid w:val="00453AA8"/>
    <w:rsid w:val="00453F23"/>
    <w:rsid w:val="004541FD"/>
    <w:rsid w:val="00454311"/>
    <w:rsid w:val="004544EF"/>
    <w:rsid w:val="0045489F"/>
    <w:rsid w:val="00454A7B"/>
    <w:rsid w:val="00454AF8"/>
    <w:rsid w:val="00454BC1"/>
    <w:rsid w:val="00454C5D"/>
    <w:rsid w:val="00454D1F"/>
    <w:rsid w:val="00454F83"/>
    <w:rsid w:val="00455414"/>
    <w:rsid w:val="0045558E"/>
    <w:rsid w:val="0045580C"/>
    <w:rsid w:val="004559EF"/>
    <w:rsid w:val="00455A1A"/>
    <w:rsid w:val="00455B62"/>
    <w:rsid w:val="004565F8"/>
    <w:rsid w:val="004567AC"/>
    <w:rsid w:val="00456A29"/>
    <w:rsid w:val="004570C4"/>
    <w:rsid w:val="00457534"/>
    <w:rsid w:val="00457730"/>
    <w:rsid w:val="0045799C"/>
    <w:rsid w:val="00457A73"/>
    <w:rsid w:val="00457ACC"/>
    <w:rsid w:val="004600F6"/>
    <w:rsid w:val="00460457"/>
    <w:rsid w:val="00460B08"/>
    <w:rsid w:val="00460CE5"/>
    <w:rsid w:val="00460D19"/>
    <w:rsid w:val="00460F8C"/>
    <w:rsid w:val="00461421"/>
    <w:rsid w:val="004617BA"/>
    <w:rsid w:val="00461920"/>
    <w:rsid w:val="00461E39"/>
    <w:rsid w:val="00461F7F"/>
    <w:rsid w:val="00461FA6"/>
    <w:rsid w:val="0046221A"/>
    <w:rsid w:val="0046283C"/>
    <w:rsid w:val="004628B2"/>
    <w:rsid w:val="0046299E"/>
    <w:rsid w:val="00462B13"/>
    <w:rsid w:val="00462C08"/>
    <w:rsid w:val="00462F69"/>
    <w:rsid w:val="00463017"/>
    <w:rsid w:val="004630A9"/>
    <w:rsid w:val="004638F8"/>
    <w:rsid w:val="004639FB"/>
    <w:rsid w:val="00463A4F"/>
    <w:rsid w:val="00464124"/>
    <w:rsid w:val="004643BC"/>
    <w:rsid w:val="0046482D"/>
    <w:rsid w:val="00464EF5"/>
    <w:rsid w:val="00464F80"/>
    <w:rsid w:val="00464FF5"/>
    <w:rsid w:val="00464FFD"/>
    <w:rsid w:val="004651F3"/>
    <w:rsid w:val="004656C0"/>
    <w:rsid w:val="00465E44"/>
    <w:rsid w:val="00465E50"/>
    <w:rsid w:val="00465FDA"/>
    <w:rsid w:val="00466218"/>
    <w:rsid w:val="004664D0"/>
    <w:rsid w:val="00466BDF"/>
    <w:rsid w:val="00467305"/>
    <w:rsid w:val="004676F6"/>
    <w:rsid w:val="00467A80"/>
    <w:rsid w:val="0047006B"/>
    <w:rsid w:val="0047052B"/>
    <w:rsid w:val="0047052C"/>
    <w:rsid w:val="00470611"/>
    <w:rsid w:val="0047080E"/>
    <w:rsid w:val="00470865"/>
    <w:rsid w:val="00470876"/>
    <w:rsid w:val="00470A44"/>
    <w:rsid w:val="00470B42"/>
    <w:rsid w:val="00470B67"/>
    <w:rsid w:val="00470E31"/>
    <w:rsid w:val="00470EB6"/>
    <w:rsid w:val="0047136E"/>
    <w:rsid w:val="004713E7"/>
    <w:rsid w:val="00471561"/>
    <w:rsid w:val="00471613"/>
    <w:rsid w:val="004719C9"/>
    <w:rsid w:val="00471A4D"/>
    <w:rsid w:val="00471AB2"/>
    <w:rsid w:val="00471E45"/>
    <w:rsid w:val="00471E6F"/>
    <w:rsid w:val="00472254"/>
    <w:rsid w:val="004723FC"/>
    <w:rsid w:val="0047242E"/>
    <w:rsid w:val="004725CA"/>
    <w:rsid w:val="004727E6"/>
    <w:rsid w:val="00472862"/>
    <w:rsid w:val="00472E10"/>
    <w:rsid w:val="00472E8B"/>
    <w:rsid w:val="004730F6"/>
    <w:rsid w:val="00473249"/>
    <w:rsid w:val="004732E0"/>
    <w:rsid w:val="004736F1"/>
    <w:rsid w:val="00473874"/>
    <w:rsid w:val="00474027"/>
    <w:rsid w:val="004742D9"/>
    <w:rsid w:val="00474822"/>
    <w:rsid w:val="004748AB"/>
    <w:rsid w:val="004748D5"/>
    <w:rsid w:val="00474A02"/>
    <w:rsid w:val="00474AF7"/>
    <w:rsid w:val="00474D30"/>
    <w:rsid w:val="00474E36"/>
    <w:rsid w:val="00474E52"/>
    <w:rsid w:val="004756C6"/>
    <w:rsid w:val="00475715"/>
    <w:rsid w:val="00475B31"/>
    <w:rsid w:val="00475CE1"/>
    <w:rsid w:val="00476048"/>
    <w:rsid w:val="00476080"/>
    <w:rsid w:val="004760B5"/>
    <w:rsid w:val="0047614F"/>
    <w:rsid w:val="00476711"/>
    <w:rsid w:val="004768BA"/>
    <w:rsid w:val="00476AEB"/>
    <w:rsid w:val="00476BDE"/>
    <w:rsid w:val="00476C2A"/>
    <w:rsid w:val="00476E97"/>
    <w:rsid w:val="00477657"/>
    <w:rsid w:val="00477A5B"/>
    <w:rsid w:val="00480B2A"/>
    <w:rsid w:val="00480D93"/>
    <w:rsid w:val="00480DE1"/>
    <w:rsid w:val="00480FF9"/>
    <w:rsid w:val="004810CF"/>
    <w:rsid w:val="004812B0"/>
    <w:rsid w:val="00481340"/>
    <w:rsid w:val="004814B3"/>
    <w:rsid w:val="004815C2"/>
    <w:rsid w:val="004818A1"/>
    <w:rsid w:val="004818D5"/>
    <w:rsid w:val="00481F78"/>
    <w:rsid w:val="00482465"/>
    <w:rsid w:val="004826CF"/>
    <w:rsid w:val="004828B2"/>
    <w:rsid w:val="004828ED"/>
    <w:rsid w:val="00482C3D"/>
    <w:rsid w:val="00482DD6"/>
    <w:rsid w:val="00482DFE"/>
    <w:rsid w:val="00482FFB"/>
    <w:rsid w:val="004830AA"/>
    <w:rsid w:val="004835A5"/>
    <w:rsid w:val="00483737"/>
    <w:rsid w:val="00483858"/>
    <w:rsid w:val="00483AF3"/>
    <w:rsid w:val="00483E9E"/>
    <w:rsid w:val="00484066"/>
    <w:rsid w:val="0048428E"/>
    <w:rsid w:val="00484A4E"/>
    <w:rsid w:val="00484A6A"/>
    <w:rsid w:val="00484ABB"/>
    <w:rsid w:val="00484DF8"/>
    <w:rsid w:val="00484F00"/>
    <w:rsid w:val="004850A6"/>
    <w:rsid w:val="00485453"/>
    <w:rsid w:val="0048546D"/>
    <w:rsid w:val="004859C1"/>
    <w:rsid w:val="00485A12"/>
    <w:rsid w:val="00485C0A"/>
    <w:rsid w:val="00485C19"/>
    <w:rsid w:val="00485CF8"/>
    <w:rsid w:val="0048614A"/>
    <w:rsid w:val="00486649"/>
    <w:rsid w:val="004867B9"/>
    <w:rsid w:val="00486B32"/>
    <w:rsid w:val="00486F36"/>
    <w:rsid w:val="004871AC"/>
    <w:rsid w:val="004871D6"/>
    <w:rsid w:val="00487EDC"/>
    <w:rsid w:val="004903B1"/>
    <w:rsid w:val="00490A4A"/>
    <w:rsid w:val="00490BD2"/>
    <w:rsid w:val="00491400"/>
    <w:rsid w:val="0049192C"/>
    <w:rsid w:val="00491BE4"/>
    <w:rsid w:val="00491D4B"/>
    <w:rsid w:val="00491F82"/>
    <w:rsid w:val="00492044"/>
    <w:rsid w:val="0049220C"/>
    <w:rsid w:val="00492783"/>
    <w:rsid w:val="0049283C"/>
    <w:rsid w:val="00492FB0"/>
    <w:rsid w:val="00493157"/>
    <w:rsid w:val="00493428"/>
    <w:rsid w:val="00493451"/>
    <w:rsid w:val="0049365E"/>
    <w:rsid w:val="004939E0"/>
    <w:rsid w:val="00493A19"/>
    <w:rsid w:val="00493C5A"/>
    <w:rsid w:val="00493D0C"/>
    <w:rsid w:val="00493D86"/>
    <w:rsid w:val="00493FBF"/>
    <w:rsid w:val="004942B5"/>
    <w:rsid w:val="0049470F"/>
    <w:rsid w:val="00494DAD"/>
    <w:rsid w:val="00495060"/>
    <w:rsid w:val="004950C9"/>
    <w:rsid w:val="00495493"/>
    <w:rsid w:val="0049579F"/>
    <w:rsid w:val="004959DC"/>
    <w:rsid w:val="00495A78"/>
    <w:rsid w:val="00495FFC"/>
    <w:rsid w:val="0049618F"/>
    <w:rsid w:val="0049623F"/>
    <w:rsid w:val="004964F6"/>
    <w:rsid w:val="0049652D"/>
    <w:rsid w:val="004967C5"/>
    <w:rsid w:val="00496D53"/>
    <w:rsid w:val="004973CB"/>
    <w:rsid w:val="004975D3"/>
    <w:rsid w:val="004A0E1D"/>
    <w:rsid w:val="004A13A5"/>
    <w:rsid w:val="004A16A1"/>
    <w:rsid w:val="004A16BC"/>
    <w:rsid w:val="004A1E2A"/>
    <w:rsid w:val="004A2072"/>
    <w:rsid w:val="004A211E"/>
    <w:rsid w:val="004A294B"/>
    <w:rsid w:val="004A2E90"/>
    <w:rsid w:val="004A3338"/>
    <w:rsid w:val="004A382E"/>
    <w:rsid w:val="004A3B43"/>
    <w:rsid w:val="004A4236"/>
    <w:rsid w:val="004A446A"/>
    <w:rsid w:val="004A47C4"/>
    <w:rsid w:val="004A49DA"/>
    <w:rsid w:val="004A4AD2"/>
    <w:rsid w:val="004A5238"/>
    <w:rsid w:val="004A52D6"/>
    <w:rsid w:val="004A5940"/>
    <w:rsid w:val="004A5C6D"/>
    <w:rsid w:val="004A627E"/>
    <w:rsid w:val="004A6374"/>
    <w:rsid w:val="004A6626"/>
    <w:rsid w:val="004A6663"/>
    <w:rsid w:val="004A6853"/>
    <w:rsid w:val="004A68A5"/>
    <w:rsid w:val="004A69E2"/>
    <w:rsid w:val="004A6D0F"/>
    <w:rsid w:val="004A6FC8"/>
    <w:rsid w:val="004A753E"/>
    <w:rsid w:val="004A764F"/>
    <w:rsid w:val="004A78DA"/>
    <w:rsid w:val="004A7B47"/>
    <w:rsid w:val="004A7B8D"/>
    <w:rsid w:val="004B022E"/>
    <w:rsid w:val="004B02F9"/>
    <w:rsid w:val="004B062D"/>
    <w:rsid w:val="004B06FF"/>
    <w:rsid w:val="004B07B8"/>
    <w:rsid w:val="004B07E8"/>
    <w:rsid w:val="004B09BF"/>
    <w:rsid w:val="004B0CFF"/>
    <w:rsid w:val="004B0EA3"/>
    <w:rsid w:val="004B111F"/>
    <w:rsid w:val="004B1640"/>
    <w:rsid w:val="004B1AB5"/>
    <w:rsid w:val="004B1E23"/>
    <w:rsid w:val="004B2CA3"/>
    <w:rsid w:val="004B3513"/>
    <w:rsid w:val="004B35E9"/>
    <w:rsid w:val="004B36DA"/>
    <w:rsid w:val="004B371A"/>
    <w:rsid w:val="004B3A98"/>
    <w:rsid w:val="004B3BF8"/>
    <w:rsid w:val="004B3C8C"/>
    <w:rsid w:val="004B4635"/>
    <w:rsid w:val="004B4978"/>
    <w:rsid w:val="004B49EC"/>
    <w:rsid w:val="004B4CBB"/>
    <w:rsid w:val="004B5039"/>
    <w:rsid w:val="004B561B"/>
    <w:rsid w:val="004B56FB"/>
    <w:rsid w:val="004B5A8F"/>
    <w:rsid w:val="004B5FCF"/>
    <w:rsid w:val="004B60B9"/>
    <w:rsid w:val="004B6153"/>
    <w:rsid w:val="004B6418"/>
    <w:rsid w:val="004B6F69"/>
    <w:rsid w:val="004B6FB0"/>
    <w:rsid w:val="004B72C1"/>
    <w:rsid w:val="004B7989"/>
    <w:rsid w:val="004B7AED"/>
    <w:rsid w:val="004B7DCA"/>
    <w:rsid w:val="004B7EA2"/>
    <w:rsid w:val="004C0362"/>
    <w:rsid w:val="004C0458"/>
    <w:rsid w:val="004C0BCE"/>
    <w:rsid w:val="004C0C66"/>
    <w:rsid w:val="004C0D32"/>
    <w:rsid w:val="004C0D51"/>
    <w:rsid w:val="004C0F9B"/>
    <w:rsid w:val="004C120F"/>
    <w:rsid w:val="004C1282"/>
    <w:rsid w:val="004C13AD"/>
    <w:rsid w:val="004C1A08"/>
    <w:rsid w:val="004C1AC5"/>
    <w:rsid w:val="004C1B74"/>
    <w:rsid w:val="004C1E20"/>
    <w:rsid w:val="004C1E26"/>
    <w:rsid w:val="004C1F2B"/>
    <w:rsid w:val="004C204F"/>
    <w:rsid w:val="004C2078"/>
    <w:rsid w:val="004C229A"/>
    <w:rsid w:val="004C23A0"/>
    <w:rsid w:val="004C2741"/>
    <w:rsid w:val="004C28FA"/>
    <w:rsid w:val="004C2C14"/>
    <w:rsid w:val="004C30CB"/>
    <w:rsid w:val="004C3215"/>
    <w:rsid w:val="004C359C"/>
    <w:rsid w:val="004C359F"/>
    <w:rsid w:val="004C3D63"/>
    <w:rsid w:val="004C3F05"/>
    <w:rsid w:val="004C412C"/>
    <w:rsid w:val="004C42BF"/>
    <w:rsid w:val="004C4446"/>
    <w:rsid w:val="004C4C21"/>
    <w:rsid w:val="004C50EA"/>
    <w:rsid w:val="004C525C"/>
    <w:rsid w:val="004C5631"/>
    <w:rsid w:val="004C5984"/>
    <w:rsid w:val="004C61A1"/>
    <w:rsid w:val="004C6254"/>
    <w:rsid w:val="004C6290"/>
    <w:rsid w:val="004C66C7"/>
    <w:rsid w:val="004C6F2C"/>
    <w:rsid w:val="004C71AB"/>
    <w:rsid w:val="004C7541"/>
    <w:rsid w:val="004C75F5"/>
    <w:rsid w:val="004C77EE"/>
    <w:rsid w:val="004C7973"/>
    <w:rsid w:val="004C7ABD"/>
    <w:rsid w:val="004C7FB0"/>
    <w:rsid w:val="004D084F"/>
    <w:rsid w:val="004D0A7F"/>
    <w:rsid w:val="004D1173"/>
    <w:rsid w:val="004D11BC"/>
    <w:rsid w:val="004D11E2"/>
    <w:rsid w:val="004D1777"/>
    <w:rsid w:val="004D1AF0"/>
    <w:rsid w:val="004D1ED3"/>
    <w:rsid w:val="004D1F46"/>
    <w:rsid w:val="004D21F5"/>
    <w:rsid w:val="004D22C1"/>
    <w:rsid w:val="004D2648"/>
    <w:rsid w:val="004D273F"/>
    <w:rsid w:val="004D2796"/>
    <w:rsid w:val="004D291C"/>
    <w:rsid w:val="004D33E7"/>
    <w:rsid w:val="004D34CA"/>
    <w:rsid w:val="004D3724"/>
    <w:rsid w:val="004D3F5B"/>
    <w:rsid w:val="004D4106"/>
    <w:rsid w:val="004D44D5"/>
    <w:rsid w:val="004D4529"/>
    <w:rsid w:val="004D4755"/>
    <w:rsid w:val="004D487E"/>
    <w:rsid w:val="004D49E9"/>
    <w:rsid w:val="004D4ACB"/>
    <w:rsid w:val="004D54C6"/>
    <w:rsid w:val="004D55F2"/>
    <w:rsid w:val="004D5867"/>
    <w:rsid w:val="004D587F"/>
    <w:rsid w:val="004D5BB2"/>
    <w:rsid w:val="004D5D1A"/>
    <w:rsid w:val="004D5D79"/>
    <w:rsid w:val="004D5E96"/>
    <w:rsid w:val="004D600D"/>
    <w:rsid w:val="004D6A6F"/>
    <w:rsid w:val="004D6AEA"/>
    <w:rsid w:val="004D745E"/>
    <w:rsid w:val="004D766D"/>
    <w:rsid w:val="004D79B1"/>
    <w:rsid w:val="004D7AEA"/>
    <w:rsid w:val="004D7D67"/>
    <w:rsid w:val="004E0290"/>
    <w:rsid w:val="004E0357"/>
    <w:rsid w:val="004E04BF"/>
    <w:rsid w:val="004E0770"/>
    <w:rsid w:val="004E0995"/>
    <w:rsid w:val="004E0A8C"/>
    <w:rsid w:val="004E0EA4"/>
    <w:rsid w:val="004E111C"/>
    <w:rsid w:val="004E1451"/>
    <w:rsid w:val="004E1867"/>
    <w:rsid w:val="004E18AB"/>
    <w:rsid w:val="004E1E5A"/>
    <w:rsid w:val="004E1F74"/>
    <w:rsid w:val="004E1FA3"/>
    <w:rsid w:val="004E24A1"/>
    <w:rsid w:val="004E276C"/>
    <w:rsid w:val="004E27A6"/>
    <w:rsid w:val="004E28F0"/>
    <w:rsid w:val="004E3690"/>
    <w:rsid w:val="004E427E"/>
    <w:rsid w:val="004E4484"/>
    <w:rsid w:val="004E4512"/>
    <w:rsid w:val="004E4626"/>
    <w:rsid w:val="004E464D"/>
    <w:rsid w:val="004E46F6"/>
    <w:rsid w:val="004E4733"/>
    <w:rsid w:val="004E4797"/>
    <w:rsid w:val="004E494A"/>
    <w:rsid w:val="004E49C7"/>
    <w:rsid w:val="004E50E3"/>
    <w:rsid w:val="004E5438"/>
    <w:rsid w:val="004E5B05"/>
    <w:rsid w:val="004E5B47"/>
    <w:rsid w:val="004E5BE2"/>
    <w:rsid w:val="004E5DBD"/>
    <w:rsid w:val="004E5FE2"/>
    <w:rsid w:val="004E61B1"/>
    <w:rsid w:val="004E6686"/>
    <w:rsid w:val="004E6C70"/>
    <w:rsid w:val="004E71BF"/>
    <w:rsid w:val="004E7563"/>
    <w:rsid w:val="004E7996"/>
    <w:rsid w:val="004E7A1D"/>
    <w:rsid w:val="004E7DDD"/>
    <w:rsid w:val="004E7E80"/>
    <w:rsid w:val="004E7ED1"/>
    <w:rsid w:val="004F0195"/>
    <w:rsid w:val="004F023A"/>
    <w:rsid w:val="004F0402"/>
    <w:rsid w:val="004F0475"/>
    <w:rsid w:val="004F0EA3"/>
    <w:rsid w:val="004F0F5F"/>
    <w:rsid w:val="004F1036"/>
    <w:rsid w:val="004F13FA"/>
    <w:rsid w:val="004F1721"/>
    <w:rsid w:val="004F1952"/>
    <w:rsid w:val="004F1B8E"/>
    <w:rsid w:val="004F1E23"/>
    <w:rsid w:val="004F2160"/>
    <w:rsid w:val="004F2293"/>
    <w:rsid w:val="004F236E"/>
    <w:rsid w:val="004F275E"/>
    <w:rsid w:val="004F296C"/>
    <w:rsid w:val="004F2EEE"/>
    <w:rsid w:val="004F3958"/>
    <w:rsid w:val="004F44BE"/>
    <w:rsid w:val="004F44F5"/>
    <w:rsid w:val="004F4635"/>
    <w:rsid w:val="004F466B"/>
    <w:rsid w:val="004F47B9"/>
    <w:rsid w:val="004F48D3"/>
    <w:rsid w:val="004F4C5B"/>
    <w:rsid w:val="004F52EC"/>
    <w:rsid w:val="004F53E9"/>
    <w:rsid w:val="004F5506"/>
    <w:rsid w:val="004F5B9D"/>
    <w:rsid w:val="004F5DFE"/>
    <w:rsid w:val="004F5F3C"/>
    <w:rsid w:val="004F61B7"/>
    <w:rsid w:val="004F6307"/>
    <w:rsid w:val="004F6C1F"/>
    <w:rsid w:val="004F6CCC"/>
    <w:rsid w:val="004F6D60"/>
    <w:rsid w:val="004F6E58"/>
    <w:rsid w:val="004F6FE6"/>
    <w:rsid w:val="004F7063"/>
    <w:rsid w:val="004F7698"/>
    <w:rsid w:val="004F7981"/>
    <w:rsid w:val="004F7AF8"/>
    <w:rsid w:val="004F7E2E"/>
    <w:rsid w:val="0050006D"/>
    <w:rsid w:val="00500159"/>
    <w:rsid w:val="00500993"/>
    <w:rsid w:val="005009E7"/>
    <w:rsid w:val="00500A9D"/>
    <w:rsid w:val="00500AED"/>
    <w:rsid w:val="00500BCA"/>
    <w:rsid w:val="00500CF0"/>
    <w:rsid w:val="00501278"/>
    <w:rsid w:val="00501559"/>
    <w:rsid w:val="005017AA"/>
    <w:rsid w:val="00501900"/>
    <w:rsid w:val="005019C1"/>
    <w:rsid w:val="005019CE"/>
    <w:rsid w:val="00501A5B"/>
    <w:rsid w:val="00501C42"/>
    <w:rsid w:val="00501E02"/>
    <w:rsid w:val="00501FAE"/>
    <w:rsid w:val="00502520"/>
    <w:rsid w:val="005029EA"/>
    <w:rsid w:val="00502B83"/>
    <w:rsid w:val="00502B94"/>
    <w:rsid w:val="00502C39"/>
    <w:rsid w:val="0050352B"/>
    <w:rsid w:val="005044FD"/>
    <w:rsid w:val="005047FD"/>
    <w:rsid w:val="00504CBF"/>
    <w:rsid w:val="00504D52"/>
    <w:rsid w:val="00504E66"/>
    <w:rsid w:val="005052E6"/>
    <w:rsid w:val="005054CE"/>
    <w:rsid w:val="00505513"/>
    <w:rsid w:val="005055AD"/>
    <w:rsid w:val="005055E7"/>
    <w:rsid w:val="00505A02"/>
    <w:rsid w:val="00505A25"/>
    <w:rsid w:val="00505ADA"/>
    <w:rsid w:val="00505B4F"/>
    <w:rsid w:val="00505C93"/>
    <w:rsid w:val="00506072"/>
    <w:rsid w:val="00506382"/>
    <w:rsid w:val="005069A4"/>
    <w:rsid w:val="00506C0D"/>
    <w:rsid w:val="00506C79"/>
    <w:rsid w:val="00507015"/>
    <w:rsid w:val="005071B5"/>
    <w:rsid w:val="00507492"/>
    <w:rsid w:val="0050766C"/>
    <w:rsid w:val="005078A9"/>
    <w:rsid w:val="005078D2"/>
    <w:rsid w:val="00507B2F"/>
    <w:rsid w:val="00507D67"/>
    <w:rsid w:val="00507E53"/>
    <w:rsid w:val="00507FE0"/>
    <w:rsid w:val="005100B9"/>
    <w:rsid w:val="005104E5"/>
    <w:rsid w:val="00510628"/>
    <w:rsid w:val="00510C33"/>
    <w:rsid w:val="00510E9E"/>
    <w:rsid w:val="005114B4"/>
    <w:rsid w:val="00511695"/>
    <w:rsid w:val="00511D35"/>
    <w:rsid w:val="00511D69"/>
    <w:rsid w:val="00512064"/>
    <w:rsid w:val="0051206F"/>
    <w:rsid w:val="0051213E"/>
    <w:rsid w:val="00512229"/>
    <w:rsid w:val="00512939"/>
    <w:rsid w:val="00512C1C"/>
    <w:rsid w:val="00512C7E"/>
    <w:rsid w:val="00512CAF"/>
    <w:rsid w:val="00512E73"/>
    <w:rsid w:val="00513189"/>
    <w:rsid w:val="00513274"/>
    <w:rsid w:val="00513535"/>
    <w:rsid w:val="00513571"/>
    <w:rsid w:val="00513577"/>
    <w:rsid w:val="0051411A"/>
    <w:rsid w:val="005141D8"/>
    <w:rsid w:val="005144CB"/>
    <w:rsid w:val="005147EC"/>
    <w:rsid w:val="00514DE6"/>
    <w:rsid w:val="005157CB"/>
    <w:rsid w:val="00515AA5"/>
    <w:rsid w:val="00515FDC"/>
    <w:rsid w:val="005160A7"/>
    <w:rsid w:val="00516615"/>
    <w:rsid w:val="00516959"/>
    <w:rsid w:val="005169FE"/>
    <w:rsid w:val="00516EEC"/>
    <w:rsid w:val="00517372"/>
    <w:rsid w:val="005177D9"/>
    <w:rsid w:val="005200D1"/>
    <w:rsid w:val="005203BD"/>
    <w:rsid w:val="00520551"/>
    <w:rsid w:val="005206AD"/>
    <w:rsid w:val="005207C3"/>
    <w:rsid w:val="00520D81"/>
    <w:rsid w:val="00520EA3"/>
    <w:rsid w:val="00521000"/>
    <w:rsid w:val="00521384"/>
    <w:rsid w:val="00521472"/>
    <w:rsid w:val="00521AA6"/>
    <w:rsid w:val="00521C29"/>
    <w:rsid w:val="0052214D"/>
    <w:rsid w:val="005226FB"/>
    <w:rsid w:val="00522A6E"/>
    <w:rsid w:val="00522C59"/>
    <w:rsid w:val="00522E13"/>
    <w:rsid w:val="0052319B"/>
    <w:rsid w:val="005234E8"/>
    <w:rsid w:val="0052375D"/>
    <w:rsid w:val="0052427A"/>
    <w:rsid w:val="005243CA"/>
    <w:rsid w:val="0052472C"/>
    <w:rsid w:val="00524751"/>
    <w:rsid w:val="00524881"/>
    <w:rsid w:val="00524EF6"/>
    <w:rsid w:val="0052550B"/>
    <w:rsid w:val="00525F9A"/>
    <w:rsid w:val="00525FC3"/>
    <w:rsid w:val="00526219"/>
    <w:rsid w:val="00526407"/>
    <w:rsid w:val="0052642A"/>
    <w:rsid w:val="005264A6"/>
    <w:rsid w:val="005266AC"/>
    <w:rsid w:val="005267FF"/>
    <w:rsid w:val="00526ACD"/>
    <w:rsid w:val="00526DCA"/>
    <w:rsid w:val="00527709"/>
    <w:rsid w:val="00527A51"/>
    <w:rsid w:val="00527A76"/>
    <w:rsid w:val="00527D95"/>
    <w:rsid w:val="00530159"/>
    <w:rsid w:val="005301CF"/>
    <w:rsid w:val="0053040B"/>
    <w:rsid w:val="0053046D"/>
    <w:rsid w:val="0053075E"/>
    <w:rsid w:val="005309D5"/>
    <w:rsid w:val="00530E63"/>
    <w:rsid w:val="00530F11"/>
    <w:rsid w:val="00531036"/>
    <w:rsid w:val="0053181C"/>
    <w:rsid w:val="00531B2A"/>
    <w:rsid w:val="00531E86"/>
    <w:rsid w:val="00531E8E"/>
    <w:rsid w:val="00531EE1"/>
    <w:rsid w:val="0053248E"/>
    <w:rsid w:val="0053256F"/>
    <w:rsid w:val="00532982"/>
    <w:rsid w:val="00532C0D"/>
    <w:rsid w:val="00532DE3"/>
    <w:rsid w:val="0053314D"/>
    <w:rsid w:val="00533494"/>
    <w:rsid w:val="005335A3"/>
    <w:rsid w:val="005337BB"/>
    <w:rsid w:val="005339F1"/>
    <w:rsid w:val="00533F2D"/>
    <w:rsid w:val="00533F71"/>
    <w:rsid w:val="00533FC9"/>
    <w:rsid w:val="0053425B"/>
    <w:rsid w:val="00534409"/>
    <w:rsid w:val="005346DF"/>
    <w:rsid w:val="00534755"/>
    <w:rsid w:val="005347E5"/>
    <w:rsid w:val="00534B54"/>
    <w:rsid w:val="00534C88"/>
    <w:rsid w:val="0053524F"/>
    <w:rsid w:val="0053543D"/>
    <w:rsid w:val="005359C9"/>
    <w:rsid w:val="00535A7E"/>
    <w:rsid w:val="00535C5F"/>
    <w:rsid w:val="00535D75"/>
    <w:rsid w:val="00535D87"/>
    <w:rsid w:val="00536101"/>
    <w:rsid w:val="00536135"/>
    <w:rsid w:val="005362EC"/>
    <w:rsid w:val="00536602"/>
    <w:rsid w:val="00536812"/>
    <w:rsid w:val="00536978"/>
    <w:rsid w:val="00537009"/>
    <w:rsid w:val="005370CE"/>
    <w:rsid w:val="0053731C"/>
    <w:rsid w:val="0053731D"/>
    <w:rsid w:val="00537340"/>
    <w:rsid w:val="00537574"/>
    <w:rsid w:val="005376BD"/>
    <w:rsid w:val="00537993"/>
    <w:rsid w:val="00537B6E"/>
    <w:rsid w:val="00537BEB"/>
    <w:rsid w:val="00537FAB"/>
    <w:rsid w:val="00540326"/>
    <w:rsid w:val="0054037E"/>
    <w:rsid w:val="00540397"/>
    <w:rsid w:val="005408C2"/>
    <w:rsid w:val="00540B14"/>
    <w:rsid w:val="00541120"/>
    <w:rsid w:val="0054190B"/>
    <w:rsid w:val="00541995"/>
    <w:rsid w:val="00541C8C"/>
    <w:rsid w:val="00541EE6"/>
    <w:rsid w:val="00542A12"/>
    <w:rsid w:val="00542C96"/>
    <w:rsid w:val="00542D7D"/>
    <w:rsid w:val="00543162"/>
    <w:rsid w:val="00543451"/>
    <w:rsid w:val="00543577"/>
    <w:rsid w:val="005436DD"/>
    <w:rsid w:val="00543A13"/>
    <w:rsid w:val="00543A24"/>
    <w:rsid w:val="00543A6E"/>
    <w:rsid w:val="00543CFF"/>
    <w:rsid w:val="00543ED7"/>
    <w:rsid w:val="005445B1"/>
    <w:rsid w:val="005445FE"/>
    <w:rsid w:val="0054464D"/>
    <w:rsid w:val="0054476C"/>
    <w:rsid w:val="00544853"/>
    <w:rsid w:val="00544C51"/>
    <w:rsid w:val="005453D3"/>
    <w:rsid w:val="0054553E"/>
    <w:rsid w:val="005455AE"/>
    <w:rsid w:val="00545DA7"/>
    <w:rsid w:val="00545FB1"/>
    <w:rsid w:val="00546070"/>
    <w:rsid w:val="005460F4"/>
    <w:rsid w:val="005462CD"/>
    <w:rsid w:val="00546304"/>
    <w:rsid w:val="00546656"/>
    <w:rsid w:val="005466E7"/>
    <w:rsid w:val="005468A8"/>
    <w:rsid w:val="00546BF4"/>
    <w:rsid w:val="00546C96"/>
    <w:rsid w:val="00546D8B"/>
    <w:rsid w:val="00547374"/>
    <w:rsid w:val="00547429"/>
    <w:rsid w:val="00547486"/>
    <w:rsid w:val="00547531"/>
    <w:rsid w:val="00547629"/>
    <w:rsid w:val="0054762D"/>
    <w:rsid w:val="00547660"/>
    <w:rsid w:val="0054790A"/>
    <w:rsid w:val="00547BE3"/>
    <w:rsid w:val="00547CA8"/>
    <w:rsid w:val="00547CC6"/>
    <w:rsid w:val="00547D44"/>
    <w:rsid w:val="00547E66"/>
    <w:rsid w:val="00550236"/>
    <w:rsid w:val="0055059F"/>
    <w:rsid w:val="0055072E"/>
    <w:rsid w:val="00550F05"/>
    <w:rsid w:val="0055144F"/>
    <w:rsid w:val="005514CC"/>
    <w:rsid w:val="005518A0"/>
    <w:rsid w:val="00551954"/>
    <w:rsid w:val="00551AAC"/>
    <w:rsid w:val="0055270E"/>
    <w:rsid w:val="00552B50"/>
    <w:rsid w:val="00552FB7"/>
    <w:rsid w:val="005531E1"/>
    <w:rsid w:val="00553781"/>
    <w:rsid w:val="005539F0"/>
    <w:rsid w:val="00553C86"/>
    <w:rsid w:val="00553F6E"/>
    <w:rsid w:val="00553F99"/>
    <w:rsid w:val="005540C9"/>
    <w:rsid w:val="00554496"/>
    <w:rsid w:val="005544F8"/>
    <w:rsid w:val="00554C9E"/>
    <w:rsid w:val="00554F10"/>
    <w:rsid w:val="005556C6"/>
    <w:rsid w:val="00555747"/>
    <w:rsid w:val="00555853"/>
    <w:rsid w:val="005559F5"/>
    <w:rsid w:val="00555BF9"/>
    <w:rsid w:val="00555C1D"/>
    <w:rsid w:val="00555EF9"/>
    <w:rsid w:val="0055610F"/>
    <w:rsid w:val="005561B1"/>
    <w:rsid w:val="00556490"/>
    <w:rsid w:val="00556628"/>
    <w:rsid w:val="00556C0B"/>
    <w:rsid w:val="00556E69"/>
    <w:rsid w:val="0055730B"/>
    <w:rsid w:val="005574A0"/>
    <w:rsid w:val="00557931"/>
    <w:rsid w:val="00557C08"/>
    <w:rsid w:val="00557C0C"/>
    <w:rsid w:val="00557CC0"/>
    <w:rsid w:val="00557CC8"/>
    <w:rsid w:val="00557F53"/>
    <w:rsid w:val="005601CC"/>
    <w:rsid w:val="005607E7"/>
    <w:rsid w:val="00560863"/>
    <w:rsid w:val="00560CE7"/>
    <w:rsid w:val="00560D34"/>
    <w:rsid w:val="00561417"/>
    <w:rsid w:val="005614DB"/>
    <w:rsid w:val="00562072"/>
    <w:rsid w:val="0056237B"/>
    <w:rsid w:val="00563071"/>
    <w:rsid w:val="0056309F"/>
    <w:rsid w:val="00563139"/>
    <w:rsid w:val="00563272"/>
    <w:rsid w:val="00563469"/>
    <w:rsid w:val="00563557"/>
    <w:rsid w:val="005637CE"/>
    <w:rsid w:val="005639EE"/>
    <w:rsid w:val="00563A79"/>
    <w:rsid w:val="00563C1C"/>
    <w:rsid w:val="00563D5A"/>
    <w:rsid w:val="00563D88"/>
    <w:rsid w:val="00563FDC"/>
    <w:rsid w:val="005645C7"/>
    <w:rsid w:val="0056464C"/>
    <w:rsid w:val="005648AC"/>
    <w:rsid w:val="00564E6B"/>
    <w:rsid w:val="00565339"/>
    <w:rsid w:val="005654C9"/>
    <w:rsid w:val="0056555F"/>
    <w:rsid w:val="00565ACF"/>
    <w:rsid w:val="00565CA7"/>
    <w:rsid w:val="00565EE7"/>
    <w:rsid w:val="005661E3"/>
    <w:rsid w:val="0056632A"/>
    <w:rsid w:val="00566573"/>
    <w:rsid w:val="00566A50"/>
    <w:rsid w:val="00566DFE"/>
    <w:rsid w:val="005675A6"/>
    <w:rsid w:val="005675C6"/>
    <w:rsid w:val="0056782D"/>
    <w:rsid w:val="005679BA"/>
    <w:rsid w:val="00567E6E"/>
    <w:rsid w:val="00567F2B"/>
    <w:rsid w:val="00570020"/>
    <w:rsid w:val="005701C2"/>
    <w:rsid w:val="00570318"/>
    <w:rsid w:val="005704F0"/>
    <w:rsid w:val="00570C7E"/>
    <w:rsid w:val="00570D80"/>
    <w:rsid w:val="00571122"/>
    <w:rsid w:val="00571242"/>
    <w:rsid w:val="0057162B"/>
    <w:rsid w:val="005716D4"/>
    <w:rsid w:val="00571D96"/>
    <w:rsid w:val="00571DBF"/>
    <w:rsid w:val="00571F42"/>
    <w:rsid w:val="005722C7"/>
    <w:rsid w:val="00572550"/>
    <w:rsid w:val="0057292F"/>
    <w:rsid w:val="00572A47"/>
    <w:rsid w:val="00572D62"/>
    <w:rsid w:val="00572D8B"/>
    <w:rsid w:val="00572E69"/>
    <w:rsid w:val="00572EA3"/>
    <w:rsid w:val="00573016"/>
    <w:rsid w:val="0057323D"/>
    <w:rsid w:val="00573475"/>
    <w:rsid w:val="00573B61"/>
    <w:rsid w:val="00573BAC"/>
    <w:rsid w:val="00573E5F"/>
    <w:rsid w:val="00573EA9"/>
    <w:rsid w:val="00573F4E"/>
    <w:rsid w:val="00573F76"/>
    <w:rsid w:val="00574441"/>
    <w:rsid w:val="0057454F"/>
    <w:rsid w:val="00574636"/>
    <w:rsid w:val="00574AB0"/>
    <w:rsid w:val="00574C3C"/>
    <w:rsid w:val="00574C85"/>
    <w:rsid w:val="00575711"/>
    <w:rsid w:val="005757A4"/>
    <w:rsid w:val="00575956"/>
    <w:rsid w:val="00575AF1"/>
    <w:rsid w:val="00575FA3"/>
    <w:rsid w:val="0057611D"/>
    <w:rsid w:val="00576354"/>
    <w:rsid w:val="00576826"/>
    <w:rsid w:val="00576895"/>
    <w:rsid w:val="00576A7D"/>
    <w:rsid w:val="005771E7"/>
    <w:rsid w:val="005774D1"/>
    <w:rsid w:val="00577659"/>
    <w:rsid w:val="005779B1"/>
    <w:rsid w:val="00577B7D"/>
    <w:rsid w:val="005800AF"/>
    <w:rsid w:val="005801FE"/>
    <w:rsid w:val="00580656"/>
    <w:rsid w:val="00580E0C"/>
    <w:rsid w:val="00581010"/>
    <w:rsid w:val="005811FA"/>
    <w:rsid w:val="00581337"/>
    <w:rsid w:val="005816BC"/>
    <w:rsid w:val="00581858"/>
    <w:rsid w:val="0058195D"/>
    <w:rsid w:val="00581D38"/>
    <w:rsid w:val="00581DB5"/>
    <w:rsid w:val="00581F34"/>
    <w:rsid w:val="0058203B"/>
    <w:rsid w:val="00582346"/>
    <w:rsid w:val="00582646"/>
    <w:rsid w:val="00582764"/>
    <w:rsid w:val="00582769"/>
    <w:rsid w:val="00582805"/>
    <w:rsid w:val="005830D0"/>
    <w:rsid w:val="00583169"/>
    <w:rsid w:val="00583190"/>
    <w:rsid w:val="0058320D"/>
    <w:rsid w:val="0058349D"/>
    <w:rsid w:val="005838F8"/>
    <w:rsid w:val="00583C20"/>
    <w:rsid w:val="00583DA9"/>
    <w:rsid w:val="00583EED"/>
    <w:rsid w:val="00584391"/>
    <w:rsid w:val="00584585"/>
    <w:rsid w:val="00584DDE"/>
    <w:rsid w:val="0058509F"/>
    <w:rsid w:val="005853DA"/>
    <w:rsid w:val="0058555F"/>
    <w:rsid w:val="0058559D"/>
    <w:rsid w:val="00585B3C"/>
    <w:rsid w:val="00585E65"/>
    <w:rsid w:val="00585FB4"/>
    <w:rsid w:val="005864CF"/>
    <w:rsid w:val="00586C8D"/>
    <w:rsid w:val="00586ED6"/>
    <w:rsid w:val="0058705F"/>
    <w:rsid w:val="00587264"/>
    <w:rsid w:val="0058796B"/>
    <w:rsid w:val="00587A4F"/>
    <w:rsid w:val="00587AB0"/>
    <w:rsid w:val="00587BB0"/>
    <w:rsid w:val="00587CCF"/>
    <w:rsid w:val="0059033A"/>
    <w:rsid w:val="0059059B"/>
    <w:rsid w:val="005905D1"/>
    <w:rsid w:val="005905E0"/>
    <w:rsid w:val="005908DD"/>
    <w:rsid w:val="00590D57"/>
    <w:rsid w:val="00590E9F"/>
    <w:rsid w:val="00591818"/>
    <w:rsid w:val="005919C0"/>
    <w:rsid w:val="00591F6E"/>
    <w:rsid w:val="00591F9B"/>
    <w:rsid w:val="00592110"/>
    <w:rsid w:val="00592224"/>
    <w:rsid w:val="005923EC"/>
    <w:rsid w:val="00592801"/>
    <w:rsid w:val="00592CBA"/>
    <w:rsid w:val="005931A3"/>
    <w:rsid w:val="005933C1"/>
    <w:rsid w:val="00593731"/>
    <w:rsid w:val="00593AFE"/>
    <w:rsid w:val="00593C33"/>
    <w:rsid w:val="00593F10"/>
    <w:rsid w:val="005942FC"/>
    <w:rsid w:val="0059435E"/>
    <w:rsid w:val="005948D3"/>
    <w:rsid w:val="00594AA5"/>
    <w:rsid w:val="00594B0B"/>
    <w:rsid w:val="00594BBC"/>
    <w:rsid w:val="00595312"/>
    <w:rsid w:val="005957BD"/>
    <w:rsid w:val="0059589C"/>
    <w:rsid w:val="00595A23"/>
    <w:rsid w:val="00595EC9"/>
    <w:rsid w:val="00596364"/>
    <w:rsid w:val="005969AA"/>
    <w:rsid w:val="00596E06"/>
    <w:rsid w:val="00597045"/>
    <w:rsid w:val="005974A1"/>
    <w:rsid w:val="00597D1D"/>
    <w:rsid w:val="00597D4C"/>
    <w:rsid w:val="00597F7B"/>
    <w:rsid w:val="005A0025"/>
    <w:rsid w:val="005A023F"/>
    <w:rsid w:val="005A08EA"/>
    <w:rsid w:val="005A0B88"/>
    <w:rsid w:val="005A0E39"/>
    <w:rsid w:val="005A0F92"/>
    <w:rsid w:val="005A10C9"/>
    <w:rsid w:val="005A11ED"/>
    <w:rsid w:val="005A1375"/>
    <w:rsid w:val="005A1483"/>
    <w:rsid w:val="005A14B6"/>
    <w:rsid w:val="005A15F0"/>
    <w:rsid w:val="005A178E"/>
    <w:rsid w:val="005A1C99"/>
    <w:rsid w:val="005A1DFE"/>
    <w:rsid w:val="005A2CBF"/>
    <w:rsid w:val="005A3318"/>
    <w:rsid w:val="005A3340"/>
    <w:rsid w:val="005A36A9"/>
    <w:rsid w:val="005A3A7B"/>
    <w:rsid w:val="005A3C94"/>
    <w:rsid w:val="005A3F31"/>
    <w:rsid w:val="005A41B6"/>
    <w:rsid w:val="005A4647"/>
    <w:rsid w:val="005A4D17"/>
    <w:rsid w:val="005A537B"/>
    <w:rsid w:val="005A5553"/>
    <w:rsid w:val="005A5701"/>
    <w:rsid w:val="005A5759"/>
    <w:rsid w:val="005A5C9A"/>
    <w:rsid w:val="005A5E3B"/>
    <w:rsid w:val="005A60A0"/>
    <w:rsid w:val="005A6164"/>
    <w:rsid w:val="005A6943"/>
    <w:rsid w:val="005A6A4A"/>
    <w:rsid w:val="005A6F96"/>
    <w:rsid w:val="005A73AC"/>
    <w:rsid w:val="005A74BA"/>
    <w:rsid w:val="005A7610"/>
    <w:rsid w:val="005A766C"/>
    <w:rsid w:val="005A7678"/>
    <w:rsid w:val="005A77E4"/>
    <w:rsid w:val="005A7BFA"/>
    <w:rsid w:val="005A7C24"/>
    <w:rsid w:val="005A7FD1"/>
    <w:rsid w:val="005B0144"/>
    <w:rsid w:val="005B0508"/>
    <w:rsid w:val="005B0566"/>
    <w:rsid w:val="005B057D"/>
    <w:rsid w:val="005B07BD"/>
    <w:rsid w:val="005B09DA"/>
    <w:rsid w:val="005B0B69"/>
    <w:rsid w:val="005B110A"/>
    <w:rsid w:val="005B1B06"/>
    <w:rsid w:val="005B1B68"/>
    <w:rsid w:val="005B1E57"/>
    <w:rsid w:val="005B1EEB"/>
    <w:rsid w:val="005B2129"/>
    <w:rsid w:val="005B25A9"/>
    <w:rsid w:val="005B26D6"/>
    <w:rsid w:val="005B2968"/>
    <w:rsid w:val="005B2990"/>
    <w:rsid w:val="005B2DE4"/>
    <w:rsid w:val="005B3189"/>
    <w:rsid w:val="005B31E3"/>
    <w:rsid w:val="005B3FDB"/>
    <w:rsid w:val="005B4008"/>
    <w:rsid w:val="005B42EB"/>
    <w:rsid w:val="005B4515"/>
    <w:rsid w:val="005B469C"/>
    <w:rsid w:val="005B488A"/>
    <w:rsid w:val="005B48CD"/>
    <w:rsid w:val="005B4932"/>
    <w:rsid w:val="005B4B35"/>
    <w:rsid w:val="005B4EE2"/>
    <w:rsid w:val="005B5222"/>
    <w:rsid w:val="005B548A"/>
    <w:rsid w:val="005B5731"/>
    <w:rsid w:val="005B5A68"/>
    <w:rsid w:val="005B5E13"/>
    <w:rsid w:val="005B62D5"/>
    <w:rsid w:val="005B6849"/>
    <w:rsid w:val="005B6C06"/>
    <w:rsid w:val="005B70EE"/>
    <w:rsid w:val="005B71F5"/>
    <w:rsid w:val="005B7489"/>
    <w:rsid w:val="005B79E3"/>
    <w:rsid w:val="005B7DBB"/>
    <w:rsid w:val="005C0587"/>
    <w:rsid w:val="005C07A8"/>
    <w:rsid w:val="005C0E0C"/>
    <w:rsid w:val="005C1126"/>
    <w:rsid w:val="005C112F"/>
    <w:rsid w:val="005C193F"/>
    <w:rsid w:val="005C1C27"/>
    <w:rsid w:val="005C1FA8"/>
    <w:rsid w:val="005C1FB8"/>
    <w:rsid w:val="005C2014"/>
    <w:rsid w:val="005C2749"/>
    <w:rsid w:val="005C2955"/>
    <w:rsid w:val="005C2A35"/>
    <w:rsid w:val="005C2CC3"/>
    <w:rsid w:val="005C2D2B"/>
    <w:rsid w:val="005C312A"/>
    <w:rsid w:val="005C3378"/>
    <w:rsid w:val="005C343A"/>
    <w:rsid w:val="005C3863"/>
    <w:rsid w:val="005C396B"/>
    <w:rsid w:val="005C3F34"/>
    <w:rsid w:val="005C3FDB"/>
    <w:rsid w:val="005C46FB"/>
    <w:rsid w:val="005C4C09"/>
    <w:rsid w:val="005C4C98"/>
    <w:rsid w:val="005C506B"/>
    <w:rsid w:val="005C53BC"/>
    <w:rsid w:val="005C54E7"/>
    <w:rsid w:val="005C54E9"/>
    <w:rsid w:val="005C55C4"/>
    <w:rsid w:val="005C55E1"/>
    <w:rsid w:val="005C5751"/>
    <w:rsid w:val="005C5BD1"/>
    <w:rsid w:val="005C5C12"/>
    <w:rsid w:val="005C5F25"/>
    <w:rsid w:val="005C5F5D"/>
    <w:rsid w:val="005C60B1"/>
    <w:rsid w:val="005C621D"/>
    <w:rsid w:val="005C656B"/>
    <w:rsid w:val="005C68D8"/>
    <w:rsid w:val="005C6CCD"/>
    <w:rsid w:val="005C6DAD"/>
    <w:rsid w:val="005C6F64"/>
    <w:rsid w:val="005C71BC"/>
    <w:rsid w:val="005C71FC"/>
    <w:rsid w:val="005C72B4"/>
    <w:rsid w:val="005C734F"/>
    <w:rsid w:val="005C75E1"/>
    <w:rsid w:val="005C7C1A"/>
    <w:rsid w:val="005D060F"/>
    <w:rsid w:val="005D06C7"/>
    <w:rsid w:val="005D0910"/>
    <w:rsid w:val="005D0970"/>
    <w:rsid w:val="005D1014"/>
    <w:rsid w:val="005D1077"/>
    <w:rsid w:val="005D1145"/>
    <w:rsid w:val="005D11EF"/>
    <w:rsid w:val="005D1252"/>
    <w:rsid w:val="005D1313"/>
    <w:rsid w:val="005D132E"/>
    <w:rsid w:val="005D1A79"/>
    <w:rsid w:val="005D1A98"/>
    <w:rsid w:val="005D1B7A"/>
    <w:rsid w:val="005D1B84"/>
    <w:rsid w:val="005D2232"/>
    <w:rsid w:val="005D2496"/>
    <w:rsid w:val="005D2525"/>
    <w:rsid w:val="005D26B6"/>
    <w:rsid w:val="005D2A4D"/>
    <w:rsid w:val="005D2E8F"/>
    <w:rsid w:val="005D30AD"/>
    <w:rsid w:val="005D3301"/>
    <w:rsid w:val="005D36E2"/>
    <w:rsid w:val="005D3FD1"/>
    <w:rsid w:val="005D4053"/>
    <w:rsid w:val="005D4188"/>
    <w:rsid w:val="005D4478"/>
    <w:rsid w:val="005D44D5"/>
    <w:rsid w:val="005D4893"/>
    <w:rsid w:val="005D48D7"/>
    <w:rsid w:val="005D4A5A"/>
    <w:rsid w:val="005D4BBE"/>
    <w:rsid w:val="005D4DDA"/>
    <w:rsid w:val="005D4F94"/>
    <w:rsid w:val="005D5731"/>
    <w:rsid w:val="005D57C0"/>
    <w:rsid w:val="005D5828"/>
    <w:rsid w:val="005D5957"/>
    <w:rsid w:val="005D5B3C"/>
    <w:rsid w:val="005D5BCF"/>
    <w:rsid w:val="005D5F98"/>
    <w:rsid w:val="005D6409"/>
    <w:rsid w:val="005D64E1"/>
    <w:rsid w:val="005D64F4"/>
    <w:rsid w:val="005D688F"/>
    <w:rsid w:val="005D689C"/>
    <w:rsid w:val="005D6BBA"/>
    <w:rsid w:val="005D7056"/>
    <w:rsid w:val="005D712C"/>
    <w:rsid w:val="005D71F3"/>
    <w:rsid w:val="005D73B5"/>
    <w:rsid w:val="005D7644"/>
    <w:rsid w:val="005D7646"/>
    <w:rsid w:val="005D7699"/>
    <w:rsid w:val="005D7BC9"/>
    <w:rsid w:val="005D7C11"/>
    <w:rsid w:val="005D7DB8"/>
    <w:rsid w:val="005E005F"/>
    <w:rsid w:val="005E02E4"/>
    <w:rsid w:val="005E0350"/>
    <w:rsid w:val="005E06D1"/>
    <w:rsid w:val="005E148F"/>
    <w:rsid w:val="005E15F6"/>
    <w:rsid w:val="005E16DE"/>
    <w:rsid w:val="005E19AD"/>
    <w:rsid w:val="005E19AF"/>
    <w:rsid w:val="005E1D39"/>
    <w:rsid w:val="005E1F66"/>
    <w:rsid w:val="005E2261"/>
    <w:rsid w:val="005E230A"/>
    <w:rsid w:val="005E2863"/>
    <w:rsid w:val="005E2D34"/>
    <w:rsid w:val="005E2DD5"/>
    <w:rsid w:val="005E30AB"/>
    <w:rsid w:val="005E3537"/>
    <w:rsid w:val="005E355F"/>
    <w:rsid w:val="005E36E1"/>
    <w:rsid w:val="005E371D"/>
    <w:rsid w:val="005E3787"/>
    <w:rsid w:val="005E3C5A"/>
    <w:rsid w:val="005E45FC"/>
    <w:rsid w:val="005E46BE"/>
    <w:rsid w:val="005E4857"/>
    <w:rsid w:val="005E493E"/>
    <w:rsid w:val="005E4A7D"/>
    <w:rsid w:val="005E4A8B"/>
    <w:rsid w:val="005E4B5F"/>
    <w:rsid w:val="005E4E17"/>
    <w:rsid w:val="005E4E56"/>
    <w:rsid w:val="005E51E7"/>
    <w:rsid w:val="005E5399"/>
    <w:rsid w:val="005E57AA"/>
    <w:rsid w:val="005E5BC9"/>
    <w:rsid w:val="005E601A"/>
    <w:rsid w:val="005E6635"/>
    <w:rsid w:val="005E675A"/>
    <w:rsid w:val="005E6DA2"/>
    <w:rsid w:val="005E6EBB"/>
    <w:rsid w:val="005E71EB"/>
    <w:rsid w:val="005E7A42"/>
    <w:rsid w:val="005E7DD7"/>
    <w:rsid w:val="005F0188"/>
    <w:rsid w:val="005F0759"/>
    <w:rsid w:val="005F095B"/>
    <w:rsid w:val="005F098F"/>
    <w:rsid w:val="005F0A50"/>
    <w:rsid w:val="005F0CCF"/>
    <w:rsid w:val="005F0EE9"/>
    <w:rsid w:val="005F106A"/>
    <w:rsid w:val="005F108C"/>
    <w:rsid w:val="005F1784"/>
    <w:rsid w:val="005F1862"/>
    <w:rsid w:val="005F191C"/>
    <w:rsid w:val="005F1A18"/>
    <w:rsid w:val="005F1ADE"/>
    <w:rsid w:val="005F1EA5"/>
    <w:rsid w:val="005F24DF"/>
    <w:rsid w:val="005F24EB"/>
    <w:rsid w:val="005F2942"/>
    <w:rsid w:val="005F29EE"/>
    <w:rsid w:val="005F2BB0"/>
    <w:rsid w:val="005F30A7"/>
    <w:rsid w:val="005F35D0"/>
    <w:rsid w:val="005F36FB"/>
    <w:rsid w:val="005F3F16"/>
    <w:rsid w:val="005F4065"/>
    <w:rsid w:val="005F4825"/>
    <w:rsid w:val="005F4AA8"/>
    <w:rsid w:val="005F4C1D"/>
    <w:rsid w:val="005F4E22"/>
    <w:rsid w:val="005F4E3A"/>
    <w:rsid w:val="005F508E"/>
    <w:rsid w:val="005F51CE"/>
    <w:rsid w:val="005F5450"/>
    <w:rsid w:val="005F5559"/>
    <w:rsid w:val="005F57E6"/>
    <w:rsid w:val="005F5915"/>
    <w:rsid w:val="005F59C3"/>
    <w:rsid w:val="005F59EC"/>
    <w:rsid w:val="005F5D0B"/>
    <w:rsid w:val="005F5E88"/>
    <w:rsid w:val="005F5EA8"/>
    <w:rsid w:val="005F62C8"/>
    <w:rsid w:val="005F690F"/>
    <w:rsid w:val="005F6B06"/>
    <w:rsid w:val="005F6DC4"/>
    <w:rsid w:val="005F7279"/>
    <w:rsid w:val="005F730E"/>
    <w:rsid w:val="005F7821"/>
    <w:rsid w:val="005F7A00"/>
    <w:rsid w:val="005F7C4B"/>
    <w:rsid w:val="005F7CCD"/>
    <w:rsid w:val="006000E4"/>
    <w:rsid w:val="0060014F"/>
    <w:rsid w:val="006001D0"/>
    <w:rsid w:val="00600291"/>
    <w:rsid w:val="00600636"/>
    <w:rsid w:val="00600895"/>
    <w:rsid w:val="00600913"/>
    <w:rsid w:val="00600959"/>
    <w:rsid w:val="00600AC7"/>
    <w:rsid w:val="00600CDA"/>
    <w:rsid w:val="00600D05"/>
    <w:rsid w:val="00600D91"/>
    <w:rsid w:val="00601018"/>
    <w:rsid w:val="006014B9"/>
    <w:rsid w:val="00601954"/>
    <w:rsid w:val="00601BD6"/>
    <w:rsid w:val="00601C56"/>
    <w:rsid w:val="00601CD4"/>
    <w:rsid w:val="00601E0F"/>
    <w:rsid w:val="006022CC"/>
    <w:rsid w:val="0060265A"/>
    <w:rsid w:val="00602A02"/>
    <w:rsid w:val="00602BAC"/>
    <w:rsid w:val="00602C3C"/>
    <w:rsid w:val="0060337D"/>
    <w:rsid w:val="006033D1"/>
    <w:rsid w:val="0060350B"/>
    <w:rsid w:val="0060367A"/>
    <w:rsid w:val="00603728"/>
    <w:rsid w:val="006038A7"/>
    <w:rsid w:val="006039A3"/>
    <w:rsid w:val="00603C58"/>
    <w:rsid w:val="00603C72"/>
    <w:rsid w:val="00603C8A"/>
    <w:rsid w:val="00603CEC"/>
    <w:rsid w:val="00604488"/>
    <w:rsid w:val="0060458B"/>
    <w:rsid w:val="0060485B"/>
    <w:rsid w:val="0060494A"/>
    <w:rsid w:val="00604A07"/>
    <w:rsid w:val="00604AE2"/>
    <w:rsid w:val="00604B99"/>
    <w:rsid w:val="00604C2B"/>
    <w:rsid w:val="00605103"/>
    <w:rsid w:val="00605831"/>
    <w:rsid w:val="006060DB"/>
    <w:rsid w:val="00606366"/>
    <w:rsid w:val="0060684F"/>
    <w:rsid w:val="00606892"/>
    <w:rsid w:val="00606941"/>
    <w:rsid w:val="00607015"/>
    <w:rsid w:val="00607291"/>
    <w:rsid w:val="006073FC"/>
    <w:rsid w:val="0060788F"/>
    <w:rsid w:val="00607A72"/>
    <w:rsid w:val="00607B4B"/>
    <w:rsid w:val="00607B86"/>
    <w:rsid w:val="00607EFD"/>
    <w:rsid w:val="006101F0"/>
    <w:rsid w:val="0061043C"/>
    <w:rsid w:val="006106BD"/>
    <w:rsid w:val="0061099F"/>
    <w:rsid w:val="00610B4E"/>
    <w:rsid w:val="00610C0E"/>
    <w:rsid w:val="00610C29"/>
    <w:rsid w:val="00610D3C"/>
    <w:rsid w:val="00611909"/>
    <w:rsid w:val="00611920"/>
    <w:rsid w:val="00611D83"/>
    <w:rsid w:val="00611FCD"/>
    <w:rsid w:val="00612BC0"/>
    <w:rsid w:val="00612C6B"/>
    <w:rsid w:val="00613211"/>
    <w:rsid w:val="006133E6"/>
    <w:rsid w:val="006137C7"/>
    <w:rsid w:val="00613926"/>
    <w:rsid w:val="00613E8C"/>
    <w:rsid w:val="00614442"/>
    <w:rsid w:val="0061454D"/>
    <w:rsid w:val="00614782"/>
    <w:rsid w:val="00614ABD"/>
    <w:rsid w:val="00614BDC"/>
    <w:rsid w:val="00614C23"/>
    <w:rsid w:val="00614CAA"/>
    <w:rsid w:val="00614E13"/>
    <w:rsid w:val="00615390"/>
    <w:rsid w:val="0061551E"/>
    <w:rsid w:val="00616178"/>
    <w:rsid w:val="0061640F"/>
    <w:rsid w:val="006166A7"/>
    <w:rsid w:val="006166D3"/>
    <w:rsid w:val="006169B4"/>
    <w:rsid w:val="00617022"/>
    <w:rsid w:val="00617183"/>
    <w:rsid w:val="0061731F"/>
    <w:rsid w:val="00617366"/>
    <w:rsid w:val="006174DB"/>
    <w:rsid w:val="00617671"/>
    <w:rsid w:val="00617726"/>
    <w:rsid w:val="006177F6"/>
    <w:rsid w:val="00617A2A"/>
    <w:rsid w:val="00617CE5"/>
    <w:rsid w:val="00617EFF"/>
    <w:rsid w:val="00620233"/>
    <w:rsid w:val="006202FD"/>
    <w:rsid w:val="006203BA"/>
    <w:rsid w:val="00620899"/>
    <w:rsid w:val="00620BE8"/>
    <w:rsid w:val="00620E26"/>
    <w:rsid w:val="00620E54"/>
    <w:rsid w:val="00620EE5"/>
    <w:rsid w:val="00621257"/>
    <w:rsid w:val="0062130B"/>
    <w:rsid w:val="0062160C"/>
    <w:rsid w:val="006217A7"/>
    <w:rsid w:val="00621835"/>
    <w:rsid w:val="006218A7"/>
    <w:rsid w:val="00621C3A"/>
    <w:rsid w:val="00622700"/>
    <w:rsid w:val="00622D1B"/>
    <w:rsid w:val="00622ED6"/>
    <w:rsid w:val="006234BD"/>
    <w:rsid w:val="00623584"/>
    <w:rsid w:val="00623676"/>
    <w:rsid w:val="00623B19"/>
    <w:rsid w:val="00623D6B"/>
    <w:rsid w:val="00623E20"/>
    <w:rsid w:val="006246D7"/>
    <w:rsid w:val="00624B0B"/>
    <w:rsid w:val="00624BEC"/>
    <w:rsid w:val="00624E09"/>
    <w:rsid w:val="00625144"/>
    <w:rsid w:val="00625608"/>
    <w:rsid w:val="00625693"/>
    <w:rsid w:val="0062588E"/>
    <w:rsid w:val="00625B62"/>
    <w:rsid w:val="00625CD3"/>
    <w:rsid w:val="00626001"/>
    <w:rsid w:val="0062644B"/>
    <w:rsid w:val="0062698B"/>
    <w:rsid w:val="00626B95"/>
    <w:rsid w:val="00626C53"/>
    <w:rsid w:val="00626CC5"/>
    <w:rsid w:val="006272BF"/>
    <w:rsid w:val="00627403"/>
    <w:rsid w:val="00627662"/>
    <w:rsid w:val="00627936"/>
    <w:rsid w:val="00627DCC"/>
    <w:rsid w:val="00627F0A"/>
    <w:rsid w:val="00630122"/>
    <w:rsid w:val="00630129"/>
    <w:rsid w:val="00630242"/>
    <w:rsid w:val="00630289"/>
    <w:rsid w:val="006305B6"/>
    <w:rsid w:val="00630ABA"/>
    <w:rsid w:val="006312AC"/>
    <w:rsid w:val="006316EC"/>
    <w:rsid w:val="006318DC"/>
    <w:rsid w:val="00631F9F"/>
    <w:rsid w:val="00632187"/>
    <w:rsid w:val="006321A3"/>
    <w:rsid w:val="00632261"/>
    <w:rsid w:val="006325F8"/>
    <w:rsid w:val="00632785"/>
    <w:rsid w:val="00633101"/>
    <w:rsid w:val="0063317A"/>
    <w:rsid w:val="00633302"/>
    <w:rsid w:val="0063331B"/>
    <w:rsid w:val="00633463"/>
    <w:rsid w:val="00633C81"/>
    <w:rsid w:val="006344FA"/>
    <w:rsid w:val="00634765"/>
    <w:rsid w:val="00634A85"/>
    <w:rsid w:val="00634D42"/>
    <w:rsid w:val="006353F1"/>
    <w:rsid w:val="0063556B"/>
    <w:rsid w:val="0063590C"/>
    <w:rsid w:val="00635ACA"/>
    <w:rsid w:val="00635B21"/>
    <w:rsid w:val="00635C6A"/>
    <w:rsid w:val="00635E3F"/>
    <w:rsid w:val="00636140"/>
    <w:rsid w:val="0063658E"/>
    <w:rsid w:val="00636802"/>
    <w:rsid w:val="0063691E"/>
    <w:rsid w:val="00636B8B"/>
    <w:rsid w:val="00636BAF"/>
    <w:rsid w:val="00636D7F"/>
    <w:rsid w:val="006377B6"/>
    <w:rsid w:val="006379AD"/>
    <w:rsid w:val="00637D45"/>
    <w:rsid w:val="00637FAC"/>
    <w:rsid w:val="006404E3"/>
    <w:rsid w:val="00640DAB"/>
    <w:rsid w:val="0064106B"/>
    <w:rsid w:val="006417B1"/>
    <w:rsid w:val="00641FBB"/>
    <w:rsid w:val="00642219"/>
    <w:rsid w:val="00642256"/>
    <w:rsid w:val="006423FD"/>
    <w:rsid w:val="00642D0C"/>
    <w:rsid w:val="00642DF1"/>
    <w:rsid w:val="006430A2"/>
    <w:rsid w:val="00643520"/>
    <w:rsid w:val="00643D43"/>
    <w:rsid w:val="006443FC"/>
    <w:rsid w:val="006446F6"/>
    <w:rsid w:val="006448AE"/>
    <w:rsid w:val="006448B6"/>
    <w:rsid w:val="00644CE0"/>
    <w:rsid w:val="00644E81"/>
    <w:rsid w:val="00644F5A"/>
    <w:rsid w:val="00645811"/>
    <w:rsid w:val="006458F4"/>
    <w:rsid w:val="00646836"/>
    <w:rsid w:val="00646914"/>
    <w:rsid w:val="00646DF3"/>
    <w:rsid w:val="00646FBB"/>
    <w:rsid w:val="00647448"/>
    <w:rsid w:val="00647558"/>
    <w:rsid w:val="0064782C"/>
    <w:rsid w:val="00647DF2"/>
    <w:rsid w:val="00647ED2"/>
    <w:rsid w:val="0065006D"/>
    <w:rsid w:val="0065044A"/>
    <w:rsid w:val="00650A10"/>
    <w:rsid w:val="00650AE3"/>
    <w:rsid w:val="00650CB5"/>
    <w:rsid w:val="00651564"/>
    <w:rsid w:val="0065175B"/>
    <w:rsid w:val="00651773"/>
    <w:rsid w:val="006519D5"/>
    <w:rsid w:val="00651D79"/>
    <w:rsid w:val="00652056"/>
    <w:rsid w:val="00652520"/>
    <w:rsid w:val="006527BB"/>
    <w:rsid w:val="00652B29"/>
    <w:rsid w:val="00652C6C"/>
    <w:rsid w:val="006536B1"/>
    <w:rsid w:val="00653BA1"/>
    <w:rsid w:val="00653F80"/>
    <w:rsid w:val="00653FA3"/>
    <w:rsid w:val="00653FF2"/>
    <w:rsid w:val="00654083"/>
    <w:rsid w:val="006540C3"/>
    <w:rsid w:val="00654534"/>
    <w:rsid w:val="0065453A"/>
    <w:rsid w:val="00654954"/>
    <w:rsid w:val="00654AA3"/>
    <w:rsid w:val="00654B25"/>
    <w:rsid w:val="00654BC4"/>
    <w:rsid w:val="00654E13"/>
    <w:rsid w:val="00654EE1"/>
    <w:rsid w:val="006552BA"/>
    <w:rsid w:val="00655370"/>
    <w:rsid w:val="006556B5"/>
    <w:rsid w:val="00655C54"/>
    <w:rsid w:val="00655CA1"/>
    <w:rsid w:val="00655CE8"/>
    <w:rsid w:val="00655E22"/>
    <w:rsid w:val="00655E93"/>
    <w:rsid w:val="00655F70"/>
    <w:rsid w:val="0065632D"/>
    <w:rsid w:val="006563EC"/>
    <w:rsid w:val="00656714"/>
    <w:rsid w:val="006569B7"/>
    <w:rsid w:val="006570B9"/>
    <w:rsid w:val="006571B6"/>
    <w:rsid w:val="0065764C"/>
    <w:rsid w:val="0065780E"/>
    <w:rsid w:val="0065794F"/>
    <w:rsid w:val="00660477"/>
    <w:rsid w:val="0066087F"/>
    <w:rsid w:val="006608F9"/>
    <w:rsid w:val="00660BD3"/>
    <w:rsid w:val="00661005"/>
    <w:rsid w:val="006612EB"/>
    <w:rsid w:val="0066164E"/>
    <w:rsid w:val="00661663"/>
    <w:rsid w:val="0066198F"/>
    <w:rsid w:val="006619D1"/>
    <w:rsid w:val="00661D5B"/>
    <w:rsid w:val="00661FBD"/>
    <w:rsid w:val="0066241F"/>
    <w:rsid w:val="006629BE"/>
    <w:rsid w:val="00662CB0"/>
    <w:rsid w:val="00662CEB"/>
    <w:rsid w:val="006630CF"/>
    <w:rsid w:val="0066334A"/>
    <w:rsid w:val="006634A5"/>
    <w:rsid w:val="00663612"/>
    <w:rsid w:val="00663C65"/>
    <w:rsid w:val="00663FB4"/>
    <w:rsid w:val="00664035"/>
    <w:rsid w:val="00664229"/>
    <w:rsid w:val="00664A6E"/>
    <w:rsid w:val="00664D05"/>
    <w:rsid w:val="00664F1A"/>
    <w:rsid w:val="006652E6"/>
    <w:rsid w:val="006653E3"/>
    <w:rsid w:val="006655F5"/>
    <w:rsid w:val="00665662"/>
    <w:rsid w:val="00665995"/>
    <w:rsid w:val="00665A05"/>
    <w:rsid w:val="00665EDD"/>
    <w:rsid w:val="0066612C"/>
    <w:rsid w:val="0066621A"/>
    <w:rsid w:val="00666490"/>
    <w:rsid w:val="00666576"/>
    <w:rsid w:val="0066677D"/>
    <w:rsid w:val="006668E9"/>
    <w:rsid w:val="00666974"/>
    <w:rsid w:val="00666D84"/>
    <w:rsid w:val="00666D8F"/>
    <w:rsid w:val="00666DAA"/>
    <w:rsid w:val="006670F1"/>
    <w:rsid w:val="006672AD"/>
    <w:rsid w:val="00667485"/>
    <w:rsid w:val="006675E5"/>
    <w:rsid w:val="00667837"/>
    <w:rsid w:val="00667AEF"/>
    <w:rsid w:val="00667B96"/>
    <w:rsid w:val="00667CC3"/>
    <w:rsid w:val="00667D0E"/>
    <w:rsid w:val="00667E02"/>
    <w:rsid w:val="00670338"/>
    <w:rsid w:val="00670787"/>
    <w:rsid w:val="00670B97"/>
    <w:rsid w:val="00670CFF"/>
    <w:rsid w:val="006710B7"/>
    <w:rsid w:val="006710F8"/>
    <w:rsid w:val="00671281"/>
    <w:rsid w:val="0067157A"/>
    <w:rsid w:val="00671A8E"/>
    <w:rsid w:val="00671B79"/>
    <w:rsid w:val="00671B8A"/>
    <w:rsid w:val="0067206D"/>
    <w:rsid w:val="006722B8"/>
    <w:rsid w:val="00672397"/>
    <w:rsid w:val="00672975"/>
    <w:rsid w:val="00672B02"/>
    <w:rsid w:val="00673203"/>
    <w:rsid w:val="00673AA4"/>
    <w:rsid w:val="00673B4E"/>
    <w:rsid w:val="00673C33"/>
    <w:rsid w:val="00673E27"/>
    <w:rsid w:val="00673EDA"/>
    <w:rsid w:val="00674272"/>
    <w:rsid w:val="006744F2"/>
    <w:rsid w:val="006746DD"/>
    <w:rsid w:val="006748BB"/>
    <w:rsid w:val="00674A7F"/>
    <w:rsid w:val="00674C13"/>
    <w:rsid w:val="00674C87"/>
    <w:rsid w:val="00674E3E"/>
    <w:rsid w:val="006750E1"/>
    <w:rsid w:val="006756C6"/>
    <w:rsid w:val="00675852"/>
    <w:rsid w:val="00675943"/>
    <w:rsid w:val="00675A6F"/>
    <w:rsid w:val="00676067"/>
    <w:rsid w:val="00676A30"/>
    <w:rsid w:val="00676ACF"/>
    <w:rsid w:val="00676B77"/>
    <w:rsid w:val="00676E00"/>
    <w:rsid w:val="00676F19"/>
    <w:rsid w:val="006770AC"/>
    <w:rsid w:val="00677365"/>
    <w:rsid w:val="00677B9D"/>
    <w:rsid w:val="00677E0B"/>
    <w:rsid w:val="00680252"/>
    <w:rsid w:val="00680393"/>
    <w:rsid w:val="00680918"/>
    <w:rsid w:val="00680FBC"/>
    <w:rsid w:val="00681185"/>
    <w:rsid w:val="00681794"/>
    <w:rsid w:val="006817BA"/>
    <w:rsid w:val="00681971"/>
    <w:rsid w:val="006819D4"/>
    <w:rsid w:val="00681CD5"/>
    <w:rsid w:val="00681DFE"/>
    <w:rsid w:val="00681EF8"/>
    <w:rsid w:val="00681F10"/>
    <w:rsid w:val="00682035"/>
    <w:rsid w:val="006821EA"/>
    <w:rsid w:val="0068227A"/>
    <w:rsid w:val="006830A3"/>
    <w:rsid w:val="00683452"/>
    <w:rsid w:val="00683482"/>
    <w:rsid w:val="006836FC"/>
    <w:rsid w:val="00683793"/>
    <w:rsid w:val="00683AF3"/>
    <w:rsid w:val="0068400B"/>
    <w:rsid w:val="0068411F"/>
    <w:rsid w:val="006842A8"/>
    <w:rsid w:val="00684318"/>
    <w:rsid w:val="0068437D"/>
    <w:rsid w:val="006849BB"/>
    <w:rsid w:val="00684A0F"/>
    <w:rsid w:val="00684FBF"/>
    <w:rsid w:val="006851DD"/>
    <w:rsid w:val="00685288"/>
    <w:rsid w:val="00685858"/>
    <w:rsid w:val="00685950"/>
    <w:rsid w:val="00685BF8"/>
    <w:rsid w:val="00685CC7"/>
    <w:rsid w:val="0068616E"/>
    <w:rsid w:val="006862A6"/>
    <w:rsid w:val="0068651E"/>
    <w:rsid w:val="00686A19"/>
    <w:rsid w:val="006871B1"/>
    <w:rsid w:val="00687942"/>
    <w:rsid w:val="00687C22"/>
    <w:rsid w:val="00687C3D"/>
    <w:rsid w:val="00690105"/>
    <w:rsid w:val="0069022B"/>
    <w:rsid w:val="00690365"/>
    <w:rsid w:val="00690755"/>
    <w:rsid w:val="00690829"/>
    <w:rsid w:val="00690DF3"/>
    <w:rsid w:val="006912B3"/>
    <w:rsid w:val="006914D2"/>
    <w:rsid w:val="00691523"/>
    <w:rsid w:val="00691A16"/>
    <w:rsid w:val="00691B02"/>
    <w:rsid w:val="00691C36"/>
    <w:rsid w:val="00691D58"/>
    <w:rsid w:val="00691D7A"/>
    <w:rsid w:val="00691F2D"/>
    <w:rsid w:val="00692183"/>
    <w:rsid w:val="006926CA"/>
    <w:rsid w:val="0069278C"/>
    <w:rsid w:val="00692F07"/>
    <w:rsid w:val="00693314"/>
    <w:rsid w:val="00693594"/>
    <w:rsid w:val="00693982"/>
    <w:rsid w:val="006939EC"/>
    <w:rsid w:val="00693C50"/>
    <w:rsid w:val="00693D04"/>
    <w:rsid w:val="00693E33"/>
    <w:rsid w:val="00693E86"/>
    <w:rsid w:val="0069402A"/>
    <w:rsid w:val="00694386"/>
    <w:rsid w:val="0069458F"/>
    <w:rsid w:val="00694804"/>
    <w:rsid w:val="00694EC6"/>
    <w:rsid w:val="00694F8F"/>
    <w:rsid w:val="0069517B"/>
    <w:rsid w:val="00695181"/>
    <w:rsid w:val="00695937"/>
    <w:rsid w:val="0069597C"/>
    <w:rsid w:val="00695D95"/>
    <w:rsid w:val="006960B9"/>
    <w:rsid w:val="00696258"/>
    <w:rsid w:val="00696326"/>
    <w:rsid w:val="00696736"/>
    <w:rsid w:val="006970D5"/>
    <w:rsid w:val="00697118"/>
    <w:rsid w:val="0069739D"/>
    <w:rsid w:val="0069768B"/>
    <w:rsid w:val="0069772F"/>
    <w:rsid w:val="00697CDE"/>
    <w:rsid w:val="006A0293"/>
    <w:rsid w:val="006A0560"/>
    <w:rsid w:val="006A06C6"/>
    <w:rsid w:val="006A08C1"/>
    <w:rsid w:val="006A0BE2"/>
    <w:rsid w:val="006A0D51"/>
    <w:rsid w:val="006A0DCB"/>
    <w:rsid w:val="006A1186"/>
    <w:rsid w:val="006A1E83"/>
    <w:rsid w:val="006A1EE1"/>
    <w:rsid w:val="006A1F2C"/>
    <w:rsid w:val="006A1F71"/>
    <w:rsid w:val="006A2159"/>
    <w:rsid w:val="006A249B"/>
    <w:rsid w:val="006A2C28"/>
    <w:rsid w:val="006A2DE9"/>
    <w:rsid w:val="006A354E"/>
    <w:rsid w:val="006A3795"/>
    <w:rsid w:val="006A3897"/>
    <w:rsid w:val="006A38F6"/>
    <w:rsid w:val="006A4211"/>
    <w:rsid w:val="006A4561"/>
    <w:rsid w:val="006A4AE2"/>
    <w:rsid w:val="006A4D8A"/>
    <w:rsid w:val="006A4D99"/>
    <w:rsid w:val="006A4F99"/>
    <w:rsid w:val="006A5014"/>
    <w:rsid w:val="006A50C8"/>
    <w:rsid w:val="006A5265"/>
    <w:rsid w:val="006A569A"/>
    <w:rsid w:val="006A5EE5"/>
    <w:rsid w:val="006A625E"/>
    <w:rsid w:val="006A64A9"/>
    <w:rsid w:val="006A661F"/>
    <w:rsid w:val="006A6AF9"/>
    <w:rsid w:val="006A6B52"/>
    <w:rsid w:val="006A7218"/>
    <w:rsid w:val="006A724B"/>
    <w:rsid w:val="006A7AD0"/>
    <w:rsid w:val="006A7B33"/>
    <w:rsid w:val="006A7D66"/>
    <w:rsid w:val="006A7DFF"/>
    <w:rsid w:val="006B0384"/>
    <w:rsid w:val="006B0469"/>
    <w:rsid w:val="006B08D8"/>
    <w:rsid w:val="006B0925"/>
    <w:rsid w:val="006B0973"/>
    <w:rsid w:val="006B1231"/>
    <w:rsid w:val="006B1AD4"/>
    <w:rsid w:val="006B1C0B"/>
    <w:rsid w:val="006B1C87"/>
    <w:rsid w:val="006B21AA"/>
    <w:rsid w:val="006B23AB"/>
    <w:rsid w:val="006B24E1"/>
    <w:rsid w:val="006B277A"/>
    <w:rsid w:val="006B27FD"/>
    <w:rsid w:val="006B2C28"/>
    <w:rsid w:val="006B311C"/>
    <w:rsid w:val="006B34BE"/>
    <w:rsid w:val="006B38A8"/>
    <w:rsid w:val="006B3B09"/>
    <w:rsid w:val="006B3F25"/>
    <w:rsid w:val="006B3F5D"/>
    <w:rsid w:val="006B40B0"/>
    <w:rsid w:val="006B445E"/>
    <w:rsid w:val="006B4785"/>
    <w:rsid w:val="006B4949"/>
    <w:rsid w:val="006B4C57"/>
    <w:rsid w:val="006B4E1E"/>
    <w:rsid w:val="006B52D9"/>
    <w:rsid w:val="006B556C"/>
    <w:rsid w:val="006B5662"/>
    <w:rsid w:val="006B56EC"/>
    <w:rsid w:val="006B5722"/>
    <w:rsid w:val="006B5A06"/>
    <w:rsid w:val="006B5ADB"/>
    <w:rsid w:val="006B5DCE"/>
    <w:rsid w:val="006B6588"/>
    <w:rsid w:val="006B69D2"/>
    <w:rsid w:val="006B6B5B"/>
    <w:rsid w:val="006B6CB4"/>
    <w:rsid w:val="006B73B9"/>
    <w:rsid w:val="006B741B"/>
    <w:rsid w:val="006B7642"/>
    <w:rsid w:val="006B7EFE"/>
    <w:rsid w:val="006C0522"/>
    <w:rsid w:val="006C06D7"/>
    <w:rsid w:val="006C0CF3"/>
    <w:rsid w:val="006C0D7B"/>
    <w:rsid w:val="006C0DBD"/>
    <w:rsid w:val="006C1014"/>
    <w:rsid w:val="006C1021"/>
    <w:rsid w:val="006C13C3"/>
    <w:rsid w:val="006C13CB"/>
    <w:rsid w:val="006C145B"/>
    <w:rsid w:val="006C167A"/>
    <w:rsid w:val="006C1A1F"/>
    <w:rsid w:val="006C25F1"/>
    <w:rsid w:val="006C2626"/>
    <w:rsid w:val="006C2966"/>
    <w:rsid w:val="006C2C29"/>
    <w:rsid w:val="006C2E0A"/>
    <w:rsid w:val="006C2EF3"/>
    <w:rsid w:val="006C355C"/>
    <w:rsid w:val="006C3918"/>
    <w:rsid w:val="006C3E91"/>
    <w:rsid w:val="006C421F"/>
    <w:rsid w:val="006C44CD"/>
    <w:rsid w:val="006C47FC"/>
    <w:rsid w:val="006C4FD2"/>
    <w:rsid w:val="006C5448"/>
    <w:rsid w:val="006C567D"/>
    <w:rsid w:val="006C56B8"/>
    <w:rsid w:val="006C5828"/>
    <w:rsid w:val="006C599F"/>
    <w:rsid w:val="006C5A94"/>
    <w:rsid w:val="006C63FD"/>
    <w:rsid w:val="006C6FE4"/>
    <w:rsid w:val="006C742F"/>
    <w:rsid w:val="006C746C"/>
    <w:rsid w:val="006C758D"/>
    <w:rsid w:val="006C7693"/>
    <w:rsid w:val="006C7BC0"/>
    <w:rsid w:val="006C7CAB"/>
    <w:rsid w:val="006D02F3"/>
    <w:rsid w:val="006D0648"/>
    <w:rsid w:val="006D0DAD"/>
    <w:rsid w:val="006D0DB2"/>
    <w:rsid w:val="006D103A"/>
    <w:rsid w:val="006D1DE1"/>
    <w:rsid w:val="006D2317"/>
    <w:rsid w:val="006D266D"/>
    <w:rsid w:val="006D2C7E"/>
    <w:rsid w:val="006D2E0D"/>
    <w:rsid w:val="006D2E14"/>
    <w:rsid w:val="006D2F68"/>
    <w:rsid w:val="006D31EC"/>
    <w:rsid w:val="006D32CD"/>
    <w:rsid w:val="006D367A"/>
    <w:rsid w:val="006D3749"/>
    <w:rsid w:val="006D37B0"/>
    <w:rsid w:val="006D3A92"/>
    <w:rsid w:val="006D3E24"/>
    <w:rsid w:val="006D4551"/>
    <w:rsid w:val="006D489D"/>
    <w:rsid w:val="006D4AE0"/>
    <w:rsid w:val="006D4BE0"/>
    <w:rsid w:val="006D4D7F"/>
    <w:rsid w:val="006D4DF3"/>
    <w:rsid w:val="006D4FD3"/>
    <w:rsid w:val="006D51B1"/>
    <w:rsid w:val="006D5A15"/>
    <w:rsid w:val="006D5A97"/>
    <w:rsid w:val="006D5D6C"/>
    <w:rsid w:val="006D5D7E"/>
    <w:rsid w:val="006D5FF2"/>
    <w:rsid w:val="006D6048"/>
    <w:rsid w:val="006D61A2"/>
    <w:rsid w:val="006D65CA"/>
    <w:rsid w:val="006D66C8"/>
    <w:rsid w:val="006D6C3A"/>
    <w:rsid w:val="006D6F55"/>
    <w:rsid w:val="006D6F58"/>
    <w:rsid w:val="006D72A5"/>
    <w:rsid w:val="006D73BB"/>
    <w:rsid w:val="006D76B9"/>
    <w:rsid w:val="006D7870"/>
    <w:rsid w:val="006D7FD1"/>
    <w:rsid w:val="006E0448"/>
    <w:rsid w:val="006E06EE"/>
    <w:rsid w:val="006E09DE"/>
    <w:rsid w:val="006E0CC6"/>
    <w:rsid w:val="006E0E9C"/>
    <w:rsid w:val="006E0F08"/>
    <w:rsid w:val="006E117D"/>
    <w:rsid w:val="006E12B0"/>
    <w:rsid w:val="006E1377"/>
    <w:rsid w:val="006E143C"/>
    <w:rsid w:val="006E145D"/>
    <w:rsid w:val="006E1582"/>
    <w:rsid w:val="006E165D"/>
    <w:rsid w:val="006E174E"/>
    <w:rsid w:val="006E189A"/>
    <w:rsid w:val="006E1938"/>
    <w:rsid w:val="006E1970"/>
    <w:rsid w:val="006E1B20"/>
    <w:rsid w:val="006E1DDE"/>
    <w:rsid w:val="006E2136"/>
    <w:rsid w:val="006E2191"/>
    <w:rsid w:val="006E2329"/>
    <w:rsid w:val="006E24B2"/>
    <w:rsid w:val="006E2816"/>
    <w:rsid w:val="006E282A"/>
    <w:rsid w:val="006E2A26"/>
    <w:rsid w:val="006E2AF2"/>
    <w:rsid w:val="006E2AF5"/>
    <w:rsid w:val="006E2EA8"/>
    <w:rsid w:val="006E3280"/>
    <w:rsid w:val="006E33DF"/>
    <w:rsid w:val="006E39FC"/>
    <w:rsid w:val="006E42FD"/>
    <w:rsid w:val="006E432A"/>
    <w:rsid w:val="006E44D9"/>
    <w:rsid w:val="006E47C7"/>
    <w:rsid w:val="006E4C13"/>
    <w:rsid w:val="006E4F7F"/>
    <w:rsid w:val="006E4FC2"/>
    <w:rsid w:val="006E50A3"/>
    <w:rsid w:val="006E532D"/>
    <w:rsid w:val="006E53B4"/>
    <w:rsid w:val="006E53F3"/>
    <w:rsid w:val="006E5E48"/>
    <w:rsid w:val="006E6220"/>
    <w:rsid w:val="006E62EB"/>
    <w:rsid w:val="006E64C8"/>
    <w:rsid w:val="006E6529"/>
    <w:rsid w:val="006E6607"/>
    <w:rsid w:val="006E69A9"/>
    <w:rsid w:val="006E6A23"/>
    <w:rsid w:val="006E6CFE"/>
    <w:rsid w:val="006E6D83"/>
    <w:rsid w:val="006E6E11"/>
    <w:rsid w:val="006E71C1"/>
    <w:rsid w:val="006E71F3"/>
    <w:rsid w:val="006E7410"/>
    <w:rsid w:val="006E7675"/>
    <w:rsid w:val="006E778C"/>
    <w:rsid w:val="006E7AC2"/>
    <w:rsid w:val="006F00FD"/>
    <w:rsid w:val="006F0854"/>
    <w:rsid w:val="006F0C20"/>
    <w:rsid w:val="006F0D0D"/>
    <w:rsid w:val="006F0DD9"/>
    <w:rsid w:val="006F0E79"/>
    <w:rsid w:val="006F117F"/>
    <w:rsid w:val="006F13A7"/>
    <w:rsid w:val="006F144F"/>
    <w:rsid w:val="006F155C"/>
    <w:rsid w:val="006F1A01"/>
    <w:rsid w:val="006F2133"/>
    <w:rsid w:val="006F2505"/>
    <w:rsid w:val="006F2800"/>
    <w:rsid w:val="006F28B2"/>
    <w:rsid w:val="006F30D2"/>
    <w:rsid w:val="006F3104"/>
    <w:rsid w:val="006F32CD"/>
    <w:rsid w:val="006F3306"/>
    <w:rsid w:val="006F36C4"/>
    <w:rsid w:val="006F37AF"/>
    <w:rsid w:val="006F39E0"/>
    <w:rsid w:val="006F3A65"/>
    <w:rsid w:val="006F3DA0"/>
    <w:rsid w:val="006F4061"/>
    <w:rsid w:val="006F41AC"/>
    <w:rsid w:val="006F43CD"/>
    <w:rsid w:val="006F446E"/>
    <w:rsid w:val="006F46D2"/>
    <w:rsid w:val="006F513C"/>
    <w:rsid w:val="006F54E8"/>
    <w:rsid w:val="006F571F"/>
    <w:rsid w:val="006F5C7D"/>
    <w:rsid w:val="006F5E2D"/>
    <w:rsid w:val="006F5E70"/>
    <w:rsid w:val="006F6118"/>
    <w:rsid w:val="006F61F8"/>
    <w:rsid w:val="006F6789"/>
    <w:rsid w:val="006F68F6"/>
    <w:rsid w:val="006F70DB"/>
    <w:rsid w:val="006F74EA"/>
    <w:rsid w:val="006F77E7"/>
    <w:rsid w:val="006F7D2B"/>
    <w:rsid w:val="00700017"/>
    <w:rsid w:val="007004C2"/>
    <w:rsid w:val="007007E6"/>
    <w:rsid w:val="007009F7"/>
    <w:rsid w:val="00700A01"/>
    <w:rsid w:val="00701027"/>
    <w:rsid w:val="007012C0"/>
    <w:rsid w:val="007016AF"/>
    <w:rsid w:val="00701A74"/>
    <w:rsid w:val="00701BF9"/>
    <w:rsid w:val="00701EFA"/>
    <w:rsid w:val="00701F0C"/>
    <w:rsid w:val="00702372"/>
    <w:rsid w:val="007023B6"/>
    <w:rsid w:val="00702577"/>
    <w:rsid w:val="0070283F"/>
    <w:rsid w:val="00702C5B"/>
    <w:rsid w:val="00702D4D"/>
    <w:rsid w:val="00702E7F"/>
    <w:rsid w:val="00702FA2"/>
    <w:rsid w:val="00703056"/>
    <w:rsid w:val="00703459"/>
    <w:rsid w:val="0070369E"/>
    <w:rsid w:val="00703820"/>
    <w:rsid w:val="00703BB5"/>
    <w:rsid w:val="00703C0D"/>
    <w:rsid w:val="00703E31"/>
    <w:rsid w:val="007043F8"/>
    <w:rsid w:val="00704676"/>
    <w:rsid w:val="007047E3"/>
    <w:rsid w:val="00704935"/>
    <w:rsid w:val="00704A9A"/>
    <w:rsid w:val="00704C38"/>
    <w:rsid w:val="00704CB9"/>
    <w:rsid w:val="00704CBD"/>
    <w:rsid w:val="00705188"/>
    <w:rsid w:val="00705322"/>
    <w:rsid w:val="00706012"/>
    <w:rsid w:val="00706065"/>
    <w:rsid w:val="0070635D"/>
    <w:rsid w:val="00706390"/>
    <w:rsid w:val="0070646C"/>
    <w:rsid w:val="007067A8"/>
    <w:rsid w:val="007069D6"/>
    <w:rsid w:val="00706A36"/>
    <w:rsid w:val="00706C4B"/>
    <w:rsid w:val="00706E83"/>
    <w:rsid w:val="00707489"/>
    <w:rsid w:val="007075CD"/>
    <w:rsid w:val="00707882"/>
    <w:rsid w:val="007078B4"/>
    <w:rsid w:val="007078C7"/>
    <w:rsid w:val="007079E1"/>
    <w:rsid w:val="00707AAA"/>
    <w:rsid w:val="00707B1D"/>
    <w:rsid w:val="00707B2B"/>
    <w:rsid w:val="00707CC9"/>
    <w:rsid w:val="00707DCB"/>
    <w:rsid w:val="00707EE3"/>
    <w:rsid w:val="00710065"/>
    <w:rsid w:val="00710107"/>
    <w:rsid w:val="007101EF"/>
    <w:rsid w:val="007105D2"/>
    <w:rsid w:val="0071073E"/>
    <w:rsid w:val="00710855"/>
    <w:rsid w:val="00710AB2"/>
    <w:rsid w:val="00710B37"/>
    <w:rsid w:val="00710DC2"/>
    <w:rsid w:val="007112C8"/>
    <w:rsid w:val="007113AF"/>
    <w:rsid w:val="00711462"/>
    <w:rsid w:val="007114D6"/>
    <w:rsid w:val="0071152F"/>
    <w:rsid w:val="00711875"/>
    <w:rsid w:val="00711CB6"/>
    <w:rsid w:val="00711FD1"/>
    <w:rsid w:val="00712148"/>
    <w:rsid w:val="007121F2"/>
    <w:rsid w:val="00712434"/>
    <w:rsid w:val="00712FE6"/>
    <w:rsid w:val="00713096"/>
    <w:rsid w:val="00713110"/>
    <w:rsid w:val="00713317"/>
    <w:rsid w:val="007134AA"/>
    <w:rsid w:val="007139D0"/>
    <w:rsid w:val="00713B7F"/>
    <w:rsid w:val="00713D54"/>
    <w:rsid w:val="00713EEF"/>
    <w:rsid w:val="00714433"/>
    <w:rsid w:val="00714FEA"/>
    <w:rsid w:val="007159E3"/>
    <w:rsid w:val="00715B06"/>
    <w:rsid w:val="00715CED"/>
    <w:rsid w:val="00715D3E"/>
    <w:rsid w:val="00715DED"/>
    <w:rsid w:val="00716263"/>
    <w:rsid w:val="00716313"/>
    <w:rsid w:val="0071687A"/>
    <w:rsid w:val="00716ADF"/>
    <w:rsid w:val="00716D12"/>
    <w:rsid w:val="00716D22"/>
    <w:rsid w:val="00716E53"/>
    <w:rsid w:val="0071722C"/>
    <w:rsid w:val="00717F0E"/>
    <w:rsid w:val="007201E4"/>
    <w:rsid w:val="00720335"/>
    <w:rsid w:val="00720913"/>
    <w:rsid w:val="00720B78"/>
    <w:rsid w:val="00720DE0"/>
    <w:rsid w:val="00720F78"/>
    <w:rsid w:val="007210FB"/>
    <w:rsid w:val="00721627"/>
    <w:rsid w:val="00722509"/>
    <w:rsid w:val="007227FE"/>
    <w:rsid w:val="00722834"/>
    <w:rsid w:val="00722986"/>
    <w:rsid w:val="0072298E"/>
    <w:rsid w:val="00722D13"/>
    <w:rsid w:val="00722E20"/>
    <w:rsid w:val="00722F98"/>
    <w:rsid w:val="007232BF"/>
    <w:rsid w:val="007236C8"/>
    <w:rsid w:val="00723718"/>
    <w:rsid w:val="00723918"/>
    <w:rsid w:val="00723961"/>
    <w:rsid w:val="00723E17"/>
    <w:rsid w:val="00724035"/>
    <w:rsid w:val="00724305"/>
    <w:rsid w:val="0072437F"/>
    <w:rsid w:val="00724530"/>
    <w:rsid w:val="00724552"/>
    <w:rsid w:val="007245EF"/>
    <w:rsid w:val="007247D2"/>
    <w:rsid w:val="00724DF1"/>
    <w:rsid w:val="00724F70"/>
    <w:rsid w:val="007251C7"/>
    <w:rsid w:val="00725838"/>
    <w:rsid w:val="007258F9"/>
    <w:rsid w:val="00725E74"/>
    <w:rsid w:val="00725F15"/>
    <w:rsid w:val="00725F82"/>
    <w:rsid w:val="0072617E"/>
    <w:rsid w:val="00726577"/>
    <w:rsid w:val="00726714"/>
    <w:rsid w:val="00726B71"/>
    <w:rsid w:val="00726C33"/>
    <w:rsid w:val="00727974"/>
    <w:rsid w:val="00727D68"/>
    <w:rsid w:val="00730058"/>
    <w:rsid w:val="00730387"/>
    <w:rsid w:val="007304C7"/>
    <w:rsid w:val="0073050E"/>
    <w:rsid w:val="00730824"/>
    <w:rsid w:val="007309FE"/>
    <w:rsid w:val="00730CE8"/>
    <w:rsid w:val="00731273"/>
    <w:rsid w:val="0073150E"/>
    <w:rsid w:val="007315C2"/>
    <w:rsid w:val="007315FD"/>
    <w:rsid w:val="007316EF"/>
    <w:rsid w:val="007319E0"/>
    <w:rsid w:val="00731A34"/>
    <w:rsid w:val="00731CFE"/>
    <w:rsid w:val="00731E22"/>
    <w:rsid w:val="00731EE5"/>
    <w:rsid w:val="00732307"/>
    <w:rsid w:val="00732999"/>
    <w:rsid w:val="00732E97"/>
    <w:rsid w:val="007331D3"/>
    <w:rsid w:val="0073345F"/>
    <w:rsid w:val="007334F9"/>
    <w:rsid w:val="0073358D"/>
    <w:rsid w:val="0073369D"/>
    <w:rsid w:val="00733973"/>
    <w:rsid w:val="00733E1A"/>
    <w:rsid w:val="007343B2"/>
    <w:rsid w:val="0073441B"/>
    <w:rsid w:val="007346A0"/>
    <w:rsid w:val="007348EF"/>
    <w:rsid w:val="007349B0"/>
    <w:rsid w:val="007350D1"/>
    <w:rsid w:val="00735462"/>
    <w:rsid w:val="007355C9"/>
    <w:rsid w:val="007356E3"/>
    <w:rsid w:val="007358D2"/>
    <w:rsid w:val="00735CCB"/>
    <w:rsid w:val="00736202"/>
    <w:rsid w:val="007368F9"/>
    <w:rsid w:val="00736BF9"/>
    <w:rsid w:val="00736F63"/>
    <w:rsid w:val="007370A6"/>
    <w:rsid w:val="007371A5"/>
    <w:rsid w:val="0073757F"/>
    <w:rsid w:val="00737A30"/>
    <w:rsid w:val="00737C75"/>
    <w:rsid w:val="0074018D"/>
    <w:rsid w:val="0074039D"/>
    <w:rsid w:val="00740689"/>
    <w:rsid w:val="00740AA1"/>
    <w:rsid w:val="00740C35"/>
    <w:rsid w:val="00741413"/>
    <w:rsid w:val="007419BE"/>
    <w:rsid w:val="00741BCC"/>
    <w:rsid w:val="0074295A"/>
    <w:rsid w:val="00742B99"/>
    <w:rsid w:val="00742C38"/>
    <w:rsid w:val="00742DA3"/>
    <w:rsid w:val="0074315D"/>
    <w:rsid w:val="00743B5C"/>
    <w:rsid w:val="007444BC"/>
    <w:rsid w:val="00744645"/>
    <w:rsid w:val="00744701"/>
    <w:rsid w:val="007448E2"/>
    <w:rsid w:val="00744F0A"/>
    <w:rsid w:val="007451C7"/>
    <w:rsid w:val="0074537E"/>
    <w:rsid w:val="0074547C"/>
    <w:rsid w:val="00745967"/>
    <w:rsid w:val="00745C35"/>
    <w:rsid w:val="00746346"/>
    <w:rsid w:val="00746716"/>
    <w:rsid w:val="00746BD8"/>
    <w:rsid w:val="0074710C"/>
    <w:rsid w:val="0074771B"/>
    <w:rsid w:val="00747C06"/>
    <w:rsid w:val="00747E1B"/>
    <w:rsid w:val="00747F49"/>
    <w:rsid w:val="00750D86"/>
    <w:rsid w:val="00750DD0"/>
    <w:rsid w:val="00750F05"/>
    <w:rsid w:val="00750FB7"/>
    <w:rsid w:val="0075126E"/>
    <w:rsid w:val="00751707"/>
    <w:rsid w:val="00751752"/>
    <w:rsid w:val="007517EE"/>
    <w:rsid w:val="00751A30"/>
    <w:rsid w:val="0075201C"/>
    <w:rsid w:val="007520EF"/>
    <w:rsid w:val="0075218A"/>
    <w:rsid w:val="00752254"/>
    <w:rsid w:val="007522C7"/>
    <w:rsid w:val="007524EC"/>
    <w:rsid w:val="00752D88"/>
    <w:rsid w:val="00752E7A"/>
    <w:rsid w:val="00753027"/>
    <w:rsid w:val="007531BC"/>
    <w:rsid w:val="0075387C"/>
    <w:rsid w:val="00753B12"/>
    <w:rsid w:val="00753B8D"/>
    <w:rsid w:val="007546DC"/>
    <w:rsid w:val="00754993"/>
    <w:rsid w:val="00754A78"/>
    <w:rsid w:val="00754D82"/>
    <w:rsid w:val="00754DE8"/>
    <w:rsid w:val="00755022"/>
    <w:rsid w:val="00755432"/>
    <w:rsid w:val="007556FD"/>
    <w:rsid w:val="0075581F"/>
    <w:rsid w:val="00755C06"/>
    <w:rsid w:val="00755DB0"/>
    <w:rsid w:val="00755E57"/>
    <w:rsid w:val="00755F88"/>
    <w:rsid w:val="00756116"/>
    <w:rsid w:val="00756458"/>
    <w:rsid w:val="00756547"/>
    <w:rsid w:val="0075691A"/>
    <w:rsid w:val="00756B09"/>
    <w:rsid w:val="00756CE6"/>
    <w:rsid w:val="00756F01"/>
    <w:rsid w:val="00756F1A"/>
    <w:rsid w:val="007571EA"/>
    <w:rsid w:val="007571FF"/>
    <w:rsid w:val="00757678"/>
    <w:rsid w:val="0075772A"/>
    <w:rsid w:val="00757CB8"/>
    <w:rsid w:val="00757D5A"/>
    <w:rsid w:val="007600F8"/>
    <w:rsid w:val="0076010A"/>
    <w:rsid w:val="0076020B"/>
    <w:rsid w:val="00760B48"/>
    <w:rsid w:val="00760BF5"/>
    <w:rsid w:val="00760C7B"/>
    <w:rsid w:val="00760F46"/>
    <w:rsid w:val="007611B5"/>
    <w:rsid w:val="007613B7"/>
    <w:rsid w:val="00761810"/>
    <w:rsid w:val="007619D0"/>
    <w:rsid w:val="00761CD9"/>
    <w:rsid w:val="00761ED3"/>
    <w:rsid w:val="00761EDE"/>
    <w:rsid w:val="00762164"/>
    <w:rsid w:val="0076233F"/>
    <w:rsid w:val="00762442"/>
    <w:rsid w:val="0076249D"/>
    <w:rsid w:val="00762A98"/>
    <w:rsid w:val="00762BE7"/>
    <w:rsid w:val="00762C45"/>
    <w:rsid w:val="00762D7E"/>
    <w:rsid w:val="00762D9F"/>
    <w:rsid w:val="00762FA0"/>
    <w:rsid w:val="00762FE0"/>
    <w:rsid w:val="007631AF"/>
    <w:rsid w:val="0076339A"/>
    <w:rsid w:val="00763873"/>
    <w:rsid w:val="0076399F"/>
    <w:rsid w:val="00763A93"/>
    <w:rsid w:val="00763EA4"/>
    <w:rsid w:val="00763EB2"/>
    <w:rsid w:val="00764036"/>
    <w:rsid w:val="00764450"/>
    <w:rsid w:val="0076494C"/>
    <w:rsid w:val="00764AA1"/>
    <w:rsid w:val="00764B63"/>
    <w:rsid w:val="0076545E"/>
    <w:rsid w:val="0076565B"/>
    <w:rsid w:val="0076582A"/>
    <w:rsid w:val="00765BCF"/>
    <w:rsid w:val="0076609F"/>
    <w:rsid w:val="007662E3"/>
    <w:rsid w:val="007663A0"/>
    <w:rsid w:val="0076664B"/>
    <w:rsid w:val="0076679E"/>
    <w:rsid w:val="007668BE"/>
    <w:rsid w:val="00766AF8"/>
    <w:rsid w:val="00766FA4"/>
    <w:rsid w:val="00767031"/>
    <w:rsid w:val="007670C3"/>
    <w:rsid w:val="00767202"/>
    <w:rsid w:val="00767655"/>
    <w:rsid w:val="007676BC"/>
    <w:rsid w:val="007705ED"/>
    <w:rsid w:val="00770A1C"/>
    <w:rsid w:val="00770B20"/>
    <w:rsid w:val="00771A7F"/>
    <w:rsid w:val="00771B1C"/>
    <w:rsid w:val="00771B52"/>
    <w:rsid w:val="00771C84"/>
    <w:rsid w:val="007720BA"/>
    <w:rsid w:val="007724F9"/>
    <w:rsid w:val="00772522"/>
    <w:rsid w:val="00772561"/>
    <w:rsid w:val="007728CD"/>
    <w:rsid w:val="00772A18"/>
    <w:rsid w:val="00772D72"/>
    <w:rsid w:val="00772E18"/>
    <w:rsid w:val="00773314"/>
    <w:rsid w:val="00773C18"/>
    <w:rsid w:val="00773DD3"/>
    <w:rsid w:val="007742AC"/>
    <w:rsid w:val="007742B8"/>
    <w:rsid w:val="00774D4C"/>
    <w:rsid w:val="00774DF7"/>
    <w:rsid w:val="00775138"/>
    <w:rsid w:val="007753F3"/>
    <w:rsid w:val="00775433"/>
    <w:rsid w:val="007754F7"/>
    <w:rsid w:val="0077553B"/>
    <w:rsid w:val="00775ECA"/>
    <w:rsid w:val="00775EE5"/>
    <w:rsid w:val="00776B01"/>
    <w:rsid w:val="00777086"/>
    <w:rsid w:val="007771A1"/>
    <w:rsid w:val="007771A2"/>
    <w:rsid w:val="007772F5"/>
    <w:rsid w:val="00777463"/>
    <w:rsid w:val="007775D7"/>
    <w:rsid w:val="00777A4E"/>
    <w:rsid w:val="00777C70"/>
    <w:rsid w:val="00777D4F"/>
    <w:rsid w:val="007801AC"/>
    <w:rsid w:val="007801C1"/>
    <w:rsid w:val="00780218"/>
    <w:rsid w:val="00780314"/>
    <w:rsid w:val="0078044D"/>
    <w:rsid w:val="007806A7"/>
    <w:rsid w:val="00780761"/>
    <w:rsid w:val="007807F7"/>
    <w:rsid w:val="00780938"/>
    <w:rsid w:val="00780BA7"/>
    <w:rsid w:val="00780CA2"/>
    <w:rsid w:val="00780F91"/>
    <w:rsid w:val="00781240"/>
    <w:rsid w:val="0078144F"/>
    <w:rsid w:val="00781598"/>
    <w:rsid w:val="007815EF"/>
    <w:rsid w:val="0078170C"/>
    <w:rsid w:val="0078173E"/>
    <w:rsid w:val="0078173F"/>
    <w:rsid w:val="007817A4"/>
    <w:rsid w:val="00781AC4"/>
    <w:rsid w:val="00781CFE"/>
    <w:rsid w:val="007821FF"/>
    <w:rsid w:val="007823F9"/>
    <w:rsid w:val="007824AA"/>
    <w:rsid w:val="007824C2"/>
    <w:rsid w:val="007825C1"/>
    <w:rsid w:val="007826EF"/>
    <w:rsid w:val="00782743"/>
    <w:rsid w:val="007827A0"/>
    <w:rsid w:val="00782875"/>
    <w:rsid w:val="00782A52"/>
    <w:rsid w:val="00782A64"/>
    <w:rsid w:val="00782B0E"/>
    <w:rsid w:val="00782BB1"/>
    <w:rsid w:val="00782CD5"/>
    <w:rsid w:val="00782FF0"/>
    <w:rsid w:val="007832CE"/>
    <w:rsid w:val="00783331"/>
    <w:rsid w:val="00783366"/>
    <w:rsid w:val="0078349C"/>
    <w:rsid w:val="0078366B"/>
    <w:rsid w:val="007837D7"/>
    <w:rsid w:val="00783D4D"/>
    <w:rsid w:val="00783DFE"/>
    <w:rsid w:val="00784638"/>
    <w:rsid w:val="0078468E"/>
    <w:rsid w:val="00784BB6"/>
    <w:rsid w:val="00784C71"/>
    <w:rsid w:val="00785194"/>
    <w:rsid w:val="0078558E"/>
    <w:rsid w:val="007855CC"/>
    <w:rsid w:val="0078584B"/>
    <w:rsid w:val="00785A3D"/>
    <w:rsid w:val="00785C47"/>
    <w:rsid w:val="00786545"/>
    <w:rsid w:val="007865C5"/>
    <w:rsid w:val="0078689A"/>
    <w:rsid w:val="00786E0E"/>
    <w:rsid w:val="00787294"/>
    <w:rsid w:val="00790436"/>
    <w:rsid w:val="0079058A"/>
    <w:rsid w:val="00790754"/>
    <w:rsid w:val="00790B72"/>
    <w:rsid w:val="00790E3B"/>
    <w:rsid w:val="00790EBE"/>
    <w:rsid w:val="00791223"/>
    <w:rsid w:val="007913B5"/>
    <w:rsid w:val="00791504"/>
    <w:rsid w:val="00791923"/>
    <w:rsid w:val="00791C30"/>
    <w:rsid w:val="00791E17"/>
    <w:rsid w:val="007920C3"/>
    <w:rsid w:val="007926C4"/>
    <w:rsid w:val="0079288F"/>
    <w:rsid w:val="007928C8"/>
    <w:rsid w:val="007928D6"/>
    <w:rsid w:val="00793099"/>
    <w:rsid w:val="007932A5"/>
    <w:rsid w:val="00793877"/>
    <w:rsid w:val="007939D9"/>
    <w:rsid w:val="00793A50"/>
    <w:rsid w:val="00793D17"/>
    <w:rsid w:val="007948F1"/>
    <w:rsid w:val="00794A31"/>
    <w:rsid w:val="00794B7C"/>
    <w:rsid w:val="00794BEE"/>
    <w:rsid w:val="00794D6C"/>
    <w:rsid w:val="00794EE0"/>
    <w:rsid w:val="007950D2"/>
    <w:rsid w:val="007951C7"/>
    <w:rsid w:val="007951E7"/>
    <w:rsid w:val="007951F5"/>
    <w:rsid w:val="007954DA"/>
    <w:rsid w:val="00795726"/>
    <w:rsid w:val="00795C62"/>
    <w:rsid w:val="00796150"/>
    <w:rsid w:val="00796678"/>
    <w:rsid w:val="0079690E"/>
    <w:rsid w:val="00796923"/>
    <w:rsid w:val="00796A2B"/>
    <w:rsid w:val="00796CBF"/>
    <w:rsid w:val="00796E22"/>
    <w:rsid w:val="007970A8"/>
    <w:rsid w:val="00797220"/>
    <w:rsid w:val="00797285"/>
    <w:rsid w:val="00797485"/>
    <w:rsid w:val="00797567"/>
    <w:rsid w:val="00797972"/>
    <w:rsid w:val="00797A6C"/>
    <w:rsid w:val="00797E00"/>
    <w:rsid w:val="007A00ED"/>
    <w:rsid w:val="007A0111"/>
    <w:rsid w:val="007A0269"/>
    <w:rsid w:val="007A0531"/>
    <w:rsid w:val="007A0581"/>
    <w:rsid w:val="007A05CB"/>
    <w:rsid w:val="007A06FB"/>
    <w:rsid w:val="007A081A"/>
    <w:rsid w:val="007A0CBD"/>
    <w:rsid w:val="007A0CED"/>
    <w:rsid w:val="007A0E94"/>
    <w:rsid w:val="007A1246"/>
    <w:rsid w:val="007A128B"/>
    <w:rsid w:val="007A181C"/>
    <w:rsid w:val="007A1ADA"/>
    <w:rsid w:val="007A1C7A"/>
    <w:rsid w:val="007A1D64"/>
    <w:rsid w:val="007A1F9C"/>
    <w:rsid w:val="007A205C"/>
    <w:rsid w:val="007A2260"/>
    <w:rsid w:val="007A2384"/>
    <w:rsid w:val="007A25ED"/>
    <w:rsid w:val="007A285F"/>
    <w:rsid w:val="007A2A7A"/>
    <w:rsid w:val="007A2A8D"/>
    <w:rsid w:val="007A2AA3"/>
    <w:rsid w:val="007A2C69"/>
    <w:rsid w:val="007A2CF4"/>
    <w:rsid w:val="007A2EEE"/>
    <w:rsid w:val="007A302B"/>
    <w:rsid w:val="007A3104"/>
    <w:rsid w:val="007A31C0"/>
    <w:rsid w:val="007A31F5"/>
    <w:rsid w:val="007A351A"/>
    <w:rsid w:val="007A35CF"/>
    <w:rsid w:val="007A36DF"/>
    <w:rsid w:val="007A3796"/>
    <w:rsid w:val="007A3D3B"/>
    <w:rsid w:val="007A4119"/>
    <w:rsid w:val="007A417B"/>
    <w:rsid w:val="007A4380"/>
    <w:rsid w:val="007A4382"/>
    <w:rsid w:val="007A4A1D"/>
    <w:rsid w:val="007A4A95"/>
    <w:rsid w:val="007A4C63"/>
    <w:rsid w:val="007A4FD8"/>
    <w:rsid w:val="007A5281"/>
    <w:rsid w:val="007A537B"/>
    <w:rsid w:val="007A55DB"/>
    <w:rsid w:val="007A5B07"/>
    <w:rsid w:val="007A5B19"/>
    <w:rsid w:val="007A5D16"/>
    <w:rsid w:val="007A62C1"/>
    <w:rsid w:val="007A667E"/>
    <w:rsid w:val="007A6893"/>
    <w:rsid w:val="007A6993"/>
    <w:rsid w:val="007A6B65"/>
    <w:rsid w:val="007A6FE7"/>
    <w:rsid w:val="007A7172"/>
    <w:rsid w:val="007A71DC"/>
    <w:rsid w:val="007A738A"/>
    <w:rsid w:val="007A77DA"/>
    <w:rsid w:val="007A7B26"/>
    <w:rsid w:val="007A7CC0"/>
    <w:rsid w:val="007B03EB"/>
    <w:rsid w:val="007B0515"/>
    <w:rsid w:val="007B07D4"/>
    <w:rsid w:val="007B0A1A"/>
    <w:rsid w:val="007B0A8F"/>
    <w:rsid w:val="007B11E2"/>
    <w:rsid w:val="007B1355"/>
    <w:rsid w:val="007B136F"/>
    <w:rsid w:val="007B137E"/>
    <w:rsid w:val="007B1592"/>
    <w:rsid w:val="007B17AA"/>
    <w:rsid w:val="007B1A4E"/>
    <w:rsid w:val="007B1CAD"/>
    <w:rsid w:val="007B1D51"/>
    <w:rsid w:val="007B1F60"/>
    <w:rsid w:val="007B23C8"/>
    <w:rsid w:val="007B2527"/>
    <w:rsid w:val="007B26CA"/>
    <w:rsid w:val="007B26FA"/>
    <w:rsid w:val="007B276A"/>
    <w:rsid w:val="007B27AB"/>
    <w:rsid w:val="007B2890"/>
    <w:rsid w:val="007B2898"/>
    <w:rsid w:val="007B2D58"/>
    <w:rsid w:val="007B30C4"/>
    <w:rsid w:val="007B30F3"/>
    <w:rsid w:val="007B310E"/>
    <w:rsid w:val="007B34E8"/>
    <w:rsid w:val="007B37B2"/>
    <w:rsid w:val="007B3B88"/>
    <w:rsid w:val="007B4161"/>
    <w:rsid w:val="007B4189"/>
    <w:rsid w:val="007B42A6"/>
    <w:rsid w:val="007B45AC"/>
    <w:rsid w:val="007B5129"/>
    <w:rsid w:val="007B57C6"/>
    <w:rsid w:val="007B5968"/>
    <w:rsid w:val="007B607D"/>
    <w:rsid w:val="007B620A"/>
    <w:rsid w:val="007B666C"/>
    <w:rsid w:val="007B6717"/>
    <w:rsid w:val="007B687E"/>
    <w:rsid w:val="007B6A7C"/>
    <w:rsid w:val="007B6A99"/>
    <w:rsid w:val="007B6CD0"/>
    <w:rsid w:val="007B6CF6"/>
    <w:rsid w:val="007B6FBD"/>
    <w:rsid w:val="007B73A2"/>
    <w:rsid w:val="007B755C"/>
    <w:rsid w:val="007B768B"/>
    <w:rsid w:val="007B7860"/>
    <w:rsid w:val="007B79AE"/>
    <w:rsid w:val="007B7C64"/>
    <w:rsid w:val="007B7D7F"/>
    <w:rsid w:val="007B7E81"/>
    <w:rsid w:val="007C0026"/>
    <w:rsid w:val="007C052D"/>
    <w:rsid w:val="007C05E6"/>
    <w:rsid w:val="007C0730"/>
    <w:rsid w:val="007C096A"/>
    <w:rsid w:val="007C1068"/>
    <w:rsid w:val="007C1905"/>
    <w:rsid w:val="007C190F"/>
    <w:rsid w:val="007C1B9A"/>
    <w:rsid w:val="007C1E2B"/>
    <w:rsid w:val="007C295A"/>
    <w:rsid w:val="007C29C9"/>
    <w:rsid w:val="007C2A55"/>
    <w:rsid w:val="007C335F"/>
    <w:rsid w:val="007C3BAE"/>
    <w:rsid w:val="007C3D5E"/>
    <w:rsid w:val="007C3D9B"/>
    <w:rsid w:val="007C43C9"/>
    <w:rsid w:val="007C4597"/>
    <w:rsid w:val="007C4751"/>
    <w:rsid w:val="007C48B4"/>
    <w:rsid w:val="007C4CD1"/>
    <w:rsid w:val="007C51A5"/>
    <w:rsid w:val="007C58A8"/>
    <w:rsid w:val="007C5BFE"/>
    <w:rsid w:val="007C5E69"/>
    <w:rsid w:val="007C5EE2"/>
    <w:rsid w:val="007C62BF"/>
    <w:rsid w:val="007C62DB"/>
    <w:rsid w:val="007C65AA"/>
    <w:rsid w:val="007C751A"/>
    <w:rsid w:val="007C75ED"/>
    <w:rsid w:val="007C7AC5"/>
    <w:rsid w:val="007C7BB0"/>
    <w:rsid w:val="007C7C7A"/>
    <w:rsid w:val="007C7E63"/>
    <w:rsid w:val="007C7F81"/>
    <w:rsid w:val="007D01EE"/>
    <w:rsid w:val="007D0D63"/>
    <w:rsid w:val="007D100F"/>
    <w:rsid w:val="007D1164"/>
    <w:rsid w:val="007D13D5"/>
    <w:rsid w:val="007D174D"/>
    <w:rsid w:val="007D1B09"/>
    <w:rsid w:val="007D1B4F"/>
    <w:rsid w:val="007D1CF3"/>
    <w:rsid w:val="007D1E1D"/>
    <w:rsid w:val="007D20CA"/>
    <w:rsid w:val="007D210C"/>
    <w:rsid w:val="007D24A4"/>
    <w:rsid w:val="007D26A3"/>
    <w:rsid w:val="007D282C"/>
    <w:rsid w:val="007D2D00"/>
    <w:rsid w:val="007D2FC1"/>
    <w:rsid w:val="007D3019"/>
    <w:rsid w:val="007D302F"/>
    <w:rsid w:val="007D30D8"/>
    <w:rsid w:val="007D34E9"/>
    <w:rsid w:val="007D3547"/>
    <w:rsid w:val="007D358F"/>
    <w:rsid w:val="007D359D"/>
    <w:rsid w:val="007D36F2"/>
    <w:rsid w:val="007D45D6"/>
    <w:rsid w:val="007D525C"/>
    <w:rsid w:val="007D5381"/>
    <w:rsid w:val="007D53D5"/>
    <w:rsid w:val="007D552F"/>
    <w:rsid w:val="007D56E5"/>
    <w:rsid w:val="007D575E"/>
    <w:rsid w:val="007D58AA"/>
    <w:rsid w:val="007D59B1"/>
    <w:rsid w:val="007D59D7"/>
    <w:rsid w:val="007D5B21"/>
    <w:rsid w:val="007D5F07"/>
    <w:rsid w:val="007D63E1"/>
    <w:rsid w:val="007D643E"/>
    <w:rsid w:val="007D6623"/>
    <w:rsid w:val="007D66AF"/>
    <w:rsid w:val="007D6721"/>
    <w:rsid w:val="007D67C3"/>
    <w:rsid w:val="007D68F6"/>
    <w:rsid w:val="007D6E3E"/>
    <w:rsid w:val="007D6F5E"/>
    <w:rsid w:val="007D70A1"/>
    <w:rsid w:val="007D7590"/>
    <w:rsid w:val="007D772B"/>
    <w:rsid w:val="007D7997"/>
    <w:rsid w:val="007D7A5B"/>
    <w:rsid w:val="007D7BFB"/>
    <w:rsid w:val="007E0048"/>
    <w:rsid w:val="007E01C8"/>
    <w:rsid w:val="007E03D4"/>
    <w:rsid w:val="007E05D3"/>
    <w:rsid w:val="007E07EC"/>
    <w:rsid w:val="007E16A2"/>
    <w:rsid w:val="007E1A7F"/>
    <w:rsid w:val="007E1B21"/>
    <w:rsid w:val="007E28B5"/>
    <w:rsid w:val="007E2AB7"/>
    <w:rsid w:val="007E2E84"/>
    <w:rsid w:val="007E3776"/>
    <w:rsid w:val="007E3896"/>
    <w:rsid w:val="007E395A"/>
    <w:rsid w:val="007E3B5F"/>
    <w:rsid w:val="007E3D1B"/>
    <w:rsid w:val="007E3E14"/>
    <w:rsid w:val="007E3FED"/>
    <w:rsid w:val="007E45E1"/>
    <w:rsid w:val="007E4D23"/>
    <w:rsid w:val="007E4F11"/>
    <w:rsid w:val="007E5228"/>
    <w:rsid w:val="007E5235"/>
    <w:rsid w:val="007E5326"/>
    <w:rsid w:val="007E53F4"/>
    <w:rsid w:val="007E55F6"/>
    <w:rsid w:val="007E5759"/>
    <w:rsid w:val="007E57BC"/>
    <w:rsid w:val="007E58EA"/>
    <w:rsid w:val="007E5AA7"/>
    <w:rsid w:val="007E5AD0"/>
    <w:rsid w:val="007E5C21"/>
    <w:rsid w:val="007E5C5A"/>
    <w:rsid w:val="007E5DFD"/>
    <w:rsid w:val="007E5E8D"/>
    <w:rsid w:val="007E5EC8"/>
    <w:rsid w:val="007E6B2A"/>
    <w:rsid w:val="007E6C53"/>
    <w:rsid w:val="007E7321"/>
    <w:rsid w:val="007E7329"/>
    <w:rsid w:val="007E751D"/>
    <w:rsid w:val="007E771A"/>
    <w:rsid w:val="007E7ABA"/>
    <w:rsid w:val="007E7EB1"/>
    <w:rsid w:val="007E7FBB"/>
    <w:rsid w:val="007F0233"/>
    <w:rsid w:val="007F09C3"/>
    <w:rsid w:val="007F0B26"/>
    <w:rsid w:val="007F0E42"/>
    <w:rsid w:val="007F10FE"/>
    <w:rsid w:val="007F177E"/>
    <w:rsid w:val="007F189B"/>
    <w:rsid w:val="007F1B42"/>
    <w:rsid w:val="007F1CD1"/>
    <w:rsid w:val="007F24E3"/>
    <w:rsid w:val="007F25ED"/>
    <w:rsid w:val="007F2816"/>
    <w:rsid w:val="007F28F6"/>
    <w:rsid w:val="007F2A61"/>
    <w:rsid w:val="007F2C5C"/>
    <w:rsid w:val="007F2CAD"/>
    <w:rsid w:val="007F2CF0"/>
    <w:rsid w:val="007F343A"/>
    <w:rsid w:val="007F34E6"/>
    <w:rsid w:val="007F3564"/>
    <w:rsid w:val="007F3764"/>
    <w:rsid w:val="007F38E1"/>
    <w:rsid w:val="007F3BE7"/>
    <w:rsid w:val="007F3CD8"/>
    <w:rsid w:val="007F3F5A"/>
    <w:rsid w:val="007F40F2"/>
    <w:rsid w:val="007F4590"/>
    <w:rsid w:val="007F4F0C"/>
    <w:rsid w:val="007F50F0"/>
    <w:rsid w:val="007F544E"/>
    <w:rsid w:val="007F5539"/>
    <w:rsid w:val="007F5573"/>
    <w:rsid w:val="007F55FE"/>
    <w:rsid w:val="007F58F4"/>
    <w:rsid w:val="007F5B9A"/>
    <w:rsid w:val="007F5D3A"/>
    <w:rsid w:val="007F6477"/>
    <w:rsid w:val="007F6661"/>
    <w:rsid w:val="007F69E3"/>
    <w:rsid w:val="007F6AE1"/>
    <w:rsid w:val="007F723D"/>
    <w:rsid w:val="007F7371"/>
    <w:rsid w:val="007F7644"/>
    <w:rsid w:val="007F76F8"/>
    <w:rsid w:val="007F7F94"/>
    <w:rsid w:val="0080079C"/>
    <w:rsid w:val="00800810"/>
    <w:rsid w:val="0080081C"/>
    <w:rsid w:val="008008FC"/>
    <w:rsid w:val="00800B49"/>
    <w:rsid w:val="00800F33"/>
    <w:rsid w:val="0080141C"/>
    <w:rsid w:val="008014EA"/>
    <w:rsid w:val="008014ED"/>
    <w:rsid w:val="00801608"/>
    <w:rsid w:val="0080179F"/>
    <w:rsid w:val="00801D98"/>
    <w:rsid w:val="00802752"/>
    <w:rsid w:val="008028CC"/>
    <w:rsid w:val="00802A80"/>
    <w:rsid w:val="00802C86"/>
    <w:rsid w:val="00802E93"/>
    <w:rsid w:val="008030E7"/>
    <w:rsid w:val="0080328F"/>
    <w:rsid w:val="00803DC4"/>
    <w:rsid w:val="00803DCB"/>
    <w:rsid w:val="00803E8C"/>
    <w:rsid w:val="00803F43"/>
    <w:rsid w:val="008040F6"/>
    <w:rsid w:val="00804242"/>
    <w:rsid w:val="008042C6"/>
    <w:rsid w:val="008043E4"/>
    <w:rsid w:val="00804487"/>
    <w:rsid w:val="00804AEF"/>
    <w:rsid w:val="00804CAB"/>
    <w:rsid w:val="00804EEF"/>
    <w:rsid w:val="0080577D"/>
    <w:rsid w:val="008060E8"/>
    <w:rsid w:val="00806291"/>
    <w:rsid w:val="008062CA"/>
    <w:rsid w:val="008062EF"/>
    <w:rsid w:val="008064F3"/>
    <w:rsid w:val="008065DF"/>
    <w:rsid w:val="008068C2"/>
    <w:rsid w:val="00806BEC"/>
    <w:rsid w:val="00807133"/>
    <w:rsid w:val="00807170"/>
    <w:rsid w:val="0080778B"/>
    <w:rsid w:val="00807A27"/>
    <w:rsid w:val="00807CC3"/>
    <w:rsid w:val="00807E8F"/>
    <w:rsid w:val="00807F2F"/>
    <w:rsid w:val="00810093"/>
    <w:rsid w:val="00810120"/>
    <w:rsid w:val="00810151"/>
    <w:rsid w:val="0081054C"/>
    <w:rsid w:val="00810933"/>
    <w:rsid w:val="00810B92"/>
    <w:rsid w:val="00810C38"/>
    <w:rsid w:val="00810CF1"/>
    <w:rsid w:val="0081107D"/>
    <w:rsid w:val="0081117E"/>
    <w:rsid w:val="00811265"/>
    <w:rsid w:val="0081163A"/>
    <w:rsid w:val="00811BAF"/>
    <w:rsid w:val="008120AA"/>
    <w:rsid w:val="0081217E"/>
    <w:rsid w:val="008121FF"/>
    <w:rsid w:val="008126AB"/>
    <w:rsid w:val="00812766"/>
    <w:rsid w:val="008128E6"/>
    <w:rsid w:val="00812A7A"/>
    <w:rsid w:val="00812DE5"/>
    <w:rsid w:val="00813461"/>
    <w:rsid w:val="008135CC"/>
    <w:rsid w:val="0081423A"/>
    <w:rsid w:val="00814313"/>
    <w:rsid w:val="008147A3"/>
    <w:rsid w:val="008147EC"/>
    <w:rsid w:val="00814C2B"/>
    <w:rsid w:val="00814D60"/>
    <w:rsid w:val="00814D64"/>
    <w:rsid w:val="008152AC"/>
    <w:rsid w:val="008154D4"/>
    <w:rsid w:val="00815713"/>
    <w:rsid w:val="008158DF"/>
    <w:rsid w:val="00815933"/>
    <w:rsid w:val="00815AD3"/>
    <w:rsid w:val="0081687A"/>
    <w:rsid w:val="00816AB7"/>
    <w:rsid w:val="00816D59"/>
    <w:rsid w:val="00817002"/>
    <w:rsid w:val="00817414"/>
    <w:rsid w:val="00817744"/>
    <w:rsid w:val="0082006A"/>
    <w:rsid w:val="0082014E"/>
    <w:rsid w:val="0082016E"/>
    <w:rsid w:val="0082055E"/>
    <w:rsid w:val="008205EF"/>
    <w:rsid w:val="00820973"/>
    <w:rsid w:val="008209E8"/>
    <w:rsid w:val="00820BAB"/>
    <w:rsid w:val="00820CEF"/>
    <w:rsid w:val="00820E55"/>
    <w:rsid w:val="00820F19"/>
    <w:rsid w:val="00820FFE"/>
    <w:rsid w:val="008211DE"/>
    <w:rsid w:val="00821408"/>
    <w:rsid w:val="00821972"/>
    <w:rsid w:val="00821A29"/>
    <w:rsid w:val="00821CC6"/>
    <w:rsid w:val="00821DC8"/>
    <w:rsid w:val="00821F62"/>
    <w:rsid w:val="00822071"/>
    <w:rsid w:val="008221F9"/>
    <w:rsid w:val="0082228B"/>
    <w:rsid w:val="00822D5A"/>
    <w:rsid w:val="008238D8"/>
    <w:rsid w:val="00823F27"/>
    <w:rsid w:val="0082412B"/>
    <w:rsid w:val="0082424A"/>
    <w:rsid w:val="008242B6"/>
    <w:rsid w:val="008243F6"/>
    <w:rsid w:val="00824D17"/>
    <w:rsid w:val="00824F90"/>
    <w:rsid w:val="008259B7"/>
    <w:rsid w:val="008259FE"/>
    <w:rsid w:val="00825ACA"/>
    <w:rsid w:val="00825E9A"/>
    <w:rsid w:val="00825F59"/>
    <w:rsid w:val="00826056"/>
    <w:rsid w:val="00826161"/>
    <w:rsid w:val="00826B7A"/>
    <w:rsid w:val="00826BF3"/>
    <w:rsid w:val="00826C2D"/>
    <w:rsid w:val="00826F9A"/>
    <w:rsid w:val="00827005"/>
    <w:rsid w:val="00827A05"/>
    <w:rsid w:val="008302EC"/>
    <w:rsid w:val="00830337"/>
    <w:rsid w:val="0083034E"/>
    <w:rsid w:val="00830526"/>
    <w:rsid w:val="008305F8"/>
    <w:rsid w:val="00830979"/>
    <w:rsid w:val="00830B95"/>
    <w:rsid w:val="00830D58"/>
    <w:rsid w:val="0083121B"/>
    <w:rsid w:val="0083155A"/>
    <w:rsid w:val="00831788"/>
    <w:rsid w:val="00831BD1"/>
    <w:rsid w:val="00831C72"/>
    <w:rsid w:val="00831CE0"/>
    <w:rsid w:val="00831E15"/>
    <w:rsid w:val="00831E59"/>
    <w:rsid w:val="00831F78"/>
    <w:rsid w:val="00832366"/>
    <w:rsid w:val="008323FF"/>
    <w:rsid w:val="00832652"/>
    <w:rsid w:val="00832FF9"/>
    <w:rsid w:val="00833311"/>
    <w:rsid w:val="00833680"/>
    <w:rsid w:val="00833962"/>
    <w:rsid w:val="00833A77"/>
    <w:rsid w:val="00833CA6"/>
    <w:rsid w:val="00833F65"/>
    <w:rsid w:val="008341EB"/>
    <w:rsid w:val="008342CD"/>
    <w:rsid w:val="00834467"/>
    <w:rsid w:val="008344A3"/>
    <w:rsid w:val="008348A4"/>
    <w:rsid w:val="008349CC"/>
    <w:rsid w:val="00834A50"/>
    <w:rsid w:val="00834DFE"/>
    <w:rsid w:val="00834FB3"/>
    <w:rsid w:val="0083511B"/>
    <w:rsid w:val="008353D5"/>
    <w:rsid w:val="0083577B"/>
    <w:rsid w:val="008364A3"/>
    <w:rsid w:val="0083678C"/>
    <w:rsid w:val="00836812"/>
    <w:rsid w:val="008368BB"/>
    <w:rsid w:val="00836B42"/>
    <w:rsid w:val="00837462"/>
    <w:rsid w:val="00837477"/>
    <w:rsid w:val="00837A8D"/>
    <w:rsid w:val="00837B10"/>
    <w:rsid w:val="00837CD0"/>
    <w:rsid w:val="0084004E"/>
    <w:rsid w:val="0084034D"/>
    <w:rsid w:val="0084063B"/>
    <w:rsid w:val="008406A4"/>
    <w:rsid w:val="008407A2"/>
    <w:rsid w:val="008409BC"/>
    <w:rsid w:val="008409FF"/>
    <w:rsid w:val="00840F84"/>
    <w:rsid w:val="00840FCD"/>
    <w:rsid w:val="0084125E"/>
    <w:rsid w:val="00841349"/>
    <w:rsid w:val="008413E7"/>
    <w:rsid w:val="008415C9"/>
    <w:rsid w:val="00841979"/>
    <w:rsid w:val="00841C9A"/>
    <w:rsid w:val="00842168"/>
    <w:rsid w:val="00842390"/>
    <w:rsid w:val="00842413"/>
    <w:rsid w:val="0084275E"/>
    <w:rsid w:val="0084276E"/>
    <w:rsid w:val="0084280C"/>
    <w:rsid w:val="00842869"/>
    <w:rsid w:val="00842F58"/>
    <w:rsid w:val="008437DF"/>
    <w:rsid w:val="00843874"/>
    <w:rsid w:val="00843B06"/>
    <w:rsid w:val="00843BEA"/>
    <w:rsid w:val="00844165"/>
    <w:rsid w:val="00844390"/>
    <w:rsid w:val="00844498"/>
    <w:rsid w:val="00844A96"/>
    <w:rsid w:val="00844DE4"/>
    <w:rsid w:val="00845117"/>
    <w:rsid w:val="008459B4"/>
    <w:rsid w:val="008459DC"/>
    <w:rsid w:val="00845A4B"/>
    <w:rsid w:val="00845C59"/>
    <w:rsid w:val="00845CF7"/>
    <w:rsid w:val="00845FE8"/>
    <w:rsid w:val="008460F6"/>
    <w:rsid w:val="008461E0"/>
    <w:rsid w:val="008463DD"/>
    <w:rsid w:val="008464B2"/>
    <w:rsid w:val="008464CA"/>
    <w:rsid w:val="008465CE"/>
    <w:rsid w:val="00847063"/>
    <w:rsid w:val="00847074"/>
    <w:rsid w:val="008473BD"/>
    <w:rsid w:val="008476DC"/>
    <w:rsid w:val="00847791"/>
    <w:rsid w:val="008479FB"/>
    <w:rsid w:val="00847D3D"/>
    <w:rsid w:val="00847DBF"/>
    <w:rsid w:val="00847E69"/>
    <w:rsid w:val="00850148"/>
    <w:rsid w:val="008501F3"/>
    <w:rsid w:val="008502F6"/>
    <w:rsid w:val="00850458"/>
    <w:rsid w:val="00850839"/>
    <w:rsid w:val="00850A76"/>
    <w:rsid w:val="00850C40"/>
    <w:rsid w:val="00850E01"/>
    <w:rsid w:val="00850EAC"/>
    <w:rsid w:val="0085133B"/>
    <w:rsid w:val="008513DD"/>
    <w:rsid w:val="008514A2"/>
    <w:rsid w:val="008516B7"/>
    <w:rsid w:val="008517CF"/>
    <w:rsid w:val="0085190E"/>
    <w:rsid w:val="0085198C"/>
    <w:rsid w:val="00851B2E"/>
    <w:rsid w:val="00851BE8"/>
    <w:rsid w:val="00851C71"/>
    <w:rsid w:val="00852214"/>
    <w:rsid w:val="00852344"/>
    <w:rsid w:val="0085281F"/>
    <w:rsid w:val="00852944"/>
    <w:rsid w:val="00852B35"/>
    <w:rsid w:val="00852BFD"/>
    <w:rsid w:val="00852CA3"/>
    <w:rsid w:val="00852DD4"/>
    <w:rsid w:val="00852E18"/>
    <w:rsid w:val="0085315F"/>
    <w:rsid w:val="00853373"/>
    <w:rsid w:val="008533C3"/>
    <w:rsid w:val="00853640"/>
    <w:rsid w:val="0085386E"/>
    <w:rsid w:val="00853B35"/>
    <w:rsid w:val="00853C4B"/>
    <w:rsid w:val="00853C83"/>
    <w:rsid w:val="00853C96"/>
    <w:rsid w:val="00853D0B"/>
    <w:rsid w:val="008547B0"/>
    <w:rsid w:val="00854913"/>
    <w:rsid w:val="00854B57"/>
    <w:rsid w:val="00854BB8"/>
    <w:rsid w:val="00854DB2"/>
    <w:rsid w:val="00855A60"/>
    <w:rsid w:val="00855E2E"/>
    <w:rsid w:val="00855E9A"/>
    <w:rsid w:val="00856167"/>
    <w:rsid w:val="008563A7"/>
    <w:rsid w:val="008563D4"/>
    <w:rsid w:val="008567D4"/>
    <w:rsid w:val="0085692D"/>
    <w:rsid w:val="00856D72"/>
    <w:rsid w:val="00856F3F"/>
    <w:rsid w:val="00857024"/>
    <w:rsid w:val="0085782F"/>
    <w:rsid w:val="00857995"/>
    <w:rsid w:val="008579C3"/>
    <w:rsid w:val="00857AD4"/>
    <w:rsid w:val="0086011A"/>
    <w:rsid w:val="008606B0"/>
    <w:rsid w:val="008607B6"/>
    <w:rsid w:val="00860A42"/>
    <w:rsid w:val="00860BE9"/>
    <w:rsid w:val="00860C5C"/>
    <w:rsid w:val="0086106E"/>
    <w:rsid w:val="008611EC"/>
    <w:rsid w:val="00861289"/>
    <w:rsid w:val="00861744"/>
    <w:rsid w:val="00861765"/>
    <w:rsid w:val="00861B1E"/>
    <w:rsid w:val="00861CAC"/>
    <w:rsid w:val="00861E55"/>
    <w:rsid w:val="00862146"/>
    <w:rsid w:val="00862246"/>
    <w:rsid w:val="00862423"/>
    <w:rsid w:val="0086266C"/>
    <w:rsid w:val="008628D7"/>
    <w:rsid w:val="00862A0B"/>
    <w:rsid w:val="00862B75"/>
    <w:rsid w:val="00862BF6"/>
    <w:rsid w:val="00862C0B"/>
    <w:rsid w:val="00862F14"/>
    <w:rsid w:val="008632DA"/>
    <w:rsid w:val="008634B1"/>
    <w:rsid w:val="008634C3"/>
    <w:rsid w:val="00863517"/>
    <w:rsid w:val="008638C2"/>
    <w:rsid w:val="00863992"/>
    <w:rsid w:val="00863BA8"/>
    <w:rsid w:val="00863E43"/>
    <w:rsid w:val="00863E9C"/>
    <w:rsid w:val="008641F8"/>
    <w:rsid w:val="008644AF"/>
    <w:rsid w:val="00864827"/>
    <w:rsid w:val="00864908"/>
    <w:rsid w:val="00864910"/>
    <w:rsid w:val="00864BE9"/>
    <w:rsid w:val="00864C70"/>
    <w:rsid w:val="00865052"/>
    <w:rsid w:val="00865594"/>
    <w:rsid w:val="00865A4D"/>
    <w:rsid w:val="00865C3A"/>
    <w:rsid w:val="00865CF8"/>
    <w:rsid w:val="00866077"/>
    <w:rsid w:val="00866A01"/>
    <w:rsid w:val="00867360"/>
    <w:rsid w:val="0086747C"/>
    <w:rsid w:val="008675D9"/>
    <w:rsid w:val="008677C6"/>
    <w:rsid w:val="00867AB4"/>
    <w:rsid w:val="00867B5B"/>
    <w:rsid w:val="00867DEB"/>
    <w:rsid w:val="00867EA2"/>
    <w:rsid w:val="00870202"/>
    <w:rsid w:val="00870598"/>
    <w:rsid w:val="0087081C"/>
    <w:rsid w:val="00870C1D"/>
    <w:rsid w:val="00870DEA"/>
    <w:rsid w:val="0087116E"/>
    <w:rsid w:val="00871220"/>
    <w:rsid w:val="008715B5"/>
    <w:rsid w:val="0087173D"/>
    <w:rsid w:val="00871763"/>
    <w:rsid w:val="00871C2E"/>
    <w:rsid w:val="008720CB"/>
    <w:rsid w:val="00872330"/>
    <w:rsid w:val="008723CD"/>
    <w:rsid w:val="008723F8"/>
    <w:rsid w:val="00872659"/>
    <w:rsid w:val="008726CC"/>
    <w:rsid w:val="0087313E"/>
    <w:rsid w:val="00873478"/>
    <w:rsid w:val="008736F2"/>
    <w:rsid w:val="00873D60"/>
    <w:rsid w:val="00873EFF"/>
    <w:rsid w:val="00874331"/>
    <w:rsid w:val="00874438"/>
    <w:rsid w:val="008747F6"/>
    <w:rsid w:val="00874BDC"/>
    <w:rsid w:val="00874C04"/>
    <w:rsid w:val="00874E49"/>
    <w:rsid w:val="00874F65"/>
    <w:rsid w:val="00875158"/>
    <w:rsid w:val="008752D8"/>
    <w:rsid w:val="00875397"/>
    <w:rsid w:val="00875714"/>
    <w:rsid w:val="00875A48"/>
    <w:rsid w:val="00875AA7"/>
    <w:rsid w:val="00875BC5"/>
    <w:rsid w:val="00875DBE"/>
    <w:rsid w:val="00875E74"/>
    <w:rsid w:val="00875F00"/>
    <w:rsid w:val="00876250"/>
    <w:rsid w:val="008762FE"/>
    <w:rsid w:val="0087678F"/>
    <w:rsid w:val="00876E6A"/>
    <w:rsid w:val="008771C1"/>
    <w:rsid w:val="008774DE"/>
    <w:rsid w:val="00877B1A"/>
    <w:rsid w:val="00880262"/>
    <w:rsid w:val="00880270"/>
    <w:rsid w:val="00880300"/>
    <w:rsid w:val="008805CA"/>
    <w:rsid w:val="00880763"/>
    <w:rsid w:val="0088111D"/>
    <w:rsid w:val="008812C6"/>
    <w:rsid w:val="008816AF"/>
    <w:rsid w:val="00881D29"/>
    <w:rsid w:val="008822D0"/>
    <w:rsid w:val="008822FA"/>
    <w:rsid w:val="00882334"/>
    <w:rsid w:val="00882726"/>
    <w:rsid w:val="008829BA"/>
    <w:rsid w:val="00882FC9"/>
    <w:rsid w:val="008837ED"/>
    <w:rsid w:val="00883849"/>
    <w:rsid w:val="00883B6D"/>
    <w:rsid w:val="00883B8F"/>
    <w:rsid w:val="00883F9F"/>
    <w:rsid w:val="0088435E"/>
    <w:rsid w:val="008843DF"/>
    <w:rsid w:val="00884E33"/>
    <w:rsid w:val="008851A5"/>
    <w:rsid w:val="00885284"/>
    <w:rsid w:val="00885377"/>
    <w:rsid w:val="0088537B"/>
    <w:rsid w:val="00885527"/>
    <w:rsid w:val="0088556E"/>
    <w:rsid w:val="00885627"/>
    <w:rsid w:val="00885870"/>
    <w:rsid w:val="008859F7"/>
    <w:rsid w:val="00885BD8"/>
    <w:rsid w:val="00885E0A"/>
    <w:rsid w:val="00885F5E"/>
    <w:rsid w:val="00886073"/>
    <w:rsid w:val="0088614B"/>
    <w:rsid w:val="008861AE"/>
    <w:rsid w:val="0088631D"/>
    <w:rsid w:val="00886629"/>
    <w:rsid w:val="00887750"/>
    <w:rsid w:val="00887C8B"/>
    <w:rsid w:val="00887CE6"/>
    <w:rsid w:val="008911BD"/>
    <w:rsid w:val="00891DB9"/>
    <w:rsid w:val="00891F05"/>
    <w:rsid w:val="00891FFD"/>
    <w:rsid w:val="00892450"/>
    <w:rsid w:val="008926F9"/>
    <w:rsid w:val="00892DBE"/>
    <w:rsid w:val="0089315D"/>
    <w:rsid w:val="0089335D"/>
    <w:rsid w:val="0089338C"/>
    <w:rsid w:val="00893814"/>
    <w:rsid w:val="0089438A"/>
    <w:rsid w:val="00894398"/>
    <w:rsid w:val="0089459B"/>
    <w:rsid w:val="0089499B"/>
    <w:rsid w:val="00894B20"/>
    <w:rsid w:val="00894E5F"/>
    <w:rsid w:val="00894E81"/>
    <w:rsid w:val="00895062"/>
    <w:rsid w:val="008950FD"/>
    <w:rsid w:val="008956C6"/>
    <w:rsid w:val="008957F0"/>
    <w:rsid w:val="00895876"/>
    <w:rsid w:val="008959FC"/>
    <w:rsid w:val="00895FEE"/>
    <w:rsid w:val="0089606E"/>
    <w:rsid w:val="0089616F"/>
    <w:rsid w:val="00896424"/>
    <w:rsid w:val="00896887"/>
    <w:rsid w:val="00896D5B"/>
    <w:rsid w:val="00896DFD"/>
    <w:rsid w:val="00896E4E"/>
    <w:rsid w:val="00896F82"/>
    <w:rsid w:val="00896FC8"/>
    <w:rsid w:val="0089755F"/>
    <w:rsid w:val="008A0204"/>
    <w:rsid w:val="008A027F"/>
    <w:rsid w:val="008A03E5"/>
    <w:rsid w:val="008A09DE"/>
    <w:rsid w:val="008A0AB9"/>
    <w:rsid w:val="008A1198"/>
    <w:rsid w:val="008A1466"/>
    <w:rsid w:val="008A1491"/>
    <w:rsid w:val="008A154E"/>
    <w:rsid w:val="008A1621"/>
    <w:rsid w:val="008A1666"/>
    <w:rsid w:val="008A17F3"/>
    <w:rsid w:val="008A18CC"/>
    <w:rsid w:val="008A1B7E"/>
    <w:rsid w:val="008A1ED6"/>
    <w:rsid w:val="008A2015"/>
    <w:rsid w:val="008A2249"/>
    <w:rsid w:val="008A2430"/>
    <w:rsid w:val="008A249B"/>
    <w:rsid w:val="008A25A5"/>
    <w:rsid w:val="008A25B9"/>
    <w:rsid w:val="008A2751"/>
    <w:rsid w:val="008A2C3C"/>
    <w:rsid w:val="008A2ECE"/>
    <w:rsid w:val="008A2FE5"/>
    <w:rsid w:val="008A324A"/>
    <w:rsid w:val="008A35BC"/>
    <w:rsid w:val="008A38C3"/>
    <w:rsid w:val="008A3998"/>
    <w:rsid w:val="008A3AA8"/>
    <w:rsid w:val="008A3B00"/>
    <w:rsid w:val="008A3B78"/>
    <w:rsid w:val="008A4523"/>
    <w:rsid w:val="008A4A19"/>
    <w:rsid w:val="008A4A60"/>
    <w:rsid w:val="008A4CCF"/>
    <w:rsid w:val="008A505F"/>
    <w:rsid w:val="008A51D2"/>
    <w:rsid w:val="008A51F5"/>
    <w:rsid w:val="008A5ABA"/>
    <w:rsid w:val="008A5C12"/>
    <w:rsid w:val="008A5F6F"/>
    <w:rsid w:val="008A5F89"/>
    <w:rsid w:val="008A6502"/>
    <w:rsid w:val="008A6AA0"/>
    <w:rsid w:val="008A6AFA"/>
    <w:rsid w:val="008A6B74"/>
    <w:rsid w:val="008A6B75"/>
    <w:rsid w:val="008A6EB1"/>
    <w:rsid w:val="008A6F40"/>
    <w:rsid w:val="008A71C2"/>
    <w:rsid w:val="008A734D"/>
    <w:rsid w:val="008A78FE"/>
    <w:rsid w:val="008A7F75"/>
    <w:rsid w:val="008B01D4"/>
    <w:rsid w:val="008B027B"/>
    <w:rsid w:val="008B0292"/>
    <w:rsid w:val="008B036D"/>
    <w:rsid w:val="008B03C8"/>
    <w:rsid w:val="008B03D8"/>
    <w:rsid w:val="008B0660"/>
    <w:rsid w:val="008B1296"/>
    <w:rsid w:val="008B1311"/>
    <w:rsid w:val="008B1370"/>
    <w:rsid w:val="008B1510"/>
    <w:rsid w:val="008B19FD"/>
    <w:rsid w:val="008B1D08"/>
    <w:rsid w:val="008B1E63"/>
    <w:rsid w:val="008B2356"/>
    <w:rsid w:val="008B28CF"/>
    <w:rsid w:val="008B2903"/>
    <w:rsid w:val="008B2956"/>
    <w:rsid w:val="008B2BCA"/>
    <w:rsid w:val="008B3240"/>
    <w:rsid w:val="008B37F8"/>
    <w:rsid w:val="008B3FC5"/>
    <w:rsid w:val="008B45BA"/>
    <w:rsid w:val="008B48DE"/>
    <w:rsid w:val="008B501C"/>
    <w:rsid w:val="008B51C0"/>
    <w:rsid w:val="008B5382"/>
    <w:rsid w:val="008B561D"/>
    <w:rsid w:val="008B568F"/>
    <w:rsid w:val="008B5737"/>
    <w:rsid w:val="008B574C"/>
    <w:rsid w:val="008B5ACF"/>
    <w:rsid w:val="008B5D6F"/>
    <w:rsid w:val="008B5DD8"/>
    <w:rsid w:val="008B64E9"/>
    <w:rsid w:val="008B6663"/>
    <w:rsid w:val="008B6C64"/>
    <w:rsid w:val="008B6CE1"/>
    <w:rsid w:val="008B6FD5"/>
    <w:rsid w:val="008B70CC"/>
    <w:rsid w:val="008B71E0"/>
    <w:rsid w:val="008B7302"/>
    <w:rsid w:val="008B7548"/>
    <w:rsid w:val="008B7D50"/>
    <w:rsid w:val="008C0182"/>
    <w:rsid w:val="008C0651"/>
    <w:rsid w:val="008C1567"/>
    <w:rsid w:val="008C15F9"/>
    <w:rsid w:val="008C1849"/>
    <w:rsid w:val="008C1868"/>
    <w:rsid w:val="008C1BCA"/>
    <w:rsid w:val="008C258F"/>
    <w:rsid w:val="008C2AD4"/>
    <w:rsid w:val="008C2B30"/>
    <w:rsid w:val="008C2BEA"/>
    <w:rsid w:val="008C2DF8"/>
    <w:rsid w:val="008C30D6"/>
    <w:rsid w:val="008C320F"/>
    <w:rsid w:val="008C3475"/>
    <w:rsid w:val="008C37D2"/>
    <w:rsid w:val="008C3E19"/>
    <w:rsid w:val="008C4196"/>
    <w:rsid w:val="008C4591"/>
    <w:rsid w:val="008C48D4"/>
    <w:rsid w:val="008C4B36"/>
    <w:rsid w:val="008C5043"/>
    <w:rsid w:val="008C57CB"/>
    <w:rsid w:val="008C580D"/>
    <w:rsid w:val="008C59EB"/>
    <w:rsid w:val="008C5AD5"/>
    <w:rsid w:val="008C5B36"/>
    <w:rsid w:val="008C5F0D"/>
    <w:rsid w:val="008C6067"/>
    <w:rsid w:val="008C60AC"/>
    <w:rsid w:val="008C626A"/>
    <w:rsid w:val="008C62C9"/>
    <w:rsid w:val="008C6352"/>
    <w:rsid w:val="008C6988"/>
    <w:rsid w:val="008C6A5D"/>
    <w:rsid w:val="008C6EAA"/>
    <w:rsid w:val="008C6EE8"/>
    <w:rsid w:val="008C7112"/>
    <w:rsid w:val="008C7126"/>
    <w:rsid w:val="008C7653"/>
    <w:rsid w:val="008C77C8"/>
    <w:rsid w:val="008C77D8"/>
    <w:rsid w:val="008C7822"/>
    <w:rsid w:val="008C7AAA"/>
    <w:rsid w:val="008C7DAA"/>
    <w:rsid w:val="008C7ECE"/>
    <w:rsid w:val="008D00AB"/>
    <w:rsid w:val="008D03AD"/>
    <w:rsid w:val="008D0501"/>
    <w:rsid w:val="008D07A0"/>
    <w:rsid w:val="008D0B43"/>
    <w:rsid w:val="008D0E96"/>
    <w:rsid w:val="008D0F0F"/>
    <w:rsid w:val="008D10C8"/>
    <w:rsid w:val="008D1628"/>
    <w:rsid w:val="008D17F5"/>
    <w:rsid w:val="008D1941"/>
    <w:rsid w:val="008D1C3D"/>
    <w:rsid w:val="008D1CBE"/>
    <w:rsid w:val="008D1DFE"/>
    <w:rsid w:val="008D1EDF"/>
    <w:rsid w:val="008D1FB4"/>
    <w:rsid w:val="008D206D"/>
    <w:rsid w:val="008D28F0"/>
    <w:rsid w:val="008D2C68"/>
    <w:rsid w:val="008D3063"/>
    <w:rsid w:val="008D338B"/>
    <w:rsid w:val="008D3504"/>
    <w:rsid w:val="008D3893"/>
    <w:rsid w:val="008D3E47"/>
    <w:rsid w:val="008D413B"/>
    <w:rsid w:val="008D47A3"/>
    <w:rsid w:val="008D49A6"/>
    <w:rsid w:val="008D4AE0"/>
    <w:rsid w:val="008D4B6E"/>
    <w:rsid w:val="008D4EE3"/>
    <w:rsid w:val="008D548C"/>
    <w:rsid w:val="008D5711"/>
    <w:rsid w:val="008D579A"/>
    <w:rsid w:val="008D59A5"/>
    <w:rsid w:val="008D59B2"/>
    <w:rsid w:val="008D6030"/>
    <w:rsid w:val="008D610C"/>
    <w:rsid w:val="008D669E"/>
    <w:rsid w:val="008D6BA6"/>
    <w:rsid w:val="008D6CAC"/>
    <w:rsid w:val="008D7222"/>
    <w:rsid w:val="008D7305"/>
    <w:rsid w:val="008D73BF"/>
    <w:rsid w:val="008D7436"/>
    <w:rsid w:val="008D75C5"/>
    <w:rsid w:val="008D7C94"/>
    <w:rsid w:val="008D7D7F"/>
    <w:rsid w:val="008D7F71"/>
    <w:rsid w:val="008E00FF"/>
    <w:rsid w:val="008E02CB"/>
    <w:rsid w:val="008E03D8"/>
    <w:rsid w:val="008E0475"/>
    <w:rsid w:val="008E05F9"/>
    <w:rsid w:val="008E0925"/>
    <w:rsid w:val="008E0E12"/>
    <w:rsid w:val="008E1301"/>
    <w:rsid w:val="008E1394"/>
    <w:rsid w:val="008E1788"/>
    <w:rsid w:val="008E1894"/>
    <w:rsid w:val="008E1A18"/>
    <w:rsid w:val="008E1A97"/>
    <w:rsid w:val="008E1C4C"/>
    <w:rsid w:val="008E1CFF"/>
    <w:rsid w:val="008E1D3D"/>
    <w:rsid w:val="008E1F47"/>
    <w:rsid w:val="008E1FFA"/>
    <w:rsid w:val="008E21AE"/>
    <w:rsid w:val="008E21CA"/>
    <w:rsid w:val="008E28A3"/>
    <w:rsid w:val="008E28F8"/>
    <w:rsid w:val="008E29E4"/>
    <w:rsid w:val="008E2A22"/>
    <w:rsid w:val="008E2C6B"/>
    <w:rsid w:val="008E2D4E"/>
    <w:rsid w:val="008E30EF"/>
    <w:rsid w:val="008E3971"/>
    <w:rsid w:val="008E3BE8"/>
    <w:rsid w:val="008E3CE4"/>
    <w:rsid w:val="008E4A5D"/>
    <w:rsid w:val="008E4B79"/>
    <w:rsid w:val="008E4D8C"/>
    <w:rsid w:val="008E4E9E"/>
    <w:rsid w:val="008E4F22"/>
    <w:rsid w:val="008E527F"/>
    <w:rsid w:val="008E52FD"/>
    <w:rsid w:val="008E5B64"/>
    <w:rsid w:val="008E5E59"/>
    <w:rsid w:val="008E5F71"/>
    <w:rsid w:val="008E6217"/>
    <w:rsid w:val="008E6400"/>
    <w:rsid w:val="008E6525"/>
    <w:rsid w:val="008E668A"/>
    <w:rsid w:val="008E6A9A"/>
    <w:rsid w:val="008E6D97"/>
    <w:rsid w:val="008E7110"/>
    <w:rsid w:val="008E78AD"/>
    <w:rsid w:val="008E7B1D"/>
    <w:rsid w:val="008E7E70"/>
    <w:rsid w:val="008E7FB2"/>
    <w:rsid w:val="008F000C"/>
    <w:rsid w:val="008F01D9"/>
    <w:rsid w:val="008F04A6"/>
    <w:rsid w:val="008F05E2"/>
    <w:rsid w:val="008F07F5"/>
    <w:rsid w:val="008F092B"/>
    <w:rsid w:val="008F0E70"/>
    <w:rsid w:val="008F134A"/>
    <w:rsid w:val="008F13F1"/>
    <w:rsid w:val="008F1498"/>
    <w:rsid w:val="008F14FA"/>
    <w:rsid w:val="008F19FD"/>
    <w:rsid w:val="008F1B17"/>
    <w:rsid w:val="008F233E"/>
    <w:rsid w:val="008F235A"/>
    <w:rsid w:val="008F26C8"/>
    <w:rsid w:val="008F2F33"/>
    <w:rsid w:val="008F3147"/>
    <w:rsid w:val="008F3175"/>
    <w:rsid w:val="008F3187"/>
    <w:rsid w:val="008F33E3"/>
    <w:rsid w:val="008F34E8"/>
    <w:rsid w:val="008F36B2"/>
    <w:rsid w:val="008F3841"/>
    <w:rsid w:val="008F3999"/>
    <w:rsid w:val="008F3B69"/>
    <w:rsid w:val="008F41F7"/>
    <w:rsid w:val="008F453A"/>
    <w:rsid w:val="008F48FC"/>
    <w:rsid w:val="008F4F60"/>
    <w:rsid w:val="008F51EF"/>
    <w:rsid w:val="008F52B2"/>
    <w:rsid w:val="008F53E4"/>
    <w:rsid w:val="008F5708"/>
    <w:rsid w:val="008F5901"/>
    <w:rsid w:val="008F5C8A"/>
    <w:rsid w:val="008F5E59"/>
    <w:rsid w:val="008F60FF"/>
    <w:rsid w:val="008F61BE"/>
    <w:rsid w:val="008F6752"/>
    <w:rsid w:val="008F68B2"/>
    <w:rsid w:val="008F6B68"/>
    <w:rsid w:val="008F7C5B"/>
    <w:rsid w:val="008F7D44"/>
    <w:rsid w:val="00900005"/>
    <w:rsid w:val="009001DF"/>
    <w:rsid w:val="009001F7"/>
    <w:rsid w:val="0090024F"/>
    <w:rsid w:val="009002D2"/>
    <w:rsid w:val="00900FCF"/>
    <w:rsid w:val="00901041"/>
    <w:rsid w:val="00901148"/>
    <w:rsid w:val="0090124D"/>
    <w:rsid w:val="009014A6"/>
    <w:rsid w:val="00901902"/>
    <w:rsid w:val="0090194A"/>
    <w:rsid w:val="009019AA"/>
    <w:rsid w:val="00901D3C"/>
    <w:rsid w:val="009020B9"/>
    <w:rsid w:val="009020F5"/>
    <w:rsid w:val="0090230D"/>
    <w:rsid w:val="00902833"/>
    <w:rsid w:val="00902B83"/>
    <w:rsid w:val="00902FCC"/>
    <w:rsid w:val="0090307D"/>
    <w:rsid w:val="00903121"/>
    <w:rsid w:val="009036BD"/>
    <w:rsid w:val="00903DE5"/>
    <w:rsid w:val="009041F0"/>
    <w:rsid w:val="00904556"/>
    <w:rsid w:val="00904564"/>
    <w:rsid w:val="0090463F"/>
    <w:rsid w:val="00904A60"/>
    <w:rsid w:val="00904ABD"/>
    <w:rsid w:val="00904B6A"/>
    <w:rsid w:val="00904B9A"/>
    <w:rsid w:val="00904EC4"/>
    <w:rsid w:val="009050CE"/>
    <w:rsid w:val="00905A07"/>
    <w:rsid w:val="00905A7E"/>
    <w:rsid w:val="00905BDD"/>
    <w:rsid w:val="00905EBD"/>
    <w:rsid w:val="0090609A"/>
    <w:rsid w:val="00906113"/>
    <w:rsid w:val="00906749"/>
    <w:rsid w:val="00906C67"/>
    <w:rsid w:val="00906F32"/>
    <w:rsid w:val="00906FFE"/>
    <w:rsid w:val="009070A6"/>
    <w:rsid w:val="009073F9"/>
    <w:rsid w:val="009077E5"/>
    <w:rsid w:val="00907985"/>
    <w:rsid w:val="00907A74"/>
    <w:rsid w:val="00907AD1"/>
    <w:rsid w:val="00907F75"/>
    <w:rsid w:val="0091024B"/>
    <w:rsid w:val="00910498"/>
    <w:rsid w:val="0091068D"/>
    <w:rsid w:val="0091081B"/>
    <w:rsid w:val="00910B06"/>
    <w:rsid w:val="00910C10"/>
    <w:rsid w:val="00910CE3"/>
    <w:rsid w:val="00910EA2"/>
    <w:rsid w:val="00910EA5"/>
    <w:rsid w:val="009111C1"/>
    <w:rsid w:val="00911539"/>
    <w:rsid w:val="00911AAA"/>
    <w:rsid w:val="00911ADD"/>
    <w:rsid w:val="00911DD6"/>
    <w:rsid w:val="00911E8C"/>
    <w:rsid w:val="009121B7"/>
    <w:rsid w:val="009126C8"/>
    <w:rsid w:val="009129DE"/>
    <w:rsid w:val="00912B74"/>
    <w:rsid w:val="00912B86"/>
    <w:rsid w:val="00912C9E"/>
    <w:rsid w:val="00913081"/>
    <w:rsid w:val="009135BC"/>
    <w:rsid w:val="009138A9"/>
    <w:rsid w:val="00913DF4"/>
    <w:rsid w:val="00913F66"/>
    <w:rsid w:val="0091408B"/>
    <w:rsid w:val="009144E8"/>
    <w:rsid w:val="00914B20"/>
    <w:rsid w:val="00914DC5"/>
    <w:rsid w:val="00914EA5"/>
    <w:rsid w:val="00915408"/>
    <w:rsid w:val="00915414"/>
    <w:rsid w:val="00915451"/>
    <w:rsid w:val="009154B0"/>
    <w:rsid w:val="009158C2"/>
    <w:rsid w:val="00915E0E"/>
    <w:rsid w:val="00915F88"/>
    <w:rsid w:val="00916886"/>
    <w:rsid w:val="00916B03"/>
    <w:rsid w:val="00916C32"/>
    <w:rsid w:val="00916EE8"/>
    <w:rsid w:val="009170CE"/>
    <w:rsid w:val="0091712F"/>
    <w:rsid w:val="0091741E"/>
    <w:rsid w:val="009176F5"/>
    <w:rsid w:val="00917AA5"/>
    <w:rsid w:val="00917DB1"/>
    <w:rsid w:val="00920004"/>
    <w:rsid w:val="009201AF"/>
    <w:rsid w:val="00920A10"/>
    <w:rsid w:val="00920AF7"/>
    <w:rsid w:val="00921094"/>
    <w:rsid w:val="00921592"/>
    <w:rsid w:val="009219A0"/>
    <w:rsid w:val="00921A5F"/>
    <w:rsid w:val="00921A69"/>
    <w:rsid w:val="00921B2F"/>
    <w:rsid w:val="00922030"/>
    <w:rsid w:val="0092230A"/>
    <w:rsid w:val="0092275A"/>
    <w:rsid w:val="00922F37"/>
    <w:rsid w:val="0092305B"/>
    <w:rsid w:val="009230EF"/>
    <w:rsid w:val="00923137"/>
    <w:rsid w:val="0092319A"/>
    <w:rsid w:val="009231D1"/>
    <w:rsid w:val="0092399E"/>
    <w:rsid w:val="00923D78"/>
    <w:rsid w:val="00923D8D"/>
    <w:rsid w:val="00923DE9"/>
    <w:rsid w:val="00923EEE"/>
    <w:rsid w:val="00923F58"/>
    <w:rsid w:val="009247AD"/>
    <w:rsid w:val="009248AD"/>
    <w:rsid w:val="00924907"/>
    <w:rsid w:val="009249CE"/>
    <w:rsid w:val="00924EA8"/>
    <w:rsid w:val="009250C0"/>
    <w:rsid w:val="0092511E"/>
    <w:rsid w:val="00925521"/>
    <w:rsid w:val="009255D6"/>
    <w:rsid w:val="009257CF"/>
    <w:rsid w:val="00925CDE"/>
    <w:rsid w:val="00925EDA"/>
    <w:rsid w:val="00925F87"/>
    <w:rsid w:val="00926139"/>
    <w:rsid w:val="00926855"/>
    <w:rsid w:val="00926B7F"/>
    <w:rsid w:val="00926C6D"/>
    <w:rsid w:val="0092723A"/>
    <w:rsid w:val="00927335"/>
    <w:rsid w:val="00927394"/>
    <w:rsid w:val="00927595"/>
    <w:rsid w:val="00927695"/>
    <w:rsid w:val="00927B80"/>
    <w:rsid w:val="00927E16"/>
    <w:rsid w:val="00927F2F"/>
    <w:rsid w:val="009301C3"/>
    <w:rsid w:val="009302CE"/>
    <w:rsid w:val="009303FB"/>
    <w:rsid w:val="00930419"/>
    <w:rsid w:val="00930472"/>
    <w:rsid w:val="009304C8"/>
    <w:rsid w:val="00930537"/>
    <w:rsid w:val="009308ED"/>
    <w:rsid w:val="00930BC0"/>
    <w:rsid w:val="00930F75"/>
    <w:rsid w:val="0093177A"/>
    <w:rsid w:val="00931888"/>
    <w:rsid w:val="00931E3C"/>
    <w:rsid w:val="00931F77"/>
    <w:rsid w:val="00932205"/>
    <w:rsid w:val="0093243E"/>
    <w:rsid w:val="009325E5"/>
    <w:rsid w:val="00932883"/>
    <w:rsid w:val="00932A42"/>
    <w:rsid w:val="00932B09"/>
    <w:rsid w:val="00932E44"/>
    <w:rsid w:val="009333B1"/>
    <w:rsid w:val="0093356A"/>
    <w:rsid w:val="009335EA"/>
    <w:rsid w:val="00933616"/>
    <w:rsid w:val="00933A7C"/>
    <w:rsid w:val="00933D79"/>
    <w:rsid w:val="00933DD8"/>
    <w:rsid w:val="0093432C"/>
    <w:rsid w:val="0093483F"/>
    <w:rsid w:val="009359E3"/>
    <w:rsid w:val="00936382"/>
    <w:rsid w:val="00936738"/>
    <w:rsid w:val="00936A09"/>
    <w:rsid w:val="00936DAE"/>
    <w:rsid w:val="00937002"/>
    <w:rsid w:val="0093708B"/>
    <w:rsid w:val="009370E6"/>
    <w:rsid w:val="0093743D"/>
    <w:rsid w:val="0093784A"/>
    <w:rsid w:val="00937B84"/>
    <w:rsid w:val="00937BC4"/>
    <w:rsid w:val="00937D55"/>
    <w:rsid w:val="00937EE0"/>
    <w:rsid w:val="0094013B"/>
    <w:rsid w:val="009408FE"/>
    <w:rsid w:val="00940950"/>
    <w:rsid w:val="00940F01"/>
    <w:rsid w:val="009415E8"/>
    <w:rsid w:val="00941639"/>
    <w:rsid w:val="00941690"/>
    <w:rsid w:val="00941A1D"/>
    <w:rsid w:val="00941C38"/>
    <w:rsid w:val="00941CB0"/>
    <w:rsid w:val="00942193"/>
    <w:rsid w:val="00942313"/>
    <w:rsid w:val="009423BD"/>
    <w:rsid w:val="0094246A"/>
    <w:rsid w:val="00942B1B"/>
    <w:rsid w:val="00942EAA"/>
    <w:rsid w:val="00942F8B"/>
    <w:rsid w:val="00943419"/>
    <w:rsid w:val="00943971"/>
    <w:rsid w:val="00943A2C"/>
    <w:rsid w:val="00943E55"/>
    <w:rsid w:val="009445B0"/>
    <w:rsid w:val="009446F0"/>
    <w:rsid w:val="00944B46"/>
    <w:rsid w:val="00944DCC"/>
    <w:rsid w:val="00944F23"/>
    <w:rsid w:val="009450FE"/>
    <w:rsid w:val="00945157"/>
    <w:rsid w:val="009452AC"/>
    <w:rsid w:val="00945485"/>
    <w:rsid w:val="009455BD"/>
    <w:rsid w:val="00945C32"/>
    <w:rsid w:val="00945C8F"/>
    <w:rsid w:val="00946201"/>
    <w:rsid w:val="0094644F"/>
    <w:rsid w:val="00946652"/>
    <w:rsid w:val="009466D3"/>
    <w:rsid w:val="00946979"/>
    <w:rsid w:val="00946B57"/>
    <w:rsid w:val="00946FAD"/>
    <w:rsid w:val="00947474"/>
    <w:rsid w:val="009479F8"/>
    <w:rsid w:val="009506E2"/>
    <w:rsid w:val="009509C8"/>
    <w:rsid w:val="00950B2E"/>
    <w:rsid w:val="00950BBD"/>
    <w:rsid w:val="00950FCF"/>
    <w:rsid w:val="00951270"/>
    <w:rsid w:val="009512B8"/>
    <w:rsid w:val="0095163A"/>
    <w:rsid w:val="009516F6"/>
    <w:rsid w:val="00951AEB"/>
    <w:rsid w:val="00951D1C"/>
    <w:rsid w:val="00951D23"/>
    <w:rsid w:val="00951EBA"/>
    <w:rsid w:val="00952093"/>
    <w:rsid w:val="0095215B"/>
    <w:rsid w:val="00952429"/>
    <w:rsid w:val="00952EAD"/>
    <w:rsid w:val="009530E5"/>
    <w:rsid w:val="0095328E"/>
    <w:rsid w:val="009536FC"/>
    <w:rsid w:val="009541D7"/>
    <w:rsid w:val="0095426A"/>
    <w:rsid w:val="009543BB"/>
    <w:rsid w:val="0095455F"/>
    <w:rsid w:val="00954BD6"/>
    <w:rsid w:val="00954CEC"/>
    <w:rsid w:val="00954D87"/>
    <w:rsid w:val="00954E59"/>
    <w:rsid w:val="00955CBA"/>
    <w:rsid w:val="00955FB5"/>
    <w:rsid w:val="009563C0"/>
    <w:rsid w:val="009564C9"/>
    <w:rsid w:val="00956787"/>
    <w:rsid w:val="00956896"/>
    <w:rsid w:val="009576F1"/>
    <w:rsid w:val="0095773C"/>
    <w:rsid w:val="00957C1B"/>
    <w:rsid w:val="00957E8B"/>
    <w:rsid w:val="009604C4"/>
    <w:rsid w:val="009606D0"/>
    <w:rsid w:val="00960D74"/>
    <w:rsid w:val="00960E47"/>
    <w:rsid w:val="00960F7D"/>
    <w:rsid w:val="0096120C"/>
    <w:rsid w:val="009613A2"/>
    <w:rsid w:val="0096141C"/>
    <w:rsid w:val="009619B4"/>
    <w:rsid w:val="00961DE1"/>
    <w:rsid w:val="00961E9C"/>
    <w:rsid w:val="00962D1B"/>
    <w:rsid w:val="00962E14"/>
    <w:rsid w:val="00962EC1"/>
    <w:rsid w:val="009636B9"/>
    <w:rsid w:val="0096393C"/>
    <w:rsid w:val="00963BFD"/>
    <w:rsid w:val="00963D9E"/>
    <w:rsid w:val="00964089"/>
    <w:rsid w:val="0096410E"/>
    <w:rsid w:val="009645AC"/>
    <w:rsid w:val="00964A1F"/>
    <w:rsid w:val="00964ABF"/>
    <w:rsid w:val="00964AD7"/>
    <w:rsid w:val="00964D55"/>
    <w:rsid w:val="00965143"/>
    <w:rsid w:val="00965485"/>
    <w:rsid w:val="00965619"/>
    <w:rsid w:val="00965B0F"/>
    <w:rsid w:val="00965BEA"/>
    <w:rsid w:val="00965CAD"/>
    <w:rsid w:val="0096602B"/>
    <w:rsid w:val="0096632F"/>
    <w:rsid w:val="00966805"/>
    <w:rsid w:val="00966B88"/>
    <w:rsid w:val="00966CDD"/>
    <w:rsid w:val="00966E14"/>
    <w:rsid w:val="00966E54"/>
    <w:rsid w:val="009670AF"/>
    <w:rsid w:val="00967A79"/>
    <w:rsid w:val="00967B9C"/>
    <w:rsid w:val="00967FA1"/>
    <w:rsid w:val="009700C9"/>
    <w:rsid w:val="00970BD9"/>
    <w:rsid w:val="00970EA4"/>
    <w:rsid w:val="00970FBB"/>
    <w:rsid w:val="00971522"/>
    <w:rsid w:val="00971A17"/>
    <w:rsid w:val="00971B9B"/>
    <w:rsid w:val="00971D85"/>
    <w:rsid w:val="00971DF9"/>
    <w:rsid w:val="00971FA1"/>
    <w:rsid w:val="009720E3"/>
    <w:rsid w:val="00972CB8"/>
    <w:rsid w:val="009737F5"/>
    <w:rsid w:val="009738BA"/>
    <w:rsid w:val="00973A2F"/>
    <w:rsid w:val="00973E07"/>
    <w:rsid w:val="00973F66"/>
    <w:rsid w:val="009741D8"/>
    <w:rsid w:val="009742F3"/>
    <w:rsid w:val="0097466B"/>
    <w:rsid w:val="00974945"/>
    <w:rsid w:val="009753A8"/>
    <w:rsid w:val="009755AB"/>
    <w:rsid w:val="009757D5"/>
    <w:rsid w:val="00975838"/>
    <w:rsid w:val="0097585F"/>
    <w:rsid w:val="00975A3C"/>
    <w:rsid w:val="00975B97"/>
    <w:rsid w:val="00975F13"/>
    <w:rsid w:val="00975F49"/>
    <w:rsid w:val="0097696C"/>
    <w:rsid w:val="00977014"/>
    <w:rsid w:val="009776FA"/>
    <w:rsid w:val="00977772"/>
    <w:rsid w:val="00977846"/>
    <w:rsid w:val="00977993"/>
    <w:rsid w:val="00977DB5"/>
    <w:rsid w:val="00977FA5"/>
    <w:rsid w:val="0098015A"/>
    <w:rsid w:val="00980351"/>
    <w:rsid w:val="009805A7"/>
    <w:rsid w:val="009806CA"/>
    <w:rsid w:val="00980AD3"/>
    <w:rsid w:val="00980B6C"/>
    <w:rsid w:val="00980F0B"/>
    <w:rsid w:val="00980F0D"/>
    <w:rsid w:val="0098158D"/>
    <w:rsid w:val="009819D9"/>
    <w:rsid w:val="00981CAE"/>
    <w:rsid w:val="00981FA8"/>
    <w:rsid w:val="00982088"/>
    <w:rsid w:val="00982125"/>
    <w:rsid w:val="00982358"/>
    <w:rsid w:val="009823D9"/>
    <w:rsid w:val="0098253B"/>
    <w:rsid w:val="009829B9"/>
    <w:rsid w:val="00982B6F"/>
    <w:rsid w:val="00983235"/>
    <w:rsid w:val="009834B4"/>
    <w:rsid w:val="00983A0A"/>
    <w:rsid w:val="00983AB5"/>
    <w:rsid w:val="00983DCF"/>
    <w:rsid w:val="00983EFD"/>
    <w:rsid w:val="009841FC"/>
    <w:rsid w:val="009844F1"/>
    <w:rsid w:val="009845C8"/>
    <w:rsid w:val="00984682"/>
    <w:rsid w:val="009847AA"/>
    <w:rsid w:val="00984A6C"/>
    <w:rsid w:val="00984D4C"/>
    <w:rsid w:val="009850A0"/>
    <w:rsid w:val="009857EF"/>
    <w:rsid w:val="00985AC6"/>
    <w:rsid w:val="00985C96"/>
    <w:rsid w:val="00985D98"/>
    <w:rsid w:val="00985FC0"/>
    <w:rsid w:val="00986069"/>
    <w:rsid w:val="0098611D"/>
    <w:rsid w:val="00986219"/>
    <w:rsid w:val="009862FF"/>
    <w:rsid w:val="009863EF"/>
    <w:rsid w:val="009864AE"/>
    <w:rsid w:val="00987212"/>
    <w:rsid w:val="009872D2"/>
    <w:rsid w:val="0098735C"/>
    <w:rsid w:val="0098758E"/>
    <w:rsid w:val="0098777E"/>
    <w:rsid w:val="00987A14"/>
    <w:rsid w:val="00987BA7"/>
    <w:rsid w:val="0099003A"/>
    <w:rsid w:val="009901AA"/>
    <w:rsid w:val="00990655"/>
    <w:rsid w:val="009908F4"/>
    <w:rsid w:val="009909F9"/>
    <w:rsid w:val="00990BDA"/>
    <w:rsid w:val="00990C0A"/>
    <w:rsid w:val="00990DDE"/>
    <w:rsid w:val="00990F7C"/>
    <w:rsid w:val="00990FB6"/>
    <w:rsid w:val="0099114E"/>
    <w:rsid w:val="00991222"/>
    <w:rsid w:val="0099158E"/>
    <w:rsid w:val="00991685"/>
    <w:rsid w:val="00991B1A"/>
    <w:rsid w:val="00991D8D"/>
    <w:rsid w:val="00991F38"/>
    <w:rsid w:val="00992041"/>
    <w:rsid w:val="00992179"/>
    <w:rsid w:val="009921E7"/>
    <w:rsid w:val="0099264D"/>
    <w:rsid w:val="0099264F"/>
    <w:rsid w:val="00992802"/>
    <w:rsid w:val="009928C6"/>
    <w:rsid w:val="0099295A"/>
    <w:rsid w:val="0099298A"/>
    <w:rsid w:val="0099308D"/>
    <w:rsid w:val="009936A7"/>
    <w:rsid w:val="00993B80"/>
    <w:rsid w:val="0099409E"/>
    <w:rsid w:val="00994274"/>
    <w:rsid w:val="00994305"/>
    <w:rsid w:val="00994653"/>
    <w:rsid w:val="0099474E"/>
    <w:rsid w:val="0099479A"/>
    <w:rsid w:val="009948F1"/>
    <w:rsid w:val="00994994"/>
    <w:rsid w:val="00994F80"/>
    <w:rsid w:val="009954E6"/>
    <w:rsid w:val="0099575D"/>
    <w:rsid w:val="009957CB"/>
    <w:rsid w:val="00995A25"/>
    <w:rsid w:val="00995D20"/>
    <w:rsid w:val="00995F1F"/>
    <w:rsid w:val="009960AB"/>
    <w:rsid w:val="009963C4"/>
    <w:rsid w:val="00996749"/>
    <w:rsid w:val="00996941"/>
    <w:rsid w:val="00996A2F"/>
    <w:rsid w:val="00996A69"/>
    <w:rsid w:val="00996AEE"/>
    <w:rsid w:val="00996B53"/>
    <w:rsid w:val="009971B9"/>
    <w:rsid w:val="00997417"/>
    <w:rsid w:val="009975F5"/>
    <w:rsid w:val="0099784D"/>
    <w:rsid w:val="00997FC7"/>
    <w:rsid w:val="009A0B64"/>
    <w:rsid w:val="009A0CB3"/>
    <w:rsid w:val="009A0F21"/>
    <w:rsid w:val="009A1321"/>
    <w:rsid w:val="009A1563"/>
    <w:rsid w:val="009A1A81"/>
    <w:rsid w:val="009A1E4F"/>
    <w:rsid w:val="009A21E2"/>
    <w:rsid w:val="009A21E3"/>
    <w:rsid w:val="009A268F"/>
    <w:rsid w:val="009A2A18"/>
    <w:rsid w:val="009A2D03"/>
    <w:rsid w:val="009A343A"/>
    <w:rsid w:val="009A3822"/>
    <w:rsid w:val="009A38D3"/>
    <w:rsid w:val="009A39A8"/>
    <w:rsid w:val="009A39DC"/>
    <w:rsid w:val="009A3F27"/>
    <w:rsid w:val="009A40D7"/>
    <w:rsid w:val="009A42A9"/>
    <w:rsid w:val="009A43FC"/>
    <w:rsid w:val="009A46E9"/>
    <w:rsid w:val="009A4965"/>
    <w:rsid w:val="009A4A80"/>
    <w:rsid w:val="009A4BC8"/>
    <w:rsid w:val="009A4EE2"/>
    <w:rsid w:val="009A4FEB"/>
    <w:rsid w:val="009A5035"/>
    <w:rsid w:val="009A5115"/>
    <w:rsid w:val="009A52B5"/>
    <w:rsid w:val="009A531C"/>
    <w:rsid w:val="009A5753"/>
    <w:rsid w:val="009A57EB"/>
    <w:rsid w:val="009A606E"/>
    <w:rsid w:val="009A6437"/>
    <w:rsid w:val="009A6465"/>
    <w:rsid w:val="009A65B0"/>
    <w:rsid w:val="009A6612"/>
    <w:rsid w:val="009A67A3"/>
    <w:rsid w:val="009A68C8"/>
    <w:rsid w:val="009A699B"/>
    <w:rsid w:val="009A6CA4"/>
    <w:rsid w:val="009A7168"/>
    <w:rsid w:val="009A71BC"/>
    <w:rsid w:val="009A73EF"/>
    <w:rsid w:val="009A7BA5"/>
    <w:rsid w:val="009B09DE"/>
    <w:rsid w:val="009B103D"/>
    <w:rsid w:val="009B1313"/>
    <w:rsid w:val="009B134F"/>
    <w:rsid w:val="009B1569"/>
    <w:rsid w:val="009B162D"/>
    <w:rsid w:val="009B180C"/>
    <w:rsid w:val="009B1A59"/>
    <w:rsid w:val="009B2036"/>
    <w:rsid w:val="009B23D4"/>
    <w:rsid w:val="009B2D58"/>
    <w:rsid w:val="009B2E91"/>
    <w:rsid w:val="009B3624"/>
    <w:rsid w:val="009B3E75"/>
    <w:rsid w:val="009B3EBA"/>
    <w:rsid w:val="009B3EFA"/>
    <w:rsid w:val="009B42F4"/>
    <w:rsid w:val="009B4A9B"/>
    <w:rsid w:val="009B5039"/>
    <w:rsid w:val="009B570F"/>
    <w:rsid w:val="009B585F"/>
    <w:rsid w:val="009B5C4A"/>
    <w:rsid w:val="009B6A33"/>
    <w:rsid w:val="009B6DDA"/>
    <w:rsid w:val="009B6E04"/>
    <w:rsid w:val="009B6EBC"/>
    <w:rsid w:val="009B7413"/>
    <w:rsid w:val="009B74CB"/>
    <w:rsid w:val="009B7606"/>
    <w:rsid w:val="009B7A84"/>
    <w:rsid w:val="009B7A96"/>
    <w:rsid w:val="009B7ACB"/>
    <w:rsid w:val="009B7BF3"/>
    <w:rsid w:val="009B7C85"/>
    <w:rsid w:val="009B7E02"/>
    <w:rsid w:val="009B7E22"/>
    <w:rsid w:val="009B7F90"/>
    <w:rsid w:val="009B7FD9"/>
    <w:rsid w:val="009C04E9"/>
    <w:rsid w:val="009C08B7"/>
    <w:rsid w:val="009C09B8"/>
    <w:rsid w:val="009C0B9A"/>
    <w:rsid w:val="009C0D95"/>
    <w:rsid w:val="009C0ED1"/>
    <w:rsid w:val="009C0F3A"/>
    <w:rsid w:val="009C1633"/>
    <w:rsid w:val="009C1655"/>
    <w:rsid w:val="009C17C5"/>
    <w:rsid w:val="009C17E2"/>
    <w:rsid w:val="009C181F"/>
    <w:rsid w:val="009C1AD6"/>
    <w:rsid w:val="009C202A"/>
    <w:rsid w:val="009C2214"/>
    <w:rsid w:val="009C22A9"/>
    <w:rsid w:val="009C239A"/>
    <w:rsid w:val="009C25A4"/>
    <w:rsid w:val="009C2E53"/>
    <w:rsid w:val="009C3130"/>
    <w:rsid w:val="009C34BB"/>
    <w:rsid w:val="009C3668"/>
    <w:rsid w:val="009C36AB"/>
    <w:rsid w:val="009C387F"/>
    <w:rsid w:val="009C3BC4"/>
    <w:rsid w:val="009C404D"/>
    <w:rsid w:val="009C42BD"/>
    <w:rsid w:val="009C42D6"/>
    <w:rsid w:val="009C489D"/>
    <w:rsid w:val="009C4A1B"/>
    <w:rsid w:val="009C4AE7"/>
    <w:rsid w:val="009C4CDB"/>
    <w:rsid w:val="009C4D09"/>
    <w:rsid w:val="009C4DC8"/>
    <w:rsid w:val="009C4ECF"/>
    <w:rsid w:val="009C539E"/>
    <w:rsid w:val="009C53E7"/>
    <w:rsid w:val="009C610F"/>
    <w:rsid w:val="009C659F"/>
    <w:rsid w:val="009C65A2"/>
    <w:rsid w:val="009C673A"/>
    <w:rsid w:val="009C6DB8"/>
    <w:rsid w:val="009C6EA2"/>
    <w:rsid w:val="009C6ECF"/>
    <w:rsid w:val="009C70D8"/>
    <w:rsid w:val="009C73E3"/>
    <w:rsid w:val="009C7615"/>
    <w:rsid w:val="009C7762"/>
    <w:rsid w:val="009C77BF"/>
    <w:rsid w:val="009C7959"/>
    <w:rsid w:val="009C7AE3"/>
    <w:rsid w:val="009C7C37"/>
    <w:rsid w:val="009C7CDD"/>
    <w:rsid w:val="009D0196"/>
    <w:rsid w:val="009D03AC"/>
    <w:rsid w:val="009D0DB2"/>
    <w:rsid w:val="009D0FD1"/>
    <w:rsid w:val="009D1077"/>
    <w:rsid w:val="009D11E4"/>
    <w:rsid w:val="009D1A78"/>
    <w:rsid w:val="009D1AA9"/>
    <w:rsid w:val="009D1BD6"/>
    <w:rsid w:val="009D2096"/>
    <w:rsid w:val="009D2210"/>
    <w:rsid w:val="009D23A2"/>
    <w:rsid w:val="009D2484"/>
    <w:rsid w:val="009D2529"/>
    <w:rsid w:val="009D262A"/>
    <w:rsid w:val="009D29C9"/>
    <w:rsid w:val="009D2B03"/>
    <w:rsid w:val="009D2F81"/>
    <w:rsid w:val="009D302B"/>
    <w:rsid w:val="009D343D"/>
    <w:rsid w:val="009D3502"/>
    <w:rsid w:val="009D39D6"/>
    <w:rsid w:val="009D3BF0"/>
    <w:rsid w:val="009D3F97"/>
    <w:rsid w:val="009D4309"/>
    <w:rsid w:val="009D4C9F"/>
    <w:rsid w:val="009D4D90"/>
    <w:rsid w:val="009D4F2F"/>
    <w:rsid w:val="009D4F93"/>
    <w:rsid w:val="009D5081"/>
    <w:rsid w:val="009D53F2"/>
    <w:rsid w:val="009D5747"/>
    <w:rsid w:val="009D5986"/>
    <w:rsid w:val="009D5F65"/>
    <w:rsid w:val="009D62D9"/>
    <w:rsid w:val="009D6576"/>
    <w:rsid w:val="009D65A0"/>
    <w:rsid w:val="009D65C9"/>
    <w:rsid w:val="009D6A08"/>
    <w:rsid w:val="009D6AC0"/>
    <w:rsid w:val="009D6CBA"/>
    <w:rsid w:val="009D6D69"/>
    <w:rsid w:val="009D6E07"/>
    <w:rsid w:val="009D7162"/>
    <w:rsid w:val="009D7226"/>
    <w:rsid w:val="009D73E3"/>
    <w:rsid w:val="009D7A5B"/>
    <w:rsid w:val="009D7DCA"/>
    <w:rsid w:val="009D7E2C"/>
    <w:rsid w:val="009D7F1A"/>
    <w:rsid w:val="009E00F5"/>
    <w:rsid w:val="009E05A1"/>
    <w:rsid w:val="009E0E64"/>
    <w:rsid w:val="009E1113"/>
    <w:rsid w:val="009E15BA"/>
    <w:rsid w:val="009E17B4"/>
    <w:rsid w:val="009E17D9"/>
    <w:rsid w:val="009E1A69"/>
    <w:rsid w:val="009E1B6C"/>
    <w:rsid w:val="009E25D4"/>
    <w:rsid w:val="009E3284"/>
    <w:rsid w:val="009E3321"/>
    <w:rsid w:val="009E33BA"/>
    <w:rsid w:val="009E33D7"/>
    <w:rsid w:val="009E34F2"/>
    <w:rsid w:val="009E35A8"/>
    <w:rsid w:val="009E3BC7"/>
    <w:rsid w:val="009E3C8F"/>
    <w:rsid w:val="009E3CEB"/>
    <w:rsid w:val="009E425A"/>
    <w:rsid w:val="009E4E20"/>
    <w:rsid w:val="009E505F"/>
    <w:rsid w:val="009E57F4"/>
    <w:rsid w:val="009E5815"/>
    <w:rsid w:val="009E5C98"/>
    <w:rsid w:val="009E5F03"/>
    <w:rsid w:val="009E6094"/>
    <w:rsid w:val="009E610F"/>
    <w:rsid w:val="009E61EB"/>
    <w:rsid w:val="009E6753"/>
    <w:rsid w:val="009E688A"/>
    <w:rsid w:val="009E692D"/>
    <w:rsid w:val="009E6DDC"/>
    <w:rsid w:val="009E6EA8"/>
    <w:rsid w:val="009E6F32"/>
    <w:rsid w:val="009E717D"/>
    <w:rsid w:val="009E72CB"/>
    <w:rsid w:val="009E73F1"/>
    <w:rsid w:val="009F0591"/>
    <w:rsid w:val="009F08BF"/>
    <w:rsid w:val="009F0C2B"/>
    <w:rsid w:val="009F1158"/>
    <w:rsid w:val="009F12F9"/>
    <w:rsid w:val="009F132D"/>
    <w:rsid w:val="009F14D4"/>
    <w:rsid w:val="009F1C65"/>
    <w:rsid w:val="009F1E95"/>
    <w:rsid w:val="009F222F"/>
    <w:rsid w:val="009F22C2"/>
    <w:rsid w:val="009F22CF"/>
    <w:rsid w:val="009F232F"/>
    <w:rsid w:val="009F289B"/>
    <w:rsid w:val="009F2CA6"/>
    <w:rsid w:val="009F3357"/>
    <w:rsid w:val="009F3547"/>
    <w:rsid w:val="009F364B"/>
    <w:rsid w:val="009F36EC"/>
    <w:rsid w:val="009F384E"/>
    <w:rsid w:val="009F3959"/>
    <w:rsid w:val="009F39E6"/>
    <w:rsid w:val="009F4104"/>
    <w:rsid w:val="009F456B"/>
    <w:rsid w:val="009F48DF"/>
    <w:rsid w:val="009F4B97"/>
    <w:rsid w:val="009F4E0F"/>
    <w:rsid w:val="009F5110"/>
    <w:rsid w:val="009F5237"/>
    <w:rsid w:val="009F52C6"/>
    <w:rsid w:val="009F54BA"/>
    <w:rsid w:val="009F5576"/>
    <w:rsid w:val="009F56AB"/>
    <w:rsid w:val="009F57AF"/>
    <w:rsid w:val="009F58DF"/>
    <w:rsid w:val="009F5D01"/>
    <w:rsid w:val="009F5D02"/>
    <w:rsid w:val="009F5DF3"/>
    <w:rsid w:val="009F6117"/>
    <w:rsid w:val="009F6150"/>
    <w:rsid w:val="009F6229"/>
    <w:rsid w:val="009F622D"/>
    <w:rsid w:val="009F6536"/>
    <w:rsid w:val="009F65D3"/>
    <w:rsid w:val="009F66E8"/>
    <w:rsid w:val="009F6701"/>
    <w:rsid w:val="009F6818"/>
    <w:rsid w:val="009F68F0"/>
    <w:rsid w:val="009F6930"/>
    <w:rsid w:val="009F6E86"/>
    <w:rsid w:val="009F7293"/>
    <w:rsid w:val="009F739F"/>
    <w:rsid w:val="009F7437"/>
    <w:rsid w:val="009F7512"/>
    <w:rsid w:val="009F7748"/>
    <w:rsid w:val="009F7857"/>
    <w:rsid w:val="009F7B53"/>
    <w:rsid w:val="00A00316"/>
    <w:rsid w:val="00A00685"/>
    <w:rsid w:val="00A008B2"/>
    <w:rsid w:val="00A008F4"/>
    <w:rsid w:val="00A00AD7"/>
    <w:rsid w:val="00A00E13"/>
    <w:rsid w:val="00A00FFC"/>
    <w:rsid w:val="00A0182E"/>
    <w:rsid w:val="00A018E6"/>
    <w:rsid w:val="00A01900"/>
    <w:rsid w:val="00A01AE7"/>
    <w:rsid w:val="00A01AF6"/>
    <w:rsid w:val="00A01F60"/>
    <w:rsid w:val="00A02024"/>
    <w:rsid w:val="00A021A1"/>
    <w:rsid w:val="00A02947"/>
    <w:rsid w:val="00A02A36"/>
    <w:rsid w:val="00A02B12"/>
    <w:rsid w:val="00A031EE"/>
    <w:rsid w:val="00A03714"/>
    <w:rsid w:val="00A03768"/>
    <w:rsid w:val="00A037A8"/>
    <w:rsid w:val="00A037CA"/>
    <w:rsid w:val="00A039C8"/>
    <w:rsid w:val="00A03A80"/>
    <w:rsid w:val="00A03B4E"/>
    <w:rsid w:val="00A03DFB"/>
    <w:rsid w:val="00A04005"/>
    <w:rsid w:val="00A04ADC"/>
    <w:rsid w:val="00A04C02"/>
    <w:rsid w:val="00A04F2A"/>
    <w:rsid w:val="00A04F30"/>
    <w:rsid w:val="00A05612"/>
    <w:rsid w:val="00A05749"/>
    <w:rsid w:val="00A05DBE"/>
    <w:rsid w:val="00A05F76"/>
    <w:rsid w:val="00A05FF8"/>
    <w:rsid w:val="00A067BF"/>
    <w:rsid w:val="00A06999"/>
    <w:rsid w:val="00A06ABB"/>
    <w:rsid w:val="00A06AD0"/>
    <w:rsid w:val="00A06C25"/>
    <w:rsid w:val="00A06E22"/>
    <w:rsid w:val="00A07088"/>
    <w:rsid w:val="00A070AF"/>
    <w:rsid w:val="00A0751F"/>
    <w:rsid w:val="00A075DE"/>
    <w:rsid w:val="00A076CB"/>
    <w:rsid w:val="00A077BA"/>
    <w:rsid w:val="00A07AF7"/>
    <w:rsid w:val="00A07B61"/>
    <w:rsid w:val="00A10573"/>
    <w:rsid w:val="00A107DF"/>
    <w:rsid w:val="00A10FDB"/>
    <w:rsid w:val="00A1156A"/>
    <w:rsid w:val="00A11589"/>
    <w:rsid w:val="00A11AD2"/>
    <w:rsid w:val="00A11F58"/>
    <w:rsid w:val="00A12016"/>
    <w:rsid w:val="00A12059"/>
    <w:rsid w:val="00A122AA"/>
    <w:rsid w:val="00A122E1"/>
    <w:rsid w:val="00A1242F"/>
    <w:rsid w:val="00A127A9"/>
    <w:rsid w:val="00A12938"/>
    <w:rsid w:val="00A12C70"/>
    <w:rsid w:val="00A12CE4"/>
    <w:rsid w:val="00A1328C"/>
    <w:rsid w:val="00A13377"/>
    <w:rsid w:val="00A135B0"/>
    <w:rsid w:val="00A13621"/>
    <w:rsid w:val="00A13671"/>
    <w:rsid w:val="00A139D2"/>
    <w:rsid w:val="00A13D50"/>
    <w:rsid w:val="00A1400A"/>
    <w:rsid w:val="00A14085"/>
    <w:rsid w:val="00A141FA"/>
    <w:rsid w:val="00A1429A"/>
    <w:rsid w:val="00A14370"/>
    <w:rsid w:val="00A146D1"/>
    <w:rsid w:val="00A14D51"/>
    <w:rsid w:val="00A14E04"/>
    <w:rsid w:val="00A15012"/>
    <w:rsid w:val="00A1506E"/>
    <w:rsid w:val="00A150E4"/>
    <w:rsid w:val="00A150E9"/>
    <w:rsid w:val="00A1514F"/>
    <w:rsid w:val="00A152D9"/>
    <w:rsid w:val="00A15539"/>
    <w:rsid w:val="00A15544"/>
    <w:rsid w:val="00A1556E"/>
    <w:rsid w:val="00A15EDA"/>
    <w:rsid w:val="00A162F2"/>
    <w:rsid w:val="00A1647D"/>
    <w:rsid w:val="00A16583"/>
    <w:rsid w:val="00A16D1B"/>
    <w:rsid w:val="00A16EEB"/>
    <w:rsid w:val="00A1706F"/>
    <w:rsid w:val="00A17435"/>
    <w:rsid w:val="00A17883"/>
    <w:rsid w:val="00A179E2"/>
    <w:rsid w:val="00A200E6"/>
    <w:rsid w:val="00A20330"/>
    <w:rsid w:val="00A203F9"/>
    <w:rsid w:val="00A205F5"/>
    <w:rsid w:val="00A20838"/>
    <w:rsid w:val="00A20857"/>
    <w:rsid w:val="00A20F23"/>
    <w:rsid w:val="00A21351"/>
    <w:rsid w:val="00A215A1"/>
    <w:rsid w:val="00A217AB"/>
    <w:rsid w:val="00A21B72"/>
    <w:rsid w:val="00A21B97"/>
    <w:rsid w:val="00A21BAC"/>
    <w:rsid w:val="00A221B4"/>
    <w:rsid w:val="00A2235E"/>
    <w:rsid w:val="00A224D2"/>
    <w:rsid w:val="00A2275D"/>
    <w:rsid w:val="00A228E9"/>
    <w:rsid w:val="00A22CC9"/>
    <w:rsid w:val="00A22D11"/>
    <w:rsid w:val="00A22EC6"/>
    <w:rsid w:val="00A23099"/>
    <w:rsid w:val="00A230B8"/>
    <w:rsid w:val="00A23470"/>
    <w:rsid w:val="00A23559"/>
    <w:rsid w:val="00A23C96"/>
    <w:rsid w:val="00A23E9B"/>
    <w:rsid w:val="00A24133"/>
    <w:rsid w:val="00A2458D"/>
    <w:rsid w:val="00A245F3"/>
    <w:rsid w:val="00A24784"/>
    <w:rsid w:val="00A24B48"/>
    <w:rsid w:val="00A24F53"/>
    <w:rsid w:val="00A24F6F"/>
    <w:rsid w:val="00A2511D"/>
    <w:rsid w:val="00A2514B"/>
    <w:rsid w:val="00A25189"/>
    <w:rsid w:val="00A25220"/>
    <w:rsid w:val="00A255A1"/>
    <w:rsid w:val="00A25694"/>
    <w:rsid w:val="00A25ABE"/>
    <w:rsid w:val="00A25CA5"/>
    <w:rsid w:val="00A260B9"/>
    <w:rsid w:val="00A2611F"/>
    <w:rsid w:val="00A2640B"/>
    <w:rsid w:val="00A26418"/>
    <w:rsid w:val="00A2645A"/>
    <w:rsid w:val="00A26C48"/>
    <w:rsid w:val="00A26CA1"/>
    <w:rsid w:val="00A26CAE"/>
    <w:rsid w:val="00A26CE0"/>
    <w:rsid w:val="00A26E88"/>
    <w:rsid w:val="00A2716C"/>
    <w:rsid w:val="00A27245"/>
    <w:rsid w:val="00A27384"/>
    <w:rsid w:val="00A274B1"/>
    <w:rsid w:val="00A27656"/>
    <w:rsid w:val="00A2783B"/>
    <w:rsid w:val="00A278C2"/>
    <w:rsid w:val="00A278ED"/>
    <w:rsid w:val="00A27F34"/>
    <w:rsid w:val="00A3013F"/>
    <w:rsid w:val="00A30214"/>
    <w:rsid w:val="00A30262"/>
    <w:rsid w:val="00A306A3"/>
    <w:rsid w:val="00A306C7"/>
    <w:rsid w:val="00A30851"/>
    <w:rsid w:val="00A308F7"/>
    <w:rsid w:val="00A30A4C"/>
    <w:rsid w:val="00A30B15"/>
    <w:rsid w:val="00A30CDE"/>
    <w:rsid w:val="00A30F44"/>
    <w:rsid w:val="00A31230"/>
    <w:rsid w:val="00A313C7"/>
    <w:rsid w:val="00A314D6"/>
    <w:rsid w:val="00A316C7"/>
    <w:rsid w:val="00A318CD"/>
    <w:rsid w:val="00A31C08"/>
    <w:rsid w:val="00A32115"/>
    <w:rsid w:val="00A321D8"/>
    <w:rsid w:val="00A323E0"/>
    <w:rsid w:val="00A323F8"/>
    <w:rsid w:val="00A324E6"/>
    <w:rsid w:val="00A32976"/>
    <w:rsid w:val="00A32AD5"/>
    <w:rsid w:val="00A3398C"/>
    <w:rsid w:val="00A33C06"/>
    <w:rsid w:val="00A33D0C"/>
    <w:rsid w:val="00A33ECF"/>
    <w:rsid w:val="00A3497D"/>
    <w:rsid w:val="00A34C1B"/>
    <w:rsid w:val="00A34DC1"/>
    <w:rsid w:val="00A35099"/>
    <w:rsid w:val="00A35624"/>
    <w:rsid w:val="00A356D0"/>
    <w:rsid w:val="00A36117"/>
    <w:rsid w:val="00A36550"/>
    <w:rsid w:val="00A367F4"/>
    <w:rsid w:val="00A36A27"/>
    <w:rsid w:val="00A36DBE"/>
    <w:rsid w:val="00A36E14"/>
    <w:rsid w:val="00A36EFB"/>
    <w:rsid w:val="00A36F86"/>
    <w:rsid w:val="00A370BA"/>
    <w:rsid w:val="00A372A8"/>
    <w:rsid w:val="00A373C8"/>
    <w:rsid w:val="00A373EE"/>
    <w:rsid w:val="00A37AEC"/>
    <w:rsid w:val="00A37DA4"/>
    <w:rsid w:val="00A37EB8"/>
    <w:rsid w:val="00A37F3A"/>
    <w:rsid w:val="00A4010C"/>
    <w:rsid w:val="00A40BC5"/>
    <w:rsid w:val="00A40BEE"/>
    <w:rsid w:val="00A40CE5"/>
    <w:rsid w:val="00A40F02"/>
    <w:rsid w:val="00A4108A"/>
    <w:rsid w:val="00A41091"/>
    <w:rsid w:val="00A410F6"/>
    <w:rsid w:val="00A41353"/>
    <w:rsid w:val="00A41628"/>
    <w:rsid w:val="00A41808"/>
    <w:rsid w:val="00A41944"/>
    <w:rsid w:val="00A42314"/>
    <w:rsid w:val="00A423D0"/>
    <w:rsid w:val="00A42994"/>
    <w:rsid w:val="00A42C4A"/>
    <w:rsid w:val="00A43068"/>
    <w:rsid w:val="00A43169"/>
    <w:rsid w:val="00A432AF"/>
    <w:rsid w:val="00A43378"/>
    <w:rsid w:val="00A43532"/>
    <w:rsid w:val="00A43911"/>
    <w:rsid w:val="00A43C72"/>
    <w:rsid w:val="00A43D37"/>
    <w:rsid w:val="00A44351"/>
    <w:rsid w:val="00A446BB"/>
    <w:rsid w:val="00A4486E"/>
    <w:rsid w:val="00A44AA9"/>
    <w:rsid w:val="00A44AE3"/>
    <w:rsid w:val="00A44C61"/>
    <w:rsid w:val="00A44F3C"/>
    <w:rsid w:val="00A457FA"/>
    <w:rsid w:val="00A457FC"/>
    <w:rsid w:val="00A45D1E"/>
    <w:rsid w:val="00A45E22"/>
    <w:rsid w:val="00A45FC3"/>
    <w:rsid w:val="00A46DB3"/>
    <w:rsid w:val="00A470DE"/>
    <w:rsid w:val="00A47B80"/>
    <w:rsid w:val="00A47EDC"/>
    <w:rsid w:val="00A47FD4"/>
    <w:rsid w:val="00A5000F"/>
    <w:rsid w:val="00A5029F"/>
    <w:rsid w:val="00A502CD"/>
    <w:rsid w:val="00A502FB"/>
    <w:rsid w:val="00A50446"/>
    <w:rsid w:val="00A505E6"/>
    <w:rsid w:val="00A509A8"/>
    <w:rsid w:val="00A5107F"/>
    <w:rsid w:val="00A511E2"/>
    <w:rsid w:val="00A51251"/>
    <w:rsid w:val="00A5130C"/>
    <w:rsid w:val="00A5134B"/>
    <w:rsid w:val="00A51426"/>
    <w:rsid w:val="00A514C5"/>
    <w:rsid w:val="00A515E5"/>
    <w:rsid w:val="00A515F4"/>
    <w:rsid w:val="00A519AB"/>
    <w:rsid w:val="00A51CEB"/>
    <w:rsid w:val="00A51E39"/>
    <w:rsid w:val="00A521C4"/>
    <w:rsid w:val="00A5278C"/>
    <w:rsid w:val="00A52B23"/>
    <w:rsid w:val="00A53133"/>
    <w:rsid w:val="00A536A6"/>
    <w:rsid w:val="00A53A0D"/>
    <w:rsid w:val="00A53A2A"/>
    <w:rsid w:val="00A53AF6"/>
    <w:rsid w:val="00A53D09"/>
    <w:rsid w:val="00A5424A"/>
    <w:rsid w:val="00A54399"/>
    <w:rsid w:val="00A54745"/>
    <w:rsid w:val="00A547A7"/>
    <w:rsid w:val="00A54830"/>
    <w:rsid w:val="00A54930"/>
    <w:rsid w:val="00A550F4"/>
    <w:rsid w:val="00A553B6"/>
    <w:rsid w:val="00A55655"/>
    <w:rsid w:val="00A5585F"/>
    <w:rsid w:val="00A55F5A"/>
    <w:rsid w:val="00A5689F"/>
    <w:rsid w:val="00A5690B"/>
    <w:rsid w:val="00A56CE6"/>
    <w:rsid w:val="00A56DBB"/>
    <w:rsid w:val="00A57043"/>
    <w:rsid w:val="00A571D0"/>
    <w:rsid w:val="00A57549"/>
    <w:rsid w:val="00A5760B"/>
    <w:rsid w:val="00A576C8"/>
    <w:rsid w:val="00A57A51"/>
    <w:rsid w:val="00A57D8A"/>
    <w:rsid w:val="00A57D8F"/>
    <w:rsid w:val="00A57FD0"/>
    <w:rsid w:val="00A60085"/>
    <w:rsid w:val="00A60334"/>
    <w:rsid w:val="00A603D4"/>
    <w:rsid w:val="00A607E6"/>
    <w:rsid w:val="00A60BF3"/>
    <w:rsid w:val="00A60C66"/>
    <w:rsid w:val="00A60CD8"/>
    <w:rsid w:val="00A60D0E"/>
    <w:rsid w:val="00A60DCE"/>
    <w:rsid w:val="00A60E81"/>
    <w:rsid w:val="00A610D4"/>
    <w:rsid w:val="00A615DC"/>
    <w:rsid w:val="00A61899"/>
    <w:rsid w:val="00A61C57"/>
    <w:rsid w:val="00A61EC1"/>
    <w:rsid w:val="00A61F6B"/>
    <w:rsid w:val="00A621DE"/>
    <w:rsid w:val="00A6225C"/>
    <w:rsid w:val="00A623B3"/>
    <w:rsid w:val="00A6240E"/>
    <w:rsid w:val="00A62509"/>
    <w:rsid w:val="00A625B4"/>
    <w:rsid w:val="00A62677"/>
    <w:rsid w:val="00A626D6"/>
    <w:rsid w:val="00A627D3"/>
    <w:rsid w:val="00A628F0"/>
    <w:rsid w:val="00A62B41"/>
    <w:rsid w:val="00A62C29"/>
    <w:rsid w:val="00A62DBC"/>
    <w:rsid w:val="00A62E44"/>
    <w:rsid w:val="00A63157"/>
    <w:rsid w:val="00A635D0"/>
    <w:rsid w:val="00A63748"/>
    <w:rsid w:val="00A63790"/>
    <w:rsid w:val="00A637BC"/>
    <w:rsid w:val="00A638E9"/>
    <w:rsid w:val="00A63E31"/>
    <w:rsid w:val="00A63F11"/>
    <w:rsid w:val="00A63F61"/>
    <w:rsid w:val="00A646A5"/>
    <w:rsid w:val="00A646C5"/>
    <w:rsid w:val="00A64724"/>
    <w:rsid w:val="00A6477A"/>
    <w:rsid w:val="00A64AC4"/>
    <w:rsid w:val="00A64B7E"/>
    <w:rsid w:val="00A65514"/>
    <w:rsid w:val="00A65B3F"/>
    <w:rsid w:val="00A65F0D"/>
    <w:rsid w:val="00A6635B"/>
    <w:rsid w:val="00A6637E"/>
    <w:rsid w:val="00A66E3F"/>
    <w:rsid w:val="00A66EF9"/>
    <w:rsid w:val="00A67147"/>
    <w:rsid w:val="00A6761C"/>
    <w:rsid w:val="00A6788F"/>
    <w:rsid w:val="00A67BD4"/>
    <w:rsid w:val="00A67F45"/>
    <w:rsid w:val="00A7024C"/>
    <w:rsid w:val="00A703E7"/>
    <w:rsid w:val="00A70496"/>
    <w:rsid w:val="00A7061A"/>
    <w:rsid w:val="00A70689"/>
    <w:rsid w:val="00A71362"/>
    <w:rsid w:val="00A7142F"/>
    <w:rsid w:val="00A717D3"/>
    <w:rsid w:val="00A71890"/>
    <w:rsid w:val="00A71AED"/>
    <w:rsid w:val="00A71F0D"/>
    <w:rsid w:val="00A721D9"/>
    <w:rsid w:val="00A722BF"/>
    <w:rsid w:val="00A7244B"/>
    <w:rsid w:val="00A72561"/>
    <w:rsid w:val="00A72740"/>
    <w:rsid w:val="00A727FB"/>
    <w:rsid w:val="00A7289E"/>
    <w:rsid w:val="00A72FF7"/>
    <w:rsid w:val="00A73121"/>
    <w:rsid w:val="00A73466"/>
    <w:rsid w:val="00A734C6"/>
    <w:rsid w:val="00A739DB"/>
    <w:rsid w:val="00A739FE"/>
    <w:rsid w:val="00A73AAD"/>
    <w:rsid w:val="00A73CAB"/>
    <w:rsid w:val="00A73EBE"/>
    <w:rsid w:val="00A7403D"/>
    <w:rsid w:val="00A7418D"/>
    <w:rsid w:val="00A7427A"/>
    <w:rsid w:val="00A74528"/>
    <w:rsid w:val="00A74873"/>
    <w:rsid w:val="00A74A13"/>
    <w:rsid w:val="00A74F3B"/>
    <w:rsid w:val="00A74F51"/>
    <w:rsid w:val="00A75133"/>
    <w:rsid w:val="00A752A0"/>
    <w:rsid w:val="00A752D3"/>
    <w:rsid w:val="00A75482"/>
    <w:rsid w:val="00A7565B"/>
    <w:rsid w:val="00A758CC"/>
    <w:rsid w:val="00A75AFD"/>
    <w:rsid w:val="00A75B8C"/>
    <w:rsid w:val="00A76359"/>
    <w:rsid w:val="00A76806"/>
    <w:rsid w:val="00A769AA"/>
    <w:rsid w:val="00A769D2"/>
    <w:rsid w:val="00A76B2D"/>
    <w:rsid w:val="00A76CDA"/>
    <w:rsid w:val="00A76DBD"/>
    <w:rsid w:val="00A76EA6"/>
    <w:rsid w:val="00A76F35"/>
    <w:rsid w:val="00A76FAD"/>
    <w:rsid w:val="00A7737D"/>
    <w:rsid w:val="00A775E5"/>
    <w:rsid w:val="00A77789"/>
    <w:rsid w:val="00A77800"/>
    <w:rsid w:val="00A778CE"/>
    <w:rsid w:val="00A7794A"/>
    <w:rsid w:val="00A77B09"/>
    <w:rsid w:val="00A77C7A"/>
    <w:rsid w:val="00A77DD8"/>
    <w:rsid w:val="00A77E05"/>
    <w:rsid w:val="00A77F13"/>
    <w:rsid w:val="00A80178"/>
    <w:rsid w:val="00A80298"/>
    <w:rsid w:val="00A80353"/>
    <w:rsid w:val="00A80459"/>
    <w:rsid w:val="00A804DF"/>
    <w:rsid w:val="00A80789"/>
    <w:rsid w:val="00A80A52"/>
    <w:rsid w:val="00A80AF5"/>
    <w:rsid w:val="00A80B79"/>
    <w:rsid w:val="00A80BE4"/>
    <w:rsid w:val="00A81507"/>
    <w:rsid w:val="00A8165A"/>
    <w:rsid w:val="00A81A0C"/>
    <w:rsid w:val="00A81A2F"/>
    <w:rsid w:val="00A81B09"/>
    <w:rsid w:val="00A81BEB"/>
    <w:rsid w:val="00A81DD2"/>
    <w:rsid w:val="00A8222C"/>
    <w:rsid w:val="00A82467"/>
    <w:rsid w:val="00A827BD"/>
    <w:rsid w:val="00A8284D"/>
    <w:rsid w:val="00A82C1B"/>
    <w:rsid w:val="00A82E27"/>
    <w:rsid w:val="00A82F07"/>
    <w:rsid w:val="00A83786"/>
    <w:rsid w:val="00A83E85"/>
    <w:rsid w:val="00A83EC4"/>
    <w:rsid w:val="00A84051"/>
    <w:rsid w:val="00A84265"/>
    <w:rsid w:val="00A84301"/>
    <w:rsid w:val="00A84396"/>
    <w:rsid w:val="00A84457"/>
    <w:rsid w:val="00A84598"/>
    <w:rsid w:val="00A84885"/>
    <w:rsid w:val="00A84988"/>
    <w:rsid w:val="00A84B75"/>
    <w:rsid w:val="00A84F05"/>
    <w:rsid w:val="00A84FC5"/>
    <w:rsid w:val="00A85058"/>
    <w:rsid w:val="00A858DF"/>
    <w:rsid w:val="00A86506"/>
    <w:rsid w:val="00A86669"/>
    <w:rsid w:val="00A867A3"/>
    <w:rsid w:val="00A86B25"/>
    <w:rsid w:val="00A86EAA"/>
    <w:rsid w:val="00A8715A"/>
    <w:rsid w:val="00A87589"/>
    <w:rsid w:val="00A87763"/>
    <w:rsid w:val="00A87B6B"/>
    <w:rsid w:val="00A90398"/>
    <w:rsid w:val="00A9047E"/>
    <w:rsid w:val="00A907A8"/>
    <w:rsid w:val="00A90B88"/>
    <w:rsid w:val="00A90F5C"/>
    <w:rsid w:val="00A91046"/>
    <w:rsid w:val="00A917CE"/>
    <w:rsid w:val="00A9188E"/>
    <w:rsid w:val="00A91967"/>
    <w:rsid w:val="00A928E9"/>
    <w:rsid w:val="00A92969"/>
    <w:rsid w:val="00A92CCA"/>
    <w:rsid w:val="00A93F0E"/>
    <w:rsid w:val="00A94149"/>
    <w:rsid w:val="00A943B4"/>
    <w:rsid w:val="00A944C8"/>
    <w:rsid w:val="00A953D8"/>
    <w:rsid w:val="00A95944"/>
    <w:rsid w:val="00A959E1"/>
    <w:rsid w:val="00A95BC4"/>
    <w:rsid w:val="00A960CE"/>
    <w:rsid w:val="00A96165"/>
    <w:rsid w:val="00A96193"/>
    <w:rsid w:val="00A9629E"/>
    <w:rsid w:val="00A966B8"/>
    <w:rsid w:val="00A96A6F"/>
    <w:rsid w:val="00A96B19"/>
    <w:rsid w:val="00A96CAD"/>
    <w:rsid w:val="00A96DBE"/>
    <w:rsid w:val="00A96E5F"/>
    <w:rsid w:val="00A9704E"/>
    <w:rsid w:val="00A972E2"/>
    <w:rsid w:val="00A973F7"/>
    <w:rsid w:val="00A9750B"/>
    <w:rsid w:val="00A97B29"/>
    <w:rsid w:val="00A97E7A"/>
    <w:rsid w:val="00AA00C4"/>
    <w:rsid w:val="00AA01F9"/>
    <w:rsid w:val="00AA0264"/>
    <w:rsid w:val="00AA02ED"/>
    <w:rsid w:val="00AA0640"/>
    <w:rsid w:val="00AA0668"/>
    <w:rsid w:val="00AA0833"/>
    <w:rsid w:val="00AA0A7E"/>
    <w:rsid w:val="00AA0A86"/>
    <w:rsid w:val="00AA0BB9"/>
    <w:rsid w:val="00AA0C32"/>
    <w:rsid w:val="00AA0CB5"/>
    <w:rsid w:val="00AA0F7B"/>
    <w:rsid w:val="00AA10A0"/>
    <w:rsid w:val="00AA111F"/>
    <w:rsid w:val="00AA138B"/>
    <w:rsid w:val="00AA1445"/>
    <w:rsid w:val="00AA1F70"/>
    <w:rsid w:val="00AA2AD8"/>
    <w:rsid w:val="00AA2B2E"/>
    <w:rsid w:val="00AA30EC"/>
    <w:rsid w:val="00AA3350"/>
    <w:rsid w:val="00AA337E"/>
    <w:rsid w:val="00AA34B2"/>
    <w:rsid w:val="00AA35FE"/>
    <w:rsid w:val="00AA3734"/>
    <w:rsid w:val="00AA3A0B"/>
    <w:rsid w:val="00AA3CF4"/>
    <w:rsid w:val="00AA3E2F"/>
    <w:rsid w:val="00AA3EAF"/>
    <w:rsid w:val="00AA3EE1"/>
    <w:rsid w:val="00AA4119"/>
    <w:rsid w:val="00AA4146"/>
    <w:rsid w:val="00AA414C"/>
    <w:rsid w:val="00AA41C6"/>
    <w:rsid w:val="00AA4333"/>
    <w:rsid w:val="00AA47C9"/>
    <w:rsid w:val="00AA4E3B"/>
    <w:rsid w:val="00AA5249"/>
    <w:rsid w:val="00AA524D"/>
    <w:rsid w:val="00AA53D0"/>
    <w:rsid w:val="00AA5409"/>
    <w:rsid w:val="00AA5510"/>
    <w:rsid w:val="00AA558B"/>
    <w:rsid w:val="00AA59E1"/>
    <w:rsid w:val="00AA5BAB"/>
    <w:rsid w:val="00AA5E17"/>
    <w:rsid w:val="00AA5EB7"/>
    <w:rsid w:val="00AA5FD2"/>
    <w:rsid w:val="00AA6029"/>
    <w:rsid w:val="00AA638C"/>
    <w:rsid w:val="00AA65F2"/>
    <w:rsid w:val="00AA7068"/>
    <w:rsid w:val="00AA7131"/>
    <w:rsid w:val="00AA719D"/>
    <w:rsid w:val="00AA71CF"/>
    <w:rsid w:val="00AA747B"/>
    <w:rsid w:val="00AA750F"/>
    <w:rsid w:val="00AA798E"/>
    <w:rsid w:val="00AA79AD"/>
    <w:rsid w:val="00AA7B91"/>
    <w:rsid w:val="00AA7C9B"/>
    <w:rsid w:val="00AB0189"/>
    <w:rsid w:val="00AB027A"/>
    <w:rsid w:val="00AB029E"/>
    <w:rsid w:val="00AB09A0"/>
    <w:rsid w:val="00AB0DE6"/>
    <w:rsid w:val="00AB130D"/>
    <w:rsid w:val="00AB13B9"/>
    <w:rsid w:val="00AB1401"/>
    <w:rsid w:val="00AB1450"/>
    <w:rsid w:val="00AB1734"/>
    <w:rsid w:val="00AB18E9"/>
    <w:rsid w:val="00AB1BAE"/>
    <w:rsid w:val="00AB1D65"/>
    <w:rsid w:val="00AB262D"/>
    <w:rsid w:val="00AB264F"/>
    <w:rsid w:val="00AB2807"/>
    <w:rsid w:val="00AB2961"/>
    <w:rsid w:val="00AB2B60"/>
    <w:rsid w:val="00AB2C2B"/>
    <w:rsid w:val="00AB2FA6"/>
    <w:rsid w:val="00AB3359"/>
    <w:rsid w:val="00AB3381"/>
    <w:rsid w:val="00AB3478"/>
    <w:rsid w:val="00AB35DD"/>
    <w:rsid w:val="00AB38F0"/>
    <w:rsid w:val="00AB392B"/>
    <w:rsid w:val="00AB3959"/>
    <w:rsid w:val="00AB3CD9"/>
    <w:rsid w:val="00AB3D6E"/>
    <w:rsid w:val="00AB45A0"/>
    <w:rsid w:val="00AB49AA"/>
    <w:rsid w:val="00AB4C5D"/>
    <w:rsid w:val="00AB4EEF"/>
    <w:rsid w:val="00AB51CA"/>
    <w:rsid w:val="00AB5485"/>
    <w:rsid w:val="00AB5569"/>
    <w:rsid w:val="00AB57A7"/>
    <w:rsid w:val="00AB5B2B"/>
    <w:rsid w:val="00AB5F49"/>
    <w:rsid w:val="00AB646A"/>
    <w:rsid w:val="00AB66AC"/>
    <w:rsid w:val="00AB6950"/>
    <w:rsid w:val="00AB6CA8"/>
    <w:rsid w:val="00AB6EFF"/>
    <w:rsid w:val="00AB71B1"/>
    <w:rsid w:val="00AB7312"/>
    <w:rsid w:val="00AB7534"/>
    <w:rsid w:val="00AB7588"/>
    <w:rsid w:val="00AB7763"/>
    <w:rsid w:val="00AB78B2"/>
    <w:rsid w:val="00AB7CB5"/>
    <w:rsid w:val="00AB7F10"/>
    <w:rsid w:val="00AC0229"/>
    <w:rsid w:val="00AC0240"/>
    <w:rsid w:val="00AC051C"/>
    <w:rsid w:val="00AC056A"/>
    <w:rsid w:val="00AC07B4"/>
    <w:rsid w:val="00AC0BCA"/>
    <w:rsid w:val="00AC12C8"/>
    <w:rsid w:val="00AC1363"/>
    <w:rsid w:val="00AC1381"/>
    <w:rsid w:val="00AC1712"/>
    <w:rsid w:val="00AC17BB"/>
    <w:rsid w:val="00AC2199"/>
    <w:rsid w:val="00AC2599"/>
    <w:rsid w:val="00AC25E6"/>
    <w:rsid w:val="00AC2BB7"/>
    <w:rsid w:val="00AC33F6"/>
    <w:rsid w:val="00AC3462"/>
    <w:rsid w:val="00AC35C9"/>
    <w:rsid w:val="00AC36A4"/>
    <w:rsid w:val="00AC39C2"/>
    <w:rsid w:val="00AC3A7A"/>
    <w:rsid w:val="00AC4624"/>
    <w:rsid w:val="00AC46E1"/>
    <w:rsid w:val="00AC4ADF"/>
    <w:rsid w:val="00AC4B96"/>
    <w:rsid w:val="00AC4D32"/>
    <w:rsid w:val="00AC4E64"/>
    <w:rsid w:val="00AC5399"/>
    <w:rsid w:val="00AC56B6"/>
    <w:rsid w:val="00AC5700"/>
    <w:rsid w:val="00AC573D"/>
    <w:rsid w:val="00AC59C0"/>
    <w:rsid w:val="00AC5A8D"/>
    <w:rsid w:val="00AC5BBE"/>
    <w:rsid w:val="00AC6114"/>
    <w:rsid w:val="00AC638C"/>
    <w:rsid w:val="00AC63B4"/>
    <w:rsid w:val="00AC673A"/>
    <w:rsid w:val="00AC680F"/>
    <w:rsid w:val="00AC68A7"/>
    <w:rsid w:val="00AC6BA8"/>
    <w:rsid w:val="00AC6C12"/>
    <w:rsid w:val="00AC6DE0"/>
    <w:rsid w:val="00AC71A9"/>
    <w:rsid w:val="00AC77B9"/>
    <w:rsid w:val="00AC7C6E"/>
    <w:rsid w:val="00AC7CAC"/>
    <w:rsid w:val="00AC7D29"/>
    <w:rsid w:val="00AC7E3B"/>
    <w:rsid w:val="00AC7E98"/>
    <w:rsid w:val="00AD04AE"/>
    <w:rsid w:val="00AD0E35"/>
    <w:rsid w:val="00AD0F0A"/>
    <w:rsid w:val="00AD0F9A"/>
    <w:rsid w:val="00AD109E"/>
    <w:rsid w:val="00AD190A"/>
    <w:rsid w:val="00AD1E2D"/>
    <w:rsid w:val="00AD2000"/>
    <w:rsid w:val="00AD20B2"/>
    <w:rsid w:val="00AD20E2"/>
    <w:rsid w:val="00AD2338"/>
    <w:rsid w:val="00AD2773"/>
    <w:rsid w:val="00AD2EEE"/>
    <w:rsid w:val="00AD2FB7"/>
    <w:rsid w:val="00AD3572"/>
    <w:rsid w:val="00AD37E1"/>
    <w:rsid w:val="00AD3B3A"/>
    <w:rsid w:val="00AD3BD9"/>
    <w:rsid w:val="00AD436F"/>
    <w:rsid w:val="00AD4483"/>
    <w:rsid w:val="00AD4C3E"/>
    <w:rsid w:val="00AD4EFB"/>
    <w:rsid w:val="00AD5602"/>
    <w:rsid w:val="00AD565B"/>
    <w:rsid w:val="00AD5740"/>
    <w:rsid w:val="00AD57A1"/>
    <w:rsid w:val="00AD5B03"/>
    <w:rsid w:val="00AD5B7B"/>
    <w:rsid w:val="00AD5C61"/>
    <w:rsid w:val="00AD5E6F"/>
    <w:rsid w:val="00AD5EEC"/>
    <w:rsid w:val="00AD63C8"/>
    <w:rsid w:val="00AD681A"/>
    <w:rsid w:val="00AD6C0F"/>
    <w:rsid w:val="00AD6C2A"/>
    <w:rsid w:val="00AD6D68"/>
    <w:rsid w:val="00AD6ECE"/>
    <w:rsid w:val="00AD6F53"/>
    <w:rsid w:val="00AD7352"/>
    <w:rsid w:val="00AD73BB"/>
    <w:rsid w:val="00AD74E4"/>
    <w:rsid w:val="00AD7577"/>
    <w:rsid w:val="00AD7789"/>
    <w:rsid w:val="00AD78D4"/>
    <w:rsid w:val="00AD7C05"/>
    <w:rsid w:val="00AD7EB6"/>
    <w:rsid w:val="00AD7FE8"/>
    <w:rsid w:val="00AE0048"/>
    <w:rsid w:val="00AE0B82"/>
    <w:rsid w:val="00AE0BA8"/>
    <w:rsid w:val="00AE0BFA"/>
    <w:rsid w:val="00AE0DCF"/>
    <w:rsid w:val="00AE0F15"/>
    <w:rsid w:val="00AE0F56"/>
    <w:rsid w:val="00AE14BB"/>
    <w:rsid w:val="00AE1580"/>
    <w:rsid w:val="00AE182F"/>
    <w:rsid w:val="00AE18A5"/>
    <w:rsid w:val="00AE19F9"/>
    <w:rsid w:val="00AE1B7C"/>
    <w:rsid w:val="00AE1DD7"/>
    <w:rsid w:val="00AE28D8"/>
    <w:rsid w:val="00AE290F"/>
    <w:rsid w:val="00AE2D20"/>
    <w:rsid w:val="00AE2E76"/>
    <w:rsid w:val="00AE2F23"/>
    <w:rsid w:val="00AE342D"/>
    <w:rsid w:val="00AE356F"/>
    <w:rsid w:val="00AE358D"/>
    <w:rsid w:val="00AE3696"/>
    <w:rsid w:val="00AE3908"/>
    <w:rsid w:val="00AE391E"/>
    <w:rsid w:val="00AE3999"/>
    <w:rsid w:val="00AE39E1"/>
    <w:rsid w:val="00AE3A3B"/>
    <w:rsid w:val="00AE3A3C"/>
    <w:rsid w:val="00AE3D9E"/>
    <w:rsid w:val="00AE3E51"/>
    <w:rsid w:val="00AE4002"/>
    <w:rsid w:val="00AE40F7"/>
    <w:rsid w:val="00AE44B3"/>
    <w:rsid w:val="00AE471D"/>
    <w:rsid w:val="00AE47C4"/>
    <w:rsid w:val="00AE4DF9"/>
    <w:rsid w:val="00AE5044"/>
    <w:rsid w:val="00AE50C0"/>
    <w:rsid w:val="00AE53BB"/>
    <w:rsid w:val="00AE56E0"/>
    <w:rsid w:val="00AE5E10"/>
    <w:rsid w:val="00AE6542"/>
    <w:rsid w:val="00AE656E"/>
    <w:rsid w:val="00AE6AE5"/>
    <w:rsid w:val="00AE6D4B"/>
    <w:rsid w:val="00AE73E9"/>
    <w:rsid w:val="00AE75F9"/>
    <w:rsid w:val="00AE7666"/>
    <w:rsid w:val="00AE794B"/>
    <w:rsid w:val="00AE7C98"/>
    <w:rsid w:val="00AE7E21"/>
    <w:rsid w:val="00AE7F5C"/>
    <w:rsid w:val="00AF01DD"/>
    <w:rsid w:val="00AF0476"/>
    <w:rsid w:val="00AF06E4"/>
    <w:rsid w:val="00AF076F"/>
    <w:rsid w:val="00AF0868"/>
    <w:rsid w:val="00AF095A"/>
    <w:rsid w:val="00AF0AD2"/>
    <w:rsid w:val="00AF11B3"/>
    <w:rsid w:val="00AF19F8"/>
    <w:rsid w:val="00AF2311"/>
    <w:rsid w:val="00AF23DD"/>
    <w:rsid w:val="00AF251E"/>
    <w:rsid w:val="00AF27AA"/>
    <w:rsid w:val="00AF2B42"/>
    <w:rsid w:val="00AF2C19"/>
    <w:rsid w:val="00AF2D1D"/>
    <w:rsid w:val="00AF2F58"/>
    <w:rsid w:val="00AF3468"/>
    <w:rsid w:val="00AF346E"/>
    <w:rsid w:val="00AF3802"/>
    <w:rsid w:val="00AF3AEF"/>
    <w:rsid w:val="00AF3BD5"/>
    <w:rsid w:val="00AF3C81"/>
    <w:rsid w:val="00AF3CC6"/>
    <w:rsid w:val="00AF3F6A"/>
    <w:rsid w:val="00AF4972"/>
    <w:rsid w:val="00AF4CD6"/>
    <w:rsid w:val="00AF4DA5"/>
    <w:rsid w:val="00AF5711"/>
    <w:rsid w:val="00AF5833"/>
    <w:rsid w:val="00AF59B1"/>
    <w:rsid w:val="00AF5C54"/>
    <w:rsid w:val="00AF5C5B"/>
    <w:rsid w:val="00AF5D43"/>
    <w:rsid w:val="00AF6128"/>
    <w:rsid w:val="00AF6380"/>
    <w:rsid w:val="00AF658C"/>
    <w:rsid w:val="00AF67B0"/>
    <w:rsid w:val="00AF6888"/>
    <w:rsid w:val="00AF6A67"/>
    <w:rsid w:val="00AF6CA5"/>
    <w:rsid w:val="00AF6D0C"/>
    <w:rsid w:val="00AF6E9D"/>
    <w:rsid w:val="00AF717F"/>
    <w:rsid w:val="00AF7301"/>
    <w:rsid w:val="00AF75DA"/>
    <w:rsid w:val="00AF7D91"/>
    <w:rsid w:val="00B00692"/>
    <w:rsid w:val="00B00739"/>
    <w:rsid w:val="00B008AC"/>
    <w:rsid w:val="00B0092E"/>
    <w:rsid w:val="00B00D11"/>
    <w:rsid w:val="00B00EAC"/>
    <w:rsid w:val="00B013A5"/>
    <w:rsid w:val="00B0184E"/>
    <w:rsid w:val="00B018CA"/>
    <w:rsid w:val="00B019F2"/>
    <w:rsid w:val="00B01CE9"/>
    <w:rsid w:val="00B027ED"/>
    <w:rsid w:val="00B02A25"/>
    <w:rsid w:val="00B02A52"/>
    <w:rsid w:val="00B02B60"/>
    <w:rsid w:val="00B02CE8"/>
    <w:rsid w:val="00B02EAF"/>
    <w:rsid w:val="00B02EBB"/>
    <w:rsid w:val="00B032A5"/>
    <w:rsid w:val="00B0383D"/>
    <w:rsid w:val="00B0387D"/>
    <w:rsid w:val="00B039F8"/>
    <w:rsid w:val="00B04568"/>
    <w:rsid w:val="00B046E8"/>
    <w:rsid w:val="00B047A4"/>
    <w:rsid w:val="00B04D82"/>
    <w:rsid w:val="00B04E2F"/>
    <w:rsid w:val="00B04FE5"/>
    <w:rsid w:val="00B05296"/>
    <w:rsid w:val="00B05519"/>
    <w:rsid w:val="00B05664"/>
    <w:rsid w:val="00B0580C"/>
    <w:rsid w:val="00B05A8D"/>
    <w:rsid w:val="00B05DBF"/>
    <w:rsid w:val="00B066BD"/>
    <w:rsid w:val="00B06ABF"/>
    <w:rsid w:val="00B07069"/>
    <w:rsid w:val="00B0716E"/>
    <w:rsid w:val="00B074F9"/>
    <w:rsid w:val="00B076CD"/>
    <w:rsid w:val="00B07D67"/>
    <w:rsid w:val="00B07F6B"/>
    <w:rsid w:val="00B100BE"/>
    <w:rsid w:val="00B10340"/>
    <w:rsid w:val="00B10570"/>
    <w:rsid w:val="00B10AAB"/>
    <w:rsid w:val="00B10AD2"/>
    <w:rsid w:val="00B10B33"/>
    <w:rsid w:val="00B10D2B"/>
    <w:rsid w:val="00B10E33"/>
    <w:rsid w:val="00B10EB8"/>
    <w:rsid w:val="00B110CD"/>
    <w:rsid w:val="00B11939"/>
    <w:rsid w:val="00B11D8B"/>
    <w:rsid w:val="00B12442"/>
    <w:rsid w:val="00B12AC4"/>
    <w:rsid w:val="00B13205"/>
    <w:rsid w:val="00B1324C"/>
    <w:rsid w:val="00B13780"/>
    <w:rsid w:val="00B138B4"/>
    <w:rsid w:val="00B13BB1"/>
    <w:rsid w:val="00B13F30"/>
    <w:rsid w:val="00B13FB7"/>
    <w:rsid w:val="00B145A1"/>
    <w:rsid w:val="00B14A9E"/>
    <w:rsid w:val="00B14BBF"/>
    <w:rsid w:val="00B14DBE"/>
    <w:rsid w:val="00B1512E"/>
    <w:rsid w:val="00B153BD"/>
    <w:rsid w:val="00B15446"/>
    <w:rsid w:val="00B1558E"/>
    <w:rsid w:val="00B155C5"/>
    <w:rsid w:val="00B15CC5"/>
    <w:rsid w:val="00B15E8B"/>
    <w:rsid w:val="00B15E96"/>
    <w:rsid w:val="00B161A0"/>
    <w:rsid w:val="00B162EA"/>
    <w:rsid w:val="00B16557"/>
    <w:rsid w:val="00B166A8"/>
    <w:rsid w:val="00B16838"/>
    <w:rsid w:val="00B16924"/>
    <w:rsid w:val="00B16945"/>
    <w:rsid w:val="00B16AA9"/>
    <w:rsid w:val="00B17019"/>
    <w:rsid w:val="00B17169"/>
    <w:rsid w:val="00B179F0"/>
    <w:rsid w:val="00B17C02"/>
    <w:rsid w:val="00B17CC1"/>
    <w:rsid w:val="00B20131"/>
    <w:rsid w:val="00B20664"/>
    <w:rsid w:val="00B2077B"/>
    <w:rsid w:val="00B207A5"/>
    <w:rsid w:val="00B20D69"/>
    <w:rsid w:val="00B20DF1"/>
    <w:rsid w:val="00B211AB"/>
    <w:rsid w:val="00B2147B"/>
    <w:rsid w:val="00B214D8"/>
    <w:rsid w:val="00B2150D"/>
    <w:rsid w:val="00B216C5"/>
    <w:rsid w:val="00B219F8"/>
    <w:rsid w:val="00B21A9F"/>
    <w:rsid w:val="00B21D68"/>
    <w:rsid w:val="00B21ECB"/>
    <w:rsid w:val="00B21EF9"/>
    <w:rsid w:val="00B21FC8"/>
    <w:rsid w:val="00B225D8"/>
    <w:rsid w:val="00B22DBD"/>
    <w:rsid w:val="00B23291"/>
    <w:rsid w:val="00B23292"/>
    <w:rsid w:val="00B234BD"/>
    <w:rsid w:val="00B2369D"/>
    <w:rsid w:val="00B238C6"/>
    <w:rsid w:val="00B23A85"/>
    <w:rsid w:val="00B23CD9"/>
    <w:rsid w:val="00B23E66"/>
    <w:rsid w:val="00B23FB0"/>
    <w:rsid w:val="00B24754"/>
    <w:rsid w:val="00B24812"/>
    <w:rsid w:val="00B249D0"/>
    <w:rsid w:val="00B24A46"/>
    <w:rsid w:val="00B24AD9"/>
    <w:rsid w:val="00B25002"/>
    <w:rsid w:val="00B250AF"/>
    <w:rsid w:val="00B251F0"/>
    <w:rsid w:val="00B25F41"/>
    <w:rsid w:val="00B260F8"/>
    <w:rsid w:val="00B26CE3"/>
    <w:rsid w:val="00B26D34"/>
    <w:rsid w:val="00B273A9"/>
    <w:rsid w:val="00B27A3D"/>
    <w:rsid w:val="00B27A4D"/>
    <w:rsid w:val="00B27B6B"/>
    <w:rsid w:val="00B27CED"/>
    <w:rsid w:val="00B300D5"/>
    <w:rsid w:val="00B30216"/>
    <w:rsid w:val="00B3097B"/>
    <w:rsid w:val="00B30C28"/>
    <w:rsid w:val="00B3103C"/>
    <w:rsid w:val="00B3149B"/>
    <w:rsid w:val="00B31D29"/>
    <w:rsid w:val="00B31D5F"/>
    <w:rsid w:val="00B31DED"/>
    <w:rsid w:val="00B3206C"/>
    <w:rsid w:val="00B32120"/>
    <w:rsid w:val="00B3248E"/>
    <w:rsid w:val="00B32BFA"/>
    <w:rsid w:val="00B32CDA"/>
    <w:rsid w:val="00B32FC5"/>
    <w:rsid w:val="00B32FEC"/>
    <w:rsid w:val="00B3320D"/>
    <w:rsid w:val="00B335C1"/>
    <w:rsid w:val="00B335D5"/>
    <w:rsid w:val="00B33705"/>
    <w:rsid w:val="00B33918"/>
    <w:rsid w:val="00B33A27"/>
    <w:rsid w:val="00B33FF2"/>
    <w:rsid w:val="00B34308"/>
    <w:rsid w:val="00B3450E"/>
    <w:rsid w:val="00B3463A"/>
    <w:rsid w:val="00B34A52"/>
    <w:rsid w:val="00B34D26"/>
    <w:rsid w:val="00B34D8B"/>
    <w:rsid w:val="00B35218"/>
    <w:rsid w:val="00B355CF"/>
    <w:rsid w:val="00B35835"/>
    <w:rsid w:val="00B35A63"/>
    <w:rsid w:val="00B35E90"/>
    <w:rsid w:val="00B36426"/>
    <w:rsid w:val="00B3652C"/>
    <w:rsid w:val="00B3673D"/>
    <w:rsid w:val="00B3695E"/>
    <w:rsid w:val="00B36BDB"/>
    <w:rsid w:val="00B36BDF"/>
    <w:rsid w:val="00B3750E"/>
    <w:rsid w:val="00B3757A"/>
    <w:rsid w:val="00B375F5"/>
    <w:rsid w:val="00B37652"/>
    <w:rsid w:val="00B37712"/>
    <w:rsid w:val="00B37844"/>
    <w:rsid w:val="00B37A12"/>
    <w:rsid w:val="00B37B66"/>
    <w:rsid w:val="00B37B90"/>
    <w:rsid w:val="00B37EDE"/>
    <w:rsid w:val="00B40037"/>
    <w:rsid w:val="00B4026F"/>
    <w:rsid w:val="00B403C3"/>
    <w:rsid w:val="00B409E8"/>
    <w:rsid w:val="00B40B0D"/>
    <w:rsid w:val="00B40BA2"/>
    <w:rsid w:val="00B41019"/>
    <w:rsid w:val="00B4123D"/>
    <w:rsid w:val="00B41EBD"/>
    <w:rsid w:val="00B41F7E"/>
    <w:rsid w:val="00B42359"/>
    <w:rsid w:val="00B4236A"/>
    <w:rsid w:val="00B423BC"/>
    <w:rsid w:val="00B4255B"/>
    <w:rsid w:val="00B426B6"/>
    <w:rsid w:val="00B42C5A"/>
    <w:rsid w:val="00B435B7"/>
    <w:rsid w:val="00B435D2"/>
    <w:rsid w:val="00B43678"/>
    <w:rsid w:val="00B436AE"/>
    <w:rsid w:val="00B4373D"/>
    <w:rsid w:val="00B43883"/>
    <w:rsid w:val="00B43C25"/>
    <w:rsid w:val="00B44383"/>
    <w:rsid w:val="00B44595"/>
    <w:rsid w:val="00B448A0"/>
    <w:rsid w:val="00B448EC"/>
    <w:rsid w:val="00B44C43"/>
    <w:rsid w:val="00B44D64"/>
    <w:rsid w:val="00B45288"/>
    <w:rsid w:val="00B45C6D"/>
    <w:rsid w:val="00B462C6"/>
    <w:rsid w:val="00B46811"/>
    <w:rsid w:val="00B46859"/>
    <w:rsid w:val="00B46CCA"/>
    <w:rsid w:val="00B46D59"/>
    <w:rsid w:val="00B46FD9"/>
    <w:rsid w:val="00B47690"/>
    <w:rsid w:val="00B476BC"/>
    <w:rsid w:val="00B47767"/>
    <w:rsid w:val="00B47B6A"/>
    <w:rsid w:val="00B47E7F"/>
    <w:rsid w:val="00B47E94"/>
    <w:rsid w:val="00B504B9"/>
    <w:rsid w:val="00B5078E"/>
    <w:rsid w:val="00B50961"/>
    <w:rsid w:val="00B50972"/>
    <w:rsid w:val="00B50D18"/>
    <w:rsid w:val="00B50EBB"/>
    <w:rsid w:val="00B512CA"/>
    <w:rsid w:val="00B51303"/>
    <w:rsid w:val="00B51403"/>
    <w:rsid w:val="00B515B9"/>
    <w:rsid w:val="00B51791"/>
    <w:rsid w:val="00B517B3"/>
    <w:rsid w:val="00B5187B"/>
    <w:rsid w:val="00B51FFC"/>
    <w:rsid w:val="00B52337"/>
    <w:rsid w:val="00B5242D"/>
    <w:rsid w:val="00B524FD"/>
    <w:rsid w:val="00B5271A"/>
    <w:rsid w:val="00B52C3B"/>
    <w:rsid w:val="00B52E71"/>
    <w:rsid w:val="00B530A8"/>
    <w:rsid w:val="00B53431"/>
    <w:rsid w:val="00B53478"/>
    <w:rsid w:val="00B53587"/>
    <w:rsid w:val="00B53813"/>
    <w:rsid w:val="00B539EE"/>
    <w:rsid w:val="00B53E79"/>
    <w:rsid w:val="00B53FA4"/>
    <w:rsid w:val="00B540DD"/>
    <w:rsid w:val="00B54780"/>
    <w:rsid w:val="00B54861"/>
    <w:rsid w:val="00B54AFB"/>
    <w:rsid w:val="00B54C97"/>
    <w:rsid w:val="00B54E35"/>
    <w:rsid w:val="00B55245"/>
    <w:rsid w:val="00B554BA"/>
    <w:rsid w:val="00B55A00"/>
    <w:rsid w:val="00B55C30"/>
    <w:rsid w:val="00B55F50"/>
    <w:rsid w:val="00B5652C"/>
    <w:rsid w:val="00B56584"/>
    <w:rsid w:val="00B56634"/>
    <w:rsid w:val="00B567FE"/>
    <w:rsid w:val="00B56D7F"/>
    <w:rsid w:val="00B56E02"/>
    <w:rsid w:val="00B57319"/>
    <w:rsid w:val="00B57BA8"/>
    <w:rsid w:val="00B57C45"/>
    <w:rsid w:val="00B57D10"/>
    <w:rsid w:val="00B57DE7"/>
    <w:rsid w:val="00B57F11"/>
    <w:rsid w:val="00B601E7"/>
    <w:rsid w:val="00B60628"/>
    <w:rsid w:val="00B6066E"/>
    <w:rsid w:val="00B6079F"/>
    <w:rsid w:val="00B60A7A"/>
    <w:rsid w:val="00B614FF"/>
    <w:rsid w:val="00B621ED"/>
    <w:rsid w:val="00B6237B"/>
    <w:rsid w:val="00B624B8"/>
    <w:rsid w:val="00B626F3"/>
    <w:rsid w:val="00B628A0"/>
    <w:rsid w:val="00B62921"/>
    <w:rsid w:val="00B62BC2"/>
    <w:rsid w:val="00B62C50"/>
    <w:rsid w:val="00B62DF9"/>
    <w:rsid w:val="00B62E03"/>
    <w:rsid w:val="00B630FC"/>
    <w:rsid w:val="00B632DE"/>
    <w:rsid w:val="00B632E9"/>
    <w:rsid w:val="00B63AB2"/>
    <w:rsid w:val="00B63BA0"/>
    <w:rsid w:val="00B63E65"/>
    <w:rsid w:val="00B63FB4"/>
    <w:rsid w:val="00B64112"/>
    <w:rsid w:val="00B6425A"/>
    <w:rsid w:val="00B64424"/>
    <w:rsid w:val="00B646F0"/>
    <w:rsid w:val="00B649EC"/>
    <w:rsid w:val="00B64D61"/>
    <w:rsid w:val="00B651B4"/>
    <w:rsid w:val="00B654C2"/>
    <w:rsid w:val="00B65828"/>
    <w:rsid w:val="00B6585E"/>
    <w:rsid w:val="00B65DDE"/>
    <w:rsid w:val="00B6649C"/>
    <w:rsid w:val="00B6650A"/>
    <w:rsid w:val="00B66550"/>
    <w:rsid w:val="00B66745"/>
    <w:rsid w:val="00B668CE"/>
    <w:rsid w:val="00B6692E"/>
    <w:rsid w:val="00B669FC"/>
    <w:rsid w:val="00B673C0"/>
    <w:rsid w:val="00B67543"/>
    <w:rsid w:val="00B67619"/>
    <w:rsid w:val="00B679D2"/>
    <w:rsid w:val="00B70164"/>
    <w:rsid w:val="00B702A4"/>
    <w:rsid w:val="00B704A5"/>
    <w:rsid w:val="00B70DF4"/>
    <w:rsid w:val="00B70FB3"/>
    <w:rsid w:val="00B7102C"/>
    <w:rsid w:val="00B712B9"/>
    <w:rsid w:val="00B71340"/>
    <w:rsid w:val="00B7136A"/>
    <w:rsid w:val="00B71518"/>
    <w:rsid w:val="00B71ABE"/>
    <w:rsid w:val="00B72A81"/>
    <w:rsid w:val="00B72AA9"/>
    <w:rsid w:val="00B72ADE"/>
    <w:rsid w:val="00B72E1E"/>
    <w:rsid w:val="00B72F0D"/>
    <w:rsid w:val="00B733FF"/>
    <w:rsid w:val="00B735C8"/>
    <w:rsid w:val="00B73A36"/>
    <w:rsid w:val="00B73A3D"/>
    <w:rsid w:val="00B73A55"/>
    <w:rsid w:val="00B73DAD"/>
    <w:rsid w:val="00B74169"/>
    <w:rsid w:val="00B7431C"/>
    <w:rsid w:val="00B744C5"/>
    <w:rsid w:val="00B7487F"/>
    <w:rsid w:val="00B748CF"/>
    <w:rsid w:val="00B749AB"/>
    <w:rsid w:val="00B74C48"/>
    <w:rsid w:val="00B74F01"/>
    <w:rsid w:val="00B74FC4"/>
    <w:rsid w:val="00B75161"/>
    <w:rsid w:val="00B7563F"/>
    <w:rsid w:val="00B756E4"/>
    <w:rsid w:val="00B756E5"/>
    <w:rsid w:val="00B75707"/>
    <w:rsid w:val="00B757AA"/>
    <w:rsid w:val="00B7588F"/>
    <w:rsid w:val="00B75BB8"/>
    <w:rsid w:val="00B7610C"/>
    <w:rsid w:val="00B763F0"/>
    <w:rsid w:val="00B76712"/>
    <w:rsid w:val="00B7686B"/>
    <w:rsid w:val="00B76A33"/>
    <w:rsid w:val="00B76C2B"/>
    <w:rsid w:val="00B76F4E"/>
    <w:rsid w:val="00B7707A"/>
    <w:rsid w:val="00B77315"/>
    <w:rsid w:val="00B775C7"/>
    <w:rsid w:val="00B77A36"/>
    <w:rsid w:val="00B77B33"/>
    <w:rsid w:val="00B77F19"/>
    <w:rsid w:val="00B8006E"/>
    <w:rsid w:val="00B807E7"/>
    <w:rsid w:val="00B80BB2"/>
    <w:rsid w:val="00B81060"/>
    <w:rsid w:val="00B810B8"/>
    <w:rsid w:val="00B813AE"/>
    <w:rsid w:val="00B81A2A"/>
    <w:rsid w:val="00B81D29"/>
    <w:rsid w:val="00B81E47"/>
    <w:rsid w:val="00B8222B"/>
    <w:rsid w:val="00B82264"/>
    <w:rsid w:val="00B827C7"/>
    <w:rsid w:val="00B829D9"/>
    <w:rsid w:val="00B82B8F"/>
    <w:rsid w:val="00B82C93"/>
    <w:rsid w:val="00B82D53"/>
    <w:rsid w:val="00B82E48"/>
    <w:rsid w:val="00B83BC7"/>
    <w:rsid w:val="00B83C2E"/>
    <w:rsid w:val="00B83F29"/>
    <w:rsid w:val="00B83F4B"/>
    <w:rsid w:val="00B84108"/>
    <w:rsid w:val="00B84B7C"/>
    <w:rsid w:val="00B84E07"/>
    <w:rsid w:val="00B84E59"/>
    <w:rsid w:val="00B8534A"/>
    <w:rsid w:val="00B8574E"/>
    <w:rsid w:val="00B85AEE"/>
    <w:rsid w:val="00B85FE2"/>
    <w:rsid w:val="00B86573"/>
    <w:rsid w:val="00B86732"/>
    <w:rsid w:val="00B86C78"/>
    <w:rsid w:val="00B86C85"/>
    <w:rsid w:val="00B86D11"/>
    <w:rsid w:val="00B87372"/>
    <w:rsid w:val="00B875A4"/>
    <w:rsid w:val="00B877F4"/>
    <w:rsid w:val="00B8797F"/>
    <w:rsid w:val="00B904C1"/>
    <w:rsid w:val="00B90634"/>
    <w:rsid w:val="00B90C2E"/>
    <w:rsid w:val="00B90E19"/>
    <w:rsid w:val="00B91025"/>
    <w:rsid w:val="00B91559"/>
    <w:rsid w:val="00B91F6F"/>
    <w:rsid w:val="00B9207A"/>
    <w:rsid w:val="00B92123"/>
    <w:rsid w:val="00B921EE"/>
    <w:rsid w:val="00B928D9"/>
    <w:rsid w:val="00B929BC"/>
    <w:rsid w:val="00B929EC"/>
    <w:rsid w:val="00B92C64"/>
    <w:rsid w:val="00B939BA"/>
    <w:rsid w:val="00B93D00"/>
    <w:rsid w:val="00B9405C"/>
    <w:rsid w:val="00B940DF"/>
    <w:rsid w:val="00B940E7"/>
    <w:rsid w:val="00B94169"/>
    <w:rsid w:val="00B941B7"/>
    <w:rsid w:val="00B9454B"/>
    <w:rsid w:val="00B9464D"/>
    <w:rsid w:val="00B94E27"/>
    <w:rsid w:val="00B9523A"/>
    <w:rsid w:val="00B95A01"/>
    <w:rsid w:val="00B95AA9"/>
    <w:rsid w:val="00B95BBB"/>
    <w:rsid w:val="00B960D7"/>
    <w:rsid w:val="00B961BC"/>
    <w:rsid w:val="00B9633D"/>
    <w:rsid w:val="00B96484"/>
    <w:rsid w:val="00B96513"/>
    <w:rsid w:val="00B968FE"/>
    <w:rsid w:val="00B96EAE"/>
    <w:rsid w:val="00B97465"/>
    <w:rsid w:val="00B97535"/>
    <w:rsid w:val="00B9787D"/>
    <w:rsid w:val="00BA004D"/>
    <w:rsid w:val="00BA019D"/>
    <w:rsid w:val="00BA058B"/>
    <w:rsid w:val="00BA0BCF"/>
    <w:rsid w:val="00BA0C4C"/>
    <w:rsid w:val="00BA138D"/>
    <w:rsid w:val="00BA18B0"/>
    <w:rsid w:val="00BA1976"/>
    <w:rsid w:val="00BA1A89"/>
    <w:rsid w:val="00BA1BDA"/>
    <w:rsid w:val="00BA1C9F"/>
    <w:rsid w:val="00BA21DB"/>
    <w:rsid w:val="00BA22CB"/>
    <w:rsid w:val="00BA2532"/>
    <w:rsid w:val="00BA2571"/>
    <w:rsid w:val="00BA2B89"/>
    <w:rsid w:val="00BA3404"/>
    <w:rsid w:val="00BA3458"/>
    <w:rsid w:val="00BA36DD"/>
    <w:rsid w:val="00BA38C8"/>
    <w:rsid w:val="00BA38E4"/>
    <w:rsid w:val="00BA39F7"/>
    <w:rsid w:val="00BA3A6C"/>
    <w:rsid w:val="00BA3B00"/>
    <w:rsid w:val="00BA3D82"/>
    <w:rsid w:val="00BA4029"/>
    <w:rsid w:val="00BA43F7"/>
    <w:rsid w:val="00BA459C"/>
    <w:rsid w:val="00BA46B2"/>
    <w:rsid w:val="00BA4DD2"/>
    <w:rsid w:val="00BA4E72"/>
    <w:rsid w:val="00BA4FFE"/>
    <w:rsid w:val="00BA5629"/>
    <w:rsid w:val="00BA57B2"/>
    <w:rsid w:val="00BA5990"/>
    <w:rsid w:val="00BA5A5C"/>
    <w:rsid w:val="00BA5A99"/>
    <w:rsid w:val="00BA5D78"/>
    <w:rsid w:val="00BA6262"/>
    <w:rsid w:val="00BA67F1"/>
    <w:rsid w:val="00BA68E1"/>
    <w:rsid w:val="00BA6E60"/>
    <w:rsid w:val="00BA7842"/>
    <w:rsid w:val="00BA7CBF"/>
    <w:rsid w:val="00BA7F96"/>
    <w:rsid w:val="00BB061C"/>
    <w:rsid w:val="00BB0BE4"/>
    <w:rsid w:val="00BB1184"/>
    <w:rsid w:val="00BB1275"/>
    <w:rsid w:val="00BB1900"/>
    <w:rsid w:val="00BB1A63"/>
    <w:rsid w:val="00BB1A8F"/>
    <w:rsid w:val="00BB1B9B"/>
    <w:rsid w:val="00BB1E50"/>
    <w:rsid w:val="00BB21BC"/>
    <w:rsid w:val="00BB22F7"/>
    <w:rsid w:val="00BB2391"/>
    <w:rsid w:val="00BB2DBA"/>
    <w:rsid w:val="00BB36D8"/>
    <w:rsid w:val="00BB3D4C"/>
    <w:rsid w:val="00BB3D8E"/>
    <w:rsid w:val="00BB437B"/>
    <w:rsid w:val="00BB4883"/>
    <w:rsid w:val="00BB4A08"/>
    <w:rsid w:val="00BB4ACF"/>
    <w:rsid w:val="00BB5C41"/>
    <w:rsid w:val="00BB61CE"/>
    <w:rsid w:val="00BB6605"/>
    <w:rsid w:val="00BB6868"/>
    <w:rsid w:val="00BB6948"/>
    <w:rsid w:val="00BB69C2"/>
    <w:rsid w:val="00BB69EA"/>
    <w:rsid w:val="00BB6AE9"/>
    <w:rsid w:val="00BB6C8A"/>
    <w:rsid w:val="00BB6CD3"/>
    <w:rsid w:val="00BB7727"/>
    <w:rsid w:val="00BB794E"/>
    <w:rsid w:val="00BB7A0C"/>
    <w:rsid w:val="00BB7A3D"/>
    <w:rsid w:val="00BB7AEC"/>
    <w:rsid w:val="00BB7D8A"/>
    <w:rsid w:val="00BB7E96"/>
    <w:rsid w:val="00BC015A"/>
    <w:rsid w:val="00BC03FF"/>
    <w:rsid w:val="00BC0438"/>
    <w:rsid w:val="00BC0463"/>
    <w:rsid w:val="00BC059A"/>
    <w:rsid w:val="00BC0703"/>
    <w:rsid w:val="00BC0AAF"/>
    <w:rsid w:val="00BC0E95"/>
    <w:rsid w:val="00BC0FAE"/>
    <w:rsid w:val="00BC0FCA"/>
    <w:rsid w:val="00BC14BE"/>
    <w:rsid w:val="00BC187B"/>
    <w:rsid w:val="00BC1952"/>
    <w:rsid w:val="00BC1B45"/>
    <w:rsid w:val="00BC1B8F"/>
    <w:rsid w:val="00BC1DBF"/>
    <w:rsid w:val="00BC1EE9"/>
    <w:rsid w:val="00BC1FC8"/>
    <w:rsid w:val="00BC2283"/>
    <w:rsid w:val="00BC291C"/>
    <w:rsid w:val="00BC2B03"/>
    <w:rsid w:val="00BC2F1E"/>
    <w:rsid w:val="00BC322F"/>
    <w:rsid w:val="00BC34BE"/>
    <w:rsid w:val="00BC35AC"/>
    <w:rsid w:val="00BC3791"/>
    <w:rsid w:val="00BC3A84"/>
    <w:rsid w:val="00BC3BBE"/>
    <w:rsid w:val="00BC3DB8"/>
    <w:rsid w:val="00BC3F17"/>
    <w:rsid w:val="00BC3F78"/>
    <w:rsid w:val="00BC3FFD"/>
    <w:rsid w:val="00BC40C1"/>
    <w:rsid w:val="00BC4150"/>
    <w:rsid w:val="00BC45BE"/>
    <w:rsid w:val="00BC4705"/>
    <w:rsid w:val="00BC48AB"/>
    <w:rsid w:val="00BC48C6"/>
    <w:rsid w:val="00BC4DD4"/>
    <w:rsid w:val="00BC4E91"/>
    <w:rsid w:val="00BC51BC"/>
    <w:rsid w:val="00BC5219"/>
    <w:rsid w:val="00BC55F5"/>
    <w:rsid w:val="00BC5946"/>
    <w:rsid w:val="00BC59CE"/>
    <w:rsid w:val="00BC5F0A"/>
    <w:rsid w:val="00BC613A"/>
    <w:rsid w:val="00BC6378"/>
    <w:rsid w:val="00BC64BF"/>
    <w:rsid w:val="00BC678E"/>
    <w:rsid w:val="00BC68C2"/>
    <w:rsid w:val="00BC6A08"/>
    <w:rsid w:val="00BC6AEB"/>
    <w:rsid w:val="00BC73AE"/>
    <w:rsid w:val="00BC768B"/>
    <w:rsid w:val="00BC772A"/>
    <w:rsid w:val="00BC7829"/>
    <w:rsid w:val="00BC7868"/>
    <w:rsid w:val="00BC788D"/>
    <w:rsid w:val="00BC7BAB"/>
    <w:rsid w:val="00BC7D17"/>
    <w:rsid w:val="00BD01D8"/>
    <w:rsid w:val="00BD023D"/>
    <w:rsid w:val="00BD03BA"/>
    <w:rsid w:val="00BD088E"/>
    <w:rsid w:val="00BD0B76"/>
    <w:rsid w:val="00BD0FE9"/>
    <w:rsid w:val="00BD150B"/>
    <w:rsid w:val="00BD1704"/>
    <w:rsid w:val="00BD18A7"/>
    <w:rsid w:val="00BD1907"/>
    <w:rsid w:val="00BD209D"/>
    <w:rsid w:val="00BD2180"/>
    <w:rsid w:val="00BD2400"/>
    <w:rsid w:val="00BD2493"/>
    <w:rsid w:val="00BD2972"/>
    <w:rsid w:val="00BD2980"/>
    <w:rsid w:val="00BD2B0C"/>
    <w:rsid w:val="00BD2C14"/>
    <w:rsid w:val="00BD2C18"/>
    <w:rsid w:val="00BD2E0F"/>
    <w:rsid w:val="00BD3144"/>
    <w:rsid w:val="00BD383D"/>
    <w:rsid w:val="00BD3A76"/>
    <w:rsid w:val="00BD3C42"/>
    <w:rsid w:val="00BD3CD4"/>
    <w:rsid w:val="00BD3D66"/>
    <w:rsid w:val="00BD4511"/>
    <w:rsid w:val="00BD4556"/>
    <w:rsid w:val="00BD4710"/>
    <w:rsid w:val="00BD490C"/>
    <w:rsid w:val="00BD4A1B"/>
    <w:rsid w:val="00BD4BBA"/>
    <w:rsid w:val="00BD5627"/>
    <w:rsid w:val="00BD579A"/>
    <w:rsid w:val="00BD6143"/>
    <w:rsid w:val="00BD61C4"/>
    <w:rsid w:val="00BD677D"/>
    <w:rsid w:val="00BD6A64"/>
    <w:rsid w:val="00BD7657"/>
    <w:rsid w:val="00BD766F"/>
    <w:rsid w:val="00BD7731"/>
    <w:rsid w:val="00BD7CA0"/>
    <w:rsid w:val="00BD7E9E"/>
    <w:rsid w:val="00BE0272"/>
    <w:rsid w:val="00BE0A0D"/>
    <w:rsid w:val="00BE0A46"/>
    <w:rsid w:val="00BE0D14"/>
    <w:rsid w:val="00BE1089"/>
    <w:rsid w:val="00BE1215"/>
    <w:rsid w:val="00BE152A"/>
    <w:rsid w:val="00BE1855"/>
    <w:rsid w:val="00BE1AE5"/>
    <w:rsid w:val="00BE1EA8"/>
    <w:rsid w:val="00BE1EC5"/>
    <w:rsid w:val="00BE2469"/>
    <w:rsid w:val="00BE2528"/>
    <w:rsid w:val="00BE2816"/>
    <w:rsid w:val="00BE29EB"/>
    <w:rsid w:val="00BE2A46"/>
    <w:rsid w:val="00BE2C7F"/>
    <w:rsid w:val="00BE2CCB"/>
    <w:rsid w:val="00BE3504"/>
    <w:rsid w:val="00BE3A7B"/>
    <w:rsid w:val="00BE3D22"/>
    <w:rsid w:val="00BE3D84"/>
    <w:rsid w:val="00BE3EA4"/>
    <w:rsid w:val="00BE40B7"/>
    <w:rsid w:val="00BE41BD"/>
    <w:rsid w:val="00BE431D"/>
    <w:rsid w:val="00BE46BD"/>
    <w:rsid w:val="00BE4A44"/>
    <w:rsid w:val="00BE4D0D"/>
    <w:rsid w:val="00BE4E1D"/>
    <w:rsid w:val="00BE5240"/>
    <w:rsid w:val="00BE5542"/>
    <w:rsid w:val="00BE55AA"/>
    <w:rsid w:val="00BE5C16"/>
    <w:rsid w:val="00BE5C3F"/>
    <w:rsid w:val="00BE5FB1"/>
    <w:rsid w:val="00BE6206"/>
    <w:rsid w:val="00BE63A0"/>
    <w:rsid w:val="00BE6579"/>
    <w:rsid w:val="00BE6782"/>
    <w:rsid w:val="00BE6A12"/>
    <w:rsid w:val="00BE6AA9"/>
    <w:rsid w:val="00BE6C2A"/>
    <w:rsid w:val="00BE6C7B"/>
    <w:rsid w:val="00BE6F7E"/>
    <w:rsid w:val="00BE7008"/>
    <w:rsid w:val="00BE7364"/>
    <w:rsid w:val="00BE7503"/>
    <w:rsid w:val="00BE782C"/>
    <w:rsid w:val="00BE7B17"/>
    <w:rsid w:val="00BE7ED9"/>
    <w:rsid w:val="00BF0137"/>
    <w:rsid w:val="00BF08EE"/>
    <w:rsid w:val="00BF0BD8"/>
    <w:rsid w:val="00BF12A4"/>
    <w:rsid w:val="00BF1575"/>
    <w:rsid w:val="00BF158D"/>
    <w:rsid w:val="00BF15BA"/>
    <w:rsid w:val="00BF1713"/>
    <w:rsid w:val="00BF1771"/>
    <w:rsid w:val="00BF1986"/>
    <w:rsid w:val="00BF1BBE"/>
    <w:rsid w:val="00BF1CB1"/>
    <w:rsid w:val="00BF1D2B"/>
    <w:rsid w:val="00BF1DE9"/>
    <w:rsid w:val="00BF2002"/>
    <w:rsid w:val="00BF2354"/>
    <w:rsid w:val="00BF2556"/>
    <w:rsid w:val="00BF2B41"/>
    <w:rsid w:val="00BF2E87"/>
    <w:rsid w:val="00BF2F0E"/>
    <w:rsid w:val="00BF2F5F"/>
    <w:rsid w:val="00BF2F95"/>
    <w:rsid w:val="00BF3E3B"/>
    <w:rsid w:val="00BF4078"/>
    <w:rsid w:val="00BF4608"/>
    <w:rsid w:val="00BF479A"/>
    <w:rsid w:val="00BF4CA2"/>
    <w:rsid w:val="00BF4D0B"/>
    <w:rsid w:val="00BF4F01"/>
    <w:rsid w:val="00BF4F81"/>
    <w:rsid w:val="00BF52E1"/>
    <w:rsid w:val="00BF5368"/>
    <w:rsid w:val="00BF55FF"/>
    <w:rsid w:val="00BF56CC"/>
    <w:rsid w:val="00BF5739"/>
    <w:rsid w:val="00BF5889"/>
    <w:rsid w:val="00BF594E"/>
    <w:rsid w:val="00BF59CD"/>
    <w:rsid w:val="00BF63DC"/>
    <w:rsid w:val="00BF6663"/>
    <w:rsid w:val="00BF6722"/>
    <w:rsid w:val="00BF68E0"/>
    <w:rsid w:val="00BF6BB4"/>
    <w:rsid w:val="00BF6E99"/>
    <w:rsid w:val="00BF6F54"/>
    <w:rsid w:val="00BF6FEC"/>
    <w:rsid w:val="00BF701B"/>
    <w:rsid w:val="00BF702B"/>
    <w:rsid w:val="00BF7524"/>
    <w:rsid w:val="00BF7792"/>
    <w:rsid w:val="00BF7900"/>
    <w:rsid w:val="00BF7A9B"/>
    <w:rsid w:val="00BF7BDB"/>
    <w:rsid w:val="00C008D2"/>
    <w:rsid w:val="00C009AF"/>
    <w:rsid w:val="00C00A57"/>
    <w:rsid w:val="00C00C87"/>
    <w:rsid w:val="00C00E9F"/>
    <w:rsid w:val="00C00EFA"/>
    <w:rsid w:val="00C013C3"/>
    <w:rsid w:val="00C0144E"/>
    <w:rsid w:val="00C01678"/>
    <w:rsid w:val="00C01E82"/>
    <w:rsid w:val="00C01F5F"/>
    <w:rsid w:val="00C02065"/>
    <w:rsid w:val="00C02416"/>
    <w:rsid w:val="00C02585"/>
    <w:rsid w:val="00C0284A"/>
    <w:rsid w:val="00C028A0"/>
    <w:rsid w:val="00C02C54"/>
    <w:rsid w:val="00C02F18"/>
    <w:rsid w:val="00C0317B"/>
    <w:rsid w:val="00C031D2"/>
    <w:rsid w:val="00C0320C"/>
    <w:rsid w:val="00C0323B"/>
    <w:rsid w:val="00C03372"/>
    <w:rsid w:val="00C034E3"/>
    <w:rsid w:val="00C035C2"/>
    <w:rsid w:val="00C03605"/>
    <w:rsid w:val="00C03FA9"/>
    <w:rsid w:val="00C041D0"/>
    <w:rsid w:val="00C04630"/>
    <w:rsid w:val="00C04AAE"/>
    <w:rsid w:val="00C04B8A"/>
    <w:rsid w:val="00C04D60"/>
    <w:rsid w:val="00C04FD8"/>
    <w:rsid w:val="00C05430"/>
    <w:rsid w:val="00C05483"/>
    <w:rsid w:val="00C055E0"/>
    <w:rsid w:val="00C05618"/>
    <w:rsid w:val="00C0563C"/>
    <w:rsid w:val="00C05766"/>
    <w:rsid w:val="00C0581A"/>
    <w:rsid w:val="00C05FE2"/>
    <w:rsid w:val="00C062D4"/>
    <w:rsid w:val="00C06425"/>
    <w:rsid w:val="00C066EF"/>
    <w:rsid w:val="00C06A42"/>
    <w:rsid w:val="00C06C17"/>
    <w:rsid w:val="00C06CA1"/>
    <w:rsid w:val="00C06EAA"/>
    <w:rsid w:val="00C0701B"/>
    <w:rsid w:val="00C0701C"/>
    <w:rsid w:val="00C073F4"/>
    <w:rsid w:val="00C078D5"/>
    <w:rsid w:val="00C07AC4"/>
    <w:rsid w:val="00C07B22"/>
    <w:rsid w:val="00C07CFE"/>
    <w:rsid w:val="00C1008C"/>
    <w:rsid w:val="00C10567"/>
    <w:rsid w:val="00C1079E"/>
    <w:rsid w:val="00C1086B"/>
    <w:rsid w:val="00C108C2"/>
    <w:rsid w:val="00C11084"/>
    <w:rsid w:val="00C110B3"/>
    <w:rsid w:val="00C11374"/>
    <w:rsid w:val="00C11BC4"/>
    <w:rsid w:val="00C11D15"/>
    <w:rsid w:val="00C11DC3"/>
    <w:rsid w:val="00C11DF3"/>
    <w:rsid w:val="00C11ECD"/>
    <w:rsid w:val="00C121ED"/>
    <w:rsid w:val="00C122F7"/>
    <w:rsid w:val="00C12357"/>
    <w:rsid w:val="00C1246A"/>
    <w:rsid w:val="00C127A7"/>
    <w:rsid w:val="00C12901"/>
    <w:rsid w:val="00C12A54"/>
    <w:rsid w:val="00C12B69"/>
    <w:rsid w:val="00C12C26"/>
    <w:rsid w:val="00C133CF"/>
    <w:rsid w:val="00C1344F"/>
    <w:rsid w:val="00C13908"/>
    <w:rsid w:val="00C1395C"/>
    <w:rsid w:val="00C139C5"/>
    <w:rsid w:val="00C13C44"/>
    <w:rsid w:val="00C13E94"/>
    <w:rsid w:val="00C14120"/>
    <w:rsid w:val="00C14306"/>
    <w:rsid w:val="00C14699"/>
    <w:rsid w:val="00C148E6"/>
    <w:rsid w:val="00C14917"/>
    <w:rsid w:val="00C14DA6"/>
    <w:rsid w:val="00C14FCB"/>
    <w:rsid w:val="00C15020"/>
    <w:rsid w:val="00C15AA7"/>
    <w:rsid w:val="00C15B87"/>
    <w:rsid w:val="00C15CF5"/>
    <w:rsid w:val="00C15D7E"/>
    <w:rsid w:val="00C16311"/>
    <w:rsid w:val="00C163CB"/>
    <w:rsid w:val="00C1644D"/>
    <w:rsid w:val="00C167AF"/>
    <w:rsid w:val="00C16D9A"/>
    <w:rsid w:val="00C16E9B"/>
    <w:rsid w:val="00C17131"/>
    <w:rsid w:val="00C175CF"/>
    <w:rsid w:val="00C17DFF"/>
    <w:rsid w:val="00C17F53"/>
    <w:rsid w:val="00C201C1"/>
    <w:rsid w:val="00C208EA"/>
    <w:rsid w:val="00C20E78"/>
    <w:rsid w:val="00C20EDE"/>
    <w:rsid w:val="00C20F3A"/>
    <w:rsid w:val="00C210AB"/>
    <w:rsid w:val="00C211F5"/>
    <w:rsid w:val="00C214A0"/>
    <w:rsid w:val="00C21B33"/>
    <w:rsid w:val="00C21DCE"/>
    <w:rsid w:val="00C21E26"/>
    <w:rsid w:val="00C21E6E"/>
    <w:rsid w:val="00C21F99"/>
    <w:rsid w:val="00C2227E"/>
    <w:rsid w:val="00C22474"/>
    <w:rsid w:val="00C22569"/>
    <w:rsid w:val="00C226FA"/>
    <w:rsid w:val="00C22817"/>
    <w:rsid w:val="00C22DF9"/>
    <w:rsid w:val="00C22E24"/>
    <w:rsid w:val="00C22F8A"/>
    <w:rsid w:val="00C22FDA"/>
    <w:rsid w:val="00C231FF"/>
    <w:rsid w:val="00C237B9"/>
    <w:rsid w:val="00C239AA"/>
    <w:rsid w:val="00C24338"/>
    <w:rsid w:val="00C24513"/>
    <w:rsid w:val="00C246ED"/>
    <w:rsid w:val="00C24726"/>
    <w:rsid w:val="00C24ABB"/>
    <w:rsid w:val="00C24E67"/>
    <w:rsid w:val="00C25447"/>
    <w:rsid w:val="00C2546A"/>
    <w:rsid w:val="00C254B2"/>
    <w:rsid w:val="00C25A29"/>
    <w:rsid w:val="00C25C1A"/>
    <w:rsid w:val="00C263A0"/>
    <w:rsid w:val="00C263FD"/>
    <w:rsid w:val="00C267AA"/>
    <w:rsid w:val="00C26B8B"/>
    <w:rsid w:val="00C26CC1"/>
    <w:rsid w:val="00C26D1C"/>
    <w:rsid w:val="00C26DBC"/>
    <w:rsid w:val="00C26F5E"/>
    <w:rsid w:val="00C26FCF"/>
    <w:rsid w:val="00C2703C"/>
    <w:rsid w:val="00C27118"/>
    <w:rsid w:val="00C2713C"/>
    <w:rsid w:val="00C2735D"/>
    <w:rsid w:val="00C27460"/>
    <w:rsid w:val="00C27A9F"/>
    <w:rsid w:val="00C27C99"/>
    <w:rsid w:val="00C27D5B"/>
    <w:rsid w:val="00C27E47"/>
    <w:rsid w:val="00C302D1"/>
    <w:rsid w:val="00C305BF"/>
    <w:rsid w:val="00C30BAB"/>
    <w:rsid w:val="00C3106A"/>
    <w:rsid w:val="00C31077"/>
    <w:rsid w:val="00C311C6"/>
    <w:rsid w:val="00C31224"/>
    <w:rsid w:val="00C3165F"/>
    <w:rsid w:val="00C316A4"/>
    <w:rsid w:val="00C31756"/>
    <w:rsid w:val="00C318FA"/>
    <w:rsid w:val="00C31947"/>
    <w:rsid w:val="00C31AED"/>
    <w:rsid w:val="00C31C37"/>
    <w:rsid w:val="00C31C40"/>
    <w:rsid w:val="00C31F96"/>
    <w:rsid w:val="00C32332"/>
    <w:rsid w:val="00C32375"/>
    <w:rsid w:val="00C323BC"/>
    <w:rsid w:val="00C32401"/>
    <w:rsid w:val="00C32A79"/>
    <w:rsid w:val="00C32B9A"/>
    <w:rsid w:val="00C32C36"/>
    <w:rsid w:val="00C32C69"/>
    <w:rsid w:val="00C32D48"/>
    <w:rsid w:val="00C32E74"/>
    <w:rsid w:val="00C33175"/>
    <w:rsid w:val="00C332D7"/>
    <w:rsid w:val="00C33405"/>
    <w:rsid w:val="00C33557"/>
    <w:rsid w:val="00C336E1"/>
    <w:rsid w:val="00C337DF"/>
    <w:rsid w:val="00C3384D"/>
    <w:rsid w:val="00C33D23"/>
    <w:rsid w:val="00C34034"/>
    <w:rsid w:val="00C34136"/>
    <w:rsid w:val="00C3462F"/>
    <w:rsid w:val="00C34702"/>
    <w:rsid w:val="00C34BA0"/>
    <w:rsid w:val="00C34C86"/>
    <w:rsid w:val="00C35A0E"/>
    <w:rsid w:val="00C35BC6"/>
    <w:rsid w:val="00C35D41"/>
    <w:rsid w:val="00C361A8"/>
    <w:rsid w:val="00C36471"/>
    <w:rsid w:val="00C36C95"/>
    <w:rsid w:val="00C36CA0"/>
    <w:rsid w:val="00C36F48"/>
    <w:rsid w:val="00C36FCC"/>
    <w:rsid w:val="00C36FED"/>
    <w:rsid w:val="00C370CA"/>
    <w:rsid w:val="00C37768"/>
    <w:rsid w:val="00C37AB4"/>
    <w:rsid w:val="00C37B5B"/>
    <w:rsid w:val="00C405F6"/>
    <w:rsid w:val="00C40CF8"/>
    <w:rsid w:val="00C41204"/>
    <w:rsid w:val="00C41274"/>
    <w:rsid w:val="00C41370"/>
    <w:rsid w:val="00C413D9"/>
    <w:rsid w:val="00C41693"/>
    <w:rsid w:val="00C419B0"/>
    <w:rsid w:val="00C419EC"/>
    <w:rsid w:val="00C41BDE"/>
    <w:rsid w:val="00C41E8C"/>
    <w:rsid w:val="00C41F5E"/>
    <w:rsid w:val="00C4232E"/>
    <w:rsid w:val="00C42360"/>
    <w:rsid w:val="00C423C7"/>
    <w:rsid w:val="00C4279E"/>
    <w:rsid w:val="00C42A14"/>
    <w:rsid w:val="00C42E37"/>
    <w:rsid w:val="00C430F5"/>
    <w:rsid w:val="00C43422"/>
    <w:rsid w:val="00C4376C"/>
    <w:rsid w:val="00C43778"/>
    <w:rsid w:val="00C43C51"/>
    <w:rsid w:val="00C43E90"/>
    <w:rsid w:val="00C43F30"/>
    <w:rsid w:val="00C43F9B"/>
    <w:rsid w:val="00C440C3"/>
    <w:rsid w:val="00C44247"/>
    <w:rsid w:val="00C4450B"/>
    <w:rsid w:val="00C44555"/>
    <w:rsid w:val="00C451C8"/>
    <w:rsid w:val="00C45217"/>
    <w:rsid w:val="00C45237"/>
    <w:rsid w:val="00C453DB"/>
    <w:rsid w:val="00C45525"/>
    <w:rsid w:val="00C45EAD"/>
    <w:rsid w:val="00C4649B"/>
    <w:rsid w:val="00C46C46"/>
    <w:rsid w:val="00C46F81"/>
    <w:rsid w:val="00C473F0"/>
    <w:rsid w:val="00C474DC"/>
    <w:rsid w:val="00C47672"/>
    <w:rsid w:val="00C478B9"/>
    <w:rsid w:val="00C479D7"/>
    <w:rsid w:val="00C479EF"/>
    <w:rsid w:val="00C47A91"/>
    <w:rsid w:val="00C47D06"/>
    <w:rsid w:val="00C50343"/>
    <w:rsid w:val="00C50621"/>
    <w:rsid w:val="00C50816"/>
    <w:rsid w:val="00C5096E"/>
    <w:rsid w:val="00C50C2A"/>
    <w:rsid w:val="00C50D17"/>
    <w:rsid w:val="00C50D22"/>
    <w:rsid w:val="00C50D63"/>
    <w:rsid w:val="00C50E39"/>
    <w:rsid w:val="00C50F34"/>
    <w:rsid w:val="00C51262"/>
    <w:rsid w:val="00C51951"/>
    <w:rsid w:val="00C52019"/>
    <w:rsid w:val="00C52058"/>
    <w:rsid w:val="00C5205D"/>
    <w:rsid w:val="00C5238C"/>
    <w:rsid w:val="00C52486"/>
    <w:rsid w:val="00C52725"/>
    <w:rsid w:val="00C52A54"/>
    <w:rsid w:val="00C537E2"/>
    <w:rsid w:val="00C542ED"/>
    <w:rsid w:val="00C5468A"/>
    <w:rsid w:val="00C54CAB"/>
    <w:rsid w:val="00C550D6"/>
    <w:rsid w:val="00C5516B"/>
    <w:rsid w:val="00C5516C"/>
    <w:rsid w:val="00C55368"/>
    <w:rsid w:val="00C55615"/>
    <w:rsid w:val="00C5573D"/>
    <w:rsid w:val="00C55998"/>
    <w:rsid w:val="00C55FAD"/>
    <w:rsid w:val="00C562D4"/>
    <w:rsid w:val="00C565E6"/>
    <w:rsid w:val="00C567A2"/>
    <w:rsid w:val="00C567B7"/>
    <w:rsid w:val="00C56B58"/>
    <w:rsid w:val="00C56C71"/>
    <w:rsid w:val="00C56F42"/>
    <w:rsid w:val="00C57524"/>
    <w:rsid w:val="00C576DA"/>
    <w:rsid w:val="00C5786F"/>
    <w:rsid w:val="00C57A96"/>
    <w:rsid w:val="00C57D0B"/>
    <w:rsid w:val="00C57F91"/>
    <w:rsid w:val="00C6043A"/>
    <w:rsid w:val="00C60446"/>
    <w:rsid w:val="00C60507"/>
    <w:rsid w:val="00C605DE"/>
    <w:rsid w:val="00C607A9"/>
    <w:rsid w:val="00C60A0B"/>
    <w:rsid w:val="00C60E00"/>
    <w:rsid w:val="00C61347"/>
    <w:rsid w:val="00C61475"/>
    <w:rsid w:val="00C61670"/>
    <w:rsid w:val="00C617BE"/>
    <w:rsid w:val="00C6182E"/>
    <w:rsid w:val="00C61A90"/>
    <w:rsid w:val="00C61D8F"/>
    <w:rsid w:val="00C62BC6"/>
    <w:rsid w:val="00C62F59"/>
    <w:rsid w:val="00C6309E"/>
    <w:rsid w:val="00C6345F"/>
    <w:rsid w:val="00C636C3"/>
    <w:rsid w:val="00C63B43"/>
    <w:rsid w:val="00C644F1"/>
    <w:rsid w:val="00C64CB5"/>
    <w:rsid w:val="00C64D99"/>
    <w:rsid w:val="00C64F30"/>
    <w:rsid w:val="00C6522F"/>
    <w:rsid w:val="00C652EE"/>
    <w:rsid w:val="00C65466"/>
    <w:rsid w:val="00C65776"/>
    <w:rsid w:val="00C65A3A"/>
    <w:rsid w:val="00C65AD1"/>
    <w:rsid w:val="00C65B85"/>
    <w:rsid w:val="00C65CF2"/>
    <w:rsid w:val="00C65ED9"/>
    <w:rsid w:val="00C660A0"/>
    <w:rsid w:val="00C664E7"/>
    <w:rsid w:val="00C6666F"/>
    <w:rsid w:val="00C668BD"/>
    <w:rsid w:val="00C66B33"/>
    <w:rsid w:val="00C66BA4"/>
    <w:rsid w:val="00C67260"/>
    <w:rsid w:val="00C677FD"/>
    <w:rsid w:val="00C67F0C"/>
    <w:rsid w:val="00C70004"/>
    <w:rsid w:val="00C7053D"/>
    <w:rsid w:val="00C7087A"/>
    <w:rsid w:val="00C70DEA"/>
    <w:rsid w:val="00C71658"/>
    <w:rsid w:val="00C71830"/>
    <w:rsid w:val="00C71C7C"/>
    <w:rsid w:val="00C71CF5"/>
    <w:rsid w:val="00C72020"/>
    <w:rsid w:val="00C72062"/>
    <w:rsid w:val="00C723F1"/>
    <w:rsid w:val="00C7241D"/>
    <w:rsid w:val="00C725F5"/>
    <w:rsid w:val="00C726B6"/>
    <w:rsid w:val="00C72820"/>
    <w:rsid w:val="00C72CA8"/>
    <w:rsid w:val="00C73D1F"/>
    <w:rsid w:val="00C749B3"/>
    <w:rsid w:val="00C74E42"/>
    <w:rsid w:val="00C75439"/>
    <w:rsid w:val="00C7563D"/>
    <w:rsid w:val="00C757F2"/>
    <w:rsid w:val="00C7585F"/>
    <w:rsid w:val="00C75985"/>
    <w:rsid w:val="00C75E03"/>
    <w:rsid w:val="00C75EDF"/>
    <w:rsid w:val="00C76004"/>
    <w:rsid w:val="00C76221"/>
    <w:rsid w:val="00C76245"/>
    <w:rsid w:val="00C76356"/>
    <w:rsid w:val="00C763AB"/>
    <w:rsid w:val="00C76734"/>
    <w:rsid w:val="00C76BC0"/>
    <w:rsid w:val="00C77481"/>
    <w:rsid w:val="00C77503"/>
    <w:rsid w:val="00C778B9"/>
    <w:rsid w:val="00C7790A"/>
    <w:rsid w:val="00C77BA6"/>
    <w:rsid w:val="00C77BE5"/>
    <w:rsid w:val="00C77E1E"/>
    <w:rsid w:val="00C77E4C"/>
    <w:rsid w:val="00C80072"/>
    <w:rsid w:val="00C801C3"/>
    <w:rsid w:val="00C802B3"/>
    <w:rsid w:val="00C809D6"/>
    <w:rsid w:val="00C80AB7"/>
    <w:rsid w:val="00C80CBC"/>
    <w:rsid w:val="00C81106"/>
    <w:rsid w:val="00C81140"/>
    <w:rsid w:val="00C81180"/>
    <w:rsid w:val="00C816F1"/>
    <w:rsid w:val="00C8178F"/>
    <w:rsid w:val="00C81AC1"/>
    <w:rsid w:val="00C81CB7"/>
    <w:rsid w:val="00C826EE"/>
    <w:rsid w:val="00C827FE"/>
    <w:rsid w:val="00C829DA"/>
    <w:rsid w:val="00C82D85"/>
    <w:rsid w:val="00C82DCA"/>
    <w:rsid w:val="00C82E03"/>
    <w:rsid w:val="00C82F60"/>
    <w:rsid w:val="00C83068"/>
    <w:rsid w:val="00C831AF"/>
    <w:rsid w:val="00C831DF"/>
    <w:rsid w:val="00C83861"/>
    <w:rsid w:val="00C83A0F"/>
    <w:rsid w:val="00C83C3E"/>
    <w:rsid w:val="00C83D3B"/>
    <w:rsid w:val="00C8423D"/>
    <w:rsid w:val="00C8447F"/>
    <w:rsid w:val="00C84797"/>
    <w:rsid w:val="00C8496E"/>
    <w:rsid w:val="00C84AC5"/>
    <w:rsid w:val="00C84D66"/>
    <w:rsid w:val="00C84EE8"/>
    <w:rsid w:val="00C85490"/>
    <w:rsid w:val="00C8550B"/>
    <w:rsid w:val="00C85606"/>
    <w:rsid w:val="00C859BA"/>
    <w:rsid w:val="00C85C22"/>
    <w:rsid w:val="00C86003"/>
    <w:rsid w:val="00C860FF"/>
    <w:rsid w:val="00C8610A"/>
    <w:rsid w:val="00C864F2"/>
    <w:rsid w:val="00C86927"/>
    <w:rsid w:val="00C869B4"/>
    <w:rsid w:val="00C86BC2"/>
    <w:rsid w:val="00C86D6A"/>
    <w:rsid w:val="00C86DC1"/>
    <w:rsid w:val="00C86EAA"/>
    <w:rsid w:val="00C86ED7"/>
    <w:rsid w:val="00C8747B"/>
    <w:rsid w:val="00C90103"/>
    <w:rsid w:val="00C901CE"/>
    <w:rsid w:val="00C9022C"/>
    <w:rsid w:val="00C90322"/>
    <w:rsid w:val="00C90BF8"/>
    <w:rsid w:val="00C90E1B"/>
    <w:rsid w:val="00C90F76"/>
    <w:rsid w:val="00C91552"/>
    <w:rsid w:val="00C9235E"/>
    <w:rsid w:val="00C923B8"/>
    <w:rsid w:val="00C92578"/>
    <w:rsid w:val="00C9279B"/>
    <w:rsid w:val="00C92CC6"/>
    <w:rsid w:val="00C932E3"/>
    <w:rsid w:val="00C9384E"/>
    <w:rsid w:val="00C938EB"/>
    <w:rsid w:val="00C939F2"/>
    <w:rsid w:val="00C93BDC"/>
    <w:rsid w:val="00C94086"/>
    <w:rsid w:val="00C94152"/>
    <w:rsid w:val="00C9435A"/>
    <w:rsid w:val="00C9451D"/>
    <w:rsid w:val="00C94664"/>
    <w:rsid w:val="00C946E5"/>
    <w:rsid w:val="00C948D6"/>
    <w:rsid w:val="00C949D7"/>
    <w:rsid w:val="00C94BFF"/>
    <w:rsid w:val="00C94DB0"/>
    <w:rsid w:val="00C94EFE"/>
    <w:rsid w:val="00C94F1A"/>
    <w:rsid w:val="00C95635"/>
    <w:rsid w:val="00C9568B"/>
    <w:rsid w:val="00C956BC"/>
    <w:rsid w:val="00C95CC2"/>
    <w:rsid w:val="00C95E0F"/>
    <w:rsid w:val="00C961CD"/>
    <w:rsid w:val="00C96234"/>
    <w:rsid w:val="00C9631A"/>
    <w:rsid w:val="00C9638C"/>
    <w:rsid w:val="00C9648A"/>
    <w:rsid w:val="00C969C6"/>
    <w:rsid w:val="00C96C40"/>
    <w:rsid w:val="00C96DB7"/>
    <w:rsid w:val="00C97367"/>
    <w:rsid w:val="00C97807"/>
    <w:rsid w:val="00C97C10"/>
    <w:rsid w:val="00C97C4B"/>
    <w:rsid w:val="00C97DB0"/>
    <w:rsid w:val="00C97F38"/>
    <w:rsid w:val="00C97FB7"/>
    <w:rsid w:val="00CA0144"/>
    <w:rsid w:val="00CA0538"/>
    <w:rsid w:val="00CA096B"/>
    <w:rsid w:val="00CA0F46"/>
    <w:rsid w:val="00CA18A1"/>
    <w:rsid w:val="00CA1C43"/>
    <w:rsid w:val="00CA1D04"/>
    <w:rsid w:val="00CA2086"/>
    <w:rsid w:val="00CA211D"/>
    <w:rsid w:val="00CA22DE"/>
    <w:rsid w:val="00CA259B"/>
    <w:rsid w:val="00CA26DE"/>
    <w:rsid w:val="00CA2B74"/>
    <w:rsid w:val="00CA332E"/>
    <w:rsid w:val="00CA345A"/>
    <w:rsid w:val="00CA3771"/>
    <w:rsid w:val="00CA38F8"/>
    <w:rsid w:val="00CA390C"/>
    <w:rsid w:val="00CA393D"/>
    <w:rsid w:val="00CA3D16"/>
    <w:rsid w:val="00CA3D96"/>
    <w:rsid w:val="00CA4010"/>
    <w:rsid w:val="00CA438C"/>
    <w:rsid w:val="00CA45F2"/>
    <w:rsid w:val="00CA47D3"/>
    <w:rsid w:val="00CA4848"/>
    <w:rsid w:val="00CA4BF8"/>
    <w:rsid w:val="00CA4E24"/>
    <w:rsid w:val="00CA5036"/>
    <w:rsid w:val="00CA50C9"/>
    <w:rsid w:val="00CA5331"/>
    <w:rsid w:val="00CA56C1"/>
    <w:rsid w:val="00CA596D"/>
    <w:rsid w:val="00CA60EC"/>
    <w:rsid w:val="00CA64D4"/>
    <w:rsid w:val="00CA66DB"/>
    <w:rsid w:val="00CA6A75"/>
    <w:rsid w:val="00CA6F13"/>
    <w:rsid w:val="00CA7608"/>
    <w:rsid w:val="00CA784D"/>
    <w:rsid w:val="00CB0126"/>
    <w:rsid w:val="00CB0363"/>
    <w:rsid w:val="00CB0665"/>
    <w:rsid w:val="00CB06AD"/>
    <w:rsid w:val="00CB06CB"/>
    <w:rsid w:val="00CB08B0"/>
    <w:rsid w:val="00CB09AA"/>
    <w:rsid w:val="00CB0E0F"/>
    <w:rsid w:val="00CB0E70"/>
    <w:rsid w:val="00CB1025"/>
    <w:rsid w:val="00CB105F"/>
    <w:rsid w:val="00CB129B"/>
    <w:rsid w:val="00CB1597"/>
    <w:rsid w:val="00CB1E64"/>
    <w:rsid w:val="00CB1F62"/>
    <w:rsid w:val="00CB2111"/>
    <w:rsid w:val="00CB23E4"/>
    <w:rsid w:val="00CB24E9"/>
    <w:rsid w:val="00CB2575"/>
    <w:rsid w:val="00CB2964"/>
    <w:rsid w:val="00CB2B32"/>
    <w:rsid w:val="00CB2BAB"/>
    <w:rsid w:val="00CB2F83"/>
    <w:rsid w:val="00CB2FC2"/>
    <w:rsid w:val="00CB325B"/>
    <w:rsid w:val="00CB3286"/>
    <w:rsid w:val="00CB346F"/>
    <w:rsid w:val="00CB3586"/>
    <w:rsid w:val="00CB3841"/>
    <w:rsid w:val="00CB3996"/>
    <w:rsid w:val="00CB3D51"/>
    <w:rsid w:val="00CB3DC2"/>
    <w:rsid w:val="00CB3F2E"/>
    <w:rsid w:val="00CB47B0"/>
    <w:rsid w:val="00CB4B15"/>
    <w:rsid w:val="00CB4F35"/>
    <w:rsid w:val="00CB4FE2"/>
    <w:rsid w:val="00CB53AF"/>
    <w:rsid w:val="00CB5731"/>
    <w:rsid w:val="00CB5803"/>
    <w:rsid w:val="00CB5BAC"/>
    <w:rsid w:val="00CB5C5E"/>
    <w:rsid w:val="00CB61E1"/>
    <w:rsid w:val="00CB63DB"/>
    <w:rsid w:val="00CB667E"/>
    <w:rsid w:val="00CB6AE7"/>
    <w:rsid w:val="00CB6E47"/>
    <w:rsid w:val="00CB6F82"/>
    <w:rsid w:val="00CB6FB4"/>
    <w:rsid w:val="00CB71DF"/>
    <w:rsid w:val="00CB7383"/>
    <w:rsid w:val="00CB78CD"/>
    <w:rsid w:val="00CB7AC1"/>
    <w:rsid w:val="00CC00BB"/>
    <w:rsid w:val="00CC01B9"/>
    <w:rsid w:val="00CC0791"/>
    <w:rsid w:val="00CC0C43"/>
    <w:rsid w:val="00CC128F"/>
    <w:rsid w:val="00CC148B"/>
    <w:rsid w:val="00CC14A5"/>
    <w:rsid w:val="00CC1738"/>
    <w:rsid w:val="00CC18D3"/>
    <w:rsid w:val="00CC18DC"/>
    <w:rsid w:val="00CC1991"/>
    <w:rsid w:val="00CC19FE"/>
    <w:rsid w:val="00CC1C4D"/>
    <w:rsid w:val="00CC1DE5"/>
    <w:rsid w:val="00CC1FB5"/>
    <w:rsid w:val="00CC2520"/>
    <w:rsid w:val="00CC2576"/>
    <w:rsid w:val="00CC26D0"/>
    <w:rsid w:val="00CC2949"/>
    <w:rsid w:val="00CC2ED9"/>
    <w:rsid w:val="00CC3A23"/>
    <w:rsid w:val="00CC3AF9"/>
    <w:rsid w:val="00CC3B76"/>
    <w:rsid w:val="00CC3E1E"/>
    <w:rsid w:val="00CC4048"/>
    <w:rsid w:val="00CC406C"/>
    <w:rsid w:val="00CC414A"/>
    <w:rsid w:val="00CC44FD"/>
    <w:rsid w:val="00CC4620"/>
    <w:rsid w:val="00CC48BD"/>
    <w:rsid w:val="00CC48FC"/>
    <w:rsid w:val="00CC4F94"/>
    <w:rsid w:val="00CC50AB"/>
    <w:rsid w:val="00CC5199"/>
    <w:rsid w:val="00CC540A"/>
    <w:rsid w:val="00CC5500"/>
    <w:rsid w:val="00CC5CAA"/>
    <w:rsid w:val="00CC609D"/>
    <w:rsid w:val="00CC60B2"/>
    <w:rsid w:val="00CC61D8"/>
    <w:rsid w:val="00CC647E"/>
    <w:rsid w:val="00CC65EE"/>
    <w:rsid w:val="00CC66B5"/>
    <w:rsid w:val="00CC6703"/>
    <w:rsid w:val="00CC6995"/>
    <w:rsid w:val="00CC6EA8"/>
    <w:rsid w:val="00CC72E5"/>
    <w:rsid w:val="00CC7559"/>
    <w:rsid w:val="00CC79D0"/>
    <w:rsid w:val="00CC7E16"/>
    <w:rsid w:val="00CD0147"/>
    <w:rsid w:val="00CD0238"/>
    <w:rsid w:val="00CD076B"/>
    <w:rsid w:val="00CD0866"/>
    <w:rsid w:val="00CD0A2E"/>
    <w:rsid w:val="00CD0F06"/>
    <w:rsid w:val="00CD1128"/>
    <w:rsid w:val="00CD120E"/>
    <w:rsid w:val="00CD1229"/>
    <w:rsid w:val="00CD1408"/>
    <w:rsid w:val="00CD177C"/>
    <w:rsid w:val="00CD17F5"/>
    <w:rsid w:val="00CD18CC"/>
    <w:rsid w:val="00CD1C15"/>
    <w:rsid w:val="00CD1D6F"/>
    <w:rsid w:val="00CD1E15"/>
    <w:rsid w:val="00CD2188"/>
    <w:rsid w:val="00CD26A5"/>
    <w:rsid w:val="00CD272E"/>
    <w:rsid w:val="00CD2A44"/>
    <w:rsid w:val="00CD2C52"/>
    <w:rsid w:val="00CD2C81"/>
    <w:rsid w:val="00CD3389"/>
    <w:rsid w:val="00CD34E4"/>
    <w:rsid w:val="00CD3806"/>
    <w:rsid w:val="00CD38B7"/>
    <w:rsid w:val="00CD3901"/>
    <w:rsid w:val="00CD3C0E"/>
    <w:rsid w:val="00CD3D74"/>
    <w:rsid w:val="00CD3DBF"/>
    <w:rsid w:val="00CD3E4A"/>
    <w:rsid w:val="00CD3E93"/>
    <w:rsid w:val="00CD4095"/>
    <w:rsid w:val="00CD409E"/>
    <w:rsid w:val="00CD42DA"/>
    <w:rsid w:val="00CD4411"/>
    <w:rsid w:val="00CD488F"/>
    <w:rsid w:val="00CD4AEF"/>
    <w:rsid w:val="00CD4C92"/>
    <w:rsid w:val="00CD4CCD"/>
    <w:rsid w:val="00CD4E65"/>
    <w:rsid w:val="00CD5365"/>
    <w:rsid w:val="00CD5853"/>
    <w:rsid w:val="00CD6427"/>
    <w:rsid w:val="00CD648F"/>
    <w:rsid w:val="00CD6D15"/>
    <w:rsid w:val="00CD6D31"/>
    <w:rsid w:val="00CD6E28"/>
    <w:rsid w:val="00CD6FD8"/>
    <w:rsid w:val="00CD736B"/>
    <w:rsid w:val="00CD7D27"/>
    <w:rsid w:val="00CE02C8"/>
    <w:rsid w:val="00CE0404"/>
    <w:rsid w:val="00CE04BE"/>
    <w:rsid w:val="00CE0608"/>
    <w:rsid w:val="00CE09D1"/>
    <w:rsid w:val="00CE0BDF"/>
    <w:rsid w:val="00CE0C54"/>
    <w:rsid w:val="00CE0D19"/>
    <w:rsid w:val="00CE0E36"/>
    <w:rsid w:val="00CE0E5C"/>
    <w:rsid w:val="00CE100F"/>
    <w:rsid w:val="00CE12A6"/>
    <w:rsid w:val="00CE1374"/>
    <w:rsid w:val="00CE1966"/>
    <w:rsid w:val="00CE1A51"/>
    <w:rsid w:val="00CE1C89"/>
    <w:rsid w:val="00CE1ED0"/>
    <w:rsid w:val="00CE2117"/>
    <w:rsid w:val="00CE2278"/>
    <w:rsid w:val="00CE2502"/>
    <w:rsid w:val="00CE25A4"/>
    <w:rsid w:val="00CE3250"/>
    <w:rsid w:val="00CE33AC"/>
    <w:rsid w:val="00CE34DA"/>
    <w:rsid w:val="00CE3867"/>
    <w:rsid w:val="00CE3893"/>
    <w:rsid w:val="00CE3F54"/>
    <w:rsid w:val="00CE40AA"/>
    <w:rsid w:val="00CE539B"/>
    <w:rsid w:val="00CE5401"/>
    <w:rsid w:val="00CE5475"/>
    <w:rsid w:val="00CE573A"/>
    <w:rsid w:val="00CE5929"/>
    <w:rsid w:val="00CE5C37"/>
    <w:rsid w:val="00CE5D8B"/>
    <w:rsid w:val="00CE5DAE"/>
    <w:rsid w:val="00CE6457"/>
    <w:rsid w:val="00CE64E4"/>
    <w:rsid w:val="00CE67D6"/>
    <w:rsid w:val="00CE6E1B"/>
    <w:rsid w:val="00CE7092"/>
    <w:rsid w:val="00CE73C2"/>
    <w:rsid w:val="00CE744F"/>
    <w:rsid w:val="00CE74DB"/>
    <w:rsid w:val="00CE7807"/>
    <w:rsid w:val="00CE78CA"/>
    <w:rsid w:val="00CE7B50"/>
    <w:rsid w:val="00CF03DC"/>
    <w:rsid w:val="00CF06BA"/>
    <w:rsid w:val="00CF082A"/>
    <w:rsid w:val="00CF0CEF"/>
    <w:rsid w:val="00CF103C"/>
    <w:rsid w:val="00CF111E"/>
    <w:rsid w:val="00CF1251"/>
    <w:rsid w:val="00CF14DF"/>
    <w:rsid w:val="00CF18A8"/>
    <w:rsid w:val="00CF1F3E"/>
    <w:rsid w:val="00CF1F6B"/>
    <w:rsid w:val="00CF2015"/>
    <w:rsid w:val="00CF2247"/>
    <w:rsid w:val="00CF234A"/>
    <w:rsid w:val="00CF235C"/>
    <w:rsid w:val="00CF288F"/>
    <w:rsid w:val="00CF2A64"/>
    <w:rsid w:val="00CF2D79"/>
    <w:rsid w:val="00CF2DC1"/>
    <w:rsid w:val="00CF2E52"/>
    <w:rsid w:val="00CF30A4"/>
    <w:rsid w:val="00CF31C1"/>
    <w:rsid w:val="00CF3218"/>
    <w:rsid w:val="00CF32DC"/>
    <w:rsid w:val="00CF335C"/>
    <w:rsid w:val="00CF346E"/>
    <w:rsid w:val="00CF3740"/>
    <w:rsid w:val="00CF38F9"/>
    <w:rsid w:val="00CF3DF2"/>
    <w:rsid w:val="00CF405A"/>
    <w:rsid w:val="00CF416C"/>
    <w:rsid w:val="00CF42B8"/>
    <w:rsid w:val="00CF42C3"/>
    <w:rsid w:val="00CF42DF"/>
    <w:rsid w:val="00CF4833"/>
    <w:rsid w:val="00CF48FC"/>
    <w:rsid w:val="00CF4968"/>
    <w:rsid w:val="00CF4B04"/>
    <w:rsid w:val="00CF4B56"/>
    <w:rsid w:val="00CF508A"/>
    <w:rsid w:val="00CF528E"/>
    <w:rsid w:val="00CF52C7"/>
    <w:rsid w:val="00CF5932"/>
    <w:rsid w:val="00CF5B6B"/>
    <w:rsid w:val="00CF5B9A"/>
    <w:rsid w:val="00CF5E09"/>
    <w:rsid w:val="00CF618F"/>
    <w:rsid w:val="00CF61A7"/>
    <w:rsid w:val="00CF6756"/>
    <w:rsid w:val="00CF69C6"/>
    <w:rsid w:val="00CF6E2E"/>
    <w:rsid w:val="00CF7655"/>
    <w:rsid w:val="00CF7750"/>
    <w:rsid w:val="00CF78CA"/>
    <w:rsid w:val="00CF7C6E"/>
    <w:rsid w:val="00D00038"/>
    <w:rsid w:val="00D002A3"/>
    <w:rsid w:val="00D00D86"/>
    <w:rsid w:val="00D012E2"/>
    <w:rsid w:val="00D0191E"/>
    <w:rsid w:val="00D01C1B"/>
    <w:rsid w:val="00D01D45"/>
    <w:rsid w:val="00D02297"/>
    <w:rsid w:val="00D02AF0"/>
    <w:rsid w:val="00D02C7F"/>
    <w:rsid w:val="00D02DD1"/>
    <w:rsid w:val="00D02F55"/>
    <w:rsid w:val="00D032AC"/>
    <w:rsid w:val="00D03826"/>
    <w:rsid w:val="00D04692"/>
    <w:rsid w:val="00D04947"/>
    <w:rsid w:val="00D04BE0"/>
    <w:rsid w:val="00D04D5E"/>
    <w:rsid w:val="00D04E44"/>
    <w:rsid w:val="00D04E71"/>
    <w:rsid w:val="00D0556F"/>
    <w:rsid w:val="00D0561E"/>
    <w:rsid w:val="00D05646"/>
    <w:rsid w:val="00D05AAE"/>
    <w:rsid w:val="00D05CB6"/>
    <w:rsid w:val="00D05D68"/>
    <w:rsid w:val="00D061C7"/>
    <w:rsid w:val="00D069C9"/>
    <w:rsid w:val="00D06A4C"/>
    <w:rsid w:val="00D06C78"/>
    <w:rsid w:val="00D06F47"/>
    <w:rsid w:val="00D07440"/>
    <w:rsid w:val="00D0776C"/>
    <w:rsid w:val="00D0778C"/>
    <w:rsid w:val="00D07A4A"/>
    <w:rsid w:val="00D07D71"/>
    <w:rsid w:val="00D1043D"/>
    <w:rsid w:val="00D10A16"/>
    <w:rsid w:val="00D10C26"/>
    <w:rsid w:val="00D11339"/>
    <w:rsid w:val="00D1155C"/>
    <w:rsid w:val="00D11594"/>
    <w:rsid w:val="00D11983"/>
    <w:rsid w:val="00D11AFB"/>
    <w:rsid w:val="00D11D11"/>
    <w:rsid w:val="00D1217E"/>
    <w:rsid w:val="00D122FE"/>
    <w:rsid w:val="00D12A33"/>
    <w:rsid w:val="00D12F3D"/>
    <w:rsid w:val="00D12F70"/>
    <w:rsid w:val="00D13044"/>
    <w:rsid w:val="00D13169"/>
    <w:rsid w:val="00D132DF"/>
    <w:rsid w:val="00D134E3"/>
    <w:rsid w:val="00D13963"/>
    <w:rsid w:val="00D13C6E"/>
    <w:rsid w:val="00D13DF4"/>
    <w:rsid w:val="00D140C6"/>
    <w:rsid w:val="00D141BC"/>
    <w:rsid w:val="00D143FF"/>
    <w:rsid w:val="00D14511"/>
    <w:rsid w:val="00D14538"/>
    <w:rsid w:val="00D14D42"/>
    <w:rsid w:val="00D14DA5"/>
    <w:rsid w:val="00D150B1"/>
    <w:rsid w:val="00D158D5"/>
    <w:rsid w:val="00D1595F"/>
    <w:rsid w:val="00D15BCB"/>
    <w:rsid w:val="00D15DD0"/>
    <w:rsid w:val="00D16E24"/>
    <w:rsid w:val="00D17107"/>
    <w:rsid w:val="00D17221"/>
    <w:rsid w:val="00D1748B"/>
    <w:rsid w:val="00D17742"/>
    <w:rsid w:val="00D178B7"/>
    <w:rsid w:val="00D17AD7"/>
    <w:rsid w:val="00D17DEB"/>
    <w:rsid w:val="00D17F4E"/>
    <w:rsid w:val="00D20258"/>
    <w:rsid w:val="00D203F8"/>
    <w:rsid w:val="00D208D4"/>
    <w:rsid w:val="00D2099A"/>
    <w:rsid w:val="00D20B8E"/>
    <w:rsid w:val="00D20C73"/>
    <w:rsid w:val="00D20D5F"/>
    <w:rsid w:val="00D20E16"/>
    <w:rsid w:val="00D211F7"/>
    <w:rsid w:val="00D21D6E"/>
    <w:rsid w:val="00D221A2"/>
    <w:rsid w:val="00D224AF"/>
    <w:rsid w:val="00D227A7"/>
    <w:rsid w:val="00D22803"/>
    <w:rsid w:val="00D228EE"/>
    <w:rsid w:val="00D22CE9"/>
    <w:rsid w:val="00D22F5F"/>
    <w:rsid w:val="00D23803"/>
    <w:rsid w:val="00D24017"/>
    <w:rsid w:val="00D240FF"/>
    <w:rsid w:val="00D2413E"/>
    <w:rsid w:val="00D24568"/>
    <w:rsid w:val="00D2493C"/>
    <w:rsid w:val="00D24B71"/>
    <w:rsid w:val="00D24CE7"/>
    <w:rsid w:val="00D24ECE"/>
    <w:rsid w:val="00D24F67"/>
    <w:rsid w:val="00D25066"/>
    <w:rsid w:val="00D2563B"/>
    <w:rsid w:val="00D261EC"/>
    <w:rsid w:val="00D26406"/>
    <w:rsid w:val="00D26764"/>
    <w:rsid w:val="00D26A13"/>
    <w:rsid w:val="00D26CA7"/>
    <w:rsid w:val="00D26F32"/>
    <w:rsid w:val="00D27218"/>
    <w:rsid w:val="00D272C9"/>
    <w:rsid w:val="00D275E5"/>
    <w:rsid w:val="00D275EF"/>
    <w:rsid w:val="00D277C9"/>
    <w:rsid w:val="00D27888"/>
    <w:rsid w:val="00D27A7F"/>
    <w:rsid w:val="00D27FA9"/>
    <w:rsid w:val="00D303F9"/>
    <w:rsid w:val="00D305BC"/>
    <w:rsid w:val="00D3083E"/>
    <w:rsid w:val="00D30A36"/>
    <w:rsid w:val="00D30AF0"/>
    <w:rsid w:val="00D30CAC"/>
    <w:rsid w:val="00D30ED3"/>
    <w:rsid w:val="00D310E0"/>
    <w:rsid w:val="00D31684"/>
    <w:rsid w:val="00D31CA7"/>
    <w:rsid w:val="00D3221D"/>
    <w:rsid w:val="00D322C8"/>
    <w:rsid w:val="00D324E0"/>
    <w:rsid w:val="00D32585"/>
    <w:rsid w:val="00D328C5"/>
    <w:rsid w:val="00D3293D"/>
    <w:rsid w:val="00D32D9A"/>
    <w:rsid w:val="00D32E91"/>
    <w:rsid w:val="00D330D5"/>
    <w:rsid w:val="00D33114"/>
    <w:rsid w:val="00D33120"/>
    <w:rsid w:val="00D336DB"/>
    <w:rsid w:val="00D337BD"/>
    <w:rsid w:val="00D34093"/>
    <w:rsid w:val="00D3412F"/>
    <w:rsid w:val="00D342A2"/>
    <w:rsid w:val="00D34466"/>
    <w:rsid w:val="00D34506"/>
    <w:rsid w:val="00D34582"/>
    <w:rsid w:val="00D34680"/>
    <w:rsid w:val="00D347BC"/>
    <w:rsid w:val="00D349EF"/>
    <w:rsid w:val="00D34A46"/>
    <w:rsid w:val="00D34B50"/>
    <w:rsid w:val="00D34BB7"/>
    <w:rsid w:val="00D34CCB"/>
    <w:rsid w:val="00D34F7F"/>
    <w:rsid w:val="00D35261"/>
    <w:rsid w:val="00D35326"/>
    <w:rsid w:val="00D3558A"/>
    <w:rsid w:val="00D35A38"/>
    <w:rsid w:val="00D35AD2"/>
    <w:rsid w:val="00D35B63"/>
    <w:rsid w:val="00D35C07"/>
    <w:rsid w:val="00D35D89"/>
    <w:rsid w:val="00D35EC4"/>
    <w:rsid w:val="00D36373"/>
    <w:rsid w:val="00D36423"/>
    <w:rsid w:val="00D36626"/>
    <w:rsid w:val="00D36A50"/>
    <w:rsid w:val="00D36CA1"/>
    <w:rsid w:val="00D371B2"/>
    <w:rsid w:val="00D37258"/>
    <w:rsid w:val="00D374E9"/>
    <w:rsid w:val="00D37529"/>
    <w:rsid w:val="00D378E8"/>
    <w:rsid w:val="00D37C80"/>
    <w:rsid w:val="00D37F47"/>
    <w:rsid w:val="00D400CA"/>
    <w:rsid w:val="00D4011C"/>
    <w:rsid w:val="00D4028C"/>
    <w:rsid w:val="00D40383"/>
    <w:rsid w:val="00D40789"/>
    <w:rsid w:val="00D407A3"/>
    <w:rsid w:val="00D4088E"/>
    <w:rsid w:val="00D40B01"/>
    <w:rsid w:val="00D40BA9"/>
    <w:rsid w:val="00D40C17"/>
    <w:rsid w:val="00D40CC0"/>
    <w:rsid w:val="00D41006"/>
    <w:rsid w:val="00D4121D"/>
    <w:rsid w:val="00D41495"/>
    <w:rsid w:val="00D41526"/>
    <w:rsid w:val="00D416AB"/>
    <w:rsid w:val="00D41866"/>
    <w:rsid w:val="00D41A3B"/>
    <w:rsid w:val="00D41BF8"/>
    <w:rsid w:val="00D41CDF"/>
    <w:rsid w:val="00D41FAB"/>
    <w:rsid w:val="00D422DA"/>
    <w:rsid w:val="00D42381"/>
    <w:rsid w:val="00D426BF"/>
    <w:rsid w:val="00D42791"/>
    <w:rsid w:val="00D4284C"/>
    <w:rsid w:val="00D42A2B"/>
    <w:rsid w:val="00D42FCF"/>
    <w:rsid w:val="00D43081"/>
    <w:rsid w:val="00D43132"/>
    <w:rsid w:val="00D4345D"/>
    <w:rsid w:val="00D435C2"/>
    <w:rsid w:val="00D435EC"/>
    <w:rsid w:val="00D4365D"/>
    <w:rsid w:val="00D439E5"/>
    <w:rsid w:val="00D43BF2"/>
    <w:rsid w:val="00D43DA9"/>
    <w:rsid w:val="00D43EEA"/>
    <w:rsid w:val="00D44037"/>
    <w:rsid w:val="00D440EC"/>
    <w:rsid w:val="00D4412E"/>
    <w:rsid w:val="00D44754"/>
    <w:rsid w:val="00D448EC"/>
    <w:rsid w:val="00D44A5E"/>
    <w:rsid w:val="00D44B4E"/>
    <w:rsid w:val="00D44C57"/>
    <w:rsid w:val="00D44E7D"/>
    <w:rsid w:val="00D44FCC"/>
    <w:rsid w:val="00D453D8"/>
    <w:rsid w:val="00D45778"/>
    <w:rsid w:val="00D45784"/>
    <w:rsid w:val="00D459A2"/>
    <w:rsid w:val="00D45A93"/>
    <w:rsid w:val="00D45B67"/>
    <w:rsid w:val="00D45FD5"/>
    <w:rsid w:val="00D4660B"/>
    <w:rsid w:val="00D46B6D"/>
    <w:rsid w:val="00D46CA8"/>
    <w:rsid w:val="00D474F0"/>
    <w:rsid w:val="00D47820"/>
    <w:rsid w:val="00D47998"/>
    <w:rsid w:val="00D47C3A"/>
    <w:rsid w:val="00D47D34"/>
    <w:rsid w:val="00D47DE1"/>
    <w:rsid w:val="00D47F00"/>
    <w:rsid w:val="00D502CD"/>
    <w:rsid w:val="00D50458"/>
    <w:rsid w:val="00D50615"/>
    <w:rsid w:val="00D508EC"/>
    <w:rsid w:val="00D50C09"/>
    <w:rsid w:val="00D5103F"/>
    <w:rsid w:val="00D5111B"/>
    <w:rsid w:val="00D515DF"/>
    <w:rsid w:val="00D516DB"/>
    <w:rsid w:val="00D51998"/>
    <w:rsid w:val="00D519C5"/>
    <w:rsid w:val="00D519EA"/>
    <w:rsid w:val="00D51A43"/>
    <w:rsid w:val="00D51E1A"/>
    <w:rsid w:val="00D51FB2"/>
    <w:rsid w:val="00D520C8"/>
    <w:rsid w:val="00D5245B"/>
    <w:rsid w:val="00D53053"/>
    <w:rsid w:val="00D530DA"/>
    <w:rsid w:val="00D53189"/>
    <w:rsid w:val="00D532A0"/>
    <w:rsid w:val="00D536B6"/>
    <w:rsid w:val="00D53779"/>
    <w:rsid w:val="00D538F4"/>
    <w:rsid w:val="00D54020"/>
    <w:rsid w:val="00D545AB"/>
    <w:rsid w:val="00D5462F"/>
    <w:rsid w:val="00D5470A"/>
    <w:rsid w:val="00D54A0C"/>
    <w:rsid w:val="00D54C95"/>
    <w:rsid w:val="00D54CFA"/>
    <w:rsid w:val="00D5515E"/>
    <w:rsid w:val="00D55A91"/>
    <w:rsid w:val="00D5637E"/>
    <w:rsid w:val="00D56570"/>
    <w:rsid w:val="00D568BB"/>
    <w:rsid w:val="00D56C39"/>
    <w:rsid w:val="00D56D4C"/>
    <w:rsid w:val="00D56D5D"/>
    <w:rsid w:val="00D57019"/>
    <w:rsid w:val="00D5729A"/>
    <w:rsid w:val="00D572C6"/>
    <w:rsid w:val="00D575E9"/>
    <w:rsid w:val="00D5790B"/>
    <w:rsid w:val="00D57941"/>
    <w:rsid w:val="00D57A78"/>
    <w:rsid w:val="00D57B9B"/>
    <w:rsid w:val="00D57BD1"/>
    <w:rsid w:val="00D57D8C"/>
    <w:rsid w:val="00D57F6B"/>
    <w:rsid w:val="00D601D9"/>
    <w:rsid w:val="00D60358"/>
    <w:rsid w:val="00D60411"/>
    <w:rsid w:val="00D605ED"/>
    <w:rsid w:val="00D606A3"/>
    <w:rsid w:val="00D60B62"/>
    <w:rsid w:val="00D60D06"/>
    <w:rsid w:val="00D60DA5"/>
    <w:rsid w:val="00D61046"/>
    <w:rsid w:val="00D6119E"/>
    <w:rsid w:val="00D615E0"/>
    <w:rsid w:val="00D61676"/>
    <w:rsid w:val="00D61883"/>
    <w:rsid w:val="00D619CB"/>
    <w:rsid w:val="00D61D8E"/>
    <w:rsid w:val="00D62040"/>
    <w:rsid w:val="00D623B7"/>
    <w:rsid w:val="00D6274D"/>
    <w:rsid w:val="00D62782"/>
    <w:rsid w:val="00D62903"/>
    <w:rsid w:val="00D62AAB"/>
    <w:rsid w:val="00D62B0F"/>
    <w:rsid w:val="00D62B93"/>
    <w:rsid w:val="00D62C06"/>
    <w:rsid w:val="00D62C9B"/>
    <w:rsid w:val="00D62F97"/>
    <w:rsid w:val="00D62F99"/>
    <w:rsid w:val="00D63250"/>
    <w:rsid w:val="00D6325B"/>
    <w:rsid w:val="00D633CC"/>
    <w:rsid w:val="00D635D9"/>
    <w:rsid w:val="00D63B87"/>
    <w:rsid w:val="00D63C1A"/>
    <w:rsid w:val="00D63CBC"/>
    <w:rsid w:val="00D63DBD"/>
    <w:rsid w:val="00D6406B"/>
    <w:rsid w:val="00D640ED"/>
    <w:rsid w:val="00D64248"/>
    <w:rsid w:val="00D6456E"/>
    <w:rsid w:val="00D648CB"/>
    <w:rsid w:val="00D64BAD"/>
    <w:rsid w:val="00D651E3"/>
    <w:rsid w:val="00D651EF"/>
    <w:rsid w:val="00D6552B"/>
    <w:rsid w:val="00D65555"/>
    <w:rsid w:val="00D657D6"/>
    <w:rsid w:val="00D660FF"/>
    <w:rsid w:val="00D667E7"/>
    <w:rsid w:val="00D667F6"/>
    <w:rsid w:val="00D669CB"/>
    <w:rsid w:val="00D66C47"/>
    <w:rsid w:val="00D66EF2"/>
    <w:rsid w:val="00D66F91"/>
    <w:rsid w:val="00D67161"/>
    <w:rsid w:val="00D6719A"/>
    <w:rsid w:val="00D67371"/>
    <w:rsid w:val="00D67413"/>
    <w:rsid w:val="00D6754B"/>
    <w:rsid w:val="00D67A93"/>
    <w:rsid w:val="00D67B13"/>
    <w:rsid w:val="00D7039D"/>
    <w:rsid w:val="00D703E5"/>
    <w:rsid w:val="00D70CFA"/>
    <w:rsid w:val="00D70DDB"/>
    <w:rsid w:val="00D71000"/>
    <w:rsid w:val="00D71005"/>
    <w:rsid w:val="00D71148"/>
    <w:rsid w:val="00D711AA"/>
    <w:rsid w:val="00D7131E"/>
    <w:rsid w:val="00D71410"/>
    <w:rsid w:val="00D71543"/>
    <w:rsid w:val="00D715F9"/>
    <w:rsid w:val="00D71846"/>
    <w:rsid w:val="00D719A1"/>
    <w:rsid w:val="00D71C0E"/>
    <w:rsid w:val="00D71FE0"/>
    <w:rsid w:val="00D72449"/>
    <w:rsid w:val="00D72F92"/>
    <w:rsid w:val="00D730A2"/>
    <w:rsid w:val="00D730F3"/>
    <w:rsid w:val="00D73611"/>
    <w:rsid w:val="00D73776"/>
    <w:rsid w:val="00D73892"/>
    <w:rsid w:val="00D73962"/>
    <w:rsid w:val="00D73B16"/>
    <w:rsid w:val="00D73E17"/>
    <w:rsid w:val="00D7404A"/>
    <w:rsid w:val="00D7406F"/>
    <w:rsid w:val="00D74165"/>
    <w:rsid w:val="00D7432A"/>
    <w:rsid w:val="00D746AC"/>
    <w:rsid w:val="00D7488F"/>
    <w:rsid w:val="00D74CDD"/>
    <w:rsid w:val="00D7512E"/>
    <w:rsid w:val="00D755FF"/>
    <w:rsid w:val="00D756BC"/>
    <w:rsid w:val="00D757D9"/>
    <w:rsid w:val="00D758A2"/>
    <w:rsid w:val="00D762D4"/>
    <w:rsid w:val="00D7634A"/>
    <w:rsid w:val="00D763A8"/>
    <w:rsid w:val="00D76430"/>
    <w:rsid w:val="00D768F4"/>
    <w:rsid w:val="00D76FBF"/>
    <w:rsid w:val="00D76FEC"/>
    <w:rsid w:val="00D770F6"/>
    <w:rsid w:val="00D77294"/>
    <w:rsid w:val="00D775D9"/>
    <w:rsid w:val="00D775DC"/>
    <w:rsid w:val="00D77B14"/>
    <w:rsid w:val="00D77BC2"/>
    <w:rsid w:val="00D8013C"/>
    <w:rsid w:val="00D80158"/>
    <w:rsid w:val="00D802FE"/>
    <w:rsid w:val="00D8053C"/>
    <w:rsid w:val="00D80AA9"/>
    <w:rsid w:val="00D80CBD"/>
    <w:rsid w:val="00D80E72"/>
    <w:rsid w:val="00D815A0"/>
    <w:rsid w:val="00D815E5"/>
    <w:rsid w:val="00D81680"/>
    <w:rsid w:val="00D818E9"/>
    <w:rsid w:val="00D819F3"/>
    <w:rsid w:val="00D81B18"/>
    <w:rsid w:val="00D81F78"/>
    <w:rsid w:val="00D821A6"/>
    <w:rsid w:val="00D82354"/>
    <w:rsid w:val="00D828CC"/>
    <w:rsid w:val="00D82A11"/>
    <w:rsid w:val="00D83841"/>
    <w:rsid w:val="00D83CCF"/>
    <w:rsid w:val="00D83E21"/>
    <w:rsid w:val="00D84487"/>
    <w:rsid w:val="00D844E5"/>
    <w:rsid w:val="00D8464B"/>
    <w:rsid w:val="00D848F9"/>
    <w:rsid w:val="00D84A31"/>
    <w:rsid w:val="00D84A94"/>
    <w:rsid w:val="00D84F9A"/>
    <w:rsid w:val="00D85271"/>
    <w:rsid w:val="00D85E3A"/>
    <w:rsid w:val="00D86038"/>
    <w:rsid w:val="00D86180"/>
    <w:rsid w:val="00D8654A"/>
    <w:rsid w:val="00D865D0"/>
    <w:rsid w:val="00D866D0"/>
    <w:rsid w:val="00D86780"/>
    <w:rsid w:val="00D86B20"/>
    <w:rsid w:val="00D86C64"/>
    <w:rsid w:val="00D8700E"/>
    <w:rsid w:val="00D875C2"/>
    <w:rsid w:val="00D87761"/>
    <w:rsid w:val="00D87A74"/>
    <w:rsid w:val="00D87D41"/>
    <w:rsid w:val="00D87DCC"/>
    <w:rsid w:val="00D902E2"/>
    <w:rsid w:val="00D9043E"/>
    <w:rsid w:val="00D907E9"/>
    <w:rsid w:val="00D90829"/>
    <w:rsid w:val="00D908C9"/>
    <w:rsid w:val="00D90974"/>
    <w:rsid w:val="00D9099B"/>
    <w:rsid w:val="00D90DC6"/>
    <w:rsid w:val="00D9130F"/>
    <w:rsid w:val="00D91931"/>
    <w:rsid w:val="00D91BC3"/>
    <w:rsid w:val="00D91E7D"/>
    <w:rsid w:val="00D9230B"/>
    <w:rsid w:val="00D92599"/>
    <w:rsid w:val="00D92A46"/>
    <w:rsid w:val="00D92B0C"/>
    <w:rsid w:val="00D92D04"/>
    <w:rsid w:val="00D935FF"/>
    <w:rsid w:val="00D93D57"/>
    <w:rsid w:val="00D93F65"/>
    <w:rsid w:val="00D94050"/>
    <w:rsid w:val="00D94139"/>
    <w:rsid w:val="00D942F5"/>
    <w:rsid w:val="00D943E9"/>
    <w:rsid w:val="00D94485"/>
    <w:rsid w:val="00D944B6"/>
    <w:rsid w:val="00D9452C"/>
    <w:rsid w:val="00D94862"/>
    <w:rsid w:val="00D9492C"/>
    <w:rsid w:val="00D94D85"/>
    <w:rsid w:val="00D95009"/>
    <w:rsid w:val="00D957C4"/>
    <w:rsid w:val="00D958DF"/>
    <w:rsid w:val="00D95902"/>
    <w:rsid w:val="00D95B2A"/>
    <w:rsid w:val="00D95EE7"/>
    <w:rsid w:val="00D9600A"/>
    <w:rsid w:val="00D9635E"/>
    <w:rsid w:val="00D96474"/>
    <w:rsid w:val="00D967D7"/>
    <w:rsid w:val="00D96818"/>
    <w:rsid w:val="00D968A3"/>
    <w:rsid w:val="00D968AA"/>
    <w:rsid w:val="00D96925"/>
    <w:rsid w:val="00D96AA6"/>
    <w:rsid w:val="00D96AAC"/>
    <w:rsid w:val="00D96EDA"/>
    <w:rsid w:val="00D97411"/>
    <w:rsid w:val="00D9741D"/>
    <w:rsid w:val="00D978CE"/>
    <w:rsid w:val="00D97AA2"/>
    <w:rsid w:val="00DA0299"/>
    <w:rsid w:val="00DA057B"/>
    <w:rsid w:val="00DA0870"/>
    <w:rsid w:val="00DA0BBB"/>
    <w:rsid w:val="00DA0E70"/>
    <w:rsid w:val="00DA10C5"/>
    <w:rsid w:val="00DA10FE"/>
    <w:rsid w:val="00DA1795"/>
    <w:rsid w:val="00DA1B16"/>
    <w:rsid w:val="00DA20DA"/>
    <w:rsid w:val="00DA22A6"/>
    <w:rsid w:val="00DA2648"/>
    <w:rsid w:val="00DA27F1"/>
    <w:rsid w:val="00DA27FB"/>
    <w:rsid w:val="00DA2848"/>
    <w:rsid w:val="00DA2A87"/>
    <w:rsid w:val="00DA2AA5"/>
    <w:rsid w:val="00DA2BF2"/>
    <w:rsid w:val="00DA2E25"/>
    <w:rsid w:val="00DA34B7"/>
    <w:rsid w:val="00DA37AC"/>
    <w:rsid w:val="00DA3878"/>
    <w:rsid w:val="00DA391D"/>
    <w:rsid w:val="00DA3B1B"/>
    <w:rsid w:val="00DA3BC8"/>
    <w:rsid w:val="00DA3BDC"/>
    <w:rsid w:val="00DA45A6"/>
    <w:rsid w:val="00DA484A"/>
    <w:rsid w:val="00DA4C61"/>
    <w:rsid w:val="00DA4DA4"/>
    <w:rsid w:val="00DA5213"/>
    <w:rsid w:val="00DA54D4"/>
    <w:rsid w:val="00DA5597"/>
    <w:rsid w:val="00DA5645"/>
    <w:rsid w:val="00DA5CB9"/>
    <w:rsid w:val="00DA5F28"/>
    <w:rsid w:val="00DA659B"/>
    <w:rsid w:val="00DA6928"/>
    <w:rsid w:val="00DA6AAF"/>
    <w:rsid w:val="00DA6BAD"/>
    <w:rsid w:val="00DA6C9B"/>
    <w:rsid w:val="00DA70A1"/>
    <w:rsid w:val="00DA7213"/>
    <w:rsid w:val="00DA73BB"/>
    <w:rsid w:val="00DA7492"/>
    <w:rsid w:val="00DA74A5"/>
    <w:rsid w:val="00DA7523"/>
    <w:rsid w:val="00DA7555"/>
    <w:rsid w:val="00DA770E"/>
    <w:rsid w:val="00DA7849"/>
    <w:rsid w:val="00DA7BB3"/>
    <w:rsid w:val="00DA7C64"/>
    <w:rsid w:val="00DA7DF6"/>
    <w:rsid w:val="00DA7ECB"/>
    <w:rsid w:val="00DA7FCD"/>
    <w:rsid w:val="00DB03C6"/>
    <w:rsid w:val="00DB05C3"/>
    <w:rsid w:val="00DB0B8D"/>
    <w:rsid w:val="00DB153C"/>
    <w:rsid w:val="00DB15CA"/>
    <w:rsid w:val="00DB17CC"/>
    <w:rsid w:val="00DB191A"/>
    <w:rsid w:val="00DB2106"/>
    <w:rsid w:val="00DB2519"/>
    <w:rsid w:val="00DB2618"/>
    <w:rsid w:val="00DB272F"/>
    <w:rsid w:val="00DB28A7"/>
    <w:rsid w:val="00DB2B2F"/>
    <w:rsid w:val="00DB3122"/>
    <w:rsid w:val="00DB321B"/>
    <w:rsid w:val="00DB3394"/>
    <w:rsid w:val="00DB33B5"/>
    <w:rsid w:val="00DB3461"/>
    <w:rsid w:val="00DB3491"/>
    <w:rsid w:val="00DB35FB"/>
    <w:rsid w:val="00DB3EE0"/>
    <w:rsid w:val="00DB3F7E"/>
    <w:rsid w:val="00DB430E"/>
    <w:rsid w:val="00DB44D6"/>
    <w:rsid w:val="00DB4649"/>
    <w:rsid w:val="00DB48AB"/>
    <w:rsid w:val="00DB48D8"/>
    <w:rsid w:val="00DB4B0B"/>
    <w:rsid w:val="00DB4B18"/>
    <w:rsid w:val="00DB4B2A"/>
    <w:rsid w:val="00DB50D3"/>
    <w:rsid w:val="00DB517E"/>
    <w:rsid w:val="00DB56A2"/>
    <w:rsid w:val="00DB580D"/>
    <w:rsid w:val="00DB5C02"/>
    <w:rsid w:val="00DB5DA0"/>
    <w:rsid w:val="00DB676C"/>
    <w:rsid w:val="00DB67A0"/>
    <w:rsid w:val="00DB6884"/>
    <w:rsid w:val="00DB6895"/>
    <w:rsid w:val="00DB6E79"/>
    <w:rsid w:val="00DB6F46"/>
    <w:rsid w:val="00DB77B8"/>
    <w:rsid w:val="00DB7CC1"/>
    <w:rsid w:val="00DC0054"/>
    <w:rsid w:val="00DC045F"/>
    <w:rsid w:val="00DC0654"/>
    <w:rsid w:val="00DC09D8"/>
    <w:rsid w:val="00DC0AC6"/>
    <w:rsid w:val="00DC0BD4"/>
    <w:rsid w:val="00DC1172"/>
    <w:rsid w:val="00DC13E3"/>
    <w:rsid w:val="00DC16E2"/>
    <w:rsid w:val="00DC1786"/>
    <w:rsid w:val="00DC1BA5"/>
    <w:rsid w:val="00DC2100"/>
    <w:rsid w:val="00DC237C"/>
    <w:rsid w:val="00DC2527"/>
    <w:rsid w:val="00DC2789"/>
    <w:rsid w:val="00DC284F"/>
    <w:rsid w:val="00DC339F"/>
    <w:rsid w:val="00DC36D2"/>
    <w:rsid w:val="00DC36FC"/>
    <w:rsid w:val="00DC3B1F"/>
    <w:rsid w:val="00DC426D"/>
    <w:rsid w:val="00DC4F1E"/>
    <w:rsid w:val="00DC51A7"/>
    <w:rsid w:val="00DC5488"/>
    <w:rsid w:val="00DC5499"/>
    <w:rsid w:val="00DC58E9"/>
    <w:rsid w:val="00DC60A4"/>
    <w:rsid w:val="00DC60C8"/>
    <w:rsid w:val="00DC62EA"/>
    <w:rsid w:val="00DC638D"/>
    <w:rsid w:val="00DC65E5"/>
    <w:rsid w:val="00DC6945"/>
    <w:rsid w:val="00DC6C2D"/>
    <w:rsid w:val="00DC6DC3"/>
    <w:rsid w:val="00DC6DCD"/>
    <w:rsid w:val="00DC736F"/>
    <w:rsid w:val="00DC740F"/>
    <w:rsid w:val="00DC760D"/>
    <w:rsid w:val="00DC7678"/>
    <w:rsid w:val="00DC76B3"/>
    <w:rsid w:val="00DC7B59"/>
    <w:rsid w:val="00DC7CCD"/>
    <w:rsid w:val="00DC7D56"/>
    <w:rsid w:val="00DC7DC5"/>
    <w:rsid w:val="00DC7E8A"/>
    <w:rsid w:val="00DC7FC2"/>
    <w:rsid w:val="00DD0167"/>
    <w:rsid w:val="00DD0300"/>
    <w:rsid w:val="00DD0ADD"/>
    <w:rsid w:val="00DD0D72"/>
    <w:rsid w:val="00DD122C"/>
    <w:rsid w:val="00DD16EF"/>
    <w:rsid w:val="00DD1905"/>
    <w:rsid w:val="00DD194E"/>
    <w:rsid w:val="00DD1C93"/>
    <w:rsid w:val="00DD1DB2"/>
    <w:rsid w:val="00DD1E0F"/>
    <w:rsid w:val="00DD217C"/>
    <w:rsid w:val="00DD233B"/>
    <w:rsid w:val="00DD2370"/>
    <w:rsid w:val="00DD2404"/>
    <w:rsid w:val="00DD2F84"/>
    <w:rsid w:val="00DD3213"/>
    <w:rsid w:val="00DD3364"/>
    <w:rsid w:val="00DD3BDD"/>
    <w:rsid w:val="00DD3C10"/>
    <w:rsid w:val="00DD3DB1"/>
    <w:rsid w:val="00DD4078"/>
    <w:rsid w:val="00DD41ED"/>
    <w:rsid w:val="00DD43E2"/>
    <w:rsid w:val="00DD45BD"/>
    <w:rsid w:val="00DD45EC"/>
    <w:rsid w:val="00DD4653"/>
    <w:rsid w:val="00DD483A"/>
    <w:rsid w:val="00DD4C71"/>
    <w:rsid w:val="00DD4EF9"/>
    <w:rsid w:val="00DD50EF"/>
    <w:rsid w:val="00DD5112"/>
    <w:rsid w:val="00DD58ED"/>
    <w:rsid w:val="00DD58F5"/>
    <w:rsid w:val="00DD59AB"/>
    <w:rsid w:val="00DD5C06"/>
    <w:rsid w:val="00DD6120"/>
    <w:rsid w:val="00DD61EC"/>
    <w:rsid w:val="00DD6386"/>
    <w:rsid w:val="00DD63D5"/>
    <w:rsid w:val="00DD6F80"/>
    <w:rsid w:val="00DD7053"/>
    <w:rsid w:val="00DD742A"/>
    <w:rsid w:val="00DD74AD"/>
    <w:rsid w:val="00DD774B"/>
    <w:rsid w:val="00DD78D8"/>
    <w:rsid w:val="00DD7A63"/>
    <w:rsid w:val="00DD7B4C"/>
    <w:rsid w:val="00DD7C48"/>
    <w:rsid w:val="00DE0049"/>
    <w:rsid w:val="00DE018A"/>
    <w:rsid w:val="00DE01B4"/>
    <w:rsid w:val="00DE01CF"/>
    <w:rsid w:val="00DE033B"/>
    <w:rsid w:val="00DE0687"/>
    <w:rsid w:val="00DE0BA0"/>
    <w:rsid w:val="00DE0D70"/>
    <w:rsid w:val="00DE0ED8"/>
    <w:rsid w:val="00DE0F1A"/>
    <w:rsid w:val="00DE0FFF"/>
    <w:rsid w:val="00DE12CB"/>
    <w:rsid w:val="00DE14D6"/>
    <w:rsid w:val="00DE169D"/>
    <w:rsid w:val="00DE17B9"/>
    <w:rsid w:val="00DE192D"/>
    <w:rsid w:val="00DE196B"/>
    <w:rsid w:val="00DE1D7F"/>
    <w:rsid w:val="00DE1DBE"/>
    <w:rsid w:val="00DE1E62"/>
    <w:rsid w:val="00DE1EA3"/>
    <w:rsid w:val="00DE1F43"/>
    <w:rsid w:val="00DE2227"/>
    <w:rsid w:val="00DE22D9"/>
    <w:rsid w:val="00DE265E"/>
    <w:rsid w:val="00DE2EDA"/>
    <w:rsid w:val="00DE3170"/>
    <w:rsid w:val="00DE31BB"/>
    <w:rsid w:val="00DE39E4"/>
    <w:rsid w:val="00DE39F0"/>
    <w:rsid w:val="00DE3CEE"/>
    <w:rsid w:val="00DE3DD2"/>
    <w:rsid w:val="00DE41C3"/>
    <w:rsid w:val="00DE44A0"/>
    <w:rsid w:val="00DE45E1"/>
    <w:rsid w:val="00DE46B4"/>
    <w:rsid w:val="00DE4A05"/>
    <w:rsid w:val="00DE4DEA"/>
    <w:rsid w:val="00DE4E1B"/>
    <w:rsid w:val="00DE4F03"/>
    <w:rsid w:val="00DE4FA9"/>
    <w:rsid w:val="00DE51AC"/>
    <w:rsid w:val="00DE53C5"/>
    <w:rsid w:val="00DE5550"/>
    <w:rsid w:val="00DE5FF7"/>
    <w:rsid w:val="00DE601A"/>
    <w:rsid w:val="00DE684F"/>
    <w:rsid w:val="00DE68E5"/>
    <w:rsid w:val="00DE6F16"/>
    <w:rsid w:val="00DE718A"/>
    <w:rsid w:val="00DF0684"/>
    <w:rsid w:val="00DF07E8"/>
    <w:rsid w:val="00DF0872"/>
    <w:rsid w:val="00DF09F0"/>
    <w:rsid w:val="00DF0A22"/>
    <w:rsid w:val="00DF139D"/>
    <w:rsid w:val="00DF168B"/>
    <w:rsid w:val="00DF19A4"/>
    <w:rsid w:val="00DF1AED"/>
    <w:rsid w:val="00DF27B5"/>
    <w:rsid w:val="00DF27EF"/>
    <w:rsid w:val="00DF2A81"/>
    <w:rsid w:val="00DF2D9C"/>
    <w:rsid w:val="00DF2EA4"/>
    <w:rsid w:val="00DF317E"/>
    <w:rsid w:val="00DF3655"/>
    <w:rsid w:val="00DF36C3"/>
    <w:rsid w:val="00DF3B4B"/>
    <w:rsid w:val="00DF3B8B"/>
    <w:rsid w:val="00DF3C0C"/>
    <w:rsid w:val="00DF3FE8"/>
    <w:rsid w:val="00DF43B3"/>
    <w:rsid w:val="00DF4840"/>
    <w:rsid w:val="00DF4E43"/>
    <w:rsid w:val="00DF517B"/>
    <w:rsid w:val="00DF52B9"/>
    <w:rsid w:val="00DF53F5"/>
    <w:rsid w:val="00DF53FE"/>
    <w:rsid w:val="00DF5592"/>
    <w:rsid w:val="00DF55B6"/>
    <w:rsid w:val="00DF560F"/>
    <w:rsid w:val="00DF597A"/>
    <w:rsid w:val="00DF5A99"/>
    <w:rsid w:val="00DF5BC0"/>
    <w:rsid w:val="00DF606F"/>
    <w:rsid w:val="00DF647E"/>
    <w:rsid w:val="00DF6778"/>
    <w:rsid w:val="00DF6862"/>
    <w:rsid w:val="00DF6CB1"/>
    <w:rsid w:val="00DF73B6"/>
    <w:rsid w:val="00DF74BC"/>
    <w:rsid w:val="00DF7674"/>
    <w:rsid w:val="00DF7967"/>
    <w:rsid w:val="00DF7A37"/>
    <w:rsid w:val="00DF7DF1"/>
    <w:rsid w:val="00DF7F92"/>
    <w:rsid w:val="00DF7FA7"/>
    <w:rsid w:val="00E001AD"/>
    <w:rsid w:val="00E003A7"/>
    <w:rsid w:val="00E004F7"/>
    <w:rsid w:val="00E00629"/>
    <w:rsid w:val="00E00654"/>
    <w:rsid w:val="00E0073B"/>
    <w:rsid w:val="00E00C92"/>
    <w:rsid w:val="00E00CCB"/>
    <w:rsid w:val="00E00DAA"/>
    <w:rsid w:val="00E00DD2"/>
    <w:rsid w:val="00E00FC1"/>
    <w:rsid w:val="00E00FD4"/>
    <w:rsid w:val="00E01037"/>
    <w:rsid w:val="00E010D6"/>
    <w:rsid w:val="00E01110"/>
    <w:rsid w:val="00E02327"/>
    <w:rsid w:val="00E02715"/>
    <w:rsid w:val="00E02A26"/>
    <w:rsid w:val="00E0316C"/>
    <w:rsid w:val="00E031C8"/>
    <w:rsid w:val="00E034CD"/>
    <w:rsid w:val="00E03F85"/>
    <w:rsid w:val="00E04451"/>
    <w:rsid w:val="00E048E2"/>
    <w:rsid w:val="00E04F60"/>
    <w:rsid w:val="00E050C6"/>
    <w:rsid w:val="00E053E4"/>
    <w:rsid w:val="00E054D8"/>
    <w:rsid w:val="00E05529"/>
    <w:rsid w:val="00E05539"/>
    <w:rsid w:val="00E05B4F"/>
    <w:rsid w:val="00E05DFF"/>
    <w:rsid w:val="00E05FB4"/>
    <w:rsid w:val="00E06B3A"/>
    <w:rsid w:val="00E06DCE"/>
    <w:rsid w:val="00E06E43"/>
    <w:rsid w:val="00E06E6F"/>
    <w:rsid w:val="00E07217"/>
    <w:rsid w:val="00E0778E"/>
    <w:rsid w:val="00E07964"/>
    <w:rsid w:val="00E07DF0"/>
    <w:rsid w:val="00E07F9C"/>
    <w:rsid w:val="00E10065"/>
    <w:rsid w:val="00E1040F"/>
    <w:rsid w:val="00E105C1"/>
    <w:rsid w:val="00E108B0"/>
    <w:rsid w:val="00E11418"/>
    <w:rsid w:val="00E1159D"/>
    <w:rsid w:val="00E11A65"/>
    <w:rsid w:val="00E11ACC"/>
    <w:rsid w:val="00E11B3E"/>
    <w:rsid w:val="00E11E54"/>
    <w:rsid w:val="00E12080"/>
    <w:rsid w:val="00E12237"/>
    <w:rsid w:val="00E123ED"/>
    <w:rsid w:val="00E12630"/>
    <w:rsid w:val="00E126ED"/>
    <w:rsid w:val="00E12882"/>
    <w:rsid w:val="00E12B6B"/>
    <w:rsid w:val="00E12EF5"/>
    <w:rsid w:val="00E139FC"/>
    <w:rsid w:val="00E13A61"/>
    <w:rsid w:val="00E13C63"/>
    <w:rsid w:val="00E13C95"/>
    <w:rsid w:val="00E13EB2"/>
    <w:rsid w:val="00E140DC"/>
    <w:rsid w:val="00E14564"/>
    <w:rsid w:val="00E15136"/>
    <w:rsid w:val="00E153C5"/>
    <w:rsid w:val="00E156F0"/>
    <w:rsid w:val="00E15738"/>
    <w:rsid w:val="00E158A3"/>
    <w:rsid w:val="00E162DD"/>
    <w:rsid w:val="00E16312"/>
    <w:rsid w:val="00E16351"/>
    <w:rsid w:val="00E169CE"/>
    <w:rsid w:val="00E16B19"/>
    <w:rsid w:val="00E16B72"/>
    <w:rsid w:val="00E17043"/>
    <w:rsid w:val="00E1722D"/>
    <w:rsid w:val="00E17241"/>
    <w:rsid w:val="00E173C2"/>
    <w:rsid w:val="00E17860"/>
    <w:rsid w:val="00E179E0"/>
    <w:rsid w:val="00E17E18"/>
    <w:rsid w:val="00E17F74"/>
    <w:rsid w:val="00E20072"/>
    <w:rsid w:val="00E201F9"/>
    <w:rsid w:val="00E2032D"/>
    <w:rsid w:val="00E20493"/>
    <w:rsid w:val="00E2078F"/>
    <w:rsid w:val="00E20874"/>
    <w:rsid w:val="00E20B71"/>
    <w:rsid w:val="00E21446"/>
    <w:rsid w:val="00E2150C"/>
    <w:rsid w:val="00E219AA"/>
    <w:rsid w:val="00E21F48"/>
    <w:rsid w:val="00E224CF"/>
    <w:rsid w:val="00E228A4"/>
    <w:rsid w:val="00E2315B"/>
    <w:rsid w:val="00E23187"/>
    <w:rsid w:val="00E232A2"/>
    <w:rsid w:val="00E233CD"/>
    <w:rsid w:val="00E233F7"/>
    <w:rsid w:val="00E236C3"/>
    <w:rsid w:val="00E23779"/>
    <w:rsid w:val="00E237C9"/>
    <w:rsid w:val="00E23909"/>
    <w:rsid w:val="00E239D0"/>
    <w:rsid w:val="00E23A28"/>
    <w:rsid w:val="00E23A4A"/>
    <w:rsid w:val="00E23D31"/>
    <w:rsid w:val="00E23D6C"/>
    <w:rsid w:val="00E2444C"/>
    <w:rsid w:val="00E244D1"/>
    <w:rsid w:val="00E2461B"/>
    <w:rsid w:val="00E2503A"/>
    <w:rsid w:val="00E253A2"/>
    <w:rsid w:val="00E2552F"/>
    <w:rsid w:val="00E25558"/>
    <w:rsid w:val="00E25976"/>
    <w:rsid w:val="00E25A68"/>
    <w:rsid w:val="00E25CA6"/>
    <w:rsid w:val="00E25DE0"/>
    <w:rsid w:val="00E25E1C"/>
    <w:rsid w:val="00E26219"/>
    <w:rsid w:val="00E265AC"/>
    <w:rsid w:val="00E26602"/>
    <w:rsid w:val="00E27127"/>
    <w:rsid w:val="00E272CD"/>
    <w:rsid w:val="00E27609"/>
    <w:rsid w:val="00E27839"/>
    <w:rsid w:val="00E27B9F"/>
    <w:rsid w:val="00E27D03"/>
    <w:rsid w:val="00E30879"/>
    <w:rsid w:val="00E30A68"/>
    <w:rsid w:val="00E30D79"/>
    <w:rsid w:val="00E30F38"/>
    <w:rsid w:val="00E3105C"/>
    <w:rsid w:val="00E31063"/>
    <w:rsid w:val="00E3115A"/>
    <w:rsid w:val="00E313DB"/>
    <w:rsid w:val="00E3170F"/>
    <w:rsid w:val="00E3177D"/>
    <w:rsid w:val="00E31852"/>
    <w:rsid w:val="00E31C73"/>
    <w:rsid w:val="00E31CBD"/>
    <w:rsid w:val="00E31F10"/>
    <w:rsid w:val="00E327CB"/>
    <w:rsid w:val="00E32C2C"/>
    <w:rsid w:val="00E32C6C"/>
    <w:rsid w:val="00E32FFF"/>
    <w:rsid w:val="00E332AB"/>
    <w:rsid w:val="00E33682"/>
    <w:rsid w:val="00E3368D"/>
    <w:rsid w:val="00E34044"/>
    <w:rsid w:val="00E3530B"/>
    <w:rsid w:val="00E35491"/>
    <w:rsid w:val="00E35A90"/>
    <w:rsid w:val="00E35CEE"/>
    <w:rsid w:val="00E35D07"/>
    <w:rsid w:val="00E36481"/>
    <w:rsid w:val="00E36DC7"/>
    <w:rsid w:val="00E370E7"/>
    <w:rsid w:val="00E37156"/>
    <w:rsid w:val="00E3733D"/>
    <w:rsid w:val="00E375F4"/>
    <w:rsid w:val="00E37947"/>
    <w:rsid w:val="00E37A51"/>
    <w:rsid w:val="00E37C21"/>
    <w:rsid w:val="00E37C61"/>
    <w:rsid w:val="00E37C69"/>
    <w:rsid w:val="00E37D3A"/>
    <w:rsid w:val="00E37E2C"/>
    <w:rsid w:val="00E37EE1"/>
    <w:rsid w:val="00E401E9"/>
    <w:rsid w:val="00E40369"/>
    <w:rsid w:val="00E40545"/>
    <w:rsid w:val="00E405C8"/>
    <w:rsid w:val="00E40A2B"/>
    <w:rsid w:val="00E40B91"/>
    <w:rsid w:val="00E4102D"/>
    <w:rsid w:val="00E4130D"/>
    <w:rsid w:val="00E41E40"/>
    <w:rsid w:val="00E420B4"/>
    <w:rsid w:val="00E42471"/>
    <w:rsid w:val="00E42630"/>
    <w:rsid w:val="00E426D7"/>
    <w:rsid w:val="00E4276D"/>
    <w:rsid w:val="00E427B8"/>
    <w:rsid w:val="00E428AB"/>
    <w:rsid w:val="00E428E0"/>
    <w:rsid w:val="00E4295B"/>
    <w:rsid w:val="00E42A95"/>
    <w:rsid w:val="00E42C47"/>
    <w:rsid w:val="00E42CC6"/>
    <w:rsid w:val="00E42D43"/>
    <w:rsid w:val="00E42D77"/>
    <w:rsid w:val="00E42DE9"/>
    <w:rsid w:val="00E42E25"/>
    <w:rsid w:val="00E42E97"/>
    <w:rsid w:val="00E42EDF"/>
    <w:rsid w:val="00E42F7E"/>
    <w:rsid w:val="00E432E1"/>
    <w:rsid w:val="00E43321"/>
    <w:rsid w:val="00E43AD5"/>
    <w:rsid w:val="00E43DEF"/>
    <w:rsid w:val="00E44075"/>
    <w:rsid w:val="00E4452E"/>
    <w:rsid w:val="00E44C7A"/>
    <w:rsid w:val="00E44C99"/>
    <w:rsid w:val="00E44C9D"/>
    <w:rsid w:val="00E44D64"/>
    <w:rsid w:val="00E44FEB"/>
    <w:rsid w:val="00E452DF"/>
    <w:rsid w:val="00E4577B"/>
    <w:rsid w:val="00E45DCC"/>
    <w:rsid w:val="00E45F6C"/>
    <w:rsid w:val="00E4650F"/>
    <w:rsid w:val="00E46649"/>
    <w:rsid w:val="00E46775"/>
    <w:rsid w:val="00E46926"/>
    <w:rsid w:val="00E46C32"/>
    <w:rsid w:val="00E46E64"/>
    <w:rsid w:val="00E472F5"/>
    <w:rsid w:val="00E474A1"/>
    <w:rsid w:val="00E47505"/>
    <w:rsid w:val="00E47D3F"/>
    <w:rsid w:val="00E50074"/>
    <w:rsid w:val="00E501E8"/>
    <w:rsid w:val="00E50311"/>
    <w:rsid w:val="00E50369"/>
    <w:rsid w:val="00E505B1"/>
    <w:rsid w:val="00E50640"/>
    <w:rsid w:val="00E50BAD"/>
    <w:rsid w:val="00E5192F"/>
    <w:rsid w:val="00E51AA2"/>
    <w:rsid w:val="00E51AB0"/>
    <w:rsid w:val="00E52106"/>
    <w:rsid w:val="00E525CD"/>
    <w:rsid w:val="00E52711"/>
    <w:rsid w:val="00E52805"/>
    <w:rsid w:val="00E52816"/>
    <w:rsid w:val="00E52B7F"/>
    <w:rsid w:val="00E5344B"/>
    <w:rsid w:val="00E5345A"/>
    <w:rsid w:val="00E534EF"/>
    <w:rsid w:val="00E53642"/>
    <w:rsid w:val="00E536DE"/>
    <w:rsid w:val="00E53976"/>
    <w:rsid w:val="00E53E9E"/>
    <w:rsid w:val="00E53ECB"/>
    <w:rsid w:val="00E540FB"/>
    <w:rsid w:val="00E54335"/>
    <w:rsid w:val="00E544C0"/>
    <w:rsid w:val="00E546BE"/>
    <w:rsid w:val="00E546D4"/>
    <w:rsid w:val="00E54A55"/>
    <w:rsid w:val="00E54AFD"/>
    <w:rsid w:val="00E54D2E"/>
    <w:rsid w:val="00E54D4D"/>
    <w:rsid w:val="00E54EBC"/>
    <w:rsid w:val="00E54EC8"/>
    <w:rsid w:val="00E5526E"/>
    <w:rsid w:val="00E553A8"/>
    <w:rsid w:val="00E55714"/>
    <w:rsid w:val="00E55DA6"/>
    <w:rsid w:val="00E56042"/>
    <w:rsid w:val="00E5680A"/>
    <w:rsid w:val="00E56928"/>
    <w:rsid w:val="00E5693C"/>
    <w:rsid w:val="00E56B69"/>
    <w:rsid w:val="00E56B89"/>
    <w:rsid w:val="00E56CE1"/>
    <w:rsid w:val="00E56E72"/>
    <w:rsid w:val="00E56EED"/>
    <w:rsid w:val="00E5726C"/>
    <w:rsid w:val="00E57799"/>
    <w:rsid w:val="00E60258"/>
    <w:rsid w:val="00E6034B"/>
    <w:rsid w:val="00E60754"/>
    <w:rsid w:val="00E61070"/>
    <w:rsid w:val="00E6126A"/>
    <w:rsid w:val="00E615A0"/>
    <w:rsid w:val="00E61920"/>
    <w:rsid w:val="00E61ECE"/>
    <w:rsid w:val="00E61F22"/>
    <w:rsid w:val="00E61F58"/>
    <w:rsid w:val="00E62525"/>
    <w:rsid w:val="00E625ED"/>
    <w:rsid w:val="00E62880"/>
    <w:rsid w:val="00E62C8B"/>
    <w:rsid w:val="00E631BE"/>
    <w:rsid w:val="00E63232"/>
    <w:rsid w:val="00E6359F"/>
    <w:rsid w:val="00E63618"/>
    <w:rsid w:val="00E63756"/>
    <w:rsid w:val="00E6386D"/>
    <w:rsid w:val="00E638C6"/>
    <w:rsid w:val="00E63A8D"/>
    <w:rsid w:val="00E63B4F"/>
    <w:rsid w:val="00E63EE8"/>
    <w:rsid w:val="00E63EEF"/>
    <w:rsid w:val="00E640A8"/>
    <w:rsid w:val="00E642BA"/>
    <w:rsid w:val="00E644F3"/>
    <w:rsid w:val="00E644F5"/>
    <w:rsid w:val="00E64727"/>
    <w:rsid w:val="00E647F1"/>
    <w:rsid w:val="00E6487E"/>
    <w:rsid w:val="00E649CB"/>
    <w:rsid w:val="00E649E2"/>
    <w:rsid w:val="00E64A8C"/>
    <w:rsid w:val="00E6507A"/>
    <w:rsid w:val="00E65112"/>
    <w:rsid w:val="00E65141"/>
    <w:rsid w:val="00E65339"/>
    <w:rsid w:val="00E65388"/>
    <w:rsid w:val="00E65395"/>
    <w:rsid w:val="00E65453"/>
    <w:rsid w:val="00E655A7"/>
    <w:rsid w:val="00E65BC3"/>
    <w:rsid w:val="00E660CB"/>
    <w:rsid w:val="00E66150"/>
    <w:rsid w:val="00E665D4"/>
    <w:rsid w:val="00E66BC8"/>
    <w:rsid w:val="00E66C37"/>
    <w:rsid w:val="00E66E95"/>
    <w:rsid w:val="00E670AF"/>
    <w:rsid w:val="00E6754F"/>
    <w:rsid w:val="00E677B9"/>
    <w:rsid w:val="00E67B8D"/>
    <w:rsid w:val="00E67CD0"/>
    <w:rsid w:val="00E67D52"/>
    <w:rsid w:val="00E67D69"/>
    <w:rsid w:val="00E67F23"/>
    <w:rsid w:val="00E7011D"/>
    <w:rsid w:val="00E704FA"/>
    <w:rsid w:val="00E70800"/>
    <w:rsid w:val="00E71247"/>
    <w:rsid w:val="00E715B3"/>
    <w:rsid w:val="00E719DC"/>
    <w:rsid w:val="00E71B50"/>
    <w:rsid w:val="00E71CCA"/>
    <w:rsid w:val="00E722B2"/>
    <w:rsid w:val="00E7237D"/>
    <w:rsid w:val="00E72599"/>
    <w:rsid w:val="00E72750"/>
    <w:rsid w:val="00E72800"/>
    <w:rsid w:val="00E72918"/>
    <w:rsid w:val="00E72949"/>
    <w:rsid w:val="00E72DAD"/>
    <w:rsid w:val="00E73223"/>
    <w:rsid w:val="00E73943"/>
    <w:rsid w:val="00E73C54"/>
    <w:rsid w:val="00E73CB0"/>
    <w:rsid w:val="00E73DDF"/>
    <w:rsid w:val="00E742E3"/>
    <w:rsid w:val="00E74A35"/>
    <w:rsid w:val="00E74B30"/>
    <w:rsid w:val="00E74CD4"/>
    <w:rsid w:val="00E74DE8"/>
    <w:rsid w:val="00E74F9B"/>
    <w:rsid w:val="00E751E3"/>
    <w:rsid w:val="00E7583D"/>
    <w:rsid w:val="00E758DE"/>
    <w:rsid w:val="00E75A98"/>
    <w:rsid w:val="00E75C61"/>
    <w:rsid w:val="00E75D6D"/>
    <w:rsid w:val="00E75DCC"/>
    <w:rsid w:val="00E76915"/>
    <w:rsid w:val="00E76C05"/>
    <w:rsid w:val="00E76CE2"/>
    <w:rsid w:val="00E76D14"/>
    <w:rsid w:val="00E76FB4"/>
    <w:rsid w:val="00E77101"/>
    <w:rsid w:val="00E8024C"/>
    <w:rsid w:val="00E8042C"/>
    <w:rsid w:val="00E80666"/>
    <w:rsid w:val="00E806E1"/>
    <w:rsid w:val="00E80EC6"/>
    <w:rsid w:val="00E80EE5"/>
    <w:rsid w:val="00E80F5A"/>
    <w:rsid w:val="00E80FB8"/>
    <w:rsid w:val="00E8118B"/>
    <w:rsid w:val="00E81931"/>
    <w:rsid w:val="00E81CE8"/>
    <w:rsid w:val="00E81CEC"/>
    <w:rsid w:val="00E8213A"/>
    <w:rsid w:val="00E827E7"/>
    <w:rsid w:val="00E82AE9"/>
    <w:rsid w:val="00E82E2A"/>
    <w:rsid w:val="00E831A6"/>
    <w:rsid w:val="00E83747"/>
    <w:rsid w:val="00E83AA1"/>
    <w:rsid w:val="00E83CF2"/>
    <w:rsid w:val="00E83E63"/>
    <w:rsid w:val="00E83ED3"/>
    <w:rsid w:val="00E8442C"/>
    <w:rsid w:val="00E8459D"/>
    <w:rsid w:val="00E848D1"/>
    <w:rsid w:val="00E84AC5"/>
    <w:rsid w:val="00E84C82"/>
    <w:rsid w:val="00E84DC9"/>
    <w:rsid w:val="00E84E4F"/>
    <w:rsid w:val="00E84EC2"/>
    <w:rsid w:val="00E84F99"/>
    <w:rsid w:val="00E856EB"/>
    <w:rsid w:val="00E85786"/>
    <w:rsid w:val="00E8582D"/>
    <w:rsid w:val="00E8589C"/>
    <w:rsid w:val="00E85DE1"/>
    <w:rsid w:val="00E85EAB"/>
    <w:rsid w:val="00E860AB"/>
    <w:rsid w:val="00E8621B"/>
    <w:rsid w:val="00E8628A"/>
    <w:rsid w:val="00E862E0"/>
    <w:rsid w:val="00E86635"/>
    <w:rsid w:val="00E86B0F"/>
    <w:rsid w:val="00E86D5B"/>
    <w:rsid w:val="00E8704F"/>
    <w:rsid w:val="00E87136"/>
    <w:rsid w:val="00E875DC"/>
    <w:rsid w:val="00E87927"/>
    <w:rsid w:val="00E9016C"/>
    <w:rsid w:val="00E9048C"/>
    <w:rsid w:val="00E9062E"/>
    <w:rsid w:val="00E906A7"/>
    <w:rsid w:val="00E90C77"/>
    <w:rsid w:val="00E90FC4"/>
    <w:rsid w:val="00E910EA"/>
    <w:rsid w:val="00E91459"/>
    <w:rsid w:val="00E91506"/>
    <w:rsid w:val="00E91C6A"/>
    <w:rsid w:val="00E920D4"/>
    <w:rsid w:val="00E922AF"/>
    <w:rsid w:val="00E924AB"/>
    <w:rsid w:val="00E9256C"/>
    <w:rsid w:val="00E92809"/>
    <w:rsid w:val="00E92817"/>
    <w:rsid w:val="00E92B04"/>
    <w:rsid w:val="00E9302F"/>
    <w:rsid w:val="00E93C4A"/>
    <w:rsid w:val="00E93DA2"/>
    <w:rsid w:val="00E942AB"/>
    <w:rsid w:val="00E94416"/>
    <w:rsid w:val="00E94576"/>
    <w:rsid w:val="00E9481A"/>
    <w:rsid w:val="00E9482A"/>
    <w:rsid w:val="00E948D7"/>
    <w:rsid w:val="00E9543D"/>
    <w:rsid w:val="00E9564F"/>
    <w:rsid w:val="00E95A99"/>
    <w:rsid w:val="00E95C26"/>
    <w:rsid w:val="00E960F9"/>
    <w:rsid w:val="00E96482"/>
    <w:rsid w:val="00E97008"/>
    <w:rsid w:val="00E9738A"/>
    <w:rsid w:val="00E974AA"/>
    <w:rsid w:val="00E977C4"/>
    <w:rsid w:val="00E97A66"/>
    <w:rsid w:val="00E97A6A"/>
    <w:rsid w:val="00E97A6B"/>
    <w:rsid w:val="00EA0278"/>
    <w:rsid w:val="00EA029A"/>
    <w:rsid w:val="00EA036C"/>
    <w:rsid w:val="00EA03DD"/>
    <w:rsid w:val="00EA0885"/>
    <w:rsid w:val="00EA09A2"/>
    <w:rsid w:val="00EA0A64"/>
    <w:rsid w:val="00EA0A8A"/>
    <w:rsid w:val="00EA0B32"/>
    <w:rsid w:val="00EA0E22"/>
    <w:rsid w:val="00EA116A"/>
    <w:rsid w:val="00EA116C"/>
    <w:rsid w:val="00EA132E"/>
    <w:rsid w:val="00EA1395"/>
    <w:rsid w:val="00EA1435"/>
    <w:rsid w:val="00EA165E"/>
    <w:rsid w:val="00EA1737"/>
    <w:rsid w:val="00EA1837"/>
    <w:rsid w:val="00EA1B2B"/>
    <w:rsid w:val="00EA1BAB"/>
    <w:rsid w:val="00EA1BE1"/>
    <w:rsid w:val="00EA1E72"/>
    <w:rsid w:val="00EA1FE5"/>
    <w:rsid w:val="00EA20B4"/>
    <w:rsid w:val="00EA2113"/>
    <w:rsid w:val="00EA25BB"/>
    <w:rsid w:val="00EA26DD"/>
    <w:rsid w:val="00EA276C"/>
    <w:rsid w:val="00EA289D"/>
    <w:rsid w:val="00EA2A7A"/>
    <w:rsid w:val="00EA2C3A"/>
    <w:rsid w:val="00EA2D27"/>
    <w:rsid w:val="00EA30A4"/>
    <w:rsid w:val="00EA316C"/>
    <w:rsid w:val="00EA3708"/>
    <w:rsid w:val="00EA3A41"/>
    <w:rsid w:val="00EA3B6D"/>
    <w:rsid w:val="00EA3D28"/>
    <w:rsid w:val="00EA3F08"/>
    <w:rsid w:val="00EA401A"/>
    <w:rsid w:val="00EA4146"/>
    <w:rsid w:val="00EA41AE"/>
    <w:rsid w:val="00EA4456"/>
    <w:rsid w:val="00EA4684"/>
    <w:rsid w:val="00EA4806"/>
    <w:rsid w:val="00EA4E81"/>
    <w:rsid w:val="00EA5515"/>
    <w:rsid w:val="00EA5C4B"/>
    <w:rsid w:val="00EA5DF4"/>
    <w:rsid w:val="00EA6167"/>
    <w:rsid w:val="00EA6467"/>
    <w:rsid w:val="00EA6765"/>
    <w:rsid w:val="00EA67D5"/>
    <w:rsid w:val="00EA683C"/>
    <w:rsid w:val="00EA6878"/>
    <w:rsid w:val="00EA6D8A"/>
    <w:rsid w:val="00EA6ED9"/>
    <w:rsid w:val="00EA71B6"/>
    <w:rsid w:val="00EA7738"/>
    <w:rsid w:val="00EA7B5A"/>
    <w:rsid w:val="00EA7E0F"/>
    <w:rsid w:val="00EB02F0"/>
    <w:rsid w:val="00EB0573"/>
    <w:rsid w:val="00EB07B6"/>
    <w:rsid w:val="00EB1003"/>
    <w:rsid w:val="00EB10E0"/>
    <w:rsid w:val="00EB1300"/>
    <w:rsid w:val="00EB1566"/>
    <w:rsid w:val="00EB1574"/>
    <w:rsid w:val="00EB158F"/>
    <w:rsid w:val="00EB161C"/>
    <w:rsid w:val="00EB1906"/>
    <w:rsid w:val="00EB1926"/>
    <w:rsid w:val="00EB1C92"/>
    <w:rsid w:val="00EB1C99"/>
    <w:rsid w:val="00EB1EAB"/>
    <w:rsid w:val="00EB2176"/>
    <w:rsid w:val="00EB21A2"/>
    <w:rsid w:val="00EB2288"/>
    <w:rsid w:val="00EB2356"/>
    <w:rsid w:val="00EB2412"/>
    <w:rsid w:val="00EB24CF"/>
    <w:rsid w:val="00EB2895"/>
    <w:rsid w:val="00EB2990"/>
    <w:rsid w:val="00EB2A65"/>
    <w:rsid w:val="00EB34B4"/>
    <w:rsid w:val="00EB3552"/>
    <w:rsid w:val="00EB3559"/>
    <w:rsid w:val="00EB360F"/>
    <w:rsid w:val="00EB36ED"/>
    <w:rsid w:val="00EB3A59"/>
    <w:rsid w:val="00EB3DB1"/>
    <w:rsid w:val="00EB3E2F"/>
    <w:rsid w:val="00EB3E42"/>
    <w:rsid w:val="00EB40A9"/>
    <w:rsid w:val="00EB41D2"/>
    <w:rsid w:val="00EB430D"/>
    <w:rsid w:val="00EB4465"/>
    <w:rsid w:val="00EB46BF"/>
    <w:rsid w:val="00EB5107"/>
    <w:rsid w:val="00EB5658"/>
    <w:rsid w:val="00EB57EB"/>
    <w:rsid w:val="00EB5806"/>
    <w:rsid w:val="00EB5AC6"/>
    <w:rsid w:val="00EB5B11"/>
    <w:rsid w:val="00EB5C24"/>
    <w:rsid w:val="00EB5CA0"/>
    <w:rsid w:val="00EB62DF"/>
    <w:rsid w:val="00EB6894"/>
    <w:rsid w:val="00EB68FB"/>
    <w:rsid w:val="00EB6CD0"/>
    <w:rsid w:val="00EB7191"/>
    <w:rsid w:val="00EB71CB"/>
    <w:rsid w:val="00EB7281"/>
    <w:rsid w:val="00EB728B"/>
    <w:rsid w:val="00EB75F5"/>
    <w:rsid w:val="00EB7848"/>
    <w:rsid w:val="00EC05E0"/>
    <w:rsid w:val="00EC06BD"/>
    <w:rsid w:val="00EC0ACE"/>
    <w:rsid w:val="00EC0B82"/>
    <w:rsid w:val="00EC0DD9"/>
    <w:rsid w:val="00EC0E6A"/>
    <w:rsid w:val="00EC11DE"/>
    <w:rsid w:val="00EC121E"/>
    <w:rsid w:val="00EC1344"/>
    <w:rsid w:val="00EC13FA"/>
    <w:rsid w:val="00EC1484"/>
    <w:rsid w:val="00EC157B"/>
    <w:rsid w:val="00EC17C0"/>
    <w:rsid w:val="00EC189F"/>
    <w:rsid w:val="00EC21E1"/>
    <w:rsid w:val="00EC2262"/>
    <w:rsid w:val="00EC22F9"/>
    <w:rsid w:val="00EC237A"/>
    <w:rsid w:val="00EC248B"/>
    <w:rsid w:val="00EC24C1"/>
    <w:rsid w:val="00EC2D86"/>
    <w:rsid w:val="00EC2F32"/>
    <w:rsid w:val="00EC2FDE"/>
    <w:rsid w:val="00EC3261"/>
    <w:rsid w:val="00EC38DA"/>
    <w:rsid w:val="00EC3F42"/>
    <w:rsid w:val="00EC3FE2"/>
    <w:rsid w:val="00EC429F"/>
    <w:rsid w:val="00EC4465"/>
    <w:rsid w:val="00EC474D"/>
    <w:rsid w:val="00EC486A"/>
    <w:rsid w:val="00EC4A89"/>
    <w:rsid w:val="00EC4D5F"/>
    <w:rsid w:val="00EC4EED"/>
    <w:rsid w:val="00EC565E"/>
    <w:rsid w:val="00EC5845"/>
    <w:rsid w:val="00EC5963"/>
    <w:rsid w:val="00EC5BEE"/>
    <w:rsid w:val="00EC5D0C"/>
    <w:rsid w:val="00EC5F05"/>
    <w:rsid w:val="00EC5F9D"/>
    <w:rsid w:val="00EC6116"/>
    <w:rsid w:val="00EC62EE"/>
    <w:rsid w:val="00EC63DE"/>
    <w:rsid w:val="00EC644E"/>
    <w:rsid w:val="00EC67E6"/>
    <w:rsid w:val="00EC68D4"/>
    <w:rsid w:val="00EC6CC3"/>
    <w:rsid w:val="00EC71A5"/>
    <w:rsid w:val="00EC77C7"/>
    <w:rsid w:val="00EC7FF6"/>
    <w:rsid w:val="00ED017F"/>
    <w:rsid w:val="00ED0329"/>
    <w:rsid w:val="00ED043E"/>
    <w:rsid w:val="00ED0496"/>
    <w:rsid w:val="00ED0962"/>
    <w:rsid w:val="00ED1109"/>
    <w:rsid w:val="00ED135C"/>
    <w:rsid w:val="00ED1755"/>
    <w:rsid w:val="00ED1AEA"/>
    <w:rsid w:val="00ED1C2A"/>
    <w:rsid w:val="00ED1E37"/>
    <w:rsid w:val="00ED1F47"/>
    <w:rsid w:val="00ED2157"/>
    <w:rsid w:val="00ED295B"/>
    <w:rsid w:val="00ED2F8D"/>
    <w:rsid w:val="00ED30FD"/>
    <w:rsid w:val="00ED3750"/>
    <w:rsid w:val="00ED3CD3"/>
    <w:rsid w:val="00ED3EA4"/>
    <w:rsid w:val="00ED3FAB"/>
    <w:rsid w:val="00ED4470"/>
    <w:rsid w:val="00ED4481"/>
    <w:rsid w:val="00ED4657"/>
    <w:rsid w:val="00ED46D2"/>
    <w:rsid w:val="00ED4AB0"/>
    <w:rsid w:val="00ED548B"/>
    <w:rsid w:val="00ED5547"/>
    <w:rsid w:val="00ED5A9C"/>
    <w:rsid w:val="00ED5E25"/>
    <w:rsid w:val="00ED623B"/>
    <w:rsid w:val="00ED6332"/>
    <w:rsid w:val="00ED6747"/>
    <w:rsid w:val="00ED67E2"/>
    <w:rsid w:val="00ED6A05"/>
    <w:rsid w:val="00ED6CDF"/>
    <w:rsid w:val="00ED7473"/>
    <w:rsid w:val="00ED750C"/>
    <w:rsid w:val="00ED7DE6"/>
    <w:rsid w:val="00EE00C8"/>
    <w:rsid w:val="00EE04C8"/>
    <w:rsid w:val="00EE0631"/>
    <w:rsid w:val="00EE0F6D"/>
    <w:rsid w:val="00EE0FDF"/>
    <w:rsid w:val="00EE11A4"/>
    <w:rsid w:val="00EE135F"/>
    <w:rsid w:val="00EE16A1"/>
    <w:rsid w:val="00EE17D0"/>
    <w:rsid w:val="00EE1823"/>
    <w:rsid w:val="00EE1828"/>
    <w:rsid w:val="00EE184E"/>
    <w:rsid w:val="00EE1A3A"/>
    <w:rsid w:val="00EE1C11"/>
    <w:rsid w:val="00EE2061"/>
    <w:rsid w:val="00EE20DF"/>
    <w:rsid w:val="00EE25CA"/>
    <w:rsid w:val="00EE28CF"/>
    <w:rsid w:val="00EE28F0"/>
    <w:rsid w:val="00EE2B0F"/>
    <w:rsid w:val="00EE2B30"/>
    <w:rsid w:val="00EE2D39"/>
    <w:rsid w:val="00EE2EA6"/>
    <w:rsid w:val="00EE3419"/>
    <w:rsid w:val="00EE3754"/>
    <w:rsid w:val="00EE3787"/>
    <w:rsid w:val="00EE3CD1"/>
    <w:rsid w:val="00EE42DD"/>
    <w:rsid w:val="00EE46F1"/>
    <w:rsid w:val="00EE4A0F"/>
    <w:rsid w:val="00EE50DD"/>
    <w:rsid w:val="00EE50EA"/>
    <w:rsid w:val="00EE5133"/>
    <w:rsid w:val="00EE5301"/>
    <w:rsid w:val="00EE535A"/>
    <w:rsid w:val="00EE5993"/>
    <w:rsid w:val="00EE5A17"/>
    <w:rsid w:val="00EE5C44"/>
    <w:rsid w:val="00EE5E29"/>
    <w:rsid w:val="00EE5E6C"/>
    <w:rsid w:val="00EE6003"/>
    <w:rsid w:val="00EE62E8"/>
    <w:rsid w:val="00EE63D6"/>
    <w:rsid w:val="00EE6896"/>
    <w:rsid w:val="00EE6939"/>
    <w:rsid w:val="00EE71F0"/>
    <w:rsid w:val="00EE74F5"/>
    <w:rsid w:val="00EE7558"/>
    <w:rsid w:val="00EE7CFC"/>
    <w:rsid w:val="00EF00BC"/>
    <w:rsid w:val="00EF02AD"/>
    <w:rsid w:val="00EF0393"/>
    <w:rsid w:val="00EF05B9"/>
    <w:rsid w:val="00EF0B50"/>
    <w:rsid w:val="00EF0C17"/>
    <w:rsid w:val="00EF0E3F"/>
    <w:rsid w:val="00EF12EE"/>
    <w:rsid w:val="00EF18AF"/>
    <w:rsid w:val="00EF1A5A"/>
    <w:rsid w:val="00EF1C55"/>
    <w:rsid w:val="00EF1E99"/>
    <w:rsid w:val="00EF1EA3"/>
    <w:rsid w:val="00EF1EB2"/>
    <w:rsid w:val="00EF2054"/>
    <w:rsid w:val="00EF20C7"/>
    <w:rsid w:val="00EF21D2"/>
    <w:rsid w:val="00EF228A"/>
    <w:rsid w:val="00EF23E8"/>
    <w:rsid w:val="00EF260C"/>
    <w:rsid w:val="00EF276A"/>
    <w:rsid w:val="00EF2D1F"/>
    <w:rsid w:val="00EF31E3"/>
    <w:rsid w:val="00EF322A"/>
    <w:rsid w:val="00EF34A1"/>
    <w:rsid w:val="00EF390D"/>
    <w:rsid w:val="00EF3C01"/>
    <w:rsid w:val="00EF3C4E"/>
    <w:rsid w:val="00EF3D17"/>
    <w:rsid w:val="00EF3DA6"/>
    <w:rsid w:val="00EF4385"/>
    <w:rsid w:val="00EF4397"/>
    <w:rsid w:val="00EF4431"/>
    <w:rsid w:val="00EF44C3"/>
    <w:rsid w:val="00EF46AC"/>
    <w:rsid w:val="00EF46E4"/>
    <w:rsid w:val="00EF49E6"/>
    <w:rsid w:val="00EF4E35"/>
    <w:rsid w:val="00EF4F2D"/>
    <w:rsid w:val="00EF4FD4"/>
    <w:rsid w:val="00EF51DE"/>
    <w:rsid w:val="00EF5243"/>
    <w:rsid w:val="00EF56BE"/>
    <w:rsid w:val="00EF57E4"/>
    <w:rsid w:val="00EF5BEA"/>
    <w:rsid w:val="00EF5C3E"/>
    <w:rsid w:val="00EF7133"/>
    <w:rsid w:val="00EF7A93"/>
    <w:rsid w:val="00F00397"/>
    <w:rsid w:val="00F00744"/>
    <w:rsid w:val="00F008B9"/>
    <w:rsid w:val="00F008C2"/>
    <w:rsid w:val="00F008D1"/>
    <w:rsid w:val="00F01010"/>
    <w:rsid w:val="00F01158"/>
    <w:rsid w:val="00F01542"/>
    <w:rsid w:val="00F015FC"/>
    <w:rsid w:val="00F019EC"/>
    <w:rsid w:val="00F01C1A"/>
    <w:rsid w:val="00F01DA9"/>
    <w:rsid w:val="00F023E7"/>
    <w:rsid w:val="00F023EA"/>
    <w:rsid w:val="00F024CC"/>
    <w:rsid w:val="00F02A5D"/>
    <w:rsid w:val="00F02E79"/>
    <w:rsid w:val="00F02E7A"/>
    <w:rsid w:val="00F02F40"/>
    <w:rsid w:val="00F02FEE"/>
    <w:rsid w:val="00F0317B"/>
    <w:rsid w:val="00F0341B"/>
    <w:rsid w:val="00F037A1"/>
    <w:rsid w:val="00F04052"/>
    <w:rsid w:val="00F04081"/>
    <w:rsid w:val="00F04624"/>
    <w:rsid w:val="00F04773"/>
    <w:rsid w:val="00F0478E"/>
    <w:rsid w:val="00F047FA"/>
    <w:rsid w:val="00F0519D"/>
    <w:rsid w:val="00F051E7"/>
    <w:rsid w:val="00F057BD"/>
    <w:rsid w:val="00F0584E"/>
    <w:rsid w:val="00F05B63"/>
    <w:rsid w:val="00F05CA2"/>
    <w:rsid w:val="00F05FF9"/>
    <w:rsid w:val="00F060B5"/>
    <w:rsid w:val="00F0637B"/>
    <w:rsid w:val="00F0670C"/>
    <w:rsid w:val="00F06D46"/>
    <w:rsid w:val="00F06E9B"/>
    <w:rsid w:val="00F0719B"/>
    <w:rsid w:val="00F0747B"/>
    <w:rsid w:val="00F07766"/>
    <w:rsid w:val="00F07F71"/>
    <w:rsid w:val="00F1033E"/>
    <w:rsid w:val="00F10431"/>
    <w:rsid w:val="00F105B0"/>
    <w:rsid w:val="00F10637"/>
    <w:rsid w:val="00F10929"/>
    <w:rsid w:val="00F10A21"/>
    <w:rsid w:val="00F10E1E"/>
    <w:rsid w:val="00F1159B"/>
    <w:rsid w:val="00F116D4"/>
    <w:rsid w:val="00F11A05"/>
    <w:rsid w:val="00F11AA1"/>
    <w:rsid w:val="00F11B23"/>
    <w:rsid w:val="00F11D89"/>
    <w:rsid w:val="00F11EA1"/>
    <w:rsid w:val="00F11FFA"/>
    <w:rsid w:val="00F12172"/>
    <w:rsid w:val="00F1278E"/>
    <w:rsid w:val="00F12AEF"/>
    <w:rsid w:val="00F12F39"/>
    <w:rsid w:val="00F13045"/>
    <w:rsid w:val="00F130CE"/>
    <w:rsid w:val="00F131F2"/>
    <w:rsid w:val="00F13355"/>
    <w:rsid w:val="00F13E84"/>
    <w:rsid w:val="00F13EC4"/>
    <w:rsid w:val="00F140DF"/>
    <w:rsid w:val="00F14546"/>
    <w:rsid w:val="00F14685"/>
    <w:rsid w:val="00F148A0"/>
    <w:rsid w:val="00F14949"/>
    <w:rsid w:val="00F149E3"/>
    <w:rsid w:val="00F14C52"/>
    <w:rsid w:val="00F14DD5"/>
    <w:rsid w:val="00F150B0"/>
    <w:rsid w:val="00F154B0"/>
    <w:rsid w:val="00F15BBB"/>
    <w:rsid w:val="00F15F00"/>
    <w:rsid w:val="00F16B5C"/>
    <w:rsid w:val="00F171D9"/>
    <w:rsid w:val="00F17209"/>
    <w:rsid w:val="00F17336"/>
    <w:rsid w:val="00F174C3"/>
    <w:rsid w:val="00F17606"/>
    <w:rsid w:val="00F17997"/>
    <w:rsid w:val="00F20199"/>
    <w:rsid w:val="00F20209"/>
    <w:rsid w:val="00F20232"/>
    <w:rsid w:val="00F206CB"/>
    <w:rsid w:val="00F20905"/>
    <w:rsid w:val="00F20953"/>
    <w:rsid w:val="00F209E2"/>
    <w:rsid w:val="00F20FF1"/>
    <w:rsid w:val="00F21116"/>
    <w:rsid w:val="00F21481"/>
    <w:rsid w:val="00F214EE"/>
    <w:rsid w:val="00F217FD"/>
    <w:rsid w:val="00F21925"/>
    <w:rsid w:val="00F22298"/>
    <w:rsid w:val="00F224A3"/>
    <w:rsid w:val="00F22E59"/>
    <w:rsid w:val="00F234FD"/>
    <w:rsid w:val="00F2351E"/>
    <w:rsid w:val="00F23681"/>
    <w:rsid w:val="00F23793"/>
    <w:rsid w:val="00F23C6D"/>
    <w:rsid w:val="00F249EB"/>
    <w:rsid w:val="00F25001"/>
    <w:rsid w:val="00F25104"/>
    <w:rsid w:val="00F2515F"/>
    <w:rsid w:val="00F256FB"/>
    <w:rsid w:val="00F2591B"/>
    <w:rsid w:val="00F25BA4"/>
    <w:rsid w:val="00F25BCD"/>
    <w:rsid w:val="00F261B8"/>
    <w:rsid w:val="00F2631E"/>
    <w:rsid w:val="00F26CE9"/>
    <w:rsid w:val="00F26DF9"/>
    <w:rsid w:val="00F26EF9"/>
    <w:rsid w:val="00F27107"/>
    <w:rsid w:val="00F2730E"/>
    <w:rsid w:val="00F2733D"/>
    <w:rsid w:val="00F273E2"/>
    <w:rsid w:val="00F27716"/>
    <w:rsid w:val="00F27AA6"/>
    <w:rsid w:val="00F27C6A"/>
    <w:rsid w:val="00F30141"/>
    <w:rsid w:val="00F302F3"/>
    <w:rsid w:val="00F3044B"/>
    <w:rsid w:val="00F308C9"/>
    <w:rsid w:val="00F311A8"/>
    <w:rsid w:val="00F31459"/>
    <w:rsid w:val="00F31785"/>
    <w:rsid w:val="00F317A6"/>
    <w:rsid w:val="00F31834"/>
    <w:rsid w:val="00F31DB1"/>
    <w:rsid w:val="00F321F0"/>
    <w:rsid w:val="00F3234A"/>
    <w:rsid w:val="00F3239A"/>
    <w:rsid w:val="00F3249B"/>
    <w:rsid w:val="00F3276F"/>
    <w:rsid w:val="00F32A25"/>
    <w:rsid w:val="00F32CB4"/>
    <w:rsid w:val="00F331E4"/>
    <w:rsid w:val="00F33518"/>
    <w:rsid w:val="00F335DC"/>
    <w:rsid w:val="00F33731"/>
    <w:rsid w:val="00F33955"/>
    <w:rsid w:val="00F33B32"/>
    <w:rsid w:val="00F33F21"/>
    <w:rsid w:val="00F34245"/>
    <w:rsid w:val="00F34540"/>
    <w:rsid w:val="00F3482D"/>
    <w:rsid w:val="00F3498E"/>
    <w:rsid w:val="00F349BA"/>
    <w:rsid w:val="00F34B5D"/>
    <w:rsid w:val="00F34BB8"/>
    <w:rsid w:val="00F34C75"/>
    <w:rsid w:val="00F356F4"/>
    <w:rsid w:val="00F357A8"/>
    <w:rsid w:val="00F35AA6"/>
    <w:rsid w:val="00F35C19"/>
    <w:rsid w:val="00F35C1F"/>
    <w:rsid w:val="00F35C4F"/>
    <w:rsid w:val="00F3613F"/>
    <w:rsid w:val="00F364AF"/>
    <w:rsid w:val="00F364FE"/>
    <w:rsid w:val="00F36600"/>
    <w:rsid w:val="00F368DB"/>
    <w:rsid w:val="00F36D59"/>
    <w:rsid w:val="00F36DEC"/>
    <w:rsid w:val="00F3708C"/>
    <w:rsid w:val="00F37309"/>
    <w:rsid w:val="00F3746F"/>
    <w:rsid w:val="00F37481"/>
    <w:rsid w:val="00F3754B"/>
    <w:rsid w:val="00F37771"/>
    <w:rsid w:val="00F37C11"/>
    <w:rsid w:val="00F37F4E"/>
    <w:rsid w:val="00F4031C"/>
    <w:rsid w:val="00F40902"/>
    <w:rsid w:val="00F40F0E"/>
    <w:rsid w:val="00F410D0"/>
    <w:rsid w:val="00F411A5"/>
    <w:rsid w:val="00F41429"/>
    <w:rsid w:val="00F41791"/>
    <w:rsid w:val="00F418D8"/>
    <w:rsid w:val="00F41A99"/>
    <w:rsid w:val="00F41AA2"/>
    <w:rsid w:val="00F41AAD"/>
    <w:rsid w:val="00F41CF3"/>
    <w:rsid w:val="00F41EC4"/>
    <w:rsid w:val="00F41F8E"/>
    <w:rsid w:val="00F41FE5"/>
    <w:rsid w:val="00F4215E"/>
    <w:rsid w:val="00F42194"/>
    <w:rsid w:val="00F423FD"/>
    <w:rsid w:val="00F4287A"/>
    <w:rsid w:val="00F42CD0"/>
    <w:rsid w:val="00F4368F"/>
    <w:rsid w:val="00F43732"/>
    <w:rsid w:val="00F43758"/>
    <w:rsid w:val="00F43960"/>
    <w:rsid w:val="00F43A17"/>
    <w:rsid w:val="00F43C50"/>
    <w:rsid w:val="00F43DE1"/>
    <w:rsid w:val="00F43F4A"/>
    <w:rsid w:val="00F44399"/>
    <w:rsid w:val="00F44518"/>
    <w:rsid w:val="00F44F05"/>
    <w:rsid w:val="00F45487"/>
    <w:rsid w:val="00F45EC3"/>
    <w:rsid w:val="00F460F1"/>
    <w:rsid w:val="00F466D8"/>
    <w:rsid w:val="00F466FD"/>
    <w:rsid w:val="00F467E7"/>
    <w:rsid w:val="00F46CD4"/>
    <w:rsid w:val="00F46FF9"/>
    <w:rsid w:val="00F47177"/>
    <w:rsid w:val="00F47292"/>
    <w:rsid w:val="00F47361"/>
    <w:rsid w:val="00F47530"/>
    <w:rsid w:val="00F47C22"/>
    <w:rsid w:val="00F50146"/>
    <w:rsid w:val="00F501D7"/>
    <w:rsid w:val="00F50762"/>
    <w:rsid w:val="00F50783"/>
    <w:rsid w:val="00F5086C"/>
    <w:rsid w:val="00F50F75"/>
    <w:rsid w:val="00F5124D"/>
    <w:rsid w:val="00F51433"/>
    <w:rsid w:val="00F515CD"/>
    <w:rsid w:val="00F517A8"/>
    <w:rsid w:val="00F518EA"/>
    <w:rsid w:val="00F51911"/>
    <w:rsid w:val="00F51E1B"/>
    <w:rsid w:val="00F52221"/>
    <w:rsid w:val="00F524E0"/>
    <w:rsid w:val="00F527AD"/>
    <w:rsid w:val="00F52AD0"/>
    <w:rsid w:val="00F52F78"/>
    <w:rsid w:val="00F53290"/>
    <w:rsid w:val="00F533CE"/>
    <w:rsid w:val="00F535C4"/>
    <w:rsid w:val="00F53928"/>
    <w:rsid w:val="00F539CC"/>
    <w:rsid w:val="00F53BCB"/>
    <w:rsid w:val="00F53F11"/>
    <w:rsid w:val="00F5444E"/>
    <w:rsid w:val="00F54682"/>
    <w:rsid w:val="00F54D8F"/>
    <w:rsid w:val="00F54F19"/>
    <w:rsid w:val="00F55226"/>
    <w:rsid w:val="00F5575E"/>
    <w:rsid w:val="00F55A98"/>
    <w:rsid w:val="00F55E40"/>
    <w:rsid w:val="00F5647B"/>
    <w:rsid w:val="00F566D9"/>
    <w:rsid w:val="00F567CF"/>
    <w:rsid w:val="00F56A0A"/>
    <w:rsid w:val="00F56D63"/>
    <w:rsid w:val="00F56F04"/>
    <w:rsid w:val="00F576A4"/>
    <w:rsid w:val="00F60485"/>
    <w:rsid w:val="00F60771"/>
    <w:rsid w:val="00F60773"/>
    <w:rsid w:val="00F60812"/>
    <w:rsid w:val="00F60B65"/>
    <w:rsid w:val="00F60C9C"/>
    <w:rsid w:val="00F61244"/>
    <w:rsid w:val="00F6131D"/>
    <w:rsid w:val="00F61913"/>
    <w:rsid w:val="00F61F02"/>
    <w:rsid w:val="00F62D33"/>
    <w:rsid w:val="00F62E1A"/>
    <w:rsid w:val="00F62F80"/>
    <w:rsid w:val="00F632C4"/>
    <w:rsid w:val="00F63A87"/>
    <w:rsid w:val="00F64280"/>
    <w:rsid w:val="00F6461E"/>
    <w:rsid w:val="00F64AEC"/>
    <w:rsid w:val="00F64ECC"/>
    <w:rsid w:val="00F65327"/>
    <w:rsid w:val="00F6561E"/>
    <w:rsid w:val="00F6598C"/>
    <w:rsid w:val="00F65BB8"/>
    <w:rsid w:val="00F65E77"/>
    <w:rsid w:val="00F662A5"/>
    <w:rsid w:val="00F6663E"/>
    <w:rsid w:val="00F666D5"/>
    <w:rsid w:val="00F66775"/>
    <w:rsid w:val="00F667A4"/>
    <w:rsid w:val="00F667D5"/>
    <w:rsid w:val="00F66C18"/>
    <w:rsid w:val="00F66D4F"/>
    <w:rsid w:val="00F67308"/>
    <w:rsid w:val="00F674FD"/>
    <w:rsid w:val="00F677CD"/>
    <w:rsid w:val="00F67C20"/>
    <w:rsid w:val="00F70719"/>
    <w:rsid w:val="00F7072F"/>
    <w:rsid w:val="00F70F91"/>
    <w:rsid w:val="00F71508"/>
    <w:rsid w:val="00F71509"/>
    <w:rsid w:val="00F71623"/>
    <w:rsid w:val="00F7176C"/>
    <w:rsid w:val="00F717EB"/>
    <w:rsid w:val="00F71986"/>
    <w:rsid w:val="00F720CC"/>
    <w:rsid w:val="00F724E8"/>
    <w:rsid w:val="00F72538"/>
    <w:rsid w:val="00F725C3"/>
    <w:rsid w:val="00F72679"/>
    <w:rsid w:val="00F7270F"/>
    <w:rsid w:val="00F72805"/>
    <w:rsid w:val="00F72A48"/>
    <w:rsid w:val="00F72C85"/>
    <w:rsid w:val="00F72E7D"/>
    <w:rsid w:val="00F72F8D"/>
    <w:rsid w:val="00F730ED"/>
    <w:rsid w:val="00F736F1"/>
    <w:rsid w:val="00F73845"/>
    <w:rsid w:val="00F7399C"/>
    <w:rsid w:val="00F73AFF"/>
    <w:rsid w:val="00F73D20"/>
    <w:rsid w:val="00F73E85"/>
    <w:rsid w:val="00F73EC7"/>
    <w:rsid w:val="00F73F05"/>
    <w:rsid w:val="00F743C2"/>
    <w:rsid w:val="00F74678"/>
    <w:rsid w:val="00F74746"/>
    <w:rsid w:val="00F7491C"/>
    <w:rsid w:val="00F74993"/>
    <w:rsid w:val="00F74BD3"/>
    <w:rsid w:val="00F75060"/>
    <w:rsid w:val="00F755F7"/>
    <w:rsid w:val="00F756FF"/>
    <w:rsid w:val="00F75793"/>
    <w:rsid w:val="00F758FD"/>
    <w:rsid w:val="00F75A40"/>
    <w:rsid w:val="00F75CBF"/>
    <w:rsid w:val="00F76098"/>
    <w:rsid w:val="00F76403"/>
    <w:rsid w:val="00F76417"/>
    <w:rsid w:val="00F765BB"/>
    <w:rsid w:val="00F766B8"/>
    <w:rsid w:val="00F766F9"/>
    <w:rsid w:val="00F76C16"/>
    <w:rsid w:val="00F76EDA"/>
    <w:rsid w:val="00F77422"/>
    <w:rsid w:val="00F77C79"/>
    <w:rsid w:val="00F77CCB"/>
    <w:rsid w:val="00F8004D"/>
    <w:rsid w:val="00F802FF"/>
    <w:rsid w:val="00F8051A"/>
    <w:rsid w:val="00F80526"/>
    <w:rsid w:val="00F805A4"/>
    <w:rsid w:val="00F80764"/>
    <w:rsid w:val="00F807AD"/>
    <w:rsid w:val="00F80C59"/>
    <w:rsid w:val="00F80C64"/>
    <w:rsid w:val="00F81468"/>
    <w:rsid w:val="00F81767"/>
    <w:rsid w:val="00F819BB"/>
    <w:rsid w:val="00F81B60"/>
    <w:rsid w:val="00F82170"/>
    <w:rsid w:val="00F826D1"/>
    <w:rsid w:val="00F82906"/>
    <w:rsid w:val="00F82B4B"/>
    <w:rsid w:val="00F82E82"/>
    <w:rsid w:val="00F830E3"/>
    <w:rsid w:val="00F831C4"/>
    <w:rsid w:val="00F832FE"/>
    <w:rsid w:val="00F83728"/>
    <w:rsid w:val="00F838E5"/>
    <w:rsid w:val="00F83B5D"/>
    <w:rsid w:val="00F841B5"/>
    <w:rsid w:val="00F84290"/>
    <w:rsid w:val="00F8429D"/>
    <w:rsid w:val="00F844D1"/>
    <w:rsid w:val="00F84CCF"/>
    <w:rsid w:val="00F84DBD"/>
    <w:rsid w:val="00F84F38"/>
    <w:rsid w:val="00F84F62"/>
    <w:rsid w:val="00F84FFB"/>
    <w:rsid w:val="00F85046"/>
    <w:rsid w:val="00F8538B"/>
    <w:rsid w:val="00F85A87"/>
    <w:rsid w:val="00F85A92"/>
    <w:rsid w:val="00F85AAC"/>
    <w:rsid w:val="00F85E18"/>
    <w:rsid w:val="00F86295"/>
    <w:rsid w:val="00F865D6"/>
    <w:rsid w:val="00F8677B"/>
    <w:rsid w:val="00F867B3"/>
    <w:rsid w:val="00F8694F"/>
    <w:rsid w:val="00F86B73"/>
    <w:rsid w:val="00F86C1F"/>
    <w:rsid w:val="00F87C79"/>
    <w:rsid w:val="00F87CC2"/>
    <w:rsid w:val="00F901C7"/>
    <w:rsid w:val="00F903B3"/>
    <w:rsid w:val="00F90DD7"/>
    <w:rsid w:val="00F910FD"/>
    <w:rsid w:val="00F911C5"/>
    <w:rsid w:val="00F9154F"/>
    <w:rsid w:val="00F91930"/>
    <w:rsid w:val="00F92545"/>
    <w:rsid w:val="00F92DA1"/>
    <w:rsid w:val="00F92DB2"/>
    <w:rsid w:val="00F933DF"/>
    <w:rsid w:val="00F937C9"/>
    <w:rsid w:val="00F93915"/>
    <w:rsid w:val="00F93E95"/>
    <w:rsid w:val="00F94044"/>
    <w:rsid w:val="00F94370"/>
    <w:rsid w:val="00F945AD"/>
    <w:rsid w:val="00F94D81"/>
    <w:rsid w:val="00F94F2C"/>
    <w:rsid w:val="00F950D1"/>
    <w:rsid w:val="00F953C9"/>
    <w:rsid w:val="00F957F3"/>
    <w:rsid w:val="00F9592B"/>
    <w:rsid w:val="00F95A85"/>
    <w:rsid w:val="00F95CE8"/>
    <w:rsid w:val="00F95E29"/>
    <w:rsid w:val="00F9615F"/>
    <w:rsid w:val="00F962B0"/>
    <w:rsid w:val="00F969A9"/>
    <w:rsid w:val="00F96B62"/>
    <w:rsid w:val="00F96BD9"/>
    <w:rsid w:val="00F96D32"/>
    <w:rsid w:val="00F970BE"/>
    <w:rsid w:val="00F979BF"/>
    <w:rsid w:val="00F97A48"/>
    <w:rsid w:val="00F97A66"/>
    <w:rsid w:val="00F97B48"/>
    <w:rsid w:val="00F97CB5"/>
    <w:rsid w:val="00FA001F"/>
    <w:rsid w:val="00FA0113"/>
    <w:rsid w:val="00FA013F"/>
    <w:rsid w:val="00FA0265"/>
    <w:rsid w:val="00FA0522"/>
    <w:rsid w:val="00FA099F"/>
    <w:rsid w:val="00FA0C53"/>
    <w:rsid w:val="00FA0C75"/>
    <w:rsid w:val="00FA0D4E"/>
    <w:rsid w:val="00FA0FE1"/>
    <w:rsid w:val="00FA115B"/>
    <w:rsid w:val="00FA14BA"/>
    <w:rsid w:val="00FA1532"/>
    <w:rsid w:val="00FA163D"/>
    <w:rsid w:val="00FA17CB"/>
    <w:rsid w:val="00FA17F9"/>
    <w:rsid w:val="00FA1902"/>
    <w:rsid w:val="00FA1B85"/>
    <w:rsid w:val="00FA1EFA"/>
    <w:rsid w:val="00FA252D"/>
    <w:rsid w:val="00FA2635"/>
    <w:rsid w:val="00FA278C"/>
    <w:rsid w:val="00FA27EC"/>
    <w:rsid w:val="00FA2CA1"/>
    <w:rsid w:val="00FA2CC9"/>
    <w:rsid w:val="00FA347F"/>
    <w:rsid w:val="00FA3789"/>
    <w:rsid w:val="00FA37B9"/>
    <w:rsid w:val="00FA3947"/>
    <w:rsid w:val="00FA3BDD"/>
    <w:rsid w:val="00FA3CD2"/>
    <w:rsid w:val="00FA48B0"/>
    <w:rsid w:val="00FA4AD4"/>
    <w:rsid w:val="00FA4DB5"/>
    <w:rsid w:val="00FA5231"/>
    <w:rsid w:val="00FA5999"/>
    <w:rsid w:val="00FA5A93"/>
    <w:rsid w:val="00FA5DE4"/>
    <w:rsid w:val="00FA63A6"/>
    <w:rsid w:val="00FA649C"/>
    <w:rsid w:val="00FA67A1"/>
    <w:rsid w:val="00FA692F"/>
    <w:rsid w:val="00FA693E"/>
    <w:rsid w:val="00FA6A2A"/>
    <w:rsid w:val="00FA6CA8"/>
    <w:rsid w:val="00FA6E9A"/>
    <w:rsid w:val="00FA6EDE"/>
    <w:rsid w:val="00FA7038"/>
    <w:rsid w:val="00FA7094"/>
    <w:rsid w:val="00FA70A9"/>
    <w:rsid w:val="00FA7548"/>
    <w:rsid w:val="00FA7647"/>
    <w:rsid w:val="00FA76CE"/>
    <w:rsid w:val="00FA7A98"/>
    <w:rsid w:val="00FA7C17"/>
    <w:rsid w:val="00FB010B"/>
    <w:rsid w:val="00FB0879"/>
    <w:rsid w:val="00FB0971"/>
    <w:rsid w:val="00FB0C5C"/>
    <w:rsid w:val="00FB0E8C"/>
    <w:rsid w:val="00FB0F05"/>
    <w:rsid w:val="00FB10CA"/>
    <w:rsid w:val="00FB1160"/>
    <w:rsid w:val="00FB1684"/>
    <w:rsid w:val="00FB1989"/>
    <w:rsid w:val="00FB19A8"/>
    <w:rsid w:val="00FB1B45"/>
    <w:rsid w:val="00FB1CB3"/>
    <w:rsid w:val="00FB2341"/>
    <w:rsid w:val="00FB23D9"/>
    <w:rsid w:val="00FB255D"/>
    <w:rsid w:val="00FB2602"/>
    <w:rsid w:val="00FB2772"/>
    <w:rsid w:val="00FB2A88"/>
    <w:rsid w:val="00FB2D78"/>
    <w:rsid w:val="00FB2F56"/>
    <w:rsid w:val="00FB314B"/>
    <w:rsid w:val="00FB32CE"/>
    <w:rsid w:val="00FB3339"/>
    <w:rsid w:val="00FB36D0"/>
    <w:rsid w:val="00FB3D65"/>
    <w:rsid w:val="00FB3E56"/>
    <w:rsid w:val="00FB3FA7"/>
    <w:rsid w:val="00FB40B4"/>
    <w:rsid w:val="00FB421E"/>
    <w:rsid w:val="00FB429C"/>
    <w:rsid w:val="00FB4437"/>
    <w:rsid w:val="00FB4546"/>
    <w:rsid w:val="00FB473F"/>
    <w:rsid w:val="00FB4750"/>
    <w:rsid w:val="00FB47FD"/>
    <w:rsid w:val="00FB4918"/>
    <w:rsid w:val="00FB4A57"/>
    <w:rsid w:val="00FB4CC9"/>
    <w:rsid w:val="00FB4D01"/>
    <w:rsid w:val="00FB4EE1"/>
    <w:rsid w:val="00FB50EB"/>
    <w:rsid w:val="00FB5952"/>
    <w:rsid w:val="00FB5A43"/>
    <w:rsid w:val="00FB5DBC"/>
    <w:rsid w:val="00FB6297"/>
    <w:rsid w:val="00FB62E0"/>
    <w:rsid w:val="00FB655E"/>
    <w:rsid w:val="00FB6783"/>
    <w:rsid w:val="00FB685B"/>
    <w:rsid w:val="00FB6C45"/>
    <w:rsid w:val="00FB6F44"/>
    <w:rsid w:val="00FB7AE2"/>
    <w:rsid w:val="00FB7DD0"/>
    <w:rsid w:val="00FB7E89"/>
    <w:rsid w:val="00FC0480"/>
    <w:rsid w:val="00FC08A3"/>
    <w:rsid w:val="00FC08AA"/>
    <w:rsid w:val="00FC1242"/>
    <w:rsid w:val="00FC12CF"/>
    <w:rsid w:val="00FC148B"/>
    <w:rsid w:val="00FC1795"/>
    <w:rsid w:val="00FC17BD"/>
    <w:rsid w:val="00FC17F8"/>
    <w:rsid w:val="00FC1A94"/>
    <w:rsid w:val="00FC1BA0"/>
    <w:rsid w:val="00FC1DBA"/>
    <w:rsid w:val="00FC1DCE"/>
    <w:rsid w:val="00FC1E06"/>
    <w:rsid w:val="00FC20D1"/>
    <w:rsid w:val="00FC2258"/>
    <w:rsid w:val="00FC2427"/>
    <w:rsid w:val="00FC242A"/>
    <w:rsid w:val="00FC2584"/>
    <w:rsid w:val="00FC25F9"/>
    <w:rsid w:val="00FC2730"/>
    <w:rsid w:val="00FC29E1"/>
    <w:rsid w:val="00FC2A8B"/>
    <w:rsid w:val="00FC2BBD"/>
    <w:rsid w:val="00FC3209"/>
    <w:rsid w:val="00FC328E"/>
    <w:rsid w:val="00FC3866"/>
    <w:rsid w:val="00FC3C7E"/>
    <w:rsid w:val="00FC3CBE"/>
    <w:rsid w:val="00FC405B"/>
    <w:rsid w:val="00FC45EF"/>
    <w:rsid w:val="00FC47CC"/>
    <w:rsid w:val="00FC48FE"/>
    <w:rsid w:val="00FC4916"/>
    <w:rsid w:val="00FC4B4B"/>
    <w:rsid w:val="00FC525E"/>
    <w:rsid w:val="00FC5369"/>
    <w:rsid w:val="00FC5766"/>
    <w:rsid w:val="00FC5A26"/>
    <w:rsid w:val="00FC5BC6"/>
    <w:rsid w:val="00FC5EC5"/>
    <w:rsid w:val="00FC6042"/>
    <w:rsid w:val="00FC6287"/>
    <w:rsid w:val="00FC6365"/>
    <w:rsid w:val="00FC6FE1"/>
    <w:rsid w:val="00FC7094"/>
    <w:rsid w:val="00FC7289"/>
    <w:rsid w:val="00FC73A2"/>
    <w:rsid w:val="00FC757A"/>
    <w:rsid w:val="00FC75F7"/>
    <w:rsid w:val="00FC78A4"/>
    <w:rsid w:val="00FC7F0F"/>
    <w:rsid w:val="00FD0001"/>
    <w:rsid w:val="00FD0083"/>
    <w:rsid w:val="00FD014C"/>
    <w:rsid w:val="00FD04FD"/>
    <w:rsid w:val="00FD09AC"/>
    <w:rsid w:val="00FD0E32"/>
    <w:rsid w:val="00FD154E"/>
    <w:rsid w:val="00FD1740"/>
    <w:rsid w:val="00FD17E4"/>
    <w:rsid w:val="00FD1874"/>
    <w:rsid w:val="00FD1E61"/>
    <w:rsid w:val="00FD1EEE"/>
    <w:rsid w:val="00FD2141"/>
    <w:rsid w:val="00FD23CA"/>
    <w:rsid w:val="00FD263C"/>
    <w:rsid w:val="00FD28CF"/>
    <w:rsid w:val="00FD291A"/>
    <w:rsid w:val="00FD296A"/>
    <w:rsid w:val="00FD2AFD"/>
    <w:rsid w:val="00FD2B6F"/>
    <w:rsid w:val="00FD2EE9"/>
    <w:rsid w:val="00FD2FB8"/>
    <w:rsid w:val="00FD35DE"/>
    <w:rsid w:val="00FD3702"/>
    <w:rsid w:val="00FD371A"/>
    <w:rsid w:val="00FD3C49"/>
    <w:rsid w:val="00FD3FF3"/>
    <w:rsid w:val="00FD4052"/>
    <w:rsid w:val="00FD42A4"/>
    <w:rsid w:val="00FD439D"/>
    <w:rsid w:val="00FD449B"/>
    <w:rsid w:val="00FD479F"/>
    <w:rsid w:val="00FD4AB3"/>
    <w:rsid w:val="00FD4E45"/>
    <w:rsid w:val="00FD505D"/>
    <w:rsid w:val="00FD56AD"/>
    <w:rsid w:val="00FD5B7E"/>
    <w:rsid w:val="00FD5BF9"/>
    <w:rsid w:val="00FD600E"/>
    <w:rsid w:val="00FD648B"/>
    <w:rsid w:val="00FD6591"/>
    <w:rsid w:val="00FD681A"/>
    <w:rsid w:val="00FD6D9C"/>
    <w:rsid w:val="00FD7549"/>
    <w:rsid w:val="00FD754F"/>
    <w:rsid w:val="00FD75FB"/>
    <w:rsid w:val="00FD76B1"/>
    <w:rsid w:val="00FD7884"/>
    <w:rsid w:val="00FD7A29"/>
    <w:rsid w:val="00FD7A5A"/>
    <w:rsid w:val="00FD7ADD"/>
    <w:rsid w:val="00FE04B8"/>
    <w:rsid w:val="00FE0513"/>
    <w:rsid w:val="00FE05D6"/>
    <w:rsid w:val="00FE069A"/>
    <w:rsid w:val="00FE06E0"/>
    <w:rsid w:val="00FE086D"/>
    <w:rsid w:val="00FE0A1D"/>
    <w:rsid w:val="00FE0AE2"/>
    <w:rsid w:val="00FE0B9E"/>
    <w:rsid w:val="00FE120E"/>
    <w:rsid w:val="00FE1414"/>
    <w:rsid w:val="00FE166E"/>
    <w:rsid w:val="00FE21B3"/>
    <w:rsid w:val="00FE2333"/>
    <w:rsid w:val="00FE24AC"/>
    <w:rsid w:val="00FE2789"/>
    <w:rsid w:val="00FE27F4"/>
    <w:rsid w:val="00FE29DB"/>
    <w:rsid w:val="00FE2A6B"/>
    <w:rsid w:val="00FE2E9F"/>
    <w:rsid w:val="00FE30F6"/>
    <w:rsid w:val="00FE3186"/>
    <w:rsid w:val="00FE3877"/>
    <w:rsid w:val="00FE3ABA"/>
    <w:rsid w:val="00FE3AF1"/>
    <w:rsid w:val="00FE3FF7"/>
    <w:rsid w:val="00FE4297"/>
    <w:rsid w:val="00FE44C9"/>
    <w:rsid w:val="00FE4A51"/>
    <w:rsid w:val="00FE4A60"/>
    <w:rsid w:val="00FE4C3C"/>
    <w:rsid w:val="00FE4CD8"/>
    <w:rsid w:val="00FE4D9B"/>
    <w:rsid w:val="00FE4DE3"/>
    <w:rsid w:val="00FE4E8D"/>
    <w:rsid w:val="00FE5540"/>
    <w:rsid w:val="00FE560B"/>
    <w:rsid w:val="00FE5743"/>
    <w:rsid w:val="00FE5B80"/>
    <w:rsid w:val="00FE5F3B"/>
    <w:rsid w:val="00FE6021"/>
    <w:rsid w:val="00FE60FD"/>
    <w:rsid w:val="00FE6115"/>
    <w:rsid w:val="00FE6300"/>
    <w:rsid w:val="00FE634B"/>
    <w:rsid w:val="00FE63FD"/>
    <w:rsid w:val="00FE6D6E"/>
    <w:rsid w:val="00FE6E67"/>
    <w:rsid w:val="00FE6EB2"/>
    <w:rsid w:val="00FE7FD9"/>
    <w:rsid w:val="00FF0061"/>
    <w:rsid w:val="00FF0A05"/>
    <w:rsid w:val="00FF0CFB"/>
    <w:rsid w:val="00FF0DA2"/>
    <w:rsid w:val="00FF0EE0"/>
    <w:rsid w:val="00FF1095"/>
    <w:rsid w:val="00FF1163"/>
    <w:rsid w:val="00FF13DC"/>
    <w:rsid w:val="00FF16BE"/>
    <w:rsid w:val="00FF1A1A"/>
    <w:rsid w:val="00FF1B48"/>
    <w:rsid w:val="00FF1CC5"/>
    <w:rsid w:val="00FF1EDE"/>
    <w:rsid w:val="00FF208B"/>
    <w:rsid w:val="00FF2163"/>
    <w:rsid w:val="00FF2237"/>
    <w:rsid w:val="00FF241E"/>
    <w:rsid w:val="00FF2ADE"/>
    <w:rsid w:val="00FF2BD7"/>
    <w:rsid w:val="00FF2D1C"/>
    <w:rsid w:val="00FF2D24"/>
    <w:rsid w:val="00FF2D9D"/>
    <w:rsid w:val="00FF2FCA"/>
    <w:rsid w:val="00FF3528"/>
    <w:rsid w:val="00FF3564"/>
    <w:rsid w:val="00FF360A"/>
    <w:rsid w:val="00FF3804"/>
    <w:rsid w:val="00FF3B0B"/>
    <w:rsid w:val="00FF3B8E"/>
    <w:rsid w:val="00FF4083"/>
    <w:rsid w:val="00FF4194"/>
    <w:rsid w:val="00FF4B37"/>
    <w:rsid w:val="00FF4F6A"/>
    <w:rsid w:val="00FF5327"/>
    <w:rsid w:val="00FF54AF"/>
    <w:rsid w:val="00FF56E1"/>
    <w:rsid w:val="00FF5AFE"/>
    <w:rsid w:val="00FF61C6"/>
    <w:rsid w:val="00FF64E7"/>
    <w:rsid w:val="00FF65A5"/>
    <w:rsid w:val="00FF65BA"/>
    <w:rsid w:val="00FF6B87"/>
    <w:rsid w:val="00FF6BBB"/>
    <w:rsid w:val="00FF6E19"/>
    <w:rsid w:val="00FF701E"/>
    <w:rsid w:val="00FF744F"/>
    <w:rsid w:val="00FF7535"/>
    <w:rsid w:val="00FF7713"/>
    <w:rsid w:val="00FF782A"/>
    <w:rsid w:val="00FF7B0E"/>
    <w:rsid w:val="00FF7D47"/>
    <w:rsid w:val="00FF7EB5"/>
    <w:rsid w:val="00FF7F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center;mso-width-percent:400;mso-height-percent:200;mso-width-relative:margin;mso-height-relative:margin" fillcolor="white">
      <v:fill color="white"/>
      <v:textbox style="mso-fit-shape-to-text:t"/>
    </o:shapedefaults>
    <o:shapelayout v:ext="edit">
      <o:idmap v:ext="edit" data="2"/>
    </o:shapelayout>
  </w:shapeDefaults>
  <w:decimalSymbol w:val=","/>
  <w:listSeparator w:val=";"/>
  <w14:docId w14:val="78CA0BBC"/>
  <w15:docId w15:val="{A1374678-BEC0-455C-B887-FF70DA025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4"/>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90451"/>
    <w:rPr>
      <w:sz w:val="24"/>
      <w:szCs w:val="24"/>
    </w:rPr>
  </w:style>
  <w:style w:type="paragraph" w:styleId="Titolo1">
    <w:name w:val="heading 1"/>
    <w:basedOn w:val="Normale"/>
    <w:next w:val="Normale"/>
    <w:link w:val="Titolo1Carattere"/>
    <w:uiPriority w:val="99"/>
    <w:qFormat/>
    <w:rsid w:val="00BC3FFD"/>
    <w:pPr>
      <w:keepNext/>
      <w:spacing w:after="120"/>
      <w:jc w:val="both"/>
      <w:outlineLvl w:val="0"/>
    </w:pPr>
    <w:rPr>
      <w:rFonts w:ascii="Cambria" w:hAnsi="Cambria"/>
      <w:b/>
      <w:kern w:val="32"/>
      <w:sz w:val="32"/>
    </w:rPr>
  </w:style>
  <w:style w:type="paragraph" w:styleId="Titolo2">
    <w:name w:val="heading 2"/>
    <w:basedOn w:val="Normale"/>
    <w:next w:val="Normale"/>
    <w:link w:val="Titolo2Carattere"/>
    <w:semiHidden/>
    <w:unhideWhenUsed/>
    <w:qFormat/>
    <w:locked/>
    <w:rsid w:val="00BF702B"/>
    <w:pPr>
      <w:keepNext/>
      <w:spacing w:before="240" w:after="60"/>
      <w:outlineLvl w:val="1"/>
    </w:pPr>
    <w:rPr>
      <w:rFonts w:ascii="Cambria" w:hAnsi="Cambria"/>
      <w:b/>
      <w:bCs/>
      <w:i/>
      <w:iCs/>
      <w:sz w:val="28"/>
      <w:szCs w:val="28"/>
    </w:rPr>
  </w:style>
  <w:style w:type="paragraph" w:styleId="Titolo4">
    <w:name w:val="heading 4"/>
    <w:basedOn w:val="Normale"/>
    <w:next w:val="Normale"/>
    <w:link w:val="Titolo4Carattere"/>
    <w:qFormat/>
    <w:locked/>
    <w:rsid w:val="00CD17F5"/>
    <w:pPr>
      <w:keepNext/>
      <w:keepLines/>
      <w:spacing w:before="200"/>
      <w:outlineLvl w:val="3"/>
    </w:pPr>
    <w:rPr>
      <w:rFonts w:ascii="Cambria" w:hAnsi="Cambria"/>
      <w:b/>
      <w:bCs/>
      <w:i/>
      <w:iCs/>
      <w:color w:val="4F81BD"/>
    </w:rPr>
  </w:style>
  <w:style w:type="paragraph" w:styleId="Titolo8">
    <w:name w:val="heading 8"/>
    <w:basedOn w:val="Normale"/>
    <w:next w:val="Normale"/>
    <w:link w:val="Titolo8Carattere"/>
    <w:semiHidden/>
    <w:unhideWhenUsed/>
    <w:qFormat/>
    <w:locked/>
    <w:rsid w:val="003A6105"/>
    <w:pPr>
      <w:spacing w:before="240" w:after="60"/>
      <w:outlineLvl w:val="7"/>
    </w:pPr>
    <w:rPr>
      <w:rFonts w:ascii="Calibri" w:hAnsi="Calibri"/>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226782"/>
    <w:rPr>
      <w:rFonts w:ascii="Cambria" w:hAnsi="Cambria" w:cs="Times New Roman"/>
      <w:b/>
      <w:kern w:val="32"/>
      <w:sz w:val="32"/>
    </w:rPr>
  </w:style>
  <w:style w:type="paragraph" w:styleId="Corpotesto">
    <w:name w:val="Body Text"/>
    <w:basedOn w:val="Normale"/>
    <w:link w:val="CorpotestoCarattere"/>
    <w:uiPriority w:val="99"/>
    <w:rsid w:val="00BC3FFD"/>
    <w:pPr>
      <w:spacing w:line="360" w:lineRule="auto"/>
    </w:pPr>
  </w:style>
  <w:style w:type="character" w:customStyle="1" w:styleId="CorpotestoCarattere">
    <w:name w:val="Corpo testo Carattere"/>
    <w:link w:val="Corpotesto"/>
    <w:uiPriority w:val="99"/>
    <w:locked/>
    <w:rsid w:val="00226782"/>
    <w:rPr>
      <w:rFonts w:cs="Times New Roman"/>
      <w:kern w:val="28"/>
      <w:sz w:val="20"/>
    </w:rPr>
  </w:style>
  <w:style w:type="paragraph" w:styleId="Pidipagina">
    <w:name w:val="footer"/>
    <w:basedOn w:val="Normale"/>
    <w:link w:val="PidipaginaCarattere"/>
    <w:rsid w:val="00BC3FFD"/>
    <w:pPr>
      <w:tabs>
        <w:tab w:val="center" w:pos="4818"/>
        <w:tab w:val="right" w:pos="9637"/>
      </w:tabs>
      <w:jc w:val="both"/>
    </w:pPr>
  </w:style>
  <w:style w:type="character" w:customStyle="1" w:styleId="PidipaginaCarattere">
    <w:name w:val="Piè di pagina Carattere"/>
    <w:link w:val="Pidipagina"/>
    <w:uiPriority w:val="99"/>
    <w:locked/>
    <w:rsid w:val="00226782"/>
    <w:rPr>
      <w:rFonts w:cs="Times New Roman"/>
      <w:kern w:val="28"/>
      <w:sz w:val="20"/>
    </w:rPr>
  </w:style>
  <w:style w:type="character" w:styleId="Collegamentoipertestuale">
    <w:name w:val="Hyperlink"/>
    <w:uiPriority w:val="99"/>
    <w:rsid w:val="001F7282"/>
    <w:rPr>
      <w:rFonts w:cs="Times New Roman"/>
      <w:color w:val="0000FF"/>
      <w:u w:val="single"/>
    </w:rPr>
  </w:style>
  <w:style w:type="paragraph" w:styleId="Intestazione">
    <w:name w:val="header"/>
    <w:basedOn w:val="Normale"/>
    <w:link w:val="IntestazioneCarattere"/>
    <w:uiPriority w:val="99"/>
    <w:rsid w:val="000F6161"/>
    <w:pPr>
      <w:tabs>
        <w:tab w:val="center" w:pos="4819"/>
        <w:tab w:val="right" w:pos="9638"/>
      </w:tabs>
    </w:pPr>
  </w:style>
  <w:style w:type="character" w:customStyle="1" w:styleId="IntestazioneCarattere">
    <w:name w:val="Intestazione Carattere"/>
    <w:link w:val="Intestazione"/>
    <w:uiPriority w:val="99"/>
    <w:locked/>
    <w:rsid w:val="00226782"/>
    <w:rPr>
      <w:rFonts w:cs="Times New Roman"/>
      <w:kern w:val="28"/>
      <w:sz w:val="20"/>
    </w:rPr>
  </w:style>
  <w:style w:type="character" w:styleId="Numeropagina">
    <w:name w:val="page number"/>
    <w:uiPriority w:val="99"/>
    <w:rsid w:val="0026018C"/>
    <w:rPr>
      <w:rFonts w:cs="Times New Roman"/>
    </w:rPr>
  </w:style>
  <w:style w:type="paragraph" w:styleId="Testofumetto">
    <w:name w:val="Balloon Text"/>
    <w:basedOn w:val="Normale"/>
    <w:link w:val="TestofumettoCarattere"/>
    <w:uiPriority w:val="99"/>
    <w:semiHidden/>
    <w:rsid w:val="00486F36"/>
    <w:rPr>
      <w:sz w:val="2"/>
    </w:rPr>
  </w:style>
  <w:style w:type="character" w:customStyle="1" w:styleId="TestofumettoCarattere">
    <w:name w:val="Testo fumetto Carattere"/>
    <w:link w:val="Testofumetto"/>
    <w:uiPriority w:val="99"/>
    <w:semiHidden/>
    <w:locked/>
    <w:rsid w:val="00226782"/>
    <w:rPr>
      <w:rFonts w:cs="Times New Roman"/>
      <w:kern w:val="28"/>
      <w:sz w:val="2"/>
    </w:rPr>
  </w:style>
  <w:style w:type="paragraph" w:styleId="NormaleWeb">
    <w:name w:val="Normal (Web)"/>
    <w:basedOn w:val="Normale"/>
    <w:uiPriority w:val="99"/>
    <w:rsid w:val="00100058"/>
    <w:pPr>
      <w:spacing w:beforeAutospacing="1" w:afterAutospacing="1"/>
    </w:pPr>
  </w:style>
  <w:style w:type="paragraph" w:styleId="PreformattatoHTML">
    <w:name w:val="HTML Preformatted"/>
    <w:basedOn w:val="Normale"/>
    <w:link w:val="PreformattatoHTMLCarattere"/>
    <w:uiPriority w:val="99"/>
    <w:rsid w:val="00906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PreformattatoHTMLCarattere">
    <w:name w:val="Preformattato HTML Carattere"/>
    <w:link w:val="PreformattatoHTML"/>
    <w:uiPriority w:val="99"/>
    <w:semiHidden/>
    <w:locked/>
    <w:rsid w:val="00226782"/>
    <w:rPr>
      <w:rFonts w:ascii="Courier New" w:hAnsi="Courier New" w:cs="Times New Roman"/>
      <w:kern w:val="28"/>
      <w:sz w:val="20"/>
    </w:rPr>
  </w:style>
  <w:style w:type="character" w:styleId="Enfasigrassetto">
    <w:name w:val="Strong"/>
    <w:uiPriority w:val="22"/>
    <w:qFormat/>
    <w:rsid w:val="008C6EAA"/>
    <w:rPr>
      <w:rFonts w:cs="Times New Roman"/>
      <w:b/>
    </w:rPr>
  </w:style>
  <w:style w:type="table" w:styleId="Grigliatabella">
    <w:name w:val="Table Grid"/>
    <w:basedOn w:val="Tabellanormale"/>
    <w:uiPriority w:val="59"/>
    <w:locked/>
    <w:rsid w:val="00E75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uiPriority w:val="99"/>
    <w:rsid w:val="00E75DCC"/>
  </w:style>
  <w:style w:type="paragraph" w:styleId="Testonotaapidipagina">
    <w:name w:val="footnote text"/>
    <w:aliases w:val="Testo nota a piè di pagina Carattere Carattere,Testo nota a piè di pagina Carattere Carattere Carattere Carattere Carattere Carattere"/>
    <w:basedOn w:val="Normale"/>
    <w:link w:val="TestonotaapidipaginaCarattere"/>
    <w:uiPriority w:val="99"/>
    <w:rsid w:val="006C145B"/>
  </w:style>
  <w:style w:type="character" w:customStyle="1" w:styleId="TestonotaapidipaginaCarattere">
    <w:name w:val="Testo nota a piè di pagina Carattere"/>
    <w:aliases w:val="Testo nota a piè di pagina Carattere Carattere Carattere,Testo nota a piè di pagina Carattere Carattere Carattere Carattere Carattere Carattere Carattere"/>
    <w:link w:val="Testonotaapidipagina"/>
    <w:uiPriority w:val="99"/>
    <w:locked/>
    <w:rsid w:val="00F05FF9"/>
    <w:rPr>
      <w:rFonts w:cs="Times New Roman"/>
      <w:kern w:val="28"/>
      <w:sz w:val="20"/>
    </w:rPr>
  </w:style>
  <w:style w:type="character" w:styleId="Rimandonotaapidipagina">
    <w:name w:val="footnote reference"/>
    <w:uiPriority w:val="99"/>
    <w:rsid w:val="006C145B"/>
    <w:rPr>
      <w:rFonts w:cs="Times New Roman"/>
      <w:vertAlign w:val="superscript"/>
    </w:rPr>
  </w:style>
  <w:style w:type="character" w:styleId="Enfasicorsivo">
    <w:name w:val="Emphasis"/>
    <w:uiPriority w:val="20"/>
    <w:qFormat/>
    <w:locked/>
    <w:rsid w:val="00E80FB8"/>
    <w:rPr>
      <w:rFonts w:cs="Times New Roman"/>
      <w:i/>
    </w:rPr>
  </w:style>
  <w:style w:type="paragraph" w:customStyle="1" w:styleId="Grigliamedia1-Colore21">
    <w:name w:val="Griglia media 1 - Colore 21"/>
    <w:basedOn w:val="Normale"/>
    <w:uiPriority w:val="34"/>
    <w:qFormat/>
    <w:rsid w:val="0022535F"/>
    <w:pPr>
      <w:ind w:left="720"/>
      <w:contextualSpacing/>
    </w:pPr>
  </w:style>
  <w:style w:type="character" w:styleId="Rimandocommento">
    <w:name w:val="annotation reference"/>
    <w:uiPriority w:val="99"/>
    <w:semiHidden/>
    <w:unhideWhenUsed/>
    <w:rsid w:val="00407D29"/>
    <w:rPr>
      <w:sz w:val="16"/>
      <w:szCs w:val="16"/>
    </w:rPr>
  </w:style>
  <w:style w:type="paragraph" w:styleId="Testocommento">
    <w:name w:val="annotation text"/>
    <w:basedOn w:val="Normale"/>
    <w:link w:val="TestocommentoCarattere"/>
    <w:uiPriority w:val="99"/>
    <w:semiHidden/>
    <w:unhideWhenUsed/>
    <w:rsid w:val="00E338F3"/>
    <w:rPr>
      <w:sz w:val="20"/>
      <w:szCs w:val="20"/>
    </w:rPr>
  </w:style>
  <w:style w:type="character" w:customStyle="1" w:styleId="TestocommentoCarattere">
    <w:name w:val="Testo commento Carattere"/>
    <w:link w:val="Testocommento"/>
    <w:uiPriority w:val="99"/>
    <w:semiHidden/>
    <w:rsid w:val="00407D29"/>
    <w:rPr>
      <w:kern w:val="28"/>
      <w:sz w:val="20"/>
      <w:szCs w:val="20"/>
    </w:rPr>
  </w:style>
  <w:style w:type="paragraph" w:styleId="Soggettocommento">
    <w:name w:val="annotation subject"/>
    <w:basedOn w:val="Testocommento"/>
    <w:next w:val="Testocommento"/>
    <w:link w:val="SoggettocommentoCarattere"/>
    <w:unhideWhenUsed/>
    <w:rsid w:val="00407D29"/>
    <w:rPr>
      <w:b/>
      <w:bCs/>
    </w:rPr>
  </w:style>
  <w:style w:type="character" w:customStyle="1" w:styleId="SoggettocommentoCarattere">
    <w:name w:val="Soggetto commento Carattere"/>
    <w:link w:val="Soggettocommento"/>
    <w:rsid w:val="00407D29"/>
    <w:rPr>
      <w:b/>
      <w:bCs/>
      <w:kern w:val="28"/>
      <w:sz w:val="20"/>
      <w:szCs w:val="20"/>
    </w:rPr>
  </w:style>
  <w:style w:type="paragraph" w:styleId="Sottotitolo">
    <w:name w:val="Subtitle"/>
    <w:basedOn w:val="Normale"/>
    <w:next w:val="Normale"/>
    <w:link w:val="SottotitoloCarattere"/>
    <w:qFormat/>
    <w:locked/>
    <w:rsid w:val="006166D3"/>
    <w:pPr>
      <w:numPr>
        <w:ilvl w:val="1"/>
      </w:numPr>
    </w:pPr>
    <w:rPr>
      <w:rFonts w:ascii="Cambria" w:hAnsi="Cambria"/>
      <w:i/>
      <w:iCs/>
      <w:color w:val="4F81BD"/>
      <w:spacing w:val="15"/>
    </w:rPr>
  </w:style>
  <w:style w:type="character" w:customStyle="1" w:styleId="SottotitoloCarattere">
    <w:name w:val="Sottotitolo Carattere"/>
    <w:link w:val="Sottotitolo"/>
    <w:rsid w:val="006166D3"/>
    <w:rPr>
      <w:rFonts w:ascii="Cambria" w:eastAsia="Times New Roman" w:hAnsi="Cambria" w:cs="Times New Roman"/>
      <w:i/>
      <w:iCs/>
      <w:color w:val="4F81BD"/>
      <w:spacing w:val="15"/>
      <w:kern w:val="28"/>
      <w:sz w:val="24"/>
      <w:szCs w:val="24"/>
    </w:rPr>
  </w:style>
  <w:style w:type="character" w:customStyle="1" w:styleId="Titolo4Carattere">
    <w:name w:val="Titolo 4 Carattere"/>
    <w:link w:val="Titolo4"/>
    <w:uiPriority w:val="9"/>
    <w:rsid w:val="00CD17F5"/>
    <w:rPr>
      <w:rFonts w:ascii="Cambria" w:eastAsia="Times New Roman" w:hAnsi="Cambria" w:cs="Times New Roman"/>
      <w:b/>
      <w:bCs/>
      <w:i/>
      <w:iCs/>
      <w:color w:val="4F81BD"/>
      <w:kern w:val="28"/>
      <w:sz w:val="20"/>
      <w:szCs w:val="20"/>
    </w:rPr>
  </w:style>
  <w:style w:type="paragraph" w:customStyle="1" w:styleId="Default">
    <w:name w:val="Default"/>
    <w:rsid w:val="00417ECD"/>
    <w:pPr>
      <w:autoSpaceDE w:val="0"/>
      <w:autoSpaceDN w:val="0"/>
      <w:adjustRightInd w:val="0"/>
    </w:pPr>
    <w:rPr>
      <w:rFonts w:ascii="Arial Narrow" w:hAnsi="Arial Narrow"/>
      <w:color w:val="000000"/>
      <w:sz w:val="24"/>
      <w:szCs w:val="24"/>
    </w:rPr>
  </w:style>
  <w:style w:type="paragraph" w:customStyle="1" w:styleId="Paragrafobase">
    <w:name w:val="[Paragrafo base]"/>
    <w:basedOn w:val="Normale"/>
    <w:uiPriority w:val="99"/>
    <w:rsid w:val="00083173"/>
    <w:pPr>
      <w:spacing w:line="288" w:lineRule="auto"/>
      <w:textAlignment w:val="center"/>
    </w:pPr>
    <w:rPr>
      <w:rFonts w:ascii="Times-Roman" w:hAnsi="Times-Roman" w:cs="Times-Roman"/>
      <w:color w:val="000000"/>
    </w:rPr>
  </w:style>
  <w:style w:type="table" w:customStyle="1" w:styleId="Grigliatabella1">
    <w:name w:val="Griglia tabella1"/>
    <w:basedOn w:val="Tabellanormale"/>
    <w:next w:val="Grigliatabella"/>
    <w:uiPriority w:val="99"/>
    <w:rsid w:val="00A3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TitoGra">
    <w:name w:val="001TitoGra"/>
    <w:basedOn w:val="Normale"/>
    <w:qFormat/>
    <w:rsid w:val="00FF1163"/>
    <w:pPr>
      <w:spacing w:line="240" w:lineRule="exact"/>
    </w:pPr>
    <w:rPr>
      <w:rFonts w:ascii="Arial Narrow" w:hAnsi="Arial Narrow" w:cs="Arial"/>
      <w:b/>
      <w:color w:val="5F5F5F"/>
      <w:sz w:val="22"/>
      <w:szCs w:val="22"/>
    </w:rPr>
  </w:style>
  <w:style w:type="paragraph" w:customStyle="1" w:styleId="001TitoloBolocco">
    <w:name w:val="001TitoloBolocco"/>
    <w:basedOn w:val="Titolo1"/>
    <w:link w:val="001TitoloBoloccoCarattere"/>
    <w:qFormat/>
    <w:rsid w:val="00E53642"/>
    <w:pPr>
      <w:pBdr>
        <w:bottom w:val="single" w:sz="18" w:space="1" w:color="E31C18"/>
      </w:pBdr>
      <w:spacing w:after="240" w:line="240" w:lineRule="exact"/>
    </w:pPr>
    <w:rPr>
      <w:rFonts w:ascii="Calibri" w:hAnsi="Calibri" w:cs="Arial"/>
      <w:bCs/>
      <w:caps/>
      <w:color w:val="000000"/>
      <w:sz w:val="26"/>
      <w:szCs w:val="28"/>
    </w:rPr>
  </w:style>
  <w:style w:type="character" w:customStyle="1" w:styleId="001TitoloBoloccoCarattere">
    <w:name w:val="001TitoloBolocco Carattere"/>
    <w:link w:val="001TitoloBolocco"/>
    <w:rsid w:val="00E53642"/>
    <w:rPr>
      <w:rFonts w:ascii="Calibri" w:hAnsi="Calibri" w:cs="Arial"/>
      <w:b/>
      <w:bCs/>
      <w:caps/>
      <w:color w:val="000000"/>
      <w:kern w:val="32"/>
      <w:sz w:val="26"/>
      <w:szCs w:val="28"/>
    </w:rPr>
  </w:style>
  <w:style w:type="paragraph" w:customStyle="1" w:styleId="00TitoGra1">
    <w:name w:val="00TitoGra1"/>
    <w:basedOn w:val="Normale"/>
    <w:qFormat/>
    <w:rsid w:val="00E53642"/>
    <w:pPr>
      <w:spacing w:line="280" w:lineRule="exact"/>
    </w:pPr>
    <w:rPr>
      <w:rFonts w:ascii="Calibri" w:hAnsi="Calibri" w:cs="Arial"/>
      <w:b/>
      <w:color w:val="D90B13"/>
      <w:sz w:val="28"/>
      <w:szCs w:val="28"/>
    </w:rPr>
  </w:style>
  <w:style w:type="character" w:customStyle="1" w:styleId="001TitoGraRed">
    <w:name w:val="001TitoGraRed"/>
    <w:uiPriority w:val="1"/>
    <w:qFormat/>
    <w:rsid w:val="00FF1163"/>
    <w:rPr>
      <w:color w:val="E31C18"/>
    </w:rPr>
  </w:style>
  <w:style w:type="paragraph" w:customStyle="1" w:styleId="001SottotitoloGra">
    <w:name w:val="001SottotitoloGra"/>
    <w:basedOn w:val="001TitoGra"/>
    <w:qFormat/>
    <w:rsid w:val="00FF1163"/>
    <w:pPr>
      <w:spacing w:after="120"/>
    </w:pPr>
    <w:rPr>
      <w:b w:val="0"/>
      <w:sz w:val="20"/>
      <w:szCs w:val="20"/>
    </w:rPr>
  </w:style>
  <w:style w:type="paragraph" w:styleId="Rientrocorpodeltesto">
    <w:name w:val="Body Text Indent"/>
    <w:basedOn w:val="Normale"/>
    <w:link w:val="RientrocorpodeltestoCarattere"/>
    <w:uiPriority w:val="99"/>
    <w:unhideWhenUsed/>
    <w:rsid w:val="00A53D09"/>
    <w:pPr>
      <w:spacing w:after="120"/>
      <w:ind w:left="283"/>
    </w:pPr>
  </w:style>
  <w:style w:type="character" w:customStyle="1" w:styleId="RientrocorpodeltestoCarattere">
    <w:name w:val="Rientro corpo del testo Carattere"/>
    <w:link w:val="Rientrocorpodeltesto"/>
    <w:uiPriority w:val="99"/>
    <w:rsid w:val="00A53D09"/>
    <w:rPr>
      <w:kern w:val="28"/>
    </w:rPr>
  </w:style>
  <w:style w:type="character" w:customStyle="1" w:styleId="st">
    <w:name w:val="st"/>
    <w:rsid w:val="00431975"/>
  </w:style>
  <w:style w:type="paragraph" w:styleId="Corpodeltesto3">
    <w:name w:val="Body Text 3"/>
    <w:basedOn w:val="Normale"/>
    <w:link w:val="Corpodeltesto3Carattere"/>
    <w:rsid w:val="000B233D"/>
    <w:pPr>
      <w:spacing w:after="120"/>
    </w:pPr>
    <w:rPr>
      <w:sz w:val="16"/>
      <w:szCs w:val="16"/>
    </w:rPr>
  </w:style>
  <w:style w:type="character" w:customStyle="1" w:styleId="Corpodeltesto3Carattere">
    <w:name w:val="Corpo del testo 3 Carattere"/>
    <w:link w:val="Corpodeltesto3"/>
    <w:rsid w:val="000B233D"/>
    <w:rPr>
      <w:sz w:val="16"/>
      <w:szCs w:val="16"/>
    </w:rPr>
  </w:style>
  <w:style w:type="paragraph" w:customStyle="1" w:styleId="Corpotesto1">
    <w:name w:val="Corpo testo1"/>
    <w:basedOn w:val="Normale"/>
    <w:rsid w:val="00AE6AE5"/>
    <w:pPr>
      <w:jc w:val="both"/>
    </w:pPr>
    <w:rPr>
      <w:b/>
      <w:lang w:val="en-US" w:eastAsia="en-US"/>
    </w:rPr>
  </w:style>
  <w:style w:type="paragraph" w:styleId="Corpodeltesto2">
    <w:name w:val="Body Text 2"/>
    <w:basedOn w:val="Normale"/>
    <w:link w:val="Corpodeltesto2Carattere"/>
    <w:rsid w:val="00833A77"/>
    <w:pPr>
      <w:spacing w:after="120" w:line="480" w:lineRule="auto"/>
    </w:pPr>
  </w:style>
  <w:style w:type="character" w:customStyle="1" w:styleId="Corpodeltesto2Carattere">
    <w:name w:val="Corpo del testo 2 Carattere"/>
    <w:link w:val="Corpodeltesto2"/>
    <w:rsid w:val="00833A77"/>
    <w:rPr>
      <w:kern w:val="28"/>
    </w:rPr>
  </w:style>
  <w:style w:type="paragraph" w:customStyle="1" w:styleId="Corpodeltesto1">
    <w:name w:val="Corpo del testo1"/>
    <w:basedOn w:val="Normale"/>
    <w:rsid w:val="00833A77"/>
    <w:pPr>
      <w:jc w:val="both"/>
    </w:pPr>
    <w:rPr>
      <w:b/>
    </w:rPr>
  </w:style>
  <w:style w:type="character" w:customStyle="1" w:styleId="Titolo2Carattere">
    <w:name w:val="Titolo 2 Carattere"/>
    <w:link w:val="Titolo2"/>
    <w:semiHidden/>
    <w:rsid w:val="00BF702B"/>
    <w:rPr>
      <w:rFonts w:ascii="Cambria" w:eastAsia="Times New Roman" w:hAnsi="Cambria" w:cs="Times New Roman"/>
      <w:b/>
      <w:bCs/>
      <w:i/>
      <w:iCs/>
      <w:kern w:val="28"/>
      <w:sz w:val="28"/>
      <w:szCs w:val="28"/>
    </w:rPr>
  </w:style>
  <w:style w:type="paragraph" w:customStyle="1" w:styleId="Rientrocorpodeltesto31">
    <w:name w:val="Rientro corpo del testo 31"/>
    <w:basedOn w:val="Normale"/>
    <w:uiPriority w:val="99"/>
    <w:rsid w:val="000A2E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ind w:left="-567"/>
      <w:jc w:val="both"/>
    </w:pPr>
    <w:rPr>
      <w:spacing w:val="-3"/>
      <w:sz w:val="22"/>
      <w:lang w:eastAsia="ar-SA"/>
    </w:rPr>
  </w:style>
  <w:style w:type="paragraph" w:styleId="Paragrafoelenco">
    <w:name w:val="List Paragraph"/>
    <w:basedOn w:val="Normale"/>
    <w:link w:val="ParagrafoelencoCarattere"/>
    <w:uiPriority w:val="34"/>
    <w:qFormat/>
    <w:rsid w:val="000A2EFD"/>
    <w:pPr>
      <w:tabs>
        <w:tab w:val="left" w:pos="426"/>
      </w:tabs>
      <w:spacing w:after="120"/>
      <w:ind w:left="720"/>
      <w:contextualSpacing/>
      <w:jc w:val="both"/>
    </w:pPr>
    <w:rPr>
      <w:rFonts w:ascii="Calibri" w:hAnsi="Calibri" w:cs="Calibri"/>
      <w:color w:val="000000"/>
      <w:lang w:eastAsia="zh-CN"/>
    </w:rPr>
  </w:style>
  <w:style w:type="character" w:customStyle="1" w:styleId="ParagrafoelencoCarattere">
    <w:name w:val="Paragrafo elenco Carattere"/>
    <w:link w:val="Paragrafoelenco"/>
    <w:uiPriority w:val="34"/>
    <w:rsid w:val="000A2EFD"/>
    <w:rPr>
      <w:rFonts w:ascii="Calibri" w:hAnsi="Calibri" w:cs="Calibri"/>
      <w:color w:val="000000"/>
      <w:sz w:val="24"/>
      <w:szCs w:val="24"/>
      <w:lang w:eastAsia="zh-CN"/>
    </w:rPr>
  </w:style>
  <w:style w:type="table" w:styleId="Sfondomedio2-Colore5">
    <w:name w:val="Medium Shading 2 Accent 5"/>
    <w:basedOn w:val="Tabellanormale"/>
    <w:uiPriority w:val="64"/>
    <w:rsid w:val="000A2EFD"/>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itolo8Carattere">
    <w:name w:val="Titolo 8 Carattere"/>
    <w:link w:val="Titolo8"/>
    <w:semiHidden/>
    <w:rsid w:val="003A6105"/>
    <w:rPr>
      <w:rFonts w:ascii="Calibri" w:eastAsia="Times New Roman" w:hAnsi="Calibri" w:cs="Times New Roman"/>
      <w:i/>
      <w:iCs/>
      <w:kern w:val="28"/>
      <w:sz w:val="24"/>
      <w:szCs w:val="24"/>
    </w:rPr>
  </w:style>
  <w:style w:type="character" w:styleId="Collegamentovisitato">
    <w:name w:val="FollowedHyperlink"/>
    <w:uiPriority w:val="99"/>
    <w:semiHidden/>
    <w:unhideWhenUsed/>
    <w:rsid w:val="00A72740"/>
    <w:rPr>
      <w:color w:val="800080"/>
      <w:u w:val="single"/>
    </w:rPr>
  </w:style>
  <w:style w:type="paragraph" w:styleId="Revisione">
    <w:name w:val="Revision"/>
    <w:hidden/>
    <w:uiPriority w:val="71"/>
    <w:rsid w:val="005301CF"/>
    <w:rPr>
      <w:kern w:val="28"/>
    </w:rPr>
  </w:style>
  <w:style w:type="character" w:customStyle="1" w:styleId="seocontent">
    <w:name w:val="seocontent"/>
    <w:basedOn w:val="Carpredefinitoparagrafo"/>
    <w:rsid w:val="00EF7A93"/>
  </w:style>
  <w:style w:type="character" w:customStyle="1" w:styleId="object">
    <w:name w:val="object"/>
    <w:basedOn w:val="Carpredefinitoparagrafo"/>
    <w:rsid w:val="00A80789"/>
  </w:style>
  <w:style w:type="paragraph" w:customStyle="1" w:styleId="A">
    <w:name w:val="A"/>
    <w:basedOn w:val="Normale"/>
    <w:next w:val="Corpotesto"/>
    <w:uiPriority w:val="99"/>
    <w:rsid w:val="00282B90"/>
    <w:pPr>
      <w:jc w:val="both"/>
    </w:pPr>
    <w:rPr>
      <w:b/>
      <w:lang w:eastAsia="ar-SA"/>
    </w:rPr>
  </w:style>
  <w:style w:type="character" w:customStyle="1" w:styleId="markedcontent">
    <w:name w:val="markedcontent"/>
    <w:basedOn w:val="Carpredefinitoparagrafo"/>
    <w:rsid w:val="00C1395C"/>
  </w:style>
  <w:style w:type="paragraph" w:customStyle="1" w:styleId="Testocorrente">
    <w:name w:val="Testo corrente"/>
    <w:basedOn w:val="Titolo2"/>
    <w:rsid w:val="00501E02"/>
    <w:pPr>
      <w:spacing w:before="0"/>
      <w:jc w:val="both"/>
    </w:pPr>
    <w:rPr>
      <w:rFonts w:ascii="Times New Roman" w:hAnsi="Times New Roman"/>
      <w:bCs w:val="0"/>
      <w:iCs w:val="0"/>
      <w:sz w:val="24"/>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3486">
      <w:bodyDiv w:val="1"/>
      <w:marLeft w:val="0"/>
      <w:marRight w:val="0"/>
      <w:marTop w:val="0"/>
      <w:marBottom w:val="0"/>
      <w:divBdr>
        <w:top w:val="none" w:sz="0" w:space="0" w:color="auto"/>
        <w:left w:val="none" w:sz="0" w:space="0" w:color="auto"/>
        <w:bottom w:val="none" w:sz="0" w:space="0" w:color="auto"/>
        <w:right w:val="none" w:sz="0" w:space="0" w:color="auto"/>
      </w:divBdr>
    </w:div>
    <w:div w:id="6180447">
      <w:bodyDiv w:val="1"/>
      <w:marLeft w:val="0"/>
      <w:marRight w:val="0"/>
      <w:marTop w:val="0"/>
      <w:marBottom w:val="0"/>
      <w:divBdr>
        <w:top w:val="none" w:sz="0" w:space="0" w:color="auto"/>
        <w:left w:val="none" w:sz="0" w:space="0" w:color="auto"/>
        <w:bottom w:val="none" w:sz="0" w:space="0" w:color="auto"/>
        <w:right w:val="none" w:sz="0" w:space="0" w:color="auto"/>
      </w:divBdr>
    </w:div>
    <w:div w:id="29649862">
      <w:bodyDiv w:val="1"/>
      <w:marLeft w:val="0"/>
      <w:marRight w:val="0"/>
      <w:marTop w:val="0"/>
      <w:marBottom w:val="0"/>
      <w:divBdr>
        <w:top w:val="none" w:sz="0" w:space="0" w:color="auto"/>
        <w:left w:val="none" w:sz="0" w:space="0" w:color="auto"/>
        <w:bottom w:val="none" w:sz="0" w:space="0" w:color="auto"/>
        <w:right w:val="none" w:sz="0" w:space="0" w:color="auto"/>
      </w:divBdr>
    </w:div>
    <w:div w:id="69041894">
      <w:bodyDiv w:val="1"/>
      <w:marLeft w:val="0"/>
      <w:marRight w:val="0"/>
      <w:marTop w:val="0"/>
      <w:marBottom w:val="0"/>
      <w:divBdr>
        <w:top w:val="none" w:sz="0" w:space="0" w:color="auto"/>
        <w:left w:val="none" w:sz="0" w:space="0" w:color="auto"/>
        <w:bottom w:val="none" w:sz="0" w:space="0" w:color="auto"/>
        <w:right w:val="none" w:sz="0" w:space="0" w:color="auto"/>
      </w:divBdr>
    </w:div>
    <w:div w:id="72625743">
      <w:bodyDiv w:val="1"/>
      <w:marLeft w:val="0"/>
      <w:marRight w:val="0"/>
      <w:marTop w:val="0"/>
      <w:marBottom w:val="0"/>
      <w:divBdr>
        <w:top w:val="none" w:sz="0" w:space="0" w:color="auto"/>
        <w:left w:val="none" w:sz="0" w:space="0" w:color="auto"/>
        <w:bottom w:val="none" w:sz="0" w:space="0" w:color="auto"/>
        <w:right w:val="none" w:sz="0" w:space="0" w:color="auto"/>
      </w:divBdr>
    </w:div>
    <w:div w:id="81610097">
      <w:bodyDiv w:val="1"/>
      <w:marLeft w:val="0"/>
      <w:marRight w:val="0"/>
      <w:marTop w:val="0"/>
      <w:marBottom w:val="0"/>
      <w:divBdr>
        <w:top w:val="none" w:sz="0" w:space="0" w:color="auto"/>
        <w:left w:val="none" w:sz="0" w:space="0" w:color="auto"/>
        <w:bottom w:val="none" w:sz="0" w:space="0" w:color="auto"/>
        <w:right w:val="none" w:sz="0" w:space="0" w:color="auto"/>
      </w:divBdr>
    </w:div>
    <w:div w:id="111638430">
      <w:bodyDiv w:val="1"/>
      <w:marLeft w:val="0"/>
      <w:marRight w:val="0"/>
      <w:marTop w:val="0"/>
      <w:marBottom w:val="0"/>
      <w:divBdr>
        <w:top w:val="none" w:sz="0" w:space="0" w:color="auto"/>
        <w:left w:val="none" w:sz="0" w:space="0" w:color="auto"/>
        <w:bottom w:val="none" w:sz="0" w:space="0" w:color="auto"/>
        <w:right w:val="none" w:sz="0" w:space="0" w:color="auto"/>
      </w:divBdr>
    </w:div>
    <w:div w:id="163055204">
      <w:bodyDiv w:val="1"/>
      <w:marLeft w:val="0"/>
      <w:marRight w:val="0"/>
      <w:marTop w:val="0"/>
      <w:marBottom w:val="0"/>
      <w:divBdr>
        <w:top w:val="none" w:sz="0" w:space="0" w:color="auto"/>
        <w:left w:val="none" w:sz="0" w:space="0" w:color="auto"/>
        <w:bottom w:val="none" w:sz="0" w:space="0" w:color="auto"/>
        <w:right w:val="none" w:sz="0" w:space="0" w:color="auto"/>
      </w:divBdr>
      <w:divsChild>
        <w:div w:id="72774841">
          <w:marLeft w:val="0"/>
          <w:marRight w:val="0"/>
          <w:marTop w:val="0"/>
          <w:marBottom w:val="0"/>
          <w:divBdr>
            <w:top w:val="none" w:sz="0" w:space="0" w:color="auto"/>
            <w:left w:val="none" w:sz="0" w:space="0" w:color="auto"/>
            <w:bottom w:val="none" w:sz="0" w:space="0" w:color="auto"/>
            <w:right w:val="none" w:sz="0" w:space="0" w:color="auto"/>
          </w:divBdr>
        </w:div>
        <w:div w:id="112676843">
          <w:marLeft w:val="0"/>
          <w:marRight w:val="0"/>
          <w:marTop w:val="0"/>
          <w:marBottom w:val="0"/>
          <w:divBdr>
            <w:top w:val="none" w:sz="0" w:space="0" w:color="auto"/>
            <w:left w:val="none" w:sz="0" w:space="0" w:color="auto"/>
            <w:bottom w:val="none" w:sz="0" w:space="0" w:color="auto"/>
            <w:right w:val="none" w:sz="0" w:space="0" w:color="auto"/>
          </w:divBdr>
        </w:div>
        <w:div w:id="135799169">
          <w:marLeft w:val="0"/>
          <w:marRight w:val="0"/>
          <w:marTop w:val="0"/>
          <w:marBottom w:val="0"/>
          <w:divBdr>
            <w:top w:val="none" w:sz="0" w:space="0" w:color="auto"/>
            <w:left w:val="none" w:sz="0" w:space="0" w:color="auto"/>
            <w:bottom w:val="none" w:sz="0" w:space="0" w:color="auto"/>
            <w:right w:val="none" w:sz="0" w:space="0" w:color="auto"/>
          </w:divBdr>
        </w:div>
        <w:div w:id="1033112804">
          <w:marLeft w:val="0"/>
          <w:marRight w:val="0"/>
          <w:marTop w:val="0"/>
          <w:marBottom w:val="0"/>
          <w:divBdr>
            <w:top w:val="none" w:sz="0" w:space="0" w:color="auto"/>
            <w:left w:val="none" w:sz="0" w:space="0" w:color="auto"/>
            <w:bottom w:val="none" w:sz="0" w:space="0" w:color="auto"/>
            <w:right w:val="none" w:sz="0" w:space="0" w:color="auto"/>
          </w:divBdr>
        </w:div>
        <w:div w:id="1521511708">
          <w:marLeft w:val="0"/>
          <w:marRight w:val="0"/>
          <w:marTop w:val="0"/>
          <w:marBottom w:val="0"/>
          <w:divBdr>
            <w:top w:val="none" w:sz="0" w:space="0" w:color="auto"/>
            <w:left w:val="none" w:sz="0" w:space="0" w:color="auto"/>
            <w:bottom w:val="none" w:sz="0" w:space="0" w:color="auto"/>
            <w:right w:val="none" w:sz="0" w:space="0" w:color="auto"/>
          </w:divBdr>
        </w:div>
      </w:divsChild>
    </w:div>
    <w:div w:id="190270577">
      <w:bodyDiv w:val="1"/>
      <w:marLeft w:val="0"/>
      <w:marRight w:val="0"/>
      <w:marTop w:val="0"/>
      <w:marBottom w:val="0"/>
      <w:divBdr>
        <w:top w:val="none" w:sz="0" w:space="0" w:color="auto"/>
        <w:left w:val="none" w:sz="0" w:space="0" w:color="auto"/>
        <w:bottom w:val="none" w:sz="0" w:space="0" w:color="auto"/>
        <w:right w:val="none" w:sz="0" w:space="0" w:color="auto"/>
      </w:divBdr>
    </w:div>
    <w:div w:id="190531945">
      <w:bodyDiv w:val="1"/>
      <w:marLeft w:val="0"/>
      <w:marRight w:val="0"/>
      <w:marTop w:val="0"/>
      <w:marBottom w:val="0"/>
      <w:divBdr>
        <w:top w:val="none" w:sz="0" w:space="0" w:color="auto"/>
        <w:left w:val="none" w:sz="0" w:space="0" w:color="auto"/>
        <w:bottom w:val="none" w:sz="0" w:space="0" w:color="auto"/>
        <w:right w:val="none" w:sz="0" w:space="0" w:color="auto"/>
      </w:divBdr>
    </w:div>
    <w:div w:id="193345705">
      <w:bodyDiv w:val="1"/>
      <w:marLeft w:val="0"/>
      <w:marRight w:val="0"/>
      <w:marTop w:val="0"/>
      <w:marBottom w:val="0"/>
      <w:divBdr>
        <w:top w:val="none" w:sz="0" w:space="0" w:color="auto"/>
        <w:left w:val="none" w:sz="0" w:space="0" w:color="auto"/>
        <w:bottom w:val="none" w:sz="0" w:space="0" w:color="auto"/>
        <w:right w:val="none" w:sz="0" w:space="0" w:color="auto"/>
      </w:divBdr>
    </w:div>
    <w:div w:id="200484480">
      <w:bodyDiv w:val="1"/>
      <w:marLeft w:val="0"/>
      <w:marRight w:val="0"/>
      <w:marTop w:val="0"/>
      <w:marBottom w:val="0"/>
      <w:divBdr>
        <w:top w:val="none" w:sz="0" w:space="0" w:color="auto"/>
        <w:left w:val="none" w:sz="0" w:space="0" w:color="auto"/>
        <w:bottom w:val="none" w:sz="0" w:space="0" w:color="auto"/>
        <w:right w:val="none" w:sz="0" w:space="0" w:color="auto"/>
      </w:divBdr>
      <w:divsChild>
        <w:div w:id="160703322">
          <w:marLeft w:val="0"/>
          <w:marRight w:val="0"/>
          <w:marTop w:val="0"/>
          <w:marBottom w:val="0"/>
          <w:divBdr>
            <w:top w:val="none" w:sz="0" w:space="0" w:color="auto"/>
            <w:left w:val="none" w:sz="0" w:space="0" w:color="auto"/>
            <w:bottom w:val="none" w:sz="0" w:space="0" w:color="auto"/>
            <w:right w:val="none" w:sz="0" w:space="0" w:color="auto"/>
          </w:divBdr>
        </w:div>
        <w:div w:id="506092020">
          <w:marLeft w:val="0"/>
          <w:marRight w:val="0"/>
          <w:marTop w:val="0"/>
          <w:marBottom w:val="0"/>
          <w:divBdr>
            <w:top w:val="none" w:sz="0" w:space="0" w:color="auto"/>
            <w:left w:val="none" w:sz="0" w:space="0" w:color="auto"/>
            <w:bottom w:val="none" w:sz="0" w:space="0" w:color="auto"/>
            <w:right w:val="none" w:sz="0" w:space="0" w:color="auto"/>
          </w:divBdr>
        </w:div>
        <w:div w:id="1243643572">
          <w:marLeft w:val="0"/>
          <w:marRight w:val="0"/>
          <w:marTop w:val="0"/>
          <w:marBottom w:val="0"/>
          <w:divBdr>
            <w:top w:val="none" w:sz="0" w:space="0" w:color="auto"/>
            <w:left w:val="none" w:sz="0" w:space="0" w:color="auto"/>
            <w:bottom w:val="none" w:sz="0" w:space="0" w:color="auto"/>
            <w:right w:val="none" w:sz="0" w:space="0" w:color="auto"/>
          </w:divBdr>
        </w:div>
        <w:div w:id="1941789296">
          <w:marLeft w:val="0"/>
          <w:marRight w:val="0"/>
          <w:marTop w:val="0"/>
          <w:marBottom w:val="0"/>
          <w:divBdr>
            <w:top w:val="none" w:sz="0" w:space="0" w:color="auto"/>
            <w:left w:val="none" w:sz="0" w:space="0" w:color="auto"/>
            <w:bottom w:val="none" w:sz="0" w:space="0" w:color="auto"/>
            <w:right w:val="none" w:sz="0" w:space="0" w:color="auto"/>
          </w:divBdr>
        </w:div>
      </w:divsChild>
    </w:div>
    <w:div w:id="217282464">
      <w:bodyDiv w:val="1"/>
      <w:marLeft w:val="0"/>
      <w:marRight w:val="0"/>
      <w:marTop w:val="0"/>
      <w:marBottom w:val="0"/>
      <w:divBdr>
        <w:top w:val="none" w:sz="0" w:space="0" w:color="auto"/>
        <w:left w:val="none" w:sz="0" w:space="0" w:color="auto"/>
        <w:bottom w:val="none" w:sz="0" w:space="0" w:color="auto"/>
        <w:right w:val="none" w:sz="0" w:space="0" w:color="auto"/>
      </w:divBdr>
    </w:div>
    <w:div w:id="224222885">
      <w:bodyDiv w:val="1"/>
      <w:marLeft w:val="0"/>
      <w:marRight w:val="0"/>
      <w:marTop w:val="0"/>
      <w:marBottom w:val="0"/>
      <w:divBdr>
        <w:top w:val="none" w:sz="0" w:space="0" w:color="auto"/>
        <w:left w:val="none" w:sz="0" w:space="0" w:color="auto"/>
        <w:bottom w:val="none" w:sz="0" w:space="0" w:color="auto"/>
        <w:right w:val="none" w:sz="0" w:space="0" w:color="auto"/>
      </w:divBdr>
    </w:div>
    <w:div w:id="237443218">
      <w:bodyDiv w:val="1"/>
      <w:marLeft w:val="0"/>
      <w:marRight w:val="0"/>
      <w:marTop w:val="0"/>
      <w:marBottom w:val="0"/>
      <w:divBdr>
        <w:top w:val="none" w:sz="0" w:space="0" w:color="auto"/>
        <w:left w:val="none" w:sz="0" w:space="0" w:color="auto"/>
        <w:bottom w:val="none" w:sz="0" w:space="0" w:color="auto"/>
        <w:right w:val="none" w:sz="0" w:space="0" w:color="auto"/>
      </w:divBdr>
    </w:div>
    <w:div w:id="253520606">
      <w:bodyDiv w:val="1"/>
      <w:marLeft w:val="0"/>
      <w:marRight w:val="0"/>
      <w:marTop w:val="0"/>
      <w:marBottom w:val="0"/>
      <w:divBdr>
        <w:top w:val="none" w:sz="0" w:space="0" w:color="auto"/>
        <w:left w:val="none" w:sz="0" w:space="0" w:color="auto"/>
        <w:bottom w:val="none" w:sz="0" w:space="0" w:color="auto"/>
        <w:right w:val="none" w:sz="0" w:space="0" w:color="auto"/>
      </w:divBdr>
    </w:div>
    <w:div w:id="309137912">
      <w:bodyDiv w:val="1"/>
      <w:marLeft w:val="0"/>
      <w:marRight w:val="0"/>
      <w:marTop w:val="0"/>
      <w:marBottom w:val="0"/>
      <w:divBdr>
        <w:top w:val="none" w:sz="0" w:space="0" w:color="auto"/>
        <w:left w:val="none" w:sz="0" w:space="0" w:color="auto"/>
        <w:bottom w:val="none" w:sz="0" w:space="0" w:color="auto"/>
        <w:right w:val="none" w:sz="0" w:space="0" w:color="auto"/>
      </w:divBdr>
    </w:div>
    <w:div w:id="402219072">
      <w:bodyDiv w:val="1"/>
      <w:marLeft w:val="0"/>
      <w:marRight w:val="0"/>
      <w:marTop w:val="0"/>
      <w:marBottom w:val="0"/>
      <w:divBdr>
        <w:top w:val="none" w:sz="0" w:space="0" w:color="auto"/>
        <w:left w:val="none" w:sz="0" w:space="0" w:color="auto"/>
        <w:bottom w:val="none" w:sz="0" w:space="0" w:color="auto"/>
        <w:right w:val="none" w:sz="0" w:space="0" w:color="auto"/>
      </w:divBdr>
    </w:div>
    <w:div w:id="474226301">
      <w:bodyDiv w:val="1"/>
      <w:marLeft w:val="0"/>
      <w:marRight w:val="0"/>
      <w:marTop w:val="0"/>
      <w:marBottom w:val="0"/>
      <w:divBdr>
        <w:top w:val="none" w:sz="0" w:space="0" w:color="auto"/>
        <w:left w:val="none" w:sz="0" w:space="0" w:color="auto"/>
        <w:bottom w:val="none" w:sz="0" w:space="0" w:color="auto"/>
        <w:right w:val="none" w:sz="0" w:space="0" w:color="auto"/>
      </w:divBdr>
    </w:div>
    <w:div w:id="498884580">
      <w:bodyDiv w:val="1"/>
      <w:marLeft w:val="0"/>
      <w:marRight w:val="0"/>
      <w:marTop w:val="0"/>
      <w:marBottom w:val="0"/>
      <w:divBdr>
        <w:top w:val="none" w:sz="0" w:space="0" w:color="auto"/>
        <w:left w:val="none" w:sz="0" w:space="0" w:color="auto"/>
        <w:bottom w:val="none" w:sz="0" w:space="0" w:color="auto"/>
        <w:right w:val="none" w:sz="0" w:space="0" w:color="auto"/>
      </w:divBdr>
    </w:div>
    <w:div w:id="521630806">
      <w:bodyDiv w:val="1"/>
      <w:marLeft w:val="0"/>
      <w:marRight w:val="0"/>
      <w:marTop w:val="0"/>
      <w:marBottom w:val="0"/>
      <w:divBdr>
        <w:top w:val="none" w:sz="0" w:space="0" w:color="auto"/>
        <w:left w:val="none" w:sz="0" w:space="0" w:color="auto"/>
        <w:bottom w:val="none" w:sz="0" w:space="0" w:color="auto"/>
        <w:right w:val="none" w:sz="0" w:space="0" w:color="auto"/>
      </w:divBdr>
    </w:div>
    <w:div w:id="530411729">
      <w:bodyDiv w:val="1"/>
      <w:marLeft w:val="0"/>
      <w:marRight w:val="0"/>
      <w:marTop w:val="0"/>
      <w:marBottom w:val="0"/>
      <w:divBdr>
        <w:top w:val="none" w:sz="0" w:space="0" w:color="auto"/>
        <w:left w:val="none" w:sz="0" w:space="0" w:color="auto"/>
        <w:bottom w:val="none" w:sz="0" w:space="0" w:color="auto"/>
        <w:right w:val="none" w:sz="0" w:space="0" w:color="auto"/>
      </w:divBdr>
    </w:div>
    <w:div w:id="546995541">
      <w:bodyDiv w:val="1"/>
      <w:marLeft w:val="0"/>
      <w:marRight w:val="0"/>
      <w:marTop w:val="0"/>
      <w:marBottom w:val="0"/>
      <w:divBdr>
        <w:top w:val="none" w:sz="0" w:space="0" w:color="auto"/>
        <w:left w:val="none" w:sz="0" w:space="0" w:color="auto"/>
        <w:bottom w:val="none" w:sz="0" w:space="0" w:color="auto"/>
        <w:right w:val="none" w:sz="0" w:space="0" w:color="auto"/>
      </w:divBdr>
    </w:div>
    <w:div w:id="588998793">
      <w:bodyDiv w:val="1"/>
      <w:marLeft w:val="0"/>
      <w:marRight w:val="0"/>
      <w:marTop w:val="0"/>
      <w:marBottom w:val="0"/>
      <w:divBdr>
        <w:top w:val="none" w:sz="0" w:space="0" w:color="auto"/>
        <w:left w:val="none" w:sz="0" w:space="0" w:color="auto"/>
        <w:bottom w:val="none" w:sz="0" w:space="0" w:color="auto"/>
        <w:right w:val="none" w:sz="0" w:space="0" w:color="auto"/>
      </w:divBdr>
    </w:div>
    <w:div w:id="622662056">
      <w:bodyDiv w:val="1"/>
      <w:marLeft w:val="0"/>
      <w:marRight w:val="0"/>
      <w:marTop w:val="0"/>
      <w:marBottom w:val="0"/>
      <w:divBdr>
        <w:top w:val="none" w:sz="0" w:space="0" w:color="auto"/>
        <w:left w:val="none" w:sz="0" w:space="0" w:color="auto"/>
        <w:bottom w:val="none" w:sz="0" w:space="0" w:color="auto"/>
        <w:right w:val="none" w:sz="0" w:space="0" w:color="auto"/>
      </w:divBdr>
    </w:div>
    <w:div w:id="631524876">
      <w:bodyDiv w:val="1"/>
      <w:marLeft w:val="0"/>
      <w:marRight w:val="0"/>
      <w:marTop w:val="0"/>
      <w:marBottom w:val="0"/>
      <w:divBdr>
        <w:top w:val="none" w:sz="0" w:space="0" w:color="auto"/>
        <w:left w:val="none" w:sz="0" w:space="0" w:color="auto"/>
        <w:bottom w:val="none" w:sz="0" w:space="0" w:color="auto"/>
        <w:right w:val="none" w:sz="0" w:space="0" w:color="auto"/>
      </w:divBdr>
    </w:div>
    <w:div w:id="636954640">
      <w:bodyDiv w:val="1"/>
      <w:marLeft w:val="0"/>
      <w:marRight w:val="0"/>
      <w:marTop w:val="0"/>
      <w:marBottom w:val="0"/>
      <w:divBdr>
        <w:top w:val="none" w:sz="0" w:space="0" w:color="auto"/>
        <w:left w:val="none" w:sz="0" w:space="0" w:color="auto"/>
        <w:bottom w:val="none" w:sz="0" w:space="0" w:color="auto"/>
        <w:right w:val="none" w:sz="0" w:space="0" w:color="auto"/>
      </w:divBdr>
    </w:div>
    <w:div w:id="646596715">
      <w:bodyDiv w:val="1"/>
      <w:marLeft w:val="0"/>
      <w:marRight w:val="0"/>
      <w:marTop w:val="0"/>
      <w:marBottom w:val="0"/>
      <w:divBdr>
        <w:top w:val="none" w:sz="0" w:space="0" w:color="auto"/>
        <w:left w:val="none" w:sz="0" w:space="0" w:color="auto"/>
        <w:bottom w:val="none" w:sz="0" w:space="0" w:color="auto"/>
        <w:right w:val="none" w:sz="0" w:space="0" w:color="auto"/>
      </w:divBdr>
    </w:div>
    <w:div w:id="669018745">
      <w:bodyDiv w:val="1"/>
      <w:marLeft w:val="0"/>
      <w:marRight w:val="0"/>
      <w:marTop w:val="0"/>
      <w:marBottom w:val="0"/>
      <w:divBdr>
        <w:top w:val="none" w:sz="0" w:space="0" w:color="auto"/>
        <w:left w:val="none" w:sz="0" w:space="0" w:color="auto"/>
        <w:bottom w:val="none" w:sz="0" w:space="0" w:color="auto"/>
        <w:right w:val="none" w:sz="0" w:space="0" w:color="auto"/>
      </w:divBdr>
    </w:div>
    <w:div w:id="679351289">
      <w:bodyDiv w:val="1"/>
      <w:marLeft w:val="0"/>
      <w:marRight w:val="0"/>
      <w:marTop w:val="0"/>
      <w:marBottom w:val="0"/>
      <w:divBdr>
        <w:top w:val="none" w:sz="0" w:space="0" w:color="auto"/>
        <w:left w:val="none" w:sz="0" w:space="0" w:color="auto"/>
        <w:bottom w:val="none" w:sz="0" w:space="0" w:color="auto"/>
        <w:right w:val="none" w:sz="0" w:space="0" w:color="auto"/>
      </w:divBdr>
    </w:div>
    <w:div w:id="709768472">
      <w:bodyDiv w:val="1"/>
      <w:marLeft w:val="0"/>
      <w:marRight w:val="0"/>
      <w:marTop w:val="0"/>
      <w:marBottom w:val="0"/>
      <w:divBdr>
        <w:top w:val="none" w:sz="0" w:space="0" w:color="auto"/>
        <w:left w:val="none" w:sz="0" w:space="0" w:color="auto"/>
        <w:bottom w:val="none" w:sz="0" w:space="0" w:color="auto"/>
        <w:right w:val="none" w:sz="0" w:space="0" w:color="auto"/>
      </w:divBdr>
    </w:div>
    <w:div w:id="727991793">
      <w:bodyDiv w:val="1"/>
      <w:marLeft w:val="0"/>
      <w:marRight w:val="0"/>
      <w:marTop w:val="0"/>
      <w:marBottom w:val="0"/>
      <w:divBdr>
        <w:top w:val="none" w:sz="0" w:space="0" w:color="auto"/>
        <w:left w:val="none" w:sz="0" w:space="0" w:color="auto"/>
        <w:bottom w:val="none" w:sz="0" w:space="0" w:color="auto"/>
        <w:right w:val="none" w:sz="0" w:space="0" w:color="auto"/>
      </w:divBdr>
    </w:div>
    <w:div w:id="772897932">
      <w:bodyDiv w:val="1"/>
      <w:marLeft w:val="0"/>
      <w:marRight w:val="0"/>
      <w:marTop w:val="0"/>
      <w:marBottom w:val="0"/>
      <w:divBdr>
        <w:top w:val="none" w:sz="0" w:space="0" w:color="auto"/>
        <w:left w:val="none" w:sz="0" w:space="0" w:color="auto"/>
        <w:bottom w:val="none" w:sz="0" w:space="0" w:color="auto"/>
        <w:right w:val="none" w:sz="0" w:space="0" w:color="auto"/>
      </w:divBdr>
    </w:div>
    <w:div w:id="777142644">
      <w:bodyDiv w:val="1"/>
      <w:marLeft w:val="0"/>
      <w:marRight w:val="0"/>
      <w:marTop w:val="0"/>
      <w:marBottom w:val="0"/>
      <w:divBdr>
        <w:top w:val="none" w:sz="0" w:space="0" w:color="auto"/>
        <w:left w:val="none" w:sz="0" w:space="0" w:color="auto"/>
        <w:bottom w:val="none" w:sz="0" w:space="0" w:color="auto"/>
        <w:right w:val="none" w:sz="0" w:space="0" w:color="auto"/>
      </w:divBdr>
    </w:div>
    <w:div w:id="789978370">
      <w:marLeft w:val="0"/>
      <w:marRight w:val="0"/>
      <w:marTop w:val="0"/>
      <w:marBottom w:val="0"/>
      <w:divBdr>
        <w:top w:val="none" w:sz="0" w:space="0" w:color="auto"/>
        <w:left w:val="none" w:sz="0" w:space="0" w:color="auto"/>
        <w:bottom w:val="none" w:sz="0" w:space="0" w:color="auto"/>
        <w:right w:val="none" w:sz="0" w:space="0" w:color="auto"/>
      </w:divBdr>
    </w:div>
    <w:div w:id="789978371">
      <w:marLeft w:val="0"/>
      <w:marRight w:val="0"/>
      <w:marTop w:val="0"/>
      <w:marBottom w:val="0"/>
      <w:divBdr>
        <w:top w:val="none" w:sz="0" w:space="0" w:color="auto"/>
        <w:left w:val="none" w:sz="0" w:space="0" w:color="auto"/>
        <w:bottom w:val="none" w:sz="0" w:space="0" w:color="auto"/>
        <w:right w:val="none" w:sz="0" w:space="0" w:color="auto"/>
      </w:divBdr>
    </w:div>
    <w:div w:id="789978372">
      <w:marLeft w:val="0"/>
      <w:marRight w:val="0"/>
      <w:marTop w:val="0"/>
      <w:marBottom w:val="0"/>
      <w:divBdr>
        <w:top w:val="none" w:sz="0" w:space="0" w:color="auto"/>
        <w:left w:val="none" w:sz="0" w:space="0" w:color="auto"/>
        <w:bottom w:val="none" w:sz="0" w:space="0" w:color="auto"/>
        <w:right w:val="none" w:sz="0" w:space="0" w:color="auto"/>
      </w:divBdr>
    </w:div>
    <w:div w:id="789978373">
      <w:marLeft w:val="0"/>
      <w:marRight w:val="0"/>
      <w:marTop w:val="0"/>
      <w:marBottom w:val="0"/>
      <w:divBdr>
        <w:top w:val="none" w:sz="0" w:space="0" w:color="auto"/>
        <w:left w:val="none" w:sz="0" w:space="0" w:color="auto"/>
        <w:bottom w:val="none" w:sz="0" w:space="0" w:color="auto"/>
        <w:right w:val="none" w:sz="0" w:space="0" w:color="auto"/>
      </w:divBdr>
    </w:div>
    <w:div w:id="789978374">
      <w:marLeft w:val="0"/>
      <w:marRight w:val="0"/>
      <w:marTop w:val="0"/>
      <w:marBottom w:val="0"/>
      <w:divBdr>
        <w:top w:val="none" w:sz="0" w:space="0" w:color="auto"/>
        <w:left w:val="none" w:sz="0" w:space="0" w:color="auto"/>
        <w:bottom w:val="none" w:sz="0" w:space="0" w:color="auto"/>
        <w:right w:val="none" w:sz="0" w:space="0" w:color="auto"/>
      </w:divBdr>
    </w:div>
    <w:div w:id="789978375">
      <w:marLeft w:val="0"/>
      <w:marRight w:val="0"/>
      <w:marTop w:val="0"/>
      <w:marBottom w:val="0"/>
      <w:divBdr>
        <w:top w:val="none" w:sz="0" w:space="0" w:color="auto"/>
        <w:left w:val="none" w:sz="0" w:space="0" w:color="auto"/>
        <w:bottom w:val="none" w:sz="0" w:space="0" w:color="auto"/>
        <w:right w:val="none" w:sz="0" w:space="0" w:color="auto"/>
      </w:divBdr>
    </w:div>
    <w:div w:id="789978376">
      <w:marLeft w:val="0"/>
      <w:marRight w:val="0"/>
      <w:marTop w:val="0"/>
      <w:marBottom w:val="0"/>
      <w:divBdr>
        <w:top w:val="none" w:sz="0" w:space="0" w:color="auto"/>
        <w:left w:val="none" w:sz="0" w:space="0" w:color="auto"/>
        <w:bottom w:val="none" w:sz="0" w:space="0" w:color="auto"/>
        <w:right w:val="none" w:sz="0" w:space="0" w:color="auto"/>
      </w:divBdr>
    </w:div>
    <w:div w:id="789978377">
      <w:marLeft w:val="0"/>
      <w:marRight w:val="0"/>
      <w:marTop w:val="0"/>
      <w:marBottom w:val="0"/>
      <w:divBdr>
        <w:top w:val="none" w:sz="0" w:space="0" w:color="auto"/>
        <w:left w:val="none" w:sz="0" w:space="0" w:color="auto"/>
        <w:bottom w:val="none" w:sz="0" w:space="0" w:color="auto"/>
        <w:right w:val="none" w:sz="0" w:space="0" w:color="auto"/>
      </w:divBdr>
    </w:div>
    <w:div w:id="789978378">
      <w:marLeft w:val="0"/>
      <w:marRight w:val="0"/>
      <w:marTop w:val="0"/>
      <w:marBottom w:val="0"/>
      <w:divBdr>
        <w:top w:val="none" w:sz="0" w:space="0" w:color="auto"/>
        <w:left w:val="none" w:sz="0" w:space="0" w:color="auto"/>
        <w:bottom w:val="none" w:sz="0" w:space="0" w:color="auto"/>
        <w:right w:val="none" w:sz="0" w:space="0" w:color="auto"/>
      </w:divBdr>
    </w:div>
    <w:div w:id="789978379">
      <w:marLeft w:val="0"/>
      <w:marRight w:val="0"/>
      <w:marTop w:val="0"/>
      <w:marBottom w:val="0"/>
      <w:divBdr>
        <w:top w:val="none" w:sz="0" w:space="0" w:color="auto"/>
        <w:left w:val="none" w:sz="0" w:space="0" w:color="auto"/>
        <w:bottom w:val="none" w:sz="0" w:space="0" w:color="auto"/>
        <w:right w:val="none" w:sz="0" w:space="0" w:color="auto"/>
      </w:divBdr>
    </w:div>
    <w:div w:id="789978380">
      <w:marLeft w:val="0"/>
      <w:marRight w:val="0"/>
      <w:marTop w:val="0"/>
      <w:marBottom w:val="0"/>
      <w:divBdr>
        <w:top w:val="none" w:sz="0" w:space="0" w:color="auto"/>
        <w:left w:val="none" w:sz="0" w:space="0" w:color="auto"/>
        <w:bottom w:val="none" w:sz="0" w:space="0" w:color="auto"/>
        <w:right w:val="none" w:sz="0" w:space="0" w:color="auto"/>
      </w:divBdr>
    </w:div>
    <w:div w:id="789978381">
      <w:marLeft w:val="0"/>
      <w:marRight w:val="0"/>
      <w:marTop w:val="0"/>
      <w:marBottom w:val="0"/>
      <w:divBdr>
        <w:top w:val="none" w:sz="0" w:space="0" w:color="auto"/>
        <w:left w:val="none" w:sz="0" w:space="0" w:color="auto"/>
        <w:bottom w:val="none" w:sz="0" w:space="0" w:color="auto"/>
        <w:right w:val="none" w:sz="0" w:space="0" w:color="auto"/>
      </w:divBdr>
    </w:div>
    <w:div w:id="789978382">
      <w:marLeft w:val="0"/>
      <w:marRight w:val="0"/>
      <w:marTop w:val="0"/>
      <w:marBottom w:val="0"/>
      <w:divBdr>
        <w:top w:val="none" w:sz="0" w:space="0" w:color="auto"/>
        <w:left w:val="none" w:sz="0" w:space="0" w:color="auto"/>
        <w:bottom w:val="none" w:sz="0" w:space="0" w:color="auto"/>
        <w:right w:val="none" w:sz="0" w:space="0" w:color="auto"/>
      </w:divBdr>
    </w:div>
    <w:div w:id="789978383">
      <w:marLeft w:val="0"/>
      <w:marRight w:val="0"/>
      <w:marTop w:val="0"/>
      <w:marBottom w:val="0"/>
      <w:divBdr>
        <w:top w:val="none" w:sz="0" w:space="0" w:color="auto"/>
        <w:left w:val="none" w:sz="0" w:space="0" w:color="auto"/>
        <w:bottom w:val="none" w:sz="0" w:space="0" w:color="auto"/>
        <w:right w:val="none" w:sz="0" w:space="0" w:color="auto"/>
      </w:divBdr>
    </w:div>
    <w:div w:id="789978384">
      <w:marLeft w:val="0"/>
      <w:marRight w:val="0"/>
      <w:marTop w:val="0"/>
      <w:marBottom w:val="0"/>
      <w:divBdr>
        <w:top w:val="none" w:sz="0" w:space="0" w:color="auto"/>
        <w:left w:val="none" w:sz="0" w:space="0" w:color="auto"/>
        <w:bottom w:val="none" w:sz="0" w:space="0" w:color="auto"/>
        <w:right w:val="none" w:sz="0" w:space="0" w:color="auto"/>
      </w:divBdr>
    </w:div>
    <w:div w:id="789978385">
      <w:marLeft w:val="0"/>
      <w:marRight w:val="0"/>
      <w:marTop w:val="0"/>
      <w:marBottom w:val="0"/>
      <w:divBdr>
        <w:top w:val="none" w:sz="0" w:space="0" w:color="auto"/>
        <w:left w:val="none" w:sz="0" w:space="0" w:color="auto"/>
        <w:bottom w:val="none" w:sz="0" w:space="0" w:color="auto"/>
        <w:right w:val="none" w:sz="0" w:space="0" w:color="auto"/>
      </w:divBdr>
    </w:div>
    <w:div w:id="789978386">
      <w:marLeft w:val="0"/>
      <w:marRight w:val="0"/>
      <w:marTop w:val="0"/>
      <w:marBottom w:val="0"/>
      <w:divBdr>
        <w:top w:val="none" w:sz="0" w:space="0" w:color="auto"/>
        <w:left w:val="none" w:sz="0" w:space="0" w:color="auto"/>
        <w:bottom w:val="none" w:sz="0" w:space="0" w:color="auto"/>
        <w:right w:val="none" w:sz="0" w:space="0" w:color="auto"/>
      </w:divBdr>
    </w:div>
    <w:div w:id="789978387">
      <w:marLeft w:val="0"/>
      <w:marRight w:val="0"/>
      <w:marTop w:val="0"/>
      <w:marBottom w:val="0"/>
      <w:divBdr>
        <w:top w:val="none" w:sz="0" w:space="0" w:color="auto"/>
        <w:left w:val="none" w:sz="0" w:space="0" w:color="auto"/>
        <w:bottom w:val="none" w:sz="0" w:space="0" w:color="auto"/>
        <w:right w:val="none" w:sz="0" w:space="0" w:color="auto"/>
      </w:divBdr>
    </w:div>
    <w:div w:id="789978388">
      <w:marLeft w:val="0"/>
      <w:marRight w:val="0"/>
      <w:marTop w:val="0"/>
      <w:marBottom w:val="0"/>
      <w:divBdr>
        <w:top w:val="none" w:sz="0" w:space="0" w:color="auto"/>
        <w:left w:val="none" w:sz="0" w:space="0" w:color="auto"/>
        <w:bottom w:val="none" w:sz="0" w:space="0" w:color="auto"/>
        <w:right w:val="none" w:sz="0" w:space="0" w:color="auto"/>
      </w:divBdr>
    </w:div>
    <w:div w:id="789978389">
      <w:marLeft w:val="0"/>
      <w:marRight w:val="0"/>
      <w:marTop w:val="0"/>
      <w:marBottom w:val="0"/>
      <w:divBdr>
        <w:top w:val="none" w:sz="0" w:space="0" w:color="auto"/>
        <w:left w:val="none" w:sz="0" w:space="0" w:color="auto"/>
        <w:bottom w:val="none" w:sz="0" w:space="0" w:color="auto"/>
        <w:right w:val="none" w:sz="0" w:space="0" w:color="auto"/>
      </w:divBdr>
    </w:div>
    <w:div w:id="789978390">
      <w:marLeft w:val="0"/>
      <w:marRight w:val="0"/>
      <w:marTop w:val="0"/>
      <w:marBottom w:val="0"/>
      <w:divBdr>
        <w:top w:val="none" w:sz="0" w:space="0" w:color="auto"/>
        <w:left w:val="none" w:sz="0" w:space="0" w:color="auto"/>
        <w:bottom w:val="none" w:sz="0" w:space="0" w:color="auto"/>
        <w:right w:val="none" w:sz="0" w:space="0" w:color="auto"/>
      </w:divBdr>
    </w:div>
    <w:div w:id="789978391">
      <w:marLeft w:val="0"/>
      <w:marRight w:val="0"/>
      <w:marTop w:val="0"/>
      <w:marBottom w:val="0"/>
      <w:divBdr>
        <w:top w:val="none" w:sz="0" w:space="0" w:color="auto"/>
        <w:left w:val="none" w:sz="0" w:space="0" w:color="auto"/>
        <w:bottom w:val="none" w:sz="0" w:space="0" w:color="auto"/>
        <w:right w:val="none" w:sz="0" w:space="0" w:color="auto"/>
      </w:divBdr>
    </w:div>
    <w:div w:id="789978392">
      <w:marLeft w:val="0"/>
      <w:marRight w:val="0"/>
      <w:marTop w:val="0"/>
      <w:marBottom w:val="0"/>
      <w:divBdr>
        <w:top w:val="none" w:sz="0" w:space="0" w:color="auto"/>
        <w:left w:val="none" w:sz="0" w:space="0" w:color="auto"/>
        <w:bottom w:val="none" w:sz="0" w:space="0" w:color="auto"/>
        <w:right w:val="none" w:sz="0" w:space="0" w:color="auto"/>
      </w:divBdr>
    </w:div>
    <w:div w:id="789978393">
      <w:marLeft w:val="0"/>
      <w:marRight w:val="0"/>
      <w:marTop w:val="0"/>
      <w:marBottom w:val="0"/>
      <w:divBdr>
        <w:top w:val="none" w:sz="0" w:space="0" w:color="auto"/>
        <w:left w:val="none" w:sz="0" w:space="0" w:color="auto"/>
        <w:bottom w:val="none" w:sz="0" w:space="0" w:color="auto"/>
        <w:right w:val="none" w:sz="0" w:space="0" w:color="auto"/>
      </w:divBdr>
    </w:div>
    <w:div w:id="789978394">
      <w:marLeft w:val="0"/>
      <w:marRight w:val="0"/>
      <w:marTop w:val="0"/>
      <w:marBottom w:val="0"/>
      <w:divBdr>
        <w:top w:val="none" w:sz="0" w:space="0" w:color="auto"/>
        <w:left w:val="none" w:sz="0" w:space="0" w:color="auto"/>
        <w:bottom w:val="none" w:sz="0" w:space="0" w:color="auto"/>
        <w:right w:val="none" w:sz="0" w:space="0" w:color="auto"/>
      </w:divBdr>
    </w:div>
    <w:div w:id="789978395">
      <w:marLeft w:val="0"/>
      <w:marRight w:val="0"/>
      <w:marTop w:val="0"/>
      <w:marBottom w:val="0"/>
      <w:divBdr>
        <w:top w:val="none" w:sz="0" w:space="0" w:color="auto"/>
        <w:left w:val="none" w:sz="0" w:space="0" w:color="auto"/>
        <w:bottom w:val="none" w:sz="0" w:space="0" w:color="auto"/>
        <w:right w:val="none" w:sz="0" w:space="0" w:color="auto"/>
      </w:divBdr>
    </w:div>
    <w:div w:id="789978396">
      <w:marLeft w:val="0"/>
      <w:marRight w:val="0"/>
      <w:marTop w:val="0"/>
      <w:marBottom w:val="0"/>
      <w:divBdr>
        <w:top w:val="none" w:sz="0" w:space="0" w:color="auto"/>
        <w:left w:val="none" w:sz="0" w:space="0" w:color="auto"/>
        <w:bottom w:val="none" w:sz="0" w:space="0" w:color="auto"/>
        <w:right w:val="none" w:sz="0" w:space="0" w:color="auto"/>
      </w:divBdr>
    </w:div>
    <w:div w:id="789978397">
      <w:marLeft w:val="0"/>
      <w:marRight w:val="0"/>
      <w:marTop w:val="0"/>
      <w:marBottom w:val="0"/>
      <w:divBdr>
        <w:top w:val="none" w:sz="0" w:space="0" w:color="auto"/>
        <w:left w:val="none" w:sz="0" w:space="0" w:color="auto"/>
        <w:bottom w:val="none" w:sz="0" w:space="0" w:color="auto"/>
        <w:right w:val="none" w:sz="0" w:space="0" w:color="auto"/>
      </w:divBdr>
    </w:div>
    <w:div w:id="789978398">
      <w:marLeft w:val="0"/>
      <w:marRight w:val="0"/>
      <w:marTop w:val="0"/>
      <w:marBottom w:val="0"/>
      <w:divBdr>
        <w:top w:val="none" w:sz="0" w:space="0" w:color="auto"/>
        <w:left w:val="none" w:sz="0" w:space="0" w:color="auto"/>
        <w:bottom w:val="none" w:sz="0" w:space="0" w:color="auto"/>
        <w:right w:val="none" w:sz="0" w:space="0" w:color="auto"/>
      </w:divBdr>
    </w:div>
    <w:div w:id="789978399">
      <w:marLeft w:val="0"/>
      <w:marRight w:val="0"/>
      <w:marTop w:val="0"/>
      <w:marBottom w:val="0"/>
      <w:divBdr>
        <w:top w:val="none" w:sz="0" w:space="0" w:color="auto"/>
        <w:left w:val="none" w:sz="0" w:space="0" w:color="auto"/>
        <w:bottom w:val="none" w:sz="0" w:space="0" w:color="auto"/>
        <w:right w:val="none" w:sz="0" w:space="0" w:color="auto"/>
      </w:divBdr>
    </w:div>
    <w:div w:id="789978400">
      <w:marLeft w:val="0"/>
      <w:marRight w:val="0"/>
      <w:marTop w:val="0"/>
      <w:marBottom w:val="0"/>
      <w:divBdr>
        <w:top w:val="none" w:sz="0" w:space="0" w:color="auto"/>
        <w:left w:val="none" w:sz="0" w:space="0" w:color="auto"/>
        <w:bottom w:val="none" w:sz="0" w:space="0" w:color="auto"/>
        <w:right w:val="none" w:sz="0" w:space="0" w:color="auto"/>
      </w:divBdr>
    </w:div>
    <w:div w:id="789978401">
      <w:marLeft w:val="0"/>
      <w:marRight w:val="0"/>
      <w:marTop w:val="0"/>
      <w:marBottom w:val="0"/>
      <w:divBdr>
        <w:top w:val="none" w:sz="0" w:space="0" w:color="auto"/>
        <w:left w:val="none" w:sz="0" w:space="0" w:color="auto"/>
        <w:bottom w:val="none" w:sz="0" w:space="0" w:color="auto"/>
        <w:right w:val="none" w:sz="0" w:space="0" w:color="auto"/>
      </w:divBdr>
    </w:div>
    <w:div w:id="789978402">
      <w:marLeft w:val="0"/>
      <w:marRight w:val="0"/>
      <w:marTop w:val="0"/>
      <w:marBottom w:val="0"/>
      <w:divBdr>
        <w:top w:val="none" w:sz="0" w:space="0" w:color="auto"/>
        <w:left w:val="none" w:sz="0" w:space="0" w:color="auto"/>
        <w:bottom w:val="none" w:sz="0" w:space="0" w:color="auto"/>
        <w:right w:val="none" w:sz="0" w:space="0" w:color="auto"/>
      </w:divBdr>
    </w:div>
    <w:div w:id="789978403">
      <w:marLeft w:val="0"/>
      <w:marRight w:val="0"/>
      <w:marTop w:val="0"/>
      <w:marBottom w:val="0"/>
      <w:divBdr>
        <w:top w:val="none" w:sz="0" w:space="0" w:color="auto"/>
        <w:left w:val="none" w:sz="0" w:space="0" w:color="auto"/>
        <w:bottom w:val="none" w:sz="0" w:space="0" w:color="auto"/>
        <w:right w:val="none" w:sz="0" w:space="0" w:color="auto"/>
      </w:divBdr>
    </w:div>
    <w:div w:id="789978404">
      <w:marLeft w:val="0"/>
      <w:marRight w:val="0"/>
      <w:marTop w:val="0"/>
      <w:marBottom w:val="0"/>
      <w:divBdr>
        <w:top w:val="none" w:sz="0" w:space="0" w:color="auto"/>
        <w:left w:val="none" w:sz="0" w:space="0" w:color="auto"/>
        <w:bottom w:val="none" w:sz="0" w:space="0" w:color="auto"/>
        <w:right w:val="none" w:sz="0" w:space="0" w:color="auto"/>
      </w:divBdr>
    </w:div>
    <w:div w:id="789978405">
      <w:marLeft w:val="0"/>
      <w:marRight w:val="0"/>
      <w:marTop w:val="0"/>
      <w:marBottom w:val="0"/>
      <w:divBdr>
        <w:top w:val="none" w:sz="0" w:space="0" w:color="auto"/>
        <w:left w:val="none" w:sz="0" w:space="0" w:color="auto"/>
        <w:bottom w:val="none" w:sz="0" w:space="0" w:color="auto"/>
        <w:right w:val="none" w:sz="0" w:space="0" w:color="auto"/>
      </w:divBdr>
    </w:div>
    <w:div w:id="789978406">
      <w:marLeft w:val="0"/>
      <w:marRight w:val="0"/>
      <w:marTop w:val="0"/>
      <w:marBottom w:val="0"/>
      <w:divBdr>
        <w:top w:val="none" w:sz="0" w:space="0" w:color="auto"/>
        <w:left w:val="none" w:sz="0" w:space="0" w:color="auto"/>
        <w:bottom w:val="none" w:sz="0" w:space="0" w:color="auto"/>
        <w:right w:val="none" w:sz="0" w:space="0" w:color="auto"/>
      </w:divBdr>
    </w:div>
    <w:div w:id="789978407">
      <w:marLeft w:val="0"/>
      <w:marRight w:val="0"/>
      <w:marTop w:val="0"/>
      <w:marBottom w:val="0"/>
      <w:divBdr>
        <w:top w:val="none" w:sz="0" w:space="0" w:color="auto"/>
        <w:left w:val="none" w:sz="0" w:space="0" w:color="auto"/>
        <w:bottom w:val="none" w:sz="0" w:space="0" w:color="auto"/>
        <w:right w:val="none" w:sz="0" w:space="0" w:color="auto"/>
      </w:divBdr>
    </w:div>
    <w:div w:id="789978408">
      <w:marLeft w:val="0"/>
      <w:marRight w:val="0"/>
      <w:marTop w:val="0"/>
      <w:marBottom w:val="0"/>
      <w:divBdr>
        <w:top w:val="none" w:sz="0" w:space="0" w:color="auto"/>
        <w:left w:val="none" w:sz="0" w:space="0" w:color="auto"/>
        <w:bottom w:val="none" w:sz="0" w:space="0" w:color="auto"/>
        <w:right w:val="none" w:sz="0" w:space="0" w:color="auto"/>
      </w:divBdr>
    </w:div>
    <w:div w:id="789978409">
      <w:marLeft w:val="0"/>
      <w:marRight w:val="0"/>
      <w:marTop w:val="0"/>
      <w:marBottom w:val="0"/>
      <w:divBdr>
        <w:top w:val="none" w:sz="0" w:space="0" w:color="auto"/>
        <w:left w:val="none" w:sz="0" w:space="0" w:color="auto"/>
        <w:bottom w:val="none" w:sz="0" w:space="0" w:color="auto"/>
        <w:right w:val="none" w:sz="0" w:space="0" w:color="auto"/>
      </w:divBdr>
    </w:div>
    <w:div w:id="789978410">
      <w:marLeft w:val="0"/>
      <w:marRight w:val="0"/>
      <w:marTop w:val="0"/>
      <w:marBottom w:val="0"/>
      <w:divBdr>
        <w:top w:val="none" w:sz="0" w:space="0" w:color="auto"/>
        <w:left w:val="none" w:sz="0" w:space="0" w:color="auto"/>
        <w:bottom w:val="none" w:sz="0" w:space="0" w:color="auto"/>
        <w:right w:val="none" w:sz="0" w:space="0" w:color="auto"/>
      </w:divBdr>
    </w:div>
    <w:div w:id="789978411">
      <w:marLeft w:val="0"/>
      <w:marRight w:val="0"/>
      <w:marTop w:val="0"/>
      <w:marBottom w:val="0"/>
      <w:divBdr>
        <w:top w:val="none" w:sz="0" w:space="0" w:color="auto"/>
        <w:left w:val="none" w:sz="0" w:space="0" w:color="auto"/>
        <w:bottom w:val="none" w:sz="0" w:space="0" w:color="auto"/>
        <w:right w:val="none" w:sz="0" w:space="0" w:color="auto"/>
      </w:divBdr>
    </w:div>
    <w:div w:id="789978412">
      <w:marLeft w:val="0"/>
      <w:marRight w:val="0"/>
      <w:marTop w:val="0"/>
      <w:marBottom w:val="0"/>
      <w:divBdr>
        <w:top w:val="none" w:sz="0" w:space="0" w:color="auto"/>
        <w:left w:val="none" w:sz="0" w:space="0" w:color="auto"/>
        <w:bottom w:val="none" w:sz="0" w:space="0" w:color="auto"/>
        <w:right w:val="none" w:sz="0" w:space="0" w:color="auto"/>
      </w:divBdr>
    </w:div>
    <w:div w:id="789978413">
      <w:marLeft w:val="0"/>
      <w:marRight w:val="0"/>
      <w:marTop w:val="0"/>
      <w:marBottom w:val="0"/>
      <w:divBdr>
        <w:top w:val="none" w:sz="0" w:space="0" w:color="auto"/>
        <w:left w:val="none" w:sz="0" w:space="0" w:color="auto"/>
        <w:bottom w:val="none" w:sz="0" w:space="0" w:color="auto"/>
        <w:right w:val="none" w:sz="0" w:space="0" w:color="auto"/>
      </w:divBdr>
    </w:div>
    <w:div w:id="789978414">
      <w:marLeft w:val="0"/>
      <w:marRight w:val="0"/>
      <w:marTop w:val="0"/>
      <w:marBottom w:val="0"/>
      <w:divBdr>
        <w:top w:val="none" w:sz="0" w:space="0" w:color="auto"/>
        <w:left w:val="none" w:sz="0" w:space="0" w:color="auto"/>
        <w:bottom w:val="none" w:sz="0" w:space="0" w:color="auto"/>
        <w:right w:val="none" w:sz="0" w:space="0" w:color="auto"/>
      </w:divBdr>
    </w:div>
    <w:div w:id="789978415">
      <w:marLeft w:val="0"/>
      <w:marRight w:val="0"/>
      <w:marTop w:val="0"/>
      <w:marBottom w:val="0"/>
      <w:divBdr>
        <w:top w:val="none" w:sz="0" w:space="0" w:color="auto"/>
        <w:left w:val="none" w:sz="0" w:space="0" w:color="auto"/>
        <w:bottom w:val="none" w:sz="0" w:space="0" w:color="auto"/>
        <w:right w:val="none" w:sz="0" w:space="0" w:color="auto"/>
      </w:divBdr>
    </w:div>
    <w:div w:id="789978416">
      <w:marLeft w:val="0"/>
      <w:marRight w:val="0"/>
      <w:marTop w:val="0"/>
      <w:marBottom w:val="0"/>
      <w:divBdr>
        <w:top w:val="none" w:sz="0" w:space="0" w:color="auto"/>
        <w:left w:val="none" w:sz="0" w:space="0" w:color="auto"/>
        <w:bottom w:val="none" w:sz="0" w:space="0" w:color="auto"/>
        <w:right w:val="none" w:sz="0" w:space="0" w:color="auto"/>
      </w:divBdr>
    </w:div>
    <w:div w:id="789978417">
      <w:marLeft w:val="0"/>
      <w:marRight w:val="0"/>
      <w:marTop w:val="0"/>
      <w:marBottom w:val="0"/>
      <w:divBdr>
        <w:top w:val="none" w:sz="0" w:space="0" w:color="auto"/>
        <w:left w:val="none" w:sz="0" w:space="0" w:color="auto"/>
        <w:bottom w:val="none" w:sz="0" w:space="0" w:color="auto"/>
        <w:right w:val="none" w:sz="0" w:space="0" w:color="auto"/>
      </w:divBdr>
    </w:div>
    <w:div w:id="789978418">
      <w:marLeft w:val="0"/>
      <w:marRight w:val="0"/>
      <w:marTop w:val="0"/>
      <w:marBottom w:val="0"/>
      <w:divBdr>
        <w:top w:val="none" w:sz="0" w:space="0" w:color="auto"/>
        <w:left w:val="none" w:sz="0" w:space="0" w:color="auto"/>
        <w:bottom w:val="none" w:sz="0" w:space="0" w:color="auto"/>
        <w:right w:val="none" w:sz="0" w:space="0" w:color="auto"/>
      </w:divBdr>
    </w:div>
    <w:div w:id="789978419">
      <w:marLeft w:val="0"/>
      <w:marRight w:val="0"/>
      <w:marTop w:val="0"/>
      <w:marBottom w:val="0"/>
      <w:divBdr>
        <w:top w:val="none" w:sz="0" w:space="0" w:color="auto"/>
        <w:left w:val="none" w:sz="0" w:space="0" w:color="auto"/>
        <w:bottom w:val="none" w:sz="0" w:space="0" w:color="auto"/>
        <w:right w:val="none" w:sz="0" w:space="0" w:color="auto"/>
      </w:divBdr>
    </w:div>
    <w:div w:id="789978420">
      <w:marLeft w:val="0"/>
      <w:marRight w:val="0"/>
      <w:marTop w:val="0"/>
      <w:marBottom w:val="0"/>
      <w:divBdr>
        <w:top w:val="none" w:sz="0" w:space="0" w:color="auto"/>
        <w:left w:val="none" w:sz="0" w:space="0" w:color="auto"/>
        <w:bottom w:val="none" w:sz="0" w:space="0" w:color="auto"/>
        <w:right w:val="none" w:sz="0" w:space="0" w:color="auto"/>
      </w:divBdr>
    </w:div>
    <w:div w:id="789978421">
      <w:marLeft w:val="0"/>
      <w:marRight w:val="0"/>
      <w:marTop w:val="0"/>
      <w:marBottom w:val="0"/>
      <w:divBdr>
        <w:top w:val="none" w:sz="0" w:space="0" w:color="auto"/>
        <w:left w:val="none" w:sz="0" w:space="0" w:color="auto"/>
        <w:bottom w:val="none" w:sz="0" w:space="0" w:color="auto"/>
        <w:right w:val="none" w:sz="0" w:space="0" w:color="auto"/>
      </w:divBdr>
    </w:div>
    <w:div w:id="789978422">
      <w:marLeft w:val="0"/>
      <w:marRight w:val="0"/>
      <w:marTop w:val="0"/>
      <w:marBottom w:val="0"/>
      <w:divBdr>
        <w:top w:val="none" w:sz="0" w:space="0" w:color="auto"/>
        <w:left w:val="none" w:sz="0" w:space="0" w:color="auto"/>
        <w:bottom w:val="none" w:sz="0" w:space="0" w:color="auto"/>
        <w:right w:val="none" w:sz="0" w:space="0" w:color="auto"/>
      </w:divBdr>
    </w:div>
    <w:div w:id="789978423">
      <w:marLeft w:val="0"/>
      <w:marRight w:val="0"/>
      <w:marTop w:val="0"/>
      <w:marBottom w:val="0"/>
      <w:divBdr>
        <w:top w:val="none" w:sz="0" w:space="0" w:color="auto"/>
        <w:left w:val="none" w:sz="0" w:space="0" w:color="auto"/>
        <w:bottom w:val="none" w:sz="0" w:space="0" w:color="auto"/>
        <w:right w:val="none" w:sz="0" w:space="0" w:color="auto"/>
      </w:divBdr>
    </w:div>
    <w:div w:id="789978424">
      <w:marLeft w:val="0"/>
      <w:marRight w:val="0"/>
      <w:marTop w:val="0"/>
      <w:marBottom w:val="0"/>
      <w:divBdr>
        <w:top w:val="none" w:sz="0" w:space="0" w:color="auto"/>
        <w:left w:val="none" w:sz="0" w:space="0" w:color="auto"/>
        <w:bottom w:val="none" w:sz="0" w:space="0" w:color="auto"/>
        <w:right w:val="none" w:sz="0" w:space="0" w:color="auto"/>
      </w:divBdr>
    </w:div>
    <w:div w:id="789978425">
      <w:marLeft w:val="0"/>
      <w:marRight w:val="0"/>
      <w:marTop w:val="0"/>
      <w:marBottom w:val="0"/>
      <w:divBdr>
        <w:top w:val="none" w:sz="0" w:space="0" w:color="auto"/>
        <w:left w:val="none" w:sz="0" w:space="0" w:color="auto"/>
        <w:bottom w:val="none" w:sz="0" w:space="0" w:color="auto"/>
        <w:right w:val="none" w:sz="0" w:space="0" w:color="auto"/>
      </w:divBdr>
    </w:div>
    <w:div w:id="789978426">
      <w:marLeft w:val="0"/>
      <w:marRight w:val="0"/>
      <w:marTop w:val="0"/>
      <w:marBottom w:val="0"/>
      <w:divBdr>
        <w:top w:val="none" w:sz="0" w:space="0" w:color="auto"/>
        <w:left w:val="none" w:sz="0" w:space="0" w:color="auto"/>
        <w:bottom w:val="none" w:sz="0" w:space="0" w:color="auto"/>
        <w:right w:val="none" w:sz="0" w:space="0" w:color="auto"/>
      </w:divBdr>
    </w:div>
    <w:div w:id="789978427">
      <w:marLeft w:val="0"/>
      <w:marRight w:val="0"/>
      <w:marTop w:val="0"/>
      <w:marBottom w:val="0"/>
      <w:divBdr>
        <w:top w:val="none" w:sz="0" w:space="0" w:color="auto"/>
        <w:left w:val="none" w:sz="0" w:space="0" w:color="auto"/>
        <w:bottom w:val="none" w:sz="0" w:space="0" w:color="auto"/>
        <w:right w:val="none" w:sz="0" w:space="0" w:color="auto"/>
      </w:divBdr>
    </w:div>
    <w:div w:id="789978428">
      <w:marLeft w:val="0"/>
      <w:marRight w:val="0"/>
      <w:marTop w:val="0"/>
      <w:marBottom w:val="0"/>
      <w:divBdr>
        <w:top w:val="none" w:sz="0" w:space="0" w:color="auto"/>
        <w:left w:val="none" w:sz="0" w:space="0" w:color="auto"/>
        <w:bottom w:val="none" w:sz="0" w:space="0" w:color="auto"/>
        <w:right w:val="none" w:sz="0" w:space="0" w:color="auto"/>
      </w:divBdr>
    </w:div>
    <w:div w:id="789978429">
      <w:marLeft w:val="0"/>
      <w:marRight w:val="0"/>
      <w:marTop w:val="0"/>
      <w:marBottom w:val="0"/>
      <w:divBdr>
        <w:top w:val="none" w:sz="0" w:space="0" w:color="auto"/>
        <w:left w:val="none" w:sz="0" w:space="0" w:color="auto"/>
        <w:bottom w:val="none" w:sz="0" w:space="0" w:color="auto"/>
        <w:right w:val="none" w:sz="0" w:space="0" w:color="auto"/>
      </w:divBdr>
    </w:div>
    <w:div w:id="789978430">
      <w:marLeft w:val="0"/>
      <w:marRight w:val="0"/>
      <w:marTop w:val="0"/>
      <w:marBottom w:val="0"/>
      <w:divBdr>
        <w:top w:val="none" w:sz="0" w:space="0" w:color="auto"/>
        <w:left w:val="none" w:sz="0" w:space="0" w:color="auto"/>
        <w:bottom w:val="none" w:sz="0" w:space="0" w:color="auto"/>
        <w:right w:val="none" w:sz="0" w:space="0" w:color="auto"/>
      </w:divBdr>
    </w:div>
    <w:div w:id="789978431">
      <w:marLeft w:val="0"/>
      <w:marRight w:val="0"/>
      <w:marTop w:val="0"/>
      <w:marBottom w:val="0"/>
      <w:divBdr>
        <w:top w:val="none" w:sz="0" w:space="0" w:color="auto"/>
        <w:left w:val="none" w:sz="0" w:space="0" w:color="auto"/>
        <w:bottom w:val="none" w:sz="0" w:space="0" w:color="auto"/>
        <w:right w:val="none" w:sz="0" w:space="0" w:color="auto"/>
      </w:divBdr>
    </w:div>
    <w:div w:id="789978432">
      <w:marLeft w:val="0"/>
      <w:marRight w:val="0"/>
      <w:marTop w:val="0"/>
      <w:marBottom w:val="0"/>
      <w:divBdr>
        <w:top w:val="none" w:sz="0" w:space="0" w:color="auto"/>
        <w:left w:val="none" w:sz="0" w:space="0" w:color="auto"/>
        <w:bottom w:val="none" w:sz="0" w:space="0" w:color="auto"/>
        <w:right w:val="none" w:sz="0" w:space="0" w:color="auto"/>
      </w:divBdr>
    </w:div>
    <w:div w:id="789978433">
      <w:marLeft w:val="0"/>
      <w:marRight w:val="0"/>
      <w:marTop w:val="0"/>
      <w:marBottom w:val="0"/>
      <w:divBdr>
        <w:top w:val="none" w:sz="0" w:space="0" w:color="auto"/>
        <w:left w:val="none" w:sz="0" w:space="0" w:color="auto"/>
        <w:bottom w:val="none" w:sz="0" w:space="0" w:color="auto"/>
        <w:right w:val="none" w:sz="0" w:space="0" w:color="auto"/>
      </w:divBdr>
    </w:div>
    <w:div w:id="789978434">
      <w:marLeft w:val="0"/>
      <w:marRight w:val="0"/>
      <w:marTop w:val="0"/>
      <w:marBottom w:val="0"/>
      <w:divBdr>
        <w:top w:val="none" w:sz="0" w:space="0" w:color="auto"/>
        <w:left w:val="none" w:sz="0" w:space="0" w:color="auto"/>
        <w:bottom w:val="none" w:sz="0" w:space="0" w:color="auto"/>
        <w:right w:val="none" w:sz="0" w:space="0" w:color="auto"/>
      </w:divBdr>
    </w:div>
    <w:div w:id="789978435">
      <w:marLeft w:val="0"/>
      <w:marRight w:val="0"/>
      <w:marTop w:val="0"/>
      <w:marBottom w:val="0"/>
      <w:divBdr>
        <w:top w:val="none" w:sz="0" w:space="0" w:color="auto"/>
        <w:left w:val="none" w:sz="0" w:space="0" w:color="auto"/>
        <w:bottom w:val="none" w:sz="0" w:space="0" w:color="auto"/>
        <w:right w:val="none" w:sz="0" w:space="0" w:color="auto"/>
      </w:divBdr>
    </w:div>
    <w:div w:id="789978436">
      <w:marLeft w:val="0"/>
      <w:marRight w:val="0"/>
      <w:marTop w:val="0"/>
      <w:marBottom w:val="0"/>
      <w:divBdr>
        <w:top w:val="none" w:sz="0" w:space="0" w:color="auto"/>
        <w:left w:val="none" w:sz="0" w:space="0" w:color="auto"/>
        <w:bottom w:val="none" w:sz="0" w:space="0" w:color="auto"/>
        <w:right w:val="none" w:sz="0" w:space="0" w:color="auto"/>
      </w:divBdr>
    </w:div>
    <w:div w:id="789978437">
      <w:marLeft w:val="0"/>
      <w:marRight w:val="0"/>
      <w:marTop w:val="0"/>
      <w:marBottom w:val="0"/>
      <w:divBdr>
        <w:top w:val="none" w:sz="0" w:space="0" w:color="auto"/>
        <w:left w:val="none" w:sz="0" w:space="0" w:color="auto"/>
        <w:bottom w:val="none" w:sz="0" w:space="0" w:color="auto"/>
        <w:right w:val="none" w:sz="0" w:space="0" w:color="auto"/>
      </w:divBdr>
    </w:div>
    <w:div w:id="789978438">
      <w:marLeft w:val="0"/>
      <w:marRight w:val="0"/>
      <w:marTop w:val="0"/>
      <w:marBottom w:val="0"/>
      <w:divBdr>
        <w:top w:val="none" w:sz="0" w:space="0" w:color="auto"/>
        <w:left w:val="none" w:sz="0" w:space="0" w:color="auto"/>
        <w:bottom w:val="none" w:sz="0" w:space="0" w:color="auto"/>
        <w:right w:val="none" w:sz="0" w:space="0" w:color="auto"/>
      </w:divBdr>
    </w:div>
    <w:div w:id="789978439">
      <w:marLeft w:val="0"/>
      <w:marRight w:val="0"/>
      <w:marTop w:val="0"/>
      <w:marBottom w:val="0"/>
      <w:divBdr>
        <w:top w:val="none" w:sz="0" w:space="0" w:color="auto"/>
        <w:left w:val="none" w:sz="0" w:space="0" w:color="auto"/>
        <w:bottom w:val="none" w:sz="0" w:space="0" w:color="auto"/>
        <w:right w:val="none" w:sz="0" w:space="0" w:color="auto"/>
      </w:divBdr>
    </w:div>
    <w:div w:id="789978440">
      <w:marLeft w:val="0"/>
      <w:marRight w:val="0"/>
      <w:marTop w:val="0"/>
      <w:marBottom w:val="0"/>
      <w:divBdr>
        <w:top w:val="none" w:sz="0" w:space="0" w:color="auto"/>
        <w:left w:val="none" w:sz="0" w:space="0" w:color="auto"/>
        <w:bottom w:val="none" w:sz="0" w:space="0" w:color="auto"/>
        <w:right w:val="none" w:sz="0" w:space="0" w:color="auto"/>
      </w:divBdr>
    </w:div>
    <w:div w:id="789978441">
      <w:marLeft w:val="0"/>
      <w:marRight w:val="0"/>
      <w:marTop w:val="0"/>
      <w:marBottom w:val="0"/>
      <w:divBdr>
        <w:top w:val="none" w:sz="0" w:space="0" w:color="auto"/>
        <w:left w:val="none" w:sz="0" w:space="0" w:color="auto"/>
        <w:bottom w:val="none" w:sz="0" w:space="0" w:color="auto"/>
        <w:right w:val="none" w:sz="0" w:space="0" w:color="auto"/>
      </w:divBdr>
    </w:div>
    <w:div w:id="789978442">
      <w:marLeft w:val="0"/>
      <w:marRight w:val="0"/>
      <w:marTop w:val="0"/>
      <w:marBottom w:val="0"/>
      <w:divBdr>
        <w:top w:val="none" w:sz="0" w:space="0" w:color="auto"/>
        <w:left w:val="none" w:sz="0" w:space="0" w:color="auto"/>
        <w:bottom w:val="none" w:sz="0" w:space="0" w:color="auto"/>
        <w:right w:val="none" w:sz="0" w:space="0" w:color="auto"/>
      </w:divBdr>
    </w:div>
    <w:div w:id="789978443">
      <w:marLeft w:val="0"/>
      <w:marRight w:val="0"/>
      <w:marTop w:val="0"/>
      <w:marBottom w:val="0"/>
      <w:divBdr>
        <w:top w:val="none" w:sz="0" w:space="0" w:color="auto"/>
        <w:left w:val="none" w:sz="0" w:space="0" w:color="auto"/>
        <w:bottom w:val="none" w:sz="0" w:space="0" w:color="auto"/>
        <w:right w:val="none" w:sz="0" w:space="0" w:color="auto"/>
      </w:divBdr>
    </w:div>
    <w:div w:id="789978444">
      <w:marLeft w:val="0"/>
      <w:marRight w:val="0"/>
      <w:marTop w:val="0"/>
      <w:marBottom w:val="0"/>
      <w:divBdr>
        <w:top w:val="none" w:sz="0" w:space="0" w:color="auto"/>
        <w:left w:val="none" w:sz="0" w:space="0" w:color="auto"/>
        <w:bottom w:val="none" w:sz="0" w:space="0" w:color="auto"/>
        <w:right w:val="none" w:sz="0" w:space="0" w:color="auto"/>
      </w:divBdr>
    </w:div>
    <w:div w:id="789978445">
      <w:marLeft w:val="0"/>
      <w:marRight w:val="0"/>
      <w:marTop w:val="0"/>
      <w:marBottom w:val="0"/>
      <w:divBdr>
        <w:top w:val="none" w:sz="0" w:space="0" w:color="auto"/>
        <w:left w:val="none" w:sz="0" w:space="0" w:color="auto"/>
        <w:bottom w:val="none" w:sz="0" w:space="0" w:color="auto"/>
        <w:right w:val="none" w:sz="0" w:space="0" w:color="auto"/>
      </w:divBdr>
    </w:div>
    <w:div w:id="789978446">
      <w:marLeft w:val="0"/>
      <w:marRight w:val="0"/>
      <w:marTop w:val="0"/>
      <w:marBottom w:val="0"/>
      <w:divBdr>
        <w:top w:val="none" w:sz="0" w:space="0" w:color="auto"/>
        <w:left w:val="none" w:sz="0" w:space="0" w:color="auto"/>
        <w:bottom w:val="none" w:sz="0" w:space="0" w:color="auto"/>
        <w:right w:val="none" w:sz="0" w:space="0" w:color="auto"/>
      </w:divBdr>
    </w:div>
    <w:div w:id="789978447">
      <w:marLeft w:val="0"/>
      <w:marRight w:val="0"/>
      <w:marTop w:val="0"/>
      <w:marBottom w:val="0"/>
      <w:divBdr>
        <w:top w:val="none" w:sz="0" w:space="0" w:color="auto"/>
        <w:left w:val="none" w:sz="0" w:space="0" w:color="auto"/>
        <w:bottom w:val="none" w:sz="0" w:space="0" w:color="auto"/>
        <w:right w:val="none" w:sz="0" w:space="0" w:color="auto"/>
      </w:divBdr>
    </w:div>
    <w:div w:id="789978448">
      <w:marLeft w:val="0"/>
      <w:marRight w:val="0"/>
      <w:marTop w:val="0"/>
      <w:marBottom w:val="0"/>
      <w:divBdr>
        <w:top w:val="none" w:sz="0" w:space="0" w:color="auto"/>
        <w:left w:val="none" w:sz="0" w:space="0" w:color="auto"/>
        <w:bottom w:val="none" w:sz="0" w:space="0" w:color="auto"/>
        <w:right w:val="none" w:sz="0" w:space="0" w:color="auto"/>
      </w:divBdr>
    </w:div>
    <w:div w:id="789978449">
      <w:marLeft w:val="0"/>
      <w:marRight w:val="0"/>
      <w:marTop w:val="0"/>
      <w:marBottom w:val="0"/>
      <w:divBdr>
        <w:top w:val="none" w:sz="0" w:space="0" w:color="auto"/>
        <w:left w:val="none" w:sz="0" w:space="0" w:color="auto"/>
        <w:bottom w:val="none" w:sz="0" w:space="0" w:color="auto"/>
        <w:right w:val="none" w:sz="0" w:space="0" w:color="auto"/>
      </w:divBdr>
    </w:div>
    <w:div w:id="789978450">
      <w:marLeft w:val="0"/>
      <w:marRight w:val="0"/>
      <w:marTop w:val="0"/>
      <w:marBottom w:val="0"/>
      <w:divBdr>
        <w:top w:val="none" w:sz="0" w:space="0" w:color="auto"/>
        <w:left w:val="none" w:sz="0" w:space="0" w:color="auto"/>
        <w:bottom w:val="none" w:sz="0" w:space="0" w:color="auto"/>
        <w:right w:val="none" w:sz="0" w:space="0" w:color="auto"/>
      </w:divBdr>
    </w:div>
    <w:div w:id="789978451">
      <w:marLeft w:val="0"/>
      <w:marRight w:val="0"/>
      <w:marTop w:val="0"/>
      <w:marBottom w:val="0"/>
      <w:divBdr>
        <w:top w:val="none" w:sz="0" w:space="0" w:color="auto"/>
        <w:left w:val="none" w:sz="0" w:space="0" w:color="auto"/>
        <w:bottom w:val="none" w:sz="0" w:space="0" w:color="auto"/>
        <w:right w:val="none" w:sz="0" w:space="0" w:color="auto"/>
      </w:divBdr>
    </w:div>
    <w:div w:id="789978452">
      <w:marLeft w:val="0"/>
      <w:marRight w:val="0"/>
      <w:marTop w:val="0"/>
      <w:marBottom w:val="0"/>
      <w:divBdr>
        <w:top w:val="none" w:sz="0" w:space="0" w:color="auto"/>
        <w:left w:val="none" w:sz="0" w:space="0" w:color="auto"/>
        <w:bottom w:val="none" w:sz="0" w:space="0" w:color="auto"/>
        <w:right w:val="none" w:sz="0" w:space="0" w:color="auto"/>
      </w:divBdr>
    </w:div>
    <w:div w:id="789978453">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789978455">
      <w:marLeft w:val="0"/>
      <w:marRight w:val="0"/>
      <w:marTop w:val="0"/>
      <w:marBottom w:val="0"/>
      <w:divBdr>
        <w:top w:val="none" w:sz="0" w:space="0" w:color="auto"/>
        <w:left w:val="none" w:sz="0" w:space="0" w:color="auto"/>
        <w:bottom w:val="none" w:sz="0" w:space="0" w:color="auto"/>
        <w:right w:val="none" w:sz="0" w:space="0" w:color="auto"/>
      </w:divBdr>
    </w:div>
    <w:div w:id="789978456">
      <w:marLeft w:val="0"/>
      <w:marRight w:val="0"/>
      <w:marTop w:val="0"/>
      <w:marBottom w:val="0"/>
      <w:divBdr>
        <w:top w:val="none" w:sz="0" w:space="0" w:color="auto"/>
        <w:left w:val="none" w:sz="0" w:space="0" w:color="auto"/>
        <w:bottom w:val="none" w:sz="0" w:space="0" w:color="auto"/>
        <w:right w:val="none" w:sz="0" w:space="0" w:color="auto"/>
      </w:divBdr>
    </w:div>
    <w:div w:id="789978457">
      <w:marLeft w:val="0"/>
      <w:marRight w:val="0"/>
      <w:marTop w:val="0"/>
      <w:marBottom w:val="0"/>
      <w:divBdr>
        <w:top w:val="none" w:sz="0" w:space="0" w:color="auto"/>
        <w:left w:val="none" w:sz="0" w:space="0" w:color="auto"/>
        <w:bottom w:val="none" w:sz="0" w:space="0" w:color="auto"/>
        <w:right w:val="none" w:sz="0" w:space="0" w:color="auto"/>
      </w:divBdr>
    </w:div>
    <w:div w:id="789978458">
      <w:marLeft w:val="0"/>
      <w:marRight w:val="0"/>
      <w:marTop w:val="0"/>
      <w:marBottom w:val="0"/>
      <w:divBdr>
        <w:top w:val="none" w:sz="0" w:space="0" w:color="auto"/>
        <w:left w:val="none" w:sz="0" w:space="0" w:color="auto"/>
        <w:bottom w:val="none" w:sz="0" w:space="0" w:color="auto"/>
        <w:right w:val="none" w:sz="0" w:space="0" w:color="auto"/>
      </w:divBdr>
    </w:div>
    <w:div w:id="789978459">
      <w:marLeft w:val="0"/>
      <w:marRight w:val="0"/>
      <w:marTop w:val="0"/>
      <w:marBottom w:val="0"/>
      <w:divBdr>
        <w:top w:val="none" w:sz="0" w:space="0" w:color="auto"/>
        <w:left w:val="none" w:sz="0" w:space="0" w:color="auto"/>
        <w:bottom w:val="none" w:sz="0" w:space="0" w:color="auto"/>
        <w:right w:val="none" w:sz="0" w:space="0" w:color="auto"/>
      </w:divBdr>
    </w:div>
    <w:div w:id="789978460">
      <w:marLeft w:val="0"/>
      <w:marRight w:val="0"/>
      <w:marTop w:val="0"/>
      <w:marBottom w:val="0"/>
      <w:divBdr>
        <w:top w:val="none" w:sz="0" w:space="0" w:color="auto"/>
        <w:left w:val="none" w:sz="0" w:space="0" w:color="auto"/>
        <w:bottom w:val="none" w:sz="0" w:space="0" w:color="auto"/>
        <w:right w:val="none" w:sz="0" w:space="0" w:color="auto"/>
      </w:divBdr>
    </w:div>
    <w:div w:id="789978461">
      <w:marLeft w:val="0"/>
      <w:marRight w:val="0"/>
      <w:marTop w:val="0"/>
      <w:marBottom w:val="0"/>
      <w:divBdr>
        <w:top w:val="none" w:sz="0" w:space="0" w:color="auto"/>
        <w:left w:val="none" w:sz="0" w:space="0" w:color="auto"/>
        <w:bottom w:val="none" w:sz="0" w:space="0" w:color="auto"/>
        <w:right w:val="none" w:sz="0" w:space="0" w:color="auto"/>
      </w:divBdr>
    </w:div>
    <w:div w:id="789978462">
      <w:marLeft w:val="0"/>
      <w:marRight w:val="0"/>
      <w:marTop w:val="0"/>
      <w:marBottom w:val="0"/>
      <w:divBdr>
        <w:top w:val="none" w:sz="0" w:space="0" w:color="auto"/>
        <w:left w:val="none" w:sz="0" w:space="0" w:color="auto"/>
        <w:bottom w:val="none" w:sz="0" w:space="0" w:color="auto"/>
        <w:right w:val="none" w:sz="0" w:space="0" w:color="auto"/>
      </w:divBdr>
    </w:div>
    <w:div w:id="789978463">
      <w:marLeft w:val="0"/>
      <w:marRight w:val="0"/>
      <w:marTop w:val="0"/>
      <w:marBottom w:val="0"/>
      <w:divBdr>
        <w:top w:val="none" w:sz="0" w:space="0" w:color="auto"/>
        <w:left w:val="none" w:sz="0" w:space="0" w:color="auto"/>
        <w:bottom w:val="none" w:sz="0" w:space="0" w:color="auto"/>
        <w:right w:val="none" w:sz="0" w:space="0" w:color="auto"/>
      </w:divBdr>
    </w:div>
    <w:div w:id="789978464">
      <w:marLeft w:val="0"/>
      <w:marRight w:val="0"/>
      <w:marTop w:val="0"/>
      <w:marBottom w:val="0"/>
      <w:divBdr>
        <w:top w:val="none" w:sz="0" w:space="0" w:color="auto"/>
        <w:left w:val="none" w:sz="0" w:space="0" w:color="auto"/>
        <w:bottom w:val="none" w:sz="0" w:space="0" w:color="auto"/>
        <w:right w:val="none" w:sz="0" w:space="0" w:color="auto"/>
      </w:divBdr>
    </w:div>
    <w:div w:id="789978465">
      <w:marLeft w:val="0"/>
      <w:marRight w:val="0"/>
      <w:marTop w:val="0"/>
      <w:marBottom w:val="0"/>
      <w:divBdr>
        <w:top w:val="none" w:sz="0" w:space="0" w:color="auto"/>
        <w:left w:val="none" w:sz="0" w:space="0" w:color="auto"/>
        <w:bottom w:val="none" w:sz="0" w:space="0" w:color="auto"/>
        <w:right w:val="none" w:sz="0" w:space="0" w:color="auto"/>
      </w:divBdr>
    </w:div>
    <w:div w:id="789978466">
      <w:marLeft w:val="0"/>
      <w:marRight w:val="0"/>
      <w:marTop w:val="0"/>
      <w:marBottom w:val="0"/>
      <w:divBdr>
        <w:top w:val="none" w:sz="0" w:space="0" w:color="auto"/>
        <w:left w:val="none" w:sz="0" w:space="0" w:color="auto"/>
        <w:bottom w:val="none" w:sz="0" w:space="0" w:color="auto"/>
        <w:right w:val="none" w:sz="0" w:space="0" w:color="auto"/>
      </w:divBdr>
    </w:div>
    <w:div w:id="789978467">
      <w:marLeft w:val="0"/>
      <w:marRight w:val="0"/>
      <w:marTop w:val="0"/>
      <w:marBottom w:val="0"/>
      <w:divBdr>
        <w:top w:val="none" w:sz="0" w:space="0" w:color="auto"/>
        <w:left w:val="none" w:sz="0" w:space="0" w:color="auto"/>
        <w:bottom w:val="none" w:sz="0" w:space="0" w:color="auto"/>
        <w:right w:val="none" w:sz="0" w:space="0" w:color="auto"/>
      </w:divBdr>
    </w:div>
    <w:div w:id="795757659">
      <w:bodyDiv w:val="1"/>
      <w:marLeft w:val="0"/>
      <w:marRight w:val="0"/>
      <w:marTop w:val="0"/>
      <w:marBottom w:val="0"/>
      <w:divBdr>
        <w:top w:val="none" w:sz="0" w:space="0" w:color="auto"/>
        <w:left w:val="none" w:sz="0" w:space="0" w:color="auto"/>
        <w:bottom w:val="none" w:sz="0" w:space="0" w:color="auto"/>
        <w:right w:val="none" w:sz="0" w:space="0" w:color="auto"/>
      </w:divBdr>
    </w:div>
    <w:div w:id="814880752">
      <w:bodyDiv w:val="1"/>
      <w:marLeft w:val="0"/>
      <w:marRight w:val="0"/>
      <w:marTop w:val="0"/>
      <w:marBottom w:val="0"/>
      <w:divBdr>
        <w:top w:val="none" w:sz="0" w:space="0" w:color="auto"/>
        <w:left w:val="none" w:sz="0" w:space="0" w:color="auto"/>
        <w:bottom w:val="none" w:sz="0" w:space="0" w:color="auto"/>
        <w:right w:val="none" w:sz="0" w:space="0" w:color="auto"/>
      </w:divBdr>
    </w:div>
    <w:div w:id="816804025">
      <w:bodyDiv w:val="1"/>
      <w:marLeft w:val="0"/>
      <w:marRight w:val="0"/>
      <w:marTop w:val="0"/>
      <w:marBottom w:val="0"/>
      <w:divBdr>
        <w:top w:val="none" w:sz="0" w:space="0" w:color="auto"/>
        <w:left w:val="none" w:sz="0" w:space="0" w:color="auto"/>
        <w:bottom w:val="none" w:sz="0" w:space="0" w:color="auto"/>
        <w:right w:val="none" w:sz="0" w:space="0" w:color="auto"/>
      </w:divBdr>
    </w:div>
    <w:div w:id="841511630">
      <w:bodyDiv w:val="1"/>
      <w:marLeft w:val="0"/>
      <w:marRight w:val="0"/>
      <w:marTop w:val="0"/>
      <w:marBottom w:val="0"/>
      <w:divBdr>
        <w:top w:val="none" w:sz="0" w:space="0" w:color="auto"/>
        <w:left w:val="none" w:sz="0" w:space="0" w:color="auto"/>
        <w:bottom w:val="none" w:sz="0" w:space="0" w:color="auto"/>
        <w:right w:val="none" w:sz="0" w:space="0" w:color="auto"/>
      </w:divBdr>
    </w:div>
    <w:div w:id="860320878">
      <w:bodyDiv w:val="1"/>
      <w:marLeft w:val="0"/>
      <w:marRight w:val="0"/>
      <w:marTop w:val="0"/>
      <w:marBottom w:val="0"/>
      <w:divBdr>
        <w:top w:val="none" w:sz="0" w:space="0" w:color="auto"/>
        <w:left w:val="none" w:sz="0" w:space="0" w:color="auto"/>
        <w:bottom w:val="none" w:sz="0" w:space="0" w:color="auto"/>
        <w:right w:val="none" w:sz="0" w:space="0" w:color="auto"/>
      </w:divBdr>
    </w:div>
    <w:div w:id="863788067">
      <w:bodyDiv w:val="1"/>
      <w:marLeft w:val="0"/>
      <w:marRight w:val="0"/>
      <w:marTop w:val="0"/>
      <w:marBottom w:val="0"/>
      <w:divBdr>
        <w:top w:val="none" w:sz="0" w:space="0" w:color="auto"/>
        <w:left w:val="none" w:sz="0" w:space="0" w:color="auto"/>
        <w:bottom w:val="none" w:sz="0" w:space="0" w:color="auto"/>
        <w:right w:val="none" w:sz="0" w:space="0" w:color="auto"/>
      </w:divBdr>
    </w:div>
    <w:div w:id="905456798">
      <w:bodyDiv w:val="1"/>
      <w:marLeft w:val="0"/>
      <w:marRight w:val="0"/>
      <w:marTop w:val="0"/>
      <w:marBottom w:val="0"/>
      <w:divBdr>
        <w:top w:val="none" w:sz="0" w:space="0" w:color="auto"/>
        <w:left w:val="none" w:sz="0" w:space="0" w:color="auto"/>
        <w:bottom w:val="none" w:sz="0" w:space="0" w:color="auto"/>
        <w:right w:val="none" w:sz="0" w:space="0" w:color="auto"/>
      </w:divBdr>
    </w:div>
    <w:div w:id="914365864">
      <w:bodyDiv w:val="1"/>
      <w:marLeft w:val="0"/>
      <w:marRight w:val="0"/>
      <w:marTop w:val="0"/>
      <w:marBottom w:val="0"/>
      <w:divBdr>
        <w:top w:val="none" w:sz="0" w:space="0" w:color="auto"/>
        <w:left w:val="none" w:sz="0" w:space="0" w:color="auto"/>
        <w:bottom w:val="none" w:sz="0" w:space="0" w:color="auto"/>
        <w:right w:val="none" w:sz="0" w:space="0" w:color="auto"/>
      </w:divBdr>
    </w:div>
    <w:div w:id="950010919">
      <w:bodyDiv w:val="1"/>
      <w:marLeft w:val="0"/>
      <w:marRight w:val="0"/>
      <w:marTop w:val="0"/>
      <w:marBottom w:val="0"/>
      <w:divBdr>
        <w:top w:val="none" w:sz="0" w:space="0" w:color="auto"/>
        <w:left w:val="none" w:sz="0" w:space="0" w:color="auto"/>
        <w:bottom w:val="none" w:sz="0" w:space="0" w:color="auto"/>
        <w:right w:val="none" w:sz="0" w:space="0" w:color="auto"/>
      </w:divBdr>
    </w:div>
    <w:div w:id="954796405">
      <w:bodyDiv w:val="1"/>
      <w:marLeft w:val="0"/>
      <w:marRight w:val="0"/>
      <w:marTop w:val="0"/>
      <w:marBottom w:val="0"/>
      <w:divBdr>
        <w:top w:val="none" w:sz="0" w:space="0" w:color="auto"/>
        <w:left w:val="none" w:sz="0" w:space="0" w:color="auto"/>
        <w:bottom w:val="none" w:sz="0" w:space="0" w:color="auto"/>
        <w:right w:val="none" w:sz="0" w:space="0" w:color="auto"/>
      </w:divBdr>
    </w:div>
    <w:div w:id="975910780">
      <w:bodyDiv w:val="1"/>
      <w:marLeft w:val="0"/>
      <w:marRight w:val="0"/>
      <w:marTop w:val="0"/>
      <w:marBottom w:val="0"/>
      <w:divBdr>
        <w:top w:val="none" w:sz="0" w:space="0" w:color="auto"/>
        <w:left w:val="none" w:sz="0" w:space="0" w:color="auto"/>
        <w:bottom w:val="none" w:sz="0" w:space="0" w:color="auto"/>
        <w:right w:val="none" w:sz="0" w:space="0" w:color="auto"/>
      </w:divBdr>
    </w:div>
    <w:div w:id="980883531">
      <w:bodyDiv w:val="1"/>
      <w:marLeft w:val="0"/>
      <w:marRight w:val="0"/>
      <w:marTop w:val="0"/>
      <w:marBottom w:val="0"/>
      <w:divBdr>
        <w:top w:val="none" w:sz="0" w:space="0" w:color="auto"/>
        <w:left w:val="none" w:sz="0" w:space="0" w:color="auto"/>
        <w:bottom w:val="none" w:sz="0" w:space="0" w:color="auto"/>
        <w:right w:val="none" w:sz="0" w:space="0" w:color="auto"/>
      </w:divBdr>
    </w:div>
    <w:div w:id="1056049388">
      <w:bodyDiv w:val="1"/>
      <w:marLeft w:val="0"/>
      <w:marRight w:val="0"/>
      <w:marTop w:val="0"/>
      <w:marBottom w:val="0"/>
      <w:divBdr>
        <w:top w:val="none" w:sz="0" w:space="0" w:color="auto"/>
        <w:left w:val="none" w:sz="0" w:space="0" w:color="auto"/>
        <w:bottom w:val="none" w:sz="0" w:space="0" w:color="auto"/>
        <w:right w:val="none" w:sz="0" w:space="0" w:color="auto"/>
      </w:divBdr>
    </w:div>
    <w:div w:id="1062564905">
      <w:bodyDiv w:val="1"/>
      <w:marLeft w:val="0"/>
      <w:marRight w:val="0"/>
      <w:marTop w:val="0"/>
      <w:marBottom w:val="0"/>
      <w:divBdr>
        <w:top w:val="none" w:sz="0" w:space="0" w:color="auto"/>
        <w:left w:val="none" w:sz="0" w:space="0" w:color="auto"/>
        <w:bottom w:val="none" w:sz="0" w:space="0" w:color="auto"/>
        <w:right w:val="none" w:sz="0" w:space="0" w:color="auto"/>
      </w:divBdr>
    </w:div>
    <w:div w:id="1183520987">
      <w:bodyDiv w:val="1"/>
      <w:marLeft w:val="0"/>
      <w:marRight w:val="0"/>
      <w:marTop w:val="0"/>
      <w:marBottom w:val="0"/>
      <w:divBdr>
        <w:top w:val="none" w:sz="0" w:space="0" w:color="auto"/>
        <w:left w:val="none" w:sz="0" w:space="0" w:color="auto"/>
        <w:bottom w:val="none" w:sz="0" w:space="0" w:color="auto"/>
        <w:right w:val="none" w:sz="0" w:space="0" w:color="auto"/>
      </w:divBdr>
    </w:div>
    <w:div w:id="1213075025">
      <w:bodyDiv w:val="1"/>
      <w:marLeft w:val="0"/>
      <w:marRight w:val="0"/>
      <w:marTop w:val="0"/>
      <w:marBottom w:val="0"/>
      <w:divBdr>
        <w:top w:val="none" w:sz="0" w:space="0" w:color="auto"/>
        <w:left w:val="none" w:sz="0" w:space="0" w:color="auto"/>
        <w:bottom w:val="none" w:sz="0" w:space="0" w:color="auto"/>
        <w:right w:val="none" w:sz="0" w:space="0" w:color="auto"/>
      </w:divBdr>
    </w:div>
    <w:div w:id="1223516784">
      <w:bodyDiv w:val="1"/>
      <w:marLeft w:val="0"/>
      <w:marRight w:val="0"/>
      <w:marTop w:val="0"/>
      <w:marBottom w:val="0"/>
      <w:divBdr>
        <w:top w:val="none" w:sz="0" w:space="0" w:color="auto"/>
        <w:left w:val="none" w:sz="0" w:space="0" w:color="auto"/>
        <w:bottom w:val="none" w:sz="0" w:space="0" w:color="auto"/>
        <w:right w:val="none" w:sz="0" w:space="0" w:color="auto"/>
      </w:divBdr>
    </w:div>
    <w:div w:id="1230384266">
      <w:bodyDiv w:val="1"/>
      <w:marLeft w:val="0"/>
      <w:marRight w:val="0"/>
      <w:marTop w:val="0"/>
      <w:marBottom w:val="0"/>
      <w:divBdr>
        <w:top w:val="none" w:sz="0" w:space="0" w:color="auto"/>
        <w:left w:val="none" w:sz="0" w:space="0" w:color="auto"/>
        <w:bottom w:val="none" w:sz="0" w:space="0" w:color="auto"/>
        <w:right w:val="none" w:sz="0" w:space="0" w:color="auto"/>
      </w:divBdr>
    </w:div>
    <w:div w:id="1233662563">
      <w:bodyDiv w:val="1"/>
      <w:marLeft w:val="0"/>
      <w:marRight w:val="0"/>
      <w:marTop w:val="0"/>
      <w:marBottom w:val="0"/>
      <w:divBdr>
        <w:top w:val="none" w:sz="0" w:space="0" w:color="auto"/>
        <w:left w:val="none" w:sz="0" w:space="0" w:color="auto"/>
        <w:bottom w:val="none" w:sz="0" w:space="0" w:color="auto"/>
        <w:right w:val="none" w:sz="0" w:space="0" w:color="auto"/>
      </w:divBdr>
    </w:div>
    <w:div w:id="1255699842">
      <w:bodyDiv w:val="1"/>
      <w:marLeft w:val="0"/>
      <w:marRight w:val="0"/>
      <w:marTop w:val="0"/>
      <w:marBottom w:val="0"/>
      <w:divBdr>
        <w:top w:val="none" w:sz="0" w:space="0" w:color="auto"/>
        <w:left w:val="none" w:sz="0" w:space="0" w:color="auto"/>
        <w:bottom w:val="none" w:sz="0" w:space="0" w:color="auto"/>
        <w:right w:val="none" w:sz="0" w:space="0" w:color="auto"/>
      </w:divBdr>
    </w:div>
    <w:div w:id="1264651650">
      <w:bodyDiv w:val="1"/>
      <w:marLeft w:val="0"/>
      <w:marRight w:val="0"/>
      <w:marTop w:val="0"/>
      <w:marBottom w:val="0"/>
      <w:divBdr>
        <w:top w:val="none" w:sz="0" w:space="0" w:color="auto"/>
        <w:left w:val="none" w:sz="0" w:space="0" w:color="auto"/>
        <w:bottom w:val="none" w:sz="0" w:space="0" w:color="auto"/>
        <w:right w:val="none" w:sz="0" w:space="0" w:color="auto"/>
      </w:divBdr>
    </w:div>
    <w:div w:id="1331058562">
      <w:bodyDiv w:val="1"/>
      <w:marLeft w:val="0"/>
      <w:marRight w:val="0"/>
      <w:marTop w:val="0"/>
      <w:marBottom w:val="0"/>
      <w:divBdr>
        <w:top w:val="none" w:sz="0" w:space="0" w:color="auto"/>
        <w:left w:val="none" w:sz="0" w:space="0" w:color="auto"/>
        <w:bottom w:val="none" w:sz="0" w:space="0" w:color="auto"/>
        <w:right w:val="none" w:sz="0" w:space="0" w:color="auto"/>
      </w:divBdr>
    </w:div>
    <w:div w:id="1344865989">
      <w:bodyDiv w:val="1"/>
      <w:marLeft w:val="0"/>
      <w:marRight w:val="0"/>
      <w:marTop w:val="0"/>
      <w:marBottom w:val="0"/>
      <w:divBdr>
        <w:top w:val="none" w:sz="0" w:space="0" w:color="auto"/>
        <w:left w:val="none" w:sz="0" w:space="0" w:color="auto"/>
        <w:bottom w:val="none" w:sz="0" w:space="0" w:color="auto"/>
        <w:right w:val="none" w:sz="0" w:space="0" w:color="auto"/>
      </w:divBdr>
    </w:div>
    <w:div w:id="1383098536">
      <w:bodyDiv w:val="1"/>
      <w:marLeft w:val="0"/>
      <w:marRight w:val="0"/>
      <w:marTop w:val="0"/>
      <w:marBottom w:val="0"/>
      <w:divBdr>
        <w:top w:val="none" w:sz="0" w:space="0" w:color="auto"/>
        <w:left w:val="none" w:sz="0" w:space="0" w:color="auto"/>
        <w:bottom w:val="none" w:sz="0" w:space="0" w:color="auto"/>
        <w:right w:val="none" w:sz="0" w:space="0" w:color="auto"/>
      </w:divBdr>
    </w:div>
    <w:div w:id="1401976649">
      <w:bodyDiv w:val="1"/>
      <w:marLeft w:val="0"/>
      <w:marRight w:val="0"/>
      <w:marTop w:val="0"/>
      <w:marBottom w:val="0"/>
      <w:divBdr>
        <w:top w:val="none" w:sz="0" w:space="0" w:color="auto"/>
        <w:left w:val="none" w:sz="0" w:space="0" w:color="auto"/>
        <w:bottom w:val="none" w:sz="0" w:space="0" w:color="auto"/>
        <w:right w:val="none" w:sz="0" w:space="0" w:color="auto"/>
      </w:divBdr>
    </w:div>
    <w:div w:id="1452359703">
      <w:bodyDiv w:val="1"/>
      <w:marLeft w:val="0"/>
      <w:marRight w:val="0"/>
      <w:marTop w:val="0"/>
      <w:marBottom w:val="0"/>
      <w:divBdr>
        <w:top w:val="none" w:sz="0" w:space="0" w:color="auto"/>
        <w:left w:val="none" w:sz="0" w:space="0" w:color="auto"/>
        <w:bottom w:val="none" w:sz="0" w:space="0" w:color="auto"/>
        <w:right w:val="none" w:sz="0" w:space="0" w:color="auto"/>
      </w:divBdr>
    </w:div>
    <w:div w:id="1461997288">
      <w:bodyDiv w:val="1"/>
      <w:marLeft w:val="0"/>
      <w:marRight w:val="0"/>
      <w:marTop w:val="0"/>
      <w:marBottom w:val="0"/>
      <w:divBdr>
        <w:top w:val="none" w:sz="0" w:space="0" w:color="auto"/>
        <w:left w:val="none" w:sz="0" w:space="0" w:color="auto"/>
        <w:bottom w:val="none" w:sz="0" w:space="0" w:color="auto"/>
        <w:right w:val="none" w:sz="0" w:space="0" w:color="auto"/>
      </w:divBdr>
    </w:div>
    <w:div w:id="1479565532">
      <w:bodyDiv w:val="1"/>
      <w:marLeft w:val="0"/>
      <w:marRight w:val="0"/>
      <w:marTop w:val="0"/>
      <w:marBottom w:val="0"/>
      <w:divBdr>
        <w:top w:val="none" w:sz="0" w:space="0" w:color="auto"/>
        <w:left w:val="none" w:sz="0" w:space="0" w:color="auto"/>
        <w:bottom w:val="none" w:sz="0" w:space="0" w:color="auto"/>
        <w:right w:val="none" w:sz="0" w:space="0" w:color="auto"/>
      </w:divBdr>
    </w:div>
    <w:div w:id="1499349390">
      <w:bodyDiv w:val="1"/>
      <w:marLeft w:val="0"/>
      <w:marRight w:val="0"/>
      <w:marTop w:val="0"/>
      <w:marBottom w:val="0"/>
      <w:divBdr>
        <w:top w:val="none" w:sz="0" w:space="0" w:color="auto"/>
        <w:left w:val="none" w:sz="0" w:space="0" w:color="auto"/>
        <w:bottom w:val="none" w:sz="0" w:space="0" w:color="auto"/>
        <w:right w:val="none" w:sz="0" w:space="0" w:color="auto"/>
      </w:divBdr>
    </w:div>
    <w:div w:id="1514107287">
      <w:bodyDiv w:val="1"/>
      <w:marLeft w:val="0"/>
      <w:marRight w:val="0"/>
      <w:marTop w:val="0"/>
      <w:marBottom w:val="0"/>
      <w:divBdr>
        <w:top w:val="none" w:sz="0" w:space="0" w:color="auto"/>
        <w:left w:val="none" w:sz="0" w:space="0" w:color="auto"/>
        <w:bottom w:val="none" w:sz="0" w:space="0" w:color="auto"/>
        <w:right w:val="none" w:sz="0" w:space="0" w:color="auto"/>
      </w:divBdr>
    </w:div>
    <w:div w:id="1542859679">
      <w:bodyDiv w:val="1"/>
      <w:marLeft w:val="0"/>
      <w:marRight w:val="0"/>
      <w:marTop w:val="0"/>
      <w:marBottom w:val="0"/>
      <w:divBdr>
        <w:top w:val="none" w:sz="0" w:space="0" w:color="auto"/>
        <w:left w:val="none" w:sz="0" w:space="0" w:color="auto"/>
        <w:bottom w:val="none" w:sz="0" w:space="0" w:color="auto"/>
        <w:right w:val="none" w:sz="0" w:space="0" w:color="auto"/>
      </w:divBdr>
    </w:div>
    <w:div w:id="1556551405">
      <w:bodyDiv w:val="1"/>
      <w:marLeft w:val="0"/>
      <w:marRight w:val="0"/>
      <w:marTop w:val="0"/>
      <w:marBottom w:val="0"/>
      <w:divBdr>
        <w:top w:val="none" w:sz="0" w:space="0" w:color="auto"/>
        <w:left w:val="none" w:sz="0" w:space="0" w:color="auto"/>
        <w:bottom w:val="none" w:sz="0" w:space="0" w:color="auto"/>
        <w:right w:val="none" w:sz="0" w:space="0" w:color="auto"/>
      </w:divBdr>
    </w:div>
    <w:div w:id="1556771593">
      <w:bodyDiv w:val="1"/>
      <w:marLeft w:val="0"/>
      <w:marRight w:val="0"/>
      <w:marTop w:val="0"/>
      <w:marBottom w:val="0"/>
      <w:divBdr>
        <w:top w:val="none" w:sz="0" w:space="0" w:color="auto"/>
        <w:left w:val="none" w:sz="0" w:space="0" w:color="auto"/>
        <w:bottom w:val="none" w:sz="0" w:space="0" w:color="auto"/>
        <w:right w:val="none" w:sz="0" w:space="0" w:color="auto"/>
      </w:divBdr>
    </w:div>
    <w:div w:id="1557469869">
      <w:bodyDiv w:val="1"/>
      <w:marLeft w:val="0"/>
      <w:marRight w:val="0"/>
      <w:marTop w:val="0"/>
      <w:marBottom w:val="0"/>
      <w:divBdr>
        <w:top w:val="none" w:sz="0" w:space="0" w:color="auto"/>
        <w:left w:val="none" w:sz="0" w:space="0" w:color="auto"/>
        <w:bottom w:val="none" w:sz="0" w:space="0" w:color="auto"/>
        <w:right w:val="none" w:sz="0" w:space="0" w:color="auto"/>
      </w:divBdr>
    </w:div>
    <w:div w:id="1566377109">
      <w:bodyDiv w:val="1"/>
      <w:marLeft w:val="0"/>
      <w:marRight w:val="0"/>
      <w:marTop w:val="0"/>
      <w:marBottom w:val="0"/>
      <w:divBdr>
        <w:top w:val="none" w:sz="0" w:space="0" w:color="auto"/>
        <w:left w:val="none" w:sz="0" w:space="0" w:color="auto"/>
        <w:bottom w:val="none" w:sz="0" w:space="0" w:color="auto"/>
        <w:right w:val="none" w:sz="0" w:space="0" w:color="auto"/>
      </w:divBdr>
    </w:div>
    <w:div w:id="1581212622">
      <w:bodyDiv w:val="1"/>
      <w:marLeft w:val="0"/>
      <w:marRight w:val="0"/>
      <w:marTop w:val="0"/>
      <w:marBottom w:val="0"/>
      <w:divBdr>
        <w:top w:val="none" w:sz="0" w:space="0" w:color="auto"/>
        <w:left w:val="none" w:sz="0" w:space="0" w:color="auto"/>
        <w:bottom w:val="none" w:sz="0" w:space="0" w:color="auto"/>
        <w:right w:val="none" w:sz="0" w:space="0" w:color="auto"/>
      </w:divBdr>
    </w:div>
    <w:div w:id="1622348086">
      <w:bodyDiv w:val="1"/>
      <w:marLeft w:val="0"/>
      <w:marRight w:val="0"/>
      <w:marTop w:val="0"/>
      <w:marBottom w:val="0"/>
      <w:divBdr>
        <w:top w:val="none" w:sz="0" w:space="0" w:color="auto"/>
        <w:left w:val="none" w:sz="0" w:space="0" w:color="auto"/>
        <w:bottom w:val="none" w:sz="0" w:space="0" w:color="auto"/>
        <w:right w:val="none" w:sz="0" w:space="0" w:color="auto"/>
      </w:divBdr>
    </w:div>
    <w:div w:id="1686714692">
      <w:bodyDiv w:val="1"/>
      <w:marLeft w:val="0"/>
      <w:marRight w:val="0"/>
      <w:marTop w:val="0"/>
      <w:marBottom w:val="0"/>
      <w:divBdr>
        <w:top w:val="none" w:sz="0" w:space="0" w:color="auto"/>
        <w:left w:val="none" w:sz="0" w:space="0" w:color="auto"/>
        <w:bottom w:val="none" w:sz="0" w:space="0" w:color="auto"/>
        <w:right w:val="none" w:sz="0" w:space="0" w:color="auto"/>
      </w:divBdr>
    </w:div>
    <w:div w:id="1694845000">
      <w:bodyDiv w:val="1"/>
      <w:marLeft w:val="0"/>
      <w:marRight w:val="0"/>
      <w:marTop w:val="0"/>
      <w:marBottom w:val="0"/>
      <w:divBdr>
        <w:top w:val="none" w:sz="0" w:space="0" w:color="auto"/>
        <w:left w:val="none" w:sz="0" w:space="0" w:color="auto"/>
        <w:bottom w:val="none" w:sz="0" w:space="0" w:color="auto"/>
        <w:right w:val="none" w:sz="0" w:space="0" w:color="auto"/>
      </w:divBdr>
    </w:div>
    <w:div w:id="1732993946">
      <w:bodyDiv w:val="1"/>
      <w:marLeft w:val="0"/>
      <w:marRight w:val="0"/>
      <w:marTop w:val="0"/>
      <w:marBottom w:val="0"/>
      <w:divBdr>
        <w:top w:val="none" w:sz="0" w:space="0" w:color="auto"/>
        <w:left w:val="none" w:sz="0" w:space="0" w:color="auto"/>
        <w:bottom w:val="none" w:sz="0" w:space="0" w:color="auto"/>
        <w:right w:val="none" w:sz="0" w:space="0" w:color="auto"/>
      </w:divBdr>
    </w:div>
    <w:div w:id="1741558061">
      <w:bodyDiv w:val="1"/>
      <w:marLeft w:val="0"/>
      <w:marRight w:val="0"/>
      <w:marTop w:val="0"/>
      <w:marBottom w:val="0"/>
      <w:divBdr>
        <w:top w:val="none" w:sz="0" w:space="0" w:color="auto"/>
        <w:left w:val="none" w:sz="0" w:space="0" w:color="auto"/>
        <w:bottom w:val="none" w:sz="0" w:space="0" w:color="auto"/>
        <w:right w:val="none" w:sz="0" w:space="0" w:color="auto"/>
      </w:divBdr>
    </w:div>
    <w:div w:id="1763067765">
      <w:bodyDiv w:val="1"/>
      <w:marLeft w:val="0"/>
      <w:marRight w:val="0"/>
      <w:marTop w:val="0"/>
      <w:marBottom w:val="0"/>
      <w:divBdr>
        <w:top w:val="none" w:sz="0" w:space="0" w:color="auto"/>
        <w:left w:val="none" w:sz="0" w:space="0" w:color="auto"/>
        <w:bottom w:val="none" w:sz="0" w:space="0" w:color="auto"/>
        <w:right w:val="none" w:sz="0" w:space="0" w:color="auto"/>
      </w:divBdr>
    </w:div>
    <w:div w:id="1779442476">
      <w:bodyDiv w:val="1"/>
      <w:marLeft w:val="0"/>
      <w:marRight w:val="0"/>
      <w:marTop w:val="0"/>
      <w:marBottom w:val="0"/>
      <w:divBdr>
        <w:top w:val="none" w:sz="0" w:space="0" w:color="auto"/>
        <w:left w:val="none" w:sz="0" w:space="0" w:color="auto"/>
        <w:bottom w:val="none" w:sz="0" w:space="0" w:color="auto"/>
        <w:right w:val="none" w:sz="0" w:space="0" w:color="auto"/>
      </w:divBdr>
    </w:div>
    <w:div w:id="1781560111">
      <w:bodyDiv w:val="1"/>
      <w:marLeft w:val="0"/>
      <w:marRight w:val="0"/>
      <w:marTop w:val="0"/>
      <w:marBottom w:val="0"/>
      <w:divBdr>
        <w:top w:val="none" w:sz="0" w:space="0" w:color="auto"/>
        <w:left w:val="none" w:sz="0" w:space="0" w:color="auto"/>
        <w:bottom w:val="none" w:sz="0" w:space="0" w:color="auto"/>
        <w:right w:val="none" w:sz="0" w:space="0" w:color="auto"/>
      </w:divBdr>
    </w:div>
    <w:div w:id="1846632407">
      <w:bodyDiv w:val="1"/>
      <w:marLeft w:val="0"/>
      <w:marRight w:val="0"/>
      <w:marTop w:val="0"/>
      <w:marBottom w:val="0"/>
      <w:divBdr>
        <w:top w:val="none" w:sz="0" w:space="0" w:color="auto"/>
        <w:left w:val="none" w:sz="0" w:space="0" w:color="auto"/>
        <w:bottom w:val="none" w:sz="0" w:space="0" w:color="auto"/>
        <w:right w:val="none" w:sz="0" w:space="0" w:color="auto"/>
      </w:divBdr>
    </w:div>
    <w:div w:id="1886720462">
      <w:bodyDiv w:val="1"/>
      <w:marLeft w:val="0"/>
      <w:marRight w:val="0"/>
      <w:marTop w:val="0"/>
      <w:marBottom w:val="0"/>
      <w:divBdr>
        <w:top w:val="none" w:sz="0" w:space="0" w:color="auto"/>
        <w:left w:val="none" w:sz="0" w:space="0" w:color="auto"/>
        <w:bottom w:val="none" w:sz="0" w:space="0" w:color="auto"/>
        <w:right w:val="none" w:sz="0" w:space="0" w:color="auto"/>
      </w:divBdr>
    </w:div>
    <w:div w:id="1887524226">
      <w:bodyDiv w:val="1"/>
      <w:marLeft w:val="0"/>
      <w:marRight w:val="0"/>
      <w:marTop w:val="0"/>
      <w:marBottom w:val="0"/>
      <w:divBdr>
        <w:top w:val="none" w:sz="0" w:space="0" w:color="auto"/>
        <w:left w:val="none" w:sz="0" w:space="0" w:color="auto"/>
        <w:bottom w:val="none" w:sz="0" w:space="0" w:color="auto"/>
        <w:right w:val="none" w:sz="0" w:space="0" w:color="auto"/>
      </w:divBdr>
    </w:div>
    <w:div w:id="1893539418">
      <w:bodyDiv w:val="1"/>
      <w:marLeft w:val="0"/>
      <w:marRight w:val="0"/>
      <w:marTop w:val="0"/>
      <w:marBottom w:val="0"/>
      <w:divBdr>
        <w:top w:val="none" w:sz="0" w:space="0" w:color="auto"/>
        <w:left w:val="none" w:sz="0" w:space="0" w:color="auto"/>
        <w:bottom w:val="none" w:sz="0" w:space="0" w:color="auto"/>
        <w:right w:val="none" w:sz="0" w:space="0" w:color="auto"/>
      </w:divBdr>
    </w:div>
    <w:div w:id="1916237994">
      <w:bodyDiv w:val="1"/>
      <w:marLeft w:val="0"/>
      <w:marRight w:val="0"/>
      <w:marTop w:val="0"/>
      <w:marBottom w:val="0"/>
      <w:divBdr>
        <w:top w:val="none" w:sz="0" w:space="0" w:color="auto"/>
        <w:left w:val="none" w:sz="0" w:space="0" w:color="auto"/>
        <w:bottom w:val="none" w:sz="0" w:space="0" w:color="auto"/>
        <w:right w:val="none" w:sz="0" w:space="0" w:color="auto"/>
      </w:divBdr>
    </w:div>
    <w:div w:id="1918854835">
      <w:bodyDiv w:val="1"/>
      <w:marLeft w:val="0"/>
      <w:marRight w:val="0"/>
      <w:marTop w:val="0"/>
      <w:marBottom w:val="0"/>
      <w:divBdr>
        <w:top w:val="none" w:sz="0" w:space="0" w:color="auto"/>
        <w:left w:val="none" w:sz="0" w:space="0" w:color="auto"/>
        <w:bottom w:val="none" w:sz="0" w:space="0" w:color="auto"/>
        <w:right w:val="none" w:sz="0" w:space="0" w:color="auto"/>
      </w:divBdr>
    </w:div>
    <w:div w:id="1933514611">
      <w:bodyDiv w:val="1"/>
      <w:marLeft w:val="0"/>
      <w:marRight w:val="0"/>
      <w:marTop w:val="0"/>
      <w:marBottom w:val="0"/>
      <w:divBdr>
        <w:top w:val="none" w:sz="0" w:space="0" w:color="auto"/>
        <w:left w:val="none" w:sz="0" w:space="0" w:color="auto"/>
        <w:bottom w:val="none" w:sz="0" w:space="0" w:color="auto"/>
        <w:right w:val="none" w:sz="0" w:space="0" w:color="auto"/>
      </w:divBdr>
    </w:div>
    <w:div w:id="1957561391">
      <w:bodyDiv w:val="1"/>
      <w:marLeft w:val="0"/>
      <w:marRight w:val="0"/>
      <w:marTop w:val="0"/>
      <w:marBottom w:val="0"/>
      <w:divBdr>
        <w:top w:val="none" w:sz="0" w:space="0" w:color="auto"/>
        <w:left w:val="none" w:sz="0" w:space="0" w:color="auto"/>
        <w:bottom w:val="none" w:sz="0" w:space="0" w:color="auto"/>
        <w:right w:val="none" w:sz="0" w:space="0" w:color="auto"/>
      </w:divBdr>
    </w:div>
    <w:div w:id="1984846649">
      <w:bodyDiv w:val="1"/>
      <w:marLeft w:val="0"/>
      <w:marRight w:val="0"/>
      <w:marTop w:val="0"/>
      <w:marBottom w:val="0"/>
      <w:divBdr>
        <w:top w:val="none" w:sz="0" w:space="0" w:color="auto"/>
        <w:left w:val="none" w:sz="0" w:space="0" w:color="auto"/>
        <w:bottom w:val="none" w:sz="0" w:space="0" w:color="auto"/>
        <w:right w:val="none" w:sz="0" w:space="0" w:color="auto"/>
      </w:divBdr>
    </w:div>
    <w:div w:id="2036885099">
      <w:bodyDiv w:val="1"/>
      <w:marLeft w:val="0"/>
      <w:marRight w:val="0"/>
      <w:marTop w:val="0"/>
      <w:marBottom w:val="0"/>
      <w:divBdr>
        <w:top w:val="none" w:sz="0" w:space="0" w:color="auto"/>
        <w:left w:val="none" w:sz="0" w:space="0" w:color="auto"/>
        <w:bottom w:val="none" w:sz="0" w:space="0" w:color="auto"/>
        <w:right w:val="none" w:sz="0" w:space="0" w:color="auto"/>
      </w:divBdr>
      <w:divsChild>
        <w:div w:id="40323292">
          <w:marLeft w:val="0"/>
          <w:marRight w:val="0"/>
          <w:marTop w:val="0"/>
          <w:marBottom w:val="0"/>
          <w:divBdr>
            <w:top w:val="none" w:sz="0" w:space="0" w:color="auto"/>
            <w:left w:val="none" w:sz="0" w:space="0" w:color="auto"/>
            <w:bottom w:val="none" w:sz="0" w:space="0" w:color="auto"/>
            <w:right w:val="none" w:sz="0" w:space="0" w:color="auto"/>
          </w:divBdr>
        </w:div>
        <w:div w:id="1174302731">
          <w:marLeft w:val="0"/>
          <w:marRight w:val="0"/>
          <w:marTop w:val="0"/>
          <w:marBottom w:val="0"/>
          <w:divBdr>
            <w:top w:val="none" w:sz="0" w:space="0" w:color="auto"/>
            <w:left w:val="none" w:sz="0" w:space="0" w:color="auto"/>
            <w:bottom w:val="none" w:sz="0" w:space="0" w:color="auto"/>
            <w:right w:val="none" w:sz="0" w:space="0" w:color="auto"/>
          </w:divBdr>
        </w:div>
        <w:div w:id="1244686340">
          <w:marLeft w:val="0"/>
          <w:marRight w:val="0"/>
          <w:marTop w:val="0"/>
          <w:marBottom w:val="0"/>
          <w:divBdr>
            <w:top w:val="none" w:sz="0" w:space="0" w:color="auto"/>
            <w:left w:val="none" w:sz="0" w:space="0" w:color="auto"/>
            <w:bottom w:val="none" w:sz="0" w:space="0" w:color="auto"/>
            <w:right w:val="none" w:sz="0" w:space="0" w:color="auto"/>
          </w:divBdr>
        </w:div>
        <w:div w:id="1561744909">
          <w:marLeft w:val="0"/>
          <w:marRight w:val="0"/>
          <w:marTop w:val="0"/>
          <w:marBottom w:val="0"/>
          <w:divBdr>
            <w:top w:val="none" w:sz="0" w:space="0" w:color="auto"/>
            <w:left w:val="none" w:sz="0" w:space="0" w:color="auto"/>
            <w:bottom w:val="none" w:sz="0" w:space="0" w:color="auto"/>
            <w:right w:val="none" w:sz="0" w:space="0" w:color="auto"/>
          </w:divBdr>
        </w:div>
        <w:div w:id="1659992699">
          <w:marLeft w:val="0"/>
          <w:marRight w:val="0"/>
          <w:marTop w:val="0"/>
          <w:marBottom w:val="0"/>
          <w:divBdr>
            <w:top w:val="none" w:sz="0" w:space="0" w:color="auto"/>
            <w:left w:val="none" w:sz="0" w:space="0" w:color="auto"/>
            <w:bottom w:val="none" w:sz="0" w:space="0" w:color="auto"/>
            <w:right w:val="none" w:sz="0" w:space="0" w:color="auto"/>
          </w:divBdr>
        </w:div>
      </w:divsChild>
    </w:div>
    <w:div w:id="2040888814">
      <w:bodyDiv w:val="1"/>
      <w:marLeft w:val="0"/>
      <w:marRight w:val="0"/>
      <w:marTop w:val="0"/>
      <w:marBottom w:val="0"/>
      <w:divBdr>
        <w:top w:val="none" w:sz="0" w:space="0" w:color="auto"/>
        <w:left w:val="none" w:sz="0" w:space="0" w:color="auto"/>
        <w:bottom w:val="none" w:sz="0" w:space="0" w:color="auto"/>
        <w:right w:val="none" w:sz="0" w:space="0" w:color="auto"/>
      </w:divBdr>
    </w:div>
    <w:div w:id="2063209383">
      <w:bodyDiv w:val="1"/>
      <w:marLeft w:val="0"/>
      <w:marRight w:val="0"/>
      <w:marTop w:val="0"/>
      <w:marBottom w:val="0"/>
      <w:divBdr>
        <w:top w:val="none" w:sz="0" w:space="0" w:color="auto"/>
        <w:left w:val="none" w:sz="0" w:space="0" w:color="auto"/>
        <w:bottom w:val="none" w:sz="0" w:space="0" w:color="auto"/>
        <w:right w:val="none" w:sz="0" w:space="0" w:color="auto"/>
      </w:divBdr>
    </w:div>
    <w:div w:id="2068020546">
      <w:bodyDiv w:val="1"/>
      <w:marLeft w:val="0"/>
      <w:marRight w:val="0"/>
      <w:marTop w:val="0"/>
      <w:marBottom w:val="0"/>
      <w:divBdr>
        <w:top w:val="none" w:sz="0" w:space="0" w:color="auto"/>
        <w:left w:val="none" w:sz="0" w:space="0" w:color="auto"/>
        <w:bottom w:val="none" w:sz="0" w:space="0" w:color="auto"/>
        <w:right w:val="none" w:sz="0" w:space="0" w:color="auto"/>
      </w:divBdr>
    </w:div>
    <w:div w:id="2068140086">
      <w:bodyDiv w:val="1"/>
      <w:marLeft w:val="0"/>
      <w:marRight w:val="0"/>
      <w:marTop w:val="0"/>
      <w:marBottom w:val="0"/>
      <w:divBdr>
        <w:top w:val="none" w:sz="0" w:space="0" w:color="auto"/>
        <w:left w:val="none" w:sz="0" w:space="0" w:color="auto"/>
        <w:bottom w:val="none" w:sz="0" w:space="0" w:color="auto"/>
        <w:right w:val="none" w:sz="0" w:space="0" w:color="auto"/>
      </w:divBdr>
    </w:div>
    <w:div w:id="2075472990">
      <w:bodyDiv w:val="1"/>
      <w:marLeft w:val="0"/>
      <w:marRight w:val="0"/>
      <w:marTop w:val="0"/>
      <w:marBottom w:val="0"/>
      <w:divBdr>
        <w:top w:val="none" w:sz="0" w:space="0" w:color="auto"/>
        <w:left w:val="none" w:sz="0" w:space="0" w:color="auto"/>
        <w:bottom w:val="none" w:sz="0" w:space="0" w:color="auto"/>
        <w:right w:val="none" w:sz="0" w:space="0" w:color="auto"/>
      </w:divBdr>
    </w:div>
    <w:div w:id="2128350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coeweb.istat.it/" TargetMode="External"/><Relationship Id="rId26" Type="http://schemas.openxmlformats.org/officeDocument/2006/relationships/header" Target="header2.xml"/><Relationship Id="rId39" Type="http://schemas.openxmlformats.org/officeDocument/2006/relationships/hyperlink" Target="https://www.coeweb.istat.it/" TargetMode="External"/><Relationship Id="rId21" Type="http://schemas.openxmlformats.org/officeDocument/2006/relationships/chart" Target="charts/chart3.xml"/><Relationship Id="rId34" Type="http://schemas.openxmlformats.org/officeDocument/2006/relationships/header" Target="header3.xml"/><Relationship Id="rId42" Type="http://schemas.openxmlformats.org/officeDocument/2006/relationships/hyperlink" Target="https://www.istat.it/it/informazioni-e-servizi/per-i-giornalisti/appuntamenti/calendario-diffusioni-ed-eventi" TargetMode="External"/><Relationship Id="rId47" Type="http://schemas.openxmlformats.org/officeDocument/2006/relationships/hyperlink" Target="http://www.istat.it/it/archivio/esportazioni+delle+regioni" TargetMode="External"/><Relationship Id="rId50" Type="http://schemas.openxmlformats.org/officeDocument/2006/relationships/hyperlink" Target="http://www.istat.it/it/archivio/45225" TargetMode="External"/><Relationship Id="rId55" Type="http://schemas.openxmlformats.org/officeDocument/2006/relationships/hyperlink" Target="mailto:causo@istat.it"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dati.istat.it/" TargetMode="External"/><Relationship Id="rId29" Type="http://schemas.openxmlformats.org/officeDocument/2006/relationships/chart" Target="charts/chart8.xml"/><Relationship Id="rId11" Type="http://schemas.openxmlformats.org/officeDocument/2006/relationships/footnotes" Target="footnotes.xml"/><Relationship Id="rId24" Type="http://schemas.openxmlformats.org/officeDocument/2006/relationships/header" Target="header1.xml"/><Relationship Id="rId32" Type="http://schemas.openxmlformats.org/officeDocument/2006/relationships/chart" Target="charts/chart11.xml"/><Relationship Id="rId37" Type="http://schemas.openxmlformats.org/officeDocument/2006/relationships/hyperlink" Target="http://ec.europa.eu/eurostat/documents/3859598/5902521/KS-RA-07-015-EN.PDF" TargetMode="External"/><Relationship Id="rId40" Type="http://schemas.openxmlformats.org/officeDocument/2006/relationships/hyperlink" Target="https://ec.europa.eu/eurostat/data/metadata/covid-19-support-for-statisticians" TargetMode="External"/><Relationship Id="rId45" Type="http://schemas.openxmlformats.org/officeDocument/2006/relationships/hyperlink" Target="http://www.istat.it/it/archivio/commercio+estero+e+prezzi+import" TargetMode="External"/><Relationship Id="rId53" Type="http://schemas.openxmlformats.org/officeDocument/2006/relationships/hyperlink" Target="https://www.istat.it/it/files/2018/05/nota_informativa_prezzi_import.pdf" TargetMode="External"/><Relationship Id="rId58" Type="http://schemas.openxmlformats.org/officeDocument/2006/relationships/hyperlink" Target="mailto:lodorazi@istat.it" TargetMode="Externa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eader" Target="header4.xml"/><Relationship Id="rId43" Type="http://schemas.openxmlformats.org/officeDocument/2006/relationships/hyperlink" Target="http://www.istat.it/it/congiuntura/revisioni" TargetMode="External"/><Relationship Id="rId48" Type="http://schemas.openxmlformats.org/officeDocument/2006/relationships/hyperlink" Target="http://ec.europa.eu/eurostat/data/database" TargetMode="External"/><Relationship Id="rId56" Type="http://schemas.openxmlformats.org/officeDocument/2006/relationships/hyperlink" Target="mailto:vendetti@istat.it" TargetMode="External"/><Relationship Id="rId8" Type="http://schemas.openxmlformats.org/officeDocument/2006/relationships/styles" Target="styles.xml"/><Relationship Id="rId51" Type="http://schemas.openxmlformats.org/officeDocument/2006/relationships/hyperlink" Target="http://www.istat.it/it/files/2016/02/Prezzi-all-importazione-dei-prodotti-industriali-Nota-informativa.pdf?title=Prezzi+all%E2%80%99importazione+dei+prodotti+industriali+-+16%2Ffeb%2F2016+-+Nota+informativa.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istat.it/it/congiuntura" TargetMode="External"/><Relationship Id="rId25" Type="http://schemas.openxmlformats.org/officeDocument/2006/relationships/footer" Target="footer1.xml"/><Relationship Id="rId33" Type="http://schemas.openxmlformats.org/officeDocument/2006/relationships/chart" Target="charts/chart12.xml"/><Relationship Id="rId38" Type="http://schemas.openxmlformats.org/officeDocument/2006/relationships/header" Target="header5.xml"/><Relationship Id="rId46" Type="http://schemas.openxmlformats.org/officeDocument/2006/relationships/hyperlink" Target="http://www.istat.it/it/archivio/commercio+estero+extra+ue" TargetMode="External"/><Relationship Id="rId59" Type="http://schemas.openxmlformats.org/officeDocument/2006/relationships/header" Target="header6.xml"/><Relationship Id="rId20" Type="http://schemas.openxmlformats.org/officeDocument/2006/relationships/chart" Target="charts/chart2.xml"/><Relationship Id="rId41" Type="http://schemas.openxmlformats.org/officeDocument/2006/relationships/hyperlink" Target="https://www.istat.it/it/istituto-nazionale-di-statistica/organizzazione/normativa" TargetMode="External"/><Relationship Id="rId54" Type="http://schemas.openxmlformats.org/officeDocument/2006/relationships/hyperlink" Target="https://www.istat.it/it/files/2020/12/nota_informativa_revisioni_commercio_estero.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5.png"/><Relationship Id="rId23" Type="http://schemas.openxmlformats.org/officeDocument/2006/relationships/chart" Target="charts/chart5.xml"/><Relationship Id="rId28" Type="http://schemas.openxmlformats.org/officeDocument/2006/relationships/chart" Target="charts/chart7.xml"/><Relationship Id="rId36" Type="http://schemas.openxmlformats.org/officeDocument/2006/relationships/hyperlink" Target="https://unstats.un.org/unsd/cr/registry/docs/i4_SNA.pdf" TargetMode="External"/><Relationship Id="rId49" Type="http://schemas.openxmlformats.org/officeDocument/2006/relationships/hyperlink" Target="https://www.istat.it/it/files/2011/03/testointegrale20080225.pdf" TargetMode="External"/><Relationship Id="rId57" Type="http://schemas.openxmlformats.org/officeDocument/2006/relationships/hyperlink" Target="mailto:sibio@istat.it" TargetMode="External"/><Relationship Id="rId10" Type="http://schemas.openxmlformats.org/officeDocument/2006/relationships/webSettings" Target="webSettings.xml"/><Relationship Id="rId31" Type="http://schemas.openxmlformats.org/officeDocument/2006/relationships/chart" Target="charts/chart10.xml"/><Relationship Id="rId44" Type="http://schemas.openxmlformats.org/officeDocument/2006/relationships/hyperlink" Target="http://www.istat.it/it/files/2016/07/scheda-CommercioEstero-e-prezzi-allimport-dei-prodotti-industriali.pdf" TargetMode="External"/><Relationship Id="rId52" Type="http://schemas.openxmlformats.org/officeDocument/2006/relationships/hyperlink" Target="http://www.istat.it/it/files/2015/11/Ricostruzione-serie-indici-2005-2009.pdf?title=Prezzi+all%27importazione+dei+prodotti+industriali+-+17%2Fnov%2F2015+-+Ricostruzione+serie.pdf"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Luglio_2022\coe_pi_mondo_72022_new.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Luglio_2022\coe_pi_mondo_72022_new.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Luglio_2022\coe_pi_mondo_72022_new.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Luglio_2022\GraficiElabImport07_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Luglio_2022\coe_pi_mondo_72022_new.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Luglio_2022\coe_pi_mondo_72022_new.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Luglio_2022\coe_pi_mondo_72022_new.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Luglio_2022\GraficiElabImport07_2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Luglio_2022\coe_pi_mondo_72022_new.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Luglio_2022\coe_pi_mondo_72022_new.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Luglio_2022\coe_pi_mondo_72022_new.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Luglio_2022\coe_pi_mondo_72022_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5"/>
          <c:order val="4"/>
          <c:tx>
            <c:strRef>
              <c:f>'figura 1'!$G$4</c:f>
              <c:strCache>
                <c:ptCount val="1"/>
                <c:pt idx="0">
                  <c:v>Saldi (scala destra)</c:v>
                </c:pt>
              </c:strCache>
            </c:strRef>
          </c:tx>
          <c:spPr>
            <a:solidFill>
              <a:srgbClr val="A6A6A6"/>
            </a:solidFill>
            <a:ln w="6350" cap="flat" cmpd="sng" algn="ctr">
              <a:solidFill>
                <a:schemeClr val="bg1"/>
              </a:solidFill>
              <a:prstDash val="solid"/>
              <a:round/>
              <a:headEnd type="none" w="med" len="med"/>
              <a:tailEnd type="none" w="med" len="med"/>
            </a:ln>
            <a:effectLst/>
          </c:spPr>
          <c:invertIfNegative val="0"/>
          <c:val>
            <c:numRef>
              <c:f>'figura 1'!$G$65:$G$136</c:f>
              <c:numCache>
                <c:formatCode>0</c:formatCode>
                <c:ptCount val="72"/>
                <c:pt idx="0">
                  <c:v>4314</c:v>
                </c:pt>
                <c:pt idx="1">
                  <c:v>2982</c:v>
                </c:pt>
                <c:pt idx="2">
                  <c:v>4371</c:v>
                </c:pt>
                <c:pt idx="3">
                  <c:v>3951</c:v>
                </c:pt>
                <c:pt idx="4">
                  <c:v>3377</c:v>
                </c:pt>
                <c:pt idx="5">
                  <c:v>3611</c:v>
                </c:pt>
                <c:pt idx="6">
                  <c:v>3290</c:v>
                </c:pt>
                <c:pt idx="7">
                  <c:v>4099</c:v>
                </c:pt>
                <c:pt idx="8">
                  <c:v>5158</c:v>
                </c:pt>
                <c:pt idx="9">
                  <c:v>4225</c:v>
                </c:pt>
                <c:pt idx="10">
                  <c:v>4307</c:v>
                </c:pt>
                <c:pt idx="11">
                  <c:v>4309</c:v>
                </c:pt>
                <c:pt idx="12">
                  <c:v>3908</c:v>
                </c:pt>
                <c:pt idx="13">
                  <c:v>3987</c:v>
                </c:pt>
                <c:pt idx="14">
                  <c:v>3718</c:v>
                </c:pt>
                <c:pt idx="15">
                  <c:v>3460</c:v>
                </c:pt>
                <c:pt idx="16">
                  <c:v>2275</c:v>
                </c:pt>
                <c:pt idx="17">
                  <c:v>4150</c:v>
                </c:pt>
                <c:pt idx="18">
                  <c:v>2830</c:v>
                </c:pt>
                <c:pt idx="19">
                  <c:v>3759</c:v>
                </c:pt>
                <c:pt idx="20">
                  <c:v>2508</c:v>
                </c:pt>
                <c:pt idx="21">
                  <c:v>2869</c:v>
                </c:pt>
                <c:pt idx="22">
                  <c:v>3707</c:v>
                </c:pt>
                <c:pt idx="23">
                  <c:v>1987</c:v>
                </c:pt>
                <c:pt idx="24">
                  <c:v>4729</c:v>
                </c:pt>
                <c:pt idx="25">
                  <c:v>4372</c:v>
                </c:pt>
                <c:pt idx="26">
                  <c:v>4420</c:v>
                </c:pt>
                <c:pt idx="27">
                  <c:v>3963</c:v>
                </c:pt>
                <c:pt idx="28">
                  <c:v>3959</c:v>
                </c:pt>
                <c:pt idx="29">
                  <c:v>5098</c:v>
                </c:pt>
                <c:pt idx="30">
                  <c:v>4674</c:v>
                </c:pt>
                <c:pt idx="31">
                  <c:v>4358</c:v>
                </c:pt>
                <c:pt idx="32">
                  <c:v>4544</c:v>
                </c:pt>
                <c:pt idx="33">
                  <c:v>6941</c:v>
                </c:pt>
                <c:pt idx="34">
                  <c:v>4913</c:v>
                </c:pt>
                <c:pt idx="35">
                  <c:v>5023</c:v>
                </c:pt>
                <c:pt idx="36">
                  <c:v>4544</c:v>
                </c:pt>
                <c:pt idx="37">
                  <c:v>6176</c:v>
                </c:pt>
                <c:pt idx="38">
                  <c:v>5382</c:v>
                </c:pt>
                <c:pt idx="39">
                  <c:v>-1032</c:v>
                </c:pt>
                <c:pt idx="40">
                  <c:v>5093</c:v>
                </c:pt>
                <c:pt idx="41">
                  <c:v>5489</c:v>
                </c:pt>
                <c:pt idx="42">
                  <c:v>5982</c:v>
                </c:pt>
                <c:pt idx="43">
                  <c:v>6042</c:v>
                </c:pt>
                <c:pt idx="44">
                  <c:v>7193</c:v>
                </c:pt>
                <c:pt idx="45">
                  <c:v>6059</c:v>
                </c:pt>
                <c:pt idx="46">
                  <c:v>6723</c:v>
                </c:pt>
                <c:pt idx="47">
                  <c:v>5867</c:v>
                </c:pt>
                <c:pt idx="48">
                  <c:v>6123</c:v>
                </c:pt>
                <c:pt idx="49">
                  <c:v>5626</c:v>
                </c:pt>
                <c:pt idx="50">
                  <c:v>4587</c:v>
                </c:pt>
                <c:pt idx="51">
                  <c:v>5617</c:v>
                </c:pt>
                <c:pt idx="52">
                  <c:v>4475</c:v>
                </c:pt>
                <c:pt idx="53">
                  <c:v>4430</c:v>
                </c:pt>
                <c:pt idx="54">
                  <c:v>4862</c:v>
                </c:pt>
                <c:pt idx="55">
                  <c:v>2961</c:v>
                </c:pt>
                <c:pt idx="56">
                  <c:v>2843</c:v>
                </c:pt>
                <c:pt idx="57">
                  <c:v>2060</c:v>
                </c:pt>
                <c:pt idx="58">
                  <c:v>1976</c:v>
                </c:pt>
                <c:pt idx="59">
                  <c:v>-2473</c:v>
                </c:pt>
                <c:pt idx="60">
                  <c:v>751</c:v>
                </c:pt>
                <c:pt idx="61">
                  <c:v>-1113</c:v>
                </c:pt>
                <c:pt idx="62">
                  <c:v>-1074</c:v>
                </c:pt>
                <c:pt idx="63">
                  <c:v>-3806</c:v>
                </c:pt>
                <c:pt idx="64">
                  <c:v>-1644</c:v>
                </c:pt>
                <c:pt idx="65">
                  <c:v>-4047</c:v>
                </c:pt>
                <c:pt idx="66">
                  <c:v>-3803</c:v>
                </c:pt>
              </c:numCache>
            </c:numRef>
          </c:val>
          <c:extLst>
            <c:ext xmlns:c16="http://schemas.microsoft.com/office/drawing/2014/chart" uri="{C3380CC4-5D6E-409C-BE32-E72D297353CC}">
              <c16:uniqueId val="{00000000-0CD2-4CF4-BE10-154E54BD988C}"/>
            </c:ext>
          </c:extLst>
        </c:ser>
        <c:dLbls>
          <c:showLegendKey val="0"/>
          <c:showVal val="0"/>
          <c:showCatName val="0"/>
          <c:showSerName val="0"/>
          <c:showPercent val="0"/>
          <c:showBubbleSize val="0"/>
        </c:dLbls>
        <c:gapWidth val="0"/>
        <c:axId val="120051264"/>
        <c:axId val="120050704"/>
      </c:barChart>
      <c:lineChart>
        <c:grouping val="standard"/>
        <c:varyColors val="0"/>
        <c:ser>
          <c:idx val="2"/>
          <c:order val="0"/>
          <c:tx>
            <c:strRef>
              <c:f>'figura 1'!$C$4</c:f>
              <c:strCache>
                <c:ptCount val="1"/>
                <c:pt idx="0">
                  <c:v>Export - mensile</c:v>
                </c:pt>
              </c:strCache>
            </c:strRef>
          </c:tx>
          <c:spPr>
            <a:ln w="12700" cap="flat" cmpd="sng" algn="ctr">
              <a:solidFill>
                <a:srgbClr val="003B5C"/>
              </a:solidFill>
              <a:prstDash val="sysDash"/>
              <a:round/>
              <a:headEnd type="none" w="med" len="med"/>
              <a:tailEnd type="none" w="med" len="med"/>
            </a:ln>
            <a:effectLst/>
          </c:spPr>
          <c:marker>
            <c:symbol val="none"/>
          </c:marker>
          <c:cat>
            <c:numRef>
              <c:f>'figura 1'!$B$65:$B$136</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'figura 1'!$C$65:$C$136</c:f>
              <c:numCache>
                <c:formatCode>0</c:formatCode>
                <c:ptCount val="72"/>
                <c:pt idx="0">
                  <c:v>36951</c:v>
                </c:pt>
                <c:pt idx="1">
                  <c:v>36387</c:v>
                </c:pt>
                <c:pt idx="2">
                  <c:v>37851</c:v>
                </c:pt>
                <c:pt idx="3">
                  <c:v>36862</c:v>
                </c:pt>
                <c:pt idx="4">
                  <c:v>37641</c:v>
                </c:pt>
                <c:pt idx="5">
                  <c:v>37267</c:v>
                </c:pt>
                <c:pt idx="6">
                  <c:v>37031</c:v>
                </c:pt>
                <c:pt idx="7">
                  <c:v>38317</c:v>
                </c:pt>
                <c:pt idx="8">
                  <c:v>37765</c:v>
                </c:pt>
                <c:pt idx="9">
                  <c:v>37998</c:v>
                </c:pt>
                <c:pt idx="10">
                  <c:v>38880</c:v>
                </c:pt>
                <c:pt idx="11">
                  <c:v>39926</c:v>
                </c:pt>
                <c:pt idx="12">
                  <c:v>37911</c:v>
                </c:pt>
                <c:pt idx="13">
                  <c:v>37879</c:v>
                </c:pt>
                <c:pt idx="14">
                  <c:v>38252</c:v>
                </c:pt>
                <c:pt idx="15">
                  <c:v>38398</c:v>
                </c:pt>
                <c:pt idx="16">
                  <c:v>37537</c:v>
                </c:pt>
                <c:pt idx="17">
                  <c:v>39700</c:v>
                </c:pt>
                <c:pt idx="18">
                  <c:v>39320</c:v>
                </c:pt>
                <c:pt idx="19">
                  <c:v>39839</c:v>
                </c:pt>
                <c:pt idx="20">
                  <c:v>38525</c:v>
                </c:pt>
                <c:pt idx="21">
                  <c:v>39900</c:v>
                </c:pt>
                <c:pt idx="22">
                  <c:v>40022</c:v>
                </c:pt>
                <c:pt idx="23">
                  <c:v>38722</c:v>
                </c:pt>
                <c:pt idx="24">
                  <c:v>39942</c:v>
                </c:pt>
                <c:pt idx="25">
                  <c:v>39450</c:v>
                </c:pt>
                <c:pt idx="26">
                  <c:v>40023</c:v>
                </c:pt>
                <c:pt idx="27">
                  <c:v>39695</c:v>
                </c:pt>
                <c:pt idx="28">
                  <c:v>40398</c:v>
                </c:pt>
                <c:pt idx="29">
                  <c:v>40768</c:v>
                </c:pt>
                <c:pt idx="30">
                  <c:v>40246</c:v>
                </c:pt>
                <c:pt idx="31">
                  <c:v>39575</c:v>
                </c:pt>
                <c:pt idx="32">
                  <c:v>40801</c:v>
                </c:pt>
                <c:pt idx="33">
                  <c:v>41661</c:v>
                </c:pt>
                <c:pt idx="34">
                  <c:v>39110</c:v>
                </c:pt>
                <c:pt idx="35">
                  <c:v>40474</c:v>
                </c:pt>
                <c:pt idx="36">
                  <c:v>40674</c:v>
                </c:pt>
                <c:pt idx="37">
                  <c:v>40500</c:v>
                </c:pt>
                <c:pt idx="38">
                  <c:v>33719</c:v>
                </c:pt>
                <c:pt idx="39">
                  <c:v>21836</c:v>
                </c:pt>
                <c:pt idx="40">
                  <c:v>30315</c:v>
                </c:pt>
                <c:pt idx="41">
                  <c:v>34829</c:v>
                </c:pt>
                <c:pt idx="42">
                  <c:v>37284</c:v>
                </c:pt>
                <c:pt idx="43">
                  <c:v>38132</c:v>
                </c:pt>
                <c:pt idx="44">
                  <c:v>39524</c:v>
                </c:pt>
                <c:pt idx="45">
                  <c:v>39141</c:v>
                </c:pt>
                <c:pt idx="46">
                  <c:v>40787</c:v>
                </c:pt>
                <c:pt idx="47">
                  <c:v>39354</c:v>
                </c:pt>
                <c:pt idx="48">
                  <c:v>39760</c:v>
                </c:pt>
                <c:pt idx="49">
                  <c:v>39867</c:v>
                </c:pt>
                <c:pt idx="50">
                  <c:v>41146</c:v>
                </c:pt>
                <c:pt idx="51">
                  <c:v>42704</c:v>
                </c:pt>
                <c:pt idx="52">
                  <c:v>41404</c:v>
                </c:pt>
                <c:pt idx="53">
                  <c:v>42485</c:v>
                </c:pt>
                <c:pt idx="54">
                  <c:v>43726</c:v>
                </c:pt>
                <c:pt idx="55">
                  <c:v>44041</c:v>
                </c:pt>
                <c:pt idx="56">
                  <c:v>43687</c:v>
                </c:pt>
                <c:pt idx="57">
                  <c:v>44499</c:v>
                </c:pt>
                <c:pt idx="58">
                  <c:v>45851</c:v>
                </c:pt>
                <c:pt idx="59">
                  <c:v>45515</c:v>
                </c:pt>
                <c:pt idx="60">
                  <c:v>48015</c:v>
                </c:pt>
                <c:pt idx="61">
                  <c:v>48895</c:v>
                </c:pt>
                <c:pt idx="62">
                  <c:v>49810</c:v>
                </c:pt>
                <c:pt idx="63">
                  <c:v>50666</c:v>
                </c:pt>
                <c:pt idx="64">
                  <c:v>53128</c:v>
                </c:pt>
                <c:pt idx="65">
                  <c:v>52132</c:v>
                </c:pt>
                <c:pt idx="66">
                  <c:v>54261</c:v>
                </c:pt>
              </c:numCache>
            </c:numRef>
          </c:val>
          <c:smooth val="0"/>
          <c:extLst>
            <c:ext xmlns:c16="http://schemas.microsoft.com/office/drawing/2014/chart" uri="{C3380CC4-5D6E-409C-BE32-E72D297353CC}">
              <c16:uniqueId val="{00000001-0CD2-4CF4-BE10-154E54BD988C}"/>
            </c:ext>
          </c:extLst>
        </c:ser>
        <c:ser>
          <c:idx val="4"/>
          <c:order val="1"/>
          <c:tx>
            <c:strRef>
              <c:f>'figura 1'!$D$4</c:f>
              <c:strCache>
                <c:ptCount val="1"/>
                <c:pt idx="0">
                  <c:v>Export - media 3m</c:v>
                </c:pt>
              </c:strCache>
            </c:strRef>
          </c:tx>
          <c:spPr>
            <a:ln w="28575" cap="rnd">
              <a:solidFill>
                <a:srgbClr val="003B5C"/>
              </a:solidFill>
              <a:round/>
            </a:ln>
            <a:effectLst/>
          </c:spPr>
          <c:marker>
            <c:symbol val="none"/>
          </c:marker>
          <c:cat>
            <c:numRef>
              <c:f>'figura 1'!$B$65:$B$136</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'figura 1'!$D$65:$D$136</c:f>
              <c:numCache>
                <c:formatCode>0</c:formatCode>
                <c:ptCount val="72"/>
                <c:pt idx="0">
                  <c:v>36696.333333333328</c:v>
                </c:pt>
                <c:pt idx="1">
                  <c:v>37063</c:v>
                </c:pt>
                <c:pt idx="2">
                  <c:v>37033.333333333336</c:v>
                </c:pt>
                <c:pt idx="3">
                  <c:v>37451.333333333328</c:v>
                </c:pt>
                <c:pt idx="4">
                  <c:v>37256.666666666672</c:v>
                </c:pt>
                <c:pt idx="5">
                  <c:v>37313</c:v>
                </c:pt>
                <c:pt idx="6">
                  <c:v>37538.333333333328</c:v>
                </c:pt>
                <c:pt idx="7">
                  <c:v>37704.333333333328</c:v>
                </c:pt>
                <c:pt idx="8">
                  <c:v>38026.666666666664</c:v>
                </c:pt>
                <c:pt idx="9">
                  <c:v>38214.333333333328</c:v>
                </c:pt>
                <c:pt idx="10">
                  <c:v>38934.666666666664</c:v>
                </c:pt>
                <c:pt idx="11">
                  <c:v>38905.666666666664</c:v>
                </c:pt>
                <c:pt idx="12">
                  <c:v>38572</c:v>
                </c:pt>
                <c:pt idx="13">
                  <c:v>38014</c:v>
                </c:pt>
                <c:pt idx="14">
                  <c:v>38176.333333333328</c:v>
                </c:pt>
                <c:pt idx="15">
                  <c:v>38062.333333333328</c:v>
                </c:pt>
                <c:pt idx="16">
                  <c:v>38545</c:v>
                </c:pt>
                <c:pt idx="17">
                  <c:v>38852.333333333336</c:v>
                </c:pt>
                <c:pt idx="18">
                  <c:v>39619.666666666672</c:v>
                </c:pt>
                <c:pt idx="19">
                  <c:v>39228</c:v>
                </c:pt>
                <c:pt idx="20">
                  <c:v>39421.333333333328</c:v>
                </c:pt>
                <c:pt idx="21">
                  <c:v>39482.333333333328</c:v>
                </c:pt>
                <c:pt idx="22">
                  <c:v>39548</c:v>
                </c:pt>
                <c:pt idx="23">
                  <c:v>39562</c:v>
                </c:pt>
                <c:pt idx="24">
                  <c:v>39371.333333333328</c:v>
                </c:pt>
                <c:pt idx="25">
                  <c:v>39805</c:v>
                </c:pt>
                <c:pt idx="26">
                  <c:v>39722.666666666672</c:v>
                </c:pt>
                <c:pt idx="27">
                  <c:v>40038.666666666664</c:v>
                </c:pt>
                <c:pt idx="28">
                  <c:v>40287</c:v>
                </c:pt>
                <c:pt idx="29">
                  <c:v>40470.666666666672</c:v>
                </c:pt>
                <c:pt idx="30">
                  <c:v>40196.333333333336</c:v>
                </c:pt>
                <c:pt idx="31">
                  <c:v>40207.333333333328</c:v>
                </c:pt>
                <c:pt idx="32">
                  <c:v>40679</c:v>
                </c:pt>
                <c:pt idx="33">
                  <c:v>40524</c:v>
                </c:pt>
                <c:pt idx="34">
                  <c:v>40415</c:v>
                </c:pt>
                <c:pt idx="35">
                  <c:v>40086</c:v>
                </c:pt>
                <c:pt idx="36">
                  <c:v>40549.333333333328</c:v>
                </c:pt>
                <c:pt idx="37">
                  <c:v>38297.666666666672</c:v>
                </c:pt>
                <c:pt idx="38">
                  <c:v>32018.333333333336</c:v>
                </c:pt>
                <c:pt idx="39">
                  <c:v>28623.333333333336</c:v>
                </c:pt>
                <c:pt idx="40">
                  <c:v>28993.333333333336</c:v>
                </c:pt>
                <c:pt idx="41">
                  <c:v>34142.666666666664</c:v>
                </c:pt>
                <c:pt idx="42">
                  <c:v>36748.333333333336</c:v>
                </c:pt>
                <c:pt idx="43">
                  <c:v>38313.333333333328</c:v>
                </c:pt>
                <c:pt idx="44">
                  <c:v>38932.333333333336</c:v>
                </c:pt>
                <c:pt idx="45">
                  <c:v>39817.333333333328</c:v>
                </c:pt>
                <c:pt idx="46">
                  <c:v>39760.666666666664</c:v>
                </c:pt>
                <c:pt idx="47">
                  <c:v>39967</c:v>
                </c:pt>
                <c:pt idx="48">
                  <c:v>39660.333333333328</c:v>
                </c:pt>
                <c:pt idx="49">
                  <c:v>40257.666666666664</c:v>
                </c:pt>
                <c:pt idx="50">
                  <c:v>41239</c:v>
                </c:pt>
                <c:pt idx="51">
                  <c:v>41751.333333333336</c:v>
                </c:pt>
                <c:pt idx="52">
                  <c:v>42197.666666666672</c:v>
                </c:pt>
                <c:pt idx="53">
                  <c:v>42538.333333333336</c:v>
                </c:pt>
                <c:pt idx="54">
                  <c:v>43417.333333333328</c:v>
                </c:pt>
                <c:pt idx="55">
                  <c:v>43818</c:v>
                </c:pt>
                <c:pt idx="56">
                  <c:v>44075.666666666672</c:v>
                </c:pt>
                <c:pt idx="57">
                  <c:v>44679</c:v>
                </c:pt>
                <c:pt idx="58">
                  <c:v>45288.333333333328</c:v>
                </c:pt>
                <c:pt idx="59">
                  <c:v>46460.333333333328</c:v>
                </c:pt>
                <c:pt idx="60">
                  <c:v>47475</c:v>
                </c:pt>
                <c:pt idx="61">
                  <c:v>48906.666666666672</c:v>
                </c:pt>
                <c:pt idx="62">
                  <c:v>49790.333333333328</c:v>
                </c:pt>
                <c:pt idx="63">
                  <c:v>51201.333333333336</c:v>
                </c:pt>
                <c:pt idx="64">
                  <c:v>51975.333333333336</c:v>
                </c:pt>
                <c:pt idx="65">
                  <c:v>53173.666666666664</c:v>
                </c:pt>
              </c:numCache>
            </c:numRef>
          </c:val>
          <c:smooth val="0"/>
          <c:extLst>
            <c:ext xmlns:c16="http://schemas.microsoft.com/office/drawing/2014/chart" uri="{C3380CC4-5D6E-409C-BE32-E72D297353CC}">
              <c16:uniqueId val="{00000002-0CD2-4CF4-BE10-154E54BD988C}"/>
            </c:ext>
          </c:extLst>
        </c:ser>
        <c:ser>
          <c:idx val="1"/>
          <c:order val="2"/>
          <c:tx>
            <c:strRef>
              <c:f>'figura 1'!$E$4</c:f>
              <c:strCache>
                <c:ptCount val="1"/>
                <c:pt idx="0">
                  <c:v>Import - mensile</c:v>
                </c:pt>
              </c:strCache>
            </c:strRef>
          </c:tx>
          <c:spPr>
            <a:ln w="12700" cap="flat" cmpd="sng" algn="ctr">
              <a:solidFill>
                <a:srgbClr val="D22630"/>
              </a:solidFill>
              <a:prstDash val="sysDash"/>
              <a:round/>
              <a:headEnd type="none" w="med" len="med"/>
              <a:tailEnd type="none" w="med" len="med"/>
            </a:ln>
            <a:effectLst/>
          </c:spPr>
          <c:marker>
            <c:symbol val="none"/>
          </c:marker>
          <c:cat>
            <c:numRef>
              <c:f>'figura 1'!$B$65:$B$136</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'figura 1'!$E$65:$E$136</c:f>
              <c:numCache>
                <c:formatCode>0</c:formatCode>
                <c:ptCount val="72"/>
                <c:pt idx="0">
                  <c:v>32637</c:v>
                </c:pt>
                <c:pt idx="1">
                  <c:v>33405</c:v>
                </c:pt>
                <c:pt idx="2">
                  <c:v>33480</c:v>
                </c:pt>
                <c:pt idx="3">
                  <c:v>32911</c:v>
                </c:pt>
                <c:pt idx="4">
                  <c:v>34264</c:v>
                </c:pt>
                <c:pt idx="5">
                  <c:v>33656</c:v>
                </c:pt>
                <c:pt idx="6">
                  <c:v>33741</c:v>
                </c:pt>
                <c:pt idx="7">
                  <c:v>34218</c:v>
                </c:pt>
                <c:pt idx="8">
                  <c:v>32607</c:v>
                </c:pt>
                <c:pt idx="9">
                  <c:v>33773</c:v>
                </c:pt>
                <c:pt idx="10">
                  <c:v>34573</c:v>
                </c:pt>
                <c:pt idx="11">
                  <c:v>35617</c:v>
                </c:pt>
                <c:pt idx="12">
                  <c:v>34003</c:v>
                </c:pt>
                <c:pt idx="13">
                  <c:v>33892</c:v>
                </c:pt>
                <c:pt idx="14">
                  <c:v>34534</c:v>
                </c:pt>
                <c:pt idx="15">
                  <c:v>34938</c:v>
                </c:pt>
                <c:pt idx="16">
                  <c:v>35262</c:v>
                </c:pt>
                <c:pt idx="17">
                  <c:v>35550</c:v>
                </c:pt>
                <c:pt idx="18">
                  <c:v>36490</c:v>
                </c:pt>
                <c:pt idx="19">
                  <c:v>36080</c:v>
                </c:pt>
                <c:pt idx="20">
                  <c:v>36017</c:v>
                </c:pt>
                <c:pt idx="21">
                  <c:v>37031</c:v>
                </c:pt>
                <c:pt idx="22">
                  <c:v>36315</c:v>
                </c:pt>
                <c:pt idx="23">
                  <c:v>36735</c:v>
                </c:pt>
                <c:pt idx="24">
                  <c:v>35213</c:v>
                </c:pt>
                <c:pt idx="25">
                  <c:v>35078</c:v>
                </c:pt>
                <c:pt idx="26">
                  <c:v>35603</c:v>
                </c:pt>
                <c:pt idx="27">
                  <c:v>35732</c:v>
                </c:pt>
                <c:pt idx="28">
                  <c:v>36439</c:v>
                </c:pt>
                <c:pt idx="29">
                  <c:v>35670</c:v>
                </c:pt>
                <c:pt idx="30">
                  <c:v>35572</c:v>
                </c:pt>
                <c:pt idx="31">
                  <c:v>35217</c:v>
                </c:pt>
                <c:pt idx="32">
                  <c:v>36257</c:v>
                </c:pt>
                <c:pt idx="33">
                  <c:v>34720</c:v>
                </c:pt>
                <c:pt idx="34">
                  <c:v>34197</c:v>
                </c:pt>
                <c:pt idx="35">
                  <c:v>35451</c:v>
                </c:pt>
                <c:pt idx="36">
                  <c:v>36130</c:v>
                </c:pt>
                <c:pt idx="37">
                  <c:v>34324</c:v>
                </c:pt>
                <c:pt idx="38">
                  <c:v>28337</c:v>
                </c:pt>
                <c:pt idx="39">
                  <c:v>22868</c:v>
                </c:pt>
                <c:pt idx="40">
                  <c:v>25222</c:v>
                </c:pt>
                <c:pt idx="41">
                  <c:v>29340</c:v>
                </c:pt>
                <c:pt idx="42">
                  <c:v>31302</c:v>
                </c:pt>
                <c:pt idx="43">
                  <c:v>32090</c:v>
                </c:pt>
                <c:pt idx="44">
                  <c:v>32331</c:v>
                </c:pt>
                <c:pt idx="45">
                  <c:v>33082</c:v>
                </c:pt>
                <c:pt idx="46">
                  <c:v>34064</c:v>
                </c:pt>
                <c:pt idx="47">
                  <c:v>33487</c:v>
                </c:pt>
                <c:pt idx="48">
                  <c:v>33637</c:v>
                </c:pt>
                <c:pt idx="49">
                  <c:v>34241</c:v>
                </c:pt>
                <c:pt idx="50">
                  <c:v>36559</c:v>
                </c:pt>
                <c:pt idx="51">
                  <c:v>37087</c:v>
                </c:pt>
                <c:pt idx="52">
                  <c:v>36929</c:v>
                </c:pt>
                <c:pt idx="53">
                  <c:v>38055</c:v>
                </c:pt>
                <c:pt idx="54">
                  <c:v>38864</c:v>
                </c:pt>
                <c:pt idx="55">
                  <c:v>41080</c:v>
                </c:pt>
                <c:pt idx="56">
                  <c:v>40844</c:v>
                </c:pt>
                <c:pt idx="57">
                  <c:v>42439</c:v>
                </c:pt>
                <c:pt idx="58">
                  <c:v>43875</c:v>
                </c:pt>
                <c:pt idx="59">
                  <c:v>47988</c:v>
                </c:pt>
                <c:pt idx="60">
                  <c:v>47264</c:v>
                </c:pt>
                <c:pt idx="61">
                  <c:v>50008</c:v>
                </c:pt>
                <c:pt idx="62">
                  <c:v>50884</c:v>
                </c:pt>
                <c:pt idx="63">
                  <c:v>54472</c:v>
                </c:pt>
                <c:pt idx="64">
                  <c:v>54772</c:v>
                </c:pt>
                <c:pt idx="65">
                  <c:v>56179</c:v>
                </c:pt>
                <c:pt idx="66">
                  <c:v>58064</c:v>
                </c:pt>
              </c:numCache>
            </c:numRef>
          </c:val>
          <c:smooth val="0"/>
          <c:extLst>
            <c:ext xmlns:c16="http://schemas.microsoft.com/office/drawing/2014/chart" uri="{C3380CC4-5D6E-409C-BE32-E72D297353CC}">
              <c16:uniqueId val="{00000003-0CD2-4CF4-BE10-154E54BD988C}"/>
            </c:ext>
          </c:extLst>
        </c:ser>
        <c:ser>
          <c:idx val="3"/>
          <c:order val="3"/>
          <c:tx>
            <c:strRef>
              <c:f>'figura 1'!$F$4</c:f>
              <c:strCache>
                <c:ptCount val="1"/>
                <c:pt idx="0">
                  <c:v>Import - media 3m</c:v>
                </c:pt>
              </c:strCache>
            </c:strRef>
          </c:tx>
          <c:spPr>
            <a:ln w="28575" cap="rnd">
              <a:solidFill>
                <a:srgbClr val="D22630"/>
              </a:solidFill>
              <a:round/>
            </a:ln>
            <a:effectLst/>
          </c:spPr>
          <c:marker>
            <c:symbol val="none"/>
          </c:marker>
          <c:cat>
            <c:numRef>
              <c:f>'figura 1'!$B$65:$B$136</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'figura 1'!$F$65:$F$136</c:f>
              <c:numCache>
                <c:formatCode>0</c:formatCode>
                <c:ptCount val="72"/>
                <c:pt idx="0">
                  <c:v>32809</c:v>
                </c:pt>
                <c:pt idx="1">
                  <c:v>33174</c:v>
                </c:pt>
                <c:pt idx="2">
                  <c:v>33265.333333333328</c:v>
                </c:pt>
                <c:pt idx="3">
                  <c:v>33551.666666666664</c:v>
                </c:pt>
                <c:pt idx="4">
                  <c:v>33610.333333333336</c:v>
                </c:pt>
                <c:pt idx="5">
                  <c:v>33887</c:v>
                </c:pt>
                <c:pt idx="6">
                  <c:v>33871.666666666664</c:v>
                </c:pt>
                <c:pt idx="7">
                  <c:v>33522</c:v>
                </c:pt>
                <c:pt idx="8">
                  <c:v>33532.666666666672</c:v>
                </c:pt>
                <c:pt idx="9">
                  <c:v>33651</c:v>
                </c:pt>
                <c:pt idx="10">
                  <c:v>34654.333333333336</c:v>
                </c:pt>
                <c:pt idx="11">
                  <c:v>34731</c:v>
                </c:pt>
                <c:pt idx="12">
                  <c:v>34504</c:v>
                </c:pt>
                <c:pt idx="13">
                  <c:v>34143</c:v>
                </c:pt>
                <c:pt idx="14">
                  <c:v>34454.666666666664</c:v>
                </c:pt>
                <c:pt idx="15">
                  <c:v>34911.333333333328</c:v>
                </c:pt>
                <c:pt idx="16">
                  <c:v>35250</c:v>
                </c:pt>
                <c:pt idx="17">
                  <c:v>35767.333333333328</c:v>
                </c:pt>
                <c:pt idx="18">
                  <c:v>36040</c:v>
                </c:pt>
                <c:pt idx="19">
                  <c:v>36195.666666666664</c:v>
                </c:pt>
                <c:pt idx="20">
                  <c:v>36376</c:v>
                </c:pt>
                <c:pt idx="21">
                  <c:v>36454.333333333328</c:v>
                </c:pt>
                <c:pt idx="22">
                  <c:v>36693.666666666664</c:v>
                </c:pt>
                <c:pt idx="23">
                  <c:v>36087.666666666672</c:v>
                </c:pt>
                <c:pt idx="24">
                  <c:v>35675.333333333328</c:v>
                </c:pt>
                <c:pt idx="25">
                  <c:v>35298</c:v>
                </c:pt>
                <c:pt idx="26">
                  <c:v>35471</c:v>
                </c:pt>
                <c:pt idx="27">
                  <c:v>35924.666666666664</c:v>
                </c:pt>
                <c:pt idx="28">
                  <c:v>35947</c:v>
                </c:pt>
                <c:pt idx="29">
                  <c:v>35893.666666666664</c:v>
                </c:pt>
                <c:pt idx="30">
                  <c:v>35486.333333333336</c:v>
                </c:pt>
                <c:pt idx="31">
                  <c:v>35682</c:v>
                </c:pt>
                <c:pt idx="32">
                  <c:v>35398</c:v>
                </c:pt>
                <c:pt idx="33">
                  <c:v>35058</c:v>
                </c:pt>
                <c:pt idx="34">
                  <c:v>34789.333333333336</c:v>
                </c:pt>
                <c:pt idx="35">
                  <c:v>35259.333333333328</c:v>
                </c:pt>
                <c:pt idx="36">
                  <c:v>35301.666666666664</c:v>
                </c:pt>
                <c:pt idx="37">
                  <c:v>32930.333333333336</c:v>
                </c:pt>
                <c:pt idx="38">
                  <c:v>28509.666666666664</c:v>
                </c:pt>
                <c:pt idx="39">
                  <c:v>25475.666666666664</c:v>
                </c:pt>
                <c:pt idx="40">
                  <c:v>25810</c:v>
                </c:pt>
                <c:pt idx="41">
                  <c:v>28621.333333333336</c:v>
                </c:pt>
                <c:pt idx="42">
                  <c:v>30910.666666666668</c:v>
                </c:pt>
                <c:pt idx="43">
                  <c:v>31907.666666666668</c:v>
                </c:pt>
                <c:pt idx="44">
                  <c:v>32501</c:v>
                </c:pt>
                <c:pt idx="45">
                  <c:v>33159</c:v>
                </c:pt>
                <c:pt idx="46">
                  <c:v>33544.333333333328</c:v>
                </c:pt>
                <c:pt idx="47">
                  <c:v>33729.333333333336</c:v>
                </c:pt>
                <c:pt idx="48">
                  <c:v>33788.333333333336</c:v>
                </c:pt>
                <c:pt idx="49">
                  <c:v>34812.333333333328</c:v>
                </c:pt>
                <c:pt idx="50">
                  <c:v>35962.333333333336</c:v>
                </c:pt>
                <c:pt idx="51">
                  <c:v>36858.333333333336</c:v>
                </c:pt>
                <c:pt idx="52">
                  <c:v>37357</c:v>
                </c:pt>
                <c:pt idx="53">
                  <c:v>37949.333333333328</c:v>
                </c:pt>
                <c:pt idx="54">
                  <c:v>39333</c:v>
                </c:pt>
                <c:pt idx="55">
                  <c:v>40262.666666666672</c:v>
                </c:pt>
                <c:pt idx="56">
                  <c:v>41454.333333333336</c:v>
                </c:pt>
                <c:pt idx="57">
                  <c:v>42386</c:v>
                </c:pt>
                <c:pt idx="58">
                  <c:v>44767.333333333336</c:v>
                </c:pt>
                <c:pt idx="59">
                  <c:v>46375.666666666664</c:v>
                </c:pt>
                <c:pt idx="60">
                  <c:v>48420</c:v>
                </c:pt>
                <c:pt idx="61">
                  <c:v>49385.333333333336</c:v>
                </c:pt>
                <c:pt idx="62">
                  <c:v>51788</c:v>
                </c:pt>
                <c:pt idx="63">
                  <c:v>53376</c:v>
                </c:pt>
                <c:pt idx="64">
                  <c:v>55141</c:v>
                </c:pt>
                <c:pt idx="65">
                  <c:v>56338.333333333328</c:v>
                </c:pt>
              </c:numCache>
            </c:numRef>
          </c:val>
          <c:smooth val="0"/>
          <c:extLst>
            <c:ext xmlns:c16="http://schemas.microsoft.com/office/drawing/2014/chart" uri="{C3380CC4-5D6E-409C-BE32-E72D297353CC}">
              <c16:uniqueId val="{00000004-0CD2-4CF4-BE10-154E54BD988C}"/>
            </c:ext>
          </c:extLst>
        </c:ser>
        <c:dLbls>
          <c:showLegendKey val="0"/>
          <c:showVal val="0"/>
          <c:showCatName val="0"/>
          <c:showSerName val="0"/>
          <c:showPercent val="0"/>
          <c:showBubbleSize val="0"/>
        </c:dLbls>
        <c:marker val="1"/>
        <c:smooth val="0"/>
        <c:axId val="120049584"/>
        <c:axId val="120050144"/>
      </c:lineChart>
      <c:catAx>
        <c:axId val="120049584"/>
        <c:scaling>
          <c:orientation val="minMax"/>
        </c:scaling>
        <c:delete val="0"/>
        <c:axPos val="b"/>
        <c:majorGridlines>
          <c:spPr>
            <a:ln w="6350" cap="flat" cmpd="sng" algn="ctr">
              <a:solidFill>
                <a:srgbClr val="FFFFFF"/>
              </a:solidFill>
              <a:prstDash val="solid"/>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bg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a:ea typeface="Arial Narrow"/>
                <a:cs typeface="Arial Narrow"/>
              </a:defRPr>
            </a:pPr>
            <a:endParaRPr lang="it-IT"/>
          </a:p>
        </c:txPr>
        <c:crossAx val="120050144"/>
        <c:crosses val="autoZero"/>
        <c:auto val="1"/>
        <c:lblAlgn val="ctr"/>
        <c:lblOffset val="0"/>
        <c:tickMarkSkip val="3"/>
        <c:noMultiLvlLbl val="0"/>
      </c:catAx>
      <c:valAx>
        <c:axId val="120050144"/>
        <c:scaling>
          <c:orientation val="minMax"/>
          <c:max val="60000"/>
          <c:min val="20000"/>
        </c:scaling>
        <c:delete val="0"/>
        <c:axPos val="l"/>
        <c:majorGridlines>
          <c:spPr>
            <a:ln w="9525" cap="flat" cmpd="sng" algn="ctr">
              <a:solidFill>
                <a:srgbClr val="FFFFFF">
                  <a:lumMod val="100000"/>
                </a:srgbClr>
              </a:solidFill>
              <a:round/>
            </a:ln>
            <a:effectLst/>
          </c:spPr>
        </c:majorGridlines>
        <c:numFmt formatCode="0" sourceLinked="1"/>
        <c:majorTickMark val="none"/>
        <c:minorTickMark val="none"/>
        <c:tickLblPos val="nextTo"/>
        <c:spPr>
          <a:noFill/>
          <a:ln>
            <a:noFill/>
          </a:ln>
          <a:effectLst/>
          <a:extLst>
            <a:ext uri="{91240B29-F687-4F45-9708-019B960494DF}">
              <a14:hiddenLine xmlns:a14="http://schemas.microsoft.com/office/drawing/2010/main">
                <a:noFill/>
              </a14:hiddenLine>
            </a:ext>
          </a:extLst>
        </c:spPr>
        <c:txPr>
          <a:bodyPr rot="-60000000" spcFirstLastPara="1" vertOverflow="ellipsis" vert="horz" wrap="square" anchor="ctr" anchorCtr="1"/>
          <a:lstStyle/>
          <a:p>
            <a:pPr>
              <a:defRPr sz="900" b="0" i="0" u="none" strike="noStrike" kern="1200" baseline="0">
                <a:solidFill>
                  <a:srgbClr val="000000"/>
                </a:solidFill>
                <a:latin typeface="Arial Narrow"/>
                <a:ea typeface="Arial Narrow"/>
                <a:cs typeface="Arial Narrow"/>
              </a:defRPr>
            </a:pPr>
            <a:endParaRPr lang="it-IT"/>
          </a:p>
        </c:txPr>
        <c:crossAx val="120049584"/>
        <c:crosses val="autoZero"/>
        <c:crossBetween val="between"/>
        <c:dispUnits>
          <c:builtInUnit val="thousands"/>
        </c:dispUnits>
      </c:valAx>
      <c:valAx>
        <c:axId val="120050704"/>
        <c:scaling>
          <c:orientation val="minMax"/>
          <c:max val="8000"/>
          <c:min val="-50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a:ea typeface="Arial Narrow"/>
                <a:cs typeface="Arial Narrow"/>
              </a:defRPr>
            </a:pPr>
            <a:endParaRPr lang="it-IT"/>
          </a:p>
        </c:txPr>
        <c:crossAx val="120051264"/>
        <c:crosses val="max"/>
        <c:crossBetween val="between"/>
        <c:majorUnit val="1000"/>
        <c:dispUnits>
          <c:builtInUnit val="thousands"/>
        </c:dispUnits>
      </c:valAx>
      <c:catAx>
        <c:axId val="120051264"/>
        <c:scaling>
          <c:orientation val="minMax"/>
        </c:scaling>
        <c:delete val="1"/>
        <c:axPos val="b"/>
        <c:majorGridlines>
          <c:spPr>
            <a:ln w="15875" cap="flat" cmpd="sng" algn="ctr">
              <a:solidFill>
                <a:schemeClr val="bg1"/>
              </a:solidFill>
              <a:round/>
            </a:ln>
            <a:effectLst/>
          </c:spPr>
        </c:majorGridlines>
        <c:majorTickMark val="out"/>
        <c:minorTickMark val="none"/>
        <c:tickLblPos val="nextTo"/>
        <c:crossAx val="120050704"/>
        <c:crossesAt val="0"/>
        <c:auto val="1"/>
        <c:lblAlgn val="ctr"/>
        <c:lblOffset val="100"/>
        <c:tickMarkSkip val="12"/>
        <c:noMultiLvlLbl val="0"/>
      </c:catAx>
      <c:spPr>
        <a:solidFill>
          <a:srgbClr val="DDDDDD"/>
        </a:solidFill>
        <a:ln w="9525" cap="flat" cmpd="sng" algn="ctr">
          <a:solidFill>
            <a:schemeClr val="bg1"/>
          </a:solidFill>
          <a:prstDash val="solid"/>
          <a:round/>
          <a:headEnd type="none" w="med" len="med"/>
          <a:tailEnd type="none" w="med" len="med"/>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a:ea typeface="Arial Narrow"/>
              <a:cs typeface="Arial Narrow"/>
            </a:defRPr>
          </a:pPr>
          <a:endParaRPr lang="it-IT"/>
        </a:p>
      </c:txPr>
    </c:legend>
    <c:plotVisOnly val="1"/>
    <c:dispBlanksAs val="gap"/>
    <c:showDLblsOverMax val="0"/>
  </c:chart>
  <c:spPr>
    <a:solidFill>
      <a:srgbClr val="DDDDDD"/>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a:ea typeface="Arial Narrow"/>
          <a:cs typeface="Arial Narrow"/>
        </a:defRPr>
      </a:pPr>
      <a:endParaRPr lang="it-I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rgbClr val="000000"/>
                </a:solidFill>
                <a:latin typeface="Arial Narrow" panose="020B0606020202030204" pitchFamily="34" charset="0"/>
                <a:ea typeface="+mn-ea"/>
                <a:cs typeface="+mn-cs"/>
              </a:defRPr>
            </a:pPr>
            <a:r>
              <a:rPr lang="en-US" b="1"/>
              <a:t>Valori medi unitari</a:t>
            </a:r>
          </a:p>
        </c:rich>
      </c:tx>
      <c:layout>
        <c:manualLayout>
          <c:xMode val="edge"/>
          <c:yMode val="edge"/>
          <c:x val="0.32500246913580255"/>
          <c:y val="1.1423431526872049E-2"/>
        </c:manualLayout>
      </c:layout>
      <c:overlay val="1"/>
      <c:spPr>
        <a:noFill/>
        <a:ln>
          <a:noFill/>
        </a:ln>
        <a:effectLst/>
      </c:spPr>
    </c:title>
    <c:autoTitleDeleted val="0"/>
    <c:plotArea>
      <c:layout>
        <c:manualLayout>
          <c:layoutTarget val="inner"/>
          <c:xMode val="edge"/>
          <c:yMode val="edge"/>
          <c:x val="3.8200031242677498E-2"/>
          <c:y val="0.1838210029233191"/>
          <c:w val="0.9225041907245296"/>
          <c:h val="0.72395322689453567"/>
        </c:manualLayout>
      </c:layout>
      <c:lineChart>
        <c:grouping val="standard"/>
        <c:varyColors val="0"/>
        <c:ser>
          <c:idx val="0"/>
          <c:order val="0"/>
          <c:tx>
            <c:strRef>
              <c:f>'figura 10'!$D$16</c:f>
              <c:strCache>
                <c:ptCount val="1"/>
                <c:pt idx="0">
                  <c:v>Esportazioni</c:v>
                </c:pt>
              </c:strCache>
            </c:strRef>
          </c:tx>
          <c:spPr>
            <a:ln w="19050" cap="rnd" cmpd="sng" algn="ctr">
              <a:solidFill>
                <a:srgbClr val="003B5C"/>
              </a:solidFill>
              <a:prstDash val="solid"/>
              <a:round/>
              <a:headEnd type="none" w="med" len="med"/>
              <a:tailEnd type="none" w="med" len="med"/>
            </a:ln>
            <a:effectLst/>
          </c:spPr>
          <c:marker>
            <c:symbol val="none"/>
          </c:marker>
          <c:cat>
            <c:numRef>
              <c:f>'figura 10'!$C$77:$C$136</c:f>
              <c:numCache>
                <c:formatCode>General</c:formatCode>
                <c:ptCount val="60"/>
                <c:pt idx="5" formatCode="0">
                  <c:v>2018</c:v>
                </c:pt>
                <c:pt idx="17" formatCode="0">
                  <c:v>2019</c:v>
                </c:pt>
                <c:pt idx="29" formatCode="0">
                  <c:v>2020</c:v>
                </c:pt>
                <c:pt idx="41" formatCode="0">
                  <c:v>2021</c:v>
                </c:pt>
                <c:pt idx="53" formatCode="0">
                  <c:v>2022</c:v>
                </c:pt>
              </c:numCache>
            </c:numRef>
          </c:cat>
          <c:val>
            <c:numRef>
              <c:f>'figura 10'!$D$77:$D$136</c:f>
              <c:numCache>
                <c:formatCode>0.0</c:formatCode>
                <c:ptCount val="60"/>
                <c:pt idx="0">
                  <c:v>2.0019065776930205</c:v>
                </c:pt>
                <c:pt idx="1">
                  <c:v>1.7224880382775183</c:v>
                </c:pt>
                <c:pt idx="2">
                  <c:v>1.6252390057361339</c:v>
                </c:pt>
                <c:pt idx="3">
                  <c:v>1.7291066282420644</c:v>
                </c:pt>
                <c:pt idx="4">
                  <c:v>3.1639501438159243</c:v>
                </c:pt>
                <c:pt idx="5">
                  <c:v>4.5148895292987277</c:v>
                </c:pt>
                <c:pt idx="6">
                  <c:v>4.5192307692307736</c:v>
                </c:pt>
                <c:pt idx="7">
                  <c:v>4.711538461538467</c:v>
                </c:pt>
                <c:pt idx="8">
                  <c:v>5.1158301158301214</c:v>
                </c:pt>
                <c:pt idx="9">
                  <c:v>4.6979865771812115</c:v>
                </c:pt>
                <c:pt idx="10">
                  <c:v>3.6053130929791308</c:v>
                </c:pt>
                <c:pt idx="11">
                  <c:v>3.0217186024551381</c:v>
                </c:pt>
                <c:pt idx="12">
                  <c:v>2.8037383177570092</c:v>
                </c:pt>
                <c:pt idx="13">
                  <c:v>3.7629350893697051</c:v>
                </c:pt>
                <c:pt idx="14">
                  <c:v>4.2333019755409254</c:v>
                </c:pt>
                <c:pt idx="15">
                  <c:v>5.6657223796033946</c:v>
                </c:pt>
                <c:pt idx="16">
                  <c:v>4.5539033457249047</c:v>
                </c:pt>
                <c:pt idx="17">
                  <c:v>3.033088235294116</c:v>
                </c:pt>
                <c:pt idx="18">
                  <c:v>3.3118675252989931</c:v>
                </c:pt>
                <c:pt idx="19">
                  <c:v>2.4793388429752241</c:v>
                </c:pt>
                <c:pt idx="20">
                  <c:v>2.7548209366391205</c:v>
                </c:pt>
                <c:pt idx="21">
                  <c:v>3.1135531135531096</c:v>
                </c:pt>
                <c:pt idx="22">
                  <c:v>3.6630036630036642</c:v>
                </c:pt>
                <c:pt idx="23">
                  <c:v>4.307974335472025</c:v>
                </c:pt>
                <c:pt idx="24">
                  <c:v>3.0909090909090935</c:v>
                </c:pt>
                <c:pt idx="25">
                  <c:v>1.9945602901178603</c:v>
                </c:pt>
                <c:pt idx="26">
                  <c:v>0.36101083032492909</c:v>
                </c:pt>
                <c:pt idx="27">
                  <c:v>-1.9660411081322593</c:v>
                </c:pt>
                <c:pt idx="28">
                  <c:v>-0.9777777777777743</c:v>
                </c:pt>
                <c:pt idx="29">
                  <c:v>0.62444246208741561</c:v>
                </c:pt>
                <c:pt idx="30">
                  <c:v>-0.62333036509349427</c:v>
                </c:pt>
                <c:pt idx="31">
                  <c:v>-0.71684587813621192</c:v>
                </c:pt>
                <c:pt idx="32">
                  <c:v>-0.26809651474529517</c:v>
                </c:pt>
                <c:pt idx="33">
                  <c:v>-0.7992895204262993</c:v>
                </c:pt>
                <c:pt idx="34">
                  <c:v>-0.97173144876325068</c:v>
                </c:pt>
                <c:pt idx="35">
                  <c:v>-0.70298769771528669</c:v>
                </c:pt>
                <c:pt idx="36">
                  <c:v>0.88183421516754379</c:v>
                </c:pt>
                <c:pt idx="37">
                  <c:v>3.2888888888888914</c:v>
                </c:pt>
                <c:pt idx="38">
                  <c:v>6.1151079136690498</c:v>
                </c:pt>
                <c:pt idx="39">
                  <c:v>7.9307201458523338</c:v>
                </c:pt>
                <c:pt idx="40">
                  <c:v>6.9120287253141868</c:v>
                </c:pt>
                <c:pt idx="41">
                  <c:v>6.5602836879432687</c:v>
                </c:pt>
                <c:pt idx="42">
                  <c:v>9.2293906810035793</c:v>
                </c:pt>
                <c:pt idx="43">
                  <c:v>11.010830324909762</c:v>
                </c:pt>
                <c:pt idx="44">
                  <c:v>10.752688172043008</c:v>
                </c:pt>
                <c:pt idx="45">
                  <c:v>11.101163831692034</c:v>
                </c:pt>
                <c:pt idx="46">
                  <c:v>13.291703835860844</c:v>
                </c:pt>
                <c:pt idx="47">
                  <c:v>12.389380530973469</c:v>
                </c:pt>
                <c:pt idx="48">
                  <c:v>16.258741258741239</c:v>
                </c:pt>
                <c:pt idx="49">
                  <c:v>16.523235800344253</c:v>
                </c:pt>
                <c:pt idx="50">
                  <c:v>17.542372881355959</c:v>
                </c:pt>
                <c:pt idx="51">
                  <c:v>21.283783783783761</c:v>
                </c:pt>
                <c:pt idx="52">
                  <c:v>24.685138539042811</c:v>
                </c:pt>
                <c:pt idx="53">
                  <c:v>24.792013311148096</c:v>
                </c:pt>
                <c:pt idx="54">
                  <c:v>23.051681706316643</c:v>
                </c:pt>
              </c:numCache>
            </c:numRef>
          </c:val>
          <c:smooth val="0"/>
          <c:extLst>
            <c:ext xmlns:c16="http://schemas.microsoft.com/office/drawing/2014/chart" uri="{C3380CC4-5D6E-409C-BE32-E72D297353CC}">
              <c16:uniqueId val="{00000000-997C-4E42-9C58-07C2D3A7B5A0}"/>
            </c:ext>
          </c:extLst>
        </c:ser>
        <c:ser>
          <c:idx val="1"/>
          <c:order val="1"/>
          <c:tx>
            <c:strRef>
              <c:f>'figura 10'!$E$16</c:f>
              <c:strCache>
                <c:ptCount val="1"/>
                <c:pt idx="0">
                  <c:v>Importazioni</c:v>
                </c:pt>
              </c:strCache>
            </c:strRef>
          </c:tx>
          <c:spPr>
            <a:ln w="19050" cap="rnd" cmpd="sng" algn="ctr">
              <a:solidFill>
                <a:srgbClr val="D22630"/>
              </a:solidFill>
              <a:prstDash val="sysDash"/>
              <a:round/>
              <a:headEnd type="none" w="med" len="med"/>
              <a:tailEnd type="none" w="med" len="med"/>
            </a:ln>
            <a:effectLst/>
          </c:spPr>
          <c:marker>
            <c:symbol val="none"/>
          </c:marker>
          <c:cat>
            <c:numRef>
              <c:f>'figura 10'!$C$77:$C$136</c:f>
              <c:numCache>
                <c:formatCode>General</c:formatCode>
                <c:ptCount val="60"/>
                <c:pt idx="5" formatCode="0">
                  <c:v>2018</c:v>
                </c:pt>
                <c:pt idx="17" formatCode="0">
                  <c:v>2019</c:v>
                </c:pt>
                <c:pt idx="29" formatCode="0">
                  <c:v>2020</c:v>
                </c:pt>
                <c:pt idx="41" formatCode="0">
                  <c:v>2021</c:v>
                </c:pt>
                <c:pt idx="53" formatCode="0">
                  <c:v>2022</c:v>
                </c:pt>
              </c:numCache>
            </c:numRef>
          </c:cat>
          <c:val>
            <c:numRef>
              <c:f>'figura 10'!$E$77:$E$136</c:f>
              <c:numCache>
                <c:formatCode>0.0</c:formatCode>
                <c:ptCount val="60"/>
                <c:pt idx="0">
                  <c:v>1.8464528668610143</c:v>
                </c:pt>
                <c:pt idx="1">
                  <c:v>1.5549076773566384</c:v>
                </c:pt>
                <c:pt idx="2">
                  <c:v>0.58027079303674611</c:v>
                </c:pt>
                <c:pt idx="3">
                  <c:v>1.257253384912957</c:v>
                </c:pt>
                <c:pt idx="4">
                  <c:v>3.7037037037037095</c:v>
                </c:pt>
                <c:pt idx="5">
                  <c:v>6.9169960474308283</c:v>
                </c:pt>
                <c:pt idx="6">
                  <c:v>8.8118811881188179</c:v>
                </c:pt>
                <c:pt idx="7">
                  <c:v>8.2758620689655373</c:v>
                </c:pt>
                <c:pt idx="8">
                  <c:v>8.7301587301587347</c:v>
                </c:pt>
                <c:pt idx="9">
                  <c:v>7.3457394711067536</c:v>
                </c:pt>
                <c:pt idx="10">
                  <c:v>6.7307692307692264</c:v>
                </c:pt>
                <c:pt idx="11">
                  <c:v>3.5339063992359314</c:v>
                </c:pt>
                <c:pt idx="12">
                  <c:v>3.3396946564885468</c:v>
                </c:pt>
                <c:pt idx="13">
                  <c:v>3.6363636363636402</c:v>
                </c:pt>
                <c:pt idx="14">
                  <c:v>4.1346153846153726</c:v>
                </c:pt>
                <c:pt idx="15">
                  <c:v>4.2979942693409896</c:v>
                </c:pt>
                <c:pt idx="16">
                  <c:v>2.6315789473684248</c:v>
                </c:pt>
                <c:pt idx="17">
                  <c:v>-0.46210720887246737</c:v>
                </c:pt>
                <c:pt idx="18">
                  <c:v>-2.365787079162871</c:v>
                </c:pt>
                <c:pt idx="19">
                  <c:v>-3.8216560509554114</c:v>
                </c:pt>
                <c:pt idx="20">
                  <c:v>-2.6459854014598534</c:v>
                </c:pt>
                <c:pt idx="21">
                  <c:v>-2.1897810218978151</c:v>
                </c:pt>
                <c:pt idx="22">
                  <c:v>-3.4234234234234293</c:v>
                </c:pt>
                <c:pt idx="23">
                  <c:v>0.2767527675276682</c:v>
                </c:pt>
                <c:pt idx="24">
                  <c:v>0.46168051708218627</c:v>
                </c:pt>
                <c:pt idx="25">
                  <c:v>-1.7543859649122737</c:v>
                </c:pt>
                <c:pt idx="26">
                  <c:v>-3.9704524469067337</c:v>
                </c:pt>
                <c:pt idx="27">
                  <c:v>-8.7912087912087884</c:v>
                </c:pt>
                <c:pt idx="28">
                  <c:v>-10.256410256410263</c:v>
                </c:pt>
                <c:pt idx="29">
                  <c:v>-7.3351903435468842</c:v>
                </c:pt>
                <c:pt idx="30">
                  <c:v>-4.8462255358806914</c:v>
                </c:pt>
                <c:pt idx="31">
                  <c:v>-5.0141911069063241</c:v>
                </c:pt>
                <c:pt idx="32">
                  <c:v>-5.3420805998125473</c:v>
                </c:pt>
                <c:pt idx="33">
                  <c:v>-5.7835820895522403</c:v>
                </c:pt>
                <c:pt idx="34">
                  <c:v>-3.7313432835820919</c:v>
                </c:pt>
                <c:pt idx="35">
                  <c:v>-3.6798528058877622</c:v>
                </c:pt>
                <c:pt idx="36">
                  <c:v>-2.1139705882353041</c:v>
                </c:pt>
                <c:pt idx="37">
                  <c:v>1.691729323308266</c:v>
                </c:pt>
                <c:pt idx="38">
                  <c:v>6.8269230769230802</c:v>
                </c:pt>
                <c:pt idx="39">
                  <c:v>13.353413654618464</c:v>
                </c:pt>
                <c:pt idx="40">
                  <c:v>16.83673469387756</c:v>
                </c:pt>
                <c:pt idx="41">
                  <c:v>16.332665330661328</c:v>
                </c:pt>
                <c:pt idx="42">
                  <c:v>18.02154750244857</c:v>
                </c:pt>
                <c:pt idx="43">
                  <c:v>21.91235059760956</c:v>
                </c:pt>
                <c:pt idx="44">
                  <c:v>24.554455445544548</c:v>
                </c:pt>
                <c:pt idx="45">
                  <c:v>29.702970297029708</c:v>
                </c:pt>
                <c:pt idx="46">
                  <c:v>31.104651162790702</c:v>
                </c:pt>
                <c:pt idx="47">
                  <c:v>31.136580706781302</c:v>
                </c:pt>
                <c:pt idx="48">
                  <c:v>34.178403755868544</c:v>
                </c:pt>
                <c:pt idx="49">
                  <c:v>37.707948243992604</c:v>
                </c:pt>
                <c:pt idx="50">
                  <c:v>36.993699369937019</c:v>
                </c:pt>
                <c:pt idx="51">
                  <c:v>43.932683790965456</c:v>
                </c:pt>
                <c:pt idx="52">
                  <c:v>40.78602620087338</c:v>
                </c:pt>
                <c:pt idx="53">
                  <c:v>43.410852713178286</c:v>
                </c:pt>
                <c:pt idx="54">
                  <c:v>43.236514522821551</c:v>
                </c:pt>
              </c:numCache>
            </c:numRef>
          </c:val>
          <c:smooth val="0"/>
          <c:extLst>
            <c:ext xmlns:c16="http://schemas.microsoft.com/office/drawing/2014/chart" uri="{C3380CC4-5D6E-409C-BE32-E72D297353CC}">
              <c16:uniqueId val="{00000001-997C-4E42-9C58-07C2D3A7B5A0}"/>
            </c:ext>
          </c:extLst>
        </c:ser>
        <c:dLbls>
          <c:showLegendKey val="0"/>
          <c:showVal val="0"/>
          <c:showCatName val="0"/>
          <c:showSerName val="0"/>
          <c:showPercent val="0"/>
          <c:showBubbleSize val="0"/>
        </c:dLbls>
        <c:marker val="1"/>
        <c:smooth val="0"/>
        <c:axId val="176748336"/>
        <c:axId val="176381040"/>
      </c:lineChart>
      <c:lineChart>
        <c:grouping val="standard"/>
        <c:varyColors val="0"/>
        <c:ser>
          <c:idx val="2"/>
          <c:order val="2"/>
          <c:spPr>
            <a:ln w="28575" cap="rnd">
              <a:solidFill>
                <a:srgbClr val="FFFFFF"/>
              </a:solidFill>
              <a:round/>
            </a:ln>
            <a:effectLst/>
          </c:spPr>
          <c:marker>
            <c:symbol val="none"/>
          </c:marker>
          <c:cat>
            <c:numRef>
              <c:f>'figura 10'!$C$17:$C$76</c:f>
              <c:numCache>
                <c:formatCode>General</c:formatCode>
                <c:ptCount val="60"/>
                <c:pt idx="5" formatCode="0">
                  <c:v>2013</c:v>
                </c:pt>
                <c:pt idx="17" formatCode="0">
                  <c:v>2014</c:v>
                </c:pt>
                <c:pt idx="29" formatCode="0">
                  <c:v>2015</c:v>
                </c:pt>
                <c:pt idx="41" formatCode="0">
                  <c:v>2016</c:v>
                </c:pt>
                <c:pt idx="53" formatCode="0">
                  <c:v>2017</c:v>
                </c:pt>
              </c:numCache>
            </c:numRef>
          </c:cat>
          <c:val>
            <c:numRef>
              <c:f>'figura 10'!$FR$2:$FR$45</c:f>
              <c:numCache>
                <c:formatCode>General</c:formatCode>
                <c:ptCount val="44"/>
              </c:numCache>
            </c:numRef>
          </c:val>
          <c:smooth val="0"/>
          <c:extLst>
            <c:ext xmlns:c16="http://schemas.microsoft.com/office/drawing/2014/chart" uri="{C3380CC4-5D6E-409C-BE32-E72D297353CC}">
              <c16:uniqueId val="{00000002-997C-4E42-9C58-07C2D3A7B5A0}"/>
            </c:ext>
          </c:extLst>
        </c:ser>
        <c:dLbls>
          <c:showLegendKey val="0"/>
          <c:showVal val="0"/>
          <c:showCatName val="0"/>
          <c:showSerName val="0"/>
          <c:showPercent val="0"/>
          <c:showBubbleSize val="0"/>
        </c:dLbls>
        <c:marker val="1"/>
        <c:smooth val="0"/>
        <c:axId val="176382160"/>
        <c:axId val="176381600"/>
      </c:lineChart>
      <c:catAx>
        <c:axId val="176748336"/>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176381040"/>
        <c:crosses val="autoZero"/>
        <c:auto val="1"/>
        <c:lblAlgn val="ctr"/>
        <c:lblOffset val="0"/>
        <c:tickMarkSkip val="3"/>
        <c:noMultiLvlLbl val="0"/>
      </c:catAx>
      <c:valAx>
        <c:axId val="176381040"/>
        <c:scaling>
          <c:orientation val="minMax"/>
          <c:max val="50"/>
          <c:min val="-50"/>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5.8228395061728395E-3"/>
              <c:y val="1.5138439410284071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176748336"/>
        <c:crosses val="autoZero"/>
        <c:crossBetween val="between"/>
        <c:majorUnit val="25"/>
      </c:valAx>
      <c:valAx>
        <c:axId val="176381600"/>
        <c:scaling>
          <c:orientation val="minMax"/>
        </c:scaling>
        <c:delete val="1"/>
        <c:axPos val="r"/>
        <c:numFmt formatCode="General" sourceLinked="1"/>
        <c:majorTickMark val="out"/>
        <c:minorTickMark val="none"/>
        <c:tickLblPos val="nextTo"/>
        <c:crossAx val="176382160"/>
        <c:crosses val="max"/>
        <c:crossBetween val="between"/>
      </c:valAx>
      <c:catAx>
        <c:axId val="176382160"/>
        <c:scaling>
          <c:orientation val="minMax"/>
        </c:scaling>
        <c:delete val="1"/>
        <c:axPos val="t"/>
        <c:majorGridlines>
          <c:spPr>
            <a:ln w="6350" cap="flat" cmpd="sng" algn="ctr">
              <a:solidFill>
                <a:srgbClr val="A6A6A6"/>
              </a:solidFill>
              <a:prstDash val="solid"/>
              <a:round/>
              <a:headEnd type="none" w="med" len="med"/>
              <a:tailEnd type="none" w="med" len="med"/>
            </a:ln>
            <a:effectLst/>
          </c:spPr>
        </c:majorGridlines>
        <c:numFmt formatCode="General" sourceLinked="1"/>
        <c:majorTickMark val="out"/>
        <c:minorTickMark val="none"/>
        <c:tickLblPos val="nextTo"/>
        <c:crossAx val="176381600"/>
        <c:crosses val="max"/>
        <c:auto val="1"/>
        <c:lblAlgn val="ctr"/>
        <c:lblOffset val="100"/>
        <c:tickMarkSkip val="12"/>
        <c:noMultiLvlLbl val="0"/>
      </c:cat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2"/>
        <c:delete val="1"/>
      </c:legendEntry>
      <c:layout>
        <c:manualLayout>
          <c:xMode val="edge"/>
          <c:yMode val="edge"/>
          <c:x val="0.14301820987654318"/>
          <c:y val="9.7099167978412407E-2"/>
          <c:w val="0.74563518518518523"/>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rgbClr val="000000"/>
                </a:solidFill>
                <a:latin typeface="Arial Narrow" panose="020B0606020202030204" pitchFamily="34" charset="0"/>
                <a:ea typeface="+mn-ea"/>
                <a:cs typeface="+mn-cs"/>
              </a:defRPr>
            </a:pPr>
            <a:r>
              <a:rPr lang="en-US" b="1"/>
              <a:t>Volumi</a:t>
            </a:r>
          </a:p>
        </c:rich>
      </c:tx>
      <c:layout>
        <c:manualLayout>
          <c:xMode val="edge"/>
          <c:yMode val="edge"/>
          <c:x val="0.45780370370370371"/>
          <c:y val="0"/>
        </c:manualLayout>
      </c:layout>
      <c:overlay val="1"/>
      <c:spPr>
        <a:noFill/>
        <a:ln>
          <a:noFill/>
        </a:ln>
        <a:effectLst/>
      </c:spPr>
    </c:title>
    <c:autoTitleDeleted val="0"/>
    <c:plotArea>
      <c:layout>
        <c:manualLayout>
          <c:layoutTarget val="inner"/>
          <c:xMode val="edge"/>
          <c:yMode val="edge"/>
          <c:x val="3.8200031242677498E-2"/>
          <c:y val="0.17810928715988306"/>
          <c:w val="0.9225041907245296"/>
          <c:h val="0.72966494265797155"/>
        </c:manualLayout>
      </c:layout>
      <c:lineChart>
        <c:grouping val="standard"/>
        <c:varyColors val="0"/>
        <c:ser>
          <c:idx val="0"/>
          <c:order val="0"/>
          <c:tx>
            <c:strRef>
              <c:f>'figura 10'!$D$16</c:f>
              <c:strCache>
                <c:ptCount val="1"/>
                <c:pt idx="0">
                  <c:v>Esportazioni</c:v>
                </c:pt>
              </c:strCache>
            </c:strRef>
          </c:tx>
          <c:spPr>
            <a:ln w="19050" cap="rnd" cmpd="sng" algn="ctr">
              <a:solidFill>
                <a:srgbClr val="003B5C"/>
              </a:solidFill>
              <a:prstDash val="solid"/>
              <a:round/>
              <a:headEnd type="none" w="med" len="med"/>
              <a:tailEnd type="none" w="med" len="med"/>
            </a:ln>
            <a:effectLst/>
          </c:spPr>
          <c:marker>
            <c:symbol val="none"/>
          </c:marker>
          <c:cat>
            <c:numRef>
              <c:f>'figura 10'!$C$77:$C$136</c:f>
              <c:numCache>
                <c:formatCode>General</c:formatCode>
                <c:ptCount val="60"/>
                <c:pt idx="5" formatCode="0">
                  <c:v>2018</c:v>
                </c:pt>
                <c:pt idx="17" formatCode="0">
                  <c:v>2019</c:v>
                </c:pt>
                <c:pt idx="29" formatCode="0">
                  <c:v>2020</c:v>
                </c:pt>
                <c:pt idx="41" formatCode="0">
                  <c:v>2021</c:v>
                </c:pt>
                <c:pt idx="53" formatCode="0">
                  <c:v>2022</c:v>
                </c:pt>
              </c:numCache>
            </c:numRef>
          </c:cat>
          <c:val>
            <c:numRef>
              <c:f>'figura 10'!$F$77:$F$136</c:f>
              <c:numCache>
                <c:formatCode>0.0</c:formatCode>
                <c:ptCount val="60"/>
                <c:pt idx="0">
                  <c:v>7.3198198198198128</c:v>
                </c:pt>
                <c:pt idx="1">
                  <c:v>2.4665981500513965</c:v>
                </c:pt>
                <c:pt idx="2">
                  <c:v>-2.8813559322033768</c:v>
                </c:pt>
                <c:pt idx="3">
                  <c:v>5.4621848739495817</c:v>
                </c:pt>
                <c:pt idx="4">
                  <c:v>-4.0034812880765855</c:v>
                </c:pt>
                <c:pt idx="5">
                  <c:v>2.164111812443636</c:v>
                </c:pt>
                <c:pt idx="6">
                  <c:v>2.7506654835847399</c:v>
                </c:pt>
                <c:pt idx="7">
                  <c:v>0</c:v>
                </c:pt>
                <c:pt idx="8">
                  <c:v>-7.1227741330833965</c:v>
                </c:pt>
                <c:pt idx="9">
                  <c:v>5.3908355795148282</c:v>
                </c:pt>
                <c:pt idx="10">
                  <c:v>-1.6888888888888829</c:v>
                </c:pt>
                <c:pt idx="11">
                  <c:v>-5.0595238095238102</c:v>
                </c:pt>
                <c:pt idx="12">
                  <c:v>0.83945435466948481</c:v>
                </c:pt>
                <c:pt idx="13">
                  <c:v>0.3009027081243687</c:v>
                </c:pt>
                <c:pt idx="14">
                  <c:v>-3.6649214659685896</c:v>
                </c:pt>
                <c:pt idx="15">
                  <c:v>0.49800796812749581</c:v>
                </c:pt>
                <c:pt idx="16">
                  <c:v>3.5358114233907543</c:v>
                </c:pt>
                <c:pt idx="17">
                  <c:v>-5.7369814651368074</c:v>
                </c:pt>
                <c:pt idx="18">
                  <c:v>3.2815198618307591</c:v>
                </c:pt>
                <c:pt idx="19">
                  <c:v>-5.3593179049939152</c:v>
                </c:pt>
                <c:pt idx="20">
                  <c:v>4.1372351160443941</c:v>
                </c:pt>
                <c:pt idx="21">
                  <c:v>2.0460358056266017</c:v>
                </c:pt>
                <c:pt idx="22">
                  <c:v>-5.8770343580470126</c:v>
                </c:pt>
                <c:pt idx="23">
                  <c:v>0.52246603970741035</c:v>
                </c:pt>
                <c:pt idx="24">
                  <c:v>-1.1446409989594315</c:v>
                </c:pt>
                <c:pt idx="25">
                  <c:v>2.9000000000000057</c:v>
                </c:pt>
                <c:pt idx="26">
                  <c:v>-14.945652173913047</c:v>
                </c:pt>
                <c:pt idx="27">
                  <c:v>-41.625371655104068</c:v>
                </c:pt>
                <c:pt idx="28">
                  <c:v>-29.071803852889673</c:v>
                </c:pt>
                <c:pt idx="29">
                  <c:v>-12.359550561797747</c:v>
                </c:pt>
                <c:pt idx="30">
                  <c:v>-6.9397993311036998</c:v>
                </c:pt>
                <c:pt idx="31">
                  <c:v>-5.4054054054054035</c:v>
                </c:pt>
                <c:pt idx="32">
                  <c:v>2.6162790697674438</c:v>
                </c:pt>
                <c:pt idx="33">
                  <c:v>-6.6833751044277392</c:v>
                </c:pt>
                <c:pt idx="34">
                  <c:v>3.1700288184437966</c:v>
                </c:pt>
                <c:pt idx="35">
                  <c:v>4.6777546777546775</c:v>
                </c:pt>
                <c:pt idx="36">
                  <c:v>-10</c:v>
                </c:pt>
                <c:pt idx="37">
                  <c:v>-6.4139941690962274</c:v>
                </c:pt>
                <c:pt idx="38">
                  <c:v>20.447284345047919</c:v>
                </c:pt>
                <c:pt idx="39">
                  <c:v>82.173174872665527</c:v>
                </c:pt>
                <c:pt idx="40">
                  <c:v>31.481481481481467</c:v>
                </c:pt>
                <c:pt idx="41">
                  <c:v>16.34615384615384</c:v>
                </c:pt>
                <c:pt idx="42">
                  <c:v>5.0314465408805091</c:v>
                </c:pt>
                <c:pt idx="43">
                  <c:v>5.1700680272108883</c:v>
                </c:pt>
                <c:pt idx="44">
                  <c:v>-0.37771482530691003</c:v>
                </c:pt>
                <c:pt idx="45">
                  <c:v>-3.3124440465532672</c:v>
                </c:pt>
                <c:pt idx="46">
                  <c:v>3.0726256983240177</c:v>
                </c:pt>
                <c:pt idx="47">
                  <c:v>3.277060575968207</c:v>
                </c:pt>
                <c:pt idx="48">
                  <c:v>5.3801169590643383</c:v>
                </c:pt>
                <c:pt idx="49">
                  <c:v>5.5036344755971101</c:v>
                </c:pt>
                <c:pt idx="50">
                  <c:v>4.6861184792219319</c:v>
                </c:pt>
                <c:pt idx="51">
                  <c:v>-5.1258154706430616</c:v>
                </c:pt>
                <c:pt idx="52">
                  <c:v>4.1314553990610392</c:v>
                </c:pt>
                <c:pt idx="53">
                  <c:v>-2.5711662075298278</c:v>
                </c:pt>
                <c:pt idx="54">
                  <c:v>-4.0205303678357609</c:v>
                </c:pt>
              </c:numCache>
            </c:numRef>
          </c:val>
          <c:smooth val="0"/>
          <c:extLst>
            <c:ext xmlns:c16="http://schemas.microsoft.com/office/drawing/2014/chart" uri="{C3380CC4-5D6E-409C-BE32-E72D297353CC}">
              <c16:uniqueId val="{00000000-EB85-4147-B426-E0F535B2646D}"/>
            </c:ext>
          </c:extLst>
        </c:ser>
        <c:ser>
          <c:idx val="1"/>
          <c:order val="1"/>
          <c:tx>
            <c:strRef>
              <c:f>'figura 10'!$E$16</c:f>
              <c:strCache>
                <c:ptCount val="1"/>
                <c:pt idx="0">
                  <c:v>Importazioni</c:v>
                </c:pt>
              </c:strCache>
            </c:strRef>
          </c:tx>
          <c:spPr>
            <a:ln w="19050" cap="rnd" cmpd="sng" algn="ctr">
              <a:solidFill>
                <a:srgbClr val="D22630"/>
              </a:solidFill>
              <a:prstDash val="sysDash"/>
              <a:round/>
              <a:headEnd type="none" w="med" len="med"/>
              <a:tailEnd type="none" w="med" len="med"/>
            </a:ln>
            <a:effectLst/>
          </c:spPr>
          <c:marker>
            <c:symbol val="none"/>
          </c:marker>
          <c:cat>
            <c:numRef>
              <c:f>'figura 10'!$C$77:$C$136</c:f>
              <c:numCache>
                <c:formatCode>General</c:formatCode>
                <c:ptCount val="60"/>
                <c:pt idx="5" formatCode="0">
                  <c:v>2018</c:v>
                </c:pt>
                <c:pt idx="17" formatCode="0">
                  <c:v>2019</c:v>
                </c:pt>
                <c:pt idx="29" formatCode="0">
                  <c:v>2020</c:v>
                </c:pt>
                <c:pt idx="41" formatCode="0">
                  <c:v>2021</c:v>
                </c:pt>
                <c:pt idx="53" formatCode="0">
                  <c:v>2022</c:v>
                </c:pt>
              </c:numCache>
            </c:numRef>
          </c:cat>
          <c:val>
            <c:numRef>
              <c:f>'figura 10'!$G$77:$G$136</c:f>
              <c:numCache>
                <c:formatCode>0.0</c:formatCode>
                <c:ptCount val="60"/>
                <c:pt idx="0">
                  <c:v>7.3891625615763701</c:v>
                </c:pt>
                <c:pt idx="1">
                  <c:v>-0.38647342995167833</c:v>
                </c:pt>
                <c:pt idx="2">
                  <c:v>-0.51546391752579268</c:v>
                </c:pt>
                <c:pt idx="3">
                  <c:v>9.1386554621848717</c:v>
                </c:pt>
                <c:pt idx="4">
                  <c:v>-2.1514629948364785</c:v>
                </c:pt>
                <c:pt idx="5">
                  <c:v>-1.594331266607611</c:v>
                </c:pt>
                <c:pt idx="6">
                  <c:v>1.3799448022079162</c:v>
                </c:pt>
                <c:pt idx="7">
                  <c:v>-1.3048635824436445</c:v>
                </c:pt>
                <c:pt idx="8">
                  <c:v>-2.2140221402214024</c:v>
                </c:pt>
                <c:pt idx="9">
                  <c:v>7.0333633904418491</c:v>
                </c:pt>
                <c:pt idx="10">
                  <c:v>-2.5800711743772382</c:v>
                </c:pt>
                <c:pt idx="11">
                  <c:v>1.1247443762781302</c:v>
                </c:pt>
                <c:pt idx="12">
                  <c:v>-1.467889908256879</c:v>
                </c:pt>
                <c:pt idx="13">
                  <c:v>-0.29097963142581307</c:v>
                </c:pt>
                <c:pt idx="14">
                  <c:v>-4.231433506044894</c:v>
                </c:pt>
                <c:pt idx="15">
                  <c:v>1.6361886429258874</c:v>
                </c:pt>
                <c:pt idx="16">
                  <c:v>0.26385224274406482</c:v>
                </c:pt>
                <c:pt idx="17">
                  <c:v>-4.5904590459045949</c:v>
                </c:pt>
                <c:pt idx="18">
                  <c:v>4.5372050816696827</c:v>
                </c:pt>
                <c:pt idx="19">
                  <c:v>-0.48076923076924061</c:v>
                </c:pt>
                <c:pt idx="20">
                  <c:v>5.0943396226415132</c:v>
                </c:pt>
                <c:pt idx="21">
                  <c:v>-3.4540859309182821</c:v>
                </c:pt>
                <c:pt idx="22">
                  <c:v>-2.6484018264840046</c:v>
                </c:pt>
                <c:pt idx="23">
                  <c:v>-2.0222446916076819</c:v>
                </c:pt>
                <c:pt idx="24">
                  <c:v>1.1173184357541857</c:v>
                </c:pt>
                <c:pt idx="25">
                  <c:v>1.264591439688715</c:v>
                </c:pt>
                <c:pt idx="26">
                  <c:v>-15.058611361587012</c:v>
                </c:pt>
                <c:pt idx="27">
                  <c:v>-28.219696969696969</c:v>
                </c:pt>
                <c:pt idx="28">
                  <c:v>-26.578947368421041</c:v>
                </c:pt>
                <c:pt idx="29">
                  <c:v>-8.1132075471698073</c:v>
                </c:pt>
                <c:pt idx="30">
                  <c:v>-8.7673611111111143</c:v>
                </c:pt>
                <c:pt idx="31">
                  <c:v>-6.1594202898550634</c:v>
                </c:pt>
                <c:pt idx="32">
                  <c:v>-0.53859964093358315</c:v>
                </c:pt>
                <c:pt idx="33">
                  <c:v>-1.221640488656206</c:v>
                </c:pt>
                <c:pt idx="34">
                  <c:v>1.5947467166979266</c:v>
                </c:pt>
                <c:pt idx="35">
                  <c:v>3.0959752321981426</c:v>
                </c:pt>
                <c:pt idx="36">
                  <c:v>-10.313075506445671</c:v>
                </c:pt>
                <c:pt idx="37">
                  <c:v>-3.0739673390970239</c:v>
                </c:pt>
                <c:pt idx="38">
                  <c:v>25.902335456475583</c:v>
                </c:pt>
                <c:pt idx="39">
                  <c:v>43.007915567282339</c:v>
                </c:pt>
                <c:pt idx="40">
                  <c:v>28.195937873357224</c:v>
                </c:pt>
                <c:pt idx="41">
                  <c:v>12.525667351129357</c:v>
                </c:pt>
                <c:pt idx="42">
                  <c:v>3.3301617507136001</c:v>
                </c:pt>
                <c:pt idx="43">
                  <c:v>7.7220077220077172</c:v>
                </c:pt>
                <c:pt idx="44">
                  <c:v>-9.0252707581214509E-2</c:v>
                </c:pt>
                <c:pt idx="45">
                  <c:v>-5.7420494699646696</c:v>
                </c:pt>
                <c:pt idx="46">
                  <c:v>1.0156971375808013</c:v>
                </c:pt>
                <c:pt idx="47">
                  <c:v>10.5105105105105</c:v>
                </c:pt>
                <c:pt idx="48">
                  <c:v>7.802874743326484</c:v>
                </c:pt>
                <c:pt idx="49">
                  <c:v>5.6491575817641149</c:v>
                </c:pt>
                <c:pt idx="50">
                  <c:v>1.6863406408094335</c:v>
                </c:pt>
                <c:pt idx="51">
                  <c:v>-0.92250922509225575</c:v>
                </c:pt>
                <c:pt idx="52">
                  <c:v>6.057781919850882</c:v>
                </c:pt>
                <c:pt idx="53">
                  <c:v>1.5510948905109387</c:v>
                </c:pt>
                <c:pt idx="54">
                  <c:v>0.55248618784530379</c:v>
                </c:pt>
              </c:numCache>
            </c:numRef>
          </c:val>
          <c:smooth val="0"/>
          <c:extLst>
            <c:ext xmlns:c16="http://schemas.microsoft.com/office/drawing/2014/chart" uri="{C3380CC4-5D6E-409C-BE32-E72D297353CC}">
              <c16:uniqueId val="{00000001-EB85-4147-B426-E0F535B2646D}"/>
            </c:ext>
          </c:extLst>
        </c:ser>
        <c:dLbls>
          <c:showLegendKey val="0"/>
          <c:showVal val="0"/>
          <c:showCatName val="0"/>
          <c:showSerName val="0"/>
          <c:showPercent val="0"/>
          <c:showBubbleSize val="0"/>
        </c:dLbls>
        <c:marker val="1"/>
        <c:smooth val="0"/>
        <c:axId val="176385520"/>
        <c:axId val="176386080"/>
      </c:lineChart>
      <c:lineChart>
        <c:grouping val="standard"/>
        <c:varyColors val="0"/>
        <c:ser>
          <c:idx val="2"/>
          <c:order val="2"/>
          <c:spPr>
            <a:ln w="28575" cap="rnd">
              <a:solidFill>
                <a:srgbClr val="FFFFFF"/>
              </a:solidFill>
              <a:round/>
            </a:ln>
            <a:effectLst/>
          </c:spPr>
          <c:marker>
            <c:symbol val="none"/>
          </c:marker>
          <c:cat>
            <c:numRef>
              <c:f>'figura 10'!$C$17:$C$76</c:f>
              <c:numCache>
                <c:formatCode>General</c:formatCode>
                <c:ptCount val="60"/>
                <c:pt idx="5" formatCode="0">
                  <c:v>2013</c:v>
                </c:pt>
                <c:pt idx="17" formatCode="0">
                  <c:v>2014</c:v>
                </c:pt>
                <c:pt idx="29" formatCode="0">
                  <c:v>2015</c:v>
                </c:pt>
                <c:pt idx="41" formatCode="0">
                  <c:v>2016</c:v>
                </c:pt>
                <c:pt idx="53" formatCode="0">
                  <c:v>2017</c:v>
                </c:pt>
              </c:numCache>
            </c:numRef>
          </c:cat>
          <c:val>
            <c:numRef>
              <c:f>'figura 10'!$FR$2:$FR$45</c:f>
              <c:numCache>
                <c:formatCode>General</c:formatCode>
                <c:ptCount val="44"/>
              </c:numCache>
            </c:numRef>
          </c:val>
          <c:smooth val="0"/>
          <c:extLst>
            <c:ext xmlns:c16="http://schemas.microsoft.com/office/drawing/2014/chart" uri="{C3380CC4-5D6E-409C-BE32-E72D297353CC}">
              <c16:uniqueId val="{00000002-EB85-4147-B426-E0F535B2646D}"/>
            </c:ext>
          </c:extLst>
        </c:ser>
        <c:dLbls>
          <c:showLegendKey val="0"/>
          <c:showVal val="0"/>
          <c:showCatName val="0"/>
          <c:showSerName val="0"/>
          <c:showPercent val="0"/>
          <c:showBubbleSize val="0"/>
        </c:dLbls>
        <c:marker val="1"/>
        <c:smooth val="0"/>
        <c:axId val="176387200"/>
        <c:axId val="176386640"/>
      </c:lineChart>
      <c:catAx>
        <c:axId val="176385520"/>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176386080"/>
        <c:crosses val="autoZero"/>
        <c:auto val="1"/>
        <c:lblAlgn val="ctr"/>
        <c:lblOffset val="0"/>
        <c:tickMarkSkip val="3"/>
        <c:noMultiLvlLbl val="0"/>
      </c:catAx>
      <c:valAx>
        <c:axId val="176386080"/>
        <c:scaling>
          <c:orientation val="minMax"/>
          <c:max val="100"/>
          <c:min val="-50"/>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1.9076057895084685E-3"/>
              <c:y val="2.2167303800314821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176385520"/>
        <c:crosses val="autoZero"/>
        <c:crossBetween val="between"/>
        <c:majorUnit val="25"/>
      </c:valAx>
      <c:valAx>
        <c:axId val="176386640"/>
        <c:scaling>
          <c:orientation val="minMax"/>
        </c:scaling>
        <c:delete val="1"/>
        <c:axPos val="r"/>
        <c:numFmt formatCode="General" sourceLinked="1"/>
        <c:majorTickMark val="out"/>
        <c:minorTickMark val="none"/>
        <c:tickLblPos val="nextTo"/>
        <c:crossAx val="176387200"/>
        <c:crosses val="max"/>
        <c:crossBetween val="between"/>
      </c:valAx>
      <c:catAx>
        <c:axId val="176387200"/>
        <c:scaling>
          <c:orientation val="minMax"/>
        </c:scaling>
        <c:delete val="1"/>
        <c:axPos val="t"/>
        <c:majorGridlines>
          <c:spPr>
            <a:ln w="6350" cap="flat" cmpd="sng" algn="ctr">
              <a:solidFill>
                <a:srgbClr val="A6A6A6"/>
              </a:solidFill>
              <a:prstDash val="solid"/>
              <a:round/>
              <a:headEnd type="none" w="med" len="med"/>
              <a:tailEnd type="none" w="med" len="med"/>
            </a:ln>
            <a:effectLst/>
          </c:spPr>
        </c:majorGridlines>
        <c:numFmt formatCode="General" sourceLinked="1"/>
        <c:majorTickMark val="out"/>
        <c:minorTickMark val="none"/>
        <c:tickLblPos val="nextTo"/>
        <c:crossAx val="176386640"/>
        <c:crosses val="max"/>
        <c:auto val="1"/>
        <c:lblAlgn val="ctr"/>
        <c:lblOffset val="100"/>
        <c:tickMarkSkip val="12"/>
        <c:noMultiLvlLbl val="0"/>
      </c:cat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2"/>
        <c:delete val="1"/>
      </c:legendEntry>
      <c:layout>
        <c:manualLayout>
          <c:xMode val="edge"/>
          <c:yMode val="edge"/>
          <c:x val="0.11557993827160494"/>
          <c:y val="8.5675736451540363E-2"/>
          <c:w val="0.78642623456790128"/>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977492947682436E-2"/>
          <c:y val="0.11275701452811358"/>
          <c:w val="0.91523023322108743"/>
          <c:h val="0.77375032346308836"/>
        </c:manualLayout>
      </c:layout>
      <c:barChart>
        <c:barDir val="col"/>
        <c:grouping val="clustered"/>
        <c:varyColors val="0"/>
        <c:ser>
          <c:idx val="0"/>
          <c:order val="0"/>
          <c:tx>
            <c:strRef>
              <c:f>'[GraficiElabImport07_22.xlsx]GR-11 italiano'!$B$1</c:f>
              <c:strCache>
                <c:ptCount val="1"/>
                <c:pt idx="0">
                  <c:v>Area euro</c:v>
                </c:pt>
              </c:strCache>
            </c:strRef>
          </c:tx>
          <c:spPr>
            <a:solidFill>
              <a:srgbClr val="808080"/>
            </a:solidFill>
            <a:ln w="12700">
              <a:solidFill>
                <a:srgbClr val="808080"/>
              </a:solidFill>
              <a:prstDash val="solid"/>
            </a:ln>
          </c:spPr>
          <c:invertIfNegative val="0"/>
          <c:dLbls>
            <c:dLbl>
              <c:idx val="8"/>
              <c:layout>
                <c:manualLayout>
                  <c:x val="-1.2227642968098116E-3"/>
                  <c:y val="5.1896099194497043E-3"/>
                </c:manualLayout>
              </c:layout>
              <c:spPr>
                <a:noFill/>
                <a:ln w="25400">
                  <a:noFill/>
                </a:ln>
              </c:spPr>
              <c:txPr>
                <a:bodyPr/>
                <a:lstStyle/>
                <a:p>
                  <a:pPr>
                    <a:defRPr sz="800" b="0" i="0" u="none" strike="noStrike" baseline="0">
                      <a:solidFill>
                        <a:srgbClr val="000000"/>
                      </a:solidFill>
                      <a:latin typeface="Arial Narrow"/>
                      <a:ea typeface="Arial Narrow"/>
                      <a:cs typeface="Arial Narrow"/>
                    </a:defRPr>
                  </a:pPr>
                  <a:endParaRPr lang="it-I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EC-4978-A5AC-59F487B50542}"/>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Arial Narrow"/>
                    <a:ea typeface="Arial Narrow"/>
                    <a:cs typeface="Arial Narrow"/>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'[GraficiElabImport07_22.xlsx]GR-11 italiano'!$A$3:$A$15</c:f>
              <c:strCache>
                <c:ptCount val="13"/>
                <c:pt idx="0">
                  <c:v>CA</c:v>
                </c:pt>
                <c:pt idx="1">
                  <c:v>CB</c:v>
                </c:pt>
                <c:pt idx="2">
                  <c:v>CC</c:v>
                </c:pt>
                <c:pt idx="3">
                  <c:v>CD</c:v>
                </c:pt>
                <c:pt idx="4">
                  <c:v>CE</c:v>
                </c:pt>
                <c:pt idx="5">
                  <c:v>CF</c:v>
                </c:pt>
                <c:pt idx="6">
                  <c:v>CG</c:v>
                </c:pt>
                <c:pt idx="7">
                  <c:v>CH</c:v>
                </c:pt>
                <c:pt idx="8">
                  <c:v>CI</c:v>
                </c:pt>
                <c:pt idx="9">
                  <c:v>CJ</c:v>
                </c:pt>
                <c:pt idx="10">
                  <c:v>CK</c:v>
                </c:pt>
                <c:pt idx="11">
                  <c:v>CL</c:v>
                </c:pt>
                <c:pt idx="12">
                  <c:v>CM</c:v>
                </c:pt>
              </c:strCache>
            </c:strRef>
          </c:cat>
          <c:val>
            <c:numRef>
              <c:f>'[GraficiElabImport07_22.xlsx]GR-11 italiano'!$B$3:$B$15</c:f>
              <c:numCache>
                <c:formatCode>0.0</c:formatCode>
                <c:ptCount val="13"/>
                <c:pt idx="0">
                  <c:v>14.5</c:v>
                </c:pt>
                <c:pt idx="1">
                  <c:v>7.1</c:v>
                </c:pt>
                <c:pt idx="2">
                  <c:v>31.1</c:v>
                </c:pt>
                <c:pt idx="3">
                  <c:v>47.6</c:v>
                </c:pt>
                <c:pt idx="4">
                  <c:v>19.3</c:v>
                </c:pt>
                <c:pt idx="5">
                  <c:v>2.4</c:v>
                </c:pt>
                <c:pt idx="6">
                  <c:v>15.7</c:v>
                </c:pt>
                <c:pt idx="7">
                  <c:v>15.4</c:v>
                </c:pt>
                <c:pt idx="8">
                  <c:v>2.2999999999999998</c:v>
                </c:pt>
                <c:pt idx="9">
                  <c:v>5.3</c:v>
                </c:pt>
                <c:pt idx="10">
                  <c:v>5.5</c:v>
                </c:pt>
                <c:pt idx="11">
                  <c:v>4.5999999999999996</c:v>
                </c:pt>
                <c:pt idx="12">
                  <c:v>3.1</c:v>
                </c:pt>
              </c:numCache>
            </c:numRef>
          </c:val>
          <c:extLst>
            <c:ext xmlns:c16="http://schemas.microsoft.com/office/drawing/2014/chart" uri="{C3380CC4-5D6E-409C-BE32-E72D297353CC}">
              <c16:uniqueId val="{00000001-83EC-4978-A5AC-59F487B50542}"/>
            </c:ext>
          </c:extLst>
        </c:ser>
        <c:ser>
          <c:idx val="1"/>
          <c:order val="1"/>
          <c:tx>
            <c:strRef>
              <c:f>'[GraficiElabImport07_22.xlsx]GR-11 italiano'!$C$1:$D$1</c:f>
              <c:strCache>
                <c:ptCount val="1"/>
                <c:pt idx="0">
                  <c:v>Area non euro</c:v>
                </c:pt>
              </c:strCache>
            </c:strRef>
          </c:tx>
          <c:spPr>
            <a:solidFill>
              <a:srgbClr val="E42618"/>
            </a:solidFill>
            <a:ln w="12700">
              <a:solidFill>
                <a:srgbClr val="FF0000"/>
              </a:solidFill>
              <a:prstDash val="solid"/>
            </a:ln>
          </c:spPr>
          <c:invertIfNegative val="0"/>
          <c:dLbls>
            <c:dLbl>
              <c:idx val="2"/>
              <c:layout>
                <c:manualLayout>
                  <c:x val="3.482652572909274E-3"/>
                  <c:y val="4.8102090686939726E-3"/>
                </c:manualLayout>
              </c:layout>
              <c:spPr>
                <a:noFill/>
                <a:ln w="25400">
                  <a:noFill/>
                </a:ln>
              </c:spPr>
              <c:txPr>
                <a:bodyPr/>
                <a:lstStyle/>
                <a:p>
                  <a:pPr>
                    <a:defRPr sz="800" b="0" i="0" u="none" strike="noStrike" baseline="0">
                      <a:solidFill>
                        <a:srgbClr val="000000"/>
                      </a:solidFill>
                      <a:latin typeface="Arial Narrow"/>
                      <a:ea typeface="Arial Narrow"/>
                      <a:cs typeface="Arial Narrow"/>
                    </a:defRPr>
                  </a:pPr>
                  <a:endParaRPr lang="it-I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EC-4978-A5AC-59F487B50542}"/>
                </c:ext>
              </c:extLst>
            </c:dLbl>
            <c:dLbl>
              <c:idx val="8"/>
              <c:layout>
                <c:manualLayout>
                  <c:x val="3.2256354554862279E-3"/>
                  <c:y val="-2.775853018372703E-2"/>
                </c:manualLayout>
              </c:layout>
              <c:spPr>
                <a:noFill/>
                <a:ln w="25400">
                  <a:noFill/>
                </a:ln>
              </c:spPr>
              <c:txPr>
                <a:bodyPr/>
                <a:lstStyle/>
                <a:p>
                  <a:pPr>
                    <a:defRPr sz="800" b="0" i="0" u="none" strike="noStrike" baseline="0">
                      <a:solidFill>
                        <a:srgbClr val="000000"/>
                      </a:solidFill>
                      <a:latin typeface="Arial Narrow"/>
                      <a:ea typeface="Arial Narrow"/>
                      <a:cs typeface="Arial Narrow"/>
                    </a:defRPr>
                  </a:pPr>
                  <a:endParaRPr lang="it-I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EC-4978-A5AC-59F487B50542}"/>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Arial Narrow"/>
                    <a:ea typeface="Arial Narrow"/>
                    <a:cs typeface="Arial Narrow"/>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'[GraficiElabImport07_22.xlsx]GR-11 italiano'!$A$3:$A$15</c:f>
              <c:strCache>
                <c:ptCount val="13"/>
                <c:pt idx="0">
                  <c:v>CA</c:v>
                </c:pt>
                <c:pt idx="1">
                  <c:v>CB</c:v>
                </c:pt>
                <c:pt idx="2">
                  <c:v>CC</c:v>
                </c:pt>
                <c:pt idx="3">
                  <c:v>CD</c:v>
                </c:pt>
                <c:pt idx="4">
                  <c:v>CE</c:v>
                </c:pt>
                <c:pt idx="5">
                  <c:v>CF</c:v>
                </c:pt>
                <c:pt idx="6">
                  <c:v>CG</c:v>
                </c:pt>
                <c:pt idx="7">
                  <c:v>CH</c:v>
                </c:pt>
                <c:pt idx="8">
                  <c:v>CI</c:v>
                </c:pt>
                <c:pt idx="9">
                  <c:v>CJ</c:v>
                </c:pt>
                <c:pt idx="10">
                  <c:v>CK</c:v>
                </c:pt>
                <c:pt idx="11">
                  <c:v>CL</c:v>
                </c:pt>
                <c:pt idx="12">
                  <c:v>CM</c:v>
                </c:pt>
              </c:strCache>
            </c:strRef>
          </c:cat>
          <c:val>
            <c:numRef>
              <c:f>'[GraficiElabImport07_22.xlsx]GR-11 italiano'!$C$3:$C$15</c:f>
              <c:numCache>
                <c:formatCode>0.0</c:formatCode>
                <c:ptCount val="13"/>
                <c:pt idx="0">
                  <c:v>16.3</c:v>
                </c:pt>
                <c:pt idx="1">
                  <c:v>11.7</c:v>
                </c:pt>
                <c:pt idx="2">
                  <c:v>28.5</c:v>
                </c:pt>
                <c:pt idx="3">
                  <c:v>52.1</c:v>
                </c:pt>
                <c:pt idx="4">
                  <c:v>20.5</c:v>
                </c:pt>
                <c:pt idx="5">
                  <c:v>-1</c:v>
                </c:pt>
                <c:pt idx="6">
                  <c:v>10.6</c:v>
                </c:pt>
                <c:pt idx="7">
                  <c:v>20.6</c:v>
                </c:pt>
                <c:pt idx="8">
                  <c:v>4.4000000000000004</c:v>
                </c:pt>
                <c:pt idx="9">
                  <c:v>10.8</c:v>
                </c:pt>
                <c:pt idx="10">
                  <c:v>7.5</c:v>
                </c:pt>
                <c:pt idx="11">
                  <c:v>6.1</c:v>
                </c:pt>
                <c:pt idx="12">
                  <c:v>6</c:v>
                </c:pt>
              </c:numCache>
            </c:numRef>
          </c:val>
          <c:extLst>
            <c:ext xmlns:c16="http://schemas.microsoft.com/office/drawing/2014/chart" uri="{C3380CC4-5D6E-409C-BE32-E72D297353CC}">
              <c16:uniqueId val="{00000004-83EC-4978-A5AC-59F487B50542}"/>
            </c:ext>
          </c:extLst>
        </c:ser>
        <c:dLbls>
          <c:showLegendKey val="0"/>
          <c:showVal val="0"/>
          <c:showCatName val="0"/>
          <c:showSerName val="0"/>
          <c:showPercent val="0"/>
          <c:showBubbleSize val="0"/>
        </c:dLbls>
        <c:gapWidth val="30"/>
        <c:axId val="176528592"/>
        <c:axId val="176529152"/>
      </c:barChart>
      <c:catAx>
        <c:axId val="176528592"/>
        <c:scaling>
          <c:orientation val="minMax"/>
        </c:scaling>
        <c:delete val="0"/>
        <c:axPos val="b"/>
        <c:majorGridlines>
          <c:spPr>
            <a:ln>
              <a:prstDash val="sysDash"/>
            </a:ln>
          </c:spPr>
        </c:majorGridlines>
        <c:numFmt formatCode="General" sourceLinked="1"/>
        <c:majorTickMark val="none"/>
        <c:minorTickMark val="none"/>
        <c:tickLblPos val="low"/>
        <c:spPr>
          <a:ln w="12700">
            <a:solidFill>
              <a:srgbClr val="808080"/>
            </a:solidFill>
            <a:prstDash val="solid"/>
          </a:ln>
        </c:spPr>
        <c:txPr>
          <a:bodyPr rot="0" vert="horz"/>
          <a:lstStyle/>
          <a:p>
            <a:pPr>
              <a:defRPr sz="875" b="1" i="0" u="none" strike="noStrike" baseline="0">
                <a:solidFill>
                  <a:srgbClr val="808080"/>
                </a:solidFill>
                <a:latin typeface="Arial Narrow"/>
                <a:ea typeface="Arial Narrow"/>
                <a:cs typeface="Arial Narrow"/>
              </a:defRPr>
            </a:pPr>
            <a:endParaRPr lang="it-IT"/>
          </a:p>
        </c:txPr>
        <c:crossAx val="176529152"/>
        <c:crosses val="autoZero"/>
        <c:auto val="1"/>
        <c:lblAlgn val="ctr"/>
        <c:lblOffset val="100"/>
        <c:tickLblSkip val="1"/>
        <c:tickMarkSkip val="1"/>
        <c:noMultiLvlLbl val="0"/>
      </c:catAx>
      <c:valAx>
        <c:axId val="176529152"/>
        <c:scaling>
          <c:orientation val="minMax"/>
        </c:scaling>
        <c:delete val="0"/>
        <c:axPos val="l"/>
        <c:majorGridlines>
          <c:spPr>
            <a:ln>
              <a:prstDash val="sysDash"/>
            </a:ln>
          </c:spPr>
        </c:majorGridlines>
        <c:numFmt formatCode="0" sourceLinked="0"/>
        <c:majorTickMark val="out"/>
        <c:minorTickMark val="none"/>
        <c:tickLblPos val="nextTo"/>
        <c:spPr>
          <a:ln>
            <a:noFill/>
          </a:ln>
        </c:spPr>
        <c:txPr>
          <a:bodyPr rot="0" vert="horz"/>
          <a:lstStyle/>
          <a:p>
            <a:pPr>
              <a:defRPr sz="800" b="0" i="0" u="none" strike="noStrike" baseline="0">
                <a:solidFill>
                  <a:srgbClr val="000000"/>
                </a:solidFill>
                <a:latin typeface="Arial Narrow"/>
                <a:ea typeface="Arial Narrow"/>
                <a:cs typeface="Arial Narrow"/>
              </a:defRPr>
            </a:pPr>
            <a:endParaRPr lang="it-IT"/>
          </a:p>
        </c:txPr>
        <c:crossAx val="176528592"/>
        <c:crosses val="autoZero"/>
        <c:crossBetween val="between"/>
        <c:majorUnit val="10"/>
      </c:valAx>
    </c:plotArea>
    <c:legend>
      <c:legendPos val="t"/>
      <c:legendEntry>
        <c:idx val="0"/>
        <c:txPr>
          <a:bodyPr/>
          <a:lstStyle/>
          <a:p>
            <a:pPr>
              <a:defRPr sz="845" b="0" i="0" u="none" strike="noStrike" baseline="0">
                <a:solidFill>
                  <a:srgbClr val="000000"/>
                </a:solidFill>
                <a:latin typeface="Arial Narrow"/>
                <a:ea typeface="Arial Narrow"/>
                <a:cs typeface="Arial Narrow"/>
              </a:defRPr>
            </a:pPr>
            <a:endParaRPr lang="it-IT"/>
          </a:p>
        </c:txPr>
      </c:legendEntry>
      <c:legendEntry>
        <c:idx val="1"/>
        <c:txPr>
          <a:bodyPr/>
          <a:lstStyle/>
          <a:p>
            <a:pPr>
              <a:defRPr sz="845" b="0" i="0" u="none" strike="noStrike" baseline="0">
                <a:solidFill>
                  <a:srgbClr val="000000"/>
                </a:solidFill>
                <a:latin typeface="Arial Narrow"/>
                <a:ea typeface="Arial Narrow"/>
                <a:cs typeface="Arial Narrow"/>
              </a:defRPr>
            </a:pPr>
            <a:endParaRPr lang="it-IT"/>
          </a:p>
        </c:txPr>
      </c:legendEntry>
      <c:layout>
        <c:manualLayout>
          <c:xMode val="edge"/>
          <c:yMode val="edge"/>
          <c:x val="0.39522108506459575"/>
          <c:y val="1.1761246692149369E-2"/>
          <c:w val="0.20955782987080848"/>
          <c:h val="9.0998247389026385E-2"/>
        </c:manualLayout>
      </c:layout>
      <c:overlay val="0"/>
      <c:spPr>
        <a:noFill/>
        <a:ln w="25400">
          <a:noFill/>
        </a:ln>
      </c:spPr>
      <c:txPr>
        <a:bodyPr/>
        <a:lstStyle/>
        <a:p>
          <a:pPr>
            <a:defRPr sz="365" b="0" i="0" u="none" strike="noStrike" baseline="0">
              <a:solidFill>
                <a:srgbClr val="000000"/>
              </a:solidFill>
              <a:latin typeface="Arial Narrow"/>
              <a:ea typeface="Arial Narrow"/>
              <a:cs typeface="Arial Narrow"/>
            </a:defRPr>
          </a:pPr>
          <a:endParaRPr lang="it-IT"/>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Narrow"/>
          <a:ea typeface="Arial Narrow"/>
          <a:cs typeface="Arial Narrow"/>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409703152988609E-2"/>
          <c:y val="0.11942609975251388"/>
          <c:w val="0.92470376179061697"/>
          <c:h val="0.76081558939600014"/>
        </c:manualLayout>
      </c:layout>
      <c:lineChart>
        <c:grouping val="standard"/>
        <c:varyColors val="0"/>
        <c:ser>
          <c:idx val="0"/>
          <c:order val="0"/>
          <c:tx>
            <c:strRef>
              <c:f>'figure 2 e 3 '!$C$4</c:f>
              <c:strCache>
                <c:ptCount val="1"/>
                <c:pt idx="0">
                  <c:v>esportazioni</c:v>
                </c:pt>
              </c:strCache>
            </c:strRef>
          </c:tx>
          <c:spPr>
            <a:ln w="12700" cap="rnd" cmpd="sng" algn="ctr">
              <a:solidFill>
                <a:srgbClr val="003B5C"/>
              </a:solidFill>
              <a:prstDash val="sysDash"/>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'!$C$67:$C$138</c:f>
              <c:numCache>
                <c:formatCode>0</c:formatCode>
                <c:ptCount val="72"/>
                <c:pt idx="0">
                  <c:v>18423</c:v>
                </c:pt>
                <c:pt idx="1">
                  <c:v>18477</c:v>
                </c:pt>
                <c:pt idx="2">
                  <c:v>18841</c:v>
                </c:pt>
                <c:pt idx="3">
                  <c:v>18901</c:v>
                </c:pt>
                <c:pt idx="4">
                  <c:v>19180</c:v>
                </c:pt>
                <c:pt idx="5">
                  <c:v>19054</c:v>
                </c:pt>
                <c:pt idx="6">
                  <c:v>18862</c:v>
                </c:pt>
                <c:pt idx="7">
                  <c:v>19646</c:v>
                </c:pt>
                <c:pt idx="8">
                  <c:v>18895</c:v>
                </c:pt>
                <c:pt idx="9">
                  <c:v>19636</c:v>
                </c:pt>
                <c:pt idx="10">
                  <c:v>19373</c:v>
                </c:pt>
                <c:pt idx="11">
                  <c:v>20182</c:v>
                </c:pt>
                <c:pt idx="12">
                  <c:v>19591</c:v>
                </c:pt>
                <c:pt idx="13">
                  <c:v>19884</c:v>
                </c:pt>
                <c:pt idx="14">
                  <c:v>19527</c:v>
                </c:pt>
                <c:pt idx="15">
                  <c:v>19800</c:v>
                </c:pt>
                <c:pt idx="16">
                  <c:v>19405</c:v>
                </c:pt>
                <c:pt idx="17">
                  <c:v>20184</c:v>
                </c:pt>
                <c:pt idx="18">
                  <c:v>20359</c:v>
                </c:pt>
                <c:pt idx="19">
                  <c:v>20518</c:v>
                </c:pt>
                <c:pt idx="20">
                  <c:v>20038</c:v>
                </c:pt>
                <c:pt idx="21">
                  <c:v>20444</c:v>
                </c:pt>
                <c:pt idx="22">
                  <c:v>20239</c:v>
                </c:pt>
                <c:pt idx="23">
                  <c:v>19943</c:v>
                </c:pt>
                <c:pt idx="24">
                  <c:v>20321</c:v>
                </c:pt>
                <c:pt idx="25">
                  <c:v>20183</c:v>
                </c:pt>
                <c:pt idx="26">
                  <c:v>20471</c:v>
                </c:pt>
                <c:pt idx="27">
                  <c:v>20648</c:v>
                </c:pt>
                <c:pt idx="28">
                  <c:v>20973</c:v>
                </c:pt>
                <c:pt idx="29">
                  <c:v>20715</c:v>
                </c:pt>
                <c:pt idx="30">
                  <c:v>20648</c:v>
                </c:pt>
                <c:pt idx="31">
                  <c:v>20100</c:v>
                </c:pt>
                <c:pt idx="32">
                  <c:v>20807</c:v>
                </c:pt>
                <c:pt idx="33">
                  <c:v>20680</c:v>
                </c:pt>
                <c:pt idx="34">
                  <c:v>20063</c:v>
                </c:pt>
                <c:pt idx="35">
                  <c:v>20841</c:v>
                </c:pt>
                <c:pt idx="36">
                  <c:v>20423</c:v>
                </c:pt>
                <c:pt idx="37">
                  <c:v>20342</c:v>
                </c:pt>
                <c:pt idx="38">
                  <c:v>17279</c:v>
                </c:pt>
                <c:pt idx="39">
                  <c:v>11657</c:v>
                </c:pt>
                <c:pt idx="40">
                  <c:v>16139</c:v>
                </c:pt>
                <c:pt idx="41">
                  <c:v>18282</c:v>
                </c:pt>
                <c:pt idx="42">
                  <c:v>19265</c:v>
                </c:pt>
                <c:pt idx="43">
                  <c:v>20079</c:v>
                </c:pt>
                <c:pt idx="44">
                  <c:v>20005</c:v>
                </c:pt>
                <c:pt idx="45">
                  <c:v>19981</c:v>
                </c:pt>
                <c:pt idx="46">
                  <c:v>20941</c:v>
                </c:pt>
                <c:pt idx="47">
                  <c:v>20276</c:v>
                </c:pt>
                <c:pt idx="48">
                  <c:v>20603</c:v>
                </c:pt>
                <c:pt idx="49">
                  <c:v>20966</c:v>
                </c:pt>
                <c:pt idx="50">
                  <c:v>21798</c:v>
                </c:pt>
                <c:pt idx="51">
                  <c:v>21869</c:v>
                </c:pt>
                <c:pt idx="52">
                  <c:v>21486</c:v>
                </c:pt>
                <c:pt idx="53">
                  <c:v>22365</c:v>
                </c:pt>
                <c:pt idx="54">
                  <c:v>21977</c:v>
                </c:pt>
                <c:pt idx="55">
                  <c:v>23342</c:v>
                </c:pt>
                <c:pt idx="56">
                  <c:v>23145</c:v>
                </c:pt>
                <c:pt idx="57">
                  <c:v>23563</c:v>
                </c:pt>
                <c:pt idx="58">
                  <c:v>24241</c:v>
                </c:pt>
                <c:pt idx="59">
                  <c:v>24295</c:v>
                </c:pt>
                <c:pt idx="60">
                  <c:v>25582</c:v>
                </c:pt>
                <c:pt idx="61">
                  <c:v>26004</c:v>
                </c:pt>
                <c:pt idx="62">
                  <c:v>26416</c:v>
                </c:pt>
                <c:pt idx="63">
                  <c:v>26829</c:v>
                </c:pt>
                <c:pt idx="64">
                  <c:v>28189</c:v>
                </c:pt>
                <c:pt idx="65">
                  <c:v>27550</c:v>
                </c:pt>
                <c:pt idx="66">
                  <c:v>28277</c:v>
                </c:pt>
              </c:numCache>
            </c:numRef>
          </c:val>
          <c:smooth val="0"/>
          <c:extLst>
            <c:ext xmlns:c16="http://schemas.microsoft.com/office/drawing/2014/chart" uri="{C3380CC4-5D6E-409C-BE32-E72D297353CC}">
              <c16:uniqueId val="{00000000-70BE-489D-A295-48D31F2DB6FF}"/>
            </c:ext>
          </c:extLst>
        </c:ser>
        <c:ser>
          <c:idx val="1"/>
          <c:order val="1"/>
          <c:tx>
            <c:strRef>
              <c:f>'figure 2 e 3 '!$D$4</c:f>
              <c:strCache>
                <c:ptCount val="1"/>
                <c:pt idx="0">
                  <c:v>importazioni</c:v>
                </c:pt>
              </c:strCache>
            </c:strRef>
          </c:tx>
          <c:spPr>
            <a:ln w="12700" cap="rnd" cmpd="sng" algn="ctr">
              <a:solidFill>
                <a:srgbClr val="D22630"/>
              </a:solidFill>
              <a:prstDash val="sysDash"/>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'!$D$67:$D$138</c:f>
              <c:numCache>
                <c:formatCode>0</c:formatCode>
                <c:ptCount val="72"/>
                <c:pt idx="0">
                  <c:v>18019</c:v>
                </c:pt>
                <c:pt idx="1">
                  <c:v>18776</c:v>
                </c:pt>
                <c:pt idx="2">
                  <c:v>18920</c:v>
                </c:pt>
                <c:pt idx="3">
                  <c:v>18552</c:v>
                </c:pt>
                <c:pt idx="4">
                  <c:v>19210</c:v>
                </c:pt>
                <c:pt idx="5">
                  <c:v>19309</c:v>
                </c:pt>
                <c:pt idx="6">
                  <c:v>19759</c:v>
                </c:pt>
                <c:pt idx="7">
                  <c:v>19985</c:v>
                </c:pt>
                <c:pt idx="8">
                  <c:v>19102</c:v>
                </c:pt>
                <c:pt idx="9">
                  <c:v>19847</c:v>
                </c:pt>
                <c:pt idx="10">
                  <c:v>19867</c:v>
                </c:pt>
                <c:pt idx="11">
                  <c:v>20687</c:v>
                </c:pt>
                <c:pt idx="12">
                  <c:v>19738</c:v>
                </c:pt>
                <c:pt idx="13">
                  <c:v>19271</c:v>
                </c:pt>
                <c:pt idx="14">
                  <c:v>19627</c:v>
                </c:pt>
                <c:pt idx="15">
                  <c:v>19483</c:v>
                </c:pt>
                <c:pt idx="16">
                  <c:v>19796</c:v>
                </c:pt>
                <c:pt idx="17">
                  <c:v>19934</c:v>
                </c:pt>
                <c:pt idx="18">
                  <c:v>20553</c:v>
                </c:pt>
                <c:pt idx="19">
                  <c:v>20313</c:v>
                </c:pt>
                <c:pt idx="20">
                  <c:v>19696</c:v>
                </c:pt>
                <c:pt idx="21">
                  <c:v>20538</c:v>
                </c:pt>
                <c:pt idx="22">
                  <c:v>20115</c:v>
                </c:pt>
                <c:pt idx="23">
                  <c:v>20787</c:v>
                </c:pt>
                <c:pt idx="24">
                  <c:v>19964</c:v>
                </c:pt>
                <c:pt idx="25">
                  <c:v>19901</c:v>
                </c:pt>
                <c:pt idx="26">
                  <c:v>20143</c:v>
                </c:pt>
                <c:pt idx="27">
                  <c:v>20280</c:v>
                </c:pt>
                <c:pt idx="28">
                  <c:v>20546</c:v>
                </c:pt>
                <c:pt idx="29">
                  <c:v>20102</c:v>
                </c:pt>
                <c:pt idx="30">
                  <c:v>20132</c:v>
                </c:pt>
                <c:pt idx="31">
                  <c:v>20048</c:v>
                </c:pt>
                <c:pt idx="32">
                  <c:v>20575</c:v>
                </c:pt>
                <c:pt idx="33">
                  <c:v>19956</c:v>
                </c:pt>
                <c:pt idx="34">
                  <c:v>19726</c:v>
                </c:pt>
                <c:pt idx="35">
                  <c:v>20944</c:v>
                </c:pt>
                <c:pt idx="36">
                  <c:v>20513</c:v>
                </c:pt>
                <c:pt idx="37">
                  <c:v>20094</c:v>
                </c:pt>
                <c:pt idx="38">
                  <c:v>16434</c:v>
                </c:pt>
                <c:pt idx="39">
                  <c:v>12551</c:v>
                </c:pt>
                <c:pt idx="40">
                  <c:v>14652</c:v>
                </c:pt>
                <c:pt idx="41">
                  <c:v>16929</c:v>
                </c:pt>
                <c:pt idx="42">
                  <c:v>18299</c:v>
                </c:pt>
                <c:pt idx="43">
                  <c:v>19047</c:v>
                </c:pt>
                <c:pt idx="44">
                  <c:v>19371</c:v>
                </c:pt>
                <c:pt idx="45">
                  <c:v>19674</c:v>
                </c:pt>
                <c:pt idx="46">
                  <c:v>20176</c:v>
                </c:pt>
                <c:pt idx="47">
                  <c:v>19950</c:v>
                </c:pt>
                <c:pt idx="48">
                  <c:v>20149</c:v>
                </c:pt>
                <c:pt idx="49">
                  <c:v>20129</c:v>
                </c:pt>
                <c:pt idx="50">
                  <c:v>21325</c:v>
                </c:pt>
                <c:pt idx="51">
                  <c:v>21011</c:v>
                </c:pt>
                <c:pt idx="52">
                  <c:v>21104</c:v>
                </c:pt>
                <c:pt idx="53">
                  <c:v>22051</c:v>
                </c:pt>
                <c:pt idx="54">
                  <c:v>22156</c:v>
                </c:pt>
                <c:pt idx="55">
                  <c:v>23263</c:v>
                </c:pt>
                <c:pt idx="56">
                  <c:v>22552</c:v>
                </c:pt>
                <c:pt idx="57">
                  <c:v>23181</c:v>
                </c:pt>
                <c:pt idx="58">
                  <c:v>23868</c:v>
                </c:pt>
                <c:pt idx="59">
                  <c:v>26486</c:v>
                </c:pt>
                <c:pt idx="60">
                  <c:v>25442</c:v>
                </c:pt>
                <c:pt idx="61">
                  <c:v>25985</c:v>
                </c:pt>
                <c:pt idx="62">
                  <c:v>26245</c:v>
                </c:pt>
                <c:pt idx="63">
                  <c:v>27878</c:v>
                </c:pt>
                <c:pt idx="64">
                  <c:v>28633</c:v>
                </c:pt>
                <c:pt idx="65">
                  <c:v>27504</c:v>
                </c:pt>
                <c:pt idx="66">
                  <c:v>27948</c:v>
                </c:pt>
              </c:numCache>
            </c:numRef>
          </c:val>
          <c:smooth val="0"/>
          <c:extLst>
            <c:ext xmlns:c16="http://schemas.microsoft.com/office/drawing/2014/chart" uri="{C3380CC4-5D6E-409C-BE32-E72D297353CC}">
              <c16:uniqueId val="{00000001-70BE-489D-A295-48D31F2DB6FF}"/>
            </c:ext>
          </c:extLst>
        </c:ser>
        <c:ser>
          <c:idx val="2"/>
          <c:order val="2"/>
          <c:tx>
            <c:strRef>
              <c:f>'figure 2 e 3 '!$E$4</c:f>
              <c:strCache>
                <c:ptCount val="1"/>
                <c:pt idx="0">
                  <c:v>mm3mesi export</c:v>
                </c:pt>
              </c:strCache>
            </c:strRef>
          </c:tx>
          <c:spPr>
            <a:ln w="28575" cap="rnd" cmpd="sng" algn="ctr">
              <a:solidFill>
                <a:srgbClr val="003B5C"/>
              </a:solidFill>
              <a:prstDash val="solid"/>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'!$E$67:$E$138</c:f>
              <c:numCache>
                <c:formatCode>0</c:formatCode>
                <c:ptCount val="72"/>
                <c:pt idx="0">
                  <c:v>18466</c:v>
                </c:pt>
                <c:pt idx="1">
                  <c:v>18580.333333333332</c:v>
                </c:pt>
                <c:pt idx="2">
                  <c:v>18739.666666666668</c:v>
                </c:pt>
                <c:pt idx="3">
                  <c:v>18974</c:v>
                </c:pt>
                <c:pt idx="4">
                  <c:v>19045</c:v>
                </c:pt>
                <c:pt idx="5">
                  <c:v>19032</c:v>
                </c:pt>
                <c:pt idx="6">
                  <c:v>19187.333333333332</c:v>
                </c:pt>
                <c:pt idx="7">
                  <c:v>19134.333333333332</c:v>
                </c:pt>
                <c:pt idx="8">
                  <c:v>19392.333333333332</c:v>
                </c:pt>
                <c:pt idx="9">
                  <c:v>19301.333333333332</c:v>
                </c:pt>
                <c:pt idx="10">
                  <c:v>19730.333333333332</c:v>
                </c:pt>
                <c:pt idx="11">
                  <c:v>19715.333333333332</c:v>
                </c:pt>
                <c:pt idx="12">
                  <c:v>19885.666666666668</c:v>
                </c:pt>
                <c:pt idx="13">
                  <c:v>19667.333333333332</c:v>
                </c:pt>
                <c:pt idx="14">
                  <c:v>19737</c:v>
                </c:pt>
                <c:pt idx="15">
                  <c:v>19577.333333333332</c:v>
                </c:pt>
                <c:pt idx="16">
                  <c:v>19796.333333333332</c:v>
                </c:pt>
                <c:pt idx="17">
                  <c:v>19982.666666666668</c:v>
                </c:pt>
                <c:pt idx="18">
                  <c:v>20353.666666666668</c:v>
                </c:pt>
                <c:pt idx="19">
                  <c:v>20305</c:v>
                </c:pt>
                <c:pt idx="20">
                  <c:v>20333.333333333332</c:v>
                </c:pt>
                <c:pt idx="21">
                  <c:v>20240.333333333332</c:v>
                </c:pt>
                <c:pt idx="22">
                  <c:v>20208.666666666668</c:v>
                </c:pt>
                <c:pt idx="23">
                  <c:v>20167.666666666668</c:v>
                </c:pt>
                <c:pt idx="24">
                  <c:v>20149</c:v>
                </c:pt>
                <c:pt idx="25">
                  <c:v>20325</c:v>
                </c:pt>
                <c:pt idx="26">
                  <c:v>20434</c:v>
                </c:pt>
                <c:pt idx="27">
                  <c:v>20697.333333333332</c:v>
                </c:pt>
                <c:pt idx="28">
                  <c:v>20778.666666666668</c:v>
                </c:pt>
                <c:pt idx="29">
                  <c:v>20778.666666666668</c:v>
                </c:pt>
                <c:pt idx="30">
                  <c:v>20487.666666666668</c:v>
                </c:pt>
                <c:pt idx="31">
                  <c:v>20518.333333333332</c:v>
                </c:pt>
                <c:pt idx="32">
                  <c:v>20529</c:v>
                </c:pt>
                <c:pt idx="33">
                  <c:v>20516.666666666668</c:v>
                </c:pt>
                <c:pt idx="34">
                  <c:v>20528</c:v>
                </c:pt>
                <c:pt idx="35">
                  <c:v>20442.333333333332</c:v>
                </c:pt>
                <c:pt idx="36">
                  <c:v>20535.333333333332</c:v>
                </c:pt>
                <c:pt idx="37">
                  <c:v>19348</c:v>
                </c:pt>
                <c:pt idx="38">
                  <c:v>16426</c:v>
                </c:pt>
                <c:pt idx="39">
                  <c:v>15025</c:v>
                </c:pt>
                <c:pt idx="40">
                  <c:v>15359.333333333334</c:v>
                </c:pt>
                <c:pt idx="41">
                  <c:v>17895.333333333332</c:v>
                </c:pt>
                <c:pt idx="42">
                  <c:v>19208.666666666668</c:v>
                </c:pt>
                <c:pt idx="43">
                  <c:v>19783</c:v>
                </c:pt>
                <c:pt idx="44">
                  <c:v>20021.666666666668</c:v>
                </c:pt>
                <c:pt idx="45">
                  <c:v>20309</c:v>
                </c:pt>
                <c:pt idx="46">
                  <c:v>20399.333333333332</c:v>
                </c:pt>
                <c:pt idx="47">
                  <c:v>20606.666666666668</c:v>
                </c:pt>
                <c:pt idx="48">
                  <c:v>20615</c:v>
                </c:pt>
                <c:pt idx="49">
                  <c:v>21122.333333333332</c:v>
                </c:pt>
                <c:pt idx="50">
                  <c:v>21544.333333333332</c:v>
                </c:pt>
                <c:pt idx="51">
                  <c:v>21717.666666666668</c:v>
                </c:pt>
                <c:pt idx="52">
                  <c:v>21906.666666666668</c:v>
                </c:pt>
                <c:pt idx="53">
                  <c:v>21942.666666666668</c:v>
                </c:pt>
                <c:pt idx="54">
                  <c:v>22561.333333333332</c:v>
                </c:pt>
                <c:pt idx="55">
                  <c:v>22821.333333333332</c:v>
                </c:pt>
                <c:pt idx="56">
                  <c:v>23350</c:v>
                </c:pt>
                <c:pt idx="57">
                  <c:v>23649.666666666668</c:v>
                </c:pt>
                <c:pt idx="58">
                  <c:v>24033</c:v>
                </c:pt>
                <c:pt idx="59">
                  <c:v>24706</c:v>
                </c:pt>
                <c:pt idx="60">
                  <c:v>25293.666666666668</c:v>
                </c:pt>
                <c:pt idx="61">
                  <c:v>26000.666666666668</c:v>
                </c:pt>
                <c:pt idx="62">
                  <c:v>26416.333333333332</c:v>
                </c:pt>
                <c:pt idx="63">
                  <c:v>27144.666666666668</c:v>
                </c:pt>
                <c:pt idx="64">
                  <c:v>27522.666666666668</c:v>
                </c:pt>
                <c:pt idx="65">
                  <c:v>28005.333333333332</c:v>
                </c:pt>
              </c:numCache>
            </c:numRef>
          </c:val>
          <c:smooth val="0"/>
          <c:extLst>
            <c:ext xmlns:c16="http://schemas.microsoft.com/office/drawing/2014/chart" uri="{C3380CC4-5D6E-409C-BE32-E72D297353CC}">
              <c16:uniqueId val="{00000002-70BE-489D-A295-48D31F2DB6FF}"/>
            </c:ext>
          </c:extLst>
        </c:ser>
        <c:ser>
          <c:idx val="3"/>
          <c:order val="3"/>
          <c:tx>
            <c:strRef>
              <c:f>'figure 2 e 3 '!$F$4</c:f>
              <c:strCache>
                <c:ptCount val="1"/>
                <c:pt idx="0">
                  <c:v>mm3mesi import</c:v>
                </c:pt>
              </c:strCache>
            </c:strRef>
          </c:tx>
          <c:spPr>
            <a:ln w="28575" cap="rnd" cmpd="sng" algn="ctr">
              <a:solidFill>
                <a:srgbClr val="D22630"/>
              </a:solidFill>
              <a:prstDash val="solid"/>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'!$F$67:$F$138</c:f>
              <c:numCache>
                <c:formatCode>0</c:formatCode>
                <c:ptCount val="72"/>
                <c:pt idx="0">
                  <c:v>18353.333333333332</c:v>
                </c:pt>
                <c:pt idx="1">
                  <c:v>18571.666666666668</c:v>
                </c:pt>
                <c:pt idx="2">
                  <c:v>18749.333333333332</c:v>
                </c:pt>
                <c:pt idx="3">
                  <c:v>18894</c:v>
                </c:pt>
                <c:pt idx="4">
                  <c:v>19023.666666666668</c:v>
                </c:pt>
                <c:pt idx="5">
                  <c:v>19426</c:v>
                </c:pt>
                <c:pt idx="6">
                  <c:v>19684.333333333332</c:v>
                </c:pt>
                <c:pt idx="7">
                  <c:v>19615.333333333332</c:v>
                </c:pt>
                <c:pt idx="8">
                  <c:v>19644.666666666668</c:v>
                </c:pt>
                <c:pt idx="9">
                  <c:v>19605.333333333332</c:v>
                </c:pt>
                <c:pt idx="10">
                  <c:v>20133.666666666668</c:v>
                </c:pt>
                <c:pt idx="11">
                  <c:v>20097.333333333332</c:v>
                </c:pt>
                <c:pt idx="12">
                  <c:v>19898.666666666668</c:v>
                </c:pt>
                <c:pt idx="13">
                  <c:v>19545.333333333332</c:v>
                </c:pt>
                <c:pt idx="14">
                  <c:v>19460.333333333332</c:v>
                </c:pt>
                <c:pt idx="15">
                  <c:v>19635.333333333332</c:v>
                </c:pt>
                <c:pt idx="16">
                  <c:v>19737.666666666668</c:v>
                </c:pt>
                <c:pt idx="17">
                  <c:v>20094.333333333332</c:v>
                </c:pt>
                <c:pt idx="18">
                  <c:v>20266.666666666668</c:v>
                </c:pt>
                <c:pt idx="19">
                  <c:v>20187.333333333332</c:v>
                </c:pt>
                <c:pt idx="20">
                  <c:v>20182.333333333332</c:v>
                </c:pt>
                <c:pt idx="21">
                  <c:v>20116.333333333332</c:v>
                </c:pt>
                <c:pt idx="22">
                  <c:v>20480</c:v>
                </c:pt>
                <c:pt idx="23">
                  <c:v>20288.666666666668</c:v>
                </c:pt>
                <c:pt idx="24">
                  <c:v>20217.333333333332</c:v>
                </c:pt>
                <c:pt idx="25">
                  <c:v>20002.666666666668</c:v>
                </c:pt>
                <c:pt idx="26">
                  <c:v>20108</c:v>
                </c:pt>
                <c:pt idx="27">
                  <c:v>20323</c:v>
                </c:pt>
                <c:pt idx="28">
                  <c:v>20309.333333333332</c:v>
                </c:pt>
                <c:pt idx="29">
                  <c:v>20260</c:v>
                </c:pt>
                <c:pt idx="30">
                  <c:v>20094</c:v>
                </c:pt>
                <c:pt idx="31">
                  <c:v>20251.666666666668</c:v>
                </c:pt>
                <c:pt idx="32">
                  <c:v>20193</c:v>
                </c:pt>
                <c:pt idx="33">
                  <c:v>20085.666666666668</c:v>
                </c:pt>
                <c:pt idx="34">
                  <c:v>20208.666666666668</c:v>
                </c:pt>
                <c:pt idx="35">
                  <c:v>20394.333333333332</c:v>
                </c:pt>
                <c:pt idx="36">
                  <c:v>20517</c:v>
                </c:pt>
                <c:pt idx="37">
                  <c:v>19013.666666666668</c:v>
                </c:pt>
                <c:pt idx="38">
                  <c:v>16359.666666666666</c:v>
                </c:pt>
                <c:pt idx="39">
                  <c:v>14545.666666666666</c:v>
                </c:pt>
                <c:pt idx="40">
                  <c:v>14710.666666666666</c:v>
                </c:pt>
                <c:pt idx="41">
                  <c:v>16626.666666666668</c:v>
                </c:pt>
                <c:pt idx="42">
                  <c:v>18091.666666666668</c:v>
                </c:pt>
                <c:pt idx="43">
                  <c:v>18905.666666666668</c:v>
                </c:pt>
                <c:pt idx="44">
                  <c:v>19364</c:v>
                </c:pt>
                <c:pt idx="45">
                  <c:v>19740.333333333332</c:v>
                </c:pt>
                <c:pt idx="46">
                  <c:v>19933.333333333332</c:v>
                </c:pt>
                <c:pt idx="47">
                  <c:v>20091.666666666668</c:v>
                </c:pt>
                <c:pt idx="48">
                  <c:v>20076</c:v>
                </c:pt>
                <c:pt idx="49">
                  <c:v>20534.333333333332</c:v>
                </c:pt>
                <c:pt idx="50">
                  <c:v>20821.666666666668</c:v>
                </c:pt>
                <c:pt idx="51">
                  <c:v>21146.666666666668</c:v>
                </c:pt>
                <c:pt idx="52">
                  <c:v>21388.666666666668</c:v>
                </c:pt>
                <c:pt idx="53">
                  <c:v>21770.333333333332</c:v>
                </c:pt>
                <c:pt idx="54">
                  <c:v>22490</c:v>
                </c:pt>
                <c:pt idx="55">
                  <c:v>22657</c:v>
                </c:pt>
                <c:pt idx="56">
                  <c:v>22998.666666666668</c:v>
                </c:pt>
                <c:pt idx="57">
                  <c:v>23200.333333333332</c:v>
                </c:pt>
                <c:pt idx="58">
                  <c:v>24511.666666666668</c:v>
                </c:pt>
                <c:pt idx="59">
                  <c:v>25265.333333333332</c:v>
                </c:pt>
                <c:pt idx="60">
                  <c:v>25971</c:v>
                </c:pt>
                <c:pt idx="61">
                  <c:v>25890.666666666668</c:v>
                </c:pt>
                <c:pt idx="62">
                  <c:v>26702.666666666668</c:v>
                </c:pt>
                <c:pt idx="63">
                  <c:v>27585.333333333332</c:v>
                </c:pt>
                <c:pt idx="64">
                  <c:v>28005</c:v>
                </c:pt>
                <c:pt idx="65">
                  <c:v>28028.333333333332</c:v>
                </c:pt>
              </c:numCache>
            </c:numRef>
          </c:val>
          <c:smooth val="0"/>
          <c:extLst>
            <c:ext xmlns:c16="http://schemas.microsoft.com/office/drawing/2014/chart" uri="{C3380CC4-5D6E-409C-BE32-E72D297353CC}">
              <c16:uniqueId val="{00000003-70BE-489D-A295-48D31F2DB6FF}"/>
            </c:ext>
          </c:extLst>
        </c:ser>
        <c:dLbls>
          <c:showLegendKey val="0"/>
          <c:showVal val="0"/>
          <c:showCatName val="0"/>
          <c:showSerName val="0"/>
          <c:showPercent val="0"/>
          <c:showBubbleSize val="0"/>
        </c:dLbls>
        <c:marker val="1"/>
        <c:smooth val="0"/>
        <c:axId val="120449712"/>
        <c:axId val="120262176"/>
      </c:lineChart>
      <c:lineChart>
        <c:grouping val="standard"/>
        <c:varyColors val="0"/>
        <c:ser>
          <c:idx val="4"/>
          <c:order val="4"/>
          <c:spPr>
            <a:ln w="28575" cap="rnd">
              <a:solidFill>
                <a:srgbClr val="FFFFFF"/>
              </a:solidFill>
              <a:round/>
            </a:ln>
            <a:effectLst/>
          </c:spPr>
          <c:marker>
            <c:symbol val="none"/>
          </c:marker>
          <c:val>
            <c:numRef>
              <c:f>'figure 2 e 3 '!$FO$1:$FO$74</c:f>
              <c:numCache>
                <c:formatCode>General</c:formatCode>
                <c:ptCount val="74"/>
              </c:numCache>
            </c:numRef>
          </c:val>
          <c:smooth val="0"/>
          <c:extLst>
            <c:ext xmlns:c16="http://schemas.microsoft.com/office/drawing/2014/chart" uri="{C3380CC4-5D6E-409C-BE32-E72D297353CC}">
              <c16:uniqueId val="{00000004-70BE-489D-A295-48D31F2DB6FF}"/>
            </c:ext>
          </c:extLst>
        </c:ser>
        <c:dLbls>
          <c:showLegendKey val="0"/>
          <c:showVal val="0"/>
          <c:showCatName val="0"/>
          <c:showSerName val="0"/>
          <c:showPercent val="0"/>
          <c:showBubbleSize val="0"/>
        </c:dLbls>
        <c:marker val="1"/>
        <c:smooth val="0"/>
        <c:axId val="120263296"/>
        <c:axId val="120262736"/>
      </c:lineChart>
      <c:catAx>
        <c:axId val="120449712"/>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120262176"/>
        <c:crosses val="autoZero"/>
        <c:auto val="1"/>
        <c:lblAlgn val="l"/>
        <c:lblOffset val="0"/>
        <c:tickMarkSkip val="3"/>
        <c:noMultiLvlLbl val="0"/>
      </c:catAx>
      <c:valAx>
        <c:axId val="120262176"/>
        <c:scaling>
          <c:orientation val="minMax"/>
          <c:max val="32000"/>
          <c:min val="8000"/>
        </c:scaling>
        <c:delete val="0"/>
        <c:axPos val="l"/>
        <c:majorGridlines>
          <c:spPr>
            <a:ln w="6350" cap="flat" cmpd="sng" algn="ctr">
              <a:solidFill>
                <a:srgbClr val="A6A6A6"/>
              </a:solidFill>
              <a:prstDash val="sysDash"/>
              <a:round/>
              <a:headEnd type="none" w="med" len="med"/>
              <a:tailEnd type="none" w="med" len="me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120449712"/>
        <c:crosses val="autoZero"/>
        <c:crossBetween val="between"/>
        <c:majorUnit val="4000"/>
        <c:dispUnits>
          <c:builtInUnit val="thousands"/>
        </c:dispUnits>
      </c:valAx>
      <c:valAx>
        <c:axId val="120262736"/>
        <c:scaling>
          <c:orientation val="minMax"/>
        </c:scaling>
        <c:delete val="1"/>
        <c:axPos val="r"/>
        <c:numFmt formatCode="General" sourceLinked="1"/>
        <c:majorTickMark val="out"/>
        <c:minorTickMark val="none"/>
        <c:tickLblPos val="nextTo"/>
        <c:crossAx val="120263296"/>
        <c:crosses val="max"/>
        <c:crossBetween val="between"/>
      </c:valAx>
      <c:catAx>
        <c:axId val="120263296"/>
        <c:scaling>
          <c:orientation val="minMax"/>
        </c:scaling>
        <c:delete val="1"/>
        <c:axPos val="t"/>
        <c:majorGridlines>
          <c:spPr>
            <a:ln w="12700" cap="flat" cmpd="sng" algn="ctr">
              <a:solidFill>
                <a:srgbClr val="A6A6A6"/>
              </a:solidFill>
              <a:prstDash val="solid"/>
              <a:round/>
              <a:headEnd type="none" w="med" len="med"/>
              <a:tailEnd type="none" w="med" len="med"/>
            </a:ln>
            <a:effectLst/>
          </c:spPr>
        </c:majorGridlines>
        <c:majorTickMark val="out"/>
        <c:minorTickMark val="none"/>
        <c:tickLblPos val="nextTo"/>
        <c:crossAx val="120262736"/>
        <c:crosses val="max"/>
        <c:auto val="1"/>
        <c:lblAlgn val="ctr"/>
        <c:lblOffset val="100"/>
        <c:tickMarkSkip val="12"/>
        <c:noMultiLvlLbl val="0"/>
      </c:cat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4"/>
        <c:delete val="1"/>
      </c:legendEntry>
      <c:layout>
        <c:manualLayout>
          <c:xMode val="edge"/>
          <c:yMode val="edge"/>
          <c:x val="0.17755877059552952"/>
          <c:y val="0"/>
          <c:w val="0.63421706965332536"/>
          <c:h val="8.9783713000070306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409703152988609E-2"/>
          <c:y val="0.11942609975251388"/>
          <c:w val="0.92470376179061697"/>
          <c:h val="0.76081558939600014"/>
        </c:manualLayout>
      </c:layout>
      <c:lineChart>
        <c:grouping val="standard"/>
        <c:varyColors val="0"/>
        <c:ser>
          <c:idx val="5"/>
          <c:order val="0"/>
          <c:tx>
            <c:strRef>
              <c:f>'figure 2 e 3 '!$C$4</c:f>
              <c:strCache>
                <c:ptCount val="1"/>
                <c:pt idx="0">
                  <c:v>esportazioni</c:v>
                </c:pt>
              </c:strCache>
            </c:strRef>
          </c:tx>
          <c:spPr>
            <a:ln w="12700" cap="rnd" cmpd="sng" algn="ctr">
              <a:solidFill>
                <a:srgbClr val="003B5C"/>
              </a:solidFill>
              <a:prstDash val="sysDash"/>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'!$G$67:$G$138</c:f>
              <c:numCache>
                <c:formatCode>0</c:formatCode>
                <c:ptCount val="72"/>
                <c:pt idx="0">
                  <c:v>18528</c:v>
                </c:pt>
                <c:pt idx="1">
                  <c:v>17910</c:v>
                </c:pt>
                <c:pt idx="2">
                  <c:v>19010</c:v>
                </c:pt>
                <c:pt idx="3">
                  <c:v>17961</c:v>
                </c:pt>
                <c:pt idx="4">
                  <c:v>18461</c:v>
                </c:pt>
                <c:pt idx="5">
                  <c:v>18213</c:v>
                </c:pt>
                <c:pt idx="6">
                  <c:v>18169</c:v>
                </c:pt>
                <c:pt idx="7">
                  <c:v>18671</c:v>
                </c:pt>
                <c:pt idx="8">
                  <c:v>18870</c:v>
                </c:pt>
                <c:pt idx="9">
                  <c:v>18362</c:v>
                </c:pt>
                <c:pt idx="10">
                  <c:v>19507</c:v>
                </c:pt>
                <c:pt idx="11">
                  <c:v>19744</c:v>
                </c:pt>
                <c:pt idx="12">
                  <c:v>18320</c:v>
                </c:pt>
                <c:pt idx="13">
                  <c:v>17995</c:v>
                </c:pt>
                <c:pt idx="14">
                  <c:v>18725</c:v>
                </c:pt>
                <c:pt idx="15">
                  <c:v>18598</c:v>
                </c:pt>
                <c:pt idx="16">
                  <c:v>18132</c:v>
                </c:pt>
                <c:pt idx="17">
                  <c:v>19516</c:v>
                </c:pt>
                <c:pt idx="18">
                  <c:v>18961</c:v>
                </c:pt>
                <c:pt idx="19">
                  <c:v>19321</c:v>
                </c:pt>
                <c:pt idx="20">
                  <c:v>18487</c:v>
                </c:pt>
                <c:pt idx="21">
                  <c:v>19456</c:v>
                </c:pt>
                <c:pt idx="22">
                  <c:v>19783</c:v>
                </c:pt>
                <c:pt idx="23">
                  <c:v>18779</c:v>
                </c:pt>
                <c:pt idx="24">
                  <c:v>19621</c:v>
                </c:pt>
                <c:pt idx="25">
                  <c:v>19267</c:v>
                </c:pt>
                <c:pt idx="26">
                  <c:v>19552</c:v>
                </c:pt>
                <c:pt idx="27">
                  <c:v>19047</c:v>
                </c:pt>
                <c:pt idx="28">
                  <c:v>19425</c:v>
                </c:pt>
                <c:pt idx="29">
                  <c:v>20053</c:v>
                </c:pt>
                <c:pt idx="30">
                  <c:v>19598</c:v>
                </c:pt>
                <c:pt idx="31">
                  <c:v>19475</c:v>
                </c:pt>
                <c:pt idx="32">
                  <c:v>19994</c:v>
                </c:pt>
                <c:pt idx="33">
                  <c:v>20981</c:v>
                </c:pt>
                <c:pt idx="34">
                  <c:v>19047</c:v>
                </c:pt>
                <c:pt idx="35">
                  <c:v>19633</c:v>
                </c:pt>
                <c:pt idx="36">
                  <c:v>20251</c:v>
                </c:pt>
                <c:pt idx="37">
                  <c:v>20158</c:v>
                </c:pt>
                <c:pt idx="38">
                  <c:v>16440</c:v>
                </c:pt>
                <c:pt idx="39">
                  <c:v>10179</c:v>
                </c:pt>
                <c:pt idx="40">
                  <c:v>14176</c:v>
                </c:pt>
                <c:pt idx="41">
                  <c:v>16547</c:v>
                </c:pt>
                <c:pt idx="42">
                  <c:v>18019</c:v>
                </c:pt>
                <c:pt idx="43">
                  <c:v>18053</c:v>
                </c:pt>
                <c:pt idx="44">
                  <c:v>19519</c:v>
                </c:pt>
                <c:pt idx="45">
                  <c:v>19160</c:v>
                </c:pt>
                <c:pt idx="46">
                  <c:v>19846</c:v>
                </c:pt>
                <c:pt idx="47">
                  <c:v>19078</c:v>
                </c:pt>
                <c:pt idx="48">
                  <c:v>19157</c:v>
                </c:pt>
                <c:pt idx="49">
                  <c:v>18901</c:v>
                </c:pt>
                <c:pt idx="50">
                  <c:v>19348</c:v>
                </c:pt>
                <c:pt idx="51">
                  <c:v>20835</c:v>
                </c:pt>
                <c:pt idx="52">
                  <c:v>19918</c:v>
                </c:pt>
                <c:pt idx="53">
                  <c:v>20120</c:v>
                </c:pt>
                <c:pt idx="54">
                  <c:v>21749</c:v>
                </c:pt>
                <c:pt idx="55">
                  <c:v>20699</c:v>
                </c:pt>
                <c:pt idx="56">
                  <c:v>20542</c:v>
                </c:pt>
                <c:pt idx="57">
                  <c:v>20936</c:v>
                </c:pt>
                <c:pt idx="58">
                  <c:v>21610</c:v>
                </c:pt>
                <c:pt idx="59">
                  <c:v>21220</c:v>
                </c:pt>
                <c:pt idx="60">
                  <c:v>22433</c:v>
                </c:pt>
                <c:pt idx="61">
                  <c:v>22891</c:v>
                </c:pt>
                <c:pt idx="62">
                  <c:v>23394</c:v>
                </c:pt>
                <c:pt idx="63">
                  <c:v>23837</c:v>
                </c:pt>
                <c:pt idx="64">
                  <c:v>24939</c:v>
                </c:pt>
                <c:pt idx="65">
                  <c:v>24582</c:v>
                </c:pt>
                <c:pt idx="66">
                  <c:v>25984</c:v>
                </c:pt>
              </c:numCache>
            </c:numRef>
          </c:val>
          <c:smooth val="0"/>
          <c:extLst>
            <c:ext xmlns:c16="http://schemas.microsoft.com/office/drawing/2014/chart" uri="{C3380CC4-5D6E-409C-BE32-E72D297353CC}">
              <c16:uniqueId val="{00000000-1DAC-4305-BA6D-E4426F13E2BD}"/>
            </c:ext>
          </c:extLst>
        </c:ser>
        <c:ser>
          <c:idx val="7"/>
          <c:order val="1"/>
          <c:tx>
            <c:strRef>
              <c:f>'figure 2 e 3 '!$E$4</c:f>
              <c:strCache>
                <c:ptCount val="1"/>
                <c:pt idx="0">
                  <c:v>mm3mesi export</c:v>
                </c:pt>
              </c:strCache>
            </c:strRef>
          </c:tx>
          <c:spPr>
            <a:ln w="28575" cap="rnd" cmpd="sng" algn="ctr">
              <a:solidFill>
                <a:srgbClr val="003B5C"/>
              </a:solidFill>
              <a:prstDash val="solid"/>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'!$I$67:$I$138</c:f>
              <c:numCache>
                <c:formatCode>0</c:formatCode>
                <c:ptCount val="72"/>
                <c:pt idx="0">
                  <c:v>18230.333333333332</c:v>
                </c:pt>
                <c:pt idx="1">
                  <c:v>18482.666666666668</c:v>
                </c:pt>
                <c:pt idx="2">
                  <c:v>18293.666666666668</c:v>
                </c:pt>
                <c:pt idx="3">
                  <c:v>18477.333333333332</c:v>
                </c:pt>
                <c:pt idx="4">
                  <c:v>18211.666666666668</c:v>
                </c:pt>
                <c:pt idx="5">
                  <c:v>18281</c:v>
                </c:pt>
                <c:pt idx="6">
                  <c:v>18351</c:v>
                </c:pt>
                <c:pt idx="7">
                  <c:v>18570</c:v>
                </c:pt>
                <c:pt idx="8">
                  <c:v>18634.333333333332</c:v>
                </c:pt>
                <c:pt idx="9">
                  <c:v>18913</c:v>
                </c:pt>
                <c:pt idx="10">
                  <c:v>19204.333333333332</c:v>
                </c:pt>
                <c:pt idx="11">
                  <c:v>19190.333333333332</c:v>
                </c:pt>
                <c:pt idx="12">
                  <c:v>18686.333333333332</c:v>
                </c:pt>
                <c:pt idx="13">
                  <c:v>18346.666666666668</c:v>
                </c:pt>
                <c:pt idx="14">
                  <c:v>18439.333333333332</c:v>
                </c:pt>
                <c:pt idx="15">
                  <c:v>18485</c:v>
                </c:pt>
                <c:pt idx="16">
                  <c:v>18748.666666666668</c:v>
                </c:pt>
                <c:pt idx="17">
                  <c:v>18869.666666666668</c:v>
                </c:pt>
                <c:pt idx="18">
                  <c:v>19266</c:v>
                </c:pt>
                <c:pt idx="19">
                  <c:v>18923</c:v>
                </c:pt>
                <c:pt idx="20">
                  <c:v>19088</c:v>
                </c:pt>
                <c:pt idx="21">
                  <c:v>19242</c:v>
                </c:pt>
                <c:pt idx="22">
                  <c:v>19339.333333333332</c:v>
                </c:pt>
                <c:pt idx="23">
                  <c:v>19394.333333333332</c:v>
                </c:pt>
                <c:pt idx="24">
                  <c:v>19222.333333333332</c:v>
                </c:pt>
                <c:pt idx="25">
                  <c:v>19480</c:v>
                </c:pt>
                <c:pt idx="26">
                  <c:v>19288.666666666668</c:v>
                </c:pt>
                <c:pt idx="27">
                  <c:v>19341.333333333332</c:v>
                </c:pt>
                <c:pt idx="28">
                  <c:v>19508.333333333332</c:v>
                </c:pt>
                <c:pt idx="29">
                  <c:v>19692</c:v>
                </c:pt>
                <c:pt idx="30">
                  <c:v>19708.666666666668</c:v>
                </c:pt>
                <c:pt idx="31">
                  <c:v>19689</c:v>
                </c:pt>
                <c:pt idx="32">
                  <c:v>20150</c:v>
                </c:pt>
                <c:pt idx="33">
                  <c:v>20007.333333333332</c:v>
                </c:pt>
                <c:pt idx="34">
                  <c:v>19887</c:v>
                </c:pt>
                <c:pt idx="35">
                  <c:v>19643.666666666668</c:v>
                </c:pt>
                <c:pt idx="36">
                  <c:v>20014</c:v>
                </c:pt>
                <c:pt idx="37">
                  <c:v>18949.666666666668</c:v>
                </c:pt>
                <c:pt idx="38">
                  <c:v>15592.333333333334</c:v>
                </c:pt>
                <c:pt idx="39">
                  <c:v>13598.333333333334</c:v>
                </c:pt>
                <c:pt idx="40">
                  <c:v>13634</c:v>
                </c:pt>
                <c:pt idx="41">
                  <c:v>16247.333333333334</c:v>
                </c:pt>
                <c:pt idx="42">
                  <c:v>17539.666666666668</c:v>
                </c:pt>
                <c:pt idx="43">
                  <c:v>18530.333333333332</c:v>
                </c:pt>
                <c:pt idx="44">
                  <c:v>18910.666666666668</c:v>
                </c:pt>
                <c:pt idx="45">
                  <c:v>19508.333333333332</c:v>
                </c:pt>
                <c:pt idx="46">
                  <c:v>19361.333333333332</c:v>
                </c:pt>
                <c:pt idx="47">
                  <c:v>19360.333333333332</c:v>
                </c:pt>
                <c:pt idx="48">
                  <c:v>19045.333333333332</c:v>
                </c:pt>
                <c:pt idx="49">
                  <c:v>19135.333333333332</c:v>
                </c:pt>
                <c:pt idx="50">
                  <c:v>19694.666666666668</c:v>
                </c:pt>
                <c:pt idx="51">
                  <c:v>20033.666666666668</c:v>
                </c:pt>
                <c:pt idx="52">
                  <c:v>20291</c:v>
                </c:pt>
                <c:pt idx="53">
                  <c:v>20595.666666666668</c:v>
                </c:pt>
                <c:pt idx="54">
                  <c:v>20856</c:v>
                </c:pt>
                <c:pt idx="55">
                  <c:v>20996.666666666668</c:v>
                </c:pt>
                <c:pt idx="56">
                  <c:v>20725.666666666668</c:v>
                </c:pt>
                <c:pt idx="57">
                  <c:v>21029.333333333332</c:v>
                </c:pt>
                <c:pt idx="58">
                  <c:v>21255.333333333332</c:v>
                </c:pt>
                <c:pt idx="59">
                  <c:v>21754.333333333332</c:v>
                </c:pt>
                <c:pt idx="60">
                  <c:v>22181.333333333332</c:v>
                </c:pt>
                <c:pt idx="61">
                  <c:v>22906</c:v>
                </c:pt>
                <c:pt idx="62">
                  <c:v>23374</c:v>
                </c:pt>
                <c:pt idx="63">
                  <c:v>24056.666666666668</c:v>
                </c:pt>
                <c:pt idx="64">
                  <c:v>24452.666666666668</c:v>
                </c:pt>
                <c:pt idx="65">
                  <c:v>25168.333333333332</c:v>
                </c:pt>
              </c:numCache>
            </c:numRef>
          </c:val>
          <c:smooth val="0"/>
          <c:extLst>
            <c:ext xmlns:c16="http://schemas.microsoft.com/office/drawing/2014/chart" uri="{C3380CC4-5D6E-409C-BE32-E72D297353CC}">
              <c16:uniqueId val="{00000001-1DAC-4305-BA6D-E4426F13E2BD}"/>
            </c:ext>
          </c:extLst>
        </c:ser>
        <c:ser>
          <c:idx val="9"/>
          <c:order val="2"/>
          <c:spPr>
            <a:ln w="28575" cap="rnd">
              <a:solidFill>
                <a:srgbClr val="FFFFFF"/>
              </a:solidFill>
              <a:roun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'!$FO$1:$FO$74</c:f>
              <c:numCache>
                <c:formatCode>General</c:formatCode>
                <c:ptCount val="74"/>
              </c:numCache>
            </c:numRef>
          </c:val>
          <c:smooth val="0"/>
          <c:extLst>
            <c:ext xmlns:c16="http://schemas.microsoft.com/office/drawing/2014/chart" uri="{C3380CC4-5D6E-409C-BE32-E72D297353CC}">
              <c16:uniqueId val="{00000002-1DAC-4305-BA6D-E4426F13E2BD}"/>
            </c:ext>
          </c:extLst>
        </c:ser>
        <c:ser>
          <c:idx val="1"/>
          <c:order val="3"/>
          <c:tx>
            <c:strRef>
              <c:f>'figure 2 e 3 '!$D$4</c:f>
              <c:strCache>
                <c:ptCount val="1"/>
                <c:pt idx="0">
                  <c:v>importazioni</c:v>
                </c:pt>
              </c:strCache>
            </c:strRef>
          </c:tx>
          <c:spPr>
            <a:ln w="12700" cap="rnd" cmpd="sng" algn="ctr">
              <a:solidFill>
                <a:srgbClr val="D22630"/>
              </a:solidFill>
              <a:prstDash val="sysDash"/>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'!$H$67:$H$138</c:f>
              <c:numCache>
                <c:formatCode>0</c:formatCode>
                <c:ptCount val="72"/>
                <c:pt idx="0">
                  <c:v>14618</c:v>
                </c:pt>
                <c:pt idx="1">
                  <c:v>14629</c:v>
                </c:pt>
                <c:pt idx="2">
                  <c:v>14560</c:v>
                </c:pt>
                <c:pt idx="3">
                  <c:v>14359</c:v>
                </c:pt>
                <c:pt idx="4">
                  <c:v>15054</c:v>
                </c:pt>
                <c:pt idx="5">
                  <c:v>14347</c:v>
                </c:pt>
                <c:pt idx="6">
                  <c:v>13982</c:v>
                </c:pt>
                <c:pt idx="7">
                  <c:v>14233</c:v>
                </c:pt>
                <c:pt idx="8">
                  <c:v>13505</c:v>
                </c:pt>
                <c:pt idx="9">
                  <c:v>13926</c:v>
                </c:pt>
                <c:pt idx="10">
                  <c:v>14706</c:v>
                </c:pt>
                <c:pt idx="11">
                  <c:v>14930</c:v>
                </c:pt>
                <c:pt idx="12">
                  <c:v>14265</c:v>
                </c:pt>
                <c:pt idx="13">
                  <c:v>14621</c:v>
                </c:pt>
                <c:pt idx="14">
                  <c:v>14907</c:v>
                </c:pt>
                <c:pt idx="15">
                  <c:v>15455</c:v>
                </c:pt>
                <c:pt idx="16">
                  <c:v>15466</c:v>
                </c:pt>
                <c:pt idx="17">
                  <c:v>15616</c:v>
                </c:pt>
                <c:pt idx="18">
                  <c:v>15937</c:v>
                </c:pt>
                <c:pt idx="19">
                  <c:v>15767</c:v>
                </c:pt>
                <c:pt idx="20">
                  <c:v>16321</c:v>
                </c:pt>
                <c:pt idx="21">
                  <c:v>16493</c:v>
                </c:pt>
                <c:pt idx="22">
                  <c:v>16200</c:v>
                </c:pt>
                <c:pt idx="23">
                  <c:v>15948</c:v>
                </c:pt>
                <c:pt idx="24">
                  <c:v>15249</c:v>
                </c:pt>
                <c:pt idx="25">
                  <c:v>15177</c:v>
                </c:pt>
                <c:pt idx="26">
                  <c:v>15460</c:v>
                </c:pt>
                <c:pt idx="27">
                  <c:v>15452</c:v>
                </c:pt>
                <c:pt idx="28">
                  <c:v>15893</c:v>
                </c:pt>
                <c:pt idx="29">
                  <c:v>15568</c:v>
                </c:pt>
                <c:pt idx="30">
                  <c:v>15440</c:v>
                </c:pt>
                <c:pt idx="31">
                  <c:v>15169</c:v>
                </c:pt>
                <c:pt idx="32">
                  <c:v>15682</c:v>
                </c:pt>
                <c:pt idx="33">
                  <c:v>14764</c:v>
                </c:pt>
                <c:pt idx="34">
                  <c:v>14471</c:v>
                </c:pt>
                <c:pt idx="35">
                  <c:v>14507</c:v>
                </c:pt>
                <c:pt idx="36">
                  <c:v>15617</c:v>
                </c:pt>
                <c:pt idx="37">
                  <c:v>14230</c:v>
                </c:pt>
                <c:pt idx="38">
                  <c:v>11903</c:v>
                </c:pt>
                <c:pt idx="39">
                  <c:v>10317</c:v>
                </c:pt>
                <c:pt idx="40">
                  <c:v>10570</c:v>
                </c:pt>
                <c:pt idx="41">
                  <c:v>12411</c:v>
                </c:pt>
                <c:pt idx="42">
                  <c:v>13003</c:v>
                </c:pt>
                <c:pt idx="43">
                  <c:v>13043</c:v>
                </c:pt>
                <c:pt idx="44">
                  <c:v>12960</c:v>
                </c:pt>
                <c:pt idx="45">
                  <c:v>13408</c:v>
                </c:pt>
                <c:pt idx="46">
                  <c:v>13888</c:v>
                </c:pt>
                <c:pt idx="47">
                  <c:v>13537</c:v>
                </c:pt>
                <c:pt idx="48">
                  <c:v>13488</c:v>
                </c:pt>
                <c:pt idx="49">
                  <c:v>14112</c:v>
                </c:pt>
                <c:pt idx="50">
                  <c:v>15234</c:v>
                </c:pt>
                <c:pt idx="51">
                  <c:v>16076</c:v>
                </c:pt>
                <c:pt idx="52">
                  <c:v>15825</c:v>
                </c:pt>
                <c:pt idx="53">
                  <c:v>16004</c:v>
                </c:pt>
                <c:pt idx="54">
                  <c:v>16708</c:v>
                </c:pt>
                <c:pt idx="55">
                  <c:v>17817</c:v>
                </c:pt>
                <c:pt idx="56">
                  <c:v>18292</c:v>
                </c:pt>
                <c:pt idx="57">
                  <c:v>19258</c:v>
                </c:pt>
                <c:pt idx="58">
                  <c:v>20007</c:v>
                </c:pt>
                <c:pt idx="59">
                  <c:v>21502</c:v>
                </c:pt>
                <c:pt idx="60">
                  <c:v>21822</c:v>
                </c:pt>
                <c:pt idx="61">
                  <c:v>24023</c:v>
                </c:pt>
                <c:pt idx="62">
                  <c:v>24639</c:v>
                </c:pt>
                <c:pt idx="63">
                  <c:v>26594</c:v>
                </c:pt>
                <c:pt idx="64">
                  <c:v>26139</c:v>
                </c:pt>
                <c:pt idx="65">
                  <c:v>28675</c:v>
                </c:pt>
                <c:pt idx="66">
                  <c:v>30116</c:v>
                </c:pt>
              </c:numCache>
            </c:numRef>
          </c:val>
          <c:smooth val="0"/>
          <c:extLst>
            <c:ext xmlns:c16="http://schemas.microsoft.com/office/drawing/2014/chart" uri="{C3380CC4-5D6E-409C-BE32-E72D297353CC}">
              <c16:uniqueId val="{00000003-1DAC-4305-BA6D-E4426F13E2BD}"/>
            </c:ext>
          </c:extLst>
        </c:ser>
        <c:ser>
          <c:idx val="3"/>
          <c:order val="4"/>
          <c:tx>
            <c:strRef>
              <c:f>'figure 2 e 3 '!$F$4</c:f>
              <c:strCache>
                <c:ptCount val="1"/>
                <c:pt idx="0">
                  <c:v>mm3mesi import</c:v>
                </c:pt>
              </c:strCache>
            </c:strRef>
          </c:tx>
          <c:spPr>
            <a:ln w="28575" cap="rnd" cmpd="sng" algn="ctr">
              <a:solidFill>
                <a:srgbClr val="D22630"/>
              </a:solidFill>
              <a:prstDash val="solid"/>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'!$J$67:$J$138</c:f>
              <c:numCache>
                <c:formatCode>0</c:formatCode>
                <c:ptCount val="72"/>
                <c:pt idx="0">
                  <c:v>14455.666666666666</c:v>
                </c:pt>
                <c:pt idx="1">
                  <c:v>14602.333333333334</c:v>
                </c:pt>
                <c:pt idx="2">
                  <c:v>14516</c:v>
                </c:pt>
                <c:pt idx="3">
                  <c:v>14657.666666666666</c:v>
                </c:pt>
                <c:pt idx="4">
                  <c:v>14586.666666666666</c:v>
                </c:pt>
                <c:pt idx="5">
                  <c:v>14461</c:v>
                </c:pt>
                <c:pt idx="6">
                  <c:v>14187.333333333334</c:v>
                </c:pt>
                <c:pt idx="7">
                  <c:v>13906.666666666666</c:v>
                </c:pt>
                <c:pt idx="8">
                  <c:v>13888</c:v>
                </c:pt>
                <c:pt idx="9">
                  <c:v>14045.666666666666</c:v>
                </c:pt>
                <c:pt idx="10">
                  <c:v>14520.666666666666</c:v>
                </c:pt>
                <c:pt idx="11">
                  <c:v>14633.666666666666</c:v>
                </c:pt>
                <c:pt idx="12">
                  <c:v>14605.333333333334</c:v>
                </c:pt>
                <c:pt idx="13">
                  <c:v>14597.666666666666</c:v>
                </c:pt>
                <c:pt idx="14">
                  <c:v>14994.333333333334</c:v>
                </c:pt>
                <c:pt idx="15">
                  <c:v>15276</c:v>
                </c:pt>
                <c:pt idx="16">
                  <c:v>15512.333333333334</c:v>
                </c:pt>
                <c:pt idx="17">
                  <c:v>15673</c:v>
                </c:pt>
                <c:pt idx="18">
                  <c:v>15773.333333333334</c:v>
                </c:pt>
                <c:pt idx="19">
                  <c:v>16008.333333333334</c:v>
                </c:pt>
                <c:pt idx="20">
                  <c:v>16193.666666666666</c:v>
                </c:pt>
                <c:pt idx="21">
                  <c:v>16338</c:v>
                </c:pt>
                <c:pt idx="22">
                  <c:v>16213.666666666666</c:v>
                </c:pt>
                <c:pt idx="23">
                  <c:v>15799</c:v>
                </c:pt>
                <c:pt idx="24">
                  <c:v>15458</c:v>
                </c:pt>
                <c:pt idx="25">
                  <c:v>15295.333333333334</c:v>
                </c:pt>
                <c:pt idx="26">
                  <c:v>15363</c:v>
                </c:pt>
                <c:pt idx="27">
                  <c:v>15601.666666666666</c:v>
                </c:pt>
                <c:pt idx="28">
                  <c:v>15637.666666666666</c:v>
                </c:pt>
                <c:pt idx="29">
                  <c:v>15633.666666666666</c:v>
                </c:pt>
                <c:pt idx="30">
                  <c:v>15392.333333333334</c:v>
                </c:pt>
                <c:pt idx="31">
                  <c:v>15430.333333333334</c:v>
                </c:pt>
                <c:pt idx="32">
                  <c:v>15205</c:v>
                </c:pt>
                <c:pt idx="33">
                  <c:v>14972.333333333334</c:v>
                </c:pt>
                <c:pt idx="34">
                  <c:v>14580.666666666666</c:v>
                </c:pt>
                <c:pt idx="35">
                  <c:v>14865</c:v>
                </c:pt>
                <c:pt idx="36">
                  <c:v>14784.666666666666</c:v>
                </c:pt>
                <c:pt idx="37">
                  <c:v>13916.666666666666</c:v>
                </c:pt>
                <c:pt idx="38">
                  <c:v>12150</c:v>
                </c:pt>
                <c:pt idx="39">
                  <c:v>10930</c:v>
                </c:pt>
                <c:pt idx="40">
                  <c:v>11099.333333333334</c:v>
                </c:pt>
                <c:pt idx="41">
                  <c:v>11994.666666666666</c:v>
                </c:pt>
                <c:pt idx="42">
                  <c:v>12819</c:v>
                </c:pt>
                <c:pt idx="43">
                  <c:v>13002</c:v>
                </c:pt>
                <c:pt idx="44">
                  <c:v>13137</c:v>
                </c:pt>
                <c:pt idx="45">
                  <c:v>13418.666666666666</c:v>
                </c:pt>
                <c:pt idx="46">
                  <c:v>13611</c:v>
                </c:pt>
                <c:pt idx="47">
                  <c:v>13637.666666666666</c:v>
                </c:pt>
                <c:pt idx="48">
                  <c:v>13712.333333333334</c:v>
                </c:pt>
                <c:pt idx="49">
                  <c:v>14278</c:v>
                </c:pt>
                <c:pt idx="50">
                  <c:v>15140.666666666666</c:v>
                </c:pt>
                <c:pt idx="51">
                  <c:v>15711.666666666666</c:v>
                </c:pt>
                <c:pt idx="52">
                  <c:v>15968.333333333334</c:v>
                </c:pt>
                <c:pt idx="53">
                  <c:v>16179</c:v>
                </c:pt>
                <c:pt idx="54">
                  <c:v>16843</c:v>
                </c:pt>
                <c:pt idx="55">
                  <c:v>17605.666666666668</c:v>
                </c:pt>
                <c:pt idx="56">
                  <c:v>18455.666666666668</c:v>
                </c:pt>
                <c:pt idx="57">
                  <c:v>19185.666666666668</c:v>
                </c:pt>
                <c:pt idx="58">
                  <c:v>20255.666666666668</c:v>
                </c:pt>
                <c:pt idx="59">
                  <c:v>21110.333333333332</c:v>
                </c:pt>
                <c:pt idx="60">
                  <c:v>22449</c:v>
                </c:pt>
                <c:pt idx="61">
                  <c:v>23494.666666666668</c:v>
                </c:pt>
                <c:pt idx="62">
                  <c:v>25085.333333333332</c:v>
                </c:pt>
                <c:pt idx="63">
                  <c:v>25790.666666666668</c:v>
                </c:pt>
                <c:pt idx="64">
                  <c:v>27136</c:v>
                </c:pt>
                <c:pt idx="65">
                  <c:v>28310</c:v>
                </c:pt>
              </c:numCache>
            </c:numRef>
          </c:val>
          <c:smooth val="0"/>
          <c:extLst>
            <c:ext xmlns:c16="http://schemas.microsoft.com/office/drawing/2014/chart" uri="{C3380CC4-5D6E-409C-BE32-E72D297353CC}">
              <c16:uniqueId val="{00000004-1DAC-4305-BA6D-E4426F13E2BD}"/>
            </c:ext>
          </c:extLst>
        </c:ser>
        <c:dLbls>
          <c:showLegendKey val="0"/>
          <c:showVal val="0"/>
          <c:showCatName val="0"/>
          <c:showSerName val="0"/>
          <c:showPercent val="0"/>
          <c:showBubbleSize val="0"/>
        </c:dLbls>
        <c:marker val="1"/>
        <c:smooth val="0"/>
        <c:axId val="120268336"/>
        <c:axId val="120268896"/>
      </c:lineChart>
      <c:lineChart>
        <c:grouping val="standard"/>
        <c:varyColors val="0"/>
        <c:ser>
          <c:idx val="4"/>
          <c:order val="5"/>
          <c:spPr>
            <a:ln w="28575" cap="rnd">
              <a:solidFill>
                <a:srgbClr val="FFFFFF"/>
              </a:solidFill>
              <a:round/>
            </a:ln>
            <a:effectLst/>
          </c:spPr>
          <c:marker>
            <c:symbol val="none"/>
          </c:marker>
          <c:val>
            <c:numRef>
              <c:f>'figure 2 e 3 '!$FO$1:$FO$74</c:f>
              <c:numCache>
                <c:formatCode>General</c:formatCode>
                <c:ptCount val="74"/>
              </c:numCache>
            </c:numRef>
          </c:val>
          <c:smooth val="0"/>
          <c:extLst>
            <c:ext xmlns:c16="http://schemas.microsoft.com/office/drawing/2014/chart" uri="{C3380CC4-5D6E-409C-BE32-E72D297353CC}">
              <c16:uniqueId val="{00000005-1DAC-4305-BA6D-E4426F13E2BD}"/>
            </c:ext>
          </c:extLst>
        </c:ser>
        <c:dLbls>
          <c:showLegendKey val="0"/>
          <c:showVal val="0"/>
          <c:showCatName val="0"/>
          <c:showSerName val="0"/>
          <c:showPercent val="0"/>
          <c:showBubbleSize val="0"/>
        </c:dLbls>
        <c:marker val="1"/>
        <c:smooth val="0"/>
        <c:axId val="174690336"/>
        <c:axId val="120269456"/>
      </c:lineChart>
      <c:catAx>
        <c:axId val="120268336"/>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120268896"/>
        <c:crosses val="autoZero"/>
        <c:auto val="1"/>
        <c:lblAlgn val="l"/>
        <c:lblOffset val="0"/>
        <c:tickMarkSkip val="3"/>
        <c:noMultiLvlLbl val="0"/>
      </c:catAx>
      <c:valAx>
        <c:axId val="120268896"/>
        <c:scaling>
          <c:orientation val="minMax"/>
          <c:max val="32000"/>
          <c:min val="8000"/>
        </c:scaling>
        <c:delete val="0"/>
        <c:axPos val="l"/>
        <c:majorGridlines>
          <c:spPr>
            <a:ln w="6350" cap="flat" cmpd="sng" algn="ctr">
              <a:solidFill>
                <a:srgbClr val="A6A6A6"/>
              </a:solidFill>
              <a:prstDash val="sysDash"/>
              <a:round/>
              <a:headEnd type="none" w="med" len="med"/>
              <a:tailEnd type="none" w="med" len="me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120268336"/>
        <c:crosses val="autoZero"/>
        <c:crossBetween val="between"/>
        <c:majorUnit val="4000"/>
        <c:dispUnits>
          <c:builtInUnit val="thousands"/>
        </c:dispUnits>
      </c:valAx>
      <c:valAx>
        <c:axId val="120269456"/>
        <c:scaling>
          <c:orientation val="minMax"/>
        </c:scaling>
        <c:delete val="1"/>
        <c:axPos val="r"/>
        <c:numFmt formatCode="General" sourceLinked="1"/>
        <c:majorTickMark val="out"/>
        <c:minorTickMark val="none"/>
        <c:tickLblPos val="nextTo"/>
        <c:crossAx val="174690336"/>
        <c:crosses val="max"/>
        <c:crossBetween val="between"/>
      </c:valAx>
      <c:catAx>
        <c:axId val="174690336"/>
        <c:scaling>
          <c:orientation val="minMax"/>
        </c:scaling>
        <c:delete val="1"/>
        <c:axPos val="t"/>
        <c:majorGridlines>
          <c:spPr>
            <a:ln w="12700" cap="flat" cmpd="sng" algn="ctr">
              <a:solidFill>
                <a:srgbClr val="A6A6A6"/>
              </a:solidFill>
              <a:prstDash val="solid"/>
              <a:round/>
              <a:headEnd type="none" w="med" len="med"/>
              <a:tailEnd type="none" w="med" len="med"/>
            </a:ln>
            <a:effectLst/>
          </c:spPr>
        </c:majorGridlines>
        <c:majorTickMark val="out"/>
        <c:minorTickMark val="none"/>
        <c:tickLblPos val="nextTo"/>
        <c:crossAx val="120269456"/>
        <c:crosses val="max"/>
        <c:auto val="1"/>
        <c:lblAlgn val="ctr"/>
        <c:lblOffset val="100"/>
        <c:tickMarkSkip val="12"/>
        <c:noMultiLvlLbl val="0"/>
      </c:cat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2"/>
        <c:delete val="1"/>
      </c:legendEntry>
      <c:legendEntry>
        <c:idx val="5"/>
        <c:delete val="1"/>
      </c:legendEntry>
      <c:layout>
        <c:manualLayout>
          <c:xMode val="edge"/>
          <c:yMode val="edge"/>
          <c:x val="0.14132322163401495"/>
          <c:y val="0"/>
          <c:w val="0.78025629739952906"/>
          <c:h val="9.1110120175692852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0" cap="flat" cmpd="sng" algn="ctr">
      <a:noFill/>
      <a:round/>
    </a:ln>
    <a:effec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200031242677498E-2"/>
          <c:y val="0.12410404855160488"/>
          <c:w val="0.92273205198300878"/>
          <c:h val="0.77953332753771654"/>
        </c:manualLayout>
      </c:layout>
      <c:lineChart>
        <c:grouping val="standard"/>
        <c:varyColors val="0"/>
        <c:ser>
          <c:idx val="0"/>
          <c:order val="0"/>
          <c:tx>
            <c:strRef>
              <c:f>'figura 4'!$F$4</c:f>
              <c:strCache>
                <c:ptCount val="1"/>
                <c:pt idx="0">
                  <c:v>Export</c:v>
                </c:pt>
              </c:strCache>
            </c:strRef>
          </c:tx>
          <c:spPr>
            <a:ln w="19050" cap="rnd">
              <a:solidFill>
                <a:srgbClr val="003B5C"/>
              </a:solidFill>
              <a:round/>
            </a:ln>
            <a:effectLst/>
          </c:spPr>
          <c:marker>
            <c:symbol val="none"/>
          </c:marker>
          <c:cat>
            <c:numRef>
              <c:f>'figura 4'!$B$77:$B$136</c:f>
              <c:numCache>
                <c:formatCode>General</c:formatCode>
                <c:ptCount val="60"/>
                <c:pt idx="5" formatCode="0">
                  <c:v>2018</c:v>
                </c:pt>
                <c:pt idx="17" formatCode="0">
                  <c:v>2019</c:v>
                </c:pt>
                <c:pt idx="29" formatCode="0">
                  <c:v>2020</c:v>
                </c:pt>
                <c:pt idx="41" formatCode="0">
                  <c:v>2021</c:v>
                </c:pt>
                <c:pt idx="53" formatCode="0">
                  <c:v>2022</c:v>
                </c:pt>
              </c:numCache>
            </c:numRef>
          </c:cat>
          <c:val>
            <c:numRef>
              <c:f>'figura 4'!$F$77:$F$136</c:f>
              <c:numCache>
                <c:formatCode>0.0</c:formatCode>
                <c:ptCount val="60"/>
                <c:pt idx="0">
                  <c:v>9.4952009093222109</c:v>
                </c:pt>
                <c:pt idx="1">
                  <c:v>4.2015988254071157</c:v>
                </c:pt>
                <c:pt idx="2">
                  <c:v>-1.3234102622182831</c:v>
                </c:pt>
                <c:pt idx="3">
                  <c:v>7.2027344421919492</c:v>
                </c:pt>
                <c:pt idx="4">
                  <c:v>-0.93951501399373027</c:v>
                </c:pt>
                <c:pt idx="5">
                  <c:v>6.7915399190423775</c:v>
                </c:pt>
                <c:pt idx="6">
                  <c:v>7.3687364762480945</c:v>
                </c:pt>
                <c:pt idx="7">
                  <c:v>4.6220522481957849</c:v>
                </c:pt>
                <c:pt idx="8">
                  <c:v>-2.3949109746485342</c:v>
                </c:pt>
                <c:pt idx="9">
                  <c:v>10.339816054625551</c:v>
                </c:pt>
                <c:pt idx="10">
                  <c:v>1.8283947769259568</c:v>
                </c:pt>
                <c:pt idx="11">
                  <c:v>-2.1550341855868571</c:v>
                </c:pt>
                <c:pt idx="12">
                  <c:v>3.6893959110131158</c:v>
                </c:pt>
                <c:pt idx="13">
                  <c:v>4.1153285081400481</c:v>
                </c:pt>
                <c:pt idx="14">
                  <c:v>0.45361148350655522</c:v>
                </c:pt>
                <c:pt idx="15">
                  <c:v>6.2122269245504125</c:v>
                </c:pt>
                <c:pt idx="16">
                  <c:v>8.2579182056991662</c:v>
                </c:pt>
                <c:pt idx="17">
                  <c:v>-2.8755264014559745</c:v>
                </c:pt>
                <c:pt idx="18">
                  <c:v>6.7599343267634726</c:v>
                </c:pt>
                <c:pt idx="19">
                  <c:v>-2.9346107104233132</c:v>
                </c:pt>
                <c:pt idx="20">
                  <c:v>7.025573507578331</c:v>
                </c:pt>
                <c:pt idx="21">
                  <c:v>5.2489112563056661</c:v>
                </c:pt>
                <c:pt idx="22">
                  <c:v>-2.4395719004043248</c:v>
                </c:pt>
                <c:pt idx="23">
                  <c:v>4.751155855401068</c:v>
                </c:pt>
                <c:pt idx="24">
                  <c:v>1.8800433360849578</c:v>
                </c:pt>
                <c:pt idx="25">
                  <c:v>4.9702980985989687</c:v>
                </c:pt>
                <c:pt idx="26">
                  <c:v>-14.640764481952806</c:v>
                </c:pt>
                <c:pt idx="27">
                  <c:v>-42.780657555504995</c:v>
                </c:pt>
                <c:pt idx="28">
                  <c:v>-29.737216021294554</c:v>
                </c:pt>
                <c:pt idx="29">
                  <c:v>-11.887566105596004</c:v>
                </c:pt>
                <c:pt idx="30">
                  <c:v>-7.4953761702297506</c:v>
                </c:pt>
                <c:pt idx="31">
                  <c:v>-6.1552712860193477</c:v>
                </c:pt>
                <c:pt idx="32">
                  <c:v>2.3123459229232424</c:v>
                </c:pt>
                <c:pt idx="33">
                  <c:v>-7.41523126636634</c:v>
                </c:pt>
                <c:pt idx="34">
                  <c:v>2.1966259269010635</c:v>
                </c:pt>
                <c:pt idx="35">
                  <c:v>3.9519551567386291</c:v>
                </c:pt>
                <c:pt idx="36">
                  <c:v>-9.1965453204260861</c:v>
                </c:pt>
                <c:pt idx="37">
                  <c:v>-3.3671364424356254</c:v>
                </c:pt>
                <c:pt idx="38">
                  <c:v>27.819751238798716</c:v>
                </c:pt>
                <c:pt idx="39">
                  <c:v>96.7008264887818</c:v>
                </c:pt>
                <c:pt idx="40">
                  <c:v>40.485824292305786</c:v>
                </c:pt>
                <c:pt idx="41">
                  <c:v>24.035057143238348</c:v>
                </c:pt>
                <c:pt idx="42">
                  <c:v>14.727756461491449</c:v>
                </c:pt>
                <c:pt idx="43">
                  <c:v>16.708708977561358</c:v>
                </c:pt>
                <c:pt idx="44">
                  <c:v>10.325454453760251</c:v>
                </c:pt>
                <c:pt idx="45">
                  <c:v>7.353057369343019</c:v>
                </c:pt>
                <c:pt idx="46">
                  <c:v>16.802570759670221</c:v>
                </c:pt>
                <c:pt idx="47">
                  <c:v>16.162966842928771</c:v>
                </c:pt>
                <c:pt idx="48">
                  <c:v>22.600747096471085</c:v>
                </c:pt>
                <c:pt idx="49">
                  <c:v>22.916200993986013</c:v>
                </c:pt>
                <c:pt idx="50">
                  <c:v>23.073541368248684</c:v>
                </c:pt>
                <c:pt idx="51">
                  <c:v>15.092445696868207</c:v>
                </c:pt>
                <c:pt idx="52">
                  <c:v>29.807524871146885</c:v>
                </c:pt>
                <c:pt idx="53">
                  <c:v>21.611330937433749</c:v>
                </c:pt>
                <c:pt idx="54">
                  <c:v>18.024257179562287</c:v>
                </c:pt>
              </c:numCache>
            </c:numRef>
          </c:val>
          <c:smooth val="0"/>
          <c:extLst>
            <c:ext xmlns:c16="http://schemas.microsoft.com/office/drawing/2014/chart" uri="{C3380CC4-5D6E-409C-BE32-E72D297353CC}">
              <c16:uniqueId val="{00000000-003C-48DE-B5F8-77E08CA5B35F}"/>
            </c:ext>
          </c:extLst>
        </c:ser>
        <c:ser>
          <c:idx val="1"/>
          <c:order val="1"/>
          <c:tx>
            <c:strRef>
              <c:f>'figura 4'!$G$4</c:f>
              <c:strCache>
                <c:ptCount val="1"/>
                <c:pt idx="0">
                  <c:v>Import</c:v>
                </c:pt>
              </c:strCache>
            </c:strRef>
          </c:tx>
          <c:spPr>
            <a:ln w="19050" cap="rnd">
              <a:solidFill>
                <a:srgbClr val="D22630"/>
              </a:solidFill>
              <a:round/>
            </a:ln>
            <a:effectLst/>
          </c:spPr>
          <c:marker>
            <c:symbol val="none"/>
          </c:marker>
          <c:cat>
            <c:numRef>
              <c:f>'figura 4'!$B$77:$B$136</c:f>
              <c:numCache>
                <c:formatCode>General</c:formatCode>
                <c:ptCount val="60"/>
                <c:pt idx="5" formatCode="0">
                  <c:v>2018</c:v>
                </c:pt>
                <c:pt idx="17" formatCode="0">
                  <c:v>2019</c:v>
                </c:pt>
                <c:pt idx="29" formatCode="0">
                  <c:v>2020</c:v>
                </c:pt>
                <c:pt idx="41" formatCode="0">
                  <c:v>2021</c:v>
                </c:pt>
                <c:pt idx="53" formatCode="0">
                  <c:v>2022</c:v>
                </c:pt>
              </c:numCache>
            </c:numRef>
          </c:cat>
          <c:val>
            <c:numRef>
              <c:f>'figura 4'!$G$77:$G$136</c:f>
              <c:numCache>
                <c:formatCode>0.0</c:formatCode>
                <c:ptCount val="60"/>
                <c:pt idx="0">
                  <c:v>9.3585323900492021</c:v>
                </c:pt>
                <c:pt idx="1">
                  <c:v>1.1410739067599485</c:v>
                </c:pt>
                <c:pt idx="2">
                  <c:v>4.4519567312928388E-2</c:v>
                </c:pt>
                <c:pt idx="3">
                  <c:v>10.472357148378887</c:v>
                </c:pt>
                <c:pt idx="4">
                  <c:v>1.4112621243217882</c:v>
                </c:pt>
                <c:pt idx="5">
                  <c:v>5.1877864735496715</c:v>
                </c:pt>
                <c:pt idx="6">
                  <c:v>10.365327608827846</c:v>
                </c:pt>
                <c:pt idx="7">
                  <c:v>6.8977930817439859</c:v>
                </c:pt>
                <c:pt idx="8">
                  <c:v>6.3093492173381005</c:v>
                </c:pt>
                <c:pt idx="9">
                  <c:v>14.899817051238973</c:v>
                </c:pt>
                <c:pt idx="10">
                  <c:v>3.9846728827007238</c:v>
                </c:pt>
                <c:pt idx="11">
                  <c:v>4.7622310301687065</c:v>
                </c:pt>
                <c:pt idx="12">
                  <c:v>1.7974203489770746</c:v>
                </c:pt>
                <c:pt idx="13">
                  <c:v>3.3671484676422558</c:v>
                </c:pt>
                <c:pt idx="14">
                  <c:v>-0.30391450663055375</c:v>
                </c:pt>
                <c:pt idx="15">
                  <c:v>5.9600184893007224</c:v>
                </c:pt>
                <c:pt idx="16">
                  <c:v>2.9051136422940882</c:v>
                </c:pt>
                <c:pt idx="17">
                  <c:v>-5.0013365453943637</c:v>
                </c:pt>
                <c:pt idx="18">
                  <c:v>2.0196905690953226</c:v>
                </c:pt>
                <c:pt idx="19">
                  <c:v>-4.3266090148819547</c:v>
                </c:pt>
                <c:pt idx="20">
                  <c:v>2.3097377266630081</c:v>
                </c:pt>
                <c:pt idx="21">
                  <c:v>-5.5647338883738744</c:v>
                </c:pt>
                <c:pt idx="22">
                  <c:v>-5.957468451488845</c:v>
                </c:pt>
                <c:pt idx="23">
                  <c:v>-1.7308275803805118</c:v>
                </c:pt>
                <c:pt idx="24">
                  <c:v>1.5603249438599587</c:v>
                </c:pt>
                <c:pt idx="25">
                  <c:v>-0.56977080719227136</c:v>
                </c:pt>
                <c:pt idx="26">
                  <c:v>-18.418281818700756</c:v>
                </c:pt>
                <c:pt idx="27">
                  <c:v>-34.482629327281956</c:v>
                </c:pt>
                <c:pt idx="28">
                  <c:v>-34.069251315824211</c:v>
                </c:pt>
                <c:pt idx="29">
                  <c:v>-14.868866323421736</c:v>
                </c:pt>
                <c:pt idx="30">
                  <c:v>-13.137895129981668</c:v>
                </c:pt>
                <c:pt idx="31">
                  <c:v>-10.861708572397655</c:v>
                </c:pt>
                <c:pt idx="32">
                  <c:v>-5.7938134289781225</c:v>
                </c:pt>
                <c:pt idx="33">
                  <c:v>-6.9792940012951776</c:v>
                </c:pt>
                <c:pt idx="34">
                  <c:v>-2.2030400885427737</c:v>
                </c:pt>
                <c:pt idx="35">
                  <c:v>-0.73834932259302377</c:v>
                </c:pt>
                <c:pt idx="36">
                  <c:v>-12.200830096026493</c:v>
                </c:pt>
                <c:pt idx="37">
                  <c:v>-1.4465219149669584</c:v>
                </c:pt>
                <c:pt idx="38">
                  <c:v>34.443947008155718</c:v>
                </c:pt>
                <c:pt idx="39">
                  <c:v>62.021732877064231</c:v>
                </c:pt>
                <c:pt idx="40">
                  <c:v>49.773252572811558</c:v>
                </c:pt>
                <c:pt idx="41">
                  <c:v>30.983661732177548</c:v>
                </c:pt>
                <c:pt idx="42">
                  <c:v>21.914445766966239</c:v>
                </c:pt>
                <c:pt idx="43">
                  <c:v>31.316653769835213</c:v>
                </c:pt>
                <c:pt idx="44">
                  <c:v>24.371038600071348</c:v>
                </c:pt>
                <c:pt idx="45">
                  <c:v>22.280752183383633</c:v>
                </c:pt>
                <c:pt idx="46">
                  <c:v>32.434487731930695</c:v>
                </c:pt>
                <c:pt idx="47">
                  <c:v>44.952936767121265</c:v>
                </c:pt>
                <c:pt idx="48">
                  <c:v>44.683273125942627</c:v>
                </c:pt>
                <c:pt idx="49">
                  <c:v>45.486857868560989</c:v>
                </c:pt>
                <c:pt idx="50">
                  <c:v>39.341533058326014</c:v>
                </c:pt>
                <c:pt idx="51">
                  <c:v>42.609782242030512</c:v>
                </c:pt>
                <c:pt idx="52">
                  <c:v>49.241487196665275</c:v>
                </c:pt>
                <c:pt idx="53">
                  <c:v>45.560054343110103</c:v>
                </c:pt>
                <c:pt idx="54">
                  <c:v>43.967920356507825</c:v>
                </c:pt>
              </c:numCache>
            </c:numRef>
          </c:val>
          <c:smooth val="0"/>
          <c:extLst>
            <c:ext xmlns:c16="http://schemas.microsoft.com/office/drawing/2014/chart" uri="{C3380CC4-5D6E-409C-BE32-E72D297353CC}">
              <c16:uniqueId val="{00000001-003C-48DE-B5F8-77E08CA5B35F}"/>
            </c:ext>
          </c:extLst>
        </c:ser>
        <c:dLbls>
          <c:showLegendKey val="0"/>
          <c:showVal val="0"/>
          <c:showCatName val="0"/>
          <c:showSerName val="0"/>
          <c:showPercent val="0"/>
          <c:showBubbleSize val="0"/>
        </c:dLbls>
        <c:smooth val="0"/>
        <c:axId val="174693136"/>
        <c:axId val="174693696"/>
      </c:lineChart>
      <c:catAx>
        <c:axId val="174693136"/>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174693696"/>
        <c:crosses val="autoZero"/>
        <c:auto val="1"/>
        <c:lblAlgn val="l"/>
        <c:lblOffset val="0"/>
        <c:tickMarkSkip val="3"/>
        <c:noMultiLvlLbl val="0"/>
      </c:catAx>
      <c:valAx>
        <c:axId val="174693696"/>
        <c:scaling>
          <c:orientation val="minMax"/>
          <c:max val="100"/>
          <c:min val="-50"/>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1.8995495495495493E-3"/>
              <c:y val="5.0319444444444448E-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174693136"/>
        <c:crosses val="autoZero"/>
        <c:crossBetween val="between"/>
        <c:majorUnit val="25"/>
      </c:valAx>
    </c:plotArea>
    <c:legend>
      <c:legendPos val="t"/>
      <c:layout>
        <c:manualLayout>
          <c:xMode val="edge"/>
          <c:yMode val="edge"/>
          <c:x val="0.29322274226593525"/>
          <c:y val="0"/>
          <c:w val="0.39102989683908218"/>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6350" cap="flat" cmpd="sng" algn="ctr">
      <a:noFill/>
      <a:round/>
    </a:ln>
    <a:effec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2952862122324263E-2"/>
          <c:y val="0.10798409327416178"/>
          <c:w val="0.91888935285600126"/>
          <c:h val="0.78678210029233187"/>
        </c:manualLayout>
      </c:layout>
      <c:lineChart>
        <c:grouping val="standard"/>
        <c:varyColors val="0"/>
        <c:ser>
          <c:idx val="0"/>
          <c:order val="0"/>
          <c:tx>
            <c:strRef>
              <c:f>'[GraficiElabImport07_22.xlsx]GR 5-italiano'!$F$28</c:f>
              <c:strCache>
                <c:ptCount val="1"/>
                <c:pt idx="0">
                  <c:v>Totale</c:v>
                </c:pt>
              </c:strCache>
            </c:strRef>
          </c:tx>
          <c:spPr>
            <a:ln w="19050" cap="rnd" cmpd="sng" algn="ctr">
              <a:solidFill>
                <a:srgbClr val="D22630"/>
              </a:solidFill>
              <a:prstDash val="solid"/>
              <a:round/>
              <a:headEnd type="none" w="med" len="med"/>
              <a:tailEnd type="none" w="med" len="med"/>
            </a:ln>
            <a:effectLst/>
          </c:spPr>
          <c:marker>
            <c:symbol val="none"/>
          </c:marker>
          <c:cat>
            <c:numRef>
              <c:f>'[GraficiElabImport07_22.xlsx]GR 5-italiano'!$C$101:$C$160</c:f>
              <c:numCache>
                <c:formatCode>General</c:formatCode>
                <c:ptCount val="60"/>
                <c:pt idx="5" formatCode="0">
                  <c:v>2018</c:v>
                </c:pt>
                <c:pt idx="17" formatCode="0">
                  <c:v>2019</c:v>
                </c:pt>
                <c:pt idx="29" formatCode="0">
                  <c:v>2020</c:v>
                </c:pt>
                <c:pt idx="41" formatCode="0">
                  <c:v>2021</c:v>
                </c:pt>
                <c:pt idx="53">
                  <c:v>2022</c:v>
                </c:pt>
              </c:numCache>
            </c:numRef>
          </c:cat>
          <c:val>
            <c:numRef>
              <c:f>'[GraficiElabImport07_22.xlsx]GR 5-italiano'!$F$101:$F$160</c:f>
              <c:numCache>
                <c:formatCode>0.0</c:formatCode>
                <c:ptCount val="60"/>
                <c:pt idx="0">
                  <c:v>2.123356926188058</c:v>
                </c:pt>
                <c:pt idx="1">
                  <c:v>1.3078470824949617</c:v>
                </c:pt>
                <c:pt idx="2">
                  <c:v>1.0040160642570184</c:v>
                </c:pt>
                <c:pt idx="3">
                  <c:v>1.5045135406218657</c:v>
                </c:pt>
                <c:pt idx="4">
                  <c:v>2.3115577889447181</c:v>
                </c:pt>
                <c:pt idx="5">
                  <c:v>3.6217303822937641</c:v>
                </c:pt>
                <c:pt idx="6">
                  <c:v>4.2467138523761161</c:v>
                </c:pt>
                <c:pt idx="7">
                  <c:v>4.9796747967479682</c:v>
                </c:pt>
                <c:pt idx="8">
                  <c:v>4.8632218844984809</c:v>
                </c:pt>
                <c:pt idx="9">
                  <c:v>5.5387713997985921</c:v>
                </c:pt>
                <c:pt idx="10">
                  <c:v>3.1872509960159334</c:v>
                </c:pt>
                <c:pt idx="11">
                  <c:v>1.3930348258706537</c:v>
                </c:pt>
                <c:pt idx="12">
                  <c:v>0.29702970297029729</c:v>
                </c:pt>
                <c:pt idx="13">
                  <c:v>0.59582919563057057</c:v>
                </c:pt>
                <c:pt idx="14">
                  <c:v>1.2922465208747624</c:v>
                </c:pt>
                <c:pt idx="15">
                  <c:v>1.1857707509881354</c:v>
                </c:pt>
                <c:pt idx="16">
                  <c:v>0.98231827111985304</c:v>
                </c:pt>
                <c:pt idx="17">
                  <c:v>-1.650485436893212</c:v>
                </c:pt>
                <c:pt idx="18">
                  <c:v>-1.6488845780795236</c:v>
                </c:pt>
                <c:pt idx="19">
                  <c:v>-2.5169409486931249</c:v>
                </c:pt>
                <c:pt idx="20">
                  <c:v>-2.70531400966183</c:v>
                </c:pt>
                <c:pt idx="21">
                  <c:v>-3.8167938931297662</c:v>
                </c:pt>
                <c:pt idx="22">
                  <c:v>-2.1235521235521082</c:v>
                </c:pt>
                <c:pt idx="23">
                  <c:v>-0.49067713444553851</c:v>
                </c:pt>
                <c:pt idx="24">
                  <c:v>-0.29615004935833467</c:v>
                </c:pt>
                <c:pt idx="25">
                  <c:v>-1.4807502467917066</c:v>
                </c:pt>
                <c:pt idx="26">
                  <c:v>-5.0049067713444639</c:v>
                </c:pt>
                <c:pt idx="27">
                  <c:v>-8.1054687500000107</c:v>
                </c:pt>
                <c:pt idx="28">
                  <c:v>-7.9766536964980599</c:v>
                </c:pt>
                <c:pt idx="29">
                  <c:v>-6.5153010858835074</c:v>
                </c:pt>
                <c:pt idx="30">
                  <c:v>-6.4102564102564097</c:v>
                </c:pt>
                <c:pt idx="31">
                  <c:v>-5.7596822244289969</c:v>
                </c:pt>
                <c:pt idx="32">
                  <c:v>-5.1638530287984157</c:v>
                </c:pt>
                <c:pt idx="33">
                  <c:v>-4.9603174603174649</c:v>
                </c:pt>
                <c:pt idx="34">
                  <c:v>-5.1282051282051322</c:v>
                </c:pt>
                <c:pt idx="35">
                  <c:v>-4.1420118343195256</c:v>
                </c:pt>
                <c:pt idx="36">
                  <c:v>-2.7722772277227747</c:v>
                </c:pt>
                <c:pt idx="37">
                  <c:v>-0.80160320641282645</c:v>
                </c:pt>
                <c:pt idx="38">
                  <c:v>4.3388429752066138</c:v>
                </c:pt>
                <c:pt idx="39">
                  <c:v>8.1827842720510127</c:v>
                </c:pt>
                <c:pt idx="40">
                  <c:v>8.9852008456659647</c:v>
                </c:pt>
                <c:pt idx="41">
                  <c:v>9.5036958817317885</c:v>
                </c:pt>
                <c:pt idx="42">
                  <c:v>11.064278187565858</c:v>
                </c:pt>
                <c:pt idx="43">
                  <c:v>12.012644889357205</c:v>
                </c:pt>
                <c:pt idx="44">
                  <c:v>12.565445026178001</c:v>
                </c:pt>
                <c:pt idx="45">
                  <c:v>15.344467640918591</c:v>
                </c:pt>
                <c:pt idx="46">
                  <c:v>15.800415800415802</c:v>
                </c:pt>
                <c:pt idx="47">
                  <c:v>15.6</c:v>
                </c:pt>
                <c:pt idx="48">
                  <c:v>17.5</c:v>
                </c:pt>
                <c:pt idx="49">
                  <c:v>18.5</c:v>
                </c:pt>
                <c:pt idx="50">
                  <c:v>19</c:v>
                </c:pt>
                <c:pt idx="51">
                  <c:v>21.4</c:v>
                </c:pt>
                <c:pt idx="52">
                  <c:v>20.100000000000001</c:v>
                </c:pt>
                <c:pt idx="53">
                  <c:v>21.5</c:v>
                </c:pt>
                <c:pt idx="54">
                  <c:v>20.6</c:v>
                </c:pt>
              </c:numCache>
            </c:numRef>
          </c:val>
          <c:smooth val="0"/>
          <c:extLst>
            <c:ext xmlns:c16="http://schemas.microsoft.com/office/drawing/2014/chart" uri="{C3380CC4-5D6E-409C-BE32-E72D297353CC}">
              <c16:uniqueId val="{00000000-B88D-454D-978D-DE722B70A0FE}"/>
            </c:ext>
          </c:extLst>
        </c:ser>
        <c:ser>
          <c:idx val="1"/>
          <c:order val="1"/>
          <c:tx>
            <c:strRef>
              <c:f>'[GraficiElabImport07_22.xlsx]GR 5-italiano'!$G$28</c:f>
              <c:strCache>
                <c:ptCount val="1"/>
                <c:pt idx="0">
                  <c:v>Totale al netto energia</c:v>
                </c:pt>
              </c:strCache>
            </c:strRef>
          </c:tx>
          <c:spPr>
            <a:ln w="19050" cap="rnd" cmpd="sng" algn="ctr">
              <a:solidFill>
                <a:srgbClr val="003B5C"/>
              </a:solidFill>
              <a:prstDash val="sysDash"/>
              <a:round/>
              <a:headEnd type="none" w="med" len="med"/>
              <a:tailEnd type="none" w="med" len="med"/>
            </a:ln>
            <a:effectLst/>
          </c:spPr>
          <c:marker>
            <c:symbol val="none"/>
          </c:marker>
          <c:cat>
            <c:numRef>
              <c:f>'[GraficiElabImport07_22.xlsx]GR 5-italiano'!$C$101:$C$160</c:f>
              <c:numCache>
                <c:formatCode>General</c:formatCode>
                <c:ptCount val="60"/>
                <c:pt idx="5" formatCode="0">
                  <c:v>2018</c:v>
                </c:pt>
                <c:pt idx="17" formatCode="0">
                  <c:v>2019</c:v>
                </c:pt>
                <c:pt idx="29" formatCode="0">
                  <c:v>2020</c:v>
                </c:pt>
                <c:pt idx="41" formatCode="0">
                  <c:v>2021</c:v>
                </c:pt>
                <c:pt idx="53">
                  <c:v>2022</c:v>
                </c:pt>
              </c:numCache>
            </c:numRef>
          </c:cat>
          <c:val>
            <c:numRef>
              <c:f>'[GraficiElabImport07_22.xlsx]GR 5-italiano'!$G$101:$G$160</c:f>
              <c:numCache>
                <c:formatCode>0.0</c:formatCode>
                <c:ptCount val="60"/>
                <c:pt idx="0">
                  <c:v>0.60362173038228661</c:v>
                </c:pt>
                <c:pt idx="1">
                  <c:v>0.10020040080160886</c:v>
                </c:pt>
                <c:pt idx="2">
                  <c:v>0</c:v>
                </c:pt>
                <c:pt idx="3">
                  <c:v>-0.29910269192422456</c:v>
                </c:pt>
                <c:pt idx="4">
                  <c:v>-0.39880358923229942</c:v>
                </c:pt>
                <c:pt idx="5">
                  <c:v>9.9700897308085956E-2</c:v>
                </c:pt>
                <c:pt idx="6">
                  <c:v>0.60000000000000053</c:v>
                </c:pt>
                <c:pt idx="7">
                  <c:v>0.80080080080080496</c:v>
                </c:pt>
                <c:pt idx="8">
                  <c:v>0.70070070070069601</c:v>
                </c:pt>
                <c:pt idx="9">
                  <c:v>0.70070070070069601</c:v>
                </c:pt>
                <c:pt idx="10">
                  <c:v>0.9000000000000119</c:v>
                </c:pt>
                <c:pt idx="11">
                  <c:v>0.80000000000000071</c:v>
                </c:pt>
                <c:pt idx="12">
                  <c:v>0.70000000000001172</c:v>
                </c:pt>
                <c:pt idx="13">
                  <c:v>0.60060060060058706</c:v>
                </c:pt>
                <c:pt idx="14">
                  <c:v>0.49999999999998934</c:v>
                </c:pt>
                <c:pt idx="15">
                  <c:v>0.49999999999998934</c:v>
                </c:pt>
                <c:pt idx="16">
                  <c:v>0.60060060060058706</c:v>
                </c:pt>
                <c:pt idx="17">
                  <c:v>-0.19920318725099584</c:v>
                </c:pt>
                <c:pt idx="18">
                  <c:v>-0.19880715705764551</c:v>
                </c:pt>
                <c:pt idx="19">
                  <c:v>-0.49652432969214955</c:v>
                </c:pt>
                <c:pt idx="20">
                  <c:v>-0.39761431411530213</c:v>
                </c:pt>
                <c:pt idx="21">
                  <c:v>-0.29821073558647937</c:v>
                </c:pt>
                <c:pt idx="22">
                  <c:v>-0.7928642220019988</c:v>
                </c:pt>
                <c:pt idx="23">
                  <c:v>-0.79365079365079083</c:v>
                </c:pt>
                <c:pt idx="24">
                  <c:v>-0.9930486593843102</c:v>
                </c:pt>
                <c:pt idx="25">
                  <c:v>-0.89552238805971074</c:v>
                </c:pt>
                <c:pt idx="26">
                  <c:v>-0.89552238805971074</c:v>
                </c:pt>
                <c:pt idx="27">
                  <c:v>-1.3930348258706537</c:v>
                </c:pt>
                <c:pt idx="28">
                  <c:v>-1.6915422885572129</c:v>
                </c:pt>
                <c:pt idx="29">
                  <c:v>-1.4970059880239472</c:v>
                </c:pt>
                <c:pt idx="30">
                  <c:v>-1.5936254980079778</c:v>
                </c:pt>
                <c:pt idx="31">
                  <c:v>-1.4970059880239472</c:v>
                </c:pt>
                <c:pt idx="32">
                  <c:v>-1.2974051896207595</c:v>
                </c:pt>
                <c:pt idx="33">
                  <c:v>-1.395812562313048</c:v>
                </c:pt>
                <c:pt idx="34">
                  <c:v>-0.99900099900099848</c:v>
                </c:pt>
                <c:pt idx="35">
                  <c:v>-0.50000000000000044</c:v>
                </c:pt>
                <c:pt idx="36">
                  <c:v>-0.10030090270812808</c:v>
                </c:pt>
                <c:pt idx="37">
                  <c:v>0.40160642570281624</c:v>
                </c:pt>
                <c:pt idx="38">
                  <c:v>1.4056224899598346</c:v>
                </c:pt>
                <c:pt idx="39">
                  <c:v>3.128153380423826</c:v>
                </c:pt>
                <c:pt idx="40">
                  <c:v>4.3522267206477672</c:v>
                </c:pt>
                <c:pt idx="41">
                  <c:v>4.8632218844984809</c:v>
                </c:pt>
                <c:pt idx="42">
                  <c:v>5.4655870445344146</c:v>
                </c:pt>
                <c:pt idx="43">
                  <c:v>6.2816616008105397</c:v>
                </c:pt>
                <c:pt idx="44">
                  <c:v>6.9767441860465018</c:v>
                </c:pt>
                <c:pt idx="45">
                  <c:v>7.3811931243680462</c:v>
                </c:pt>
                <c:pt idx="46">
                  <c:v>8.1735620585267519</c:v>
                </c:pt>
                <c:pt idx="47">
                  <c:v>8.6999999999999993</c:v>
                </c:pt>
                <c:pt idx="48">
                  <c:v>9.9</c:v>
                </c:pt>
                <c:pt idx="49">
                  <c:v>10.5</c:v>
                </c:pt>
                <c:pt idx="50">
                  <c:v>11.3</c:v>
                </c:pt>
                <c:pt idx="51">
                  <c:v>11.5</c:v>
                </c:pt>
                <c:pt idx="52">
                  <c:v>11.3</c:v>
                </c:pt>
                <c:pt idx="53">
                  <c:v>11.6</c:v>
                </c:pt>
                <c:pt idx="54">
                  <c:v>11.2</c:v>
                </c:pt>
              </c:numCache>
            </c:numRef>
          </c:val>
          <c:smooth val="0"/>
          <c:extLst>
            <c:ext xmlns:c16="http://schemas.microsoft.com/office/drawing/2014/chart" uri="{C3380CC4-5D6E-409C-BE32-E72D297353CC}">
              <c16:uniqueId val="{00000001-B88D-454D-978D-DE722B70A0FE}"/>
            </c:ext>
          </c:extLst>
        </c:ser>
        <c:dLbls>
          <c:showLegendKey val="0"/>
          <c:showVal val="0"/>
          <c:showCatName val="0"/>
          <c:showSerName val="0"/>
          <c:showPercent val="0"/>
          <c:showBubbleSize val="0"/>
        </c:dLbls>
        <c:marker val="1"/>
        <c:smooth val="0"/>
        <c:axId val="174697056"/>
        <c:axId val="174697616"/>
      </c:lineChart>
      <c:lineChart>
        <c:grouping val="standard"/>
        <c:varyColors val="0"/>
        <c:ser>
          <c:idx val="2"/>
          <c:order val="2"/>
          <c:spPr>
            <a:ln w="25400">
              <a:solidFill>
                <a:srgbClr val="FFFFFF"/>
              </a:solidFill>
              <a:prstDash val="solid"/>
            </a:ln>
          </c:spPr>
          <c:marker>
            <c:symbol val="none"/>
          </c:marker>
          <c:cat>
            <c:numRef>
              <c:f>'\\NAS-BALBO\Prezzi_Produzione\Users\FRCOPP~1\AppData\Local\Temp\[Coe_LONG e xUe.xlsx]PREZZI IMPORT'!$C$41:$C$100</c:f>
              <c:numCache>
                <c:formatCode>General</c:formatCode>
                <c:ptCount val="60"/>
                <c:pt idx="5">
                  <c:v>2013</c:v>
                </c:pt>
                <c:pt idx="17">
                  <c:v>2014</c:v>
                </c:pt>
                <c:pt idx="29">
                  <c:v>2015</c:v>
                </c:pt>
                <c:pt idx="41">
                  <c:v>2016</c:v>
                </c:pt>
                <c:pt idx="53">
                  <c:v>2017</c:v>
                </c:pt>
              </c:numCache>
            </c:numRef>
          </c:cat>
          <c:val>
            <c:numRef>
              <c:f>'\\NAS-BALBO\Prezzi_Produzione\Users\FRCOPP~1\AppData\Local\Temp\[Coe_LONG e xUe.xlsx]PREZZI IMPORT'!$FU$1:$FU$60</c:f>
              <c:numCache>
                <c:formatCode>General</c:formatCode>
                <c:ptCount val="60"/>
              </c:numCache>
            </c:numRef>
          </c:val>
          <c:smooth val="0"/>
          <c:extLst>
            <c:ext xmlns:c16="http://schemas.microsoft.com/office/drawing/2014/chart" uri="{C3380CC4-5D6E-409C-BE32-E72D297353CC}">
              <c16:uniqueId val="{00000002-B88D-454D-978D-DE722B70A0FE}"/>
            </c:ext>
          </c:extLst>
        </c:ser>
        <c:dLbls>
          <c:showLegendKey val="0"/>
          <c:showVal val="0"/>
          <c:showCatName val="0"/>
          <c:showSerName val="0"/>
          <c:showPercent val="0"/>
          <c:showBubbleSize val="0"/>
        </c:dLbls>
        <c:marker val="1"/>
        <c:smooth val="0"/>
        <c:axId val="174736688"/>
        <c:axId val="174737248"/>
      </c:lineChart>
      <c:catAx>
        <c:axId val="174697056"/>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12700" cap="flat" cmpd="sng" algn="ctr">
            <a:solidFill>
              <a:schemeClr val="tx1"/>
            </a:solidFill>
            <a:round/>
          </a:ln>
          <a:effectLst/>
        </c:spPr>
        <c:txPr>
          <a:bodyPr rot="0" vert="horz"/>
          <a:lstStyle/>
          <a:p>
            <a:pPr>
              <a:defRPr sz="1000" b="1" i="0" u="none" strike="noStrike" baseline="0">
                <a:solidFill>
                  <a:srgbClr val="000000"/>
                </a:solidFill>
                <a:latin typeface="Arial Narrow"/>
                <a:ea typeface="Arial Narrow"/>
                <a:cs typeface="Arial Narrow"/>
              </a:defRPr>
            </a:pPr>
            <a:endParaRPr lang="it-IT"/>
          </a:p>
        </c:txPr>
        <c:crossAx val="174697616"/>
        <c:crosses val="autoZero"/>
        <c:auto val="1"/>
        <c:lblAlgn val="ctr"/>
        <c:lblOffset val="0"/>
        <c:tickMarkSkip val="3"/>
        <c:noMultiLvlLbl val="0"/>
      </c:catAx>
      <c:valAx>
        <c:axId val="174697616"/>
        <c:scaling>
          <c:orientation val="minMax"/>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vert="horz"/>
              <a:lstStyle/>
              <a:p>
                <a:pPr algn="ctr">
                  <a:defRPr sz="900" b="0" i="0" u="none" strike="noStrike" baseline="0">
                    <a:solidFill>
                      <a:srgbClr val="000000"/>
                    </a:solidFill>
                    <a:latin typeface="Arial Narrow"/>
                    <a:ea typeface="Arial Narrow"/>
                    <a:cs typeface="Arial Narrow"/>
                  </a:defRPr>
                </a:pPr>
                <a:r>
                  <a:rPr lang="it-IT"/>
                  <a:t>%</a:t>
                </a:r>
              </a:p>
            </c:rich>
          </c:tx>
          <c:layout>
            <c:manualLayout>
              <c:xMode val="edge"/>
              <c:yMode val="edge"/>
              <c:x val="9.5379650577385698E-3"/>
              <c:y val="5.0320982604447166E-3"/>
            </c:manualLayout>
          </c:layout>
          <c:overlay val="0"/>
          <c:spPr>
            <a:noFill/>
            <a:ln w="25400">
              <a:noFill/>
            </a:ln>
          </c:spPr>
        </c:title>
        <c:numFmt formatCode="0" sourceLinked="0"/>
        <c:majorTickMark val="none"/>
        <c:minorTickMark val="none"/>
        <c:tickLblPos val="nextTo"/>
        <c:spPr>
          <a:ln w="9525">
            <a:noFill/>
          </a:ln>
        </c:spPr>
        <c:txPr>
          <a:bodyPr rot="0" vert="horz"/>
          <a:lstStyle/>
          <a:p>
            <a:pPr>
              <a:defRPr sz="900" b="0" i="0" u="none" strike="noStrike" baseline="0">
                <a:solidFill>
                  <a:srgbClr val="000000"/>
                </a:solidFill>
                <a:latin typeface="Arial Narrow"/>
                <a:ea typeface="Arial Narrow"/>
                <a:cs typeface="Arial Narrow"/>
              </a:defRPr>
            </a:pPr>
            <a:endParaRPr lang="it-IT"/>
          </a:p>
        </c:txPr>
        <c:crossAx val="174697056"/>
        <c:crosses val="autoZero"/>
        <c:crossBetween val="between"/>
        <c:majorUnit val="4"/>
      </c:valAx>
      <c:catAx>
        <c:axId val="174736688"/>
        <c:scaling>
          <c:orientation val="minMax"/>
        </c:scaling>
        <c:delete val="1"/>
        <c:axPos val="t"/>
        <c:numFmt formatCode="General" sourceLinked="1"/>
        <c:majorTickMark val="out"/>
        <c:minorTickMark val="none"/>
        <c:tickLblPos val="nextTo"/>
        <c:crossAx val="174737248"/>
        <c:crosses val="max"/>
        <c:auto val="1"/>
        <c:lblAlgn val="ctr"/>
        <c:lblOffset val="100"/>
        <c:noMultiLvlLbl val="0"/>
      </c:catAx>
      <c:valAx>
        <c:axId val="174737248"/>
        <c:scaling>
          <c:orientation val="minMax"/>
        </c:scaling>
        <c:delete val="1"/>
        <c:axPos val="r"/>
        <c:numFmt formatCode="General" sourceLinked="1"/>
        <c:majorTickMark val="out"/>
        <c:minorTickMark val="none"/>
        <c:tickLblPos val="nextTo"/>
        <c:crossAx val="174736688"/>
        <c:crosses val="max"/>
        <c:crossBetween val="between"/>
      </c:val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2"/>
        <c:delete val="1"/>
      </c:legendEntry>
      <c:layout>
        <c:manualLayout>
          <c:xMode val="edge"/>
          <c:yMode val="edge"/>
          <c:x val="0.37086976487489626"/>
          <c:y val="0"/>
          <c:w val="0.35930283995399454"/>
          <c:h val="9.1890331890331883E-2"/>
        </c:manualLayout>
      </c:layout>
      <c:overlay val="0"/>
      <c:spPr>
        <a:noFill/>
        <a:ln w="25400">
          <a:noFill/>
        </a:ln>
      </c:spPr>
      <c:txPr>
        <a:bodyPr/>
        <a:lstStyle/>
        <a:p>
          <a:pPr>
            <a:defRPr sz="700" b="0" i="0" u="none" strike="noStrike" baseline="0">
              <a:solidFill>
                <a:srgbClr val="000000"/>
              </a:solidFill>
              <a:latin typeface="Arial Narrow"/>
              <a:ea typeface="Arial Narrow"/>
              <a:cs typeface="Arial Narrow"/>
            </a:defRPr>
          </a:pPr>
          <a:endParaRPr lang="it-IT"/>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it-I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000600600600591E-2"/>
          <c:y val="0.11227175925925927"/>
          <c:w val="0.91781336336336339"/>
          <c:h val="0.44112500000000004"/>
        </c:manualLayout>
      </c:layout>
      <c:barChart>
        <c:barDir val="col"/>
        <c:grouping val="clustered"/>
        <c:varyColors val="0"/>
        <c:ser>
          <c:idx val="1"/>
          <c:order val="0"/>
          <c:tx>
            <c:strRef>
              <c:f>'figg. 6 e 7'!$D$42</c:f>
              <c:strCache>
                <c:ptCount val="1"/>
                <c:pt idx="0">
                  <c:v>Contributi alla var. (punti perc. - sinistra)</c:v>
                </c:pt>
              </c:strCache>
            </c:strRef>
          </c:tx>
          <c:spPr>
            <a:solidFill>
              <a:srgbClr val="003B5C"/>
            </a:solidFill>
            <a:ln>
              <a:solidFill>
                <a:schemeClr val="bg1"/>
              </a:solidFill>
            </a:ln>
            <a:effectLst/>
          </c:spPr>
          <c:invertIfNegative val="0"/>
          <c:cat>
            <c:strRef>
              <c:f>'figg. 6 e 7'!$P$44:$P$61</c:f>
              <c:strCache>
                <c:ptCount val="18"/>
                <c:pt idx="0">
                  <c:v>Farmaceutica</c:v>
                </c:pt>
                <c:pt idx="1">
                  <c:v>Raffinazione</c:v>
                </c:pt>
                <c:pt idx="2">
                  <c:v>Macchinari</c:v>
                </c:pt>
                <c:pt idx="3">
                  <c:v>Chimica</c:v>
                </c:pt>
                <c:pt idx="4">
                  <c:v>Metalli</c:v>
                </c:pt>
                <c:pt idx="5">
                  <c:v>Alimentari</c:v>
                </c:pt>
                <c:pt idx="6">
                  <c:v>Apparecchi elettrici</c:v>
                </c:pt>
                <c:pt idx="7">
                  <c:v>Elettronica</c:v>
                </c:pt>
                <c:pt idx="8">
                  <c:v>Abbigliamento</c:v>
                </c:pt>
                <c:pt idx="9">
                  <c:v>Pelletteria</c:v>
                </c:pt>
                <c:pt idx="10">
                  <c:v>Altra manifattura</c:v>
                </c:pt>
                <c:pt idx="11">
                  <c:v>Gomma-plastica</c:v>
                </c:pt>
                <c:pt idx="12">
                  <c:v>Tessili</c:v>
                </c:pt>
                <c:pt idx="13">
                  <c:v>Mobili</c:v>
                </c:pt>
                <c:pt idx="14">
                  <c:v>Minerali non metalliferi</c:v>
                </c:pt>
                <c:pt idx="15">
                  <c:v>Agricoltura</c:v>
                </c:pt>
                <c:pt idx="16">
                  <c:v>Autoveicoli</c:v>
                </c:pt>
                <c:pt idx="17">
                  <c:v>Altri mezzi trasporto</c:v>
                </c:pt>
              </c:strCache>
            </c:strRef>
          </c:cat>
          <c:val>
            <c:numRef>
              <c:f>'figg. 6 e 7'!$D$44:$D$61</c:f>
              <c:numCache>
                <c:formatCode>0.00</c:formatCode>
                <c:ptCount val="18"/>
                <c:pt idx="0">
                  <c:v>4.9254532964813107</c:v>
                </c:pt>
                <c:pt idx="1">
                  <c:v>4.2256278484199283</c:v>
                </c:pt>
                <c:pt idx="2">
                  <c:v>1.5345928633196577</c:v>
                </c:pt>
                <c:pt idx="3">
                  <c:v>1.4532367651889253</c:v>
                </c:pt>
                <c:pt idx="4">
                  <c:v>1.1731220397738873</c:v>
                </c:pt>
                <c:pt idx="5">
                  <c:v>1.0562393238764218</c:v>
                </c:pt>
                <c:pt idx="6">
                  <c:v>0.774938552379839</c:v>
                </c:pt>
                <c:pt idx="7">
                  <c:v>0.67835458425140471</c:v>
                </c:pt>
                <c:pt idx="8">
                  <c:v>0.6507746902146474</c:v>
                </c:pt>
                <c:pt idx="9">
                  <c:v>0.41827399095805057</c:v>
                </c:pt>
                <c:pt idx="10">
                  <c:v>0.30913040178220058</c:v>
                </c:pt>
                <c:pt idx="11">
                  <c:v>0.29985251496120741</c:v>
                </c:pt>
                <c:pt idx="12">
                  <c:v>0.25249619557463598</c:v>
                </c:pt>
                <c:pt idx="13">
                  <c:v>0.24743279016862799</c:v>
                </c:pt>
                <c:pt idx="14">
                  <c:v>0.23967156280367857</c:v>
                </c:pt>
                <c:pt idx="15">
                  <c:v>2.3946515606553222E-2</c:v>
                </c:pt>
                <c:pt idx="16">
                  <c:v>-8.8965062781666854E-2</c:v>
                </c:pt>
                <c:pt idx="17">
                  <c:v>-1.6597255727727593</c:v>
                </c:pt>
              </c:numCache>
            </c:numRef>
          </c:val>
          <c:extLst>
            <c:ext xmlns:c16="http://schemas.microsoft.com/office/drawing/2014/chart" uri="{C3380CC4-5D6E-409C-BE32-E72D297353CC}">
              <c16:uniqueId val="{00000000-6191-4A95-870F-BE2070AA7DBC}"/>
            </c:ext>
          </c:extLst>
        </c:ser>
        <c:dLbls>
          <c:showLegendKey val="0"/>
          <c:showVal val="0"/>
          <c:showCatName val="0"/>
          <c:showSerName val="0"/>
          <c:showPercent val="0"/>
          <c:showBubbleSize val="0"/>
        </c:dLbls>
        <c:gapWidth val="0"/>
        <c:axId val="174741168"/>
        <c:axId val="174741728"/>
      </c:barChart>
      <c:lineChart>
        <c:grouping val="standard"/>
        <c:varyColors val="0"/>
        <c:ser>
          <c:idx val="0"/>
          <c:order val="1"/>
          <c:tx>
            <c:strRef>
              <c:f>'figg. 6 e 7'!$B$42</c:f>
              <c:strCache>
                <c:ptCount val="1"/>
                <c:pt idx="0">
                  <c:v>Variazione (%, scala destra)</c:v>
                </c:pt>
              </c:strCache>
            </c:strRef>
          </c:tx>
          <c:spPr>
            <a:ln w="28575" cap="rnd">
              <a:noFill/>
              <a:round/>
            </a:ln>
            <a:effectLst/>
          </c:spPr>
          <c:marker>
            <c:symbol val="diamond"/>
            <c:size val="6"/>
            <c:spPr>
              <a:solidFill>
                <a:schemeClr val="bg1"/>
              </a:solidFill>
              <a:ln w="9525">
                <a:solidFill>
                  <a:schemeClr val="tx1"/>
                </a:solidFill>
              </a:ln>
              <a:effectLst/>
            </c:spPr>
          </c:marker>
          <c:dLbls>
            <c:dLbl>
              <c:idx val="0"/>
              <c:layout>
                <c:manualLayout>
                  <c:x val="-3.2402151419221509E-2"/>
                  <c:y val="-5.4741141117279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91-4A95-870F-BE2070AA7DBC}"/>
                </c:ext>
              </c:extLst>
            </c:dLbl>
            <c:dLbl>
              <c:idx val="1"/>
              <c:layout>
                <c:manualLayout>
                  <c:x val="-3.0498878540650639E-2"/>
                  <c:y val="-4.8049799724779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91-4A95-870F-BE2070AA7DBC}"/>
                </c:ext>
              </c:extLst>
            </c:dLbl>
            <c:dLbl>
              <c:idx val="2"/>
              <c:layout>
                <c:manualLayout>
                  <c:x val="-2.8620432260998745E-2"/>
                  <c:y val="-5.3531634094102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91-4A95-870F-BE2070AA7DBC}"/>
                </c:ext>
              </c:extLst>
            </c:dLbl>
            <c:dLbl>
              <c:idx val="3"/>
              <c:layout>
                <c:manualLayout>
                  <c:x val="-3.0511590955759782E-2"/>
                  <c:y val="-4.9673762681990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91-4A95-870F-BE2070AA7DBC}"/>
                </c:ext>
              </c:extLst>
            </c:dLbl>
            <c:dLbl>
              <c:idx val="4"/>
              <c:layout>
                <c:manualLayout>
                  <c:x val="-3.4313663663663667E-2"/>
                  <c:y val="-4.9844675925925924E-2"/>
                </c:manualLayout>
              </c:layout>
              <c:spPr>
                <a:noFill/>
                <a:ln>
                  <a:noFill/>
                </a:ln>
                <a:effectLst/>
              </c:spPr>
              <c:txPr>
                <a:bodyPr wrap="square" lIns="38100" tIns="19050" rIns="38100" bIns="19050" anchor="ctr">
                  <a:noAutofit/>
                </a:bodyPr>
                <a:lstStyle/>
                <a:p>
                  <a:pPr>
                    <a:defRPr/>
                  </a:pPr>
                  <a:endParaRPr lang="it-IT"/>
                </a:p>
              </c:txPr>
              <c:showLegendKey val="0"/>
              <c:showVal val="1"/>
              <c:showCatName val="0"/>
              <c:showSerName val="0"/>
              <c:showPercent val="0"/>
              <c:showBubbleSize val="0"/>
              <c:extLst>
                <c:ext xmlns:c15="http://schemas.microsoft.com/office/drawing/2012/chart" uri="{CE6537A1-D6FC-4f65-9D91-7224C49458BB}">
                  <c15:layout>
                    <c:manualLayout>
                      <c:w val="5.484069069069069E-2"/>
                      <c:h val="6.4299999999999982E-2"/>
                    </c:manualLayout>
                  </c15:layout>
                </c:ext>
                <c:ext xmlns:c16="http://schemas.microsoft.com/office/drawing/2014/chart" uri="{C3380CC4-5D6E-409C-BE32-E72D297353CC}">
                  <c16:uniqueId val="{00000005-6191-4A95-870F-BE2070AA7DBC}"/>
                </c:ext>
              </c:extLst>
            </c:dLbl>
            <c:dLbl>
              <c:idx val="5"/>
              <c:layout>
                <c:manualLayout>
                  <c:x val="-2.867162162162162E-2"/>
                  <c:y val="-6.1760648148148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91-4A95-870F-BE2070AA7DBC}"/>
                </c:ext>
              </c:extLst>
            </c:dLbl>
            <c:dLbl>
              <c:idx val="6"/>
              <c:layout>
                <c:manualLayout>
                  <c:x val="-3.0570217623086534E-2"/>
                  <c:y val="-5.8515940751763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91-4A95-870F-BE2070AA7DBC}"/>
                </c:ext>
              </c:extLst>
            </c:dLbl>
            <c:dLbl>
              <c:idx val="7"/>
              <c:layout>
                <c:manualLayout>
                  <c:x val="-3.0561094595772938E-2"/>
                  <c:y val="-5.3853537232409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91-4A95-870F-BE2070AA7DBC}"/>
                </c:ext>
              </c:extLst>
            </c:dLbl>
            <c:dLbl>
              <c:idx val="8"/>
              <c:layout>
                <c:manualLayout>
                  <c:x val="-3.0611645140559678E-2"/>
                  <c:y val="-4.8030386211529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91-4A95-870F-BE2070AA7DBC}"/>
                </c:ext>
              </c:extLst>
            </c:dLbl>
            <c:dLbl>
              <c:idx val="9"/>
              <c:layout>
                <c:manualLayout>
                  <c:x val="-3.0597138031552812E-2"/>
                  <c:y val="-4.8368091046668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191-4A95-870F-BE2070AA7DBC}"/>
                </c:ext>
              </c:extLst>
            </c:dLbl>
            <c:dLbl>
              <c:idx val="10"/>
              <c:layout>
                <c:manualLayout>
                  <c:x val="-3.2508337474838764E-2"/>
                  <c:y val="-5.8907822833181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191-4A95-870F-BE2070AA7DBC}"/>
                </c:ext>
              </c:extLst>
            </c:dLbl>
            <c:dLbl>
              <c:idx val="11"/>
              <c:layout>
                <c:manualLayout>
                  <c:x val="-2.6779375437550042E-2"/>
                  <c:y val="-5.31045368026033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191-4A95-870F-BE2070AA7DBC}"/>
                </c:ext>
              </c:extLst>
            </c:dLbl>
            <c:dLbl>
              <c:idx val="12"/>
              <c:layout>
                <c:manualLayout>
                  <c:x val="-3.0570068065261649E-2"/>
                  <c:y val="-5.3215148680422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191-4A95-870F-BE2070AA7DBC}"/>
                </c:ext>
              </c:extLst>
            </c:dLbl>
            <c:dLbl>
              <c:idx val="13"/>
              <c:layout>
                <c:manualLayout>
                  <c:x val="-2.8650493383786169E-2"/>
                  <c:y val="-5.7898771621236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191-4A95-870F-BE2070AA7DBC}"/>
                </c:ext>
              </c:extLst>
            </c:dLbl>
            <c:dLbl>
              <c:idx val="14"/>
              <c:layout>
                <c:manualLayout>
                  <c:x val="-3.9101743739546842E-2"/>
                  <c:y val="-4.5529880557231034E-2"/>
                </c:manualLayout>
              </c:layout>
              <c:spPr>
                <a:noFill/>
                <a:ln>
                  <a:noFill/>
                </a:ln>
                <a:effectLst/>
              </c:spPr>
              <c:txPr>
                <a:bodyPr wrap="square" lIns="38100" tIns="19050" rIns="38100" bIns="19050" anchor="ctr">
                  <a:noAutofit/>
                </a:bodyPr>
                <a:lstStyle/>
                <a:p>
                  <a:pPr>
                    <a:defRPr/>
                  </a:pPr>
                  <a:endParaRPr lang="it-IT"/>
                </a:p>
              </c:txPr>
              <c:showLegendKey val="0"/>
              <c:showVal val="1"/>
              <c:showCatName val="0"/>
              <c:showSerName val="0"/>
              <c:showPercent val="0"/>
              <c:showBubbleSize val="0"/>
              <c:extLst>
                <c:ext xmlns:c15="http://schemas.microsoft.com/office/drawing/2012/chart" uri="{CE6537A1-D6FC-4f65-9D91-7224C49458BB}">
                  <c15:layout>
                    <c:manualLayout>
                      <c:w val="5.6916230686408151E-2"/>
                      <c:h val="8.4297402541367319E-2"/>
                    </c:manualLayout>
                  </c15:layout>
                </c:ext>
                <c:ext xmlns:c16="http://schemas.microsoft.com/office/drawing/2014/chart" uri="{C3380CC4-5D6E-409C-BE32-E72D297353CC}">
                  <c16:uniqueId val="{0000000F-6191-4A95-870F-BE2070AA7DBC}"/>
                </c:ext>
              </c:extLst>
            </c:dLbl>
            <c:dLbl>
              <c:idx val="15"/>
              <c:layout>
                <c:manualLayout>
                  <c:x val="-2.8611411411411412E-2"/>
                  <c:y val="-5.3669444444444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191-4A95-870F-BE2070AA7DBC}"/>
                </c:ext>
              </c:extLst>
            </c:dLbl>
            <c:dLbl>
              <c:idx val="16"/>
              <c:layout>
                <c:manualLayout>
                  <c:x val="-3.0620270270270269E-2"/>
                  <c:y val="4.8727314814814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191-4A95-870F-BE2070AA7DBC}"/>
                </c:ext>
              </c:extLst>
            </c:dLbl>
            <c:dLbl>
              <c:idx val="17"/>
              <c:layout>
                <c:manualLayout>
                  <c:x val="-3.4343093093093094E-2"/>
                  <c:y val="4.16763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191-4A95-870F-BE2070AA7DBC}"/>
                </c:ext>
              </c:extLst>
            </c:dLbl>
            <c:dLbl>
              <c:idx val="18"/>
              <c:layout>
                <c:manualLayout>
                  <c:x val="-3.8156504823624024E-2"/>
                  <c:y val="7.658101851851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191-4A95-870F-BE2070AA7DB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'figg. 6 e 7'!$P$44:$P$61</c:f>
              <c:strCache>
                <c:ptCount val="18"/>
                <c:pt idx="0">
                  <c:v>Farmaceutica</c:v>
                </c:pt>
                <c:pt idx="1">
                  <c:v>Raffinazione</c:v>
                </c:pt>
                <c:pt idx="2">
                  <c:v>Macchinari</c:v>
                </c:pt>
                <c:pt idx="3">
                  <c:v>Chimica</c:v>
                </c:pt>
                <c:pt idx="4">
                  <c:v>Metalli</c:v>
                </c:pt>
                <c:pt idx="5">
                  <c:v>Alimentari</c:v>
                </c:pt>
                <c:pt idx="6">
                  <c:v>Apparecchi elettrici</c:v>
                </c:pt>
                <c:pt idx="7">
                  <c:v>Elettronica</c:v>
                </c:pt>
                <c:pt idx="8">
                  <c:v>Abbigliamento</c:v>
                </c:pt>
                <c:pt idx="9">
                  <c:v>Pelletteria</c:v>
                </c:pt>
                <c:pt idx="10">
                  <c:v>Altra manifattura</c:v>
                </c:pt>
                <c:pt idx="11">
                  <c:v>Gomma-plastica</c:v>
                </c:pt>
                <c:pt idx="12">
                  <c:v>Tessili</c:v>
                </c:pt>
                <c:pt idx="13">
                  <c:v>Mobili</c:v>
                </c:pt>
                <c:pt idx="14">
                  <c:v>Minerali non metalliferi</c:v>
                </c:pt>
                <c:pt idx="15">
                  <c:v>Agricoltura</c:v>
                </c:pt>
                <c:pt idx="16">
                  <c:v>Autoveicoli</c:v>
                </c:pt>
                <c:pt idx="17">
                  <c:v>Altri mezzi trasporto</c:v>
                </c:pt>
              </c:strCache>
            </c:strRef>
          </c:cat>
          <c:val>
            <c:numRef>
              <c:f>'figg. 6 e 7'!$B$44:$B$61</c:f>
              <c:numCache>
                <c:formatCode>0.0</c:formatCode>
                <c:ptCount val="18"/>
                <c:pt idx="0">
                  <c:v>91.37964860708945</c:v>
                </c:pt>
                <c:pt idx="1">
                  <c:v>187.67059282624911</c:v>
                </c:pt>
                <c:pt idx="2">
                  <c:v>9.8069014936461656</c:v>
                </c:pt>
                <c:pt idx="3">
                  <c:v>22.162800957008372</c:v>
                </c:pt>
                <c:pt idx="4">
                  <c:v>9.6656293675008129</c:v>
                </c:pt>
                <c:pt idx="5">
                  <c:v>12.903084804738981</c:v>
                </c:pt>
                <c:pt idx="6">
                  <c:v>16.304169862420693</c:v>
                </c:pt>
                <c:pt idx="7">
                  <c:v>23.289377236208878</c:v>
                </c:pt>
                <c:pt idx="8">
                  <c:v>14.174270673731939</c:v>
                </c:pt>
                <c:pt idx="9">
                  <c:v>9.4327305363739242</c:v>
                </c:pt>
                <c:pt idx="10">
                  <c:v>8.0759793683107404</c:v>
                </c:pt>
                <c:pt idx="11">
                  <c:v>8.4435097459290631</c:v>
                </c:pt>
                <c:pt idx="12">
                  <c:v>13.357462720336642</c:v>
                </c:pt>
                <c:pt idx="13">
                  <c:v>11.411423960507634</c:v>
                </c:pt>
                <c:pt idx="14">
                  <c:v>10.866989035681044</c:v>
                </c:pt>
                <c:pt idx="15">
                  <c:v>2.262847357977563</c:v>
                </c:pt>
                <c:pt idx="16">
                  <c:v>-2.2185945284302164</c:v>
                </c:pt>
                <c:pt idx="17">
                  <c:v>-16.651060515900866</c:v>
                </c:pt>
              </c:numCache>
            </c:numRef>
          </c:val>
          <c:smooth val="0"/>
          <c:extLst>
            <c:ext xmlns:c16="http://schemas.microsoft.com/office/drawing/2014/chart" uri="{C3380CC4-5D6E-409C-BE32-E72D297353CC}">
              <c16:uniqueId val="{00000014-6191-4A95-870F-BE2070AA7DBC}"/>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174742848"/>
        <c:axId val="174742288"/>
      </c:lineChart>
      <c:catAx>
        <c:axId val="174741168"/>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174741728"/>
        <c:crosses val="autoZero"/>
        <c:auto val="1"/>
        <c:lblAlgn val="ctr"/>
        <c:lblOffset val="0"/>
        <c:noMultiLvlLbl val="0"/>
      </c:catAx>
      <c:valAx>
        <c:axId val="174741728"/>
        <c:scaling>
          <c:orientation val="minMax"/>
          <c:max val="15"/>
          <c:min val="-15"/>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0.96948843843843846"/>
              <c:y val="3.7319444444444444E-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174741168"/>
        <c:crosses val="autoZero"/>
        <c:crossBetween val="between"/>
        <c:majorUnit val="5"/>
      </c:valAx>
      <c:valAx>
        <c:axId val="174742288"/>
        <c:scaling>
          <c:orientation val="minMax"/>
          <c:max val="400"/>
          <c:min val="-400"/>
        </c:scaling>
        <c:delete val="0"/>
        <c:axPos val="r"/>
        <c:numFmt formatCode="0" sourceLinked="0"/>
        <c:majorTickMark val="out"/>
        <c:minorTickMark val="none"/>
        <c:tickLblPos val="nextTo"/>
        <c:crossAx val="174742848"/>
        <c:crosses val="max"/>
        <c:crossBetween val="between"/>
        <c:majorUnit val="200"/>
      </c:valAx>
      <c:catAx>
        <c:axId val="174742848"/>
        <c:scaling>
          <c:orientation val="minMax"/>
        </c:scaling>
        <c:delete val="1"/>
        <c:axPos val="b"/>
        <c:numFmt formatCode="General" sourceLinked="1"/>
        <c:majorTickMark val="out"/>
        <c:minorTickMark val="none"/>
        <c:tickLblPos val="nextTo"/>
        <c:crossAx val="174742288"/>
        <c:crosses val="autoZero"/>
        <c:auto val="1"/>
        <c:lblAlgn val="ctr"/>
        <c:lblOffset val="100"/>
        <c:noMultiLvlLbl val="0"/>
      </c:catAx>
      <c:spPr>
        <a:solidFill>
          <a:srgbClr val="FFFFFF"/>
        </a:solidFill>
        <a:ln w="9525" cap="flat" cmpd="sng" algn="ctr">
          <a:solidFill>
            <a:srgbClr val="DDDDDD"/>
          </a:solidFill>
          <a:prstDash val="solid"/>
          <a:round/>
          <a:headEnd type="none" w="med" len="med"/>
          <a:tailEnd type="none" w="med" len="med"/>
        </a:ln>
        <a:effectLst/>
      </c:spPr>
    </c:plotArea>
    <c:legend>
      <c:legendPos val="t"/>
      <c:layout>
        <c:manualLayout>
          <c:xMode val="edge"/>
          <c:yMode val="edge"/>
          <c:x val="0.20371775005577228"/>
          <c:y val="5.8431693350473298E-3"/>
          <c:w val="0.54175660660660663"/>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095195195195195E-2"/>
          <c:y val="0.12223055555555555"/>
          <c:w val="0.91971876876876879"/>
          <c:h val="0.4729078703703703"/>
        </c:manualLayout>
      </c:layout>
      <c:barChart>
        <c:barDir val="col"/>
        <c:grouping val="clustered"/>
        <c:varyColors val="0"/>
        <c:ser>
          <c:idx val="1"/>
          <c:order val="0"/>
          <c:tx>
            <c:strRef>
              <c:f>'figg. 6 e 7'!$D$42</c:f>
              <c:strCache>
                <c:ptCount val="1"/>
                <c:pt idx="0">
                  <c:v>Contributi alla var. (punti perc. - sinistra)</c:v>
                </c:pt>
              </c:strCache>
            </c:strRef>
          </c:tx>
          <c:spPr>
            <a:solidFill>
              <a:srgbClr val="D22630"/>
            </a:solidFill>
            <a:ln>
              <a:solidFill>
                <a:schemeClr val="bg1"/>
              </a:solidFill>
            </a:ln>
            <a:effectLst/>
          </c:spPr>
          <c:invertIfNegative val="0"/>
          <c:cat>
            <c:strRef>
              <c:f>'figg. 6 e 7'!$P$72:$P$90</c:f>
              <c:strCache>
                <c:ptCount val="19"/>
                <c:pt idx="0">
                  <c:v>Gas naturale</c:v>
                </c:pt>
                <c:pt idx="1">
                  <c:v>Petrolio greggio</c:v>
                </c:pt>
                <c:pt idx="2">
                  <c:v>Metalli</c:v>
                </c:pt>
                <c:pt idx="3">
                  <c:v>Chimica</c:v>
                </c:pt>
                <c:pt idx="4">
                  <c:v>Raffinazione</c:v>
                </c:pt>
                <c:pt idx="5">
                  <c:v>Alimentari</c:v>
                </c:pt>
                <c:pt idx="6">
                  <c:v>Macchinari</c:v>
                </c:pt>
                <c:pt idx="7">
                  <c:v>Abbigliamento</c:v>
                </c:pt>
                <c:pt idx="8">
                  <c:v>Apparecchi elettrici</c:v>
                </c:pt>
                <c:pt idx="9">
                  <c:v>Elettronica</c:v>
                </c:pt>
                <c:pt idx="10">
                  <c:v>Farmaceutica</c:v>
                </c:pt>
                <c:pt idx="11">
                  <c:v>Agricoltura</c:v>
                </c:pt>
                <c:pt idx="12">
                  <c:v>Pelletteria</c:v>
                </c:pt>
                <c:pt idx="13">
                  <c:v>Carta-stampa</c:v>
                </c:pt>
                <c:pt idx="14">
                  <c:v>Autoveicoli</c:v>
                </c:pt>
                <c:pt idx="15">
                  <c:v>Gomma-plastica</c:v>
                </c:pt>
                <c:pt idx="16">
                  <c:v>Altri mezzi trasporto</c:v>
                </c:pt>
                <c:pt idx="17">
                  <c:v>Altra manifattura</c:v>
                </c:pt>
                <c:pt idx="18">
                  <c:v>Trattamento rifiuti</c:v>
                </c:pt>
              </c:strCache>
            </c:strRef>
          </c:cat>
          <c:val>
            <c:numRef>
              <c:f>'figg. 6 e 7'!$D$72:$D$90</c:f>
              <c:numCache>
                <c:formatCode>0.00</c:formatCode>
                <c:ptCount val="19"/>
                <c:pt idx="0">
                  <c:v>12.395279677710777</c:v>
                </c:pt>
                <c:pt idx="1">
                  <c:v>4.8888434023844356</c:v>
                </c:pt>
                <c:pt idx="2">
                  <c:v>3.9210043833300023</c:v>
                </c:pt>
                <c:pt idx="3">
                  <c:v>3.0063077999037193</c:v>
                </c:pt>
                <c:pt idx="4">
                  <c:v>2.2078908509367019</c:v>
                </c:pt>
                <c:pt idx="5">
                  <c:v>1.5816176325704407</c:v>
                </c:pt>
                <c:pt idx="6">
                  <c:v>1.5030545262086419</c:v>
                </c:pt>
                <c:pt idx="7">
                  <c:v>1.3121769195089528</c:v>
                </c:pt>
                <c:pt idx="8">
                  <c:v>1.2359162833739878</c:v>
                </c:pt>
                <c:pt idx="9">
                  <c:v>1.1973864903825842</c:v>
                </c:pt>
                <c:pt idx="10">
                  <c:v>1.0611551713318381</c:v>
                </c:pt>
                <c:pt idx="11">
                  <c:v>0.89769359786014846</c:v>
                </c:pt>
                <c:pt idx="12">
                  <c:v>0.8377124434782498</c:v>
                </c:pt>
                <c:pt idx="13">
                  <c:v>0.76308616536262308</c:v>
                </c:pt>
                <c:pt idx="14">
                  <c:v>0.58462048570720293</c:v>
                </c:pt>
                <c:pt idx="15">
                  <c:v>0.58404045657206027</c:v>
                </c:pt>
                <c:pt idx="16">
                  <c:v>0.52527836795162519</c:v>
                </c:pt>
                <c:pt idx="17">
                  <c:v>0.11855603615558311</c:v>
                </c:pt>
                <c:pt idx="18">
                  <c:v>-0.25473337184094097</c:v>
                </c:pt>
              </c:numCache>
            </c:numRef>
          </c:val>
          <c:extLst>
            <c:ext xmlns:c16="http://schemas.microsoft.com/office/drawing/2014/chart" uri="{C3380CC4-5D6E-409C-BE32-E72D297353CC}">
              <c16:uniqueId val="{00000000-72C8-4414-BF7C-F892E9DCD129}"/>
            </c:ext>
          </c:extLst>
        </c:ser>
        <c:dLbls>
          <c:showLegendKey val="0"/>
          <c:showVal val="0"/>
          <c:showCatName val="0"/>
          <c:showSerName val="0"/>
          <c:showPercent val="0"/>
          <c:showBubbleSize val="0"/>
        </c:dLbls>
        <c:gapWidth val="0"/>
        <c:axId val="175910384"/>
        <c:axId val="175910944"/>
      </c:barChart>
      <c:lineChart>
        <c:grouping val="standard"/>
        <c:varyColors val="0"/>
        <c:ser>
          <c:idx val="0"/>
          <c:order val="1"/>
          <c:tx>
            <c:strRef>
              <c:f>'figg. 6 e 7'!$B$42</c:f>
              <c:strCache>
                <c:ptCount val="1"/>
                <c:pt idx="0">
                  <c:v>Variazione (%, scala destra)</c:v>
                </c:pt>
              </c:strCache>
            </c:strRef>
          </c:tx>
          <c:spPr>
            <a:ln w="28575" cap="rnd">
              <a:noFill/>
              <a:round/>
            </a:ln>
            <a:effectLst/>
          </c:spPr>
          <c:marker>
            <c:symbol val="diamond"/>
            <c:size val="6"/>
            <c:spPr>
              <a:solidFill>
                <a:schemeClr val="bg1"/>
              </a:solidFill>
              <a:ln w="9525">
                <a:solidFill>
                  <a:schemeClr val="tx1"/>
                </a:solidFill>
              </a:ln>
              <a:effectLst/>
            </c:spPr>
          </c:marker>
          <c:dLbls>
            <c:dLbl>
              <c:idx val="0"/>
              <c:layout>
                <c:manualLayout>
                  <c:x val="-3.0530930930930941E-2"/>
                  <c:y val="-4.81782407407407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C8-4414-BF7C-F892E9DCD129}"/>
                </c:ext>
              </c:extLst>
            </c:dLbl>
            <c:dLbl>
              <c:idx val="1"/>
              <c:layout>
                <c:manualLayout>
                  <c:x val="-3.048706347249041E-2"/>
                  <c:y val="-5.8991707589934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C8-4414-BF7C-F892E9DCD129}"/>
                </c:ext>
              </c:extLst>
            </c:dLbl>
            <c:dLbl>
              <c:idx val="2"/>
              <c:layout>
                <c:manualLayout>
                  <c:x val="-2.4823159088995447E-2"/>
                  <c:y val="-6.2095913000523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C8-4414-BF7C-F892E9DCD129}"/>
                </c:ext>
              </c:extLst>
            </c:dLbl>
            <c:dLbl>
              <c:idx val="3"/>
              <c:layout>
                <c:manualLayout>
                  <c:x val="-3.432762762762763E-2"/>
                  <c:y val="-5.0903703703703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C8-4414-BF7C-F892E9DCD129}"/>
                </c:ext>
              </c:extLst>
            </c:dLbl>
            <c:dLbl>
              <c:idx val="4"/>
              <c:layout>
                <c:manualLayout>
                  <c:x val="-3.6230330330330331E-2"/>
                  <c:y val="-5.20750000000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C8-4414-BF7C-F892E9DCD129}"/>
                </c:ext>
              </c:extLst>
            </c:dLbl>
            <c:dLbl>
              <c:idx val="5"/>
              <c:layout>
                <c:manualLayout>
                  <c:x val="-2.6691741741741777E-2"/>
                  <c:y val="-6.4100000000000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C8-4414-BF7C-F892E9DCD129}"/>
                </c:ext>
              </c:extLst>
            </c:dLbl>
            <c:dLbl>
              <c:idx val="6"/>
              <c:layout>
                <c:manualLayout>
                  <c:x val="-3.4326576576576576E-2"/>
                  <c:y val="-4.9889814814814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C8-4414-BF7C-F892E9DCD129}"/>
                </c:ext>
              </c:extLst>
            </c:dLbl>
            <c:dLbl>
              <c:idx val="7"/>
              <c:layout>
                <c:manualLayout>
                  <c:x val="-3.0544792792868244E-2"/>
                  <c:y val="-5.02021343058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2C8-4414-BF7C-F892E9DCD129}"/>
                </c:ext>
              </c:extLst>
            </c:dLbl>
            <c:dLbl>
              <c:idx val="8"/>
              <c:layout>
                <c:manualLayout>
                  <c:x val="-3.0547185718065323E-2"/>
                  <c:y val="-4.45040535828442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2C8-4414-BF7C-F892E9DCD129}"/>
                </c:ext>
              </c:extLst>
            </c:dLbl>
            <c:dLbl>
              <c:idx val="9"/>
              <c:layout>
                <c:manualLayout>
                  <c:x val="-3.0526397180416311E-2"/>
                  <c:y val="-4.98765945545417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2C8-4414-BF7C-F892E9DCD129}"/>
                </c:ext>
              </c:extLst>
            </c:dLbl>
            <c:dLbl>
              <c:idx val="10"/>
              <c:layout>
                <c:manualLayout>
                  <c:x val="-3.0522060003496661E-2"/>
                  <c:y val="-4.4914042976695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2C8-4414-BF7C-F892E9DCD129}"/>
                </c:ext>
              </c:extLst>
            </c:dLbl>
            <c:dLbl>
              <c:idx val="11"/>
              <c:layout>
                <c:manualLayout>
                  <c:x val="-3.0514282996606454E-2"/>
                  <c:y val="-4.70606984076248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2C8-4414-BF7C-F892E9DCD129}"/>
                </c:ext>
              </c:extLst>
            </c:dLbl>
            <c:dLbl>
              <c:idx val="12"/>
              <c:layout>
                <c:manualLayout>
                  <c:x val="-3.0554663609305907E-2"/>
                  <c:y val="-5.283914250014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2C8-4414-BF7C-F892E9DCD129}"/>
                </c:ext>
              </c:extLst>
            </c:dLbl>
            <c:dLbl>
              <c:idx val="13"/>
              <c:layout>
                <c:manualLayout>
                  <c:x val="-3.2427875365089343E-2"/>
                  <c:y val="-6.3081158830708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2C8-4414-BF7C-F892E9DCD129}"/>
                </c:ext>
              </c:extLst>
            </c:dLbl>
            <c:dLbl>
              <c:idx val="14"/>
              <c:layout>
                <c:manualLayout>
                  <c:x val="-3.0535370649905025E-2"/>
                  <c:y val="-4.9747195908641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2C8-4414-BF7C-F892E9DCD129}"/>
                </c:ext>
              </c:extLst>
            </c:dLbl>
            <c:dLbl>
              <c:idx val="15"/>
              <c:layout>
                <c:manualLayout>
                  <c:x val="-3.0549877758911888E-2"/>
                  <c:y val="-6.2645289707677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2C8-4414-BF7C-F892E9DCD129}"/>
                </c:ext>
              </c:extLst>
            </c:dLbl>
            <c:dLbl>
              <c:idx val="16"/>
              <c:layout>
                <c:manualLayout>
                  <c:x val="-2.6745945945945947E-2"/>
                  <c:y val="-5.2529629629629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2C8-4414-BF7C-F892E9DCD129}"/>
                </c:ext>
              </c:extLst>
            </c:dLbl>
            <c:dLbl>
              <c:idx val="17"/>
              <c:layout>
                <c:manualLayout>
                  <c:x val="-2.6756906906906908E-2"/>
                  <c:y val="-5.1489814814814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2C8-4414-BF7C-F892E9DCD129}"/>
                </c:ext>
              </c:extLst>
            </c:dLbl>
            <c:dLbl>
              <c:idx val="18"/>
              <c:layout>
                <c:manualLayout>
                  <c:x val="-3.4387387387387384E-2"/>
                  <c:y val="4.99768518518518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2C8-4414-BF7C-F892E9DCD12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'figg. 6 e 7'!$P$72:$P$90</c:f>
              <c:strCache>
                <c:ptCount val="19"/>
                <c:pt idx="0">
                  <c:v>Gas naturale</c:v>
                </c:pt>
                <c:pt idx="1">
                  <c:v>Petrolio greggio</c:v>
                </c:pt>
                <c:pt idx="2">
                  <c:v>Metalli</c:v>
                </c:pt>
                <c:pt idx="3">
                  <c:v>Chimica</c:v>
                </c:pt>
                <c:pt idx="4">
                  <c:v>Raffinazione</c:v>
                </c:pt>
                <c:pt idx="5">
                  <c:v>Alimentari</c:v>
                </c:pt>
                <c:pt idx="6">
                  <c:v>Macchinari</c:v>
                </c:pt>
                <c:pt idx="7">
                  <c:v>Abbigliamento</c:v>
                </c:pt>
                <c:pt idx="8">
                  <c:v>Apparecchi elettrici</c:v>
                </c:pt>
                <c:pt idx="9">
                  <c:v>Elettronica</c:v>
                </c:pt>
                <c:pt idx="10">
                  <c:v>Farmaceutica</c:v>
                </c:pt>
                <c:pt idx="11">
                  <c:v>Agricoltura</c:v>
                </c:pt>
                <c:pt idx="12">
                  <c:v>Pelletteria</c:v>
                </c:pt>
                <c:pt idx="13">
                  <c:v>Carta-stampa</c:v>
                </c:pt>
                <c:pt idx="14">
                  <c:v>Autoveicoli</c:v>
                </c:pt>
                <c:pt idx="15">
                  <c:v>Gomma-plastica</c:v>
                </c:pt>
                <c:pt idx="16">
                  <c:v>Altri mezzi trasporto</c:v>
                </c:pt>
                <c:pt idx="17">
                  <c:v>Altra manifattura</c:v>
                </c:pt>
                <c:pt idx="18">
                  <c:v>Trattamento rifiuti</c:v>
                </c:pt>
              </c:strCache>
            </c:strRef>
          </c:cat>
          <c:val>
            <c:numRef>
              <c:f>'figg. 6 e 7'!$B$72:$B$90</c:f>
              <c:numCache>
                <c:formatCode>0.0</c:formatCode>
                <c:ptCount val="19"/>
                <c:pt idx="0">
                  <c:v>391.96012825903284</c:v>
                </c:pt>
                <c:pt idx="1">
                  <c:v>81.999093515535179</c:v>
                </c:pt>
                <c:pt idx="2">
                  <c:v>28.172158677055592</c:v>
                </c:pt>
                <c:pt idx="3">
                  <c:v>29.586511903532312</c:v>
                </c:pt>
                <c:pt idx="4">
                  <c:v>113.08301837266373</c:v>
                </c:pt>
                <c:pt idx="5">
                  <c:v>23.16333196359794</c:v>
                </c:pt>
                <c:pt idx="6">
                  <c:v>20.147131867830566</c:v>
                </c:pt>
                <c:pt idx="7">
                  <c:v>45.098188060994715</c:v>
                </c:pt>
                <c:pt idx="8">
                  <c:v>26.224753072048841</c:v>
                </c:pt>
                <c:pt idx="9">
                  <c:v>19.249862947457828</c:v>
                </c:pt>
                <c:pt idx="10">
                  <c:v>17.4480225048965</c:v>
                </c:pt>
                <c:pt idx="11">
                  <c:v>28.480667273628654</c:v>
                </c:pt>
                <c:pt idx="12">
                  <c:v>38.340397261258715</c:v>
                </c:pt>
                <c:pt idx="13">
                  <c:v>47.93099331427382</c:v>
                </c:pt>
                <c:pt idx="14">
                  <c:v>11.975493015617246</c:v>
                </c:pt>
                <c:pt idx="15">
                  <c:v>20.665453055516352</c:v>
                </c:pt>
                <c:pt idx="16">
                  <c:v>14.841416373678442</c:v>
                </c:pt>
                <c:pt idx="17">
                  <c:v>3.8911135480319672</c:v>
                </c:pt>
                <c:pt idx="18">
                  <c:v>-12.323484679974015</c:v>
                </c:pt>
              </c:numCache>
            </c:numRef>
          </c:val>
          <c:smooth val="0"/>
          <c:extLst>
            <c:ext xmlns:c16="http://schemas.microsoft.com/office/drawing/2014/chart" uri="{C3380CC4-5D6E-409C-BE32-E72D297353CC}">
              <c16:uniqueId val="{00000014-72C8-4414-BF7C-F892E9DCD129}"/>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175912064"/>
        <c:axId val="175911504"/>
      </c:lineChart>
      <c:catAx>
        <c:axId val="175910384"/>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175910944"/>
        <c:crosses val="autoZero"/>
        <c:auto val="1"/>
        <c:lblAlgn val="ctr"/>
        <c:lblOffset val="0"/>
        <c:noMultiLvlLbl val="0"/>
      </c:catAx>
      <c:valAx>
        <c:axId val="175910944"/>
        <c:scaling>
          <c:orientation val="minMax"/>
          <c:max val="15"/>
          <c:min val="-15"/>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0.97038048048048053"/>
              <c:y val="5.0319444444444448E-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175910384"/>
        <c:crosses val="autoZero"/>
        <c:crossBetween val="between"/>
        <c:majorUnit val="5"/>
      </c:valAx>
      <c:valAx>
        <c:axId val="175911504"/>
        <c:scaling>
          <c:orientation val="minMax"/>
          <c:max val="400"/>
          <c:min val="-4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175912064"/>
        <c:crosses val="max"/>
        <c:crossBetween val="between"/>
        <c:majorUnit val="200"/>
      </c:valAx>
      <c:catAx>
        <c:axId val="175912064"/>
        <c:scaling>
          <c:orientation val="minMax"/>
        </c:scaling>
        <c:delete val="1"/>
        <c:axPos val="b"/>
        <c:numFmt formatCode="General" sourceLinked="1"/>
        <c:majorTickMark val="out"/>
        <c:minorTickMark val="none"/>
        <c:tickLblPos val="nextTo"/>
        <c:crossAx val="175911504"/>
        <c:crosses val="autoZero"/>
        <c:auto val="1"/>
        <c:lblAlgn val="ctr"/>
        <c:lblOffset val="100"/>
        <c:noMultiLvlLbl val="0"/>
      </c:catAx>
      <c:spPr>
        <a:solidFill>
          <a:srgbClr val="FFFFFF"/>
        </a:solidFill>
        <a:ln w="9525" cap="flat" cmpd="sng" algn="ctr">
          <a:solidFill>
            <a:srgbClr val="DDDDDD"/>
          </a:solidFill>
          <a:prstDash val="solid"/>
          <a:round/>
          <a:headEnd type="none" w="med" len="med"/>
          <a:tailEnd type="none" w="med" len="med"/>
        </a:ln>
        <a:effectLst/>
      </c:spPr>
    </c:plotArea>
    <c:legend>
      <c:legendPos val="t"/>
      <c:layout>
        <c:manualLayout>
          <c:xMode val="edge"/>
          <c:yMode val="edge"/>
          <c:x val="0.29540800849385712"/>
          <c:y val="0"/>
          <c:w val="0.50720461095100866"/>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651638137696099E-2"/>
          <c:y val="0.1005125"/>
          <c:w val="0.89947552894285987"/>
          <c:h val="0.55515925925925924"/>
        </c:manualLayout>
      </c:layout>
      <c:barChart>
        <c:barDir val="col"/>
        <c:grouping val="clustered"/>
        <c:varyColors val="0"/>
        <c:ser>
          <c:idx val="0"/>
          <c:order val="0"/>
          <c:tx>
            <c:strRef>
              <c:f>'figg. 8 e 9'!$D$36</c:f>
              <c:strCache>
                <c:ptCount val="1"/>
                <c:pt idx="0">
                  <c:v>Contributi alla var. (punti perc. - sinistra)</c:v>
                </c:pt>
              </c:strCache>
            </c:strRef>
          </c:tx>
          <c:spPr>
            <a:solidFill>
              <a:srgbClr val="003B5C"/>
            </a:solidFill>
            <a:ln w="9525" cap="flat" cmpd="sng" algn="ctr">
              <a:solidFill>
                <a:srgbClr val="FFFFFF"/>
              </a:solidFill>
              <a:prstDash val="solid"/>
              <a:round/>
              <a:headEnd type="none" w="med" len="med"/>
              <a:tailEnd type="none" w="med" len="med"/>
            </a:ln>
            <a:effectLst/>
          </c:spPr>
          <c:invertIfNegative val="0"/>
          <c:dLbls>
            <c:dLbl>
              <c:idx val="37"/>
              <c:tx>
                <c:rich>
                  <a:bodyPr/>
                  <a:lstStyle/>
                  <a:p>
                    <a:r>
                      <a:t>-24,61153308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246-47E1-B030-F41AAB58FFF0}"/>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0000"/>
                    </a:solidFill>
                    <a:latin typeface="Arial Narrow" panose="020B0606020202030204" pitchFamily="34" charset="0"/>
                    <a:ea typeface="+mn-ea"/>
                    <a:cs typeface="+mn-cs"/>
                  </a:defRPr>
                </a:pPr>
                <a:endParaRPr lang="it-I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'figg. 8 e 9'!$A$38:$A$56</c:f>
              <c:strCache>
                <c:ptCount val="19"/>
                <c:pt idx="0">
                  <c:v>Belgio</c:v>
                </c:pt>
                <c:pt idx="1">
                  <c:v>Stati Uniti</c:v>
                </c:pt>
                <c:pt idx="2">
                  <c:v>Germania</c:v>
                </c:pt>
                <c:pt idx="3">
                  <c:v>Francia</c:v>
                </c:pt>
                <c:pt idx="4">
                  <c:v>Spagna</c:v>
                </c:pt>
                <c:pt idx="5">
                  <c:v>Paesi Bassi</c:v>
                </c:pt>
                <c:pt idx="6">
                  <c:v>Cina</c:v>
                </c:pt>
                <c:pt idx="7">
                  <c:v>Turchia</c:v>
                </c:pt>
                <c:pt idx="8">
                  <c:v>OPEC</c:v>
                </c:pt>
                <c:pt idx="9">
                  <c:v>Regno Unito</c:v>
                </c:pt>
                <c:pt idx="10">
                  <c:v>Austria</c:v>
                </c:pt>
                <c:pt idx="11">
                  <c:v>Polonia</c:v>
                </c:pt>
                <c:pt idx="12">
                  <c:v>ASEAN</c:v>
                </c:pt>
                <c:pt idx="13">
                  <c:v>MERCOSUR</c:v>
                </c:pt>
                <c:pt idx="14">
                  <c:v>Repubblica ceca</c:v>
                </c:pt>
                <c:pt idx="15">
                  <c:v>Romania</c:v>
                </c:pt>
                <c:pt idx="16">
                  <c:v>Giappone</c:v>
                </c:pt>
                <c:pt idx="17">
                  <c:v>Russia</c:v>
                </c:pt>
                <c:pt idx="18">
                  <c:v>Svizzera</c:v>
                </c:pt>
              </c:strCache>
            </c:strRef>
          </c:cat>
          <c:val>
            <c:numRef>
              <c:f>'figg. 8 e 9'!$D$38:$D$56</c:f>
              <c:numCache>
                <c:formatCode>0.00</c:formatCode>
                <c:ptCount val="19"/>
                <c:pt idx="0">
                  <c:v>3.5178617484358004</c:v>
                </c:pt>
                <c:pt idx="1">
                  <c:v>2.5022840660663013</c:v>
                </c:pt>
                <c:pt idx="2">
                  <c:v>1.4405740928738617</c:v>
                </c:pt>
                <c:pt idx="3">
                  <c:v>1.0930792037234791</c:v>
                </c:pt>
                <c:pt idx="4">
                  <c:v>0.84352893509437954</c:v>
                </c:pt>
                <c:pt idx="5">
                  <c:v>0.6727061089737798</c:v>
                </c:pt>
                <c:pt idx="6">
                  <c:v>0.5123682874175981</c:v>
                </c:pt>
                <c:pt idx="7">
                  <c:v>0.50565689471420994</c:v>
                </c:pt>
                <c:pt idx="8">
                  <c:v>0.4580983845551721</c:v>
                </c:pt>
                <c:pt idx="9">
                  <c:v>0.40136222343519934</c:v>
                </c:pt>
                <c:pt idx="10">
                  <c:v>0.38057957263783004</c:v>
                </c:pt>
                <c:pt idx="11">
                  <c:v>0.3648412951728281</c:v>
                </c:pt>
                <c:pt idx="12">
                  <c:v>0.33702140346168646</c:v>
                </c:pt>
                <c:pt idx="13">
                  <c:v>0.21347601223277196</c:v>
                </c:pt>
                <c:pt idx="14">
                  <c:v>0.17282505253332517</c:v>
                </c:pt>
                <c:pt idx="15">
                  <c:v>0.16187421540654118</c:v>
                </c:pt>
                <c:pt idx="16">
                  <c:v>-0.29833921806955827</c:v>
                </c:pt>
                <c:pt idx="17">
                  <c:v>-0.59835234805257576</c:v>
                </c:pt>
                <c:pt idx="18">
                  <c:v>-0.73374185684983528</c:v>
                </c:pt>
              </c:numCache>
            </c:numRef>
          </c:val>
          <c:extLst>
            <c:ext xmlns:c16="http://schemas.microsoft.com/office/drawing/2014/chart" uri="{C3380CC4-5D6E-409C-BE32-E72D297353CC}">
              <c16:uniqueId val="{00000001-6246-47E1-B030-F41AAB58FFF0}"/>
            </c:ext>
          </c:extLst>
        </c:ser>
        <c:dLbls>
          <c:showLegendKey val="0"/>
          <c:showVal val="0"/>
          <c:showCatName val="0"/>
          <c:showSerName val="0"/>
          <c:showPercent val="0"/>
          <c:showBubbleSize val="0"/>
        </c:dLbls>
        <c:gapWidth val="0"/>
        <c:axId val="175914864"/>
        <c:axId val="175915424"/>
      </c:barChart>
      <c:lineChart>
        <c:grouping val="standard"/>
        <c:varyColors val="0"/>
        <c:ser>
          <c:idx val="1"/>
          <c:order val="1"/>
          <c:tx>
            <c:strRef>
              <c:f>'figg. 8 e 9'!$B$36</c:f>
              <c:strCache>
                <c:ptCount val="1"/>
                <c:pt idx="0">
                  <c:v>Variazioni percentuali (scala destra)</c:v>
                </c:pt>
              </c:strCache>
            </c:strRef>
          </c:tx>
          <c:spPr>
            <a:ln w="25400" cap="rnd">
              <a:noFill/>
              <a:round/>
            </a:ln>
            <a:effectLst/>
            <a:extLst>
              <a:ext uri="{91240B29-F687-4F45-9708-019B960494DF}">
                <a14:hiddenLine xmlns:a14="http://schemas.microsoft.com/office/drawing/2010/main" w="9525" cap="flat" cmpd="sng" algn="ctr">
                  <a:solidFill>
                    <a:srgbClr val="FFFFFF"/>
                  </a:solidFill>
                  <a:prstDash val="solid"/>
                  <a:round/>
                  <a:headEnd type="none" w="med" len="med"/>
                  <a:tailEnd type="none" w="med" len="med"/>
                </a14:hiddenLine>
              </a:ext>
            </a:extLst>
          </c:spPr>
          <c:marker>
            <c:symbol val="diamond"/>
            <c:size val="6"/>
            <c:spPr>
              <a:solidFill>
                <a:srgbClr val="FFFFFF"/>
              </a:solidFill>
              <a:ln w="3175">
                <a:solidFill>
                  <a:srgbClr val="141E28"/>
                </a:solidFill>
                <a:prstDash val="solid"/>
              </a:ln>
              <a:effectLst/>
            </c:spPr>
          </c:marker>
          <c:dLbls>
            <c:dLbl>
              <c:idx val="0"/>
              <c:layout>
                <c:manualLayout>
                  <c:x val="-3.1023573573573573E-2"/>
                  <c:y val="-3.99509259259259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46-47E1-B030-F41AAB58FFF0}"/>
                </c:ext>
              </c:extLst>
            </c:dLbl>
            <c:dLbl>
              <c:idx val="1"/>
              <c:layout>
                <c:manualLayout>
                  <c:x val="-2.686171171171171E-2"/>
                  <c:y val="-6.1094907407407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46-47E1-B030-F41AAB58FFF0}"/>
                </c:ext>
              </c:extLst>
            </c:dLbl>
            <c:dLbl>
              <c:idx val="2"/>
              <c:layout>
                <c:manualLayout>
                  <c:x val="-2.6493393393393412E-2"/>
                  <c:y val="-6.5830555555555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46-47E1-B030-F41AAB58FFF0}"/>
                </c:ext>
              </c:extLst>
            </c:dLbl>
            <c:dLbl>
              <c:idx val="3"/>
              <c:layout>
                <c:manualLayout>
                  <c:x val="-2.9933333333333333E-2"/>
                  <c:y val="-4.657824074074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46-47E1-B030-F41AAB58FFF0}"/>
                </c:ext>
              </c:extLst>
            </c:dLbl>
            <c:dLbl>
              <c:idx val="4"/>
              <c:layout>
                <c:manualLayout>
                  <c:x val="-3.0637387387387353E-2"/>
                  <c:y val="-6.207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246-47E1-B030-F41AAB58FFF0}"/>
                </c:ext>
              </c:extLst>
            </c:dLbl>
            <c:dLbl>
              <c:idx val="5"/>
              <c:layout>
                <c:manualLayout>
                  <c:x val="-3.2396246246246249E-2"/>
                  <c:y val="-6.4987037037037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46-47E1-B030-F41AAB58FFF0}"/>
                </c:ext>
              </c:extLst>
            </c:dLbl>
            <c:dLbl>
              <c:idx val="6"/>
              <c:layout>
                <c:manualLayout>
                  <c:x val="-2.9084534534534533E-2"/>
                  <c:y val="-5.9079629629629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246-47E1-B030-F41AAB58FFF0}"/>
                </c:ext>
              </c:extLst>
            </c:dLbl>
            <c:dLbl>
              <c:idx val="7"/>
              <c:layout>
                <c:manualLayout>
                  <c:x val="-3.064634747484625E-2"/>
                  <c:y val="-5.5542674018568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246-47E1-B030-F41AAB58FFF0}"/>
                </c:ext>
              </c:extLst>
            </c:dLbl>
            <c:dLbl>
              <c:idx val="8"/>
              <c:layout>
                <c:manualLayout>
                  <c:x val="-3.1382831001310424E-2"/>
                  <c:y val="-5.8802017060181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246-47E1-B030-F41AAB58FFF0}"/>
                </c:ext>
              </c:extLst>
            </c:dLbl>
            <c:dLbl>
              <c:idx val="9"/>
              <c:layout>
                <c:manualLayout>
                  <c:x val="-3.0662683800524771E-2"/>
                  <c:y val="-5.887176587021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246-47E1-B030-F41AAB58FFF0}"/>
                </c:ext>
              </c:extLst>
            </c:dLbl>
            <c:dLbl>
              <c:idx val="10"/>
              <c:layout>
                <c:manualLayout>
                  <c:x val="-3.329987633851085E-2"/>
                  <c:y val="-4.891512323860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246-47E1-B030-F41AAB58FFF0}"/>
                </c:ext>
              </c:extLst>
            </c:dLbl>
            <c:dLbl>
              <c:idx val="11"/>
              <c:layout>
                <c:manualLayout>
                  <c:x val="-3.0512509503919812E-2"/>
                  <c:y val="-5.5264150054196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246-47E1-B030-F41AAB58FFF0}"/>
                </c:ext>
              </c:extLst>
            </c:dLbl>
            <c:dLbl>
              <c:idx val="12"/>
              <c:layout>
                <c:manualLayout>
                  <c:x val="-3.0451210813988151E-2"/>
                  <c:y val="-5.6203873886611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246-47E1-B030-F41AAB58FFF0}"/>
                </c:ext>
              </c:extLst>
            </c:dLbl>
            <c:dLbl>
              <c:idx val="13"/>
              <c:layout>
                <c:manualLayout>
                  <c:x val="-3.0521921921921921E-2"/>
                  <c:y val="-5.28939814814814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246-47E1-B030-F41AAB58FFF0}"/>
                </c:ext>
              </c:extLst>
            </c:dLbl>
            <c:dLbl>
              <c:idx val="14"/>
              <c:layout>
                <c:manualLayout>
                  <c:x val="-2.6693993993993994E-2"/>
                  <c:y val="-5.8961574074074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246-47E1-B030-F41AAB58FFF0}"/>
                </c:ext>
              </c:extLst>
            </c:dLbl>
            <c:dLbl>
              <c:idx val="15"/>
              <c:layout>
                <c:manualLayout>
                  <c:x val="-2.6690840840840842E-2"/>
                  <c:y val="-5.7537962962962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246-47E1-B030-F41AAB58FFF0}"/>
                </c:ext>
              </c:extLst>
            </c:dLbl>
            <c:dLbl>
              <c:idx val="16"/>
              <c:layout>
                <c:manualLayout>
                  <c:x val="-3.2434684684684821E-2"/>
                  <c:y val="6.0467129629629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246-47E1-B030-F41AAB58FFF0}"/>
                </c:ext>
              </c:extLst>
            </c:dLbl>
            <c:dLbl>
              <c:idx val="17"/>
              <c:layout>
                <c:manualLayout>
                  <c:x val="-3.0472822822822824E-2"/>
                  <c:y val="4.5121296296296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246-47E1-B030-F41AAB58FFF0}"/>
                </c:ext>
              </c:extLst>
            </c:dLbl>
            <c:dLbl>
              <c:idx val="18"/>
              <c:layout>
                <c:manualLayout>
                  <c:x val="-3.4286786786786788E-2"/>
                  <c:y val="5.749768518518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246-47E1-B030-F41AAB58FFF0}"/>
                </c:ext>
              </c:extLst>
            </c:dLbl>
            <c:dLbl>
              <c:idx val="19"/>
              <c:layout>
                <c:manualLayout>
                  <c:x val="-2.8581180448681003E-2"/>
                  <c:y val="5.2916516437468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246-47E1-B030-F41AAB58FFF0}"/>
                </c:ext>
              </c:extLst>
            </c:dLbl>
            <c:numFmt formatCode="0.0" sourceLinked="0"/>
            <c:spPr>
              <a:noFill/>
              <a:ln>
                <a:noFill/>
              </a:ln>
              <a:effectLst/>
            </c:spPr>
            <c:txPr>
              <a:bodyPr/>
              <a:lstStyle/>
              <a:p>
                <a:pPr>
                  <a:defRPr sz="900"/>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'figg. 8 e 9'!$A$38:$A$56</c:f>
              <c:strCache>
                <c:ptCount val="19"/>
                <c:pt idx="0">
                  <c:v>Belgio</c:v>
                </c:pt>
                <c:pt idx="1">
                  <c:v>Stati Uniti</c:v>
                </c:pt>
                <c:pt idx="2">
                  <c:v>Germania</c:v>
                </c:pt>
                <c:pt idx="3">
                  <c:v>Francia</c:v>
                </c:pt>
                <c:pt idx="4">
                  <c:v>Spagna</c:v>
                </c:pt>
                <c:pt idx="5">
                  <c:v>Paesi Bassi</c:v>
                </c:pt>
                <c:pt idx="6">
                  <c:v>Cina</c:v>
                </c:pt>
                <c:pt idx="7">
                  <c:v>Turchia</c:v>
                </c:pt>
                <c:pt idx="8">
                  <c:v>OPEC</c:v>
                </c:pt>
                <c:pt idx="9">
                  <c:v>Regno Unito</c:v>
                </c:pt>
                <c:pt idx="10">
                  <c:v>Austria</c:v>
                </c:pt>
                <c:pt idx="11">
                  <c:v>Polonia</c:v>
                </c:pt>
                <c:pt idx="12">
                  <c:v>ASEAN</c:v>
                </c:pt>
                <c:pt idx="13">
                  <c:v>MERCOSUR</c:v>
                </c:pt>
                <c:pt idx="14">
                  <c:v>Repubblica ceca</c:v>
                </c:pt>
                <c:pt idx="15">
                  <c:v>Romania</c:v>
                </c:pt>
                <c:pt idx="16">
                  <c:v>Giappone</c:v>
                </c:pt>
                <c:pt idx="17">
                  <c:v>Russia</c:v>
                </c:pt>
                <c:pt idx="18">
                  <c:v>Svizzera</c:v>
                </c:pt>
              </c:strCache>
            </c:strRef>
          </c:cat>
          <c:val>
            <c:numRef>
              <c:f>'figg. 8 e 9'!$B$38:$B$56</c:f>
              <c:numCache>
                <c:formatCode>0.0</c:formatCode>
                <c:ptCount val="19"/>
                <c:pt idx="0">
                  <c:v>117.67189820536404</c:v>
                </c:pt>
                <c:pt idx="1">
                  <c:v>22.678090022884405</c:v>
                </c:pt>
                <c:pt idx="2">
                  <c:v>11.513385572573753</c:v>
                </c:pt>
                <c:pt idx="3">
                  <c:v>10.82689964988117</c:v>
                </c:pt>
                <c:pt idx="4">
                  <c:v>18.13083223731104</c:v>
                </c:pt>
                <c:pt idx="5">
                  <c:v>23.355070578022634</c:v>
                </c:pt>
                <c:pt idx="6">
                  <c:v>18.529454926425984</c:v>
                </c:pt>
                <c:pt idx="7">
                  <c:v>27.664905718993751</c:v>
                </c:pt>
                <c:pt idx="8">
                  <c:v>16.763002239681825</c:v>
                </c:pt>
                <c:pt idx="9">
                  <c:v>8.6166921051175933</c:v>
                </c:pt>
                <c:pt idx="10">
                  <c:v>17.946763283427742</c:v>
                </c:pt>
                <c:pt idx="11">
                  <c:v>12.25000636643739</c:v>
                </c:pt>
                <c:pt idx="12">
                  <c:v>24.940943524647949</c:v>
                </c:pt>
                <c:pt idx="13">
                  <c:v>19.036349505855824</c:v>
                </c:pt>
                <c:pt idx="14">
                  <c:v>13.607899236126769</c:v>
                </c:pt>
                <c:pt idx="15">
                  <c:v>10.058623863316356</c:v>
                </c:pt>
                <c:pt idx="16">
                  <c:v>-17.737622449624411</c:v>
                </c:pt>
                <c:pt idx="17">
                  <c:v>-36.42652276167005</c:v>
                </c:pt>
                <c:pt idx="18">
                  <c:v>-10.807755902000324</c:v>
                </c:pt>
              </c:numCache>
            </c:numRef>
          </c:val>
          <c:smooth val="0"/>
          <c:extLst>
            <c:ext xmlns:c16="http://schemas.microsoft.com/office/drawing/2014/chart" uri="{C3380CC4-5D6E-409C-BE32-E72D297353CC}">
              <c16:uniqueId val="{00000016-6246-47E1-B030-F41AAB58FFF0}"/>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175916544"/>
        <c:axId val="175915984"/>
      </c:lineChart>
      <c:catAx>
        <c:axId val="175914864"/>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2700000" spcFirstLastPara="1" vertOverflow="ellipsis"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175915424"/>
        <c:crosses val="autoZero"/>
        <c:auto val="1"/>
        <c:lblAlgn val="ctr"/>
        <c:lblOffset val="0"/>
        <c:tickLblSkip val="1"/>
        <c:noMultiLvlLbl val="0"/>
      </c:catAx>
      <c:valAx>
        <c:axId val="175915424"/>
        <c:scaling>
          <c:orientation val="minMax"/>
          <c:max val="10"/>
          <c:min val="-10"/>
        </c:scaling>
        <c:delete val="0"/>
        <c:axPos val="l"/>
        <c:majorGridlines>
          <c:spPr>
            <a:ln w="6350" cap="flat" cmpd="sng" algn="ctr">
              <a:solidFill>
                <a:srgbClr val="A6A6A6"/>
              </a:solidFill>
              <a:prstDash val="sysDash"/>
              <a:round/>
              <a:headEnd type="none" w="med" len="med"/>
              <a:tailEnd type="none" w="med" len="me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175914864"/>
        <c:crosses val="autoZero"/>
        <c:crossBetween val="between"/>
        <c:majorUnit val="5"/>
      </c:valAx>
      <c:valAx>
        <c:axId val="175915984"/>
        <c:scaling>
          <c:orientation val="minMax"/>
          <c:max val="200"/>
          <c:min val="-200"/>
        </c:scaling>
        <c:delete val="0"/>
        <c:axPos val="r"/>
        <c:title>
          <c:tx>
            <c:rich>
              <a:bodyPr rot="0" vert="horz"/>
              <a:lstStyle/>
              <a:p>
                <a:pPr>
                  <a:defRPr/>
                </a:pPr>
                <a:r>
                  <a:rPr lang="it-IT"/>
                  <a:t>%</a:t>
                </a:r>
              </a:p>
            </c:rich>
          </c:tx>
          <c:layout>
            <c:manualLayout>
              <c:xMode val="edge"/>
              <c:yMode val="edge"/>
              <c:x val="0.96365048731977809"/>
              <c:y val="5.3280345976272573E-3"/>
            </c:manualLayout>
          </c:layout>
          <c:overlay val="0"/>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175916544"/>
        <c:crosses val="max"/>
        <c:crossBetween val="between"/>
        <c:majorUnit val="100"/>
      </c:valAx>
      <c:catAx>
        <c:axId val="175916544"/>
        <c:scaling>
          <c:orientation val="minMax"/>
        </c:scaling>
        <c:delete val="1"/>
        <c:axPos val="b"/>
        <c:numFmt formatCode="General" sourceLinked="1"/>
        <c:majorTickMark val="out"/>
        <c:minorTickMark val="none"/>
        <c:tickLblPos val="nextTo"/>
        <c:crossAx val="175915984"/>
        <c:crosses val="autoZero"/>
        <c:auto val="1"/>
        <c:lblAlgn val="ctr"/>
        <c:lblOffset val="100"/>
        <c:noMultiLvlLbl val="0"/>
      </c:catAx>
      <c:spPr>
        <a:solidFill>
          <a:srgbClr val="FFFFFF"/>
        </a:solidFill>
        <a:ln w="9525" cap="flat" cmpd="sng" algn="ctr">
          <a:solidFill>
            <a:srgbClr val="DDDDDD"/>
          </a:solidFill>
          <a:prstDash val="solid"/>
          <a:round/>
          <a:headEnd type="none" w="med" len="med"/>
          <a:tailEnd type="none" w="med" len="med"/>
        </a:ln>
        <a:effectLst/>
      </c:spPr>
    </c:plotArea>
    <c:legend>
      <c:legendPos val="t"/>
      <c:layout>
        <c:manualLayout>
          <c:xMode val="edge"/>
          <c:yMode val="edge"/>
          <c:x val="0.1942897298149685"/>
          <c:y val="0"/>
          <c:w val="0.64937368785004546"/>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651633220714708E-2"/>
          <c:y val="0.10639207360356027"/>
          <c:w val="0.89947552894285987"/>
          <c:h val="0.54927962962962962"/>
        </c:manualLayout>
      </c:layout>
      <c:barChart>
        <c:barDir val="col"/>
        <c:grouping val="clustered"/>
        <c:varyColors val="0"/>
        <c:ser>
          <c:idx val="0"/>
          <c:order val="0"/>
          <c:tx>
            <c:strRef>
              <c:f>'figg. 8 e 9'!$D$36</c:f>
              <c:strCache>
                <c:ptCount val="1"/>
                <c:pt idx="0">
                  <c:v>Contributi alla var. (punti perc. - sinistra)</c:v>
                </c:pt>
              </c:strCache>
            </c:strRef>
          </c:tx>
          <c:spPr>
            <a:solidFill>
              <a:srgbClr val="D22630"/>
            </a:solidFill>
            <a:ln w="9525" cap="flat" cmpd="sng" algn="ctr">
              <a:solidFill>
                <a:schemeClr val="bg1"/>
              </a:solidFill>
              <a:prstDash val="solid"/>
              <a:round/>
              <a:headEnd type="none" w="med" len="med"/>
              <a:tailEnd type="none" w="med" len="med"/>
            </a:ln>
            <a:effectLst/>
          </c:spPr>
          <c:invertIfNegative val="0"/>
          <c:dLbls>
            <c:dLbl>
              <c:idx val="37"/>
              <c:tx>
                <c:rich>
                  <a:bodyPr/>
                  <a:lstStyle/>
                  <a:p>
                    <a:r>
                      <a:t>-24,61153308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063-4151-82E1-4B66E06FB433}"/>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0000"/>
                    </a:solidFill>
                    <a:latin typeface="Arial Narrow" panose="020B0606020202030204" pitchFamily="34" charset="0"/>
                    <a:ea typeface="+mn-ea"/>
                    <a:cs typeface="+mn-cs"/>
                  </a:defRPr>
                </a:pPr>
                <a:endParaRPr lang="it-I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'figg. 8 e 9'!$A$61:$A$79</c:f>
              <c:strCache>
                <c:ptCount val="19"/>
                <c:pt idx="0">
                  <c:v>Cina</c:v>
                </c:pt>
                <c:pt idx="1">
                  <c:v>OPEC</c:v>
                </c:pt>
                <c:pt idx="2">
                  <c:v>Russia</c:v>
                </c:pt>
                <c:pt idx="3">
                  <c:v>Svizzera</c:v>
                </c:pt>
                <c:pt idx="4">
                  <c:v>Francia</c:v>
                </c:pt>
                <c:pt idx="5">
                  <c:v>Paesi Bassi</c:v>
                </c:pt>
                <c:pt idx="6">
                  <c:v>Germania</c:v>
                </c:pt>
                <c:pt idx="7">
                  <c:v>Stati Uniti</c:v>
                </c:pt>
                <c:pt idx="8">
                  <c:v>Belgio</c:v>
                </c:pt>
                <c:pt idx="9">
                  <c:v>Spagna</c:v>
                </c:pt>
                <c:pt idx="10">
                  <c:v>ASEAN</c:v>
                </c:pt>
                <c:pt idx="11">
                  <c:v>India</c:v>
                </c:pt>
                <c:pt idx="12">
                  <c:v>Austria</c:v>
                </c:pt>
                <c:pt idx="13">
                  <c:v>Turchia</c:v>
                </c:pt>
                <c:pt idx="14">
                  <c:v>MERCOSUR</c:v>
                </c:pt>
                <c:pt idx="15">
                  <c:v>Romania</c:v>
                </c:pt>
                <c:pt idx="16">
                  <c:v>Polonia</c:v>
                </c:pt>
                <c:pt idx="17">
                  <c:v>Repubblica ceca</c:v>
                </c:pt>
                <c:pt idx="18">
                  <c:v>Regno Unito</c:v>
                </c:pt>
              </c:strCache>
            </c:strRef>
          </c:cat>
          <c:val>
            <c:numRef>
              <c:f>'figg. 8 e 9'!$D$61:$D$79</c:f>
              <c:numCache>
                <c:formatCode>0.00</c:formatCode>
                <c:ptCount val="19"/>
                <c:pt idx="0">
                  <c:v>6.2689938432077952</c:v>
                </c:pt>
                <c:pt idx="1">
                  <c:v>5.1521297444982839</c:v>
                </c:pt>
                <c:pt idx="2">
                  <c:v>4.0162246322580915</c:v>
                </c:pt>
                <c:pt idx="3">
                  <c:v>2.5525842738767635</c:v>
                </c:pt>
                <c:pt idx="4">
                  <c:v>2.0891999578401399</c:v>
                </c:pt>
                <c:pt idx="5">
                  <c:v>1.8941968434589345</c:v>
                </c:pt>
                <c:pt idx="6">
                  <c:v>1.4914421924963068</c:v>
                </c:pt>
                <c:pt idx="7">
                  <c:v>1.4775615922115328</c:v>
                </c:pt>
                <c:pt idx="8">
                  <c:v>1.1160607137713157</c:v>
                </c:pt>
                <c:pt idx="9">
                  <c:v>1.0393875474101912</c:v>
                </c:pt>
                <c:pt idx="10">
                  <c:v>0.98230761777732778</c:v>
                </c:pt>
                <c:pt idx="11">
                  <c:v>0.74302757083923998</c:v>
                </c:pt>
                <c:pt idx="12">
                  <c:v>0.60921958317731961</c:v>
                </c:pt>
                <c:pt idx="13">
                  <c:v>0.50175275291717769</c:v>
                </c:pt>
                <c:pt idx="14">
                  <c:v>0.46452652999806704</c:v>
                </c:pt>
                <c:pt idx="15">
                  <c:v>0.34916966657545534</c:v>
                </c:pt>
                <c:pt idx="16">
                  <c:v>0.3258468727767293</c:v>
                </c:pt>
                <c:pt idx="17">
                  <c:v>0.25695701774152108</c:v>
                </c:pt>
                <c:pt idx="18">
                  <c:v>-0.284238476171566</c:v>
                </c:pt>
              </c:numCache>
            </c:numRef>
          </c:val>
          <c:extLst>
            <c:ext xmlns:c16="http://schemas.microsoft.com/office/drawing/2014/chart" uri="{C3380CC4-5D6E-409C-BE32-E72D297353CC}">
              <c16:uniqueId val="{00000001-5063-4151-82E1-4B66E06FB433}"/>
            </c:ext>
          </c:extLst>
        </c:ser>
        <c:dLbls>
          <c:showLegendKey val="0"/>
          <c:showVal val="0"/>
          <c:showCatName val="0"/>
          <c:showSerName val="0"/>
          <c:showPercent val="0"/>
          <c:showBubbleSize val="0"/>
        </c:dLbls>
        <c:gapWidth val="0"/>
        <c:axId val="176743296"/>
        <c:axId val="176743856"/>
      </c:barChart>
      <c:lineChart>
        <c:grouping val="standard"/>
        <c:varyColors val="0"/>
        <c:ser>
          <c:idx val="1"/>
          <c:order val="1"/>
          <c:tx>
            <c:strRef>
              <c:f>'figg. 8 e 9'!$B$36</c:f>
              <c:strCache>
                <c:ptCount val="1"/>
                <c:pt idx="0">
                  <c:v>Variazioni percentuali (scala destra)</c:v>
                </c:pt>
              </c:strCache>
            </c:strRef>
          </c:tx>
          <c:spPr>
            <a:ln w="25400" cap="rnd">
              <a:noFill/>
              <a:round/>
            </a:ln>
            <a:effectLst/>
            <a:extLst>
              <a:ext uri="{91240B29-F687-4F45-9708-019B960494DF}">
                <a14:hiddenLine xmlns:a14="http://schemas.microsoft.com/office/drawing/2010/main" w="9525" cap="flat" cmpd="sng" algn="ctr">
                  <a:solidFill>
                    <a:srgbClr val="FFFFFF"/>
                  </a:solidFill>
                  <a:prstDash val="solid"/>
                  <a:round/>
                  <a:headEnd type="none" w="med" len="med"/>
                  <a:tailEnd type="none" w="med" len="med"/>
                </a14:hiddenLine>
              </a:ext>
            </a:extLst>
          </c:spPr>
          <c:marker>
            <c:symbol val="diamond"/>
            <c:size val="6"/>
            <c:spPr>
              <a:solidFill>
                <a:srgbClr val="FFFFFF"/>
              </a:solidFill>
              <a:ln w="3175">
                <a:solidFill>
                  <a:srgbClr val="141E28"/>
                </a:solidFill>
                <a:prstDash val="solid"/>
              </a:ln>
              <a:effectLst/>
            </c:spPr>
          </c:marker>
          <c:dLbls>
            <c:dLbl>
              <c:idx val="0"/>
              <c:layout>
                <c:manualLayout>
                  <c:x val="-3.4498498498498502E-2"/>
                  <c:y val="-5.8321296296296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63-4151-82E1-4B66E06FB433}"/>
                </c:ext>
              </c:extLst>
            </c:dLbl>
            <c:dLbl>
              <c:idx val="1"/>
              <c:layout>
                <c:manualLayout>
                  <c:x val="-2.6852573053725397E-2"/>
                  <c:y val="-4.67893545398031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63-4151-82E1-4B66E06FB433}"/>
                </c:ext>
              </c:extLst>
            </c:dLbl>
            <c:dLbl>
              <c:idx val="2"/>
              <c:layout>
                <c:manualLayout>
                  <c:x val="-3.4527327327327308E-2"/>
                  <c:y val="-6.1618981481481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63-4151-82E1-4B66E06FB433}"/>
                </c:ext>
              </c:extLst>
            </c:dLbl>
            <c:dLbl>
              <c:idx val="3"/>
              <c:layout>
                <c:manualLayout>
                  <c:x val="-3.6475525525525528E-2"/>
                  <c:y val="-6.7520370370370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63-4151-82E1-4B66E06FB433}"/>
                </c:ext>
              </c:extLst>
            </c:dLbl>
            <c:dLbl>
              <c:idx val="4"/>
              <c:layout>
                <c:manualLayout>
                  <c:x val="-2.8790090090090089E-2"/>
                  <c:y val="-5.878657407407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063-4151-82E1-4B66E06FB433}"/>
                </c:ext>
              </c:extLst>
            </c:dLbl>
            <c:dLbl>
              <c:idx val="5"/>
              <c:layout>
                <c:manualLayout>
                  <c:x val="-3.0508762640232029E-2"/>
                  <c:y val="-5.34351431554007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63-4151-82E1-4B66E06FB433}"/>
                </c:ext>
              </c:extLst>
            </c:dLbl>
            <c:dLbl>
              <c:idx val="6"/>
              <c:layout>
                <c:manualLayout>
                  <c:x val="-3.2971501204916494E-2"/>
                  <c:y val="-7.3212522138944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063-4151-82E1-4B66E06FB433}"/>
                </c:ext>
              </c:extLst>
            </c:dLbl>
            <c:dLbl>
              <c:idx val="7"/>
              <c:layout>
                <c:manualLayout>
                  <c:x val="-2.9155994974406744E-2"/>
                  <c:y val="-5.5430052664297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063-4151-82E1-4B66E06FB433}"/>
                </c:ext>
              </c:extLst>
            </c:dLbl>
            <c:dLbl>
              <c:idx val="8"/>
              <c:layout>
                <c:manualLayout>
                  <c:x val="-2.9155545350764141E-2"/>
                  <c:y val="-5.6752172842112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063-4151-82E1-4B66E06FB433}"/>
                </c:ext>
              </c:extLst>
            </c:dLbl>
            <c:dLbl>
              <c:idx val="9"/>
              <c:layout>
                <c:manualLayout>
                  <c:x val="-3.2948270650052375E-2"/>
                  <c:y val="-5.8680460255462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063-4151-82E1-4B66E06FB433}"/>
                </c:ext>
              </c:extLst>
            </c:dLbl>
            <c:dLbl>
              <c:idx val="10"/>
              <c:layout>
                <c:manualLayout>
                  <c:x val="-2.8139545793193808E-2"/>
                  <c:y val="-5.2828037580491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063-4151-82E1-4B66E06FB433}"/>
                </c:ext>
              </c:extLst>
            </c:dLbl>
            <c:dLbl>
              <c:idx val="11"/>
              <c:layout>
                <c:manualLayout>
                  <c:x val="-3.0496023303693713E-2"/>
                  <c:y val="-4.57276235382431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063-4151-82E1-4B66E06FB433}"/>
                </c:ext>
              </c:extLst>
            </c:dLbl>
            <c:dLbl>
              <c:idx val="12"/>
              <c:layout>
                <c:manualLayout>
                  <c:x val="-3.0495273930956093E-2"/>
                  <c:y val="-5.6891516239135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063-4151-82E1-4B66E06FB433}"/>
                </c:ext>
              </c:extLst>
            </c:dLbl>
            <c:dLbl>
              <c:idx val="13"/>
              <c:layout>
                <c:manualLayout>
                  <c:x val="-3.0510860883897272E-2"/>
                  <c:y val="-5.0972940638305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063-4151-82E1-4B66E06FB433}"/>
                </c:ext>
              </c:extLst>
            </c:dLbl>
            <c:dLbl>
              <c:idx val="14"/>
              <c:layout>
                <c:manualLayout>
                  <c:x val="-3.0506664396566855E-2"/>
                  <c:y val="-5.1991977198353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063-4151-82E1-4B66E06FB433}"/>
                </c:ext>
              </c:extLst>
            </c:dLbl>
            <c:dLbl>
              <c:idx val="15"/>
              <c:layout>
                <c:manualLayout>
                  <c:x val="-3.2429554841120242E-2"/>
                  <c:y val="-4.694042717899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063-4151-82E1-4B66E06FB433}"/>
                </c:ext>
              </c:extLst>
            </c:dLbl>
            <c:dLbl>
              <c:idx val="16"/>
              <c:layout>
                <c:manualLayout>
                  <c:x val="-2.8614264264264402E-2"/>
                  <c:y val="-5.3095370370370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063-4151-82E1-4B66E06FB433}"/>
                </c:ext>
              </c:extLst>
            </c:dLbl>
            <c:dLbl>
              <c:idx val="17"/>
              <c:layout>
                <c:manualLayout>
                  <c:x val="-3.0557807807807806E-2"/>
                  <c:y val="-5.9172222222222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063-4151-82E1-4B66E06FB433}"/>
                </c:ext>
              </c:extLst>
            </c:dLbl>
            <c:dLbl>
              <c:idx val="18"/>
              <c:layout>
                <c:manualLayout>
                  <c:x val="-3.8139489489489628E-2"/>
                  <c:y val="7.26467592592592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063-4151-82E1-4B66E06FB433}"/>
                </c:ext>
              </c:extLst>
            </c:dLbl>
            <c:dLbl>
              <c:idx val="19"/>
              <c:layout>
                <c:manualLayout>
                  <c:x val="-2.8592754421838274E-2"/>
                  <c:y val="5.4076051251789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063-4151-82E1-4B66E06FB433}"/>
                </c:ext>
              </c:extLst>
            </c:dLbl>
            <c:numFmt formatCode="#,##0.0" sourceLinked="0"/>
            <c:spPr>
              <a:noFill/>
              <a:ln>
                <a:noFill/>
              </a:ln>
              <a:effectLst/>
            </c:spPr>
            <c:txPr>
              <a:bodyPr/>
              <a:lstStyle/>
              <a:p>
                <a:pPr>
                  <a:defRPr sz="900"/>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'figg. 8 e 9'!$A$61:$A$79</c:f>
              <c:strCache>
                <c:ptCount val="19"/>
                <c:pt idx="0">
                  <c:v>Cina</c:v>
                </c:pt>
                <c:pt idx="1">
                  <c:v>OPEC</c:v>
                </c:pt>
                <c:pt idx="2">
                  <c:v>Russia</c:v>
                </c:pt>
                <c:pt idx="3">
                  <c:v>Svizzera</c:v>
                </c:pt>
                <c:pt idx="4">
                  <c:v>Francia</c:v>
                </c:pt>
                <c:pt idx="5">
                  <c:v>Paesi Bassi</c:v>
                </c:pt>
                <c:pt idx="6">
                  <c:v>Germania</c:v>
                </c:pt>
                <c:pt idx="7">
                  <c:v>Stati Uniti</c:v>
                </c:pt>
                <c:pt idx="8">
                  <c:v>Belgio</c:v>
                </c:pt>
                <c:pt idx="9">
                  <c:v>Spagna</c:v>
                </c:pt>
                <c:pt idx="10">
                  <c:v>ASEAN</c:v>
                </c:pt>
                <c:pt idx="11">
                  <c:v>India</c:v>
                </c:pt>
                <c:pt idx="12">
                  <c:v>Austria</c:v>
                </c:pt>
                <c:pt idx="13">
                  <c:v>Turchia</c:v>
                </c:pt>
                <c:pt idx="14">
                  <c:v>MERCOSUR</c:v>
                </c:pt>
                <c:pt idx="15">
                  <c:v>Romania</c:v>
                </c:pt>
                <c:pt idx="16">
                  <c:v>Polonia</c:v>
                </c:pt>
                <c:pt idx="17">
                  <c:v>Repubblica ceca</c:v>
                </c:pt>
                <c:pt idx="18">
                  <c:v>Regno Unito</c:v>
                </c:pt>
              </c:strCache>
            </c:strRef>
          </c:cat>
          <c:val>
            <c:numRef>
              <c:f>'figg. 8 e 9'!$B$61:$B$79</c:f>
              <c:numCache>
                <c:formatCode>0.0</c:formatCode>
                <c:ptCount val="19"/>
                <c:pt idx="0">
                  <c:v>80.695719189966013</c:v>
                </c:pt>
                <c:pt idx="1">
                  <c:v>88.246738863040378</c:v>
                </c:pt>
                <c:pt idx="2">
                  <c:v>114.78084261441495</c:v>
                </c:pt>
                <c:pt idx="3">
                  <c:v>100.43605203162747</c:v>
                </c:pt>
                <c:pt idx="4">
                  <c:v>24.915600895815757</c:v>
                </c:pt>
                <c:pt idx="5">
                  <c:v>32.406621596316796</c:v>
                </c:pt>
                <c:pt idx="6">
                  <c:v>9.3961027039286762</c:v>
                </c:pt>
                <c:pt idx="7">
                  <c:v>40.109245474988057</c:v>
                </c:pt>
                <c:pt idx="8">
                  <c:v>27.326953133167649</c:v>
                </c:pt>
                <c:pt idx="9">
                  <c:v>19.295180003698633</c:v>
                </c:pt>
                <c:pt idx="10">
                  <c:v>47.093297870289121</c:v>
                </c:pt>
                <c:pt idx="11">
                  <c:v>40.775471803293016</c:v>
                </c:pt>
                <c:pt idx="12">
                  <c:v>25.789303408576018</c:v>
                </c:pt>
                <c:pt idx="13">
                  <c:v>24.032224927519422</c:v>
                </c:pt>
                <c:pt idx="14">
                  <c:v>35.420215272717655</c:v>
                </c:pt>
                <c:pt idx="15">
                  <c:v>23.11835932522807</c:v>
                </c:pt>
                <c:pt idx="16">
                  <c:v>13.379453891533842</c:v>
                </c:pt>
                <c:pt idx="17">
                  <c:v>16.694592106076556</c:v>
                </c:pt>
                <c:pt idx="18">
                  <c:v>-15.579679063896563</c:v>
                </c:pt>
              </c:numCache>
            </c:numRef>
          </c:val>
          <c:smooth val="0"/>
          <c:extLst>
            <c:ext xmlns:c16="http://schemas.microsoft.com/office/drawing/2014/chart" uri="{C3380CC4-5D6E-409C-BE32-E72D297353CC}">
              <c16:uniqueId val="{00000016-5063-4151-82E1-4B66E06FB433}"/>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176744976"/>
        <c:axId val="176744416"/>
      </c:lineChart>
      <c:catAx>
        <c:axId val="176743296"/>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2700000" spcFirstLastPara="1" vertOverflow="ellipsis"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176743856"/>
        <c:crosses val="autoZero"/>
        <c:auto val="1"/>
        <c:lblAlgn val="ctr"/>
        <c:lblOffset val="0"/>
        <c:tickLblSkip val="1"/>
        <c:noMultiLvlLbl val="0"/>
      </c:catAx>
      <c:valAx>
        <c:axId val="176743856"/>
        <c:scaling>
          <c:orientation val="minMax"/>
          <c:max val="10"/>
          <c:min val="-10"/>
        </c:scaling>
        <c:delete val="0"/>
        <c:axPos val="l"/>
        <c:majorGridlines>
          <c:spPr>
            <a:ln w="6350" cap="flat" cmpd="sng" algn="ctr">
              <a:solidFill>
                <a:srgbClr val="A6A6A6"/>
              </a:solidFill>
              <a:prstDash val="sysDash"/>
              <a:round/>
              <a:headEnd type="none" w="med" len="med"/>
              <a:tailEnd type="none" w="med" len="me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176743296"/>
        <c:crosses val="autoZero"/>
        <c:crossBetween val="between"/>
        <c:majorUnit val="5"/>
      </c:valAx>
      <c:valAx>
        <c:axId val="176744416"/>
        <c:scaling>
          <c:orientation val="minMax"/>
          <c:max val="200"/>
          <c:min val="-200"/>
        </c:scaling>
        <c:delete val="0"/>
        <c:axPos val="r"/>
        <c:title>
          <c:tx>
            <c:rich>
              <a:bodyPr rot="0" vert="horz"/>
              <a:lstStyle/>
              <a:p>
                <a:pPr>
                  <a:defRPr b="1"/>
                </a:pPr>
                <a:r>
                  <a:rPr lang="it-IT" b="1"/>
                  <a:t>%</a:t>
                </a:r>
              </a:p>
            </c:rich>
          </c:tx>
          <c:layout>
            <c:manualLayout>
              <c:xMode val="edge"/>
              <c:yMode val="edge"/>
              <c:x val="0.96162867867867863"/>
              <c:y val="1.9740740740740756E-3"/>
            </c:manualLayout>
          </c:layout>
          <c:overlay val="0"/>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176744976"/>
        <c:crosses val="max"/>
        <c:crossBetween val="between"/>
        <c:majorUnit val="100"/>
      </c:valAx>
      <c:catAx>
        <c:axId val="176744976"/>
        <c:scaling>
          <c:orientation val="minMax"/>
        </c:scaling>
        <c:delete val="1"/>
        <c:axPos val="b"/>
        <c:numFmt formatCode="General" sourceLinked="1"/>
        <c:majorTickMark val="out"/>
        <c:minorTickMark val="none"/>
        <c:tickLblPos val="nextTo"/>
        <c:crossAx val="176744416"/>
        <c:crosses val="autoZero"/>
        <c:auto val="1"/>
        <c:lblAlgn val="ctr"/>
        <c:lblOffset val="100"/>
        <c:noMultiLvlLbl val="0"/>
      </c:catAx>
      <c:spPr>
        <a:solidFill>
          <a:srgbClr val="FFFFFF"/>
        </a:solidFill>
        <a:ln w="9525" cap="flat" cmpd="sng" algn="ctr">
          <a:solidFill>
            <a:srgbClr val="DDDDDD"/>
          </a:solidFill>
          <a:prstDash val="solid"/>
          <a:round/>
          <a:headEnd type="none" w="med" len="med"/>
          <a:tailEnd type="none" w="med" len="med"/>
        </a:ln>
        <a:effectLst/>
      </c:spPr>
    </c:plotArea>
    <c:legend>
      <c:legendPos val="t"/>
      <c:layout>
        <c:manualLayout>
          <c:xMode val="edge"/>
          <c:yMode val="edge"/>
          <c:x val="0.16853560371427334"/>
          <c:y val="0"/>
          <c:w val="0.68984446994428816"/>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Nota o comunicato" ma:contentTypeID="0x010100B795A82E90F7744F8BBD5BCEA1E47B9D00412BB8B24175FB4599016A296A388103" ma:contentTypeVersion="2" ma:contentTypeDescription="" ma:contentTypeScope="" ma:versionID="fef993d87c238cc71779350178681a56">
  <xsd:schema xmlns:xsd="http://www.w3.org/2001/XMLSchema" xmlns:xs="http://www.w3.org/2001/XMLSchema" xmlns:p="http://schemas.microsoft.com/office/2006/metadata/properties" xmlns:ns2="2886d22a-1eb9-406b-961e-e52bb60f5915" targetNamespace="http://schemas.microsoft.com/office/2006/metadata/properties" ma:root="true" ma:fieldsID="6a986a9c8108b3d7a67e5da413ff238a"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FA3A331-E51C-433B-B400-E4AB42279668}">
  <ds:schemaRefs>
    <ds:schemaRef ds:uri="http://schemas.microsoft.com/sharepoint/v3/contenttype/forms"/>
  </ds:schemaRefs>
</ds:datastoreItem>
</file>

<file path=customXml/itemProps2.xml><?xml version="1.0" encoding="utf-8"?>
<ds:datastoreItem xmlns:ds="http://schemas.openxmlformats.org/officeDocument/2006/customXml" ds:itemID="{416CBCD4-A0D9-4779-82A0-880610C2D0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30AF039-4907-44F4-9163-8CBD2D9FEF44}">
  <ds:schemaRefs>
    <ds:schemaRef ds:uri="http://schemas.microsoft.com/office/2006/metadata/longProperties"/>
  </ds:schemaRefs>
</ds:datastoreItem>
</file>

<file path=customXml/itemProps4.xml><?xml version="1.0" encoding="utf-8"?>
<ds:datastoreItem xmlns:ds="http://schemas.openxmlformats.org/officeDocument/2006/customXml" ds:itemID="{BBAC46FC-E450-4A0E-A8DC-D0559AC30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FB259A7-1D61-4F98-819D-19CB306859F7}">
  <ds:schemaRefs>
    <ds:schemaRef ds:uri="http://schemas.openxmlformats.org/officeDocument/2006/bibliography"/>
  </ds:schemaRefs>
</ds:datastoreItem>
</file>

<file path=customXml/itemProps6.xml><?xml version="1.0" encoding="utf-8"?>
<ds:datastoreItem xmlns:ds="http://schemas.openxmlformats.org/officeDocument/2006/customXml" ds:itemID="{4463D393-A86E-48FE-A47C-966673B0F31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9567</Words>
  <Characters>54536</Characters>
  <Application>Microsoft Office Word</Application>
  <DocSecurity>0</DocSecurity>
  <Lines>454</Lines>
  <Paragraphs>127</Paragraphs>
  <ScaleCrop>false</ScaleCrop>
  <HeadingPairs>
    <vt:vector size="2" baseType="variant">
      <vt:variant>
        <vt:lpstr>Titolo</vt:lpstr>
      </vt:variant>
      <vt:variant>
        <vt:i4>1</vt:i4>
      </vt:variant>
    </vt:vector>
  </HeadingPairs>
  <TitlesOfParts>
    <vt:vector size="1" baseType="lpstr">
      <vt:lpstr>COMMERCIO CON L'ESTERO E PREZZI ALL'IMPORT</vt:lpstr>
    </vt:vector>
  </TitlesOfParts>
  <Company>HP</Company>
  <LinksUpToDate>false</LinksUpToDate>
  <CharactersWithSpaces>63976</CharactersWithSpaces>
  <SharedDoc>false</SharedDoc>
  <HLinks>
    <vt:vector size="108" baseType="variant">
      <vt:variant>
        <vt:i4>3670095</vt:i4>
      </vt:variant>
      <vt:variant>
        <vt:i4>51</vt:i4>
      </vt:variant>
      <vt:variant>
        <vt:i4>0</vt:i4>
      </vt:variant>
      <vt:variant>
        <vt:i4>5</vt:i4>
      </vt:variant>
      <vt:variant>
        <vt:lpwstr>https://www.istat.it/it/files/2018/05/nota_informativa_prezzi_import.pdf</vt:lpwstr>
      </vt:variant>
      <vt:variant>
        <vt:lpwstr/>
      </vt:variant>
      <vt:variant>
        <vt:i4>6881380</vt:i4>
      </vt:variant>
      <vt:variant>
        <vt:i4>48</vt:i4>
      </vt:variant>
      <vt:variant>
        <vt:i4>0</vt:i4>
      </vt:variant>
      <vt:variant>
        <vt:i4>5</vt:i4>
      </vt:variant>
      <vt:variant>
        <vt:lpwstr>http://www.istat.it/it/files/2015/11/Ricostruzione-serie-indici-2005-2009.pdf?title=Prezzi+all%27importazione+dei+prodotti+industriali+-+17%2Fnov%2F2015+-+Ricostruzione+serie.pdf</vt:lpwstr>
      </vt:variant>
      <vt:variant>
        <vt:lpwstr/>
      </vt:variant>
      <vt:variant>
        <vt:i4>7340158</vt:i4>
      </vt:variant>
      <vt:variant>
        <vt:i4>45</vt:i4>
      </vt:variant>
      <vt:variant>
        <vt:i4>0</vt:i4>
      </vt:variant>
      <vt:variant>
        <vt:i4>5</vt:i4>
      </vt:variant>
      <vt:variant>
        <vt:lpwstr>http://www.istat.it/it/files/2016/02/Prezzi-all-importazione-dei-prodotti-industriali-Nota-informativa.pdf?title=Prezzi+all%E2%80%99importazione+dei+prodotti+industriali+-+16%2Ffeb%2F2016+-+Nota+informativa.pdf</vt:lpwstr>
      </vt:variant>
      <vt:variant>
        <vt:lpwstr/>
      </vt:variant>
      <vt:variant>
        <vt:i4>5898331</vt:i4>
      </vt:variant>
      <vt:variant>
        <vt:i4>42</vt:i4>
      </vt:variant>
      <vt:variant>
        <vt:i4>0</vt:i4>
      </vt:variant>
      <vt:variant>
        <vt:i4>5</vt:i4>
      </vt:variant>
      <vt:variant>
        <vt:lpwstr>http://www.istat.it/it/archivio/45225</vt:lpwstr>
      </vt:variant>
      <vt:variant>
        <vt:lpwstr/>
      </vt:variant>
      <vt:variant>
        <vt:i4>852042</vt:i4>
      </vt:variant>
      <vt:variant>
        <vt:i4>39</vt:i4>
      </vt:variant>
      <vt:variant>
        <vt:i4>0</vt:i4>
      </vt:variant>
      <vt:variant>
        <vt:i4>5</vt:i4>
      </vt:variant>
      <vt:variant>
        <vt:lpwstr>https://www.istat.it/it/files/2011/03/testointegrale20080225.pdf</vt:lpwstr>
      </vt:variant>
      <vt:variant>
        <vt:lpwstr/>
      </vt:variant>
      <vt:variant>
        <vt:i4>7340157</vt:i4>
      </vt:variant>
      <vt:variant>
        <vt:i4>36</vt:i4>
      </vt:variant>
      <vt:variant>
        <vt:i4>0</vt:i4>
      </vt:variant>
      <vt:variant>
        <vt:i4>5</vt:i4>
      </vt:variant>
      <vt:variant>
        <vt:lpwstr>http://ec.europa.eu/eurostat/data/database</vt:lpwstr>
      </vt:variant>
      <vt:variant>
        <vt:lpwstr/>
      </vt:variant>
      <vt:variant>
        <vt:i4>3604535</vt:i4>
      </vt:variant>
      <vt:variant>
        <vt:i4>33</vt:i4>
      </vt:variant>
      <vt:variant>
        <vt:i4>0</vt:i4>
      </vt:variant>
      <vt:variant>
        <vt:i4>5</vt:i4>
      </vt:variant>
      <vt:variant>
        <vt:lpwstr>http://www.istat.it/it/archivio/esportazioni+delle+regioni</vt:lpwstr>
      </vt:variant>
      <vt:variant>
        <vt:lpwstr/>
      </vt:variant>
      <vt:variant>
        <vt:i4>1245267</vt:i4>
      </vt:variant>
      <vt:variant>
        <vt:i4>30</vt:i4>
      </vt:variant>
      <vt:variant>
        <vt:i4>0</vt:i4>
      </vt:variant>
      <vt:variant>
        <vt:i4>5</vt:i4>
      </vt:variant>
      <vt:variant>
        <vt:lpwstr>http://www.istat.it/it/archivio/commercio+estero+extra+ue</vt:lpwstr>
      </vt:variant>
      <vt:variant>
        <vt:lpwstr/>
      </vt:variant>
      <vt:variant>
        <vt:i4>4259923</vt:i4>
      </vt:variant>
      <vt:variant>
        <vt:i4>27</vt:i4>
      </vt:variant>
      <vt:variant>
        <vt:i4>0</vt:i4>
      </vt:variant>
      <vt:variant>
        <vt:i4>5</vt:i4>
      </vt:variant>
      <vt:variant>
        <vt:lpwstr>http://www.istat.it/it/archivio/commercio+estero+e+prezzi+import</vt:lpwstr>
      </vt:variant>
      <vt:variant>
        <vt:lpwstr/>
      </vt:variant>
      <vt:variant>
        <vt:i4>2359335</vt:i4>
      </vt:variant>
      <vt:variant>
        <vt:i4>24</vt:i4>
      </vt:variant>
      <vt:variant>
        <vt:i4>0</vt:i4>
      </vt:variant>
      <vt:variant>
        <vt:i4>5</vt:i4>
      </vt:variant>
      <vt:variant>
        <vt:lpwstr>http://www.istat.it/it/files/2016/07/scheda-CommercioEstero-e-prezzi-allimport-dei-prodotti-industriali.pdf</vt:lpwstr>
      </vt:variant>
      <vt:variant>
        <vt:lpwstr/>
      </vt:variant>
      <vt:variant>
        <vt:i4>2031617</vt:i4>
      </vt:variant>
      <vt:variant>
        <vt:i4>21</vt:i4>
      </vt:variant>
      <vt:variant>
        <vt:i4>0</vt:i4>
      </vt:variant>
      <vt:variant>
        <vt:i4>5</vt:i4>
      </vt:variant>
      <vt:variant>
        <vt:lpwstr>http://www.istat.it/it/congiuntura/revisioni</vt:lpwstr>
      </vt:variant>
      <vt:variant>
        <vt:lpwstr/>
      </vt:variant>
      <vt:variant>
        <vt:i4>1310812</vt:i4>
      </vt:variant>
      <vt:variant>
        <vt:i4>18</vt:i4>
      </vt:variant>
      <vt:variant>
        <vt:i4>0</vt:i4>
      </vt:variant>
      <vt:variant>
        <vt:i4>5</vt:i4>
      </vt:variant>
      <vt:variant>
        <vt:lpwstr>http://www.istat.it/it/informazioni/per-i-giornalisti/calendario/</vt:lpwstr>
      </vt:variant>
      <vt:variant>
        <vt:lpwstr/>
      </vt:variant>
      <vt:variant>
        <vt:i4>1900613</vt:i4>
      </vt:variant>
      <vt:variant>
        <vt:i4>15</vt:i4>
      </vt:variant>
      <vt:variant>
        <vt:i4>0</vt:i4>
      </vt:variant>
      <vt:variant>
        <vt:i4>5</vt:i4>
      </vt:variant>
      <vt:variant>
        <vt:lpwstr>https://www.coeweb.istat.it/</vt:lpwstr>
      </vt:variant>
      <vt:variant>
        <vt:lpwstr/>
      </vt:variant>
      <vt:variant>
        <vt:i4>6815848</vt:i4>
      </vt:variant>
      <vt:variant>
        <vt:i4>12</vt:i4>
      </vt:variant>
      <vt:variant>
        <vt:i4>0</vt:i4>
      </vt:variant>
      <vt:variant>
        <vt:i4>5</vt:i4>
      </vt:variant>
      <vt:variant>
        <vt:lpwstr>http://ec.europa.eu/eurostat/documents/3859598/5902521/KS-RA-07-015-EN.PDF</vt:lpwstr>
      </vt:variant>
      <vt:variant>
        <vt:lpwstr/>
      </vt:variant>
      <vt:variant>
        <vt:i4>5832811</vt:i4>
      </vt:variant>
      <vt:variant>
        <vt:i4>9</vt:i4>
      </vt:variant>
      <vt:variant>
        <vt:i4>0</vt:i4>
      </vt:variant>
      <vt:variant>
        <vt:i4>5</vt:i4>
      </vt:variant>
      <vt:variant>
        <vt:lpwstr>https://unstats.un.org/unsd/cr/registry/docs/i4_SNA.pdf</vt:lpwstr>
      </vt:variant>
      <vt:variant>
        <vt:lpwstr/>
      </vt:variant>
      <vt:variant>
        <vt:i4>1900613</vt:i4>
      </vt:variant>
      <vt:variant>
        <vt:i4>6</vt:i4>
      </vt:variant>
      <vt:variant>
        <vt:i4>0</vt:i4>
      </vt:variant>
      <vt:variant>
        <vt:i4>5</vt:i4>
      </vt:variant>
      <vt:variant>
        <vt:lpwstr>https://www.coeweb.istat.it/</vt:lpwstr>
      </vt:variant>
      <vt:variant>
        <vt:lpwstr/>
      </vt:variant>
      <vt:variant>
        <vt:i4>7208997</vt:i4>
      </vt:variant>
      <vt:variant>
        <vt:i4>3</vt:i4>
      </vt:variant>
      <vt:variant>
        <vt:i4>0</vt:i4>
      </vt:variant>
      <vt:variant>
        <vt:i4>5</vt:i4>
      </vt:variant>
      <vt:variant>
        <vt:lpwstr>http://www.istat.it/it/congiuntura</vt:lpwstr>
      </vt:variant>
      <vt:variant>
        <vt:lpwstr/>
      </vt:variant>
      <vt:variant>
        <vt:i4>6094849</vt:i4>
      </vt:variant>
      <vt:variant>
        <vt:i4>0</vt:i4>
      </vt:variant>
      <vt:variant>
        <vt:i4>0</vt:i4>
      </vt:variant>
      <vt:variant>
        <vt:i4>5</vt:i4>
      </vt:variant>
      <vt:variant>
        <vt:lpwstr>http://dati.istat.it/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COMMERCIO CON L'ESTERO E PREZZI ALL'IMPORT</dc:title>
  <dc:subject/>
  <dc:creator>ISTAT</dc:creator>
  <cp:keywords/>
  <dc:description/>
  <cp:lastModifiedBy>enzalucia vaccaro</cp:lastModifiedBy>
  <cp:revision>5</cp:revision>
  <cp:lastPrinted>2022-09-12T15:38:00Z</cp:lastPrinted>
  <dcterms:created xsi:type="dcterms:W3CDTF">2022-09-15T15:20:00Z</dcterms:created>
  <dcterms:modified xsi:type="dcterms:W3CDTF">2022-09-16T06:59:00Z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2QYKZWF4TN2A-29-1413</vt:lpwstr>
  </property>
  <property fmtid="{D5CDD505-2E9C-101B-9397-08002B2CF9AE}" pid="3" name="_dlc_DocIdItemGuid">
    <vt:lpwstr>91d25d38-75ff-4036-8e43-5fa02ffec53a</vt:lpwstr>
  </property>
  <property fmtid="{D5CDD505-2E9C-101B-9397-08002B2CF9AE}" pid="4" name="_dlc_DocIdUrl">
    <vt:lpwstr>https://collaborazione.istat.it/siti/ed/ufficio_stampa/_layouts/DocIdRedir.aspx?ID=2QYKZWF4TN2A-29-1413, 2QYKZWF4TN2A-29-1413</vt:lpwstr>
  </property>
</Properties>
</file>