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ECEBEB" w14:textId="3D942B0C" w:rsidR="00FD4A3A" w:rsidRPr="006868AB" w:rsidRDefault="00FD4A3A" w:rsidP="00556F4C">
      <w:pPr>
        <w:tabs>
          <w:tab w:val="left" w:pos="1254"/>
          <w:tab w:val="center" w:pos="4819"/>
        </w:tabs>
        <w:spacing w:after="60"/>
        <w:jc w:val="center"/>
        <w:rPr>
          <w:rFonts w:ascii="Arial Narrow" w:eastAsia="Times New Roman" w:hAnsi="Arial Narrow" w:cs="Arial"/>
          <w:b/>
          <w:caps/>
          <w:color w:val="7F7F7F"/>
          <w:sz w:val="20"/>
          <w:szCs w:val="20"/>
          <w:lang w:eastAsia="it-IT"/>
        </w:rPr>
      </w:pPr>
    </w:p>
    <w:p w14:paraId="4D2378C0" w14:textId="4C231DAA" w:rsidR="002717C6" w:rsidRPr="00A17E82" w:rsidRDefault="002717C6" w:rsidP="00702911">
      <w:pPr>
        <w:tabs>
          <w:tab w:val="left" w:pos="1254"/>
          <w:tab w:val="center" w:pos="4819"/>
        </w:tabs>
        <w:spacing w:after="60"/>
        <w:ind w:right="-1"/>
        <w:rPr>
          <w:rFonts w:ascii="Arial Narrow" w:eastAsia="Times New Roman" w:hAnsi="Arial Narrow" w:cs="Arial"/>
          <w:b/>
          <w:caps/>
          <w:color w:val="289AD1"/>
          <w:sz w:val="56"/>
          <w:szCs w:val="56"/>
          <w:lang w:eastAsia="it-IT"/>
        </w:rPr>
      </w:pPr>
      <w:r w:rsidRPr="00A17E82">
        <w:rPr>
          <w:rFonts w:ascii="Arial Narrow" w:eastAsia="Times New Roman" w:hAnsi="Arial Narrow" w:cs="Arial"/>
          <w:b/>
          <w:caps/>
          <w:color w:val="289AD1"/>
          <w:sz w:val="56"/>
          <w:szCs w:val="56"/>
          <w:lang w:eastAsia="it-IT"/>
        </w:rPr>
        <w:t xml:space="preserve">Rapporto </w:t>
      </w:r>
      <w:proofErr w:type="spellStart"/>
      <w:r w:rsidRPr="00A17E82">
        <w:rPr>
          <w:rFonts w:ascii="Arial Narrow" w:eastAsia="Times New Roman" w:hAnsi="Arial Narrow" w:cs="Arial"/>
          <w:b/>
          <w:caps/>
          <w:color w:val="289AD1"/>
          <w:sz w:val="56"/>
          <w:szCs w:val="56"/>
          <w:lang w:eastAsia="it-IT"/>
        </w:rPr>
        <w:t>SDG</w:t>
      </w:r>
      <w:r w:rsidR="00DB0A09">
        <w:rPr>
          <w:rFonts w:ascii="Arial Narrow" w:eastAsia="Times New Roman" w:hAnsi="Arial Narrow" w:cs="Arial"/>
          <w:b/>
          <w:color w:val="289AD1"/>
          <w:sz w:val="56"/>
          <w:szCs w:val="56"/>
          <w:lang w:eastAsia="it-IT"/>
        </w:rPr>
        <w:t>s</w:t>
      </w:r>
      <w:proofErr w:type="spellEnd"/>
      <w:r w:rsidRPr="00A17E82">
        <w:rPr>
          <w:rFonts w:ascii="Arial Narrow" w:eastAsia="Times New Roman" w:hAnsi="Arial Narrow" w:cs="Arial"/>
          <w:b/>
          <w:caps/>
          <w:color w:val="289AD1"/>
          <w:sz w:val="56"/>
          <w:szCs w:val="56"/>
          <w:lang w:eastAsia="it-IT"/>
        </w:rPr>
        <w:t xml:space="preserve"> 20</w:t>
      </w:r>
      <w:r w:rsidR="00F31F48">
        <w:rPr>
          <w:rFonts w:ascii="Arial Narrow" w:eastAsia="Times New Roman" w:hAnsi="Arial Narrow" w:cs="Arial"/>
          <w:b/>
          <w:caps/>
          <w:color w:val="289AD1"/>
          <w:sz w:val="56"/>
          <w:szCs w:val="56"/>
          <w:lang w:eastAsia="it-IT"/>
        </w:rPr>
        <w:t>2</w:t>
      </w:r>
      <w:r w:rsidR="00F91D1B">
        <w:rPr>
          <w:rFonts w:ascii="Arial Narrow" w:eastAsia="Times New Roman" w:hAnsi="Arial Narrow" w:cs="Arial"/>
          <w:b/>
          <w:caps/>
          <w:color w:val="289AD1"/>
          <w:sz w:val="56"/>
          <w:szCs w:val="56"/>
          <w:lang w:eastAsia="it-IT"/>
        </w:rPr>
        <w:t>2</w:t>
      </w:r>
    </w:p>
    <w:p w14:paraId="64DC4A8B" w14:textId="334B9947" w:rsidR="002717C6" w:rsidRPr="00A17E82" w:rsidRDefault="002717C6" w:rsidP="00702911">
      <w:pPr>
        <w:spacing w:after="0" w:line="240" w:lineRule="auto"/>
        <w:ind w:right="-1"/>
        <w:rPr>
          <w:rFonts w:ascii="Arial Narrow" w:eastAsia="Times New Roman" w:hAnsi="Arial Narrow" w:cs="Arial"/>
          <w:caps/>
          <w:color w:val="7F7F7F"/>
          <w:sz w:val="44"/>
          <w:szCs w:val="44"/>
          <w:lang w:eastAsia="it-IT"/>
        </w:rPr>
      </w:pPr>
      <w:r w:rsidRPr="00A17E82">
        <w:rPr>
          <w:rFonts w:ascii="Arial Narrow" w:eastAsia="Times New Roman" w:hAnsi="Arial Narrow" w:cs="Arial"/>
          <w:caps/>
          <w:color w:val="7F7F7F"/>
          <w:sz w:val="44"/>
          <w:szCs w:val="44"/>
          <w:lang w:eastAsia="it-IT"/>
        </w:rPr>
        <w:t>Informazioni statistiche</w:t>
      </w:r>
    </w:p>
    <w:p w14:paraId="7224ACCE" w14:textId="77777777" w:rsidR="002717C6" w:rsidRPr="00A17E82" w:rsidRDefault="002717C6" w:rsidP="00702911">
      <w:pPr>
        <w:spacing w:after="0" w:line="240" w:lineRule="auto"/>
        <w:ind w:right="-1"/>
        <w:rPr>
          <w:rFonts w:ascii="Arial Narrow" w:eastAsia="Times New Roman" w:hAnsi="Arial Narrow" w:cs="Arial"/>
          <w:caps/>
          <w:color w:val="7F7F7F"/>
          <w:sz w:val="44"/>
          <w:szCs w:val="44"/>
          <w:lang w:eastAsia="it-IT"/>
        </w:rPr>
      </w:pPr>
      <w:r w:rsidRPr="00A17E82">
        <w:rPr>
          <w:rFonts w:ascii="Arial Narrow" w:eastAsia="Times New Roman" w:hAnsi="Arial Narrow" w:cs="Arial"/>
          <w:caps/>
          <w:color w:val="7F7F7F"/>
          <w:sz w:val="44"/>
          <w:szCs w:val="44"/>
          <w:lang w:eastAsia="it-IT"/>
        </w:rPr>
        <w:t>per l’Agenda 2030 in Italia</w:t>
      </w:r>
    </w:p>
    <w:p w14:paraId="040653C6" w14:textId="77777777" w:rsidR="002717C6" w:rsidRDefault="002717C6" w:rsidP="00823B3E">
      <w:pPr>
        <w:pStyle w:val="Titolo2"/>
        <w:spacing w:before="0" w:after="120" w:line="240" w:lineRule="auto"/>
        <w:ind w:right="-59"/>
        <w:jc w:val="both"/>
        <w:rPr>
          <w:rFonts w:ascii="Arial" w:hAnsi="Arial" w:cs="Arial"/>
          <w:i/>
          <w:sz w:val="20"/>
          <w:szCs w:val="20"/>
        </w:rPr>
      </w:pPr>
    </w:p>
    <w:p w14:paraId="6A7EF557" w14:textId="3EB2D4ED" w:rsidR="00FB3628" w:rsidRPr="00345BFD" w:rsidRDefault="005A4C06" w:rsidP="00E34F20">
      <w:pPr>
        <w:spacing w:after="120" w:line="240" w:lineRule="auto"/>
        <w:jc w:val="both"/>
        <w:rPr>
          <w:rFonts w:ascii="Arial" w:eastAsia="Times New Roman" w:hAnsi="Arial" w:cs="Arial"/>
          <w:bCs/>
          <w:iCs/>
          <w:sz w:val="20"/>
          <w:szCs w:val="20"/>
        </w:rPr>
      </w:pPr>
      <w:r>
        <w:rPr>
          <w:rFonts w:ascii="Arial" w:eastAsia="Times New Roman" w:hAnsi="Arial" w:cs="Arial"/>
          <w:bCs/>
          <w:iCs/>
          <w:sz w:val="20"/>
          <w:szCs w:val="20"/>
        </w:rPr>
        <w:t xml:space="preserve">Il </w:t>
      </w:r>
      <w:r w:rsidRPr="006D1C28">
        <w:rPr>
          <w:rFonts w:ascii="Arial" w:eastAsia="Times New Roman" w:hAnsi="Arial" w:cs="Arial"/>
          <w:bCs/>
          <w:iCs/>
          <w:sz w:val="20"/>
          <w:szCs w:val="20"/>
        </w:rPr>
        <w:t xml:space="preserve">Rapporto sui </w:t>
      </w:r>
      <w:proofErr w:type="spellStart"/>
      <w:r w:rsidRPr="009C0A18">
        <w:rPr>
          <w:rFonts w:ascii="Arial" w:eastAsia="Times New Roman" w:hAnsi="Arial" w:cs="Arial"/>
          <w:bCs/>
          <w:i/>
          <w:sz w:val="20"/>
          <w:szCs w:val="20"/>
        </w:rPr>
        <w:t>Sustainable</w:t>
      </w:r>
      <w:proofErr w:type="spellEnd"/>
      <w:r w:rsidRPr="009C0A18">
        <w:rPr>
          <w:rFonts w:ascii="Arial" w:eastAsia="Times New Roman" w:hAnsi="Arial" w:cs="Arial"/>
          <w:bCs/>
          <w:i/>
          <w:sz w:val="20"/>
          <w:szCs w:val="20"/>
        </w:rPr>
        <w:t xml:space="preserve"> Development </w:t>
      </w:r>
      <w:proofErr w:type="spellStart"/>
      <w:r w:rsidRPr="009C0A18">
        <w:rPr>
          <w:rFonts w:ascii="Arial" w:eastAsia="Times New Roman" w:hAnsi="Arial" w:cs="Arial"/>
          <w:bCs/>
          <w:i/>
          <w:sz w:val="20"/>
          <w:szCs w:val="20"/>
        </w:rPr>
        <w:t>Goals</w:t>
      </w:r>
      <w:proofErr w:type="spellEnd"/>
      <w:r w:rsidRPr="006D1C28">
        <w:rPr>
          <w:rFonts w:ascii="Arial" w:eastAsia="Times New Roman" w:hAnsi="Arial" w:cs="Arial"/>
          <w:bCs/>
          <w:iCs/>
          <w:sz w:val="20"/>
          <w:szCs w:val="20"/>
        </w:rPr>
        <w:t xml:space="preserve"> (</w:t>
      </w:r>
      <w:proofErr w:type="spellStart"/>
      <w:r w:rsidRPr="006D1C28">
        <w:rPr>
          <w:rFonts w:ascii="Arial" w:eastAsia="Times New Roman" w:hAnsi="Arial" w:cs="Arial"/>
          <w:bCs/>
          <w:iCs/>
          <w:sz w:val="20"/>
          <w:szCs w:val="20"/>
        </w:rPr>
        <w:t>SDGs</w:t>
      </w:r>
      <w:proofErr w:type="spellEnd"/>
      <w:r w:rsidRPr="006D1C28">
        <w:rPr>
          <w:rFonts w:ascii="Arial" w:eastAsia="Times New Roman" w:hAnsi="Arial" w:cs="Arial"/>
          <w:bCs/>
          <w:iCs/>
          <w:sz w:val="20"/>
          <w:szCs w:val="20"/>
        </w:rPr>
        <w:t>)</w:t>
      </w:r>
      <w:r>
        <w:rPr>
          <w:rFonts w:ascii="Arial" w:eastAsia="Times New Roman" w:hAnsi="Arial" w:cs="Arial"/>
          <w:bCs/>
          <w:iCs/>
          <w:sz w:val="20"/>
          <w:szCs w:val="20"/>
        </w:rPr>
        <w:t xml:space="preserve"> </w:t>
      </w:r>
      <w:r w:rsidR="0077487E">
        <w:rPr>
          <w:rFonts w:ascii="Arial" w:eastAsia="Times New Roman" w:hAnsi="Arial" w:cs="Arial"/>
          <w:bCs/>
          <w:iCs/>
          <w:sz w:val="20"/>
          <w:szCs w:val="20"/>
        </w:rPr>
        <w:t xml:space="preserve">presenta l’aggiornamento e l’analisi </w:t>
      </w:r>
      <w:r w:rsidR="00F91D1B">
        <w:rPr>
          <w:rFonts w:ascii="Arial" w:eastAsia="Times New Roman" w:hAnsi="Arial" w:cs="Arial"/>
          <w:bCs/>
          <w:iCs/>
          <w:sz w:val="20"/>
          <w:szCs w:val="20"/>
        </w:rPr>
        <w:t>del</w:t>
      </w:r>
      <w:r>
        <w:rPr>
          <w:rFonts w:ascii="Arial" w:eastAsia="Times New Roman" w:hAnsi="Arial" w:cs="Arial"/>
          <w:bCs/>
          <w:iCs/>
          <w:sz w:val="20"/>
          <w:szCs w:val="20"/>
        </w:rPr>
        <w:t>le misure statistiche finalizzate</w:t>
      </w:r>
      <w:r w:rsidRPr="006D1C28">
        <w:rPr>
          <w:rFonts w:ascii="Arial" w:eastAsia="Times New Roman" w:hAnsi="Arial" w:cs="Arial"/>
          <w:bCs/>
          <w:iCs/>
          <w:sz w:val="20"/>
          <w:szCs w:val="20"/>
        </w:rPr>
        <w:t xml:space="preserve"> </w:t>
      </w:r>
      <w:r w:rsidRPr="003233DC">
        <w:rPr>
          <w:rFonts w:ascii="Arial" w:eastAsia="Times New Roman" w:hAnsi="Arial" w:cs="Arial"/>
          <w:bCs/>
          <w:iCs/>
          <w:sz w:val="20"/>
          <w:szCs w:val="20"/>
        </w:rPr>
        <w:t>al monitoraggio dell’Agenda 2030 per il nostro Paese</w:t>
      </w:r>
      <w:r w:rsidR="00EA6F22">
        <w:rPr>
          <w:rFonts w:ascii="Arial" w:eastAsia="Times New Roman" w:hAnsi="Arial" w:cs="Arial"/>
          <w:bCs/>
          <w:iCs/>
          <w:sz w:val="20"/>
          <w:szCs w:val="20"/>
        </w:rPr>
        <w:t xml:space="preserve">, </w:t>
      </w:r>
      <w:r>
        <w:rPr>
          <w:rFonts w:ascii="Arial" w:eastAsia="Times New Roman" w:hAnsi="Arial" w:cs="Arial"/>
          <w:bCs/>
          <w:iCs/>
          <w:sz w:val="20"/>
          <w:szCs w:val="20"/>
        </w:rPr>
        <w:t>contribu</w:t>
      </w:r>
      <w:r w:rsidR="00EA6F22">
        <w:rPr>
          <w:rFonts w:ascii="Arial" w:eastAsia="Times New Roman" w:hAnsi="Arial" w:cs="Arial"/>
          <w:bCs/>
          <w:iCs/>
          <w:sz w:val="20"/>
          <w:szCs w:val="20"/>
        </w:rPr>
        <w:t xml:space="preserve">endo </w:t>
      </w:r>
      <w:r w:rsidRPr="003233DC">
        <w:rPr>
          <w:rFonts w:ascii="Arial" w:eastAsia="Times New Roman" w:hAnsi="Arial" w:cs="Arial"/>
          <w:bCs/>
          <w:iCs/>
          <w:sz w:val="20"/>
          <w:szCs w:val="20"/>
        </w:rPr>
        <w:t>alla realizzazione di questo progetto globale</w:t>
      </w:r>
      <w:r w:rsidR="006E7CB4" w:rsidRPr="00345BFD">
        <w:rPr>
          <w:rFonts w:ascii="Arial" w:hAnsi="Arial" w:cs="Arial"/>
          <w:bCs/>
          <w:iCs/>
          <w:sz w:val="20"/>
          <w:szCs w:val="20"/>
          <w:vertAlign w:val="superscript"/>
        </w:rPr>
        <w:footnoteReference w:id="1"/>
      </w:r>
      <w:r w:rsidR="00FB3628" w:rsidRPr="00345BFD">
        <w:rPr>
          <w:rFonts w:ascii="Arial" w:eastAsia="Times New Roman" w:hAnsi="Arial" w:cs="Arial"/>
          <w:bCs/>
          <w:iCs/>
          <w:sz w:val="20"/>
          <w:szCs w:val="20"/>
        </w:rPr>
        <w:t xml:space="preserve">.  </w:t>
      </w:r>
    </w:p>
    <w:p w14:paraId="05D60A14" w14:textId="47C2E385" w:rsidR="006E7CB4" w:rsidRPr="00D80BF9" w:rsidRDefault="00FB3628" w:rsidP="00E34F20">
      <w:pPr>
        <w:spacing w:after="120" w:line="240" w:lineRule="auto"/>
        <w:jc w:val="both"/>
        <w:rPr>
          <w:rFonts w:ascii="Arial" w:eastAsia="Times New Roman" w:hAnsi="Arial" w:cs="Arial"/>
          <w:bCs/>
          <w:iCs/>
          <w:sz w:val="20"/>
          <w:szCs w:val="20"/>
        </w:rPr>
      </w:pPr>
      <w:r w:rsidRPr="00345BFD">
        <w:rPr>
          <w:rFonts w:ascii="Arial" w:eastAsia="Times New Roman" w:hAnsi="Arial" w:cs="Arial"/>
          <w:bCs/>
          <w:iCs/>
          <w:sz w:val="20"/>
          <w:szCs w:val="20"/>
        </w:rPr>
        <w:t>I 17 Obiettivi di sviluppo sostenibile (</w:t>
      </w:r>
      <w:proofErr w:type="spellStart"/>
      <w:r w:rsidRPr="00345BFD">
        <w:rPr>
          <w:rFonts w:ascii="Arial" w:eastAsia="Times New Roman" w:hAnsi="Arial" w:cs="Arial"/>
          <w:bCs/>
          <w:iCs/>
          <w:sz w:val="20"/>
          <w:szCs w:val="20"/>
        </w:rPr>
        <w:t>SDGs</w:t>
      </w:r>
      <w:proofErr w:type="spellEnd"/>
      <w:r w:rsidRPr="00345BFD">
        <w:rPr>
          <w:rFonts w:ascii="Arial" w:eastAsia="Times New Roman" w:hAnsi="Arial" w:cs="Arial"/>
          <w:bCs/>
          <w:iCs/>
          <w:sz w:val="20"/>
          <w:szCs w:val="20"/>
        </w:rPr>
        <w:t xml:space="preserve">), e i relativi 169 </w:t>
      </w:r>
      <w:r w:rsidRPr="00311090">
        <w:rPr>
          <w:rFonts w:ascii="Arial" w:eastAsia="Times New Roman" w:hAnsi="Arial" w:cs="Arial"/>
          <w:bCs/>
          <w:sz w:val="20"/>
          <w:szCs w:val="20"/>
        </w:rPr>
        <w:t>target</w:t>
      </w:r>
      <w:r w:rsidRPr="00345BFD">
        <w:rPr>
          <w:rFonts w:ascii="Arial" w:eastAsia="Times New Roman" w:hAnsi="Arial" w:cs="Arial"/>
          <w:bCs/>
          <w:iCs/>
          <w:sz w:val="20"/>
          <w:szCs w:val="20"/>
        </w:rPr>
        <w:t xml:space="preserve"> specifici in cui sono declinati</w:t>
      </w:r>
      <w:r w:rsidR="00BA0D1F">
        <w:rPr>
          <w:rFonts w:ascii="Arial" w:eastAsia="Times New Roman" w:hAnsi="Arial" w:cs="Arial"/>
          <w:bCs/>
          <w:iCs/>
          <w:sz w:val="20"/>
          <w:szCs w:val="20"/>
        </w:rPr>
        <w:t>,</w:t>
      </w:r>
      <w:r w:rsidRPr="00345BFD">
        <w:rPr>
          <w:rFonts w:ascii="Arial" w:eastAsia="Times New Roman" w:hAnsi="Arial" w:cs="Arial"/>
          <w:bCs/>
          <w:iCs/>
          <w:sz w:val="20"/>
          <w:szCs w:val="20"/>
        </w:rPr>
        <w:t xml:space="preserve"> bilanciano le tre dimensioni dello sviluppo sostenibile, estendendo l'Agenda 2030 dal solo pilastro sociale, previsto dagli Obiettivi del Millennio, agli altri due pilastri, economico e ambientale, cui si aggiunge la dimensione istituzionale. </w:t>
      </w:r>
      <w:r w:rsidR="00B47FB4">
        <w:rPr>
          <w:rFonts w:ascii="Arial" w:eastAsia="Times New Roman" w:hAnsi="Arial" w:cs="Arial"/>
          <w:bCs/>
          <w:iCs/>
          <w:sz w:val="20"/>
          <w:szCs w:val="20"/>
        </w:rPr>
        <w:t xml:space="preserve"> </w:t>
      </w:r>
    </w:p>
    <w:p w14:paraId="63BFF052" w14:textId="77777777" w:rsidR="00B05791" w:rsidRDefault="0077487E" w:rsidP="00E34F20">
      <w:pPr>
        <w:spacing w:after="120" w:line="240" w:lineRule="auto"/>
        <w:jc w:val="both"/>
        <w:rPr>
          <w:rFonts w:ascii="Arial" w:eastAsia="Times New Roman" w:hAnsi="Arial" w:cs="Arial"/>
          <w:bCs/>
          <w:iCs/>
          <w:sz w:val="20"/>
          <w:szCs w:val="20"/>
        </w:rPr>
      </w:pPr>
      <w:r>
        <w:rPr>
          <w:rFonts w:ascii="Arial" w:eastAsia="Times New Roman" w:hAnsi="Arial" w:cs="Arial"/>
          <w:bCs/>
          <w:iCs/>
          <w:sz w:val="20"/>
          <w:szCs w:val="20"/>
        </w:rPr>
        <w:t>L</w:t>
      </w:r>
      <w:r w:rsidR="00F91D1B" w:rsidRPr="00F91D1B">
        <w:rPr>
          <w:rFonts w:ascii="Arial" w:eastAsia="Times New Roman" w:hAnsi="Arial" w:cs="Arial"/>
          <w:bCs/>
          <w:iCs/>
          <w:sz w:val="20"/>
          <w:szCs w:val="20"/>
        </w:rPr>
        <w:t xml:space="preserve">a quinta edizione del Rapporto sui </w:t>
      </w:r>
      <w:proofErr w:type="spellStart"/>
      <w:r w:rsidR="00F91D1B" w:rsidRPr="009C0A18">
        <w:rPr>
          <w:rFonts w:ascii="Arial" w:eastAsia="Times New Roman" w:hAnsi="Arial" w:cs="Arial"/>
          <w:bCs/>
          <w:i/>
          <w:sz w:val="20"/>
          <w:szCs w:val="20"/>
        </w:rPr>
        <w:t>Sustainable</w:t>
      </w:r>
      <w:proofErr w:type="spellEnd"/>
      <w:r w:rsidR="00F91D1B" w:rsidRPr="009C0A18">
        <w:rPr>
          <w:rFonts w:ascii="Arial" w:eastAsia="Times New Roman" w:hAnsi="Arial" w:cs="Arial"/>
          <w:bCs/>
          <w:i/>
          <w:sz w:val="20"/>
          <w:szCs w:val="20"/>
        </w:rPr>
        <w:t xml:space="preserve"> Development </w:t>
      </w:r>
      <w:proofErr w:type="spellStart"/>
      <w:r w:rsidR="00F91D1B" w:rsidRPr="009C0A18">
        <w:rPr>
          <w:rFonts w:ascii="Arial" w:eastAsia="Times New Roman" w:hAnsi="Arial" w:cs="Arial"/>
          <w:bCs/>
          <w:i/>
          <w:sz w:val="20"/>
          <w:szCs w:val="20"/>
        </w:rPr>
        <w:t>Goals</w:t>
      </w:r>
      <w:proofErr w:type="spellEnd"/>
      <w:r w:rsidR="00F91D1B" w:rsidRPr="00F91D1B">
        <w:rPr>
          <w:rFonts w:ascii="Arial" w:eastAsia="Times New Roman" w:hAnsi="Arial" w:cs="Arial"/>
          <w:bCs/>
          <w:iCs/>
          <w:sz w:val="20"/>
          <w:szCs w:val="20"/>
        </w:rPr>
        <w:t xml:space="preserve"> (</w:t>
      </w:r>
      <w:proofErr w:type="spellStart"/>
      <w:r w:rsidR="00F91D1B" w:rsidRPr="00F91D1B">
        <w:rPr>
          <w:rFonts w:ascii="Arial" w:eastAsia="Times New Roman" w:hAnsi="Arial" w:cs="Arial"/>
          <w:bCs/>
          <w:iCs/>
          <w:sz w:val="20"/>
          <w:szCs w:val="20"/>
        </w:rPr>
        <w:t>SDGs</w:t>
      </w:r>
      <w:proofErr w:type="spellEnd"/>
      <w:r w:rsidR="00F91D1B" w:rsidRPr="00F91D1B">
        <w:rPr>
          <w:rFonts w:ascii="Arial" w:eastAsia="Times New Roman" w:hAnsi="Arial" w:cs="Arial"/>
          <w:bCs/>
          <w:iCs/>
          <w:sz w:val="20"/>
          <w:szCs w:val="20"/>
        </w:rPr>
        <w:t xml:space="preserve">) </w:t>
      </w:r>
      <w:r>
        <w:rPr>
          <w:rFonts w:ascii="Arial" w:eastAsia="Times New Roman" w:hAnsi="Arial" w:cs="Arial"/>
          <w:bCs/>
          <w:iCs/>
          <w:sz w:val="20"/>
          <w:szCs w:val="20"/>
        </w:rPr>
        <w:t>include la diffusione di</w:t>
      </w:r>
      <w:r w:rsidR="00F91D1B">
        <w:rPr>
          <w:rFonts w:ascii="Arial" w:eastAsia="Times New Roman" w:hAnsi="Arial" w:cs="Arial"/>
          <w:bCs/>
          <w:iCs/>
          <w:sz w:val="20"/>
          <w:szCs w:val="20"/>
        </w:rPr>
        <w:t xml:space="preserve"> </w:t>
      </w:r>
      <w:r w:rsidR="00F91D1B" w:rsidRPr="00F91D1B">
        <w:rPr>
          <w:rFonts w:ascii="Arial" w:eastAsia="Times New Roman" w:hAnsi="Arial" w:cs="Arial"/>
          <w:bCs/>
          <w:iCs/>
          <w:sz w:val="20"/>
          <w:szCs w:val="20"/>
        </w:rPr>
        <w:t>371 misure statistiche</w:t>
      </w:r>
      <w:r w:rsidR="00F91D1B">
        <w:rPr>
          <w:rStyle w:val="Rimandonotaapidipagina"/>
          <w:rFonts w:ascii="Arial" w:eastAsia="Times New Roman" w:hAnsi="Arial" w:cs="Arial"/>
          <w:bCs/>
          <w:iCs/>
          <w:sz w:val="20"/>
          <w:szCs w:val="20"/>
        </w:rPr>
        <w:footnoteReference w:id="2"/>
      </w:r>
      <w:r w:rsidR="00F91D1B" w:rsidRPr="00F91D1B">
        <w:rPr>
          <w:rFonts w:ascii="Arial" w:eastAsia="Times New Roman" w:hAnsi="Arial" w:cs="Arial"/>
          <w:bCs/>
          <w:iCs/>
          <w:sz w:val="20"/>
          <w:szCs w:val="20"/>
        </w:rPr>
        <w:t xml:space="preserve"> che corrispondono a 138 indicatori tra quelli proposti </w:t>
      </w:r>
      <w:r w:rsidR="00D81D4E">
        <w:rPr>
          <w:rFonts w:ascii="Arial" w:eastAsia="Times New Roman" w:hAnsi="Arial" w:cs="Arial"/>
          <w:bCs/>
          <w:iCs/>
          <w:sz w:val="20"/>
          <w:szCs w:val="20"/>
        </w:rPr>
        <w:t xml:space="preserve">da </w:t>
      </w:r>
      <w:r w:rsidR="00F91D1B" w:rsidRPr="00F91D1B">
        <w:rPr>
          <w:rFonts w:ascii="Arial" w:eastAsia="Times New Roman" w:hAnsi="Arial" w:cs="Arial"/>
          <w:bCs/>
          <w:iCs/>
          <w:sz w:val="20"/>
          <w:szCs w:val="20"/>
        </w:rPr>
        <w:t>UN-IAEG-</w:t>
      </w:r>
      <w:proofErr w:type="spellStart"/>
      <w:r w:rsidR="00F91D1B" w:rsidRPr="00F91D1B">
        <w:rPr>
          <w:rFonts w:ascii="Arial" w:eastAsia="Times New Roman" w:hAnsi="Arial" w:cs="Arial"/>
          <w:bCs/>
          <w:iCs/>
          <w:sz w:val="20"/>
          <w:szCs w:val="20"/>
        </w:rPr>
        <w:t>SDGs</w:t>
      </w:r>
      <w:proofErr w:type="spellEnd"/>
      <w:r w:rsidR="00F91D1B" w:rsidRPr="00F91D1B">
        <w:rPr>
          <w:rFonts w:ascii="Arial" w:eastAsia="Times New Roman" w:hAnsi="Arial" w:cs="Arial"/>
          <w:bCs/>
          <w:iCs/>
          <w:sz w:val="20"/>
          <w:szCs w:val="20"/>
        </w:rPr>
        <w:t xml:space="preserve"> per il monitoraggio degli avanzamenti dell’Agenda 2030 a livello globale</w:t>
      </w:r>
      <w:r w:rsidR="00404D58">
        <w:rPr>
          <w:rFonts w:ascii="Arial" w:eastAsia="Times New Roman" w:hAnsi="Arial" w:cs="Arial"/>
          <w:bCs/>
          <w:iCs/>
          <w:sz w:val="20"/>
          <w:szCs w:val="20"/>
        </w:rPr>
        <w:t xml:space="preserve"> (Figura 1)</w:t>
      </w:r>
      <w:r w:rsidR="00F91D1B">
        <w:rPr>
          <w:rFonts w:ascii="Arial" w:eastAsia="Times New Roman" w:hAnsi="Arial" w:cs="Arial"/>
          <w:bCs/>
          <w:iCs/>
          <w:sz w:val="20"/>
          <w:szCs w:val="20"/>
        </w:rPr>
        <w:t>.</w:t>
      </w:r>
    </w:p>
    <w:p w14:paraId="05D83FCA" w14:textId="1475E64C" w:rsidR="00F91D1B" w:rsidRDefault="00311090" w:rsidP="00E34F20">
      <w:pPr>
        <w:spacing w:after="120" w:line="240" w:lineRule="auto"/>
        <w:jc w:val="both"/>
        <w:rPr>
          <w:rFonts w:ascii="Arial" w:eastAsia="Times New Roman" w:hAnsi="Arial" w:cs="Arial"/>
          <w:bCs/>
          <w:iCs/>
          <w:sz w:val="20"/>
          <w:szCs w:val="20"/>
        </w:rPr>
      </w:pPr>
      <w:r w:rsidRPr="00311090">
        <w:rPr>
          <w:rFonts w:ascii="Arial" w:eastAsia="Times New Roman" w:hAnsi="Arial" w:cs="Arial"/>
          <w:bCs/>
          <w:iCs/>
          <w:sz w:val="20"/>
          <w:szCs w:val="20"/>
        </w:rPr>
        <w:t>Il Rapporto è stato chiuso con le informazioni disponibili al</w:t>
      </w:r>
      <w:r>
        <w:rPr>
          <w:rFonts w:ascii="Arial" w:eastAsia="Times New Roman" w:hAnsi="Arial" w:cs="Arial"/>
          <w:bCs/>
          <w:iCs/>
          <w:sz w:val="20"/>
          <w:szCs w:val="20"/>
        </w:rPr>
        <w:t xml:space="preserve"> </w:t>
      </w:r>
      <w:r w:rsidRPr="00027F92">
        <w:rPr>
          <w:rFonts w:ascii="Arial" w:eastAsia="Times New Roman" w:hAnsi="Arial" w:cs="Arial"/>
          <w:bCs/>
          <w:iCs/>
          <w:sz w:val="20"/>
          <w:szCs w:val="20"/>
        </w:rPr>
        <w:t>9 settembre 2022</w:t>
      </w:r>
      <w:r>
        <w:rPr>
          <w:rFonts w:ascii="Arial" w:eastAsia="Times New Roman" w:hAnsi="Arial" w:cs="Arial"/>
          <w:bCs/>
          <w:iCs/>
          <w:sz w:val="20"/>
          <w:szCs w:val="20"/>
        </w:rPr>
        <w:t>: r</w:t>
      </w:r>
      <w:r w:rsidR="00AB34F7" w:rsidRPr="0092717F">
        <w:rPr>
          <w:rFonts w:ascii="Arial" w:eastAsia="Times New Roman" w:hAnsi="Arial" w:cs="Arial"/>
          <w:bCs/>
          <w:iCs/>
          <w:sz w:val="20"/>
          <w:szCs w:val="20"/>
        </w:rPr>
        <w:t xml:space="preserve">ispetto alla </w:t>
      </w:r>
      <w:r w:rsidR="00AB34F7">
        <w:rPr>
          <w:rFonts w:ascii="Arial" w:eastAsia="Times New Roman" w:hAnsi="Arial" w:cs="Arial"/>
          <w:bCs/>
          <w:iCs/>
          <w:sz w:val="20"/>
          <w:szCs w:val="20"/>
        </w:rPr>
        <w:t>diffusione</w:t>
      </w:r>
      <w:r w:rsidR="00AB34F7" w:rsidRPr="0092717F">
        <w:rPr>
          <w:rFonts w:ascii="Arial" w:eastAsia="Times New Roman" w:hAnsi="Arial" w:cs="Arial"/>
          <w:bCs/>
          <w:iCs/>
          <w:sz w:val="20"/>
          <w:szCs w:val="20"/>
        </w:rPr>
        <w:t xml:space="preserve"> di </w:t>
      </w:r>
      <w:r w:rsidR="00AB34F7">
        <w:rPr>
          <w:rFonts w:ascii="Arial" w:eastAsia="Times New Roman" w:hAnsi="Arial" w:cs="Arial"/>
          <w:bCs/>
          <w:iCs/>
          <w:sz w:val="20"/>
          <w:szCs w:val="20"/>
        </w:rPr>
        <w:t>febbraio 2022</w:t>
      </w:r>
      <w:r w:rsidR="00AB34F7" w:rsidRPr="0092717F">
        <w:rPr>
          <w:rFonts w:ascii="Arial" w:eastAsia="Times New Roman" w:hAnsi="Arial" w:cs="Arial"/>
          <w:bCs/>
          <w:iCs/>
          <w:sz w:val="20"/>
          <w:szCs w:val="20"/>
        </w:rPr>
        <w:t xml:space="preserve">, </w:t>
      </w:r>
      <w:r w:rsidR="00AB34F7" w:rsidRPr="00AB34F7">
        <w:rPr>
          <w:rFonts w:ascii="Arial" w:eastAsia="Times New Roman" w:hAnsi="Arial" w:cs="Arial"/>
          <w:bCs/>
          <w:iCs/>
          <w:sz w:val="20"/>
          <w:szCs w:val="20"/>
        </w:rPr>
        <w:t xml:space="preserve">sono state aggiornate 188 misure statistiche e ne sono state introdotte </w:t>
      </w:r>
      <w:r w:rsidR="001959D0">
        <w:rPr>
          <w:rFonts w:ascii="Arial" w:eastAsia="Times New Roman" w:hAnsi="Arial" w:cs="Arial"/>
          <w:bCs/>
          <w:iCs/>
          <w:sz w:val="20"/>
          <w:szCs w:val="20"/>
        </w:rPr>
        <w:t>quattro</w:t>
      </w:r>
      <w:r w:rsidR="00AB34F7" w:rsidRPr="00AB34F7">
        <w:rPr>
          <w:rFonts w:ascii="Arial" w:eastAsia="Times New Roman" w:hAnsi="Arial" w:cs="Arial"/>
          <w:bCs/>
          <w:iCs/>
          <w:sz w:val="20"/>
          <w:szCs w:val="20"/>
        </w:rPr>
        <w:t xml:space="preserve"> nuove</w:t>
      </w:r>
      <w:r w:rsidR="00027F92">
        <w:rPr>
          <w:rFonts w:ascii="Arial" w:eastAsia="Times New Roman" w:hAnsi="Arial" w:cs="Arial"/>
          <w:bCs/>
          <w:iCs/>
          <w:sz w:val="20"/>
          <w:szCs w:val="20"/>
        </w:rPr>
        <w:t>.</w:t>
      </w:r>
    </w:p>
    <w:p w14:paraId="0B154E79" w14:textId="77777777" w:rsidR="00751BA6" w:rsidRDefault="00751BA6" w:rsidP="00E34F20">
      <w:pPr>
        <w:spacing w:after="0" w:line="240" w:lineRule="auto"/>
        <w:jc w:val="both"/>
        <w:rPr>
          <w:rFonts w:ascii="Arial" w:eastAsia="Times New Roman" w:hAnsi="Arial" w:cs="Arial"/>
          <w:bCs/>
          <w:iCs/>
          <w:sz w:val="20"/>
          <w:szCs w:val="20"/>
        </w:rPr>
      </w:pPr>
    </w:p>
    <w:p w14:paraId="467282EA" w14:textId="42AD226B" w:rsidR="00404D58" w:rsidRDefault="00404D58" w:rsidP="00FF2428">
      <w:pPr>
        <w:pStyle w:val="Testonormale"/>
        <w:spacing w:after="160"/>
        <w:jc w:val="both"/>
        <w:rPr>
          <w:rFonts w:ascii="Arial" w:hAnsi="Arial" w:cs="Arial"/>
          <w:b/>
        </w:rPr>
      </w:pPr>
      <w:r w:rsidRPr="00E34F20">
        <w:rPr>
          <w:rFonts w:ascii="Arial" w:hAnsi="Arial" w:cs="Arial"/>
          <w:b/>
        </w:rPr>
        <w:t>Figura 1 - Misure statistiche Istat-</w:t>
      </w:r>
      <w:proofErr w:type="spellStart"/>
      <w:r w:rsidRPr="00E34F20">
        <w:rPr>
          <w:rFonts w:ascii="Arial" w:hAnsi="Arial" w:cs="Arial"/>
          <w:b/>
        </w:rPr>
        <w:t>SDGs</w:t>
      </w:r>
      <w:proofErr w:type="spellEnd"/>
      <w:r w:rsidRPr="00E34F20">
        <w:rPr>
          <w:rFonts w:ascii="Arial" w:hAnsi="Arial" w:cs="Arial"/>
          <w:b/>
        </w:rPr>
        <w:t xml:space="preserve"> e indicatori UN-IAEG-</w:t>
      </w:r>
      <w:proofErr w:type="spellStart"/>
      <w:r w:rsidRPr="00E34F20">
        <w:rPr>
          <w:rFonts w:ascii="Arial" w:hAnsi="Arial" w:cs="Arial"/>
          <w:b/>
        </w:rPr>
        <w:t>SDGs</w:t>
      </w:r>
      <w:proofErr w:type="spellEnd"/>
      <w:r w:rsidRPr="00E34F20">
        <w:rPr>
          <w:rFonts w:ascii="Arial" w:hAnsi="Arial" w:cs="Arial"/>
          <w:b/>
        </w:rPr>
        <w:t>, per occasione di diffusione</w:t>
      </w:r>
      <w:r w:rsidRPr="007826E3">
        <w:rPr>
          <w:rFonts w:ascii="Arial" w:hAnsi="Arial" w:cs="Arial"/>
          <w:b/>
        </w:rPr>
        <w:t xml:space="preserve"> </w:t>
      </w:r>
    </w:p>
    <w:p w14:paraId="691F8C8A" w14:textId="3ECAA8DF" w:rsidR="00424F70" w:rsidRDefault="009D14D7" w:rsidP="00E34F20">
      <w:pPr>
        <w:pStyle w:val="Testonormale"/>
        <w:rPr>
          <w:rFonts w:ascii="Arial" w:hAnsi="Arial" w:cs="Arial"/>
          <w:bCs/>
          <w:iCs/>
        </w:rPr>
      </w:pPr>
      <w:r>
        <w:rPr>
          <w:noProof/>
        </w:rPr>
        <w:drawing>
          <wp:inline distT="0" distB="0" distL="0" distR="0" wp14:anchorId="1EC8C136" wp14:editId="58B759D8">
            <wp:extent cx="6084000" cy="2890800"/>
            <wp:effectExtent l="0" t="0" r="0" b="5080"/>
            <wp:docPr id="29" name="Immagin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4000" cy="2890800"/>
                    </a:xfrm>
                    <a:prstGeom prst="rect">
                      <a:avLst/>
                    </a:prstGeom>
                    <a:noFill/>
                    <a:ln>
                      <a:noFill/>
                    </a:ln>
                  </pic:spPr>
                </pic:pic>
              </a:graphicData>
            </a:graphic>
          </wp:inline>
        </w:drawing>
      </w:r>
    </w:p>
    <w:p w14:paraId="2EBCBA07" w14:textId="31B9AEE2" w:rsidR="00A35B68" w:rsidRPr="00E34F20" w:rsidRDefault="00A35B68" w:rsidP="00E34F20">
      <w:pPr>
        <w:spacing w:after="0" w:line="240" w:lineRule="auto"/>
        <w:jc w:val="both"/>
        <w:rPr>
          <w:rFonts w:ascii="Arial" w:eastAsia="Times New Roman" w:hAnsi="Arial" w:cs="Arial"/>
          <w:bCs/>
          <w:iCs/>
          <w:sz w:val="20"/>
          <w:szCs w:val="20"/>
        </w:rPr>
      </w:pPr>
    </w:p>
    <w:p w14:paraId="462C1D0C" w14:textId="77777777" w:rsidR="00F21747" w:rsidRDefault="00EA6F22" w:rsidP="00E34F20">
      <w:pPr>
        <w:spacing w:after="120" w:line="240" w:lineRule="auto"/>
        <w:jc w:val="both"/>
        <w:rPr>
          <w:rFonts w:ascii="Arial" w:eastAsia="Times New Roman" w:hAnsi="Arial" w:cs="Arial"/>
          <w:bCs/>
          <w:iCs/>
          <w:sz w:val="20"/>
          <w:szCs w:val="20"/>
        </w:rPr>
      </w:pPr>
      <w:r>
        <w:rPr>
          <w:rFonts w:ascii="Arial" w:eastAsia="Times New Roman" w:hAnsi="Arial" w:cs="Arial"/>
          <w:bCs/>
          <w:iCs/>
          <w:sz w:val="20"/>
          <w:szCs w:val="20"/>
        </w:rPr>
        <w:t xml:space="preserve">Lo sviluppo del </w:t>
      </w:r>
      <w:proofErr w:type="spellStart"/>
      <w:r w:rsidRPr="00F21747">
        <w:rPr>
          <w:rFonts w:ascii="Arial" w:eastAsia="Times New Roman" w:hAnsi="Arial" w:cs="Arial"/>
          <w:bCs/>
          <w:i/>
          <w:iCs/>
          <w:sz w:val="20"/>
          <w:szCs w:val="20"/>
        </w:rPr>
        <w:t>framework</w:t>
      </w:r>
      <w:proofErr w:type="spellEnd"/>
      <w:r>
        <w:rPr>
          <w:rFonts w:ascii="Arial" w:eastAsia="Times New Roman" w:hAnsi="Arial" w:cs="Arial"/>
          <w:bCs/>
          <w:iCs/>
          <w:sz w:val="20"/>
          <w:szCs w:val="20"/>
        </w:rPr>
        <w:t xml:space="preserve"> sugli </w:t>
      </w:r>
      <w:proofErr w:type="spellStart"/>
      <w:r>
        <w:rPr>
          <w:rFonts w:ascii="Arial" w:eastAsia="Times New Roman" w:hAnsi="Arial" w:cs="Arial"/>
          <w:bCs/>
          <w:iCs/>
          <w:sz w:val="20"/>
          <w:szCs w:val="20"/>
        </w:rPr>
        <w:t>SDGs</w:t>
      </w:r>
      <w:proofErr w:type="spellEnd"/>
      <w:r>
        <w:rPr>
          <w:rFonts w:ascii="Arial" w:eastAsia="Times New Roman" w:hAnsi="Arial" w:cs="Arial"/>
          <w:bCs/>
          <w:iCs/>
          <w:sz w:val="20"/>
          <w:szCs w:val="20"/>
        </w:rPr>
        <w:t xml:space="preserve"> costituisce</w:t>
      </w:r>
      <w:r w:rsidRPr="00BC3311">
        <w:rPr>
          <w:rFonts w:ascii="Arial" w:eastAsia="Times New Roman" w:hAnsi="Arial" w:cs="Arial"/>
          <w:bCs/>
          <w:iCs/>
          <w:sz w:val="20"/>
          <w:szCs w:val="20"/>
        </w:rPr>
        <w:t xml:space="preserve"> un lavoro in continua evoluzione che tiene conto </w:t>
      </w:r>
      <w:r>
        <w:rPr>
          <w:rFonts w:ascii="Arial" w:eastAsia="Times New Roman" w:hAnsi="Arial" w:cs="Arial"/>
          <w:bCs/>
          <w:iCs/>
          <w:sz w:val="20"/>
          <w:szCs w:val="20"/>
        </w:rPr>
        <w:t>della</w:t>
      </w:r>
      <w:r w:rsidRPr="00BC3311">
        <w:rPr>
          <w:rFonts w:ascii="Arial" w:eastAsia="Times New Roman" w:hAnsi="Arial" w:cs="Arial"/>
          <w:bCs/>
          <w:iCs/>
          <w:sz w:val="20"/>
          <w:szCs w:val="20"/>
        </w:rPr>
        <w:t xml:space="preserve"> progressiva estensione e articolazione dell’attività di “mappatura” degli indicatori proposti da UN-IAEG-</w:t>
      </w:r>
      <w:proofErr w:type="spellStart"/>
      <w:r w:rsidRPr="00BC3311">
        <w:rPr>
          <w:rFonts w:ascii="Arial" w:eastAsia="Times New Roman" w:hAnsi="Arial" w:cs="Arial"/>
          <w:bCs/>
          <w:iCs/>
          <w:sz w:val="20"/>
          <w:szCs w:val="20"/>
        </w:rPr>
        <w:t>SDGs</w:t>
      </w:r>
      <w:proofErr w:type="spellEnd"/>
      <w:r w:rsidRPr="00BC3311">
        <w:rPr>
          <w:rFonts w:ascii="Arial" w:eastAsia="Times New Roman" w:hAnsi="Arial" w:cs="Arial"/>
          <w:bCs/>
          <w:iCs/>
          <w:sz w:val="20"/>
          <w:szCs w:val="20"/>
        </w:rPr>
        <w:t xml:space="preserve"> </w:t>
      </w:r>
      <w:r>
        <w:rPr>
          <w:rFonts w:ascii="Arial" w:eastAsia="Times New Roman" w:hAnsi="Arial" w:cs="Arial"/>
          <w:bCs/>
          <w:iCs/>
          <w:sz w:val="20"/>
          <w:szCs w:val="20"/>
        </w:rPr>
        <w:t xml:space="preserve">e </w:t>
      </w:r>
      <w:r w:rsidRPr="00BC3311">
        <w:rPr>
          <w:rFonts w:ascii="Arial" w:eastAsia="Times New Roman" w:hAnsi="Arial" w:cs="Arial"/>
          <w:bCs/>
          <w:iCs/>
          <w:sz w:val="20"/>
          <w:szCs w:val="20"/>
        </w:rPr>
        <w:t>de</w:t>
      </w:r>
      <w:r>
        <w:rPr>
          <w:rFonts w:ascii="Arial" w:eastAsia="Times New Roman" w:hAnsi="Arial" w:cs="Arial"/>
          <w:bCs/>
          <w:iCs/>
          <w:sz w:val="20"/>
          <w:szCs w:val="20"/>
        </w:rPr>
        <w:t xml:space="preserve">gli avanzamenti </w:t>
      </w:r>
      <w:r w:rsidRPr="00BC3311">
        <w:rPr>
          <w:rFonts w:ascii="Arial" w:eastAsia="Times New Roman" w:hAnsi="Arial" w:cs="Arial"/>
          <w:bCs/>
          <w:iCs/>
          <w:sz w:val="20"/>
          <w:szCs w:val="20"/>
        </w:rPr>
        <w:t xml:space="preserve">nella produzione delle misure statistiche </w:t>
      </w:r>
      <w:r>
        <w:rPr>
          <w:rFonts w:ascii="Arial" w:eastAsia="Times New Roman" w:hAnsi="Arial" w:cs="Arial"/>
          <w:bCs/>
          <w:iCs/>
          <w:sz w:val="20"/>
          <w:szCs w:val="20"/>
        </w:rPr>
        <w:t>all’interno</w:t>
      </w:r>
      <w:r w:rsidRPr="00BC3311">
        <w:rPr>
          <w:rFonts w:ascii="Arial" w:eastAsia="Times New Roman" w:hAnsi="Arial" w:cs="Arial"/>
          <w:bCs/>
          <w:iCs/>
          <w:sz w:val="20"/>
          <w:szCs w:val="20"/>
        </w:rPr>
        <w:t xml:space="preserve"> del Sistema Statistico nazionale</w:t>
      </w:r>
      <w:r w:rsidRPr="005C7193">
        <w:rPr>
          <w:rFonts w:ascii="Arial" w:eastAsia="Times New Roman" w:hAnsi="Arial" w:cs="Arial"/>
          <w:bCs/>
          <w:iCs/>
          <w:sz w:val="20"/>
          <w:szCs w:val="20"/>
          <w:vertAlign w:val="superscript"/>
        </w:rPr>
        <w:footnoteReference w:id="3"/>
      </w:r>
      <w:r w:rsidRPr="00BC3311">
        <w:rPr>
          <w:rFonts w:ascii="Arial" w:eastAsia="Times New Roman" w:hAnsi="Arial" w:cs="Arial"/>
          <w:bCs/>
          <w:iCs/>
          <w:sz w:val="20"/>
          <w:szCs w:val="20"/>
        </w:rPr>
        <w:t>.</w:t>
      </w:r>
      <w:r>
        <w:rPr>
          <w:rFonts w:ascii="Arial" w:eastAsia="Times New Roman" w:hAnsi="Arial" w:cs="Arial"/>
          <w:bCs/>
          <w:iCs/>
          <w:sz w:val="20"/>
          <w:szCs w:val="20"/>
        </w:rPr>
        <w:t xml:space="preserve"> </w:t>
      </w:r>
    </w:p>
    <w:p w14:paraId="41801551" w14:textId="3230F976" w:rsidR="008C7F5A" w:rsidRDefault="001062B2" w:rsidP="00E34F20">
      <w:pPr>
        <w:spacing w:after="120" w:line="240" w:lineRule="auto"/>
        <w:jc w:val="both"/>
        <w:rPr>
          <w:rFonts w:ascii="Arial" w:eastAsia="Times New Roman" w:hAnsi="Arial" w:cs="Arial"/>
          <w:bCs/>
          <w:iCs/>
          <w:sz w:val="20"/>
          <w:szCs w:val="20"/>
        </w:rPr>
      </w:pPr>
      <w:r>
        <w:rPr>
          <w:rFonts w:ascii="Arial" w:eastAsia="Times New Roman" w:hAnsi="Arial" w:cs="Arial"/>
          <w:bCs/>
          <w:iCs/>
          <w:sz w:val="20"/>
          <w:szCs w:val="20"/>
        </w:rPr>
        <w:lastRenderedPageBreak/>
        <w:t>La presente edizione del Rapporto presenta diverse innovazioni rivolte</w:t>
      </w:r>
      <w:r w:rsidR="00AB5B9E">
        <w:rPr>
          <w:rFonts w:ascii="Arial" w:eastAsia="Times New Roman" w:hAnsi="Arial" w:cs="Arial"/>
          <w:bCs/>
          <w:iCs/>
          <w:sz w:val="20"/>
          <w:szCs w:val="20"/>
        </w:rPr>
        <w:t>,</w:t>
      </w:r>
      <w:r>
        <w:rPr>
          <w:rFonts w:ascii="Arial" w:eastAsia="Times New Roman" w:hAnsi="Arial" w:cs="Arial"/>
          <w:bCs/>
          <w:iCs/>
          <w:sz w:val="20"/>
          <w:szCs w:val="20"/>
        </w:rPr>
        <w:t xml:space="preserve"> </w:t>
      </w:r>
      <w:r w:rsidR="00AB5B9E">
        <w:rPr>
          <w:rFonts w:ascii="Arial" w:eastAsia="Times New Roman" w:hAnsi="Arial" w:cs="Arial"/>
          <w:bCs/>
          <w:iCs/>
          <w:sz w:val="20"/>
          <w:szCs w:val="20"/>
        </w:rPr>
        <w:t xml:space="preserve">da un lato, </w:t>
      </w:r>
      <w:r>
        <w:rPr>
          <w:rFonts w:ascii="Arial" w:eastAsia="Times New Roman" w:hAnsi="Arial" w:cs="Arial"/>
          <w:bCs/>
          <w:iCs/>
          <w:sz w:val="20"/>
          <w:szCs w:val="20"/>
        </w:rPr>
        <w:t xml:space="preserve">al rafforzamento dell’utilizzo del sistema </w:t>
      </w:r>
      <w:proofErr w:type="spellStart"/>
      <w:r>
        <w:rPr>
          <w:rFonts w:ascii="Arial" w:eastAsia="Times New Roman" w:hAnsi="Arial" w:cs="Arial"/>
          <w:bCs/>
          <w:iCs/>
          <w:sz w:val="20"/>
          <w:szCs w:val="20"/>
        </w:rPr>
        <w:t>SDG</w:t>
      </w:r>
      <w:r w:rsidR="009E150F">
        <w:rPr>
          <w:rFonts w:ascii="Arial" w:eastAsia="Times New Roman" w:hAnsi="Arial" w:cs="Arial"/>
          <w:bCs/>
          <w:iCs/>
          <w:sz w:val="20"/>
          <w:szCs w:val="20"/>
        </w:rPr>
        <w:t>s</w:t>
      </w:r>
      <w:proofErr w:type="spellEnd"/>
      <w:r>
        <w:rPr>
          <w:rFonts w:ascii="Arial" w:eastAsia="Times New Roman" w:hAnsi="Arial" w:cs="Arial"/>
          <w:bCs/>
          <w:iCs/>
          <w:sz w:val="20"/>
          <w:szCs w:val="20"/>
        </w:rPr>
        <w:t xml:space="preserve"> per il monitoraggio del </w:t>
      </w:r>
      <w:r w:rsidRPr="00A57CFF">
        <w:rPr>
          <w:rFonts w:ascii="Arial" w:eastAsia="Times New Roman" w:hAnsi="Arial" w:cs="Arial"/>
          <w:bCs/>
          <w:iCs/>
          <w:sz w:val="20"/>
          <w:szCs w:val="20"/>
        </w:rPr>
        <w:t>Piano Nazionale di Ripresa e Resilienza</w:t>
      </w:r>
      <w:r w:rsidR="00AB5B9E">
        <w:rPr>
          <w:rFonts w:ascii="Arial" w:eastAsia="Times New Roman" w:hAnsi="Arial" w:cs="Arial"/>
          <w:bCs/>
          <w:iCs/>
          <w:sz w:val="20"/>
          <w:szCs w:val="20"/>
        </w:rPr>
        <w:t xml:space="preserve"> (</w:t>
      </w:r>
      <w:r w:rsidR="00E253E7">
        <w:rPr>
          <w:rFonts w:ascii="Arial" w:eastAsia="Times New Roman" w:hAnsi="Arial" w:cs="Arial"/>
          <w:bCs/>
          <w:iCs/>
          <w:sz w:val="20"/>
          <w:szCs w:val="20"/>
        </w:rPr>
        <w:t>Capitolo 1</w:t>
      </w:r>
      <w:r w:rsidRPr="00A57CFF">
        <w:rPr>
          <w:rFonts w:ascii="Arial" w:eastAsia="Times New Roman" w:hAnsi="Arial" w:cs="Arial"/>
          <w:bCs/>
          <w:iCs/>
          <w:sz w:val="20"/>
          <w:szCs w:val="20"/>
        </w:rPr>
        <w:t>)</w:t>
      </w:r>
      <w:r w:rsidR="00AB5B9E">
        <w:rPr>
          <w:rFonts w:ascii="Arial" w:eastAsia="Times New Roman" w:hAnsi="Arial" w:cs="Arial"/>
          <w:bCs/>
          <w:iCs/>
          <w:sz w:val="20"/>
          <w:szCs w:val="20"/>
        </w:rPr>
        <w:t xml:space="preserve">, </w:t>
      </w:r>
      <w:r>
        <w:rPr>
          <w:rFonts w:ascii="Arial" w:eastAsia="Times New Roman" w:hAnsi="Arial" w:cs="Arial"/>
          <w:bCs/>
          <w:iCs/>
          <w:sz w:val="20"/>
          <w:szCs w:val="20"/>
        </w:rPr>
        <w:t>dall’altro</w:t>
      </w:r>
      <w:r w:rsidR="00AB5B9E">
        <w:rPr>
          <w:rFonts w:ascii="Arial" w:eastAsia="Times New Roman" w:hAnsi="Arial" w:cs="Arial"/>
          <w:bCs/>
          <w:iCs/>
          <w:sz w:val="20"/>
          <w:szCs w:val="20"/>
        </w:rPr>
        <w:t>,</w:t>
      </w:r>
      <w:r>
        <w:rPr>
          <w:rFonts w:ascii="Arial" w:eastAsia="Times New Roman" w:hAnsi="Arial" w:cs="Arial"/>
          <w:bCs/>
          <w:iCs/>
          <w:sz w:val="20"/>
          <w:szCs w:val="20"/>
        </w:rPr>
        <w:t xml:space="preserve"> all’ampliamento delle analisi rivolte</w:t>
      </w:r>
      <w:r w:rsidR="002470B2">
        <w:rPr>
          <w:rFonts w:ascii="Arial" w:eastAsia="Times New Roman" w:hAnsi="Arial" w:cs="Arial"/>
          <w:bCs/>
          <w:iCs/>
          <w:sz w:val="20"/>
          <w:szCs w:val="20"/>
        </w:rPr>
        <w:t xml:space="preserve"> alle disuguaglianze territoriali e di genere</w:t>
      </w:r>
      <w:r w:rsidR="00E253E7">
        <w:rPr>
          <w:rFonts w:ascii="Arial" w:eastAsia="Times New Roman" w:hAnsi="Arial" w:cs="Arial"/>
          <w:bCs/>
          <w:iCs/>
          <w:sz w:val="20"/>
          <w:szCs w:val="20"/>
        </w:rPr>
        <w:t>, al quale è dedicato il nuovo Capitolo 3</w:t>
      </w:r>
      <w:r w:rsidR="008C7F5A">
        <w:rPr>
          <w:rFonts w:ascii="Arial" w:eastAsia="Times New Roman" w:hAnsi="Arial" w:cs="Arial"/>
          <w:bCs/>
          <w:iCs/>
          <w:sz w:val="20"/>
          <w:szCs w:val="20"/>
        </w:rPr>
        <w:t xml:space="preserve">. </w:t>
      </w:r>
    </w:p>
    <w:p w14:paraId="62D79DBF" w14:textId="18788233" w:rsidR="00EA6F22" w:rsidRPr="008C7F5A" w:rsidRDefault="00E253E7" w:rsidP="00E34F20">
      <w:pPr>
        <w:spacing w:after="120" w:line="240" w:lineRule="auto"/>
        <w:jc w:val="both"/>
        <w:rPr>
          <w:rFonts w:ascii="Arial" w:eastAsia="Times New Roman" w:hAnsi="Arial" w:cs="Arial"/>
          <w:bCs/>
          <w:iCs/>
          <w:sz w:val="20"/>
          <w:szCs w:val="20"/>
        </w:rPr>
      </w:pPr>
      <w:r>
        <w:rPr>
          <w:rFonts w:ascii="Arial" w:eastAsia="Times New Roman" w:hAnsi="Arial" w:cs="Arial"/>
          <w:bCs/>
          <w:iCs/>
          <w:sz w:val="20"/>
          <w:szCs w:val="20"/>
        </w:rPr>
        <w:t xml:space="preserve">Ulteriori </w:t>
      </w:r>
      <w:r w:rsidR="00B655AA">
        <w:rPr>
          <w:rFonts w:ascii="Arial" w:eastAsia="Times New Roman" w:hAnsi="Arial" w:cs="Arial"/>
          <w:bCs/>
          <w:iCs/>
          <w:sz w:val="20"/>
          <w:szCs w:val="20"/>
        </w:rPr>
        <w:t xml:space="preserve">novità riguardano il </w:t>
      </w:r>
      <w:r w:rsidR="008C7F5A">
        <w:rPr>
          <w:rFonts w:ascii="Arial" w:eastAsia="Times New Roman" w:hAnsi="Arial" w:cs="Arial"/>
          <w:bCs/>
          <w:iCs/>
          <w:sz w:val="20"/>
          <w:szCs w:val="20"/>
        </w:rPr>
        <w:t xml:space="preserve">Capitolo 2, che illustra gli andamenti temporali e territoriali delle principali misure statistiche per ciascuno dei 17 </w:t>
      </w:r>
      <w:proofErr w:type="spellStart"/>
      <w:r w:rsidR="008C7F5A">
        <w:rPr>
          <w:rFonts w:ascii="Arial" w:eastAsia="Times New Roman" w:hAnsi="Arial" w:cs="Arial"/>
          <w:bCs/>
          <w:iCs/>
          <w:sz w:val="20"/>
          <w:szCs w:val="20"/>
        </w:rPr>
        <w:t>Goal</w:t>
      </w:r>
      <w:r w:rsidR="005B7332">
        <w:rPr>
          <w:rFonts w:ascii="Arial" w:eastAsia="Times New Roman" w:hAnsi="Arial" w:cs="Arial"/>
          <w:bCs/>
          <w:iCs/>
          <w:sz w:val="20"/>
          <w:szCs w:val="20"/>
        </w:rPr>
        <w:t>s</w:t>
      </w:r>
      <w:proofErr w:type="spellEnd"/>
      <w:r w:rsidR="008C7F5A">
        <w:rPr>
          <w:rFonts w:ascii="Arial" w:eastAsia="Times New Roman" w:hAnsi="Arial" w:cs="Arial"/>
          <w:bCs/>
          <w:iCs/>
          <w:sz w:val="20"/>
          <w:szCs w:val="20"/>
        </w:rPr>
        <w:t xml:space="preserve">, </w:t>
      </w:r>
      <w:r w:rsidR="00B655AA">
        <w:rPr>
          <w:rFonts w:ascii="Arial" w:eastAsia="Times New Roman" w:hAnsi="Arial" w:cs="Arial"/>
          <w:bCs/>
          <w:iCs/>
          <w:sz w:val="20"/>
          <w:szCs w:val="20"/>
        </w:rPr>
        <w:t>con l’introduzione del</w:t>
      </w:r>
      <w:r w:rsidR="001062B2">
        <w:rPr>
          <w:rFonts w:ascii="Arial" w:eastAsia="Times New Roman" w:hAnsi="Arial" w:cs="Arial"/>
          <w:bCs/>
          <w:iCs/>
          <w:sz w:val="20"/>
          <w:szCs w:val="20"/>
        </w:rPr>
        <w:t>le</w:t>
      </w:r>
      <w:r w:rsidR="008C7F5A">
        <w:rPr>
          <w:rFonts w:ascii="Arial" w:eastAsia="Times New Roman" w:hAnsi="Arial" w:cs="Arial"/>
          <w:bCs/>
          <w:iCs/>
          <w:sz w:val="20"/>
          <w:szCs w:val="20"/>
        </w:rPr>
        <w:t xml:space="preserve"> stime sul</w:t>
      </w:r>
      <w:r w:rsidR="008C7F5A" w:rsidRPr="005C7193">
        <w:rPr>
          <w:rFonts w:ascii="Arial" w:eastAsia="Times New Roman" w:hAnsi="Arial" w:cs="Arial"/>
          <w:bCs/>
          <w:iCs/>
          <w:sz w:val="20"/>
          <w:szCs w:val="20"/>
        </w:rPr>
        <w:t xml:space="preserve">l’evoluzione del processo </w:t>
      </w:r>
      <w:r w:rsidR="001062B2">
        <w:rPr>
          <w:rFonts w:ascii="Arial" w:eastAsia="Times New Roman" w:hAnsi="Arial" w:cs="Arial"/>
          <w:bCs/>
          <w:iCs/>
          <w:sz w:val="20"/>
          <w:szCs w:val="20"/>
        </w:rPr>
        <w:t>di convergenza territoriale</w:t>
      </w:r>
      <w:r w:rsidR="008C7F5A" w:rsidRPr="005C7193">
        <w:rPr>
          <w:rFonts w:ascii="Arial" w:eastAsia="Times New Roman" w:hAnsi="Arial" w:cs="Arial"/>
          <w:bCs/>
          <w:iCs/>
          <w:sz w:val="20"/>
          <w:szCs w:val="20"/>
        </w:rPr>
        <w:t xml:space="preserve"> </w:t>
      </w:r>
      <w:r w:rsidR="0094328A">
        <w:rPr>
          <w:rFonts w:ascii="Arial" w:eastAsia="Times New Roman" w:hAnsi="Arial" w:cs="Arial"/>
          <w:bCs/>
          <w:iCs/>
          <w:sz w:val="20"/>
          <w:szCs w:val="20"/>
        </w:rPr>
        <w:t>misurato sugli ultimi</w:t>
      </w:r>
      <w:r w:rsidR="008C7F5A">
        <w:rPr>
          <w:rFonts w:ascii="Arial" w:eastAsia="Times New Roman" w:hAnsi="Arial" w:cs="Arial"/>
          <w:bCs/>
          <w:iCs/>
          <w:sz w:val="20"/>
          <w:szCs w:val="20"/>
        </w:rPr>
        <w:t xml:space="preserve"> 10 </w:t>
      </w:r>
      <w:r w:rsidR="008C7F5A" w:rsidRPr="005C7193">
        <w:rPr>
          <w:rFonts w:ascii="Arial" w:eastAsia="Times New Roman" w:hAnsi="Arial" w:cs="Arial"/>
          <w:bCs/>
          <w:iCs/>
          <w:sz w:val="20"/>
          <w:szCs w:val="20"/>
        </w:rPr>
        <w:t>anni</w:t>
      </w:r>
      <w:r w:rsidR="008C7F5A">
        <w:rPr>
          <w:rFonts w:ascii="Arial" w:eastAsia="Times New Roman" w:hAnsi="Arial" w:cs="Arial"/>
          <w:bCs/>
          <w:iCs/>
          <w:sz w:val="20"/>
          <w:szCs w:val="20"/>
        </w:rPr>
        <w:t xml:space="preserve">. </w:t>
      </w:r>
      <w:r w:rsidR="001062B2">
        <w:rPr>
          <w:rFonts w:ascii="Arial" w:eastAsia="Times New Roman" w:hAnsi="Arial" w:cs="Arial"/>
          <w:bCs/>
          <w:iCs/>
          <w:sz w:val="20"/>
          <w:szCs w:val="20"/>
        </w:rPr>
        <w:t>Per ciascun Goal si presenta</w:t>
      </w:r>
      <w:r w:rsidR="008C7F5A">
        <w:rPr>
          <w:rFonts w:ascii="Arial" w:eastAsia="Times New Roman" w:hAnsi="Arial" w:cs="Arial"/>
          <w:bCs/>
          <w:iCs/>
          <w:sz w:val="20"/>
          <w:szCs w:val="20"/>
        </w:rPr>
        <w:t xml:space="preserve"> </w:t>
      </w:r>
      <w:r w:rsidR="001062B2">
        <w:rPr>
          <w:rFonts w:ascii="Arial" w:eastAsia="Times New Roman" w:hAnsi="Arial" w:cs="Arial"/>
          <w:bCs/>
          <w:iCs/>
          <w:sz w:val="20"/>
          <w:szCs w:val="20"/>
        </w:rPr>
        <w:t xml:space="preserve">inoltre un </w:t>
      </w:r>
      <w:r w:rsidR="00EA6F22" w:rsidRPr="00CD3A17">
        <w:rPr>
          <w:rFonts w:ascii="Arial" w:eastAsia="Times New Roman" w:hAnsi="Arial" w:cs="Arial"/>
          <w:bCs/>
          <w:iCs/>
          <w:sz w:val="20"/>
          <w:szCs w:val="20"/>
        </w:rPr>
        <w:t>approfondiment</w:t>
      </w:r>
      <w:r w:rsidR="001062B2">
        <w:rPr>
          <w:rFonts w:ascii="Arial" w:eastAsia="Times New Roman" w:hAnsi="Arial" w:cs="Arial"/>
          <w:bCs/>
          <w:iCs/>
          <w:sz w:val="20"/>
          <w:szCs w:val="20"/>
        </w:rPr>
        <w:t>o su</w:t>
      </w:r>
      <w:r w:rsidR="00AB5B9E">
        <w:rPr>
          <w:rFonts w:ascii="Arial" w:eastAsia="Times New Roman" w:hAnsi="Arial" w:cs="Arial"/>
          <w:bCs/>
          <w:iCs/>
          <w:sz w:val="20"/>
          <w:szCs w:val="20"/>
        </w:rPr>
        <w:t>i</w:t>
      </w:r>
      <w:r w:rsidR="001062B2">
        <w:rPr>
          <w:rFonts w:ascii="Arial" w:eastAsia="Times New Roman" w:hAnsi="Arial" w:cs="Arial"/>
          <w:bCs/>
          <w:iCs/>
          <w:sz w:val="20"/>
          <w:szCs w:val="20"/>
        </w:rPr>
        <w:t xml:space="preserve"> temi di maggiore interesse</w:t>
      </w:r>
      <w:r w:rsidR="00AB5B9E">
        <w:rPr>
          <w:rFonts w:ascii="Arial" w:eastAsia="Times New Roman" w:hAnsi="Arial" w:cs="Arial"/>
          <w:bCs/>
          <w:iCs/>
          <w:sz w:val="20"/>
          <w:szCs w:val="20"/>
        </w:rPr>
        <w:t xml:space="preserve">, </w:t>
      </w:r>
      <w:r w:rsidR="00EA6F22" w:rsidRPr="00CD3A17">
        <w:rPr>
          <w:rFonts w:ascii="Arial" w:eastAsia="Times New Roman" w:hAnsi="Arial" w:cs="Arial"/>
          <w:bCs/>
          <w:iCs/>
          <w:sz w:val="20"/>
          <w:szCs w:val="20"/>
        </w:rPr>
        <w:t>a cura di studiosi e ra</w:t>
      </w:r>
      <w:r w:rsidR="008C7F5A">
        <w:rPr>
          <w:rFonts w:ascii="Arial" w:eastAsia="Times New Roman" w:hAnsi="Arial" w:cs="Arial"/>
          <w:bCs/>
          <w:iCs/>
          <w:sz w:val="20"/>
          <w:szCs w:val="20"/>
        </w:rPr>
        <w:t xml:space="preserve">ppresentanti delle istituzioni </w:t>
      </w:r>
      <w:r w:rsidR="00EA6F22" w:rsidRPr="008C7F5A">
        <w:rPr>
          <w:rFonts w:ascii="Arial" w:eastAsia="Times New Roman" w:hAnsi="Arial" w:cs="Arial"/>
          <w:bCs/>
          <w:iCs/>
          <w:sz w:val="20"/>
          <w:szCs w:val="20"/>
        </w:rPr>
        <w:t xml:space="preserve">che contribuiscono alla diffusione e all’analisi dell’informazione statistica per la misurazione dello sviluppo sostenibile. </w:t>
      </w:r>
    </w:p>
    <w:p w14:paraId="42748544" w14:textId="2CE860D8" w:rsidR="00FF083C" w:rsidRDefault="000D1068" w:rsidP="00E34F20">
      <w:pPr>
        <w:spacing w:after="120" w:line="240" w:lineRule="auto"/>
        <w:jc w:val="both"/>
        <w:rPr>
          <w:rFonts w:ascii="Arial" w:eastAsia="Times New Roman" w:hAnsi="Arial" w:cs="Arial"/>
          <w:bCs/>
          <w:iCs/>
          <w:sz w:val="20"/>
          <w:szCs w:val="20"/>
        </w:rPr>
      </w:pPr>
      <w:r w:rsidRPr="005C7193">
        <w:rPr>
          <w:rFonts w:ascii="Arial" w:eastAsia="Times New Roman" w:hAnsi="Arial" w:cs="Arial"/>
          <w:bCs/>
          <w:iCs/>
          <w:sz w:val="20"/>
          <w:szCs w:val="20"/>
        </w:rPr>
        <w:t xml:space="preserve">Il Rapporto è accompagnato da </w:t>
      </w:r>
      <w:r w:rsidR="00CD3A17">
        <w:rPr>
          <w:rFonts w:ascii="Arial" w:eastAsia="Times New Roman" w:hAnsi="Arial" w:cs="Arial"/>
          <w:bCs/>
          <w:iCs/>
          <w:sz w:val="20"/>
          <w:szCs w:val="20"/>
        </w:rPr>
        <w:t>un’</w:t>
      </w:r>
      <w:proofErr w:type="spellStart"/>
      <w:r w:rsidR="00CD3A17">
        <w:rPr>
          <w:rFonts w:ascii="Arial" w:eastAsia="Times New Roman" w:hAnsi="Arial" w:cs="Arial"/>
          <w:bCs/>
          <w:iCs/>
          <w:sz w:val="20"/>
          <w:szCs w:val="20"/>
        </w:rPr>
        <w:t>infografica</w:t>
      </w:r>
      <w:proofErr w:type="spellEnd"/>
      <w:r w:rsidR="00CD3A17">
        <w:rPr>
          <w:rFonts w:ascii="Arial" w:eastAsia="Times New Roman" w:hAnsi="Arial" w:cs="Arial"/>
          <w:bCs/>
          <w:iCs/>
          <w:sz w:val="20"/>
          <w:szCs w:val="20"/>
        </w:rPr>
        <w:t xml:space="preserve">, </w:t>
      </w:r>
      <w:r w:rsidR="00562F50">
        <w:rPr>
          <w:rFonts w:ascii="Arial" w:eastAsia="Times New Roman" w:hAnsi="Arial" w:cs="Arial"/>
          <w:bCs/>
          <w:iCs/>
          <w:sz w:val="20"/>
          <w:szCs w:val="20"/>
        </w:rPr>
        <w:t xml:space="preserve">da </w:t>
      </w:r>
      <w:r w:rsidR="00CD3A17">
        <w:rPr>
          <w:rFonts w:ascii="Arial" w:eastAsia="Times New Roman" w:hAnsi="Arial" w:cs="Arial"/>
          <w:bCs/>
          <w:iCs/>
          <w:sz w:val="20"/>
          <w:szCs w:val="20"/>
        </w:rPr>
        <w:t xml:space="preserve">una </w:t>
      </w:r>
      <w:proofErr w:type="spellStart"/>
      <w:r w:rsidRPr="00E34F20">
        <w:rPr>
          <w:rFonts w:ascii="Arial" w:eastAsia="Times New Roman" w:hAnsi="Arial" w:cs="Arial"/>
          <w:bCs/>
          <w:i/>
          <w:sz w:val="20"/>
          <w:szCs w:val="20"/>
        </w:rPr>
        <w:t>dashboard</w:t>
      </w:r>
      <w:proofErr w:type="spellEnd"/>
      <w:r w:rsidRPr="005C7193">
        <w:rPr>
          <w:rFonts w:ascii="Arial" w:eastAsia="Times New Roman" w:hAnsi="Arial" w:cs="Arial"/>
          <w:bCs/>
          <w:iCs/>
          <w:sz w:val="20"/>
          <w:szCs w:val="20"/>
        </w:rPr>
        <w:t xml:space="preserve"> che permette </w:t>
      </w:r>
      <w:r w:rsidR="00936F51">
        <w:rPr>
          <w:rFonts w:ascii="Arial" w:eastAsia="Times New Roman" w:hAnsi="Arial" w:cs="Arial"/>
          <w:bCs/>
          <w:iCs/>
          <w:sz w:val="20"/>
          <w:szCs w:val="20"/>
        </w:rPr>
        <w:t>l</w:t>
      </w:r>
      <w:r w:rsidR="00936F51" w:rsidRPr="005C7193">
        <w:rPr>
          <w:rFonts w:ascii="Arial" w:eastAsia="Times New Roman" w:hAnsi="Arial" w:cs="Arial"/>
          <w:bCs/>
          <w:iCs/>
          <w:sz w:val="20"/>
          <w:szCs w:val="20"/>
        </w:rPr>
        <w:t xml:space="preserve">a </w:t>
      </w:r>
      <w:r w:rsidRPr="005C7193">
        <w:rPr>
          <w:rFonts w:ascii="Arial" w:eastAsia="Times New Roman" w:hAnsi="Arial" w:cs="Arial"/>
          <w:bCs/>
          <w:iCs/>
          <w:sz w:val="20"/>
          <w:szCs w:val="20"/>
        </w:rPr>
        <w:t xml:space="preserve">navigazione </w:t>
      </w:r>
      <w:r w:rsidR="00936F51">
        <w:rPr>
          <w:rFonts w:ascii="Arial" w:eastAsia="Times New Roman" w:hAnsi="Arial" w:cs="Arial"/>
          <w:bCs/>
          <w:iCs/>
          <w:sz w:val="20"/>
          <w:szCs w:val="20"/>
        </w:rPr>
        <w:t>interattiva degli</w:t>
      </w:r>
      <w:r w:rsidR="00936F51" w:rsidRPr="005C7193">
        <w:rPr>
          <w:rFonts w:ascii="Arial" w:eastAsia="Times New Roman" w:hAnsi="Arial" w:cs="Arial"/>
          <w:bCs/>
          <w:iCs/>
          <w:sz w:val="20"/>
          <w:szCs w:val="20"/>
        </w:rPr>
        <w:t xml:space="preserve"> </w:t>
      </w:r>
      <w:r w:rsidRPr="005C7193">
        <w:rPr>
          <w:rFonts w:ascii="Arial" w:eastAsia="Times New Roman" w:hAnsi="Arial" w:cs="Arial"/>
          <w:bCs/>
          <w:iCs/>
          <w:sz w:val="20"/>
          <w:szCs w:val="20"/>
        </w:rPr>
        <w:t>indicatori</w:t>
      </w:r>
      <w:r w:rsidR="00EA6F22">
        <w:rPr>
          <w:rFonts w:ascii="Arial" w:eastAsia="Times New Roman" w:hAnsi="Arial" w:cs="Arial"/>
          <w:bCs/>
          <w:iCs/>
          <w:sz w:val="20"/>
          <w:szCs w:val="20"/>
        </w:rPr>
        <w:t xml:space="preserve"> e dalla </w:t>
      </w:r>
      <w:r w:rsidRPr="005C7193">
        <w:rPr>
          <w:rFonts w:ascii="Arial" w:eastAsia="Times New Roman" w:hAnsi="Arial" w:cs="Arial"/>
          <w:bCs/>
          <w:iCs/>
          <w:sz w:val="20"/>
          <w:szCs w:val="20"/>
        </w:rPr>
        <w:t>diffusione dei file di dati e metadati riferiti alle misure statistiche. Tutta la documentazione è interamente disponibile on</w:t>
      </w:r>
      <w:r w:rsidR="00A67CF2">
        <w:rPr>
          <w:rFonts w:ascii="Arial" w:eastAsia="Times New Roman" w:hAnsi="Arial" w:cs="Arial"/>
          <w:bCs/>
          <w:iCs/>
          <w:sz w:val="20"/>
          <w:szCs w:val="20"/>
        </w:rPr>
        <w:t xml:space="preserve"> </w:t>
      </w:r>
      <w:r w:rsidRPr="005C7193">
        <w:rPr>
          <w:rFonts w:ascii="Arial" w:eastAsia="Times New Roman" w:hAnsi="Arial" w:cs="Arial"/>
          <w:bCs/>
          <w:iCs/>
          <w:sz w:val="20"/>
          <w:szCs w:val="20"/>
        </w:rPr>
        <w:t>line al</w:t>
      </w:r>
      <w:r w:rsidR="00A35B68">
        <w:rPr>
          <w:rFonts w:ascii="Arial" w:eastAsia="Times New Roman" w:hAnsi="Arial" w:cs="Arial"/>
          <w:bCs/>
          <w:iCs/>
          <w:sz w:val="20"/>
          <w:szCs w:val="20"/>
        </w:rPr>
        <w:t>l’indirizzo</w:t>
      </w:r>
      <w:r w:rsidRPr="005C7193">
        <w:rPr>
          <w:rFonts w:ascii="Arial" w:eastAsia="Times New Roman" w:hAnsi="Arial" w:cs="Arial"/>
          <w:bCs/>
          <w:iCs/>
          <w:sz w:val="20"/>
          <w:szCs w:val="20"/>
        </w:rPr>
        <w:t xml:space="preserve"> </w:t>
      </w:r>
      <w:hyperlink r:id="rId9" w:history="1">
        <w:r w:rsidR="00CD3A17" w:rsidRPr="008176B9">
          <w:rPr>
            <w:rStyle w:val="Collegamentoipertestuale"/>
            <w:rFonts w:ascii="Arial" w:eastAsia="Times New Roman" w:hAnsi="Arial" w:cs="Arial"/>
            <w:bCs/>
            <w:iCs/>
            <w:sz w:val="20"/>
            <w:szCs w:val="20"/>
          </w:rPr>
          <w:t>https://www.istat.it/it/benessere-e-sostenibilità/obiettivi-di-sviluppo-sostenibile</w:t>
        </w:r>
      </w:hyperlink>
      <w:r w:rsidRPr="005C7193">
        <w:rPr>
          <w:rFonts w:ascii="Arial" w:eastAsia="Times New Roman" w:hAnsi="Arial" w:cs="Arial"/>
          <w:bCs/>
          <w:iCs/>
          <w:sz w:val="20"/>
          <w:szCs w:val="20"/>
        </w:rPr>
        <w:t>.</w:t>
      </w:r>
    </w:p>
    <w:p w14:paraId="75389E9D" w14:textId="77777777" w:rsidR="00751BA6" w:rsidRDefault="00751BA6" w:rsidP="00E34F20">
      <w:pPr>
        <w:spacing w:after="120" w:line="240" w:lineRule="auto"/>
        <w:jc w:val="both"/>
        <w:rPr>
          <w:rFonts w:ascii="Arial" w:eastAsia="Times New Roman" w:hAnsi="Arial" w:cs="Arial"/>
          <w:bCs/>
          <w:iCs/>
          <w:sz w:val="20"/>
          <w:szCs w:val="20"/>
        </w:rPr>
      </w:pPr>
    </w:p>
    <w:p w14:paraId="5CE4DA93" w14:textId="573BA968" w:rsidR="00497DEE" w:rsidRPr="00F2627C" w:rsidRDefault="00497DEE" w:rsidP="00E34F20">
      <w:pPr>
        <w:spacing w:after="120" w:line="240" w:lineRule="auto"/>
        <w:jc w:val="both"/>
        <w:rPr>
          <w:rFonts w:ascii="Arial" w:eastAsia="Times New Roman" w:hAnsi="Arial" w:cs="Arial"/>
          <w:b/>
          <w:bCs/>
          <w:iCs/>
          <w:color w:val="289AD1"/>
          <w:sz w:val="28"/>
          <w:szCs w:val="28"/>
        </w:rPr>
      </w:pPr>
      <w:r w:rsidRPr="00F2627C">
        <w:rPr>
          <w:rFonts w:ascii="Arial" w:eastAsia="Times New Roman" w:hAnsi="Arial" w:cs="Arial"/>
          <w:b/>
          <w:bCs/>
          <w:iCs/>
          <w:color w:val="289AD1"/>
          <w:sz w:val="28"/>
          <w:szCs w:val="28"/>
        </w:rPr>
        <w:t xml:space="preserve">I progressi verso </w:t>
      </w:r>
      <w:r w:rsidR="00F2627C">
        <w:rPr>
          <w:rFonts w:ascii="Arial" w:eastAsia="Times New Roman" w:hAnsi="Arial" w:cs="Arial"/>
          <w:b/>
          <w:bCs/>
          <w:iCs/>
          <w:color w:val="289AD1"/>
          <w:sz w:val="28"/>
          <w:szCs w:val="28"/>
        </w:rPr>
        <w:t>lo</w:t>
      </w:r>
      <w:r w:rsidR="00F2627C" w:rsidRPr="00F2627C">
        <w:rPr>
          <w:rFonts w:ascii="Arial" w:eastAsia="Times New Roman" w:hAnsi="Arial" w:cs="Arial"/>
          <w:b/>
          <w:bCs/>
          <w:iCs/>
          <w:color w:val="289AD1"/>
          <w:sz w:val="28"/>
          <w:szCs w:val="28"/>
        </w:rPr>
        <w:t xml:space="preserve"> </w:t>
      </w:r>
      <w:r w:rsidRPr="00F2627C">
        <w:rPr>
          <w:rFonts w:ascii="Arial" w:eastAsia="Times New Roman" w:hAnsi="Arial" w:cs="Arial"/>
          <w:b/>
          <w:bCs/>
          <w:iCs/>
          <w:color w:val="289AD1"/>
          <w:sz w:val="28"/>
          <w:szCs w:val="28"/>
        </w:rPr>
        <w:t xml:space="preserve">sviluppo sostenibile </w:t>
      </w:r>
    </w:p>
    <w:p w14:paraId="25DB5DFB" w14:textId="77777777" w:rsidR="00B47FB4" w:rsidRPr="00F2627C" w:rsidRDefault="00B47FB4" w:rsidP="00E34F20">
      <w:pPr>
        <w:spacing w:after="120" w:line="240" w:lineRule="auto"/>
        <w:jc w:val="both"/>
        <w:rPr>
          <w:rFonts w:ascii="Helvetica LT Std Cond" w:hAnsi="Helvetica LT Std Cond" w:cs="Helvetica LT Std Cond"/>
          <w:color w:val="000000"/>
          <w:sz w:val="12"/>
          <w:szCs w:val="12"/>
        </w:rPr>
      </w:pPr>
    </w:p>
    <w:p w14:paraId="6ACB2FB9" w14:textId="69D81BD4" w:rsidR="004C3B88" w:rsidRPr="004C3B88" w:rsidRDefault="004C3B88" w:rsidP="00E34F20">
      <w:pPr>
        <w:adjustRightInd w:val="0"/>
        <w:spacing w:after="120" w:line="240" w:lineRule="auto"/>
        <w:jc w:val="both"/>
        <w:rPr>
          <w:rFonts w:ascii="Arial" w:eastAsia="Times New Roman" w:hAnsi="Arial" w:cs="Arial"/>
          <w:bCs/>
          <w:iCs/>
          <w:sz w:val="20"/>
          <w:szCs w:val="20"/>
        </w:rPr>
      </w:pPr>
      <w:r w:rsidRPr="004C3B88">
        <w:rPr>
          <w:rFonts w:ascii="Arial" w:eastAsia="Times New Roman" w:hAnsi="Arial" w:cs="Arial"/>
          <w:bCs/>
          <w:iCs/>
          <w:sz w:val="20"/>
          <w:szCs w:val="20"/>
        </w:rPr>
        <w:t xml:space="preserve">L’analisi dell’evoluzione temporale delle misure statistiche </w:t>
      </w:r>
      <w:r w:rsidR="00F21747">
        <w:rPr>
          <w:rFonts w:ascii="Arial" w:eastAsia="Times New Roman" w:hAnsi="Arial" w:cs="Arial"/>
          <w:bCs/>
          <w:iCs/>
          <w:sz w:val="20"/>
          <w:szCs w:val="20"/>
        </w:rPr>
        <w:t>Istat-</w:t>
      </w:r>
      <w:proofErr w:type="spellStart"/>
      <w:r w:rsidR="00F21747">
        <w:rPr>
          <w:rFonts w:ascii="Arial" w:eastAsia="Times New Roman" w:hAnsi="Arial" w:cs="Arial"/>
          <w:bCs/>
          <w:iCs/>
          <w:sz w:val="20"/>
          <w:szCs w:val="20"/>
        </w:rPr>
        <w:t>SDGs</w:t>
      </w:r>
      <w:proofErr w:type="spellEnd"/>
      <w:r w:rsidR="00F21747">
        <w:rPr>
          <w:rFonts w:ascii="Arial" w:eastAsia="Times New Roman" w:hAnsi="Arial" w:cs="Arial"/>
          <w:bCs/>
          <w:iCs/>
          <w:sz w:val="20"/>
          <w:szCs w:val="20"/>
        </w:rPr>
        <w:t xml:space="preserve"> </w:t>
      </w:r>
      <w:r w:rsidRPr="004C3B88">
        <w:rPr>
          <w:rFonts w:ascii="Arial" w:eastAsia="Times New Roman" w:hAnsi="Arial" w:cs="Arial"/>
          <w:bCs/>
          <w:iCs/>
          <w:sz w:val="20"/>
          <w:szCs w:val="20"/>
        </w:rPr>
        <w:t>è stata condotta</w:t>
      </w:r>
      <w:r>
        <w:rPr>
          <w:rFonts w:ascii="Arial" w:eastAsia="Times New Roman" w:hAnsi="Arial" w:cs="Arial"/>
          <w:bCs/>
          <w:iCs/>
          <w:sz w:val="20"/>
          <w:szCs w:val="20"/>
        </w:rPr>
        <w:t xml:space="preserve"> </w:t>
      </w:r>
      <w:r w:rsidR="00E253E7">
        <w:rPr>
          <w:rFonts w:ascii="Arial" w:eastAsia="Times New Roman" w:hAnsi="Arial" w:cs="Arial"/>
          <w:bCs/>
          <w:iCs/>
          <w:sz w:val="20"/>
          <w:szCs w:val="20"/>
        </w:rPr>
        <w:t>confrontando i dati dell</w:t>
      </w:r>
      <w:r w:rsidR="00E253E7" w:rsidRPr="004C3B88">
        <w:rPr>
          <w:rFonts w:ascii="Arial" w:eastAsia="Times New Roman" w:hAnsi="Arial" w:cs="Arial"/>
          <w:bCs/>
          <w:iCs/>
          <w:sz w:val="20"/>
          <w:szCs w:val="20"/>
        </w:rPr>
        <w:t xml:space="preserve">’ultimo </w:t>
      </w:r>
      <w:r w:rsidRPr="004C3B88">
        <w:rPr>
          <w:rFonts w:ascii="Arial" w:eastAsia="Times New Roman" w:hAnsi="Arial" w:cs="Arial"/>
          <w:bCs/>
          <w:iCs/>
          <w:sz w:val="20"/>
          <w:szCs w:val="20"/>
        </w:rPr>
        <w:t xml:space="preserve">anno </w:t>
      </w:r>
      <w:r w:rsidR="00E253E7">
        <w:rPr>
          <w:rFonts w:ascii="Arial" w:eastAsia="Times New Roman" w:hAnsi="Arial" w:cs="Arial"/>
          <w:bCs/>
          <w:iCs/>
          <w:sz w:val="20"/>
          <w:szCs w:val="20"/>
        </w:rPr>
        <w:t xml:space="preserve">disponibile </w:t>
      </w:r>
      <w:r w:rsidRPr="004C3B88">
        <w:rPr>
          <w:rFonts w:ascii="Arial" w:eastAsia="Times New Roman" w:hAnsi="Arial" w:cs="Arial"/>
          <w:bCs/>
          <w:iCs/>
          <w:sz w:val="20"/>
          <w:szCs w:val="20"/>
        </w:rPr>
        <w:t>(prevalentemente il 2020 o il 2021) con quell</w:t>
      </w:r>
      <w:r w:rsidR="00E253E7">
        <w:rPr>
          <w:rFonts w:ascii="Arial" w:eastAsia="Times New Roman" w:hAnsi="Arial" w:cs="Arial"/>
          <w:bCs/>
          <w:iCs/>
          <w:sz w:val="20"/>
          <w:szCs w:val="20"/>
        </w:rPr>
        <w:t>i</w:t>
      </w:r>
      <w:r w:rsidRPr="004C3B88">
        <w:rPr>
          <w:rFonts w:ascii="Arial" w:eastAsia="Times New Roman" w:hAnsi="Arial" w:cs="Arial"/>
          <w:bCs/>
          <w:iCs/>
          <w:sz w:val="20"/>
          <w:szCs w:val="20"/>
        </w:rPr>
        <w:t xml:space="preserve"> </w:t>
      </w:r>
      <w:r w:rsidR="00E253E7">
        <w:rPr>
          <w:rFonts w:ascii="Arial" w:eastAsia="Times New Roman" w:hAnsi="Arial" w:cs="Arial"/>
          <w:bCs/>
          <w:iCs/>
          <w:sz w:val="20"/>
          <w:szCs w:val="20"/>
        </w:rPr>
        <w:t xml:space="preserve">riferiti all’anno </w:t>
      </w:r>
      <w:r w:rsidRPr="004C3B88">
        <w:rPr>
          <w:rFonts w:ascii="Arial" w:eastAsia="Times New Roman" w:hAnsi="Arial" w:cs="Arial"/>
          <w:bCs/>
          <w:iCs/>
          <w:sz w:val="20"/>
          <w:szCs w:val="20"/>
        </w:rPr>
        <w:t>precedente</w:t>
      </w:r>
      <w:r w:rsidR="00EC5FEA">
        <w:rPr>
          <w:rFonts w:ascii="Arial" w:eastAsia="Times New Roman" w:hAnsi="Arial" w:cs="Arial"/>
          <w:bCs/>
          <w:iCs/>
          <w:sz w:val="20"/>
          <w:szCs w:val="20"/>
        </w:rPr>
        <w:t xml:space="preserve"> </w:t>
      </w:r>
      <w:r w:rsidR="00E253E7">
        <w:rPr>
          <w:rFonts w:ascii="Arial" w:eastAsia="Times New Roman" w:hAnsi="Arial" w:cs="Arial"/>
          <w:bCs/>
          <w:iCs/>
          <w:sz w:val="20"/>
          <w:szCs w:val="20"/>
        </w:rPr>
        <w:t xml:space="preserve">o a </w:t>
      </w:r>
      <w:r w:rsidRPr="004C3B88">
        <w:rPr>
          <w:rFonts w:ascii="Arial" w:eastAsia="Times New Roman" w:hAnsi="Arial" w:cs="Arial"/>
          <w:bCs/>
          <w:iCs/>
          <w:sz w:val="20"/>
          <w:szCs w:val="20"/>
        </w:rPr>
        <w:t xml:space="preserve">10 anni prima. </w:t>
      </w:r>
    </w:p>
    <w:p w14:paraId="0FF2C12C" w14:textId="37B29BD6" w:rsidR="004C3B88" w:rsidRDefault="00E253E7" w:rsidP="00E34F20">
      <w:pPr>
        <w:adjustRightInd w:val="0"/>
        <w:spacing w:after="120" w:line="240" w:lineRule="auto"/>
        <w:jc w:val="both"/>
        <w:rPr>
          <w:rFonts w:ascii="Arial" w:eastAsia="Times New Roman" w:hAnsi="Arial" w:cs="Arial"/>
          <w:bCs/>
          <w:iCs/>
          <w:sz w:val="20"/>
          <w:szCs w:val="20"/>
        </w:rPr>
      </w:pPr>
      <w:r>
        <w:rPr>
          <w:rFonts w:ascii="Arial" w:eastAsia="Times New Roman" w:hAnsi="Arial" w:cs="Arial"/>
          <w:bCs/>
          <w:iCs/>
          <w:sz w:val="20"/>
          <w:szCs w:val="20"/>
        </w:rPr>
        <w:t>L’analisi di breve periodo</w:t>
      </w:r>
      <w:r w:rsidR="004C3B88" w:rsidRPr="004C3B88">
        <w:rPr>
          <w:rFonts w:ascii="Arial" w:eastAsia="Times New Roman" w:hAnsi="Arial" w:cs="Arial"/>
          <w:bCs/>
          <w:iCs/>
          <w:sz w:val="20"/>
          <w:szCs w:val="20"/>
        </w:rPr>
        <w:t xml:space="preserve"> mostra un quadro complessivamente positivo: il 50% delle misure </w:t>
      </w:r>
      <w:r w:rsidR="00623B13">
        <w:rPr>
          <w:rFonts w:ascii="Arial" w:eastAsia="Times New Roman" w:hAnsi="Arial" w:cs="Arial"/>
          <w:bCs/>
          <w:iCs/>
          <w:sz w:val="20"/>
          <w:szCs w:val="20"/>
        </w:rPr>
        <w:t>è</w:t>
      </w:r>
      <w:r w:rsidR="004C3B88" w:rsidRPr="004C3B88">
        <w:rPr>
          <w:rFonts w:ascii="Arial" w:eastAsia="Times New Roman" w:hAnsi="Arial" w:cs="Arial"/>
          <w:bCs/>
          <w:iCs/>
          <w:sz w:val="20"/>
          <w:szCs w:val="20"/>
        </w:rPr>
        <w:t xml:space="preserve"> in miglioramento, il 23% stazionari</w:t>
      </w:r>
      <w:r w:rsidR="00623B13">
        <w:rPr>
          <w:rFonts w:ascii="Arial" w:eastAsia="Times New Roman" w:hAnsi="Arial" w:cs="Arial"/>
          <w:bCs/>
          <w:iCs/>
          <w:sz w:val="20"/>
          <w:szCs w:val="20"/>
        </w:rPr>
        <w:t>o</w:t>
      </w:r>
      <w:r w:rsidR="004C3B88" w:rsidRPr="004C3B88">
        <w:rPr>
          <w:rFonts w:ascii="Arial" w:eastAsia="Times New Roman" w:hAnsi="Arial" w:cs="Arial"/>
          <w:bCs/>
          <w:iCs/>
          <w:sz w:val="20"/>
          <w:szCs w:val="20"/>
        </w:rPr>
        <w:t xml:space="preserve"> e il 27% segnala un peggioramento. La percentuale di misure con variazione positiva è significativamente elevata per il Goal 17 (Partnership per gli obiettivi), trainata dagli indicatori che riguardano l’uso dell’ICT, in forte incremento durante la fase pandemica, e per il Goal 12 (Consumo e produzione responsabili)</w:t>
      </w:r>
      <w:r w:rsidR="00F21747">
        <w:rPr>
          <w:rFonts w:ascii="Arial" w:eastAsia="Times New Roman" w:hAnsi="Arial" w:cs="Arial"/>
          <w:bCs/>
          <w:iCs/>
          <w:sz w:val="20"/>
          <w:szCs w:val="20"/>
        </w:rPr>
        <w:t>,</w:t>
      </w:r>
      <w:r w:rsidR="004C3B88" w:rsidRPr="004C3B88">
        <w:rPr>
          <w:rFonts w:ascii="Arial" w:eastAsia="Times New Roman" w:hAnsi="Arial" w:cs="Arial"/>
          <w:bCs/>
          <w:iCs/>
          <w:sz w:val="20"/>
          <w:szCs w:val="20"/>
        </w:rPr>
        <w:t xml:space="preserve"> </w:t>
      </w:r>
      <w:r>
        <w:rPr>
          <w:rFonts w:ascii="Arial" w:eastAsia="Times New Roman" w:hAnsi="Arial" w:cs="Arial"/>
          <w:bCs/>
          <w:iCs/>
          <w:sz w:val="20"/>
          <w:szCs w:val="20"/>
        </w:rPr>
        <w:t>caratterizzato</w:t>
      </w:r>
      <w:r w:rsidR="004C3B88" w:rsidRPr="004C3B88">
        <w:rPr>
          <w:rFonts w:ascii="Arial" w:eastAsia="Times New Roman" w:hAnsi="Arial" w:cs="Arial"/>
          <w:bCs/>
          <w:iCs/>
          <w:sz w:val="20"/>
          <w:szCs w:val="20"/>
        </w:rPr>
        <w:t xml:space="preserve"> </w:t>
      </w:r>
      <w:r>
        <w:rPr>
          <w:rFonts w:ascii="Arial" w:eastAsia="Times New Roman" w:hAnsi="Arial" w:cs="Arial"/>
          <w:bCs/>
          <w:iCs/>
          <w:sz w:val="20"/>
          <w:szCs w:val="20"/>
        </w:rPr>
        <w:t>d</w:t>
      </w:r>
      <w:r w:rsidR="004C3B88" w:rsidRPr="004C3B88">
        <w:rPr>
          <w:rFonts w:ascii="Arial" w:eastAsia="Times New Roman" w:hAnsi="Arial" w:cs="Arial"/>
          <w:bCs/>
          <w:iCs/>
          <w:sz w:val="20"/>
          <w:szCs w:val="20"/>
        </w:rPr>
        <w:t>agli avanzamenti nella gestione dei rifiuti</w:t>
      </w:r>
      <w:r w:rsidR="005F136A">
        <w:rPr>
          <w:rFonts w:ascii="Arial" w:eastAsia="Times New Roman" w:hAnsi="Arial" w:cs="Arial"/>
          <w:bCs/>
          <w:iCs/>
          <w:sz w:val="20"/>
          <w:szCs w:val="20"/>
        </w:rPr>
        <w:t>.</w:t>
      </w:r>
      <w:r w:rsidR="00EC5FEA">
        <w:rPr>
          <w:rFonts w:ascii="Arial" w:eastAsia="Times New Roman" w:hAnsi="Arial" w:cs="Arial"/>
          <w:bCs/>
          <w:iCs/>
          <w:sz w:val="20"/>
          <w:szCs w:val="20"/>
        </w:rPr>
        <w:t xml:space="preserve"> Nei </w:t>
      </w:r>
      <w:r w:rsidR="004C3B88" w:rsidRPr="004C3B88">
        <w:rPr>
          <w:rFonts w:ascii="Arial" w:eastAsia="Times New Roman" w:hAnsi="Arial" w:cs="Arial"/>
          <w:bCs/>
          <w:iCs/>
          <w:sz w:val="20"/>
          <w:szCs w:val="20"/>
        </w:rPr>
        <w:t>Goal 6 (Acqua) e 9 (Infrastrutture) si registra</w:t>
      </w:r>
      <w:r w:rsidR="00EC5FEA">
        <w:rPr>
          <w:rFonts w:ascii="Arial" w:eastAsia="Times New Roman" w:hAnsi="Arial" w:cs="Arial"/>
          <w:bCs/>
          <w:iCs/>
          <w:sz w:val="20"/>
          <w:szCs w:val="20"/>
        </w:rPr>
        <w:t xml:space="preserve"> invece </w:t>
      </w:r>
      <w:r w:rsidR="00C70C9A">
        <w:rPr>
          <w:rFonts w:ascii="Arial" w:eastAsia="Times New Roman" w:hAnsi="Arial" w:cs="Arial"/>
          <w:bCs/>
          <w:iCs/>
          <w:sz w:val="20"/>
          <w:szCs w:val="20"/>
        </w:rPr>
        <w:t>il numero</w:t>
      </w:r>
      <w:r w:rsidR="004C3B88" w:rsidRPr="004C3B88">
        <w:rPr>
          <w:rFonts w:ascii="Arial" w:eastAsia="Times New Roman" w:hAnsi="Arial" w:cs="Arial"/>
          <w:bCs/>
          <w:iCs/>
          <w:sz w:val="20"/>
          <w:szCs w:val="20"/>
        </w:rPr>
        <w:t xml:space="preserve"> più </w:t>
      </w:r>
      <w:r w:rsidR="00C70C9A">
        <w:rPr>
          <w:rFonts w:ascii="Arial" w:eastAsia="Times New Roman" w:hAnsi="Arial" w:cs="Arial"/>
          <w:bCs/>
          <w:iCs/>
          <w:sz w:val="20"/>
          <w:szCs w:val="20"/>
        </w:rPr>
        <w:t>alto</w:t>
      </w:r>
      <w:r w:rsidR="00C70C9A" w:rsidRPr="004C3B88">
        <w:rPr>
          <w:rFonts w:ascii="Arial" w:eastAsia="Times New Roman" w:hAnsi="Arial" w:cs="Arial"/>
          <w:bCs/>
          <w:iCs/>
          <w:sz w:val="20"/>
          <w:szCs w:val="20"/>
        </w:rPr>
        <w:t xml:space="preserve"> </w:t>
      </w:r>
      <w:r w:rsidR="004C3B88" w:rsidRPr="004C3B88">
        <w:rPr>
          <w:rFonts w:ascii="Arial" w:eastAsia="Times New Roman" w:hAnsi="Arial" w:cs="Arial"/>
          <w:bCs/>
          <w:iCs/>
          <w:sz w:val="20"/>
          <w:szCs w:val="20"/>
        </w:rPr>
        <w:t>di indicatori in peggioramento</w:t>
      </w:r>
      <w:r w:rsidR="00404D58">
        <w:rPr>
          <w:rFonts w:ascii="Arial" w:eastAsia="Times New Roman" w:hAnsi="Arial" w:cs="Arial"/>
          <w:bCs/>
          <w:iCs/>
          <w:sz w:val="20"/>
          <w:szCs w:val="20"/>
        </w:rPr>
        <w:t xml:space="preserve"> (Figura 2</w:t>
      </w:r>
      <w:r w:rsidR="004C3B88" w:rsidRPr="004C3B88">
        <w:rPr>
          <w:rFonts w:ascii="Arial" w:eastAsia="Times New Roman" w:hAnsi="Arial" w:cs="Arial"/>
          <w:bCs/>
          <w:iCs/>
          <w:sz w:val="20"/>
          <w:szCs w:val="20"/>
        </w:rPr>
        <w:t>).</w:t>
      </w:r>
    </w:p>
    <w:p w14:paraId="2560E6FA" w14:textId="77777777" w:rsidR="005F136A" w:rsidRPr="004C3B88" w:rsidRDefault="005F136A" w:rsidP="00E34F20">
      <w:pPr>
        <w:adjustRightInd w:val="0"/>
        <w:spacing w:after="0" w:line="240" w:lineRule="auto"/>
        <w:jc w:val="both"/>
        <w:rPr>
          <w:rFonts w:ascii="Arial" w:eastAsia="Times New Roman" w:hAnsi="Arial" w:cs="Arial"/>
          <w:bCs/>
          <w:iCs/>
          <w:sz w:val="20"/>
          <w:szCs w:val="20"/>
        </w:rPr>
      </w:pPr>
    </w:p>
    <w:p w14:paraId="0E786497" w14:textId="60D018AB" w:rsidR="004C3B88" w:rsidRPr="007826E3" w:rsidRDefault="004C3B88" w:rsidP="00E34F20">
      <w:pPr>
        <w:pStyle w:val="Testonormale"/>
        <w:spacing w:after="160"/>
        <w:jc w:val="both"/>
        <w:rPr>
          <w:rFonts w:ascii="Arial" w:hAnsi="Arial" w:cs="Arial"/>
          <w:b/>
        </w:rPr>
      </w:pPr>
      <w:r w:rsidRPr="00E34F20">
        <w:rPr>
          <w:rFonts w:ascii="Arial" w:hAnsi="Arial" w:cs="Arial"/>
          <w:b/>
        </w:rPr>
        <w:t xml:space="preserve">Figura </w:t>
      </w:r>
      <w:r w:rsidR="00404D58" w:rsidRPr="00E34F20">
        <w:rPr>
          <w:rFonts w:ascii="Arial" w:hAnsi="Arial" w:cs="Arial"/>
          <w:b/>
        </w:rPr>
        <w:t>2</w:t>
      </w:r>
      <w:r w:rsidRPr="00E34F20">
        <w:rPr>
          <w:rFonts w:ascii="Arial" w:hAnsi="Arial" w:cs="Arial"/>
          <w:b/>
        </w:rPr>
        <w:t xml:space="preserve"> - Evoluzione temporale dei Goal: ultimo anno disponibile rispetto all’anno precedente, per Goal </w:t>
      </w:r>
      <w:r w:rsidRPr="00E34F20">
        <w:rPr>
          <w:rFonts w:ascii="Arial" w:hAnsi="Arial" w:cs="Arial"/>
          <w:bCs/>
        </w:rPr>
        <w:t>(a)</w:t>
      </w:r>
    </w:p>
    <w:p w14:paraId="2253F19E" w14:textId="77777777" w:rsidR="004C3B88" w:rsidRPr="004C3B88" w:rsidRDefault="004C3B88" w:rsidP="004C3B88">
      <w:pPr>
        <w:pStyle w:val="Titolo2"/>
        <w:spacing w:before="0"/>
        <w:jc w:val="both"/>
        <w:rPr>
          <w:rFonts w:ascii="Helvetica LT Std Cond" w:hAnsi="Helvetica LT Std Cond" w:cstheme="minorHAnsi"/>
          <w:sz w:val="24"/>
          <w:szCs w:val="24"/>
        </w:rPr>
      </w:pPr>
      <w:r w:rsidRPr="004C3B88">
        <w:rPr>
          <w:rFonts w:ascii="Helvetica LT Std Cond" w:hAnsi="Helvetica LT Std Cond" w:cstheme="minorHAnsi"/>
          <w:noProof/>
          <w:sz w:val="24"/>
          <w:szCs w:val="24"/>
          <w:lang w:eastAsia="it-IT"/>
        </w:rPr>
        <w:drawing>
          <wp:inline distT="0" distB="0" distL="0" distR="0" wp14:anchorId="56C3E4D5" wp14:editId="6497C245">
            <wp:extent cx="6084000" cy="2437200"/>
            <wp:effectExtent l="0" t="0" r="0" b="0"/>
            <wp:docPr id="42" name="Immagin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4000" cy="2437200"/>
                    </a:xfrm>
                    <a:prstGeom prst="rect">
                      <a:avLst/>
                    </a:prstGeom>
                    <a:noFill/>
                  </pic:spPr>
                </pic:pic>
              </a:graphicData>
            </a:graphic>
          </wp:inline>
        </w:drawing>
      </w:r>
    </w:p>
    <w:p w14:paraId="0968FA3E" w14:textId="77777777" w:rsidR="004C3B88" w:rsidRPr="00A75774" w:rsidRDefault="004C3B88" w:rsidP="00E34F20">
      <w:pPr>
        <w:pStyle w:val="Titolo2"/>
        <w:keepNext w:val="0"/>
        <w:keepLines w:val="0"/>
        <w:widowControl w:val="0"/>
        <w:numPr>
          <w:ilvl w:val="0"/>
          <w:numId w:val="1"/>
        </w:numPr>
        <w:autoSpaceDE w:val="0"/>
        <w:autoSpaceDN w:val="0"/>
        <w:spacing w:before="0" w:after="120" w:line="240" w:lineRule="auto"/>
        <w:jc w:val="both"/>
        <w:rPr>
          <w:rFonts w:ascii="Arial" w:hAnsi="Arial" w:cs="Arial"/>
          <w:sz w:val="15"/>
          <w:szCs w:val="15"/>
        </w:rPr>
      </w:pPr>
      <w:r w:rsidRPr="00A75774">
        <w:rPr>
          <w:rFonts w:ascii="Arial" w:hAnsi="Arial" w:cs="Arial"/>
          <w:sz w:val="15"/>
          <w:szCs w:val="15"/>
        </w:rPr>
        <w:t xml:space="preserve">Accanto a ciascun Goal viene indicato tra parentesi il numero di misure statistiche utilizzate per il calcolo </w:t>
      </w:r>
    </w:p>
    <w:p w14:paraId="3ACA3B67" w14:textId="2DF92BF6" w:rsidR="00DC42C7" w:rsidRDefault="00DC42C7" w:rsidP="00E34F20">
      <w:pPr>
        <w:spacing w:after="120" w:line="240" w:lineRule="auto"/>
        <w:rPr>
          <w:rFonts w:ascii="Helvetica LT Std Cond" w:hAnsi="Helvetica LT Std Cond" w:cs="HelveticaLTStd-Cond"/>
          <w:sz w:val="24"/>
          <w:szCs w:val="24"/>
          <w:highlight w:val="yellow"/>
        </w:rPr>
      </w:pPr>
      <w:bookmarkStart w:id="0" w:name="_GoBack"/>
      <w:bookmarkEnd w:id="0"/>
    </w:p>
    <w:p w14:paraId="1E57F1B6" w14:textId="5C7AFFEA" w:rsidR="004C3B88" w:rsidRPr="004C3B88" w:rsidRDefault="004C3B88" w:rsidP="00E34F20">
      <w:pPr>
        <w:pStyle w:val="Paragrafoelenco"/>
        <w:widowControl/>
        <w:adjustRightInd w:val="0"/>
        <w:spacing w:after="120"/>
        <w:ind w:left="0"/>
        <w:jc w:val="both"/>
        <w:rPr>
          <w:rFonts w:ascii="Arial" w:eastAsia="Times New Roman" w:hAnsi="Arial" w:cs="Arial"/>
          <w:bCs/>
          <w:iCs/>
          <w:sz w:val="20"/>
          <w:szCs w:val="20"/>
          <w:lang w:val="it-IT"/>
        </w:rPr>
      </w:pPr>
      <w:r w:rsidRPr="004C3B88">
        <w:rPr>
          <w:rFonts w:ascii="Arial" w:eastAsia="Times New Roman" w:hAnsi="Arial" w:cs="Arial"/>
          <w:bCs/>
          <w:iCs/>
          <w:sz w:val="20"/>
          <w:szCs w:val="20"/>
          <w:lang w:val="it-IT"/>
        </w:rPr>
        <w:t xml:space="preserve">Rispetto ai 10 anni precedenti, </w:t>
      </w:r>
      <w:r w:rsidR="00C70C9A">
        <w:rPr>
          <w:rFonts w:ascii="Arial" w:eastAsia="Times New Roman" w:hAnsi="Arial" w:cs="Arial"/>
          <w:bCs/>
          <w:iCs/>
          <w:sz w:val="20"/>
          <w:szCs w:val="20"/>
          <w:lang w:val="it-IT"/>
        </w:rPr>
        <w:t>la comparazione è più favorevole</w:t>
      </w:r>
      <w:r w:rsidRPr="004C3B88">
        <w:rPr>
          <w:rFonts w:ascii="Arial" w:eastAsia="Times New Roman" w:hAnsi="Arial" w:cs="Arial"/>
          <w:bCs/>
          <w:iCs/>
          <w:sz w:val="20"/>
          <w:szCs w:val="20"/>
          <w:lang w:val="it-IT"/>
        </w:rPr>
        <w:t xml:space="preserve">: il 59,9% delle misure </w:t>
      </w:r>
      <w:r w:rsidR="00403029">
        <w:rPr>
          <w:rFonts w:ascii="Arial" w:eastAsia="Times New Roman" w:hAnsi="Arial" w:cs="Arial"/>
          <w:bCs/>
          <w:iCs/>
          <w:sz w:val="20"/>
          <w:szCs w:val="20"/>
          <w:lang w:val="it-IT"/>
        </w:rPr>
        <w:t>è</w:t>
      </w:r>
      <w:r w:rsidRPr="004C3B88">
        <w:rPr>
          <w:rFonts w:ascii="Arial" w:eastAsia="Times New Roman" w:hAnsi="Arial" w:cs="Arial"/>
          <w:bCs/>
          <w:iCs/>
          <w:sz w:val="20"/>
          <w:szCs w:val="20"/>
          <w:lang w:val="it-IT"/>
        </w:rPr>
        <w:t xml:space="preserve"> infatti in miglioramento, mentre il 16,7% resta stazionari</w:t>
      </w:r>
      <w:r w:rsidR="005C54D6">
        <w:rPr>
          <w:rFonts w:ascii="Arial" w:eastAsia="Times New Roman" w:hAnsi="Arial" w:cs="Arial"/>
          <w:bCs/>
          <w:iCs/>
          <w:sz w:val="20"/>
          <w:szCs w:val="20"/>
          <w:lang w:val="it-IT"/>
        </w:rPr>
        <w:t>o</w:t>
      </w:r>
      <w:r w:rsidRPr="004C3B88">
        <w:rPr>
          <w:rFonts w:ascii="Arial" w:eastAsia="Times New Roman" w:hAnsi="Arial" w:cs="Arial"/>
          <w:bCs/>
          <w:iCs/>
          <w:sz w:val="20"/>
          <w:szCs w:val="20"/>
          <w:lang w:val="it-IT"/>
        </w:rPr>
        <w:t xml:space="preserve"> e il 23,4% segnala un peggioramento. La percentuale di misure con variazione positiva è elevata per i Goal</w:t>
      </w:r>
      <w:r w:rsidR="00886A46">
        <w:rPr>
          <w:rFonts w:ascii="Arial" w:eastAsia="Times New Roman" w:hAnsi="Arial" w:cs="Arial"/>
          <w:bCs/>
          <w:iCs/>
          <w:sz w:val="20"/>
          <w:szCs w:val="20"/>
          <w:lang w:val="it-IT"/>
        </w:rPr>
        <w:t xml:space="preserve"> </w:t>
      </w:r>
      <w:r w:rsidRPr="004C3B88">
        <w:rPr>
          <w:rFonts w:ascii="Arial" w:eastAsia="Times New Roman" w:hAnsi="Arial" w:cs="Arial"/>
          <w:bCs/>
          <w:iCs/>
          <w:sz w:val="20"/>
          <w:szCs w:val="20"/>
          <w:lang w:val="it-IT"/>
        </w:rPr>
        <w:t>17</w:t>
      </w:r>
      <w:r w:rsidR="005C54D6">
        <w:rPr>
          <w:rFonts w:ascii="Arial" w:eastAsia="Times New Roman" w:hAnsi="Arial" w:cs="Arial"/>
          <w:bCs/>
          <w:iCs/>
          <w:sz w:val="20"/>
          <w:szCs w:val="20"/>
          <w:lang w:val="it-IT"/>
        </w:rPr>
        <w:t>,</w:t>
      </w:r>
      <w:r w:rsidRPr="004C3B88">
        <w:rPr>
          <w:rFonts w:ascii="Arial" w:eastAsia="Times New Roman" w:hAnsi="Arial" w:cs="Arial"/>
          <w:bCs/>
          <w:iCs/>
          <w:sz w:val="20"/>
          <w:szCs w:val="20"/>
          <w:lang w:val="it-IT"/>
        </w:rPr>
        <w:t xml:space="preserve"> 12</w:t>
      </w:r>
      <w:r w:rsidR="005C54D6">
        <w:rPr>
          <w:rFonts w:ascii="Arial" w:eastAsia="Times New Roman" w:hAnsi="Arial" w:cs="Arial"/>
          <w:bCs/>
          <w:iCs/>
          <w:sz w:val="20"/>
          <w:szCs w:val="20"/>
          <w:lang w:val="it-IT"/>
        </w:rPr>
        <w:t>,</w:t>
      </w:r>
      <w:r w:rsidRPr="004C3B88">
        <w:rPr>
          <w:rFonts w:ascii="Arial" w:eastAsia="Times New Roman" w:hAnsi="Arial" w:cs="Arial"/>
          <w:bCs/>
          <w:iCs/>
          <w:sz w:val="20"/>
          <w:szCs w:val="20"/>
          <w:lang w:val="it-IT"/>
        </w:rPr>
        <w:t xml:space="preserve"> 7 (Energia pulita), 5 (Parità di genere), 9 e 2 (Fame </w:t>
      </w:r>
      <w:r w:rsidRPr="004C3B88">
        <w:rPr>
          <w:rFonts w:ascii="Arial" w:eastAsia="Times New Roman" w:hAnsi="Arial" w:cs="Arial"/>
          <w:bCs/>
          <w:iCs/>
          <w:sz w:val="20"/>
          <w:szCs w:val="20"/>
          <w:lang w:val="it-IT"/>
        </w:rPr>
        <w:lastRenderedPageBreak/>
        <w:t>zero), mentre nei Goal</w:t>
      </w:r>
      <w:r w:rsidR="003B6529">
        <w:rPr>
          <w:rFonts w:ascii="Arial" w:eastAsia="Times New Roman" w:hAnsi="Arial" w:cs="Arial"/>
          <w:bCs/>
          <w:iCs/>
          <w:sz w:val="20"/>
          <w:szCs w:val="20"/>
          <w:lang w:val="it-IT"/>
        </w:rPr>
        <w:t xml:space="preserve"> </w:t>
      </w:r>
      <w:r w:rsidRPr="004C3B88">
        <w:rPr>
          <w:rFonts w:ascii="Arial" w:eastAsia="Times New Roman" w:hAnsi="Arial" w:cs="Arial"/>
          <w:bCs/>
          <w:iCs/>
          <w:sz w:val="20"/>
          <w:szCs w:val="20"/>
          <w:lang w:val="it-IT"/>
        </w:rPr>
        <w:t>11 (Città e comunità sostenibili), 13 (Cambiamento climatico), 4 (Istruzione) e 1 (Povertà) si registra il livello più elevato di misure in peggioramento</w:t>
      </w:r>
      <w:r w:rsidR="006245E2">
        <w:rPr>
          <w:rFonts w:ascii="Arial" w:eastAsia="Times New Roman" w:hAnsi="Arial" w:cs="Arial"/>
          <w:bCs/>
          <w:iCs/>
          <w:sz w:val="20"/>
          <w:szCs w:val="20"/>
          <w:lang w:val="it-IT"/>
        </w:rPr>
        <w:t xml:space="preserve"> </w:t>
      </w:r>
      <w:r w:rsidR="006245E2" w:rsidRPr="00E34F20">
        <w:rPr>
          <w:rFonts w:ascii="Arial" w:eastAsia="Times New Roman" w:hAnsi="Arial" w:cs="Arial"/>
          <w:bCs/>
          <w:iCs/>
          <w:sz w:val="20"/>
          <w:szCs w:val="20"/>
          <w:lang w:val="it-IT"/>
        </w:rPr>
        <w:t>(Figura 3)</w:t>
      </w:r>
      <w:r w:rsidRPr="004C3B88">
        <w:rPr>
          <w:rFonts w:ascii="Arial" w:eastAsia="Times New Roman" w:hAnsi="Arial" w:cs="Arial"/>
          <w:bCs/>
          <w:iCs/>
          <w:sz w:val="20"/>
          <w:szCs w:val="20"/>
          <w:lang w:val="it-IT"/>
        </w:rPr>
        <w:t>.</w:t>
      </w:r>
    </w:p>
    <w:p w14:paraId="05BC70B6" w14:textId="77777777" w:rsidR="00163C20" w:rsidRDefault="00163C20" w:rsidP="00E34F20">
      <w:pPr>
        <w:pStyle w:val="Testonormale"/>
        <w:spacing w:after="120"/>
        <w:jc w:val="both"/>
        <w:rPr>
          <w:rFonts w:ascii="Arial" w:hAnsi="Arial" w:cs="Arial"/>
          <w:b/>
        </w:rPr>
      </w:pPr>
    </w:p>
    <w:p w14:paraId="49D058A9" w14:textId="45F7C9BF" w:rsidR="00163C20" w:rsidRPr="00163C20" w:rsidRDefault="00163C20" w:rsidP="00E34F20">
      <w:pPr>
        <w:pStyle w:val="Testonormale"/>
        <w:spacing w:after="160"/>
        <w:jc w:val="both"/>
        <w:rPr>
          <w:rFonts w:ascii="Arial" w:hAnsi="Arial" w:cs="Arial"/>
          <w:b/>
        </w:rPr>
      </w:pPr>
      <w:r w:rsidRPr="00E34F20">
        <w:rPr>
          <w:rFonts w:ascii="Arial" w:hAnsi="Arial" w:cs="Arial"/>
          <w:b/>
        </w:rPr>
        <w:t xml:space="preserve">Figura 3 - Evoluzione temporale dei Goal: ultimo anno disponibile rispetto ai 10 anni precedenti, per Goal </w:t>
      </w:r>
      <w:r w:rsidRPr="00E34F20">
        <w:rPr>
          <w:rFonts w:ascii="Arial" w:hAnsi="Arial" w:cs="Arial"/>
          <w:bCs/>
        </w:rPr>
        <w:t>(a)</w:t>
      </w:r>
    </w:p>
    <w:p w14:paraId="0DD39BA1" w14:textId="77777777" w:rsidR="00163C20" w:rsidRDefault="00163C20" w:rsidP="00E34F20">
      <w:pPr>
        <w:pStyle w:val="Titolo2"/>
        <w:spacing w:before="0"/>
        <w:jc w:val="center"/>
        <w:rPr>
          <w:rFonts w:ascii="Helvetica LT Std Cond" w:hAnsi="Helvetica LT Std Cond" w:cstheme="minorHAnsi"/>
          <w:sz w:val="24"/>
          <w:szCs w:val="24"/>
        </w:rPr>
      </w:pPr>
      <w:r>
        <w:rPr>
          <w:rFonts w:ascii="Helvetica LT Std Cond" w:hAnsi="Helvetica LT Std Cond" w:cstheme="minorHAnsi"/>
          <w:noProof/>
          <w:sz w:val="24"/>
          <w:szCs w:val="24"/>
          <w:lang w:eastAsia="it-IT"/>
        </w:rPr>
        <w:drawing>
          <wp:inline distT="0" distB="0" distL="0" distR="0" wp14:anchorId="0A0637F3" wp14:editId="324EF77C">
            <wp:extent cx="6084000" cy="2347200"/>
            <wp:effectExtent l="0" t="0" r="0" b="0"/>
            <wp:docPr id="43" name="Immagin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4000" cy="2347200"/>
                    </a:xfrm>
                    <a:prstGeom prst="rect">
                      <a:avLst/>
                    </a:prstGeom>
                    <a:noFill/>
                  </pic:spPr>
                </pic:pic>
              </a:graphicData>
            </a:graphic>
          </wp:inline>
        </w:drawing>
      </w:r>
    </w:p>
    <w:p w14:paraId="5565B0F5" w14:textId="529E9014" w:rsidR="00163C20" w:rsidRPr="00A75774" w:rsidRDefault="00163C20" w:rsidP="00E34F20">
      <w:pPr>
        <w:pStyle w:val="Titolo2"/>
        <w:keepNext w:val="0"/>
        <w:keepLines w:val="0"/>
        <w:widowControl w:val="0"/>
        <w:numPr>
          <w:ilvl w:val="0"/>
          <w:numId w:val="5"/>
        </w:numPr>
        <w:autoSpaceDE w:val="0"/>
        <w:autoSpaceDN w:val="0"/>
        <w:spacing w:before="0" w:line="240" w:lineRule="auto"/>
        <w:ind w:left="357" w:hanging="357"/>
        <w:jc w:val="both"/>
        <w:rPr>
          <w:rFonts w:ascii="Arial" w:hAnsi="Arial" w:cs="Arial"/>
          <w:sz w:val="14"/>
          <w:szCs w:val="14"/>
        </w:rPr>
      </w:pPr>
      <w:r w:rsidRPr="00A75774">
        <w:rPr>
          <w:rFonts w:ascii="Arial" w:hAnsi="Arial" w:cs="Arial"/>
          <w:sz w:val="14"/>
          <w:szCs w:val="14"/>
        </w:rPr>
        <w:t xml:space="preserve">Accanto a ciascun Goal viene indicato tra parentesi il numero di misure statistiche utilizzate per il calcolo </w:t>
      </w:r>
    </w:p>
    <w:p w14:paraId="16D67478" w14:textId="77777777" w:rsidR="00404D58" w:rsidRDefault="00404D58" w:rsidP="004C3B88">
      <w:pPr>
        <w:pStyle w:val="Testonormale"/>
        <w:jc w:val="both"/>
        <w:rPr>
          <w:rFonts w:ascii="Arial" w:hAnsi="Arial" w:cs="Arial"/>
          <w:bCs/>
          <w:iCs/>
          <w:lang w:eastAsia="en-US"/>
        </w:rPr>
      </w:pPr>
    </w:p>
    <w:p w14:paraId="676AB9FB" w14:textId="795E6E19" w:rsidR="0021088D" w:rsidRPr="0021088D" w:rsidRDefault="00C70C9A" w:rsidP="00E34F20">
      <w:pPr>
        <w:pStyle w:val="Testonormale"/>
        <w:spacing w:after="120"/>
        <w:jc w:val="both"/>
        <w:rPr>
          <w:rFonts w:ascii="Arial" w:hAnsi="Arial" w:cs="Arial"/>
          <w:bCs/>
          <w:iCs/>
          <w:lang w:eastAsia="en-US"/>
        </w:rPr>
      </w:pPr>
      <w:r>
        <w:rPr>
          <w:rFonts w:ascii="Arial" w:hAnsi="Arial" w:cs="Arial"/>
          <w:bCs/>
          <w:iCs/>
          <w:lang w:eastAsia="en-US"/>
        </w:rPr>
        <w:t>Le nuove informazioni rese disponibili per misurare</w:t>
      </w:r>
      <w:r w:rsidR="00B91513" w:rsidRPr="00B91513">
        <w:rPr>
          <w:rFonts w:ascii="Arial" w:hAnsi="Arial" w:cs="Arial"/>
          <w:bCs/>
          <w:iCs/>
          <w:lang w:eastAsia="en-US"/>
        </w:rPr>
        <w:t xml:space="preserve"> </w:t>
      </w:r>
      <w:r>
        <w:rPr>
          <w:rFonts w:ascii="Arial" w:hAnsi="Arial" w:cs="Arial"/>
          <w:bCs/>
          <w:iCs/>
          <w:lang w:eastAsia="en-US"/>
        </w:rPr>
        <w:t>la</w:t>
      </w:r>
      <w:r w:rsidRPr="00B91513">
        <w:rPr>
          <w:rFonts w:ascii="Arial" w:hAnsi="Arial" w:cs="Arial"/>
          <w:bCs/>
          <w:iCs/>
          <w:lang w:eastAsia="en-US"/>
        </w:rPr>
        <w:t xml:space="preserve"> </w:t>
      </w:r>
      <w:r w:rsidR="00B91513" w:rsidRPr="00B91513">
        <w:rPr>
          <w:rFonts w:ascii="Arial" w:hAnsi="Arial" w:cs="Arial"/>
          <w:bCs/>
          <w:iCs/>
          <w:lang w:eastAsia="en-US"/>
        </w:rPr>
        <w:t>convergenza tra Mezzogiorno e Centro-Nord</w:t>
      </w:r>
      <w:r>
        <w:rPr>
          <w:rFonts w:ascii="Arial" w:hAnsi="Arial" w:cs="Arial"/>
          <w:bCs/>
          <w:iCs/>
          <w:lang w:eastAsia="en-US"/>
        </w:rPr>
        <w:t xml:space="preserve"> </w:t>
      </w:r>
      <w:r w:rsidR="000464C7">
        <w:rPr>
          <w:rFonts w:ascii="Arial" w:hAnsi="Arial" w:cs="Arial"/>
          <w:bCs/>
          <w:iCs/>
          <w:lang w:eastAsia="en-US"/>
        </w:rPr>
        <w:t>indica</w:t>
      </w:r>
      <w:r w:rsidR="00B91513">
        <w:rPr>
          <w:rFonts w:ascii="Arial" w:hAnsi="Arial" w:cs="Arial"/>
          <w:bCs/>
          <w:iCs/>
          <w:lang w:eastAsia="en-US"/>
        </w:rPr>
        <w:t>no</w:t>
      </w:r>
      <w:r w:rsidR="000464C7">
        <w:rPr>
          <w:rFonts w:ascii="Arial" w:hAnsi="Arial" w:cs="Arial"/>
          <w:bCs/>
          <w:iCs/>
          <w:lang w:eastAsia="en-US"/>
        </w:rPr>
        <w:t xml:space="preserve"> </w:t>
      </w:r>
      <w:r w:rsidR="00B91513">
        <w:rPr>
          <w:rFonts w:ascii="Arial" w:hAnsi="Arial" w:cs="Arial"/>
          <w:bCs/>
          <w:iCs/>
          <w:lang w:eastAsia="en-US"/>
        </w:rPr>
        <w:t>che</w:t>
      </w:r>
      <w:r>
        <w:rPr>
          <w:rFonts w:ascii="Arial" w:hAnsi="Arial" w:cs="Arial"/>
          <w:bCs/>
          <w:iCs/>
          <w:lang w:eastAsia="en-US"/>
        </w:rPr>
        <w:t>, nel corso degli ultimi 10 anni,</w:t>
      </w:r>
      <w:r w:rsidR="00B91513">
        <w:rPr>
          <w:rFonts w:ascii="Arial" w:hAnsi="Arial" w:cs="Arial"/>
          <w:bCs/>
          <w:iCs/>
          <w:lang w:eastAsia="en-US"/>
        </w:rPr>
        <w:t xml:space="preserve"> </w:t>
      </w:r>
      <w:r w:rsidR="000464C7">
        <w:rPr>
          <w:rFonts w:ascii="Arial" w:hAnsi="Arial" w:cs="Arial"/>
          <w:bCs/>
          <w:iCs/>
          <w:lang w:eastAsia="en-US"/>
        </w:rPr>
        <w:t>c</w:t>
      </w:r>
      <w:r w:rsidR="000464C7" w:rsidRPr="000464C7">
        <w:rPr>
          <w:rFonts w:ascii="Arial" w:hAnsi="Arial" w:cs="Arial"/>
          <w:bCs/>
          <w:iCs/>
          <w:lang w:eastAsia="en-US"/>
        </w:rPr>
        <w:t xml:space="preserve">irca la metà delle 164 misure </w:t>
      </w:r>
      <w:r w:rsidR="00F21747">
        <w:rPr>
          <w:rFonts w:ascii="Arial" w:hAnsi="Arial" w:cs="Arial"/>
          <w:bCs/>
          <w:iCs/>
          <w:lang w:eastAsia="en-US"/>
        </w:rPr>
        <w:t>Istat-</w:t>
      </w:r>
      <w:proofErr w:type="spellStart"/>
      <w:r w:rsidR="00F21747">
        <w:rPr>
          <w:rFonts w:ascii="Arial" w:hAnsi="Arial" w:cs="Arial"/>
          <w:bCs/>
          <w:iCs/>
          <w:lang w:eastAsia="en-US"/>
        </w:rPr>
        <w:t>SDGs</w:t>
      </w:r>
      <w:proofErr w:type="spellEnd"/>
      <w:r w:rsidR="00F21747">
        <w:rPr>
          <w:rFonts w:ascii="Arial" w:hAnsi="Arial" w:cs="Arial"/>
          <w:bCs/>
          <w:iCs/>
          <w:lang w:eastAsia="en-US"/>
        </w:rPr>
        <w:t xml:space="preserve"> </w:t>
      </w:r>
      <w:r w:rsidR="000464C7" w:rsidRPr="000464C7">
        <w:rPr>
          <w:rFonts w:ascii="Arial" w:hAnsi="Arial" w:cs="Arial"/>
          <w:bCs/>
          <w:iCs/>
          <w:lang w:eastAsia="en-US"/>
        </w:rPr>
        <w:t xml:space="preserve">analizzate </w:t>
      </w:r>
      <w:r w:rsidR="00B91513">
        <w:rPr>
          <w:rFonts w:ascii="Arial" w:hAnsi="Arial" w:cs="Arial"/>
          <w:bCs/>
          <w:iCs/>
          <w:lang w:eastAsia="en-US"/>
        </w:rPr>
        <w:t>si caratterizza</w:t>
      </w:r>
      <w:r w:rsidR="000464C7">
        <w:rPr>
          <w:rFonts w:ascii="Arial" w:hAnsi="Arial" w:cs="Arial"/>
          <w:bCs/>
          <w:iCs/>
          <w:lang w:eastAsia="en-US"/>
        </w:rPr>
        <w:t xml:space="preserve"> per una riduzione delle distanze </w:t>
      </w:r>
      <w:r w:rsidR="000464C7" w:rsidRPr="000464C7">
        <w:rPr>
          <w:rFonts w:ascii="Arial" w:hAnsi="Arial" w:cs="Arial"/>
          <w:bCs/>
          <w:iCs/>
          <w:lang w:eastAsia="en-US"/>
        </w:rPr>
        <w:t>tra le regioni (78 misure, pari al 47,6%); 32 (pari al 19,5%) invece sono stabili e 54 (32,9%) sono associate a un</w:t>
      </w:r>
      <w:r>
        <w:rPr>
          <w:rFonts w:ascii="Arial" w:hAnsi="Arial" w:cs="Arial"/>
          <w:bCs/>
          <w:iCs/>
          <w:lang w:eastAsia="en-US"/>
        </w:rPr>
        <w:t xml:space="preserve"> ampliamento della</w:t>
      </w:r>
      <w:r w:rsidR="000464C7" w:rsidRPr="000464C7">
        <w:rPr>
          <w:rFonts w:ascii="Arial" w:hAnsi="Arial" w:cs="Arial"/>
          <w:bCs/>
          <w:iCs/>
          <w:lang w:eastAsia="en-US"/>
        </w:rPr>
        <w:t xml:space="preserve"> divergenza regionale. </w:t>
      </w:r>
    </w:p>
    <w:p w14:paraId="1843E73B" w14:textId="77777777" w:rsidR="0099194E" w:rsidRPr="0094788C" w:rsidRDefault="0099194E" w:rsidP="00E34F20">
      <w:pPr>
        <w:spacing w:after="120" w:line="240" w:lineRule="auto"/>
        <w:jc w:val="both"/>
        <w:rPr>
          <w:rFonts w:ascii="Arial" w:eastAsia="Times New Roman" w:hAnsi="Arial" w:cs="Arial"/>
          <w:b/>
          <w:bCs/>
          <w:iCs/>
          <w:color w:val="289AD1"/>
          <w:sz w:val="28"/>
          <w:szCs w:val="28"/>
          <w:highlight w:val="yellow"/>
        </w:rPr>
      </w:pPr>
    </w:p>
    <w:p w14:paraId="08CC8022" w14:textId="356FD122" w:rsidR="004D525E" w:rsidRDefault="004D525E" w:rsidP="00E34F20">
      <w:pPr>
        <w:spacing w:after="120" w:line="240" w:lineRule="auto"/>
        <w:jc w:val="both"/>
        <w:rPr>
          <w:rFonts w:ascii="Arial" w:eastAsia="Times New Roman" w:hAnsi="Arial" w:cs="Arial"/>
          <w:b/>
          <w:bCs/>
          <w:iCs/>
          <w:color w:val="289AD1"/>
          <w:sz w:val="28"/>
          <w:szCs w:val="28"/>
        </w:rPr>
      </w:pPr>
      <w:r w:rsidRPr="004C3B88">
        <w:rPr>
          <w:rFonts w:ascii="Arial" w:eastAsia="Times New Roman" w:hAnsi="Arial" w:cs="Arial"/>
          <w:b/>
          <w:bCs/>
          <w:iCs/>
          <w:color w:val="289AD1"/>
          <w:sz w:val="28"/>
          <w:szCs w:val="28"/>
        </w:rPr>
        <w:t xml:space="preserve">Gli </w:t>
      </w:r>
      <w:proofErr w:type="spellStart"/>
      <w:r w:rsidRPr="004C3B88">
        <w:rPr>
          <w:rFonts w:ascii="Arial" w:eastAsia="Times New Roman" w:hAnsi="Arial" w:cs="Arial"/>
          <w:b/>
          <w:bCs/>
          <w:iCs/>
          <w:color w:val="289AD1"/>
          <w:sz w:val="28"/>
          <w:szCs w:val="28"/>
        </w:rPr>
        <w:t>SDGs</w:t>
      </w:r>
      <w:proofErr w:type="spellEnd"/>
      <w:r w:rsidRPr="004C3B88">
        <w:rPr>
          <w:rFonts w:ascii="Arial" w:eastAsia="Times New Roman" w:hAnsi="Arial" w:cs="Arial"/>
          <w:b/>
          <w:bCs/>
          <w:iCs/>
          <w:color w:val="289AD1"/>
          <w:sz w:val="28"/>
          <w:szCs w:val="28"/>
        </w:rPr>
        <w:t xml:space="preserve"> e </w:t>
      </w:r>
      <w:r w:rsidR="006436FE" w:rsidRPr="004C3B88">
        <w:rPr>
          <w:rFonts w:ascii="Arial" w:eastAsia="Times New Roman" w:hAnsi="Arial" w:cs="Arial"/>
          <w:b/>
          <w:bCs/>
          <w:iCs/>
          <w:color w:val="289AD1"/>
          <w:sz w:val="28"/>
          <w:szCs w:val="28"/>
        </w:rPr>
        <w:t>le disu</w:t>
      </w:r>
      <w:r w:rsidR="00E77D5D">
        <w:rPr>
          <w:rFonts w:ascii="Arial" w:eastAsia="Times New Roman" w:hAnsi="Arial" w:cs="Arial"/>
          <w:b/>
          <w:bCs/>
          <w:iCs/>
          <w:color w:val="289AD1"/>
          <w:sz w:val="28"/>
          <w:szCs w:val="28"/>
        </w:rPr>
        <w:t>gua</w:t>
      </w:r>
      <w:r w:rsidR="006436FE" w:rsidRPr="004C3B88">
        <w:rPr>
          <w:rFonts w:ascii="Arial" w:eastAsia="Times New Roman" w:hAnsi="Arial" w:cs="Arial"/>
          <w:b/>
          <w:bCs/>
          <w:iCs/>
          <w:color w:val="289AD1"/>
          <w:sz w:val="28"/>
          <w:szCs w:val="28"/>
        </w:rPr>
        <w:t>glianze</w:t>
      </w:r>
    </w:p>
    <w:p w14:paraId="58CBDAC3" w14:textId="77777777" w:rsidR="002F73F5" w:rsidRPr="00F2627C" w:rsidRDefault="002F73F5" w:rsidP="00E34F20">
      <w:pPr>
        <w:spacing w:after="120" w:line="240" w:lineRule="auto"/>
        <w:jc w:val="both"/>
        <w:rPr>
          <w:rFonts w:ascii="Helvetica LT Std Cond" w:hAnsi="Helvetica LT Std Cond" w:cs="Helvetica LT Std Cond"/>
          <w:color w:val="000000"/>
          <w:sz w:val="12"/>
          <w:szCs w:val="12"/>
        </w:rPr>
      </w:pPr>
    </w:p>
    <w:p w14:paraId="2CAADF17" w14:textId="764B9F11" w:rsidR="00404D58" w:rsidRDefault="00404D58" w:rsidP="00823B3E">
      <w:pPr>
        <w:pStyle w:val="NormaleWeb"/>
        <w:shd w:val="clear" w:color="auto" w:fill="FFFFFF"/>
        <w:spacing w:after="120" w:line="240" w:lineRule="auto"/>
        <w:jc w:val="both"/>
        <w:rPr>
          <w:rFonts w:ascii="Arial" w:hAnsi="Arial" w:cs="Arial"/>
          <w:sz w:val="20"/>
          <w:szCs w:val="20"/>
        </w:rPr>
      </w:pPr>
      <w:r w:rsidRPr="00D136D8">
        <w:rPr>
          <w:rFonts w:ascii="Arial" w:hAnsi="Arial" w:cs="Arial"/>
          <w:sz w:val="20"/>
          <w:szCs w:val="20"/>
        </w:rPr>
        <w:t xml:space="preserve">L'Agenda 2030 coniuga il raggiungimento degli </w:t>
      </w:r>
      <w:proofErr w:type="spellStart"/>
      <w:r w:rsidRPr="00D136D8">
        <w:rPr>
          <w:rFonts w:ascii="Arial" w:hAnsi="Arial" w:cs="Arial"/>
          <w:sz w:val="20"/>
          <w:szCs w:val="20"/>
        </w:rPr>
        <w:t>SDGs</w:t>
      </w:r>
      <w:proofErr w:type="spellEnd"/>
      <w:r w:rsidRPr="00D136D8">
        <w:rPr>
          <w:rFonts w:ascii="Arial" w:hAnsi="Arial" w:cs="Arial"/>
          <w:sz w:val="20"/>
          <w:szCs w:val="20"/>
        </w:rPr>
        <w:t xml:space="preserve"> a</w:t>
      </w:r>
      <w:r w:rsidR="00B24E82">
        <w:rPr>
          <w:rFonts w:ascii="Arial" w:hAnsi="Arial" w:cs="Arial"/>
          <w:sz w:val="20"/>
          <w:szCs w:val="20"/>
        </w:rPr>
        <w:t xml:space="preserve">l </w:t>
      </w:r>
      <w:r w:rsidRPr="00D136D8">
        <w:rPr>
          <w:rFonts w:ascii="Arial" w:hAnsi="Arial" w:cs="Arial"/>
          <w:sz w:val="20"/>
          <w:szCs w:val="20"/>
        </w:rPr>
        <w:t>principi</w:t>
      </w:r>
      <w:r w:rsidR="00B24E82">
        <w:rPr>
          <w:rFonts w:ascii="Arial" w:hAnsi="Arial" w:cs="Arial"/>
          <w:sz w:val="20"/>
          <w:szCs w:val="20"/>
        </w:rPr>
        <w:t xml:space="preserve">o di </w:t>
      </w:r>
      <w:r w:rsidRPr="00D136D8">
        <w:rPr>
          <w:rFonts w:ascii="Arial" w:hAnsi="Arial" w:cs="Arial"/>
          <w:sz w:val="20"/>
          <w:szCs w:val="20"/>
        </w:rPr>
        <w:t>“non lasciare indietro nessuno</w:t>
      </w:r>
      <w:r w:rsidR="00B24E82">
        <w:rPr>
          <w:rFonts w:ascii="Arial" w:hAnsi="Arial" w:cs="Arial"/>
          <w:sz w:val="20"/>
          <w:szCs w:val="20"/>
        </w:rPr>
        <w:t xml:space="preserve">”. </w:t>
      </w:r>
      <w:r>
        <w:rPr>
          <w:rFonts w:ascii="Arial" w:hAnsi="Arial" w:cs="Arial"/>
          <w:sz w:val="20"/>
          <w:szCs w:val="20"/>
        </w:rPr>
        <w:t xml:space="preserve">Il </w:t>
      </w:r>
      <w:r w:rsidRPr="00D136D8">
        <w:rPr>
          <w:rFonts w:ascii="Arial" w:hAnsi="Arial" w:cs="Arial"/>
          <w:sz w:val="20"/>
          <w:szCs w:val="20"/>
        </w:rPr>
        <w:t>PNRR individua le pari opportunità intergenerazionali, di genere e territoriali come priorità trasversali, sulla base delle quali sono valutate le Missioni e le Riforme.</w:t>
      </w:r>
      <w:r>
        <w:rPr>
          <w:rFonts w:ascii="Arial" w:hAnsi="Arial" w:cs="Arial"/>
          <w:sz w:val="20"/>
          <w:szCs w:val="20"/>
        </w:rPr>
        <w:t xml:space="preserve"> </w:t>
      </w:r>
      <w:r w:rsidR="00B24E82" w:rsidRPr="00B24E82">
        <w:rPr>
          <w:rFonts w:ascii="Arial" w:hAnsi="Arial" w:cs="Arial"/>
          <w:sz w:val="20"/>
          <w:szCs w:val="20"/>
        </w:rPr>
        <w:t>Le sinergie tra il PNRR e l’Agenda 2030 definiscono un terreno comune per gli obiettivi di contrasto alle disuguaglianze e per il dettaglio delle misurazioni necessarie per valutarne i progressi</w:t>
      </w:r>
      <w:r w:rsidR="00B24E82">
        <w:rPr>
          <w:rFonts w:ascii="Arial" w:hAnsi="Arial" w:cs="Arial"/>
          <w:sz w:val="20"/>
          <w:szCs w:val="20"/>
        </w:rPr>
        <w:t xml:space="preserve">. </w:t>
      </w:r>
      <w:r w:rsidR="00DD7121">
        <w:rPr>
          <w:rFonts w:ascii="Arial" w:hAnsi="Arial" w:cs="Arial"/>
          <w:sz w:val="20"/>
          <w:szCs w:val="20"/>
        </w:rPr>
        <w:t>Per offrire un contributo in questa direzione</w:t>
      </w:r>
      <w:r>
        <w:rPr>
          <w:rFonts w:ascii="Arial" w:hAnsi="Arial" w:cs="Arial"/>
          <w:sz w:val="20"/>
          <w:szCs w:val="20"/>
        </w:rPr>
        <w:t xml:space="preserve">, il Rapporto </w:t>
      </w:r>
      <w:r w:rsidRPr="006937F3">
        <w:rPr>
          <w:rFonts w:ascii="Arial" w:hAnsi="Arial" w:cs="Arial"/>
          <w:sz w:val="20"/>
          <w:szCs w:val="20"/>
        </w:rPr>
        <w:t xml:space="preserve">propone </w:t>
      </w:r>
      <w:r w:rsidR="00CF6722">
        <w:rPr>
          <w:rFonts w:ascii="Arial" w:hAnsi="Arial" w:cs="Arial"/>
          <w:sz w:val="20"/>
          <w:szCs w:val="20"/>
        </w:rPr>
        <w:t>un approccio multidimensionale per misurare le</w:t>
      </w:r>
      <w:r>
        <w:rPr>
          <w:rFonts w:ascii="Arial" w:hAnsi="Arial" w:cs="Arial"/>
          <w:sz w:val="20"/>
          <w:szCs w:val="20"/>
        </w:rPr>
        <w:t xml:space="preserve"> disparità </w:t>
      </w:r>
      <w:r w:rsidRPr="006937F3">
        <w:rPr>
          <w:rFonts w:ascii="Arial" w:hAnsi="Arial" w:cs="Arial"/>
          <w:sz w:val="20"/>
          <w:szCs w:val="20"/>
        </w:rPr>
        <w:t>territoriali e di genere</w:t>
      </w:r>
      <w:r>
        <w:rPr>
          <w:rFonts w:ascii="Arial" w:hAnsi="Arial" w:cs="Arial"/>
          <w:sz w:val="20"/>
          <w:szCs w:val="20"/>
        </w:rPr>
        <w:t xml:space="preserve">. </w:t>
      </w:r>
      <w:r w:rsidR="0068587D">
        <w:rPr>
          <w:rFonts w:ascii="Arial" w:hAnsi="Arial" w:cs="Arial"/>
          <w:sz w:val="20"/>
          <w:szCs w:val="20"/>
        </w:rPr>
        <w:t xml:space="preserve"> </w:t>
      </w:r>
    </w:p>
    <w:p w14:paraId="62848592" w14:textId="731430AA" w:rsidR="00CF6722" w:rsidRDefault="00404D58" w:rsidP="00823B3E">
      <w:pPr>
        <w:pStyle w:val="NormaleWeb"/>
        <w:shd w:val="clear" w:color="auto" w:fill="FFFFFF"/>
        <w:spacing w:after="120" w:line="240" w:lineRule="auto"/>
        <w:jc w:val="both"/>
        <w:rPr>
          <w:rFonts w:ascii="Arial" w:hAnsi="Arial" w:cs="Arial"/>
          <w:sz w:val="20"/>
          <w:szCs w:val="20"/>
        </w:rPr>
      </w:pPr>
      <w:r>
        <w:rPr>
          <w:rFonts w:ascii="Arial" w:hAnsi="Arial" w:cs="Arial"/>
          <w:sz w:val="20"/>
          <w:szCs w:val="20"/>
        </w:rPr>
        <w:t xml:space="preserve">A livello territoriale, </w:t>
      </w:r>
      <w:r w:rsidR="00DD7121" w:rsidRPr="001A1FFE">
        <w:rPr>
          <w:rFonts w:ascii="Arial" w:hAnsi="Arial" w:cs="Arial"/>
          <w:sz w:val="20"/>
          <w:szCs w:val="20"/>
        </w:rPr>
        <w:t>per 152 misure</w:t>
      </w:r>
      <w:r w:rsidR="00DD7121">
        <w:rPr>
          <w:rFonts w:ascii="Arial" w:hAnsi="Arial" w:cs="Arial"/>
          <w:sz w:val="20"/>
          <w:szCs w:val="20"/>
        </w:rPr>
        <w:t xml:space="preserve"> Istat-</w:t>
      </w:r>
      <w:proofErr w:type="spellStart"/>
      <w:r w:rsidR="00DD7121">
        <w:rPr>
          <w:rFonts w:ascii="Arial" w:hAnsi="Arial" w:cs="Arial"/>
          <w:sz w:val="20"/>
          <w:szCs w:val="20"/>
        </w:rPr>
        <w:t>SDGs</w:t>
      </w:r>
      <w:proofErr w:type="spellEnd"/>
      <w:r w:rsidR="00DD7121">
        <w:rPr>
          <w:rFonts w:ascii="Arial" w:hAnsi="Arial" w:cs="Arial"/>
          <w:sz w:val="20"/>
          <w:szCs w:val="20"/>
        </w:rPr>
        <w:t xml:space="preserve"> </w:t>
      </w:r>
      <w:r w:rsidR="00CF6722">
        <w:rPr>
          <w:rFonts w:ascii="Arial" w:hAnsi="Arial" w:cs="Arial"/>
          <w:sz w:val="20"/>
          <w:szCs w:val="20"/>
        </w:rPr>
        <w:t>è stata stimata una distanza calcolata</w:t>
      </w:r>
      <w:r w:rsidR="00B655AA">
        <w:rPr>
          <w:rFonts w:ascii="Arial" w:hAnsi="Arial" w:cs="Arial"/>
          <w:sz w:val="20"/>
          <w:szCs w:val="20"/>
        </w:rPr>
        <w:t>,</w:t>
      </w:r>
      <w:r w:rsidR="00DD7121">
        <w:rPr>
          <w:rFonts w:ascii="Arial" w:hAnsi="Arial" w:cs="Arial"/>
          <w:sz w:val="20"/>
          <w:szCs w:val="20"/>
        </w:rPr>
        <w:t xml:space="preserve"> </w:t>
      </w:r>
      <w:r w:rsidR="00CF6722">
        <w:rPr>
          <w:rFonts w:ascii="Arial" w:hAnsi="Arial" w:cs="Arial"/>
          <w:sz w:val="20"/>
          <w:szCs w:val="20"/>
        </w:rPr>
        <w:t xml:space="preserve">per </w:t>
      </w:r>
      <w:r w:rsidR="006245E2">
        <w:rPr>
          <w:rFonts w:ascii="Arial" w:hAnsi="Arial" w:cs="Arial"/>
          <w:sz w:val="20"/>
          <w:szCs w:val="20"/>
        </w:rPr>
        <w:t xml:space="preserve">ciascuna </w:t>
      </w:r>
      <w:r w:rsidR="00CF6722">
        <w:rPr>
          <w:rFonts w:ascii="Arial" w:hAnsi="Arial" w:cs="Arial"/>
          <w:sz w:val="20"/>
          <w:szCs w:val="20"/>
        </w:rPr>
        <w:t>regione</w:t>
      </w:r>
      <w:r w:rsidR="00B655AA">
        <w:rPr>
          <w:rFonts w:ascii="Arial" w:hAnsi="Arial" w:cs="Arial"/>
          <w:sz w:val="20"/>
          <w:szCs w:val="20"/>
        </w:rPr>
        <w:t>,</w:t>
      </w:r>
      <w:r w:rsidR="006245E2">
        <w:rPr>
          <w:rFonts w:ascii="Arial" w:hAnsi="Arial" w:cs="Arial"/>
          <w:sz w:val="20"/>
          <w:szCs w:val="20"/>
        </w:rPr>
        <w:t xml:space="preserve"> </w:t>
      </w:r>
      <w:r w:rsidR="00CF6722">
        <w:rPr>
          <w:rFonts w:ascii="Arial" w:hAnsi="Arial" w:cs="Arial"/>
          <w:sz w:val="20"/>
          <w:szCs w:val="20"/>
        </w:rPr>
        <w:t xml:space="preserve">confrontando il dato dell’ultimo </w:t>
      </w:r>
      <w:r w:rsidR="00D3104F">
        <w:rPr>
          <w:rFonts w:ascii="Arial" w:hAnsi="Arial" w:cs="Arial"/>
          <w:sz w:val="20"/>
          <w:szCs w:val="20"/>
        </w:rPr>
        <w:t xml:space="preserve">anno </w:t>
      </w:r>
      <w:r w:rsidR="00CF6722">
        <w:rPr>
          <w:rFonts w:ascii="Arial" w:hAnsi="Arial" w:cs="Arial"/>
          <w:sz w:val="20"/>
          <w:szCs w:val="20"/>
        </w:rPr>
        <w:t xml:space="preserve">con </w:t>
      </w:r>
      <w:r w:rsidR="00D3104F">
        <w:rPr>
          <w:rFonts w:ascii="Arial" w:hAnsi="Arial" w:cs="Arial"/>
          <w:sz w:val="20"/>
          <w:szCs w:val="20"/>
        </w:rPr>
        <w:t>la</w:t>
      </w:r>
      <w:r w:rsidR="00CF6722">
        <w:rPr>
          <w:rFonts w:ascii="Arial" w:hAnsi="Arial" w:cs="Arial"/>
          <w:sz w:val="20"/>
          <w:szCs w:val="20"/>
        </w:rPr>
        <w:t xml:space="preserve"> cosiddett</w:t>
      </w:r>
      <w:r w:rsidR="00D3104F">
        <w:rPr>
          <w:rFonts w:ascii="Arial" w:hAnsi="Arial" w:cs="Arial"/>
          <w:sz w:val="20"/>
          <w:szCs w:val="20"/>
        </w:rPr>
        <w:t>a</w:t>
      </w:r>
      <w:r w:rsidR="00CF6722" w:rsidRPr="00CF6722">
        <w:rPr>
          <w:rFonts w:ascii="Arial" w:hAnsi="Arial" w:cs="Arial"/>
          <w:i/>
          <w:sz w:val="20"/>
          <w:szCs w:val="20"/>
        </w:rPr>
        <w:t xml:space="preserve"> </w:t>
      </w:r>
      <w:r w:rsidR="00CF6722" w:rsidRPr="000E14D6">
        <w:rPr>
          <w:rFonts w:ascii="Arial" w:hAnsi="Arial" w:cs="Arial"/>
          <w:i/>
          <w:sz w:val="20"/>
          <w:szCs w:val="20"/>
        </w:rPr>
        <w:t>best performance</w:t>
      </w:r>
      <w:r w:rsidR="00CF6722">
        <w:rPr>
          <w:rFonts w:ascii="Arial" w:hAnsi="Arial" w:cs="Arial"/>
          <w:sz w:val="20"/>
          <w:szCs w:val="20"/>
        </w:rPr>
        <w:t xml:space="preserve">, intesa come </w:t>
      </w:r>
      <w:r w:rsidR="00D3104F">
        <w:rPr>
          <w:rFonts w:ascii="Arial" w:hAnsi="Arial" w:cs="Arial"/>
          <w:sz w:val="20"/>
          <w:szCs w:val="20"/>
        </w:rPr>
        <w:t xml:space="preserve">il </w:t>
      </w:r>
      <w:r w:rsidR="00CF6722" w:rsidRPr="001A1FFE">
        <w:rPr>
          <w:rFonts w:ascii="Arial" w:hAnsi="Arial" w:cs="Arial"/>
          <w:sz w:val="20"/>
          <w:szCs w:val="20"/>
        </w:rPr>
        <w:t>migliore risultato raggiunto</w:t>
      </w:r>
      <w:r w:rsidR="00CF6722">
        <w:rPr>
          <w:rFonts w:ascii="Arial" w:hAnsi="Arial" w:cs="Arial"/>
          <w:sz w:val="20"/>
          <w:szCs w:val="20"/>
        </w:rPr>
        <w:t xml:space="preserve"> </w:t>
      </w:r>
      <w:r w:rsidR="00CF6722" w:rsidRPr="001A1FFE">
        <w:rPr>
          <w:rFonts w:ascii="Arial" w:hAnsi="Arial" w:cs="Arial"/>
          <w:sz w:val="20"/>
          <w:szCs w:val="20"/>
        </w:rPr>
        <w:t>da una o più regioni/</w:t>
      </w:r>
      <w:r w:rsidR="00906328">
        <w:rPr>
          <w:rFonts w:ascii="Arial" w:hAnsi="Arial" w:cs="Arial"/>
          <w:sz w:val="20"/>
          <w:szCs w:val="20"/>
        </w:rPr>
        <w:t>P</w:t>
      </w:r>
      <w:r w:rsidR="00CF6722" w:rsidRPr="001A1FFE">
        <w:rPr>
          <w:rFonts w:ascii="Arial" w:hAnsi="Arial" w:cs="Arial"/>
          <w:sz w:val="20"/>
          <w:szCs w:val="20"/>
        </w:rPr>
        <w:t xml:space="preserve">rovince </w:t>
      </w:r>
      <w:r w:rsidR="00906328">
        <w:rPr>
          <w:rFonts w:ascii="Arial" w:hAnsi="Arial" w:cs="Arial"/>
          <w:sz w:val="20"/>
          <w:szCs w:val="20"/>
        </w:rPr>
        <w:t>A</w:t>
      </w:r>
      <w:r w:rsidR="00CF6722" w:rsidRPr="001A1FFE">
        <w:rPr>
          <w:rFonts w:ascii="Arial" w:hAnsi="Arial" w:cs="Arial"/>
          <w:sz w:val="20"/>
          <w:szCs w:val="20"/>
        </w:rPr>
        <w:t>utonome</w:t>
      </w:r>
      <w:r w:rsidR="00CF6722">
        <w:rPr>
          <w:rFonts w:ascii="Arial" w:hAnsi="Arial" w:cs="Arial"/>
          <w:sz w:val="20"/>
          <w:szCs w:val="20"/>
        </w:rPr>
        <w:t>,</w:t>
      </w:r>
      <w:r w:rsidR="00CF6722" w:rsidRPr="001A1FFE">
        <w:rPr>
          <w:rFonts w:ascii="Arial" w:hAnsi="Arial" w:cs="Arial"/>
          <w:sz w:val="20"/>
          <w:szCs w:val="20"/>
        </w:rPr>
        <w:t xml:space="preserve"> dal 2010 fino a oggi</w:t>
      </w:r>
      <w:r w:rsidR="00D3104F">
        <w:rPr>
          <w:rFonts w:ascii="Arial" w:hAnsi="Arial" w:cs="Arial"/>
          <w:sz w:val="20"/>
          <w:szCs w:val="20"/>
        </w:rPr>
        <w:t xml:space="preserve">. Le distanze calcolate, </w:t>
      </w:r>
      <w:r w:rsidR="00DD7121">
        <w:rPr>
          <w:rFonts w:ascii="Arial" w:hAnsi="Arial" w:cs="Arial"/>
          <w:sz w:val="20"/>
          <w:szCs w:val="20"/>
        </w:rPr>
        <w:t xml:space="preserve">sintetizzate per Goal, </w:t>
      </w:r>
      <w:r w:rsidR="00D3104F">
        <w:rPr>
          <w:rFonts w:ascii="Arial" w:hAnsi="Arial" w:cs="Arial"/>
          <w:sz w:val="20"/>
          <w:szCs w:val="20"/>
        </w:rPr>
        <w:t>offrono una lettura dell’omogeneità/eterogeneità tra le regioni rispetto al raggiungimento del</w:t>
      </w:r>
      <w:r w:rsidR="00981CB0">
        <w:rPr>
          <w:rFonts w:ascii="Arial" w:hAnsi="Arial" w:cs="Arial"/>
          <w:sz w:val="20"/>
          <w:szCs w:val="20"/>
        </w:rPr>
        <w:t xml:space="preserve">la </w:t>
      </w:r>
      <w:r w:rsidR="00981CB0" w:rsidRPr="000E14D6">
        <w:rPr>
          <w:rFonts w:ascii="Arial" w:hAnsi="Arial" w:cs="Arial"/>
          <w:i/>
          <w:sz w:val="20"/>
          <w:szCs w:val="20"/>
        </w:rPr>
        <w:t>best performance</w:t>
      </w:r>
      <w:r w:rsidR="00981CB0">
        <w:rPr>
          <w:rFonts w:ascii="Arial" w:hAnsi="Arial" w:cs="Arial"/>
          <w:i/>
          <w:sz w:val="20"/>
          <w:szCs w:val="20"/>
        </w:rPr>
        <w:t>.</w:t>
      </w:r>
    </w:p>
    <w:p w14:paraId="323D4F45" w14:textId="4F7E9C22" w:rsidR="00404D58" w:rsidRDefault="00A71FAB" w:rsidP="00823B3E">
      <w:pPr>
        <w:pStyle w:val="NormaleWeb"/>
        <w:shd w:val="clear" w:color="auto" w:fill="FFFFFF"/>
        <w:spacing w:after="120" w:line="240" w:lineRule="auto"/>
        <w:jc w:val="both"/>
        <w:rPr>
          <w:rFonts w:ascii="Arial" w:hAnsi="Arial" w:cs="Arial"/>
          <w:sz w:val="20"/>
          <w:szCs w:val="20"/>
        </w:rPr>
      </w:pPr>
      <w:r w:rsidRPr="00A71FAB">
        <w:rPr>
          <w:rFonts w:ascii="Arial" w:hAnsi="Arial" w:cs="Arial"/>
          <w:sz w:val="20"/>
          <w:szCs w:val="20"/>
        </w:rPr>
        <w:t>Per molte delle misure considerate, le regioni/</w:t>
      </w:r>
      <w:r w:rsidR="00906328">
        <w:rPr>
          <w:rFonts w:ascii="Arial" w:hAnsi="Arial" w:cs="Arial"/>
          <w:sz w:val="20"/>
          <w:szCs w:val="20"/>
        </w:rPr>
        <w:t>P</w:t>
      </w:r>
      <w:r w:rsidRPr="00A71FAB">
        <w:rPr>
          <w:rFonts w:ascii="Arial" w:hAnsi="Arial" w:cs="Arial"/>
          <w:sz w:val="20"/>
          <w:szCs w:val="20"/>
        </w:rPr>
        <w:t xml:space="preserve">rovince </w:t>
      </w:r>
      <w:r w:rsidR="00906328">
        <w:rPr>
          <w:rFonts w:ascii="Arial" w:hAnsi="Arial" w:cs="Arial"/>
          <w:sz w:val="20"/>
          <w:szCs w:val="20"/>
        </w:rPr>
        <w:t>A</w:t>
      </w:r>
      <w:r w:rsidRPr="00A71FAB">
        <w:rPr>
          <w:rFonts w:ascii="Arial" w:hAnsi="Arial" w:cs="Arial"/>
          <w:sz w:val="20"/>
          <w:szCs w:val="20"/>
        </w:rPr>
        <w:t xml:space="preserve">utonome che hanno conseguito la </w:t>
      </w:r>
      <w:r w:rsidRPr="00A71FAB">
        <w:rPr>
          <w:rFonts w:ascii="Arial" w:hAnsi="Arial" w:cs="Arial"/>
          <w:i/>
          <w:sz w:val="20"/>
          <w:szCs w:val="20"/>
        </w:rPr>
        <w:t>best performance</w:t>
      </w:r>
      <w:r w:rsidRPr="00A71FAB">
        <w:rPr>
          <w:rFonts w:ascii="Arial" w:hAnsi="Arial" w:cs="Arial"/>
          <w:sz w:val="20"/>
          <w:szCs w:val="20"/>
        </w:rPr>
        <w:t xml:space="preserve"> sono la Valle d’Aosta</w:t>
      </w:r>
      <w:r w:rsidR="007148CD">
        <w:rPr>
          <w:rFonts w:ascii="Arial" w:hAnsi="Arial" w:cs="Arial"/>
          <w:sz w:val="20"/>
          <w:szCs w:val="20"/>
        </w:rPr>
        <w:t>,</w:t>
      </w:r>
      <w:r w:rsidRPr="00A71FAB">
        <w:rPr>
          <w:rFonts w:ascii="Arial" w:hAnsi="Arial" w:cs="Arial"/>
          <w:sz w:val="20"/>
          <w:szCs w:val="20"/>
        </w:rPr>
        <w:t xml:space="preserve"> Trento e Bolzano. Nel complesso, quasi i due terzi delle </w:t>
      </w:r>
      <w:r w:rsidR="006245E2" w:rsidRPr="00A71FAB">
        <w:rPr>
          <w:rFonts w:ascii="Arial" w:hAnsi="Arial" w:cs="Arial"/>
          <w:i/>
          <w:sz w:val="20"/>
          <w:szCs w:val="20"/>
        </w:rPr>
        <w:t>best performance</w:t>
      </w:r>
      <w:r w:rsidR="006245E2" w:rsidRPr="00A71FAB">
        <w:rPr>
          <w:rFonts w:ascii="Arial" w:hAnsi="Arial" w:cs="Arial"/>
          <w:sz w:val="20"/>
          <w:szCs w:val="20"/>
        </w:rPr>
        <w:t xml:space="preserve"> </w:t>
      </w:r>
      <w:r w:rsidRPr="00A71FAB">
        <w:rPr>
          <w:rFonts w:ascii="Arial" w:hAnsi="Arial" w:cs="Arial"/>
          <w:sz w:val="20"/>
          <w:szCs w:val="20"/>
        </w:rPr>
        <w:t xml:space="preserve">vengono conseguite al Nord; oltre il 50% </w:t>
      </w:r>
      <w:r w:rsidR="00793DD3">
        <w:rPr>
          <w:rFonts w:ascii="Arial" w:hAnsi="Arial" w:cs="Arial"/>
          <w:sz w:val="20"/>
          <w:szCs w:val="20"/>
        </w:rPr>
        <w:t>è</w:t>
      </w:r>
      <w:r w:rsidRPr="00A71FAB">
        <w:rPr>
          <w:rFonts w:ascii="Arial" w:hAnsi="Arial" w:cs="Arial"/>
          <w:sz w:val="20"/>
          <w:szCs w:val="20"/>
        </w:rPr>
        <w:t xml:space="preserve"> stat</w:t>
      </w:r>
      <w:r w:rsidR="00793DD3">
        <w:rPr>
          <w:rFonts w:ascii="Arial" w:hAnsi="Arial" w:cs="Arial"/>
          <w:sz w:val="20"/>
          <w:szCs w:val="20"/>
        </w:rPr>
        <w:t>o</w:t>
      </w:r>
      <w:r w:rsidRPr="00A71FAB">
        <w:rPr>
          <w:rFonts w:ascii="Arial" w:hAnsi="Arial" w:cs="Arial"/>
          <w:sz w:val="20"/>
          <w:szCs w:val="20"/>
        </w:rPr>
        <w:t xml:space="preserve"> </w:t>
      </w:r>
      <w:r w:rsidR="003B6529">
        <w:rPr>
          <w:rFonts w:ascii="Arial" w:hAnsi="Arial" w:cs="Arial"/>
          <w:sz w:val="20"/>
          <w:szCs w:val="20"/>
        </w:rPr>
        <w:t>raggiunto</w:t>
      </w:r>
      <w:r w:rsidRPr="00A71FAB">
        <w:rPr>
          <w:rFonts w:ascii="Arial" w:hAnsi="Arial" w:cs="Arial"/>
          <w:sz w:val="20"/>
          <w:szCs w:val="20"/>
        </w:rPr>
        <w:t xml:space="preserve"> nel corso degli ultimi </w:t>
      </w:r>
      <w:r w:rsidR="00046659">
        <w:rPr>
          <w:rFonts w:ascii="Arial" w:hAnsi="Arial" w:cs="Arial"/>
          <w:sz w:val="20"/>
          <w:szCs w:val="20"/>
        </w:rPr>
        <w:t>cinque</w:t>
      </w:r>
      <w:r w:rsidRPr="00A71FAB">
        <w:rPr>
          <w:rFonts w:ascii="Arial" w:hAnsi="Arial" w:cs="Arial"/>
          <w:sz w:val="20"/>
          <w:szCs w:val="20"/>
        </w:rPr>
        <w:t xml:space="preserve"> anni</w:t>
      </w:r>
      <w:r w:rsidR="00793DD3">
        <w:rPr>
          <w:rFonts w:ascii="Arial" w:hAnsi="Arial" w:cs="Arial"/>
          <w:sz w:val="20"/>
          <w:szCs w:val="20"/>
        </w:rPr>
        <w:t>.</w:t>
      </w:r>
    </w:p>
    <w:p w14:paraId="5E9F1A32" w14:textId="2E602E8C" w:rsidR="00981CB0" w:rsidRDefault="00404D58" w:rsidP="00823B3E">
      <w:pPr>
        <w:pStyle w:val="NormaleWeb"/>
        <w:shd w:val="clear" w:color="auto" w:fill="FFFFFF"/>
        <w:spacing w:after="120" w:line="240" w:lineRule="auto"/>
        <w:jc w:val="both"/>
        <w:rPr>
          <w:rFonts w:ascii="Arial" w:hAnsi="Arial" w:cs="Arial"/>
          <w:sz w:val="20"/>
          <w:szCs w:val="20"/>
        </w:rPr>
      </w:pPr>
      <w:r w:rsidRPr="001A1FFE">
        <w:rPr>
          <w:rFonts w:ascii="Arial" w:hAnsi="Arial" w:cs="Arial"/>
          <w:sz w:val="20"/>
          <w:szCs w:val="20"/>
        </w:rPr>
        <w:t xml:space="preserve">I Goal </w:t>
      </w:r>
      <w:r>
        <w:rPr>
          <w:rFonts w:ascii="Arial" w:hAnsi="Arial" w:cs="Arial"/>
          <w:sz w:val="20"/>
          <w:szCs w:val="20"/>
        </w:rPr>
        <w:t xml:space="preserve">per i quali le regioni mostrano un andamento </w:t>
      </w:r>
      <w:r w:rsidR="00981CB0">
        <w:rPr>
          <w:rFonts w:ascii="Arial" w:hAnsi="Arial" w:cs="Arial"/>
          <w:sz w:val="20"/>
          <w:szCs w:val="20"/>
        </w:rPr>
        <w:t xml:space="preserve">omogeneo rispetto alla </w:t>
      </w:r>
      <w:r w:rsidR="00981CB0" w:rsidRPr="00B655AA">
        <w:rPr>
          <w:rFonts w:ascii="Arial" w:hAnsi="Arial" w:cs="Arial"/>
          <w:i/>
          <w:sz w:val="20"/>
          <w:szCs w:val="20"/>
        </w:rPr>
        <w:t>best performance</w:t>
      </w:r>
      <w:r w:rsidR="00981CB0">
        <w:rPr>
          <w:rFonts w:ascii="Arial" w:hAnsi="Arial" w:cs="Arial"/>
          <w:sz w:val="20"/>
          <w:szCs w:val="20"/>
        </w:rPr>
        <w:t xml:space="preserve"> </w:t>
      </w:r>
      <w:r w:rsidRPr="001A1FFE">
        <w:rPr>
          <w:rFonts w:ascii="Arial" w:hAnsi="Arial" w:cs="Arial"/>
          <w:sz w:val="20"/>
          <w:szCs w:val="20"/>
        </w:rPr>
        <w:t>sono il 3 (Salute), l’11 (Città sostenibili) e il 12 (Consumo e</w:t>
      </w:r>
      <w:r>
        <w:rPr>
          <w:rFonts w:ascii="Arial" w:hAnsi="Arial" w:cs="Arial"/>
          <w:sz w:val="20"/>
          <w:szCs w:val="20"/>
        </w:rPr>
        <w:t xml:space="preserve"> </w:t>
      </w:r>
      <w:r w:rsidRPr="001A1FFE">
        <w:rPr>
          <w:rFonts w:ascii="Arial" w:hAnsi="Arial" w:cs="Arial"/>
          <w:sz w:val="20"/>
          <w:szCs w:val="20"/>
        </w:rPr>
        <w:t>produzione responsabili). Il Goal 17 (Partnership per gli obiettivi), il Goal 10 (Ridurre le</w:t>
      </w:r>
      <w:r>
        <w:rPr>
          <w:rFonts w:ascii="Arial" w:hAnsi="Arial" w:cs="Arial"/>
          <w:sz w:val="20"/>
          <w:szCs w:val="20"/>
        </w:rPr>
        <w:t xml:space="preserve"> </w:t>
      </w:r>
      <w:r w:rsidRPr="001A1FFE">
        <w:rPr>
          <w:rFonts w:ascii="Arial" w:hAnsi="Arial" w:cs="Arial"/>
          <w:sz w:val="20"/>
          <w:szCs w:val="20"/>
        </w:rPr>
        <w:t xml:space="preserve">disuguaglianze) e il Goal 8 (Lavoro e crescita economica) sono invece quelli dove </w:t>
      </w:r>
      <w:r w:rsidR="00981CB0">
        <w:rPr>
          <w:rFonts w:ascii="Arial" w:hAnsi="Arial" w:cs="Arial"/>
          <w:sz w:val="20"/>
          <w:szCs w:val="20"/>
        </w:rPr>
        <w:t xml:space="preserve">i </w:t>
      </w:r>
      <w:r w:rsidR="00981CB0" w:rsidRPr="001A1FFE">
        <w:rPr>
          <w:rFonts w:ascii="Arial" w:hAnsi="Arial" w:cs="Arial"/>
          <w:sz w:val="20"/>
          <w:szCs w:val="20"/>
        </w:rPr>
        <w:t>differenz</w:t>
      </w:r>
      <w:r w:rsidR="00981CB0">
        <w:rPr>
          <w:rFonts w:ascii="Arial" w:hAnsi="Arial" w:cs="Arial"/>
          <w:sz w:val="20"/>
          <w:szCs w:val="20"/>
        </w:rPr>
        <w:t>iali tra regioni</w:t>
      </w:r>
      <w:r w:rsidR="00981CB0" w:rsidRPr="001A1FFE">
        <w:rPr>
          <w:rFonts w:ascii="Arial" w:hAnsi="Arial" w:cs="Arial"/>
          <w:sz w:val="20"/>
          <w:szCs w:val="20"/>
        </w:rPr>
        <w:t xml:space="preserve"> </w:t>
      </w:r>
      <w:r w:rsidR="00981CB0">
        <w:rPr>
          <w:rFonts w:ascii="Arial" w:hAnsi="Arial" w:cs="Arial"/>
          <w:sz w:val="20"/>
          <w:szCs w:val="20"/>
        </w:rPr>
        <w:t xml:space="preserve">sono </w:t>
      </w:r>
      <w:r w:rsidRPr="001A1FFE">
        <w:rPr>
          <w:rFonts w:ascii="Arial" w:hAnsi="Arial" w:cs="Arial"/>
          <w:sz w:val="20"/>
          <w:szCs w:val="20"/>
        </w:rPr>
        <w:t>più</w:t>
      </w:r>
      <w:r>
        <w:rPr>
          <w:rFonts w:ascii="Arial" w:hAnsi="Arial" w:cs="Arial"/>
          <w:sz w:val="20"/>
          <w:szCs w:val="20"/>
        </w:rPr>
        <w:t xml:space="preserve"> </w:t>
      </w:r>
      <w:r w:rsidR="00C960D9">
        <w:rPr>
          <w:rFonts w:ascii="Arial" w:hAnsi="Arial" w:cs="Arial"/>
          <w:sz w:val="20"/>
          <w:szCs w:val="20"/>
        </w:rPr>
        <w:t>ampi</w:t>
      </w:r>
      <w:r w:rsidRPr="001A1FFE">
        <w:rPr>
          <w:rFonts w:ascii="Arial" w:hAnsi="Arial" w:cs="Arial"/>
          <w:sz w:val="20"/>
          <w:szCs w:val="20"/>
        </w:rPr>
        <w:t xml:space="preserve">. </w:t>
      </w:r>
    </w:p>
    <w:p w14:paraId="7516E2B4" w14:textId="038DE4AF" w:rsidR="00404D58" w:rsidRDefault="00981CB0" w:rsidP="00823B3E">
      <w:pPr>
        <w:pStyle w:val="NormaleWeb"/>
        <w:shd w:val="clear" w:color="auto" w:fill="FFFFFF"/>
        <w:spacing w:after="120" w:line="240" w:lineRule="auto"/>
        <w:jc w:val="both"/>
        <w:rPr>
          <w:rFonts w:ascii="Arial" w:hAnsi="Arial" w:cs="Arial"/>
          <w:sz w:val="20"/>
          <w:szCs w:val="20"/>
        </w:rPr>
      </w:pPr>
      <w:r>
        <w:rPr>
          <w:rFonts w:ascii="Arial" w:hAnsi="Arial" w:cs="Arial"/>
          <w:sz w:val="20"/>
          <w:szCs w:val="20"/>
        </w:rPr>
        <w:t xml:space="preserve">Nel complesso le </w:t>
      </w:r>
      <w:r w:rsidR="00404D58" w:rsidRPr="001A1FFE">
        <w:rPr>
          <w:rFonts w:ascii="Arial" w:hAnsi="Arial" w:cs="Arial"/>
          <w:sz w:val="20"/>
          <w:szCs w:val="20"/>
        </w:rPr>
        <w:t>regioni del Nord</w:t>
      </w:r>
      <w:r>
        <w:rPr>
          <w:rFonts w:ascii="Arial" w:hAnsi="Arial" w:cs="Arial"/>
          <w:sz w:val="20"/>
          <w:szCs w:val="20"/>
        </w:rPr>
        <w:t xml:space="preserve"> risultano più vicine alla </w:t>
      </w:r>
      <w:r w:rsidRPr="00B655AA">
        <w:rPr>
          <w:rFonts w:ascii="Arial" w:hAnsi="Arial" w:cs="Arial"/>
          <w:i/>
          <w:sz w:val="20"/>
          <w:szCs w:val="20"/>
        </w:rPr>
        <w:t>best performance</w:t>
      </w:r>
      <w:r w:rsidR="00404D58" w:rsidRPr="001A1FFE">
        <w:rPr>
          <w:rFonts w:ascii="Arial" w:hAnsi="Arial" w:cs="Arial"/>
          <w:sz w:val="20"/>
          <w:szCs w:val="20"/>
        </w:rPr>
        <w:t>, ad eccezione delle</w:t>
      </w:r>
      <w:r w:rsidR="00404D58">
        <w:rPr>
          <w:rFonts w:ascii="Arial" w:hAnsi="Arial" w:cs="Arial"/>
          <w:sz w:val="20"/>
          <w:szCs w:val="20"/>
        </w:rPr>
        <w:t xml:space="preserve"> </w:t>
      </w:r>
      <w:r w:rsidR="00404D58" w:rsidRPr="001A1FFE">
        <w:rPr>
          <w:rFonts w:ascii="Arial" w:hAnsi="Arial" w:cs="Arial"/>
          <w:sz w:val="20"/>
          <w:szCs w:val="20"/>
        </w:rPr>
        <w:t xml:space="preserve">Marche per il Goal 12, </w:t>
      </w:r>
      <w:r w:rsidR="003B6529">
        <w:rPr>
          <w:rFonts w:ascii="Arial" w:hAnsi="Arial" w:cs="Arial"/>
          <w:sz w:val="20"/>
          <w:szCs w:val="20"/>
        </w:rPr>
        <w:t>oltre a</w:t>
      </w:r>
      <w:r w:rsidR="00404D58" w:rsidRPr="001A1FFE">
        <w:rPr>
          <w:rFonts w:ascii="Arial" w:hAnsi="Arial" w:cs="Arial"/>
          <w:sz w:val="20"/>
          <w:szCs w:val="20"/>
        </w:rPr>
        <w:t xml:space="preserve">lla Basilicata per il Goal 14 (Vita Sott’acqua) e </w:t>
      </w:r>
      <w:r w:rsidR="003B6529">
        <w:rPr>
          <w:rFonts w:ascii="Arial" w:hAnsi="Arial" w:cs="Arial"/>
          <w:sz w:val="20"/>
          <w:szCs w:val="20"/>
        </w:rPr>
        <w:t>l</w:t>
      </w:r>
      <w:r w:rsidR="00404D58" w:rsidRPr="001A1FFE">
        <w:rPr>
          <w:rFonts w:ascii="Arial" w:hAnsi="Arial" w:cs="Arial"/>
          <w:sz w:val="20"/>
          <w:szCs w:val="20"/>
        </w:rPr>
        <w:t>’Abruzzo per</w:t>
      </w:r>
      <w:r w:rsidR="00404D58">
        <w:rPr>
          <w:rFonts w:ascii="Arial" w:hAnsi="Arial" w:cs="Arial"/>
          <w:sz w:val="20"/>
          <w:szCs w:val="20"/>
        </w:rPr>
        <w:t xml:space="preserve"> </w:t>
      </w:r>
      <w:r w:rsidR="00404D58" w:rsidRPr="001A1FFE">
        <w:rPr>
          <w:rFonts w:ascii="Arial" w:hAnsi="Arial" w:cs="Arial"/>
          <w:sz w:val="20"/>
          <w:szCs w:val="20"/>
        </w:rPr>
        <w:t xml:space="preserve">il Goal 15 (Vita sulla terra). </w:t>
      </w:r>
      <w:r w:rsidR="00404D58">
        <w:rPr>
          <w:rFonts w:ascii="Arial" w:hAnsi="Arial" w:cs="Arial"/>
          <w:sz w:val="20"/>
          <w:szCs w:val="20"/>
        </w:rPr>
        <w:t>L</w:t>
      </w:r>
      <w:r w:rsidR="00404D58" w:rsidRPr="001A1FFE">
        <w:rPr>
          <w:rFonts w:ascii="Arial" w:hAnsi="Arial" w:cs="Arial"/>
          <w:sz w:val="20"/>
          <w:szCs w:val="20"/>
        </w:rPr>
        <w:t>e regioni</w:t>
      </w:r>
      <w:r w:rsidR="00404D58">
        <w:rPr>
          <w:rFonts w:ascii="Arial" w:hAnsi="Arial" w:cs="Arial"/>
          <w:sz w:val="20"/>
          <w:szCs w:val="20"/>
        </w:rPr>
        <w:t xml:space="preserve"> </w:t>
      </w:r>
      <w:r w:rsidR="00404D58" w:rsidRPr="001A1FFE">
        <w:rPr>
          <w:rFonts w:ascii="Arial" w:hAnsi="Arial" w:cs="Arial"/>
          <w:sz w:val="20"/>
          <w:szCs w:val="20"/>
        </w:rPr>
        <w:t xml:space="preserve">più distanti dalla situazione più favorevole </w:t>
      </w:r>
      <w:r w:rsidR="00404D58">
        <w:rPr>
          <w:rFonts w:ascii="Arial" w:hAnsi="Arial" w:cs="Arial"/>
          <w:sz w:val="20"/>
          <w:szCs w:val="20"/>
        </w:rPr>
        <w:t>sono prevalentemente meridionali</w:t>
      </w:r>
      <w:r w:rsidR="00F21747">
        <w:rPr>
          <w:rFonts w:ascii="Arial" w:hAnsi="Arial" w:cs="Arial"/>
          <w:sz w:val="20"/>
          <w:szCs w:val="20"/>
        </w:rPr>
        <w:t xml:space="preserve">, ad </w:t>
      </w:r>
      <w:r w:rsidR="00404D58" w:rsidRPr="001A1FFE">
        <w:rPr>
          <w:rFonts w:ascii="Arial" w:hAnsi="Arial" w:cs="Arial"/>
          <w:sz w:val="20"/>
          <w:szCs w:val="20"/>
        </w:rPr>
        <w:t xml:space="preserve">eccezione </w:t>
      </w:r>
      <w:r w:rsidR="00F21747">
        <w:rPr>
          <w:rFonts w:ascii="Arial" w:hAnsi="Arial" w:cs="Arial"/>
          <w:sz w:val="20"/>
          <w:szCs w:val="20"/>
        </w:rPr>
        <w:t xml:space="preserve">del </w:t>
      </w:r>
      <w:r w:rsidR="00404D58" w:rsidRPr="001A1FFE">
        <w:rPr>
          <w:rFonts w:ascii="Arial" w:hAnsi="Arial" w:cs="Arial"/>
          <w:sz w:val="20"/>
          <w:szCs w:val="20"/>
        </w:rPr>
        <w:t>Friuli-Venezia Giulia per i Goal 6 (Acqua) e 14, la Valle d’Aosta per il Goal 11, l’Emilia-Romagna per il Goal 13 (Cambiamento climatico) e</w:t>
      </w:r>
      <w:r w:rsidR="00404D58">
        <w:rPr>
          <w:rFonts w:ascii="Arial" w:hAnsi="Arial" w:cs="Arial"/>
          <w:sz w:val="20"/>
          <w:szCs w:val="20"/>
        </w:rPr>
        <w:t xml:space="preserve"> </w:t>
      </w:r>
      <w:r w:rsidR="00404D58" w:rsidRPr="001A1FFE">
        <w:rPr>
          <w:rFonts w:ascii="Arial" w:hAnsi="Arial" w:cs="Arial"/>
          <w:sz w:val="20"/>
          <w:szCs w:val="20"/>
        </w:rPr>
        <w:t>la Lombardia per il Goal 15</w:t>
      </w:r>
      <w:r w:rsidR="00C960D9">
        <w:rPr>
          <w:rFonts w:ascii="Arial" w:hAnsi="Arial" w:cs="Arial"/>
          <w:sz w:val="20"/>
          <w:szCs w:val="20"/>
        </w:rPr>
        <w:t xml:space="preserve"> (Figura 4</w:t>
      </w:r>
      <w:r>
        <w:rPr>
          <w:rFonts w:ascii="Arial" w:hAnsi="Arial" w:cs="Arial"/>
          <w:sz w:val="20"/>
          <w:szCs w:val="20"/>
        </w:rPr>
        <w:t>)</w:t>
      </w:r>
      <w:r w:rsidR="00404D58" w:rsidRPr="001A1FFE">
        <w:rPr>
          <w:rFonts w:ascii="Arial" w:hAnsi="Arial" w:cs="Arial"/>
          <w:sz w:val="20"/>
          <w:szCs w:val="20"/>
        </w:rPr>
        <w:t xml:space="preserve">. </w:t>
      </w:r>
    </w:p>
    <w:p w14:paraId="7BE08B55" w14:textId="77777777" w:rsidR="00166D6A" w:rsidRPr="001A1FFE" w:rsidRDefault="00166D6A" w:rsidP="00404D58">
      <w:pPr>
        <w:pStyle w:val="NormaleWeb"/>
        <w:shd w:val="clear" w:color="auto" w:fill="FFFFFF"/>
        <w:spacing w:after="120" w:line="240" w:lineRule="auto"/>
        <w:jc w:val="both"/>
        <w:rPr>
          <w:rFonts w:ascii="Arial" w:hAnsi="Arial" w:cs="Arial"/>
          <w:sz w:val="20"/>
          <w:szCs w:val="20"/>
        </w:rPr>
      </w:pPr>
    </w:p>
    <w:p w14:paraId="1B2AB10B" w14:textId="47D0E4D6" w:rsidR="00404D58" w:rsidRPr="007826E3" w:rsidRDefault="000235DF" w:rsidP="00E34F20">
      <w:pPr>
        <w:pStyle w:val="Titolo2"/>
        <w:spacing w:before="0" w:after="160"/>
        <w:ind w:left="567" w:hanging="567"/>
        <w:jc w:val="both"/>
        <w:rPr>
          <w:rFonts w:ascii="Arial" w:eastAsia="Times New Roman" w:hAnsi="Arial" w:cs="Arial"/>
          <w:bCs w:val="0"/>
          <w:color w:val="auto"/>
          <w:sz w:val="20"/>
          <w:szCs w:val="20"/>
          <w:lang w:eastAsia="it-IT"/>
        </w:rPr>
      </w:pPr>
      <w:r w:rsidRPr="005C4FAA">
        <w:rPr>
          <w:rFonts w:ascii="Arial" w:eastAsia="Times New Roman" w:hAnsi="Arial" w:cs="Arial"/>
          <w:bCs w:val="0"/>
          <w:color w:val="auto"/>
          <w:sz w:val="20"/>
          <w:szCs w:val="20"/>
          <w:lang w:eastAsia="it-IT"/>
        </w:rPr>
        <w:t>Figura 4</w:t>
      </w:r>
      <w:r w:rsidR="00404D58" w:rsidRPr="005C4FAA">
        <w:rPr>
          <w:rFonts w:ascii="Arial" w:eastAsia="Times New Roman" w:hAnsi="Arial" w:cs="Arial"/>
          <w:bCs w:val="0"/>
          <w:color w:val="auto"/>
          <w:sz w:val="20"/>
          <w:szCs w:val="20"/>
          <w:lang w:eastAsia="it-IT"/>
        </w:rPr>
        <w:t xml:space="preserve"> - Distanza complessiva delle regioni dalla </w:t>
      </w:r>
      <w:r w:rsidR="00404D58" w:rsidRPr="005C4FAA">
        <w:rPr>
          <w:rFonts w:ascii="Arial" w:eastAsia="Times New Roman" w:hAnsi="Arial" w:cs="Arial"/>
          <w:bCs w:val="0"/>
          <w:i/>
          <w:color w:val="auto"/>
          <w:sz w:val="20"/>
          <w:szCs w:val="20"/>
          <w:lang w:eastAsia="it-IT"/>
        </w:rPr>
        <w:t>best performance</w:t>
      </w:r>
      <w:r w:rsidR="00404D58" w:rsidRPr="005C4FAA">
        <w:rPr>
          <w:rFonts w:ascii="Arial" w:eastAsia="Times New Roman" w:hAnsi="Arial" w:cs="Arial"/>
          <w:bCs w:val="0"/>
          <w:color w:val="auto"/>
          <w:sz w:val="20"/>
          <w:szCs w:val="20"/>
          <w:lang w:eastAsia="it-IT"/>
        </w:rPr>
        <w:t xml:space="preserve">, per Goal </w:t>
      </w:r>
      <w:r w:rsidR="00404D58" w:rsidRPr="005C4FAA">
        <w:rPr>
          <w:rFonts w:ascii="Arial" w:eastAsia="Times New Roman" w:hAnsi="Arial" w:cs="Arial"/>
          <w:b w:val="0"/>
          <w:color w:val="auto"/>
          <w:sz w:val="20"/>
          <w:szCs w:val="20"/>
          <w:lang w:eastAsia="it-IT"/>
        </w:rPr>
        <w:t>(a)</w:t>
      </w:r>
      <w:r w:rsidR="00404D58" w:rsidRPr="007826E3">
        <w:rPr>
          <w:rFonts w:ascii="Arial" w:eastAsia="Times New Roman" w:hAnsi="Arial" w:cs="Arial"/>
          <w:bCs w:val="0"/>
          <w:color w:val="auto"/>
          <w:sz w:val="20"/>
          <w:szCs w:val="20"/>
          <w:lang w:eastAsia="it-IT"/>
        </w:rPr>
        <w:t xml:space="preserve"> </w:t>
      </w:r>
    </w:p>
    <w:p w14:paraId="2090E30B" w14:textId="6EE3973B" w:rsidR="00404D58" w:rsidRDefault="00481199" w:rsidP="00404D58">
      <w:pPr>
        <w:pStyle w:val="NormaleWeb"/>
        <w:shd w:val="clear" w:color="auto" w:fill="FFFFFF"/>
        <w:spacing w:after="120" w:line="240" w:lineRule="auto"/>
        <w:jc w:val="both"/>
        <w:rPr>
          <w:rFonts w:ascii="Arial" w:hAnsi="Arial" w:cs="Arial"/>
          <w:sz w:val="20"/>
          <w:szCs w:val="20"/>
        </w:rPr>
      </w:pPr>
      <w:r>
        <w:rPr>
          <w:rFonts w:ascii="Arial" w:hAnsi="Arial" w:cs="Arial"/>
          <w:noProof/>
          <w:sz w:val="20"/>
          <w:szCs w:val="20"/>
          <w:lang w:eastAsia="it-IT"/>
        </w:rPr>
        <w:drawing>
          <wp:inline distT="0" distB="0" distL="0" distR="0" wp14:anchorId="2C2DA826" wp14:editId="6BE51E27">
            <wp:extent cx="6120130" cy="1765400"/>
            <wp:effectExtent l="0" t="0" r="0" b="635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1765400"/>
                    </a:xfrm>
                    <a:prstGeom prst="rect">
                      <a:avLst/>
                    </a:prstGeom>
                    <a:noFill/>
                  </pic:spPr>
                </pic:pic>
              </a:graphicData>
            </a:graphic>
          </wp:inline>
        </w:drawing>
      </w:r>
    </w:p>
    <w:p w14:paraId="05250314" w14:textId="31C7422A" w:rsidR="00FE1C2B" w:rsidRDefault="00481199" w:rsidP="00404D58">
      <w:pPr>
        <w:pStyle w:val="NormaleWeb"/>
        <w:shd w:val="clear" w:color="auto" w:fill="FFFFFF"/>
        <w:spacing w:after="120" w:line="240" w:lineRule="auto"/>
        <w:jc w:val="both"/>
        <w:rPr>
          <w:rFonts w:ascii="Arial" w:hAnsi="Arial" w:cs="Arial"/>
          <w:sz w:val="20"/>
          <w:szCs w:val="20"/>
        </w:rPr>
      </w:pPr>
      <w:r>
        <w:rPr>
          <w:rFonts w:ascii="Arial" w:hAnsi="Arial" w:cs="Arial"/>
          <w:noProof/>
          <w:sz w:val="20"/>
          <w:szCs w:val="20"/>
          <w:lang w:eastAsia="it-IT"/>
        </w:rPr>
        <w:drawing>
          <wp:inline distT="0" distB="0" distL="0" distR="0" wp14:anchorId="44420CE4" wp14:editId="605598E2">
            <wp:extent cx="6120130" cy="1804609"/>
            <wp:effectExtent l="0" t="0" r="0" b="571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1804609"/>
                    </a:xfrm>
                    <a:prstGeom prst="rect">
                      <a:avLst/>
                    </a:prstGeom>
                    <a:noFill/>
                  </pic:spPr>
                </pic:pic>
              </a:graphicData>
            </a:graphic>
          </wp:inline>
        </w:drawing>
      </w:r>
    </w:p>
    <w:p w14:paraId="0BD10B2A" w14:textId="0A121F90" w:rsidR="00FE1C2B" w:rsidRDefault="00481199" w:rsidP="00404D58">
      <w:pPr>
        <w:pStyle w:val="NormaleWeb"/>
        <w:shd w:val="clear" w:color="auto" w:fill="FFFFFF"/>
        <w:spacing w:after="120" w:line="240" w:lineRule="auto"/>
        <w:jc w:val="both"/>
        <w:rPr>
          <w:rFonts w:ascii="Arial" w:hAnsi="Arial" w:cs="Arial"/>
          <w:sz w:val="20"/>
          <w:szCs w:val="20"/>
        </w:rPr>
      </w:pPr>
      <w:r>
        <w:rPr>
          <w:rFonts w:ascii="Arial" w:hAnsi="Arial" w:cs="Arial"/>
          <w:noProof/>
          <w:sz w:val="20"/>
          <w:szCs w:val="20"/>
          <w:lang w:eastAsia="it-IT"/>
        </w:rPr>
        <w:drawing>
          <wp:inline distT="0" distB="0" distL="0" distR="0" wp14:anchorId="74517DE6" wp14:editId="5E3BE08D">
            <wp:extent cx="6120130" cy="1822421"/>
            <wp:effectExtent l="0" t="0" r="0" b="6985"/>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1822421"/>
                    </a:xfrm>
                    <a:prstGeom prst="rect">
                      <a:avLst/>
                    </a:prstGeom>
                    <a:noFill/>
                  </pic:spPr>
                </pic:pic>
              </a:graphicData>
            </a:graphic>
          </wp:inline>
        </w:drawing>
      </w:r>
    </w:p>
    <w:p w14:paraId="2E416E67" w14:textId="01D482B9" w:rsidR="005464A2" w:rsidRDefault="00481199" w:rsidP="00404D58">
      <w:pPr>
        <w:pStyle w:val="NormaleWeb"/>
        <w:shd w:val="clear" w:color="auto" w:fill="FFFFFF"/>
        <w:spacing w:after="120" w:line="240" w:lineRule="auto"/>
        <w:jc w:val="both"/>
        <w:rPr>
          <w:rFonts w:ascii="Arial" w:hAnsi="Arial" w:cs="Arial"/>
          <w:sz w:val="20"/>
          <w:szCs w:val="20"/>
        </w:rPr>
      </w:pPr>
      <w:r>
        <w:rPr>
          <w:rFonts w:ascii="Arial" w:hAnsi="Arial" w:cs="Arial"/>
          <w:noProof/>
          <w:sz w:val="20"/>
          <w:szCs w:val="20"/>
          <w:lang w:eastAsia="it-IT"/>
        </w:rPr>
        <w:drawing>
          <wp:inline distT="0" distB="0" distL="0" distR="0" wp14:anchorId="50A7A675" wp14:editId="7C3D2E9E">
            <wp:extent cx="6120130" cy="1823972"/>
            <wp:effectExtent l="0" t="0" r="0" b="508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1823972"/>
                    </a:xfrm>
                    <a:prstGeom prst="rect">
                      <a:avLst/>
                    </a:prstGeom>
                    <a:noFill/>
                  </pic:spPr>
                </pic:pic>
              </a:graphicData>
            </a:graphic>
          </wp:inline>
        </w:drawing>
      </w:r>
    </w:p>
    <w:p w14:paraId="0F52DD91" w14:textId="77777777" w:rsidR="005C3B78" w:rsidRPr="00A75774" w:rsidRDefault="005C3B78" w:rsidP="005C3B78">
      <w:pPr>
        <w:pStyle w:val="Titolo2"/>
        <w:keepNext w:val="0"/>
        <w:keepLines w:val="0"/>
        <w:widowControl w:val="0"/>
        <w:numPr>
          <w:ilvl w:val="0"/>
          <w:numId w:val="11"/>
        </w:numPr>
        <w:autoSpaceDE w:val="0"/>
        <w:autoSpaceDN w:val="0"/>
        <w:spacing w:before="0" w:after="120" w:line="240" w:lineRule="auto"/>
        <w:jc w:val="both"/>
        <w:rPr>
          <w:rFonts w:ascii="Arial" w:hAnsi="Arial" w:cs="Arial"/>
          <w:sz w:val="15"/>
          <w:szCs w:val="15"/>
        </w:rPr>
      </w:pPr>
      <w:r w:rsidRPr="00A75774">
        <w:rPr>
          <w:rFonts w:ascii="Arial" w:hAnsi="Arial" w:cs="Arial"/>
          <w:sz w:val="15"/>
          <w:szCs w:val="15"/>
        </w:rPr>
        <w:t xml:space="preserve">Il punto centrale del grafico a radar rappresenta la best performance e il cerchio in neretto la media Italia (scala da 0 a 4). </w:t>
      </w:r>
    </w:p>
    <w:p w14:paraId="5FC6E2D9" w14:textId="072136D8" w:rsidR="005464A2" w:rsidRDefault="005464A2" w:rsidP="00404D58">
      <w:pPr>
        <w:pStyle w:val="NormaleWeb"/>
        <w:shd w:val="clear" w:color="auto" w:fill="FFFFFF"/>
        <w:spacing w:after="120" w:line="240" w:lineRule="auto"/>
        <w:jc w:val="both"/>
        <w:rPr>
          <w:rFonts w:ascii="Arial" w:hAnsi="Arial" w:cs="Arial"/>
          <w:sz w:val="20"/>
          <w:szCs w:val="20"/>
        </w:rPr>
      </w:pPr>
    </w:p>
    <w:p w14:paraId="2041BF4F" w14:textId="0A2AF6E6" w:rsidR="005464A2" w:rsidRDefault="005464A2" w:rsidP="00404D58">
      <w:pPr>
        <w:pStyle w:val="NormaleWeb"/>
        <w:shd w:val="clear" w:color="auto" w:fill="FFFFFF"/>
        <w:spacing w:after="120" w:line="240" w:lineRule="auto"/>
        <w:jc w:val="both"/>
        <w:rPr>
          <w:rFonts w:ascii="Arial" w:hAnsi="Arial" w:cs="Arial"/>
          <w:sz w:val="20"/>
          <w:szCs w:val="20"/>
        </w:rPr>
      </w:pPr>
    </w:p>
    <w:p w14:paraId="1283DF40" w14:textId="606AA700" w:rsidR="005464A2" w:rsidRPr="007826E3" w:rsidRDefault="000235DF" w:rsidP="005464A2">
      <w:pPr>
        <w:pStyle w:val="Titolo2"/>
        <w:spacing w:before="0"/>
        <w:ind w:left="567" w:hanging="567"/>
        <w:jc w:val="both"/>
        <w:rPr>
          <w:rFonts w:ascii="Arial" w:eastAsia="Times New Roman" w:hAnsi="Arial" w:cs="Arial"/>
          <w:bCs w:val="0"/>
          <w:color w:val="auto"/>
          <w:sz w:val="20"/>
          <w:szCs w:val="20"/>
          <w:lang w:eastAsia="it-IT"/>
        </w:rPr>
      </w:pPr>
      <w:r>
        <w:rPr>
          <w:rFonts w:ascii="Arial" w:eastAsia="Times New Roman" w:hAnsi="Arial" w:cs="Arial"/>
          <w:bCs w:val="0"/>
          <w:color w:val="auto"/>
          <w:sz w:val="20"/>
          <w:szCs w:val="20"/>
          <w:lang w:eastAsia="it-IT"/>
        </w:rPr>
        <w:lastRenderedPageBreak/>
        <w:t>Figura 4</w:t>
      </w:r>
      <w:r w:rsidR="005464A2" w:rsidRPr="007826E3">
        <w:rPr>
          <w:rFonts w:ascii="Arial" w:eastAsia="Times New Roman" w:hAnsi="Arial" w:cs="Arial"/>
          <w:bCs w:val="0"/>
          <w:color w:val="auto"/>
          <w:sz w:val="20"/>
          <w:szCs w:val="20"/>
          <w:lang w:eastAsia="it-IT"/>
        </w:rPr>
        <w:t xml:space="preserve"> - Distanza complessiva delle regioni dalla </w:t>
      </w:r>
      <w:r w:rsidR="005464A2" w:rsidRPr="007826E3">
        <w:rPr>
          <w:rFonts w:ascii="Arial" w:eastAsia="Times New Roman" w:hAnsi="Arial" w:cs="Arial"/>
          <w:bCs w:val="0"/>
          <w:i/>
          <w:color w:val="auto"/>
          <w:sz w:val="20"/>
          <w:szCs w:val="20"/>
          <w:lang w:eastAsia="it-IT"/>
        </w:rPr>
        <w:t>best performance</w:t>
      </w:r>
      <w:r w:rsidR="005464A2" w:rsidRPr="007826E3">
        <w:rPr>
          <w:rFonts w:ascii="Arial" w:eastAsia="Times New Roman" w:hAnsi="Arial" w:cs="Arial"/>
          <w:bCs w:val="0"/>
          <w:color w:val="auto"/>
          <w:sz w:val="20"/>
          <w:szCs w:val="20"/>
          <w:lang w:eastAsia="it-IT"/>
        </w:rPr>
        <w:t xml:space="preserve">, per Goal </w:t>
      </w:r>
      <w:r w:rsidR="005464A2" w:rsidRPr="005C3B78">
        <w:rPr>
          <w:rFonts w:ascii="Arial" w:eastAsia="Times New Roman" w:hAnsi="Arial" w:cs="Arial"/>
          <w:b w:val="0"/>
          <w:color w:val="auto"/>
          <w:sz w:val="20"/>
          <w:szCs w:val="20"/>
          <w:lang w:eastAsia="it-IT"/>
        </w:rPr>
        <w:t>(</w:t>
      </w:r>
      <w:r w:rsidR="000E6B2D">
        <w:rPr>
          <w:rFonts w:ascii="Arial" w:eastAsia="Times New Roman" w:hAnsi="Arial" w:cs="Arial"/>
          <w:b w:val="0"/>
          <w:color w:val="auto"/>
          <w:sz w:val="20"/>
          <w:szCs w:val="20"/>
          <w:lang w:eastAsia="it-IT"/>
        </w:rPr>
        <w:t>b</w:t>
      </w:r>
      <w:r w:rsidR="005464A2" w:rsidRPr="005C3B78">
        <w:rPr>
          <w:rFonts w:ascii="Arial" w:eastAsia="Times New Roman" w:hAnsi="Arial" w:cs="Arial"/>
          <w:b w:val="0"/>
          <w:color w:val="auto"/>
          <w:sz w:val="20"/>
          <w:szCs w:val="20"/>
          <w:lang w:eastAsia="it-IT"/>
        </w:rPr>
        <w:t>)</w:t>
      </w:r>
      <w:r w:rsidR="005464A2" w:rsidRPr="007826E3">
        <w:rPr>
          <w:rFonts w:ascii="Arial" w:eastAsia="Times New Roman" w:hAnsi="Arial" w:cs="Arial"/>
          <w:bCs w:val="0"/>
          <w:color w:val="auto"/>
          <w:sz w:val="20"/>
          <w:szCs w:val="20"/>
          <w:lang w:eastAsia="it-IT"/>
        </w:rPr>
        <w:t xml:space="preserve"> </w:t>
      </w:r>
      <w:r w:rsidR="005464A2">
        <w:rPr>
          <w:rFonts w:ascii="Arial" w:eastAsia="Times New Roman" w:hAnsi="Arial" w:cs="Arial"/>
          <w:bCs w:val="0"/>
          <w:color w:val="auto"/>
          <w:sz w:val="20"/>
          <w:szCs w:val="20"/>
          <w:lang w:eastAsia="it-IT"/>
        </w:rPr>
        <w:t>- segue</w:t>
      </w:r>
    </w:p>
    <w:p w14:paraId="2D4E7F5E" w14:textId="3AFC9B72" w:rsidR="005464A2" w:rsidRDefault="00481199" w:rsidP="00404D58">
      <w:pPr>
        <w:pStyle w:val="NormaleWeb"/>
        <w:shd w:val="clear" w:color="auto" w:fill="FFFFFF"/>
        <w:spacing w:after="120" w:line="240" w:lineRule="auto"/>
        <w:jc w:val="both"/>
        <w:rPr>
          <w:rFonts w:ascii="Arial" w:hAnsi="Arial" w:cs="Arial"/>
          <w:sz w:val="20"/>
          <w:szCs w:val="20"/>
        </w:rPr>
      </w:pPr>
      <w:r>
        <w:rPr>
          <w:rFonts w:ascii="Arial" w:hAnsi="Arial" w:cs="Arial"/>
          <w:noProof/>
          <w:sz w:val="20"/>
          <w:szCs w:val="20"/>
          <w:lang w:eastAsia="it-IT"/>
        </w:rPr>
        <w:drawing>
          <wp:inline distT="0" distB="0" distL="0" distR="0" wp14:anchorId="09C30EE5" wp14:editId="23891A15">
            <wp:extent cx="6163200" cy="1836000"/>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63200" cy="1836000"/>
                    </a:xfrm>
                    <a:prstGeom prst="rect">
                      <a:avLst/>
                    </a:prstGeom>
                    <a:noFill/>
                  </pic:spPr>
                </pic:pic>
              </a:graphicData>
            </a:graphic>
          </wp:inline>
        </w:drawing>
      </w:r>
    </w:p>
    <w:p w14:paraId="74B97931" w14:textId="45C469A6" w:rsidR="00481199" w:rsidRDefault="00481199" w:rsidP="00404D58">
      <w:pPr>
        <w:pStyle w:val="NormaleWeb"/>
        <w:shd w:val="clear" w:color="auto" w:fill="FFFFFF"/>
        <w:spacing w:after="120" w:line="240" w:lineRule="auto"/>
        <w:jc w:val="both"/>
        <w:rPr>
          <w:rFonts w:ascii="Arial" w:hAnsi="Arial" w:cs="Arial"/>
          <w:sz w:val="20"/>
          <w:szCs w:val="20"/>
        </w:rPr>
      </w:pPr>
      <w:r>
        <w:rPr>
          <w:rFonts w:ascii="Arial" w:hAnsi="Arial" w:cs="Arial"/>
          <w:noProof/>
          <w:sz w:val="20"/>
          <w:szCs w:val="20"/>
          <w:lang w:eastAsia="it-IT"/>
        </w:rPr>
        <w:drawing>
          <wp:inline distT="0" distB="0" distL="0" distR="0" wp14:anchorId="1B15E7C3" wp14:editId="3268F13E">
            <wp:extent cx="4431600" cy="1944000"/>
            <wp:effectExtent l="0" t="0" r="762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31600" cy="1944000"/>
                    </a:xfrm>
                    <a:prstGeom prst="rect">
                      <a:avLst/>
                    </a:prstGeom>
                    <a:noFill/>
                  </pic:spPr>
                </pic:pic>
              </a:graphicData>
            </a:graphic>
          </wp:inline>
        </w:drawing>
      </w:r>
    </w:p>
    <w:p w14:paraId="7C9ABD48" w14:textId="2A83495C" w:rsidR="004B3254" w:rsidRPr="00A75774" w:rsidRDefault="004B3254" w:rsidP="009C0A18">
      <w:pPr>
        <w:pStyle w:val="Titolo2"/>
        <w:keepNext w:val="0"/>
        <w:keepLines w:val="0"/>
        <w:widowControl w:val="0"/>
        <w:numPr>
          <w:ilvl w:val="0"/>
          <w:numId w:val="11"/>
        </w:numPr>
        <w:autoSpaceDE w:val="0"/>
        <w:autoSpaceDN w:val="0"/>
        <w:spacing w:before="0" w:after="120" w:line="240" w:lineRule="auto"/>
        <w:jc w:val="both"/>
        <w:rPr>
          <w:rFonts w:ascii="Arial" w:hAnsi="Arial" w:cs="Arial"/>
          <w:sz w:val="15"/>
          <w:szCs w:val="15"/>
        </w:rPr>
      </w:pPr>
      <w:r w:rsidRPr="00A75774">
        <w:rPr>
          <w:rFonts w:ascii="Arial" w:hAnsi="Arial" w:cs="Arial"/>
          <w:sz w:val="15"/>
          <w:szCs w:val="15"/>
        </w:rPr>
        <w:t xml:space="preserve">Il punto centrale del grafico a radar rappresenta la best performance e il cerchio in neretto la media Italia (scala da 0 a 4). </w:t>
      </w:r>
    </w:p>
    <w:p w14:paraId="6FCDF5F5" w14:textId="7B41E055" w:rsidR="005464A2" w:rsidRDefault="005464A2" w:rsidP="00404D58">
      <w:pPr>
        <w:pStyle w:val="NormaleWeb"/>
        <w:shd w:val="clear" w:color="auto" w:fill="FFFFFF"/>
        <w:spacing w:after="120" w:line="240" w:lineRule="auto"/>
        <w:jc w:val="both"/>
        <w:rPr>
          <w:rFonts w:ascii="Arial" w:hAnsi="Arial" w:cs="Arial"/>
          <w:sz w:val="20"/>
          <w:szCs w:val="20"/>
        </w:rPr>
      </w:pPr>
    </w:p>
    <w:p w14:paraId="680CE2F9" w14:textId="77777777" w:rsidR="00DE493A" w:rsidRDefault="00DE493A" w:rsidP="00823B3E">
      <w:pPr>
        <w:pStyle w:val="NormaleWeb"/>
        <w:shd w:val="clear" w:color="auto" w:fill="FFFFFF"/>
        <w:spacing w:after="120" w:line="240" w:lineRule="auto"/>
        <w:jc w:val="both"/>
        <w:rPr>
          <w:rFonts w:ascii="Arial" w:hAnsi="Arial" w:cs="Arial"/>
          <w:sz w:val="20"/>
          <w:szCs w:val="20"/>
        </w:rPr>
      </w:pPr>
    </w:p>
    <w:p w14:paraId="713772FF" w14:textId="264396FF" w:rsidR="001D45BB" w:rsidRDefault="001D45BB" w:rsidP="00823B3E">
      <w:pPr>
        <w:pStyle w:val="NormaleWeb"/>
        <w:shd w:val="clear" w:color="auto" w:fill="FFFFFF"/>
        <w:spacing w:after="120" w:line="240" w:lineRule="auto"/>
        <w:jc w:val="both"/>
        <w:rPr>
          <w:rFonts w:ascii="Arial" w:hAnsi="Arial" w:cs="Arial"/>
          <w:sz w:val="20"/>
          <w:szCs w:val="20"/>
        </w:rPr>
      </w:pPr>
      <w:r>
        <w:rPr>
          <w:rFonts w:ascii="Arial" w:hAnsi="Arial" w:cs="Arial"/>
          <w:sz w:val="20"/>
          <w:szCs w:val="20"/>
        </w:rPr>
        <w:t>L</w:t>
      </w:r>
      <w:r w:rsidRPr="00B91E7E">
        <w:rPr>
          <w:rFonts w:ascii="Arial" w:hAnsi="Arial" w:cs="Arial"/>
          <w:sz w:val="20"/>
          <w:szCs w:val="20"/>
        </w:rPr>
        <w:t xml:space="preserve">’evoluzione temporale delle disuguaglianze di genere </w:t>
      </w:r>
      <w:r>
        <w:rPr>
          <w:rFonts w:ascii="Arial" w:hAnsi="Arial" w:cs="Arial"/>
          <w:sz w:val="20"/>
          <w:szCs w:val="20"/>
        </w:rPr>
        <w:t xml:space="preserve">è stata analizzata considerando la disaggregazione per genere di 100 </w:t>
      </w:r>
      <w:r w:rsidRPr="00B91E7E">
        <w:rPr>
          <w:rFonts w:ascii="Arial" w:hAnsi="Arial" w:cs="Arial"/>
          <w:sz w:val="20"/>
          <w:szCs w:val="20"/>
        </w:rPr>
        <w:t>misure Istat-</w:t>
      </w:r>
      <w:proofErr w:type="spellStart"/>
      <w:r w:rsidRPr="00B91E7E">
        <w:rPr>
          <w:rFonts w:ascii="Arial" w:hAnsi="Arial" w:cs="Arial"/>
          <w:sz w:val="20"/>
          <w:szCs w:val="20"/>
        </w:rPr>
        <w:t>SDGs</w:t>
      </w:r>
      <w:proofErr w:type="spellEnd"/>
      <w:r>
        <w:rPr>
          <w:rFonts w:ascii="Arial" w:hAnsi="Arial" w:cs="Arial"/>
          <w:sz w:val="20"/>
          <w:szCs w:val="20"/>
        </w:rPr>
        <w:t>, class</w:t>
      </w:r>
      <w:r w:rsidR="00B655AA">
        <w:rPr>
          <w:rFonts w:ascii="Arial" w:hAnsi="Arial" w:cs="Arial"/>
          <w:sz w:val="20"/>
          <w:szCs w:val="20"/>
        </w:rPr>
        <w:t xml:space="preserve">ificate in </w:t>
      </w:r>
      <w:r w:rsidR="005C73AD">
        <w:rPr>
          <w:rFonts w:ascii="Arial" w:hAnsi="Arial" w:cs="Arial"/>
          <w:sz w:val="20"/>
          <w:szCs w:val="20"/>
        </w:rPr>
        <w:t>sei</w:t>
      </w:r>
      <w:r w:rsidR="00B655AA">
        <w:rPr>
          <w:rFonts w:ascii="Arial" w:hAnsi="Arial" w:cs="Arial"/>
          <w:sz w:val="20"/>
          <w:szCs w:val="20"/>
        </w:rPr>
        <w:t xml:space="preserve"> aree </w:t>
      </w:r>
      <w:r>
        <w:rPr>
          <w:rFonts w:ascii="Arial" w:hAnsi="Arial" w:cs="Arial"/>
          <w:sz w:val="20"/>
          <w:szCs w:val="20"/>
        </w:rPr>
        <w:t xml:space="preserve">definite tenendo conto del </w:t>
      </w:r>
      <w:r w:rsidRPr="00B91E7E">
        <w:rPr>
          <w:rFonts w:ascii="Arial" w:hAnsi="Arial" w:cs="Arial"/>
          <w:sz w:val="20"/>
          <w:szCs w:val="20"/>
        </w:rPr>
        <w:t>quadro delle politiche nazionali e internazionali</w:t>
      </w:r>
      <w:r>
        <w:rPr>
          <w:rFonts w:ascii="Arial" w:hAnsi="Arial" w:cs="Arial"/>
          <w:sz w:val="20"/>
          <w:szCs w:val="20"/>
        </w:rPr>
        <w:t xml:space="preserve"> e, in particolare, </w:t>
      </w:r>
      <w:r w:rsidRPr="00B91E7E">
        <w:rPr>
          <w:rFonts w:ascii="Arial" w:hAnsi="Arial" w:cs="Arial"/>
          <w:sz w:val="20"/>
          <w:szCs w:val="20"/>
        </w:rPr>
        <w:t xml:space="preserve">delle </w:t>
      </w:r>
      <w:r w:rsidR="00B655AA">
        <w:rPr>
          <w:rFonts w:ascii="Arial" w:hAnsi="Arial" w:cs="Arial"/>
          <w:sz w:val="20"/>
          <w:szCs w:val="20"/>
        </w:rPr>
        <w:t xml:space="preserve">classificazioni </w:t>
      </w:r>
      <w:r w:rsidRPr="00B91E7E">
        <w:rPr>
          <w:rFonts w:ascii="Arial" w:hAnsi="Arial" w:cs="Arial"/>
          <w:sz w:val="20"/>
          <w:szCs w:val="20"/>
        </w:rPr>
        <w:t>individuate dalle Strategie di genere europea e nazionale</w:t>
      </w:r>
      <w:r>
        <w:rPr>
          <w:rFonts w:ascii="Arial" w:hAnsi="Arial" w:cs="Arial"/>
          <w:sz w:val="20"/>
          <w:szCs w:val="20"/>
        </w:rPr>
        <w:t xml:space="preserve"> </w:t>
      </w:r>
      <w:r w:rsidRPr="00B91E7E">
        <w:rPr>
          <w:rFonts w:ascii="Arial" w:hAnsi="Arial" w:cs="Arial"/>
          <w:sz w:val="20"/>
          <w:szCs w:val="20"/>
        </w:rPr>
        <w:t>e dell’approccio adottato dal Bilancio di genere</w:t>
      </w:r>
      <w:r>
        <w:rPr>
          <w:rFonts w:ascii="Arial" w:hAnsi="Arial" w:cs="Arial"/>
          <w:sz w:val="20"/>
          <w:szCs w:val="20"/>
        </w:rPr>
        <w:t xml:space="preserve"> (Figura 5</w:t>
      </w:r>
      <w:r w:rsidRPr="00404D58">
        <w:rPr>
          <w:rFonts w:ascii="Arial" w:hAnsi="Arial" w:cs="Arial"/>
          <w:sz w:val="20"/>
          <w:szCs w:val="20"/>
        </w:rPr>
        <w:t>).</w:t>
      </w:r>
      <w:r>
        <w:rPr>
          <w:rFonts w:ascii="Arial" w:hAnsi="Arial" w:cs="Arial"/>
          <w:sz w:val="20"/>
          <w:szCs w:val="20"/>
        </w:rPr>
        <w:t xml:space="preserve"> </w:t>
      </w:r>
    </w:p>
    <w:p w14:paraId="113614FC" w14:textId="6CFAFCF6" w:rsidR="00404D58" w:rsidRDefault="00404D58" w:rsidP="00823B3E">
      <w:pPr>
        <w:pStyle w:val="NormaleWeb"/>
        <w:shd w:val="clear" w:color="auto" w:fill="FFFFFF"/>
        <w:spacing w:after="120" w:line="240" w:lineRule="auto"/>
        <w:jc w:val="both"/>
        <w:rPr>
          <w:rFonts w:ascii="Arial" w:hAnsi="Arial" w:cs="Arial"/>
          <w:sz w:val="20"/>
          <w:szCs w:val="20"/>
        </w:rPr>
      </w:pPr>
      <w:r w:rsidRPr="00B91E7E">
        <w:rPr>
          <w:rFonts w:ascii="Arial" w:hAnsi="Arial" w:cs="Arial"/>
          <w:sz w:val="20"/>
          <w:szCs w:val="20"/>
        </w:rPr>
        <w:t xml:space="preserve">I risultati mostrano </w:t>
      </w:r>
      <w:r w:rsidR="00CF6722">
        <w:rPr>
          <w:rFonts w:ascii="Arial" w:hAnsi="Arial" w:cs="Arial"/>
          <w:sz w:val="20"/>
          <w:szCs w:val="20"/>
        </w:rPr>
        <w:t xml:space="preserve">una diffusa riduzione </w:t>
      </w:r>
      <w:r w:rsidR="001D45BB">
        <w:rPr>
          <w:rFonts w:ascii="Arial" w:hAnsi="Arial" w:cs="Arial"/>
          <w:sz w:val="20"/>
          <w:szCs w:val="20"/>
        </w:rPr>
        <w:t xml:space="preserve">delle disuguaglianze </w:t>
      </w:r>
      <w:r w:rsidRPr="00B91E7E">
        <w:rPr>
          <w:rFonts w:ascii="Arial" w:hAnsi="Arial" w:cs="Arial"/>
          <w:sz w:val="20"/>
          <w:szCs w:val="20"/>
        </w:rPr>
        <w:t>di genere: per la</w:t>
      </w:r>
      <w:r>
        <w:rPr>
          <w:rFonts w:ascii="Arial" w:hAnsi="Arial" w:cs="Arial"/>
          <w:sz w:val="20"/>
          <w:szCs w:val="20"/>
        </w:rPr>
        <w:t xml:space="preserve"> </w:t>
      </w:r>
      <w:r w:rsidRPr="00B91E7E">
        <w:rPr>
          <w:rFonts w:ascii="Arial" w:hAnsi="Arial" w:cs="Arial"/>
          <w:sz w:val="20"/>
          <w:szCs w:val="20"/>
        </w:rPr>
        <w:t>maggioranza delle misure considerate (62, pari al 62%) si osserva un</w:t>
      </w:r>
      <w:r w:rsidR="00A71FAB">
        <w:rPr>
          <w:rFonts w:ascii="Arial" w:hAnsi="Arial" w:cs="Arial"/>
          <w:sz w:val="20"/>
          <w:szCs w:val="20"/>
        </w:rPr>
        <w:t>a</w:t>
      </w:r>
      <w:r w:rsidR="001D45BB">
        <w:rPr>
          <w:rFonts w:ascii="Arial" w:hAnsi="Arial" w:cs="Arial"/>
          <w:sz w:val="20"/>
          <w:szCs w:val="20"/>
        </w:rPr>
        <w:t xml:space="preserve"> </w:t>
      </w:r>
      <w:r w:rsidR="001D45BB" w:rsidRPr="001D45BB">
        <w:rPr>
          <w:rFonts w:ascii="Arial" w:hAnsi="Arial" w:cs="Arial"/>
          <w:sz w:val="20"/>
          <w:szCs w:val="20"/>
        </w:rPr>
        <w:t xml:space="preserve">riduzione dei divari </w:t>
      </w:r>
      <w:r w:rsidR="001D45BB">
        <w:rPr>
          <w:rFonts w:ascii="Arial" w:hAnsi="Arial" w:cs="Arial"/>
          <w:sz w:val="20"/>
          <w:szCs w:val="20"/>
        </w:rPr>
        <w:t>in favore delle donne</w:t>
      </w:r>
      <w:r w:rsidRPr="00B91E7E">
        <w:rPr>
          <w:rFonts w:ascii="Arial" w:hAnsi="Arial" w:cs="Arial"/>
          <w:sz w:val="20"/>
          <w:szCs w:val="20"/>
        </w:rPr>
        <w:t xml:space="preserve">, 11 misure sono </w:t>
      </w:r>
      <w:proofErr w:type="gramStart"/>
      <w:r w:rsidRPr="00B91E7E">
        <w:rPr>
          <w:rFonts w:ascii="Arial" w:hAnsi="Arial" w:cs="Arial"/>
          <w:sz w:val="20"/>
          <w:szCs w:val="20"/>
        </w:rPr>
        <w:t xml:space="preserve">stabili, </w:t>
      </w:r>
      <w:r w:rsidR="00A7751B">
        <w:rPr>
          <w:rFonts w:ascii="Arial" w:hAnsi="Arial" w:cs="Arial"/>
          <w:sz w:val="20"/>
          <w:szCs w:val="20"/>
        </w:rPr>
        <w:t xml:space="preserve"> </w:t>
      </w:r>
      <w:r w:rsidRPr="00B91E7E">
        <w:rPr>
          <w:rFonts w:ascii="Arial" w:hAnsi="Arial" w:cs="Arial"/>
          <w:sz w:val="20"/>
          <w:szCs w:val="20"/>
        </w:rPr>
        <w:t>mentre</w:t>
      </w:r>
      <w:proofErr w:type="gramEnd"/>
      <w:r w:rsidRPr="00B91E7E">
        <w:rPr>
          <w:rFonts w:ascii="Arial" w:hAnsi="Arial" w:cs="Arial"/>
          <w:sz w:val="20"/>
          <w:szCs w:val="20"/>
        </w:rPr>
        <w:t xml:space="preserve"> 27 presentano un </w:t>
      </w:r>
      <w:r w:rsidR="001D45BB">
        <w:rPr>
          <w:rFonts w:ascii="Arial" w:hAnsi="Arial" w:cs="Arial"/>
          <w:sz w:val="20"/>
          <w:szCs w:val="20"/>
        </w:rPr>
        <w:t>ampliamento dei divari a svantaggio femminile</w:t>
      </w:r>
      <w:r w:rsidRPr="00B91E7E">
        <w:rPr>
          <w:rFonts w:ascii="Arial" w:hAnsi="Arial" w:cs="Arial"/>
          <w:sz w:val="20"/>
          <w:szCs w:val="20"/>
        </w:rPr>
        <w:t>.</w:t>
      </w:r>
      <w:r>
        <w:rPr>
          <w:rFonts w:ascii="Arial" w:hAnsi="Arial" w:cs="Arial"/>
          <w:sz w:val="20"/>
          <w:szCs w:val="20"/>
        </w:rPr>
        <w:t xml:space="preserve"> </w:t>
      </w:r>
      <w:r w:rsidRPr="00B91E7E">
        <w:rPr>
          <w:rFonts w:ascii="Arial" w:hAnsi="Arial" w:cs="Arial"/>
          <w:sz w:val="20"/>
          <w:szCs w:val="20"/>
        </w:rPr>
        <w:t>Le aree in cui si rilevano i più ampi miglioramenti sono Reddito e rischio di povertà, grazie</w:t>
      </w:r>
      <w:r>
        <w:rPr>
          <w:rFonts w:ascii="Arial" w:hAnsi="Arial" w:cs="Arial"/>
          <w:sz w:val="20"/>
          <w:szCs w:val="20"/>
        </w:rPr>
        <w:t xml:space="preserve"> </w:t>
      </w:r>
      <w:r w:rsidRPr="00B91E7E">
        <w:rPr>
          <w:rFonts w:ascii="Arial" w:hAnsi="Arial" w:cs="Arial"/>
          <w:sz w:val="20"/>
          <w:szCs w:val="20"/>
        </w:rPr>
        <w:t>ai più ampi progressi registrati dalla componente femminile rispetto a quella maschile in</w:t>
      </w:r>
      <w:r>
        <w:rPr>
          <w:rFonts w:ascii="Arial" w:hAnsi="Arial" w:cs="Arial"/>
          <w:sz w:val="20"/>
          <w:szCs w:val="20"/>
        </w:rPr>
        <w:t xml:space="preserve"> </w:t>
      </w:r>
      <w:r w:rsidRPr="00B91E7E">
        <w:rPr>
          <w:rFonts w:ascii="Arial" w:hAnsi="Arial" w:cs="Arial"/>
          <w:sz w:val="20"/>
          <w:szCs w:val="20"/>
        </w:rPr>
        <w:t>quasi tutte le misure considerate, e</w:t>
      </w:r>
      <w:r w:rsidR="005E457E">
        <w:rPr>
          <w:rFonts w:ascii="Arial" w:hAnsi="Arial" w:cs="Arial"/>
          <w:sz w:val="20"/>
          <w:szCs w:val="20"/>
        </w:rPr>
        <w:t>d</w:t>
      </w:r>
      <w:r w:rsidRPr="00B91E7E">
        <w:rPr>
          <w:rFonts w:ascii="Arial" w:hAnsi="Arial" w:cs="Arial"/>
          <w:sz w:val="20"/>
          <w:szCs w:val="20"/>
        </w:rPr>
        <w:t xml:space="preserve"> </w:t>
      </w:r>
      <w:r w:rsidRPr="00A71FAB">
        <w:rPr>
          <w:rFonts w:ascii="Arial" w:hAnsi="Arial" w:cs="Arial"/>
          <w:i/>
          <w:sz w:val="20"/>
          <w:szCs w:val="20"/>
        </w:rPr>
        <w:t>Empowerment</w:t>
      </w:r>
      <w:r w:rsidRPr="00B91E7E">
        <w:rPr>
          <w:rFonts w:ascii="Arial" w:hAnsi="Arial" w:cs="Arial"/>
          <w:sz w:val="20"/>
          <w:szCs w:val="20"/>
        </w:rPr>
        <w:t xml:space="preserve"> e inclusione, trainata dal maggiore incremento femminile della quota di permessi di soggiorno e, viceversa, dalla più consistente</w:t>
      </w:r>
      <w:r>
        <w:rPr>
          <w:rFonts w:ascii="Arial" w:hAnsi="Arial" w:cs="Arial"/>
          <w:sz w:val="20"/>
          <w:szCs w:val="20"/>
        </w:rPr>
        <w:t xml:space="preserve"> </w:t>
      </w:r>
      <w:r w:rsidRPr="00B91E7E">
        <w:rPr>
          <w:rFonts w:ascii="Arial" w:hAnsi="Arial" w:cs="Arial"/>
          <w:sz w:val="20"/>
          <w:szCs w:val="20"/>
        </w:rPr>
        <w:t>riduzione della percentuale di donne in attesa di giudizio. I differenziali di genere risultano</w:t>
      </w:r>
      <w:r>
        <w:rPr>
          <w:rFonts w:ascii="Arial" w:hAnsi="Arial" w:cs="Arial"/>
          <w:sz w:val="20"/>
          <w:szCs w:val="20"/>
        </w:rPr>
        <w:t xml:space="preserve"> </w:t>
      </w:r>
      <w:r w:rsidRPr="00B91E7E">
        <w:rPr>
          <w:rFonts w:ascii="Arial" w:hAnsi="Arial" w:cs="Arial"/>
          <w:sz w:val="20"/>
          <w:szCs w:val="20"/>
        </w:rPr>
        <w:t xml:space="preserve">invece più </w:t>
      </w:r>
      <w:r w:rsidRPr="00404D58">
        <w:rPr>
          <w:rFonts w:ascii="Arial" w:hAnsi="Arial" w:cs="Arial"/>
          <w:sz w:val="20"/>
          <w:szCs w:val="20"/>
        </w:rPr>
        <w:t xml:space="preserve">frequentemente stabili o in peggioramento nelle aree </w:t>
      </w:r>
      <w:r w:rsidR="001D45BB">
        <w:rPr>
          <w:rFonts w:ascii="Arial" w:hAnsi="Arial" w:cs="Arial"/>
          <w:sz w:val="20"/>
          <w:szCs w:val="20"/>
        </w:rPr>
        <w:t>della Salute e delle Competenze.</w:t>
      </w:r>
    </w:p>
    <w:p w14:paraId="764BB1BF" w14:textId="77777777" w:rsidR="0006328E" w:rsidRDefault="0006328E" w:rsidP="0006328E">
      <w:pPr>
        <w:pStyle w:val="NormaleWeb"/>
        <w:shd w:val="clear" w:color="auto" w:fill="FFFFFF"/>
        <w:spacing w:after="120" w:line="240" w:lineRule="auto"/>
        <w:jc w:val="both"/>
      </w:pPr>
    </w:p>
    <w:p w14:paraId="4CA41ED7" w14:textId="7F624BF4" w:rsidR="00404D58" w:rsidRDefault="001D45BB" w:rsidP="00024205">
      <w:pPr>
        <w:pStyle w:val="Titolo2"/>
        <w:spacing w:before="0" w:after="160"/>
        <w:jc w:val="both"/>
        <w:rPr>
          <w:rFonts w:ascii="Arial" w:eastAsia="Times New Roman" w:hAnsi="Arial" w:cs="Arial"/>
          <w:bCs w:val="0"/>
          <w:color w:val="auto"/>
          <w:sz w:val="20"/>
          <w:szCs w:val="20"/>
          <w:lang w:eastAsia="it-IT"/>
        </w:rPr>
      </w:pPr>
      <w:r w:rsidRPr="00E34F20">
        <w:rPr>
          <w:rFonts w:ascii="Arial" w:eastAsia="Times New Roman" w:hAnsi="Arial" w:cs="Arial"/>
          <w:bCs w:val="0"/>
          <w:color w:val="auto"/>
          <w:sz w:val="20"/>
          <w:szCs w:val="20"/>
          <w:lang w:eastAsia="it-IT"/>
        </w:rPr>
        <w:lastRenderedPageBreak/>
        <w:t>Figura 5</w:t>
      </w:r>
      <w:r w:rsidR="00404D58" w:rsidRPr="00E34F20">
        <w:rPr>
          <w:rFonts w:ascii="Arial" w:eastAsia="Times New Roman" w:hAnsi="Arial" w:cs="Arial"/>
          <w:bCs w:val="0"/>
          <w:color w:val="auto"/>
          <w:sz w:val="20"/>
          <w:szCs w:val="20"/>
          <w:lang w:eastAsia="it-IT"/>
        </w:rPr>
        <w:t xml:space="preserve"> – Misure statistiche per andamento di genere: ultimo anno disponibile rispetto ai 10 anni precedenti, per area </w:t>
      </w:r>
      <w:r w:rsidR="00404D58" w:rsidRPr="00E34F20">
        <w:rPr>
          <w:rFonts w:ascii="Arial" w:eastAsia="Times New Roman" w:hAnsi="Arial" w:cs="Arial"/>
          <w:b w:val="0"/>
          <w:color w:val="auto"/>
          <w:sz w:val="20"/>
          <w:szCs w:val="20"/>
          <w:lang w:eastAsia="it-IT"/>
        </w:rPr>
        <w:t>(a)</w:t>
      </w:r>
    </w:p>
    <w:p w14:paraId="33003DD5" w14:textId="3839E183" w:rsidR="00BC67CD" w:rsidRPr="00E34F20" w:rsidRDefault="009312B1" w:rsidP="00E34F20">
      <w:pPr>
        <w:spacing w:after="0" w:line="240" w:lineRule="auto"/>
        <w:rPr>
          <w:bCs/>
          <w:lang w:eastAsia="it-IT"/>
        </w:rPr>
      </w:pPr>
      <w:r>
        <w:rPr>
          <w:noProof/>
          <w:lang w:eastAsia="it-IT"/>
        </w:rPr>
        <w:drawing>
          <wp:inline distT="0" distB="0" distL="0" distR="0" wp14:anchorId="28343A52" wp14:editId="5F9A2DF8">
            <wp:extent cx="6086475" cy="3390900"/>
            <wp:effectExtent l="0" t="0" r="9525"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6475" cy="3390900"/>
                    </a:xfrm>
                    <a:prstGeom prst="rect">
                      <a:avLst/>
                    </a:prstGeom>
                    <a:noFill/>
                    <a:ln>
                      <a:noFill/>
                    </a:ln>
                  </pic:spPr>
                </pic:pic>
              </a:graphicData>
            </a:graphic>
          </wp:inline>
        </w:drawing>
      </w:r>
    </w:p>
    <w:p w14:paraId="2009D2FA" w14:textId="77777777" w:rsidR="00BC67CD" w:rsidRPr="00D26DB7" w:rsidRDefault="00BC67CD" w:rsidP="00BC67CD">
      <w:pPr>
        <w:pStyle w:val="Titolo2"/>
        <w:keepNext w:val="0"/>
        <w:keepLines w:val="0"/>
        <w:widowControl w:val="0"/>
        <w:numPr>
          <w:ilvl w:val="0"/>
          <w:numId w:val="4"/>
        </w:numPr>
        <w:autoSpaceDE w:val="0"/>
        <w:autoSpaceDN w:val="0"/>
        <w:spacing w:before="0" w:line="240" w:lineRule="auto"/>
        <w:jc w:val="both"/>
        <w:rPr>
          <w:rFonts w:ascii="Arial" w:hAnsi="Arial" w:cs="Arial"/>
          <w:sz w:val="15"/>
          <w:szCs w:val="15"/>
        </w:rPr>
      </w:pPr>
      <w:r w:rsidRPr="00D26DB7">
        <w:rPr>
          <w:rFonts w:ascii="Arial" w:hAnsi="Arial" w:cs="Arial"/>
          <w:sz w:val="15"/>
          <w:szCs w:val="15"/>
        </w:rPr>
        <w:t xml:space="preserve">Accanto a ciascuna area viene indicato tra parentesi il numero di misure statistiche utilizzate per il calcolo. </w:t>
      </w:r>
    </w:p>
    <w:p w14:paraId="6FEADED8" w14:textId="77777777" w:rsidR="00E94304" w:rsidRPr="004C3B88" w:rsidRDefault="00E94304" w:rsidP="00E34F20">
      <w:pPr>
        <w:spacing w:after="120" w:line="240" w:lineRule="auto"/>
        <w:jc w:val="both"/>
        <w:rPr>
          <w:rFonts w:ascii="Arial" w:eastAsia="Times New Roman" w:hAnsi="Arial" w:cs="Arial"/>
          <w:b/>
          <w:bCs/>
          <w:iCs/>
          <w:color w:val="289AD1"/>
          <w:sz w:val="28"/>
          <w:szCs w:val="28"/>
        </w:rPr>
      </w:pPr>
    </w:p>
    <w:p w14:paraId="30BE0670" w14:textId="4F5B6275" w:rsidR="002717C6" w:rsidRDefault="002717C6" w:rsidP="00E34F20">
      <w:pPr>
        <w:spacing w:after="120" w:line="240" w:lineRule="auto"/>
        <w:jc w:val="both"/>
        <w:rPr>
          <w:rFonts w:ascii="Arial" w:eastAsia="Times New Roman" w:hAnsi="Arial" w:cs="Arial"/>
          <w:b/>
          <w:bCs/>
          <w:iCs/>
          <w:color w:val="289AD1"/>
          <w:sz w:val="28"/>
          <w:szCs w:val="28"/>
        </w:rPr>
      </w:pPr>
      <w:r w:rsidRPr="00A17E82">
        <w:rPr>
          <w:rFonts w:ascii="Arial" w:eastAsia="Times New Roman" w:hAnsi="Arial" w:cs="Arial"/>
          <w:b/>
          <w:bCs/>
          <w:iCs/>
          <w:color w:val="289AD1"/>
          <w:sz w:val="28"/>
          <w:szCs w:val="28"/>
        </w:rPr>
        <w:t>Principali risultati rilevati in Italia per i 17 Obiettivi</w:t>
      </w:r>
      <w:r w:rsidR="009507DB" w:rsidRPr="00A17E82">
        <w:rPr>
          <w:rFonts w:ascii="Arial" w:eastAsia="Times New Roman" w:hAnsi="Arial" w:cs="Arial"/>
          <w:b/>
          <w:bCs/>
          <w:iCs/>
          <w:color w:val="289AD1"/>
          <w:sz w:val="28"/>
          <w:szCs w:val="28"/>
        </w:rPr>
        <w:t xml:space="preserve"> </w:t>
      </w:r>
      <w:proofErr w:type="spellStart"/>
      <w:r w:rsidR="009507DB" w:rsidRPr="00A17E82">
        <w:rPr>
          <w:rFonts w:ascii="Arial" w:eastAsia="Times New Roman" w:hAnsi="Arial" w:cs="Arial"/>
          <w:b/>
          <w:bCs/>
          <w:iCs/>
          <w:color w:val="289AD1"/>
          <w:sz w:val="28"/>
          <w:szCs w:val="28"/>
        </w:rPr>
        <w:t>SDGs</w:t>
      </w:r>
      <w:proofErr w:type="spellEnd"/>
      <w:r w:rsidR="008D107D">
        <w:rPr>
          <w:rFonts w:ascii="Arial" w:eastAsia="Times New Roman" w:hAnsi="Arial" w:cs="Arial"/>
          <w:b/>
          <w:bCs/>
          <w:iCs/>
          <w:color w:val="289AD1"/>
          <w:sz w:val="28"/>
          <w:szCs w:val="28"/>
        </w:rPr>
        <w:t xml:space="preserve"> </w:t>
      </w:r>
    </w:p>
    <w:p w14:paraId="7FDD0CF9" w14:textId="2FE87281" w:rsidR="00D14886" w:rsidRDefault="00D14886" w:rsidP="002717C6">
      <w:pPr>
        <w:spacing w:after="60"/>
        <w:jc w:val="both"/>
        <w:rPr>
          <w:rFonts w:ascii="Arial" w:eastAsia="Times New Roman" w:hAnsi="Arial" w:cs="Arial"/>
          <w:b/>
          <w:bCs/>
          <w:iCs/>
          <w:color w:val="289AD1"/>
          <w:sz w:val="28"/>
          <w:szCs w:val="28"/>
        </w:rPr>
      </w:pPr>
    </w:p>
    <w:p w14:paraId="6C9B49A1" w14:textId="77777777" w:rsidR="007358ED" w:rsidRPr="00DD7BC5" w:rsidRDefault="007358ED" w:rsidP="007358ED">
      <w:pPr>
        <w:spacing w:after="0"/>
        <w:rPr>
          <w:rFonts w:cs="Helvetica"/>
          <w:b/>
          <w:bCs/>
          <w:sz w:val="24"/>
          <w:szCs w:val="24"/>
        </w:rPr>
      </w:pPr>
      <w:r>
        <w:rPr>
          <w:rFonts w:cs="Helvetica"/>
          <w:b/>
          <w:bCs/>
          <w:noProof/>
          <w:sz w:val="24"/>
          <w:szCs w:val="24"/>
          <w:lang w:eastAsia="it-IT"/>
        </w:rPr>
        <w:drawing>
          <wp:anchor distT="0" distB="0" distL="114300" distR="114300" simplePos="0" relativeHeight="251664384" behindDoc="0" locked="0" layoutInCell="1" allowOverlap="1" wp14:anchorId="0EF33BF5" wp14:editId="244FE1B9">
            <wp:simplePos x="0" y="0"/>
            <wp:positionH relativeFrom="margin">
              <wp:posOffset>13335</wp:posOffset>
            </wp:positionH>
            <wp:positionV relativeFrom="paragraph">
              <wp:posOffset>17145</wp:posOffset>
            </wp:positionV>
            <wp:extent cx="864000" cy="864000"/>
            <wp:effectExtent l="0" t="0" r="0" b="0"/>
            <wp:wrapSquare wrapText="bothSides"/>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goal_I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64000" cy="864000"/>
                    </a:xfrm>
                    <a:prstGeom prst="rect">
                      <a:avLst/>
                    </a:prstGeom>
                  </pic:spPr>
                </pic:pic>
              </a:graphicData>
            </a:graphic>
            <wp14:sizeRelH relativeFrom="margin">
              <wp14:pctWidth>0</wp14:pctWidth>
            </wp14:sizeRelH>
            <wp14:sizeRelV relativeFrom="margin">
              <wp14:pctHeight>0</wp14:pctHeight>
            </wp14:sizeRelV>
          </wp:anchor>
        </w:drawing>
      </w:r>
      <w:r w:rsidRPr="00DD7BC5">
        <w:rPr>
          <w:rFonts w:cs="Helvetica"/>
          <w:b/>
          <w:bCs/>
          <w:sz w:val="24"/>
          <w:szCs w:val="24"/>
        </w:rPr>
        <w:t xml:space="preserve">Goal 1 </w:t>
      </w:r>
    </w:p>
    <w:p w14:paraId="1C64A94A" w14:textId="77777777" w:rsidR="007358ED" w:rsidRDefault="007358ED" w:rsidP="007358ED">
      <w:pPr>
        <w:autoSpaceDE w:val="0"/>
        <w:autoSpaceDN w:val="0"/>
        <w:adjustRightInd w:val="0"/>
        <w:spacing w:after="0" w:line="240" w:lineRule="auto"/>
        <w:jc w:val="both"/>
        <w:rPr>
          <w:rFonts w:cs="Helvetica"/>
          <w:b/>
          <w:bCs/>
          <w:sz w:val="24"/>
          <w:szCs w:val="24"/>
        </w:rPr>
      </w:pPr>
    </w:p>
    <w:p w14:paraId="5CBF42D7" w14:textId="77777777" w:rsidR="007358ED" w:rsidRDefault="007358ED" w:rsidP="007801DB">
      <w:pPr>
        <w:autoSpaceDE w:val="0"/>
        <w:autoSpaceDN w:val="0"/>
        <w:adjustRightInd w:val="0"/>
        <w:spacing w:after="120" w:line="240" w:lineRule="auto"/>
        <w:jc w:val="both"/>
        <w:rPr>
          <w:rFonts w:ascii="Arial" w:hAnsi="Arial" w:cs="Arial"/>
          <w:bCs/>
          <w:sz w:val="20"/>
          <w:szCs w:val="20"/>
        </w:rPr>
      </w:pPr>
      <w:r w:rsidRPr="00566DD3">
        <w:rPr>
          <w:rFonts w:ascii="Arial" w:hAnsi="Arial" w:cs="Arial"/>
          <w:bCs/>
          <w:sz w:val="20"/>
          <w:szCs w:val="20"/>
        </w:rPr>
        <w:t xml:space="preserve">Nel 2021, circa 5,6 milioni di individui (9,4%) sono in condizioni di </w:t>
      </w:r>
      <w:r w:rsidRPr="00566DD3">
        <w:rPr>
          <w:rFonts w:ascii="Arial" w:hAnsi="Arial" w:cs="Arial"/>
          <w:b/>
          <w:bCs/>
          <w:sz w:val="20"/>
          <w:szCs w:val="20"/>
        </w:rPr>
        <w:t>povertà assoluta</w:t>
      </w:r>
      <w:r w:rsidRPr="00566DD3">
        <w:rPr>
          <w:rFonts w:ascii="Arial" w:hAnsi="Arial" w:cs="Arial"/>
          <w:bCs/>
          <w:sz w:val="20"/>
          <w:szCs w:val="20"/>
        </w:rPr>
        <w:t xml:space="preserve">. Rispetto al 2020, l’incidenza della povertà è rimasta stabile a livello nazionale, con una diminuzione nel Nord-ovest (-2,1 punti percentuali) e un aumento </w:t>
      </w:r>
      <w:r>
        <w:rPr>
          <w:rFonts w:ascii="Arial" w:hAnsi="Arial" w:cs="Arial"/>
          <w:bCs/>
          <w:sz w:val="20"/>
          <w:szCs w:val="20"/>
        </w:rPr>
        <w:t>nelle altre zone geografiche, in particolar modo al Sud</w:t>
      </w:r>
      <w:r w:rsidRPr="00566DD3">
        <w:rPr>
          <w:rFonts w:ascii="Arial" w:hAnsi="Arial" w:cs="Arial"/>
          <w:bCs/>
          <w:sz w:val="20"/>
          <w:szCs w:val="20"/>
        </w:rPr>
        <w:t xml:space="preserve"> (+1,5 p.p.)</w:t>
      </w:r>
      <w:r>
        <w:rPr>
          <w:rFonts w:ascii="Arial" w:hAnsi="Arial" w:cs="Arial"/>
          <w:bCs/>
          <w:sz w:val="20"/>
          <w:szCs w:val="20"/>
        </w:rPr>
        <w:t xml:space="preserve">. </w:t>
      </w:r>
      <w:r w:rsidRPr="0093100A">
        <w:rPr>
          <w:rFonts w:ascii="Arial" w:hAnsi="Arial" w:cs="Arial"/>
          <w:bCs/>
          <w:sz w:val="20"/>
          <w:szCs w:val="20"/>
        </w:rPr>
        <w:t>Negli ultimi anni, l’incidenza della povertà si è rivelata nettamente più bassa per le persone più anziane (65 anni e più), a confermare il ruolo di protezione economica dei trasferimenti pensionistici in ambito familiare</w:t>
      </w:r>
      <w:r>
        <w:rPr>
          <w:rFonts w:ascii="Arial" w:hAnsi="Arial" w:cs="Arial"/>
          <w:bCs/>
          <w:sz w:val="20"/>
          <w:szCs w:val="20"/>
        </w:rPr>
        <w:t>.</w:t>
      </w:r>
    </w:p>
    <w:p w14:paraId="30740C78" w14:textId="77777777" w:rsidR="007358ED" w:rsidRPr="00566DD3" w:rsidRDefault="007358ED" w:rsidP="007801DB">
      <w:pPr>
        <w:autoSpaceDE w:val="0"/>
        <w:autoSpaceDN w:val="0"/>
        <w:adjustRightInd w:val="0"/>
        <w:spacing w:after="120" w:line="240" w:lineRule="auto"/>
        <w:jc w:val="both"/>
        <w:rPr>
          <w:rFonts w:ascii="Arial" w:hAnsi="Arial" w:cs="Arial"/>
          <w:bCs/>
          <w:sz w:val="20"/>
          <w:szCs w:val="20"/>
        </w:rPr>
      </w:pPr>
      <w:r>
        <w:rPr>
          <w:rFonts w:ascii="Arial" w:hAnsi="Arial" w:cs="Arial"/>
          <w:bCs/>
          <w:sz w:val="20"/>
          <w:szCs w:val="20"/>
        </w:rPr>
        <w:t>I</w:t>
      </w:r>
      <w:r w:rsidRPr="00566DD3">
        <w:rPr>
          <w:rFonts w:ascii="Arial" w:hAnsi="Arial" w:cs="Arial"/>
          <w:bCs/>
          <w:sz w:val="20"/>
          <w:szCs w:val="20"/>
        </w:rPr>
        <w:t xml:space="preserve">l </w:t>
      </w:r>
      <w:r w:rsidRPr="00566DD3">
        <w:rPr>
          <w:rFonts w:ascii="Arial" w:hAnsi="Arial" w:cs="Arial"/>
          <w:b/>
          <w:bCs/>
          <w:sz w:val="20"/>
          <w:szCs w:val="20"/>
        </w:rPr>
        <w:t>costo dell’abitazione</w:t>
      </w:r>
      <w:r w:rsidRPr="00566DD3">
        <w:rPr>
          <w:rFonts w:ascii="Arial" w:hAnsi="Arial" w:cs="Arial"/>
          <w:bCs/>
          <w:sz w:val="20"/>
          <w:szCs w:val="20"/>
        </w:rPr>
        <w:t xml:space="preserve"> rappresenta un peso difficilmente sostenibile per il 7,2% della popolazione, dato stabile rispetto al 2020 e sui livelli minimi del periodo.</w:t>
      </w:r>
      <w:r>
        <w:rPr>
          <w:rFonts w:ascii="Arial" w:hAnsi="Arial" w:cs="Arial"/>
          <w:bCs/>
          <w:sz w:val="20"/>
          <w:szCs w:val="20"/>
        </w:rPr>
        <w:t xml:space="preserve"> Il Sud (8,8%) e le Isole (8,2%)</w:t>
      </w:r>
      <w:r w:rsidRPr="00566DD3">
        <w:rPr>
          <w:rFonts w:ascii="Arial" w:hAnsi="Arial" w:cs="Arial"/>
          <w:bCs/>
          <w:sz w:val="20"/>
          <w:szCs w:val="20"/>
        </w:rPr>
        <w:t xml:space="preserve"> continuano a presentare le si</w:t>
      </w:r>
      <w:r>
        <w:rPr>
          <w:rFonts w:ascii="Arial" w:hAnsi="Arial" w:cs="Arial"/>
          <w:bCs/>
          <w:sz w:val="20"/>
          <w:szCs w:val="20"/>
        </w:rPr>
        <w:t>tuazioni di maggiore difficoltà. Come per l’incidenza della povertà, i</w:t>
      </w:r>
      <w:r w:rsidRPr="0093100A">
        <w:rPr>
          <w:rFonts w:ascii="Arial" w:hAnsi="Arial" w:cs="Arial"/>
          <w:bCs/>
          <w:sz w:val="20"/>
          <w:szCs w:val="20"/>
        </w:rPr>
        <w:t xml:space="preserve">l sovraccarico </w:t>
      </w:r>
      <w:r>
        <w:rPr>
          <w:rFonts w:ascii="Arial" w:hAnsi="Arial" w:cs="Arial"/>
          <w:bCs/>
          <w:sz w:val="20"/>
          <w:szCs w:val="20"/>
        </w:rPr>
        <w:t xml:space="preserve">del costo dell’abitazione </w:t>
      </w:r>
      <w:r w:rsidRPr="0093100A">
        <w:rPr>
          <w:rFonts w:ascii="Arial" w:hAnsi="Arial" w:cs="Arial"/>
          <w:bCs/>
          <w:sz w:val="20"/>
          <w:szCs w:val="20"/>
        </w:rPr>
        <w:t>risulta minore per le persone più anziane</w:t>
      </w:r>
      <w:r>
        <w:rPr>
          <w:rFonts w:ascii="Arial" w:hAnsi="Arial" w:cs="Arial"/>
          <w:bCs/>
          <w:sz w:val="20"/>
          <w:szCs w:val="20"/>
        </w:rPr>
        <w:t>.</w:t>
      </w:r>
    </w:p>
    <w:p w14:paraId="6F0F33AE" w14:textId="3B7CA714" w:rsidR="007358ED" w:rsidRDefault="007358ED" w:rsidP="007801DB">
      <w:pPr>
        <w:autoSpaceDE w:val="0"/>
        <w:autoSpaceDN w:val="0"/>
        <w:adjustRightInd w:val="0"/>
        <w:spacing w:after="120" w:line="240" w:lineRule="auto"/>
        <w:jc w:val="both"/>
        <w:rPr>
          <w:rFonts w:ascii="Arial" w:hAnsi="Arial" w:cs="Arial"/>
          <w:bCs/>
          <w:sz w:val="20"/>
          <w:szCs w:val="20"/>
        </w:rPr>
      </w:pPr>
      <w:r>
        <w:rPr>
          <w:rFonts w:ascii="Arial" w:hAnsi="Arial" w:cs="Arial"/>
          <w:bCs/>
          <w:sz w:val="20"/>
          <w:szCs w:val="20"/>
        </w:rPr>
        <w:t>L</w:t>
      </w:r>
      <w:r w:rsidRPr="000562B2">
        <w:rPr>
          <w:rFonts w:ascii="Arial" w:hAnsi="Arial" w:cs="Arial"/>
          <w:bCs/>
          <w:sz w:val="20"/>
          <w:szCs w:val="20"/>
        </w:rPr>
        <w:t xml:space="preserve">a quota di popolazione a </w:t>
      </w:r>
      <w:r w:rsidRPr="000562B2">
        <w:rPr>
          <w:rFonts w:ascii="Arial" w:hAnsi="Arial" w:cs="Arial"/>
          <w:b/>
          <w:bCs/>
          <w:sz w:val="20"/>
          <w:szCs w:val="20"/>
        </w:rPr>
        <w:t>rischio di povertà o esclusione sociale</w:t>
      </w:r>
      <w:r>
        <w:rPr>
          <w:rFonts w:ascii="Arial" w:hAnsi="Arial" w:cs="Arial"/>
          <w:bCs/>
          <w:sz w:val="20"/>
          <w:szCs w:val="20"/>
        </w:rPr>
        <w:t xml:space="preserve"> è pari </w:t>
      </w:r>
      <w:r w:rsidRPr="000562B2">
        <w:rPr>
          <w:rFonts w:ascii="Arial" w:hAnsi="Arial" w:cs="Arial"/>
          <w:bCs/>
          <w:sz w:val="20"/>
          <w:szCs w:val="20"/>
        </w:rPr>
        <w:t>al 25,4</w:t>
      </w:r>
      <w:r>
        <w:rPr>
          <w:rFonts w:ascii="Arial" w:hAnsi="Arial" w:cs="Arial"/>
          <w:bCs/>
          <w:sz w:val="20"/>
          <w:szCs w:val="20"/>
        </w:rPr>
        <w:t>%, dato essenzialmente stabile</w:t>
      </w:r>
      <w:r w:rsidRPr="0059739B">
        <w:t xml:space="preserve"> </w:t>
      </w:r>
      <w:r>
        <w:rPr>
          <w:rFonts w:ascii="Arial" w:hAnsi="Arial" w:cs="Arial"/>
          <w:bCs/>
          <w:sz w:val="20"/>
          <w:szCs w:val="20"/>
        </w:rPr>
        <w:t>ma</w:t>
      </w:r>
      <w:r w:rsidRPr="0059739B">
        <w:rPr>
          <w:rFonts w:ascii="Arial" w:hAnsi="Arial" w:cs="Arial"/>
          <w:bCs/>
          <w:sz w:val="20"/>
          <w:szCs w:val="20"/>
        </w:rPr>
        <w:t xml:space="preserve"> comunque</w:t>
      </w:r>
      <w:r>
        <w:rPr>
          <w:rFonts w:ascii="Arial" w:hAnsi="Arial" w:cs="Arial"/>
          <w:bCs/>
          <w:sz w:val="20"/>
          <w:szCs w:val="20"/>
        </w:rPr>
        <w:t xml:space="preserve"> elevato nel confronto europeo. Il rischio di povertà o esclusione sociale </w:t>
      </w:r>
      <w:r w:rsidRPr="0059739B">
        <w:rPr>
          <w:rFonts w:ascii="Arial" w:hAnsi="Arial" w:cs="Arial"/>
          <w:bCs/>
          <w:sz w:val="20"/>
          <w:szCs w:val="20"/>
        </w:rPr>
        <w:t>si differenzia notevolmente a livello regionale, con un evidente gradiente Nord-Sud</w:t>
      </w:r>
      <w:r>
        <w:rPr>
          <w:rFonts w:ascii="Arial" w:hAnsi="Arial" w:cs="Arial"/>
          <w:bCs/>
          <w:sz w:val="20"/>
          <w:szCs w:val="20"/>
        </w:rPr>
        <w:t xml:space="preserve">, variando dal 10% della Provincia Autonoma di Bolzano a oltre il 50% della Campania. </w:t>
      </w:r>
    </w:p>
    <w:p w14:paraId="353E7D1E" w14:textId="77777777" w:rsidR="007358ED" w:rsidRPr="00585B61" w:rsidRDefault="007358ED" w:rsidP="007358ED">
      <w:pPr>
        <w:autoSpaceDE w:val="0"/>
        <w:autoSpaceDN w:val="0"/>
        <w:adjustRightInd w:val="0"/>
        <w:spacing w:after="0" w:line="240" w:lineRule="auto"/>
        <w:jc w:val="both"/>
        <w:rPr>
          <w:rFonts w:ascii="Arial" w:hAnsi="Arial" w:cs="Arial"/>
          <w:bCs/>
          <w:sz w:val="20"/>
          <w:szCs w:val="20"/>
        </w:rPr>
      </w:pPr>
    </w:p>
    <w:p w14:paraId="3952B8BF" w14:textId="77777777" w:rsidR="007358ED" w:rsidRPr="00DD7BC5" w:rsidRDefault="007358ED" w:rsidP="007358ED">
      <w:pPr>
        <w:autoSpaceDE w:val="0"/>
        <w:autoSpaceDN w:val="0"/>
        <w:adjustRightInd w:val="0"/>
        <w:spacing w:after="0" w:line="240" w:lineRule="auto"/>
        <w:jc w:val="both"/>
        <w:rPr>
          <w:rFonts w:cs="Helvetica"/>
          <w:b/>
          <w:bCs/>
          <w:sz w:val="24"/>
          <w:szCs w:val="24"/>
        </w:rPr>
      </w:pPr>
      <w:r>
        <w:rPr>
          <w:rFonts w:cs="Helvetica"/>
          <w:b/>
          <w:bCs/>
          <w:noProof/>
          <w:sz w:val="24"/>
          <w:szCs w:val="24"/>
          <w:lang w:eastAsia="it-IT"/>
        </w:rPr>
        <w:drawing>
          <wp:anchor distT="0" distB="0" distL="114300" distR="114300" simplePos="0" relativeHeight="251665408" behindDoc="0" locked="0" layoutInCell="1" allowOverlap="1" wp14:anchorId="27934722" wp14:editId="581C9D6B">
            <wp:simplePos x="0" y="0"/>
            <wp:positionH relativeFrom="column">
              <wp:posOffset>32385</wp:posOffset>
            </wp:positionH>
            <wp:positionV relativeFrom="paragraph">
              <wp:posOffset>12065</wp:posOffset>
            </wp:positionV>
            <wp:extent cx="875030" cy="863600"/>
            <wp:effectExtent l="0" t="0" r="1270" b="0"/>
            <wp:wrapSquare wrapText="bothSides"/>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goal_I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75030" cy="863600"/>
                    </a:xfrm>
                    <a:prstGeom prst="rect">
                      <a:avLst/>
                    </a:prstGeom>
                  </pic:spPr>
                </pic:pic>
              </a:graphicData>
            </a:graphic>
            <wp14:sizeRelH relativeFrom="margin">
              <wp14:pctWidth>0</wp14:pctWidth>
            </wp14:sizeRelH>
            <wp14:sizeRelV relativeFrom="margin">
              <wp14:pctHeight>0</wp14:pctHeight>
            </wp14:sizeRelV>
          </wp:anchor>
        </w:drawing>
      </w:r>
      <w:r w:rsidRPr="00DD7BC5">
        <w:rPr>
          <w:rFonts w:cs="Helvetica"/>
          <w:b/>
          <w:bCs/>
          <w:sz w:val="24"/>
          <w:szCs w:val="24"/>
        </w:rPr>
        <w:t xml:space="preserve">Goal 2 </w:t>
      </w:r>
    </w:p>
    <w:p w14:paraId="358650DA" w14:textId="77777777" w:rsidR="007358ED" w:rsidRPr="00DD7BC5" w:rsidRDefault="007358ED" w:rsidP="007358ED">
      <w:pPr>
        <w:autoSpaceDE w:val="0"/>
        <w:autoSpaceDN w:val="0"/>
        <w:adjustRightInd w:val="0"/>
        <w:spacing w:after="0" w:line="240" w:lineRule="auto"/>
        <w:jc w:val="both"/>
        <w:rPr>
          <w:rFonts w:cs="Helvetica"/>
          <w:b/>
          <w:bCs/>
          <w:sz w:val="24"/>
          <w:szCs w:val="24"/>
        </w:rPr>
      </w:pPr>
    </w:p>
    <w:p w14:paraId="7CD89063" w14:textId="5E5F9F21" w:rsidR="007358ED" w:rsidRPr="008C61BD" w:rsidRDefault="007358ED" w:rsidP="007801DB">
      <w:pPr>
        <w:autoSpaceDE w:val="0"/>
        <w:autoSpaceDN w:val="0"/>
        <w:adjustRightInd w:val="0"/>
        <w:spacing w:after="120" w:line="240" w:lineRule="auto"/>
        <w:jc w:val="both"/>
        <w:rPr>
          <w:rFonts w:ascii="Arial" w:hAnsi="Arial" w:cs="Arial"/>
          <w:bCs/>
          <w:sz w:val="20"/>
          <w:szCs w:val="20"/>
        </w:rPr>
      </w:pPr>
      <w:r w:rsidRPr="008C61BD">
        <w:rPr>
          <w:rFonts w:ascii="Arial" w:hAnsi="Arial" w:cs="Arial"/>
          <w:bCs/>
          <w:sz w:val="20"/>
          <w:szCs w:val="20"/>
        </w:rPr>
        <w:t xml:space="preserve">Nel 2020, più del 30% della popolazione mondiale soffre di </w:t>
      </w:r>
      <w:r w:rsidRPr="008C61BD">
        <w:rPr>
          <w:rFonts w:ascii="Arial" w:hAnsi="Arial" w:cs="Arial"/>
          <w:b/>
          <w:bCs/>
          <w:sz w:val="20"/>
          <w:szCs w:val="20"/>
        </w:rPr>
        <w:t>insicurezza alimentare</w:t>
      </w:r>
      <w:r w:rsidRPr="008C61BD">
        <w:rPr>
          <w:rFonts w:ascii="Arial" w:hAnsi="Arial" w:cs="Arial"/>
          <w:bCs/>
          <w:sz w:val="20"/>
          <w:szCs w:val="20"/>
        </w:rPr>
        <w:t>. Il fenomeno è costantemente in crescita dal 2015. Anche in Italia cresce la quota d</w:t>
      </w:r>
      <w:r w:rsidR="003B6529">
        <w:rPr>
          <w:rFonts w:ascii="Arial" w:hAnsi="Arial" w:cs="Arial"/>
          <w:bCs/>
          <w:sz w:val="20"/>
          <w:szCs w:val="20"/>
        </w:rPr>
        <w:t>i</w:t>
      </w:r>
      <w:r w:rsidRPr="008C61BD">
        <w:rPr>
          <w:rFonts w:ascii="Arial" w:hAnsi="Arial" w:cs="Arial"/>
          <w:bCs/>
          <w:sz w:val="20"/>
          <w:szCs w:val="20"/>
        </w:rPr>
        <w:t xml:space="preserve"> famiglie con segnali di insicurezza alimentare (1,7%, +0,2 p.p. rispetto al 2018), fortemente concentrate nel Mezzogiorno (dove raggiungono il 2,9%).</w:t>
      </w:r>
    </w:p>
    <w:p w14:paraId="1B2813F6" w14:textId="66FFCF67" w:rsidR="007358ED" w:rsidRPr="008C61BD" w:rsidRDefault="007358ED" w:rsidP="007801DB">
      <w:pPr>
        <w:autoSpaceDE w:val="0"/>
        <w:autoSpaceDN w:val="0"/>
        <w:adjustRightInd w:val="0"/>
        <w:spacing w:after="120" w:line="240" w:lineRule="auto"/>
        <w:jc w:val="both"/>
        <w:rPr>
          <w:rFonts w:ascii="Arial" w:hAnsi="Arial" w:cs="Arial"/>
          <w:bCs/>
          <w:sz w:val="20"/>
          <w:szCs w:val="20"/>
        </w:rPr>
      </w:pPr>
      <w:r w:rsidRPr="008C61BD">
        <w:rPr>
          <w:rFonts w:ascii="Arial" w:hAnsi="Arial" w:cs="Arial"/>
          <w:bCs/>
          <w:sz w:val="20"/>
          <w:szCs w:val="20"/>
        </w:rPr>
        <w:lastRenderedPageBreak/>
        <w:t xml:space="preserve">Tra i bambini italiani da 3 a 5 anni, uno su tre è </w:t>
      </w:r>
      <w:r>
        <w:rPr>
          <w:rFonts w:ascii="Arial" w:hAnsi="Arial" w:cs="Arial"/>
          <w:bCs/>
          <w:sz w:val="20"/>
          <w:szCs w:val="20"/>
        </w:rPr>
        <w:t xml:space="preserve">affetto da </w:t>
      </w:r>
      <w:r w:rsidRPr="008C61BD">
        <w:rPr>
          <w:rFonts w:ascii="Arial" w:hAnsi="Arial" w:cs="Arial"/>
          <w:b/>
          <w:bCs/>
          <w:sz w:val="20"/>
          <w:szCs w:val="20"/>
        </w:rPr>
        <w:t>sovrappeso o obesità</w:t>
      </w:r>
      <w:r w:rsidRPr="008C61BD">
        <w:rPr>
          <w:rFonts w:ascii="Arial" w:hAnsi="Arial" w:cs="Arial"/>
          <w:bCs/>
          <w:sz w:val="20"/>
          <w:szCs w:val="20"/>
        </w:rPr>
        <w:t xml:space="preserve"> (33,2% nel 2020, +1,6 p.p. rispetto al 2018). Nella fascia di età che include anche gli adolescenti (3-17 anni), la quota è del 26,3% (29,2% fra i maschi, 33% nel Mezzogiorno). Le stime indicano un peggioramento della situazione nel 2020</w:t>
      </w:r>
      <w:r w:rsidR="00C027D6">
        <w:rPr>
          <w:rFonts w:ascii="Arial" w:hAnsi="Arial" w:cs="Arial"/>
          <w:bCs/>
          <w:sz w:val="20"/>
          <w:szCs w:val="20"/>
        </w:rPr>
        <w:t xml:space="preserve"> e</w:t>
      </w:r>
      <w:r w:rsidRPr="008C61BD">
        <w:rPr>
          <w:rFonts w:ascii="Arial" w:hAnsi="Arial" w:cs="Arial"/>
          <w:bCs/>
          <w:sz w:val="20"/>
          <w:szCs w:val="20"/>
        </w:rPr>
        <w:t xml:space="preserve"> confermano una tendenza già in atto prima dell’insorgere della pandemia.</w:t>
      </w:r>
    </w:p>
    <w:p w14:paraId="6B9290B7" w14:textId="5447117B" w:rsidR="007358ED" w:rsidRPr="008C61BD" w:rsidRDefault="007358ED" w:rsidP="007801DB">
      <w:pPr>
        <w:autoSpaceDE w:val="0"/>
        <w:autoSpaceDN w:val="0"/>
        <w:adjustRightInd w:val="0"/>
        <w:spacing w:after="120" w:line="240" w:lineRule="auto"/>
        <w:jc w:val="both"/>
        <w:rPr>
          <w:rFonts w:ascii="Arial" w:hAnsi="Arial" w:cs="Arial"/>
          <w:bCs/>
          <w:sz w:val="20"/>
          <w:szCs w:val="20"/>
        </w:rPr>
      </w:pPr>
      <w:r w:rsidRPr="008C61BD">
        <w:rPr>
          <w:rFonts w:ascii="Arial" w:hAnsi="Arial" w:cs="Arial"/>
          <w:bCs/>
          <w:sz w:val="20"/>
          <w:szCs w:val="20"/>
        </w:rPr>
        <w:t xml:space="preserve">Nel 2020, le </w:t>
      </w:r>
      <w:r w:rsidRPr="008C61BD">
        <w:rPr>
          <w:rFonts w:ascii="Arial" w:hAnsi="Arial" w:cs="Arial"/>
          <w:b/>
          <w:bCs/>
          <w:sz w:val="20"/>
          <w:szCs w:val="20"/>
        </w:rPr>
        <w:t>piccole aziende agricole</w:t>
      </w:r>
      <w:r w:rsidRPr="008C61BD">
        <w:rPr>
          <w:rFonts w:ascii="Arial" w:hAnsi="Arial" w:cs="Arial"/>
          <w:bCs/>
          <w:sz w:val="20"/>
          <w:szCs w:val="20"/>
        </w:rPr>
        <w:t xml:space="preserve"> </w:t>
      </w:r>
      <w:r>
        <w:rPr>
          <w:rFonts w:ascii="Arial" w:hAnsi="Arial" w:cs="Arial"/>
          <w:bCs/>
          <w:sz w:val="20"/>
          <w:szCs w:val="20"/>
        </w:rPr>
        <w:t>(</w:t>
      </w:r>
      <w:r w:rsidRPr="008C61BD">
        <w:rPr>
          <w:rFonts w:ascii="Arial" w:hAnsi="Arial" w:cs="Arial"/>
          <w:bCs/>
          <w:sz w:val="20"/>
          <w:szCs w:val="20"/>
        </w:rPr>
        <w:t>sotto i 15mila euro di fatturato</w:t>
      </w:r>
      <w:r>
        <w:rPr>
          <w:rFonts w:ascii="Arial" w:hAnsi="Arial" w:cs="Arial"/>
          <w:bCs/>
          <w:sz w:val="20"/>
          <w:szCs w:val="20"/>
        </w:rPr>
        <w:t>)</w:t>
      </w:r>
      <w:r w:rsidRPr="008C61BD">
        <w:rPr>
          <w:rFonts w:ascii="Arial" w:hAnsi="Arial" w:cs="Arial"/>
          <w:bCs/>
          <w:sz w:val="20"/>
          <w:szCs w:val="20"/>
        </w:rPr>
        <w:t xml:space="preserve"> hanno prodotto circa 15mila euro per unità di lavoro (-18,8% dal 2015), con un margine operativo lordo di 1.467 euro per azienda (-31,3% dal 2015). La tendenza contrasta con gli obiettivi di miglioramento della produttività e del reddito dei piccoli produttori fissati dall’Agenda 2030.</w:t>
      </w:r>
    </w:p>
    <w:p w14:paraId="70C6C034" w14:textId="77777777" w:rsidR="007358ED" w:rsidRPr="008C61BD" w:rsidRDefault="007358ED" w:rsidP="007801DB">
      <w:pPr>
        <w:autoSpaceDE w:val="0"/>
        <w:autoSpaceDN w:val="0"/>
        <w:adjustRightInd w:val="0"/>
        <w:spacing w:after="120" w:line="240" w:lineRule="auto"/>
        <w:jc w:val="both"/>
        <w:rPr>
          <w:rFonts w:ascii="Arial" w:hAnsi="Arial" w:cs="Arial"/>
          <w:bCs/>
          <w:sz w:val="20"/>
          <w:szCs w:val="20"/>
        </w:rPr>
      </w:pPr>
      <w:r w:rsidRPr="008C61BD">
        <w:rPr>
          <w:rFonts w:ascii="Arial" w:hAnsi="Arial" w:cs="Arial"/>
          <w:bCs/>
          <w:sz w:val="20"/>
          <w:szCs w:val="20"/>
        </w:rPr>
        <w:t>Continua a crescere la quota di superficie investita nell’</w:t>
      </w:r>
      <w:r w:rsidRPr="008C61BD">
        <w:rPr>
          <w:rFonts w:ascii="Arial" w:hAnsi="Arial" w:cs="Arial"/>
          <w:b/>
          <w:bCs/>
          <w:sz w:val="20"/>
          <w:szCs w:val="20"/>
        </w:rPr>
        <w:t>agricoltura biologica</w:t>
      </w:r>
      <w:r w:rsidRPr="008C61BD">
        <w:rPr>
          <w:rFonts w:ascii="Arial" w:hAnsi="Arial" w:cs="Arial"/>
          <w:bCs/>
          <w:sz w:val="20"/>
          <w:szCs w:val="20"/>
        </w:rPr>
        <w:t>, che nel 2020 raggiunge il 16,4% (+5,1% sull’anno precedente), collocando l’Italia al quarto posto fra i Paesi Ue27. Al tempo stesso, tuttavia, si registra un aumento delle quantità distribuite di fertilizzanti e fitofarmaci (rispettivamente, +15,4% e +11,3% sull’anno precedente).</w:t>
      </w:r>
    </w:p>
    <w:p w14:paraId="13C87152" w14:textId="77777777" w:rsidR="007358ED" w:rsidRDefault="007358ED" w:rsidP="007801DB">
      <w:pPr>
        <w:autoSpaceDE w:val="0"/>
        <w:autoSpaceDN w:val="0"/>
        <w:adjustRightInd w:val="0"/>
        <w:spacing w:after="120" w:line="240" w:lineRule="auto"/>
        <w:jc w:val="both"/>
        <w:rPr>
          <w:rFonts w:ascii="Arial" w:hAnsi="Arial" w:cs="Arial"/>
          <w:sz w:val="20"/>
          <w:szCs w:val="20"/>
        </w:rPr>
      </w:pPr>
      <w:r w:rsidRPr="008C61BD">
        <w:rPr>
          <w:rFonts w:ascii="Arial" w:hAnsi="Arial" w:cs="Arial"/>
          <w:bCs/>
          <w:sz w:val="20"/>
          <w:szCs w:val="20"/>
        </w:rPr>
        <w:t xml:space="preserve">L’elevato tasso di </w:t>
      </w:r>
      <w:r w:rsidRPr="008C61BD">
        <w:rPr>
          <w:rFonts w:ascii="Arial" w:hAnsi="Arial" w:cs="Arial"/>
          <w:b/>
          <w:bCs/>
          <w:sz w:val="20"/>
          <w:szCs w:val="20"/>
        </w:rPr>
        <w:t xml:space="preserve">irregolarità dell’occupazione </w:t>
      </w:r>
      <w:r w:rsidRPr="008C61BD">
        <w:rPr>
          <w:rFonts w:ascii="Arial" w:hAnsi="Arial" w:cs="Arial"/>
          <w:bCs/>
          <w:sz w:val="20"/>
          <w:szCs w:val="20"/>
        </w:rPr>
        <w:t>(24,1% nel 2019, +3,4 p.p. dal 2010) costituisce un evidente punto di debolezza nel profilo di sostenibilità dell’agricoltura italiana. Il fenomeno presenta diversi livelli di intensità sul territorio, ma ha un peso rilevante in tutte le ripartizioni: circa un lavoratore su sette nel Nord, più di uno su cinque nel Centro, quasi uno su tre nel Mezzogiorno.</w:t>
      </w:r>
    </w:p>
    <w:p w14:paraId="7D471032" w14:textId="77777777" w:rsidR="007358ED" w:rsidRPr="00DC04C0" w:rsidRDefault="007358ED" w:rsidP="007358ED">
      <w:pPr>
        <w:autoSpaceDE w:val="0"/>
        <w:autoSpaceDN w:val="0"/>
        <w:adjustRightInd w:val="0"/>
        <w:spacing w:after="120" w:line="240" w:lineRule="auto"/>
        <w:jc w:val="both"/>
        <w:rPr>
          <w:rFonts w:ascii="Arial" w:hAnsi="Arial" w:cs="Arial"/>
          <w:sz w:val="20"/>
          <w:szCs w:val="20"/>
        </w:rPr>
      </w:pPr>
      <w:r>
        <w:rPr>
          <w:rFonts w:cs="Helvetica"/>
          <w:b/>
          <w:bCs/>
          <w:noProof/>
          <w:sz w:val="24"/>
          <w:szCs w:val="24"/>
          <w:lang w:eastAsia="it-IT"/>
        </w:rPr>
        <w:drawing>
          <wp:anchor distT="0" distB="0" distL="114300" distR="114300" simplePos="0" relativeHeight="251659264" behindDoc="0" locked="0" layoutInCell="1" allowOverlap="1" wp14:anchorId="5CD0094E" wp14:editId="3401E3B5">
            <wp:simplePos x="0" y="0"/>
            <wp:positionH relativeFrom="column">
              <wp:posOffset>3810</wp:posOffset>
            </wp:positionH>
            <wp:positionV relativeFrom="paragraph">
              <wp:posOffset>226060</wp:posOffset>
            </wp:positionV>
            <wp:extent cx="863600" cy="863600"/>
            <wp:effectExtent l="0" t="0" r="0"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goal_I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63600" cy="863600"/>
                    </a:xfrm>
                    <a:prstGeom prst="rect">
                      <a:avLst/>
                    </a:prstGeom>
                  </pic:spPr>
                </pic:pic>
              </a:graphicData>
            </a:graphic>
            <wp14:sizeRelH relativeFrom="margin">
              <wp14:pctWidth>0</wp14:pctWidth>
            </wp14:sizeRelH>
            <wp14:sizeRelV relativeFrom="margin">
              <wp14:pctHeight>0</wp14:pctHeight>
            </wp14:sizeRelV>
          </wp:anchor>
        </w:drawing>
      </w:r>
    </w:p>
    <w:p w14:paraId="2A455736" w14:textId="77777777" w:rsidR="007358ED" w:rsidRPr="00DD7BC5" w:rsidRDefault="007358ED" w:rsidP="007358ED">
      <w:pPr>
        <w:autoSpaceDE w:val="0"/>
        <w:autoSpaceDN w:val="0"/>
        <w:adjustRightInd w:val="0"/>
        <w:spacing w:after="0" w:line="240" w:lineRule="auto"/>
        <w:jc w:val="both"/>
        <w:rPr>
          <w:rFonts w:cs="Helvetica"/>
          <w:b/>
          <w:bCs/>
          <w:sz w:val="24"/>
          <w:szCs w:val="24"/>
        </w:rPr>
      </w:pPr>
      <w:r w:rsidRPr="00DD7BC5">
        <w:rPr>
          <w:rFonts w:cs="Helvetica"/>
          <w:b/>
          <w:bCs/>
          <w:sz w:val="24"/>
          <w:szCs w:val="24"/>
        </w:rPr>
        <w:t xml:space="preserve">Goal 3 </w:t>
      </w:r>
    </w:p>
    <w:p w14:paraId="412F6EA3" w14:textId="77777777" w:rsidR="007358ED" w:rsidRPr="00DD7BC5" w:rsidRDefault="007358ED" w:rsidP="00D66411">
      <w:pPr>
        <w:autoSpaceDE w:val="0"/>
        <w:autoSpaceDN w:val="0"/>
        <w:adjustRightInd w:val="0"/>
        <w:spacing w:after="0" w:line="240" w:lineRule="auto"/>
        <w:jc w:val="both"/>
        <w:rPr>
          <w:rFonts w:cs="Helvetica"/>
          <w:b/>
          <w:bCs/>
          <w:sz w:val="24"/>
          <w:szCs w:val="24"/>
        </w:rPr>
      </w:pPr>
    </w:p>
    <w:p w14:paraId="53B429A6" w14:textId="6FC3421A" w:rsidR="007358ED" w:rsidRDefault="007358ED" w:rsidP="00E34F20">
      <w:pPr>
        <w:pStyle w:val="StilePaola"/>
        <w:spacing w:before="0" w:after="120" w:line="240" w:lineRule="auto"/>
        <w:rPr>
          <w:rFonts w:ascii="Arial" w:hAnsi="Arial" w:cs="Arial"/>
          <w:bCs/>
          <w:color w:val="auto"/>
          <w:sz w:val="20"/>
          <w:szCs w:val="20"/>
        </w:rPr>
      </w:pPr>
      <w:r w:rsidRPr="002938A0">
        <w:rPr>
          <w:rFonts w:ascii="Arial" w:hAnsi="Arial" w:cs="Arial"/>
          <w:b/>
          <w:bCs/>
          <w:color w:val="auto"/>
          <w:sz w:val="20"/>
          <w:szCs w:val="20"/>
        </w:rPr>
        <w:t>Nel 2021 i decessi per il complesso delle cause sono stati 709.035</w:t>
      </w:r>
      <w:r w:rsidRPr="002938A0">
        <w:rPr>
          <w:rFonts w:ascii="Arial" w:hAnsi="Arial" w:cs="Arial"/>
          <w:bCs/>
          <w:color w:val="auto"/>
          <w:sz w:val="20"/>
          <w:szCs w:val="20"/>
        </w:rPr>
        <w:t>, 37mila in meno rispetto</w:t>
      </w:r>
      <w:r>
        <w:rPr>
          <w:rFonts w:ascii="Arial" w:hAnsi="Arial" w:cs="Arial"/>
          <w:bCs/>
          <w:color w:val="auto"/>
          <w:sz w:val="20"/>
          <w:szCs w:val="20"/>
        </w:rPr>
        <w:t xml:space="preserve"> </w:t>
      </w:r>
      <w:r w:rsidRPr="002938A0">
        <w:rPr>
          <w:rFonts w:ascii="Arial" w:hAnsi="Arial" w:cs="Arial"/>
          <w:bCs/>
          <w:color w:val="auto"/>
          <w:sz w:val="20"/>
          <w:szCs w:val="20"/>
        </w:rPr>
        <w:t>al 2020 (-5,0%), ma 63mila in più rispetto alla media 2015-2019 (+9,8%).</w:t>
      </w:r>
      <w:r>
        <w:rPr>
          <w:rFonts w:ascii="Arial" w:hAnsi="Arial" w:cs="Arial"/>
          <w:bCs/>
          <w:color w:val="auto"/>
          <w:sz w:val="20"/>
          <w:szCs w:val="20"/>
        </w:rPr>
        <w:t xml:space="preserve"> </w:t>
      </w:r>
      <w:r w:rsidRPr="002938A0">
        <w:rPr>
          <w:rFonts w:ascii="Arial" w:hAnsi="Arial" w:cs="Arial"/>
          <w:bCs/>
          <w:color w:val="auto"/>
          <w:sz w:val="20"/>
          <w:szCs w:val="20"/>
        </w:rPr>
        <w:t xml:space="preserve">Gran parte dell’eccesso del 2021 è dovuto al </w:t>
      </w:r>
      <w:r w:rsidRPr="009C0A18">
        <w:rPr>
          <w:rFonts w:ascii="Arial" w:hAnsi="Arial" w:cs="Arial"/>
          <w:bCs/>
          <w:i/>
          <w:iCs/>
          <w:color w:val="auto"/>
          <w:sz w:val="20"/>
          <w:szCs w:val="20"/>
        </w:rPr>
        <w:t>C</w:t>
      </w:r>
      <w:r w:rsidR="00705DED" w:rsidRPr="009C0A18">
        <w:rPr>
          <w:rFonts w:ascii="Arial" w:hAnsi="Arial" w:cs="Arial"/>
          <w:bCs/>
          <w:i/>
          <w:iCs/>
          <w:color w:val="auto"/>
          <w:sz w:val="20"/>
          <w:szCs w:val="20"/>
        </w:rPr>
        <w:t>OVID</w:t>
      </w:r>
      <w:r w:rsidRPr="009C0A18">
        <w:rPr>
          <w:rFonts w:ascii="Arial" w:hAnsi="Arial" w:cs="Arial"/>
          <w:bCs/>
          <w:i/>
          <w:iCs/>
          <w:color w:val="auto"/>
          <w:sz w:val="20"/>
          <w:szCs w:val="20"/>
        </w:rPr>
        <w:t>-19</w:t>
      </w:r>
      <w:r w:rsidRPr="002938A0">
        <w:rPr>
          <w:rFonts w:ascii="Arial" w:hAnsi="Arial" w:cs="Arial"/>
          <w:bCs/>
          <w:color w:val="auto"/>
          <w:sz w:val="20"/>
          <w:szCs w:val="20"/>
        </w:rPr>
        <w:t xml:space="preserve"> ed è stato osservato nel primo</w:t>
      </w:r>
      <w:r>
        <w:rPr>
          <w:rFonts w:ascii="Arial" w:hAnsi="Arial" w:cs="Arial"/>
          <w:bCs/>
          <w:color w:val="auto"/>
          <w:sz w:val="20"/>
          <w:szCs w:val="20"/>
        </w:rPr>
        <w:t xml:space="preserve"> </w:t>
      </w:r>
      <w:r w:rsidRPr="002938A0">
        <w:rPr>
          <w:rFonts w:ascii="Arial" w:hAnsi="Arial" w:cs="Arial"/>
          <w:bCs/>
          <w:color w:val="auto"/>
          <w:sz w:val="20"/>
          <w:szCs w:val="20"/>
        </w:rPr>
        <w:t>quadrimestre, quando la copertura vaccinale era molto bassa. Se nel 2020 l’eccesso di</w:t>
      </w:r>
      <w:r>
        <w:rPr>
          <w:rFonts w:ascii="Arial" w:hAnsi="Arial" w:cs="Arial"/>
          <w:bCs/>
          <w:color w:val="auto"/>
          <w:sz w:val="20"/>
          <w:szCs w:val="20"/>
        </w:rPr>
        <w:t xml:space="preserve"> </w:t>
      </w:r>
      <w:r w:rsidRPr="002938A0">
        <w:rPr>
          <w:rFonts w:ascii="Arial" w:hAnsi="Arial" w:cs="Arial"/>
          <w:bCs/>
          <w:color w:val="auto"/>
          <w:sz w:val="20"/>
          <w:szCs w:val="20"/>
        </w:rPr>
        <w:t>mortalità era stato maggiore nel Nord, nel 2021 coinvolge l’intero territorio nazionale.</w:t>
      </w:r>
      <w:r>
        <w:rPr>
          <w:rFonts w:ascii="Arial" w:hAnsi="Arial" w:cs="Arial"/>
          <w:bCs/>
          <w:color w:val="auto"/>
          <w:sz w:val="20"/>
          <w:szCs w:val="20"/>
        </w:rPr>
        <w:t xml:space="preserve"> </w:t>
      </w:r>
    </w:p>
    <w:p w14:paraId="41AE9541" w14:textId="77777777" w:rsidR="007358ED" w:rsidRDefault="007358ED" w:rsidP="00E34F20">
      <w:pPr>
        <w:pStyle w:val="StilePaola"/>
        <w:spacing w:before="0" w:after="120" w:line="240" w:lineRule="auto"/>
        <w:rPr>
          <w:rFonts w:ascii="Arial" w:hAnsi="Arial" w:cs="Arial"/>
          <w:color w:val="auto"/>
          <w:sz w:val="20"/>
          <w:szCs w:val="20"/>
        </w:rPr>
      </w:pPr>
      <w:r w:rsidRPr="002938A0">
        <w:rPr>
          <w:rFonts w:ascii="Arial" w:hAnsi="Arial" w:cs="Arial"/>
          <w:color w:val="auto"/>
          <w:sz w:val="20"/>
          <w:szCs w:val="20"/>
        </w:rPr>
        <w:t xml:space="preserve">Il perdurare della emergenza sanitaria ha portato i </w:t>
      </w:r>
      <w:r w:rsidRPr="00282572">
        <w:rPr>
          <w:rFonts w:ascii="Arial" w:hAnsi="Arial" w:cs="Arial"/>
          <w:color w:val="auto"/>
          <w:sz w:val="20"/>
          <w:szCs w:val="20"/>
        </w:rPr>
        <w:t>cittadini a</w:t>
      </w:r>
      <w:r w:rsidRPr="002938A0">
        <w:rPr>
          <w:rFonts w:ascii="Arial" w:hAnsi="Arial" w:cs="Arial"/>
          <w:b/>
          <w:color w:val="auto"/>
          <w:sz w:val="20"/>
          <w:szCs w:val="20"/>
        </w:rPr>
        <w:t xml:space="preserve"> rinunciare a molte prestazioni sanitarie</w:t>
      </w:r>
      <w:r w:rsidRPr="002938A0">
        <w:rPr>
          <w:rFonts w:ascii="Arial" w:hAnsi="Arial" w:cs="Arial"/>
          <w:color w:val="auto"/>
          <w:sz w:val="20"/>
          <w:szCs w:val="20"/>
        </w:rPr>
        <w:t xml:space="preserve"> di cui avevano bisogno: sono l’11% coloro che hanno desistito per</w:t>
      </w:r>
      <w:r>
        <w:rPr>
          <w:rFonts w:ascii="Arial" w:hAnsi="Arial" w:cs="Arial"/>
          <w:color w:val="auto"/>
          <w:sz w:val="20"/>
          <w:szCs w:val="20"/>
        </w:rPr>
        <w:t xml:space="preserve"> </w:t>
      </w:r>
      <w:r w:rsidRPr="002938A0">
        <w:rPr>
          <w:rFonts w:ascii="Arial" w:hAnsi="Arial" w:cs="Arial"/>
          <w:color w:val="auto"/>
          <w:sz w:val="20"/>
          <w:szCs w:val="20"/>
        </w:rPr>
        <w:t>problemi economici o per difficoltà di accesso al servizio e per gli effetti della pandemia</w:t>
      </w:r>
      <w:r>
        <w:rPr>
          <w:rFonts w:ascii="Arial" w:hAnsi="Arial" w:cs="Arial"/>
          <w:color w:val="auto"/>
          <w:sz w:val="20"/>
          <w:szCs w:val="20"/>
        </w:rPr>
        <w:t xml:space="preserve"> </w:t>
      </w:r>
      <w:r w:rsidRPr="002938A0">
        <w:rPr>
          <w:rFonts w:ascii="Arial" w:hAnsi="Arial" w:cs="Arial"/>
          <w:color w:val="auto"/>
          <w:sz w:val="20"/>
          <w:szCs w:val="20"/>
        </w:rPr>
        <w:t>(erano il 9,6% nel 2020 e il 6,3% nel 2019).</w:t>
      </w:r>
    </w:p>
    <w:p w14:paraId="61A0B12F" w14:textId="3AAE9938" w:rsidR="007358ED" w:rsidRDefault="007358ED" w:rsidP="007801DB">
      <w:pPr>
        <w:pStyle w:val="StilePaola"/>
        <w:spacing w:before="0" w:after="120" w:line="240" w:lineRule="auto"/>
        <w:rPr>
          <w:rFonts w:ascii="Arial" w:hAnsi="Arial" w:cs="Arial"/>
          <w:color w:val="auto"/>
          <w:sz w:val="20"/>
          <w:szCs w:val="20"/>
        </w:rPr>
      </w:pPr>
      <w:r w:rsidRPr="002938A0">
        <w:rPr>
          <w:rFonts w:ascii="Arial" w:hAnsi="Arial" w:cs="Arial"/>
          <w:color w:val="auto"/>
          <w:sz w:val="20"/>
          <w:szCs w:val="20"/>
        </w:rPr>
        <w:t>Tra le prestazioni sanitarie andate perse nel 2020 ci sono le vaccinazioni pediatriche. Nel</w:t>
      </w:r>
      <w:r>
        <w:rPr>
          <w:rFonts w:ascii="Arial" w:hAnsi="Arial" w:cs="Arial"/>
          <w:color w:val="auto"/>
          <w:sz w:val="20"/>
          <w:szCs w:val="20"/>
        </w:rPr>
        <w:t xml:space="preserve"> </w:t>
      </w:r>
      <w:r w:rsidRPr="002938A0">
        <w:rPr>
          <w:rFonts w:ascii="Arial" w:hAnsi="Arial" w:cs="Arial"/>
          <w:color w:val="auto"/>
          <w:sz w:val="20"/>
          <w:szCs w:val="20"/>
        </w:rPr>
        <w:t xml:space="preserve">2020, per i bambini nati nel 2018, </w:t>
      </w:r>
      <w:r w:rsidRPr="002938A0">
        <w:rPr>
          <w:rFonts w:ascii="Arial" w:hAnsi="Arial" w:cs="Arial"/>
          <w:b/>
          <w:color w:val="auto"/>
          <w:sz w:val="20"/>
          <w:szCs w:val="20"/>
        </w:rPr>
        <w:t>la copertura vaccinale a 24 mesi per la poliomielite, il morbillo e la rosolia</w:t>
      </w:r>
      <w:r w:rsidRPr="002938A0">
        <w:rPr>
          <w:rFonts w:ascii="Arial" w:hAnsi="Arial" w:cs="Arial"/>
          <w:color w:val="auto"/>
          <w:sz w:val="20"/>
          <w:szCs w:val="20"/>
        </w:rPr>
        <w:t xml:space="preserve"> raggiunge rispettivamente il 94%, il 92,7% e il 92,2% (-1, -1,8 e</w:t>
      </w:r>
      <w:r>
        <w:rPr>
          <w:rFonts w:ascii="Arial" w:hAnsi="Arial" w:cs="Arial"/>
          <w:color w:val="auto"/>
          <w:sz w:val="20"/>
          <w:szCs w:val="20"/>
        </w:rPr>
        <w:t xml:space="preserve"> </w:t>
      </w:r>
      <w:r w:rsidRPr="002938A0">
        <w:rPr>
          <w:rFonts w:ascii="Arial" w:hAnsi="Arial" w:cs="Arial"/>
          <w:color w:val="auto"/>
          <w:sz w:val="20"/>
          <w:szCs w:val="20"/>
        </w:rPr>
        <w:t xml:space="preserve">-2 punti percentuali sul 2019) sotto il </w:t>
      </w:r>
      <w:r w:rsidRPr="00E34F20">
        <w:rPr>
          <w:rFonts w:ascii="Arial" w:hAnsi="Arial" w:cs="Arial"/>
          <w:i/>
          <w:iCs/>
          <w:color w:val="auto"/>
          <w:sz w:val="20"/>
          <w:szCs w:val="20"/>
        </w:rPr>
        <w:t>target</w:t>
      </w:r>
      <w:r w:rsidRPr="002938A0">
        <w:rPr>
          <w:rFonts w:ascii="Arial" w:hAnsi="Arial" w:cs="Arial"/>
          <w:color w:val="auto"/>
          <w:sz w:val="20"/>
          <w:szCs w:val="20"/>
        </w:rPr>
        <w:t xml:space="preserve"> del 95% raccomandato dall’Organizzazione</w:t>
      </w:r>
      <w:r>
        <w:rPr>
          <w:rFonts w:ascii="Arial" w:hAnsi="Arial" w:cs="Arial"/>
          <w:color w:val="auto"/>
          <w:sz w:val="20"/>
          <w:szCs w:val="20"/>
        </w:rPr>
        <w:t xml:space="preserve"> </w:t>
      </w:r>
      <w:r w:rsidRPr="002938A0">
        <w:rPr>
          <w:rFonts w:ascii="Arial" w:hAnsi="Arial" w:cs="Arial"/>
          <w:color w:val="auto"/>
          <w:sz w:val="20"/>
          <w:szCs w:val="20"/>
        </w:rPr>
        <w:t>Mondiale della Sanità.</w:t>
      </w:r>
    </w:p>
    <w:p w14:paraId="5738D372" w14:textId="77777777" w:rsidR="007801DB" w:rsidRDefault="007801DB" w:rsidP="00E34F20">
      <w:pPr>
        <w:pStyle w:val="StilePaola"/>
        <w:spacing w:before="0" w:after="120" w:line="240" w:lineRule="auto"/>
        <w:rPr>
          <w:rFonts w:ascii="Arial" w:hAnsi="Arial" w:cs="Arial"/>
          <w:color w:val="auto"/>
          <w:sz w:val="20"/>
          <w:szCs w:val="20"/>
        </w:rPr>
      </w:pPr>
    </w:p>
    <w:p w14:paraId="061D1234" w14:textId="77777777" w:rsidR="007358ED" w:rsidRPr="00DD7BC5" w:rsidRDefault="007358ED" w:rsidP="007358ED">
      <w:pPr>
        <w:autoSpaceDE w:val="0"/>
        <w:autoSpaceDN w:val="0"/>
        <w:adjustRightInd w:val="0"/>
        <w:spacing w:after="0" w:line="240" w:lineRule="auto"/>
        <w:jc w:val="both"/>
        <w:rPr>
          <w:rFonts w:cs="Helvetica"/>
          <w:b/>
          <w:bCs/>
          <w:sz w:val="24"/>
          <w:szCs w:val="24"/>
        </w:rPr>
      </w:pPr>
      <w:r>
        <w:rPr>
          <w:rFonts w:cs="Helvetica"/>
          <w:b/>
          <w:bCs/>
          <w:noProof/>
          <w:sz w:val="24"/>
          <w:szCs w:val="24"/>
          <w:lang w:eastAsia="it-IT"/>
        </w:rPr>
        <w:drawing>
          <wp:anchor distT="0" distB="0" distL="114300" distR="114300" simplePos="0" relativeHeight="251660288" behindDoc="0" locked="0" layoutInCell="1" allowOverlap="1" wp14:anchorId="47895F96" wp14:editId="7C24C63F">
            <wp:simplePos x="0" y="0"/>
            <wp:positionH relativeFrom="column">
              <wp:posOffset>3810</wp:posOffset>
            </wp:positionH>
            <wp:positionV relativeFrom="paragraph">
              <wp:posOffset>23495</wp:posOffset>
            </wp:positionV>
            <wp:extent cx="863600" cy="863600"/>
            <wp:effectExtent l="0" t="0" r="0" b="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goal_IT.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63600" cy="863600"/>
                    </a:xfrm>
                    <a:prstGeom prst="rect">
                      <a:avLst/>
                    </a:prstGeom>
                  </pic:spPr>
                </pic:pic>
              </a:graphicData>
            </a:graphic>
            <wp14:sizeRelH relativeFrom="margin">
              <wp14:pctWidth>0</wp14:pctWidth>
            </wp14:sizeRelH>
            <wp14:sizeRelV relativeFrom="margin">
              <wp14:pctHeight>0</wp14:pctHeight>
            </wp14:sizeRelV>
          </wp:anchor>
        </w:drawing>
      </w:r>
      <w:r w:rsidRPr="00DD7BC5">
        <w:rPr>
          <w:rFonts w:cs="Helvetica"/>
          <w:b/>
          <w:bCs/>
          <w:sz w:val="24"/>
          <w:szCs w:val="24"/>
        </w:rPr>
        <w:t xml:space="preserve">Goal 4 </w:t>
      </w:r>
    </w:p>
    <w:p w14:paraId="10A64F4C" w14:textId="77777777" w:rsidR="00D66411" w:rsidRPr="00DD7BC5" w:rsidRDefault="00D66411" w:rsidP="00D66411">
      <w:pPr>
        <w:autoSpaceDE w:val="0"/>
        <w:autoSpaceDN w:val="0"/>
        <w:adjustRightInd w:val="0"/>
        <w:spacing w:after="0" w:line="240" w:lineRule="auto"/>
        <w:jc w:val="both"/>
        <w:rPr>
          <w:rFonts w:cs="Helvetica"/>
          <w:b/>
          <w:bCs/>
          <w:sz w:val="24"/>
          <w:szCs w:val="24"/>
        </w:rPr>
      </w:pPr>
    </w:p>
    <w:p w14:paraId="2AB48E79" w14:textId="30CBE199" w:rsidR="007358ED" w:rsidRPr="002938A0" w:rsidRDefault="007358ED" w:rsidP="007358ED">
      <w:pPr>
        <w:pStyle w:val="StilePaola"/>
        <w:spacing w:after="120"/>
        <w:rPr>
          <w:rFonts w:ascii="Arial" w:hAnsi="Arial" w:cs="Arial"/>
          <w:color w:val="auto"/>
          <w:sz w:val="20"/>
          <w:szCs w:val="20"/>
        </w:rPr>
      </w:pPr>
      <w:r w:rsidRPr="002938A0">
        <w:rPr>
          <w:rFonts w:ascii="Arial" w:hAnsi="Arial" w:cs="Arial"/>
          <w:color w:val="auto"/>
          <w:sz w:val="20"/>
          <w:szCs w:val="20"/>
        </w:rPr>
        <w:t xml:space="preserve">I </w:t>
      </w:r>
      <w:r w:rsidRPr="009779E5">
        <w:rPr>
          <w:rFonts w:ascii="Arial" w:hAnsi="Arial" w:cs="Arial"/>
          <w:b/>
          <w:color w:val="auto"/>
          <w:sz w:val="20"/>
          <w:szCs w:val="20"/>
        </w:rPr>
        <w:t>posti disponibili nei servizi per la prima infanzia</w:t>
      </w:r>
      <w:r w:rsidRPr="002938A0">
        <w:rPr>
          <w:rFonts w:ascii="Arial" w:hAnsi="Arial" w:cs="Arial"/>
          <w:color w:val="auto"/>
          <w:sz w:val="20"/>
          <w:szCs w:val="20"/>
        </w:rPr>
        <w:t xml:space="preserve"> pubblici e privati sul territorio italiano,</w:t>
      </w:r>
      <w:r>
        <w:rPr>
          <w:rFonts w:ascii="Arial" w:hAnsi="Arial" w:cs="Arial"/>
          <w:color w:val="auto"/>
          <w:sz w:val="20"/>
          <w:szCs w:val="20"/>
        </w:rPr>
        <w:t xml:space="preserve"> </w:t>
      </w:r>
      <w:r w:rsidRPr="002938A0">
        <w:rPr>
          <w:rFonts w:ascii="Arial" w:hAnsi="Arial" w:cs="Arial"/>
          <w:color w:val="auto"/>
          <w:sz w:val="20"/>
          <w:szCs w:val="20"/>
        </w:rPr>
        <w:t>nell’anno educativo 2020/2021, hanno coperto il 27,2% dei posti per i bambini fino a 2 anni</w:t>
      </w:r>
      <w:r>
        <w:rPr>
          <w:rFonts w:ascii="Arial" w:hAnsi="Arial" w:cs="Arial"/>
          <w:color w:val="auto"/>
          <w:sz w:val="20"/>
          <w:szCs w:val="20"/>
        </w:rPr>
        <w:t xml:space="preserve"> </w:t>
      </w:r>
      <w:r w:rsidRPr="002938A0">
        <w:rPr>
          <w:rFonts w:ascii="Arial" w:hAnsi="Arial" w:cs="Arial"/>
          <w:color w:val="auto"/>
          <w:sz w:val="20"/>
          <w:szCs w:val="20"/>
        </w:rPr>
        <w:t>compiuti. Il divario tra Centro-</w:t>
      </w:r>
      <w:r w:rsidR="00C027D6">
        <w:rPr>
          <w:rFonts w:ascii="Arial" w:hAnsi="Arial" w:cs="Arial"/>
          <w:color w:val="auto"/>
          <w:sz w:val="20"/>
          <w:szCs w:val="20"/>
        </w:rPr>
        <w:t>n</w:t>
      </w:r>
      <w:r w:rsidRPr="002938A0">
        <w:rPr>
          <w:rFonts w:ascii="Arial" w:hAnsi="Arial" w:cs="Arial"/>
          <w:color w:val="auto"/>
          <w:sz w:val="20"/>
          <w:szCs w:val="20"/>
        </w:rPr>
        <w:t>ord e Mezzogiorno è ampio.</w:t>
      </w:r>
    </w:p>
    <w:p w14:paraId="6BCA7C97" w14:textId="77777777" w:rsidR="007358ED" w:rsidRPr="002938A0" w:rsidRDefault="007358ED" w:rsidP="00E34F20">
      <w:pPr>
        <w:pStyle w:val="StilePaola"/>
        <w:spacing w:before="0" w:after="120"/>
        <w:rPr>
          <w:rFonts w:ascii="Arial" w:hAnsi="Arial" w:cs="Arial"/>
          <w:color w:val="auto"/>
          <w:sz w:val="20"/>
          <w:szCs w:val="20"/>
        </w:rPr>
      </w:pPr>
      <w:r w:rsidRPr="002938A0">
        <w:rPr>
          <w:rFonts w:ascii="Arial" w:hAnsi="Arial" w:cs="Arial"/>
          <w:color w:val="auto"/>
          <w:sz w:val="20"/>
          <w:szCs w:val="20"/>
        </w:rPr>
        <w:t xml:space="preserve">Nel 2021, la quota dei </w:t>
      </w:r>
      <w:r w:rsidRPr="009779E5">
        <w:rPr>
          <w:rFonts w:ascii="Arial" w:hAnsi="Arial" w:cs="Arial"/>
          <w:b/>
          <w:color w:val="auto"/>
          <w:sz w:val="20"/>
          <w:szCs w:val="20"/>
        </w:rPr>
        <w:t>giovani 18-24enni che escono dal sistema di istruzione e formazione</w:t>
      </w:r>
      <w:r w:rsidRPr="002938A0">
        <w:rPr>
          <w:rFonts w:ascii="Arial" w:hAnsi="Arial" w:cs="Arial"/>
          <w:color w:val="auto"/>
          <w:sz w:val="20"/>
          <w:szCs w:val="20"/>
        </w:rPr>
        <w:t xml:space="preserve"> senza aver conseguito un diploma o una qualifica è pari al 12,7% in riduzione rispetto all’anno precedente (14,2%).</w:t>
      </w:r>
    </w:p>
    <w:p w14:paraId="521A9561" w14:textId="77777777" w:rsidR="007358ED" w:rsidRPr="002938A0" w:rsidRDefault="007358ED" w:rsidP="00E34F20">
      <w:pPr>
        <w:pStyle w:val="StilePaola"/>
        <w:spacing w:before="0" w:after="120"/>
        <w:rPr>
          <w:rFonts w:ascii="Arial" w:hAnsi="Arial" w:cs="Arial"/>
          <w:color w:val="auto"/>
          <w:sz w:val="20"/>
          <w:szCs w:val="20"/>
        </w:rPr>
      </w:pPr>
      <w:r w:rsidRPr="002938A0">
        <w:rPr>
          <w:rFonts w:ascii="Arial" w:hAnsi="Arial" w:cs="Arial"/>
          <w:color w:val="auto"/>
          <w:sz w:val="20"/>
          <w:szCs w:val="20"/>
        </w:rPr>
        <w:t>Nell’anno scolastico 2021/2022, la quota di ragazzi della V classe della scuola secondaria</w:t>
      </w:r>
      <w:r>
        <w:rPr>
          <w:rFonts w:ascii="Arial" w:hAnsi="Arial" w:cs="Arial"/>
          <w:color w:val="auto"/>
          <w:sz w:val="20"/>
          <w:szCs w:val="20"/>
        </w:rPr>
        <w:t xml:space="preserve"> </w:t>
      </w:r>
      <w:r w:rsidRPr="002938A0">
        <w:rPr>
          <w:rFonts w:ascii="Arial" w:hAnsi="Arial" w:cs="Arial"/>
          <w:color w:val="auto"/>
          <w:sz w:val="20"/>
          <w:szCs w:val="20"/>
        </w:rPr>
        <w:t xml:space="preserve">di secondo grado che </w:t>
      </w:r>
      <w:r w:rsidRPr="009779E5">
        <w:rPr>
          <w:rFonts w:ascii="Arial" w:hAnsi="Arial" w:cs="Arial"/>
          <w:b/>
          <w:color w:val="auto"/>
          <w:sz w:val="20"/>
          <w:szCs w:val="20"/>
        </w:rPr>
        <w:t>non hanno raggiunto un livello di competenza alfabetica sufficiente</w:t>
      </w:r>
      <w:r w:rsidRPr="002938A0">
        <w:rPr>
          <w:rFonts w:ascii="Arial" w:hAnsi="Arial" w:cs="Arial"/>
          <w:color w:val="auto"/>
          <w:sz w:val="20"/>
          <w:szCs w:val="20"/>
        </w:rPr>
        <w:t xml:space="preserve"> è stata del 48,5%, stabile rispetto all’anno precedente (48,2%) ma ancora</w:t>
      </w:r>
      <w:r>
        <w:rPr>
          <w:rFonts w:ascii="Arial" w:hAnsi="Arial" w:cs="Arial"/>
          <w:color w:val="auto"/>
          <w:sz w:val="20"/>
          <w:szCs w:val="20"/>
        </w:rPr>
        <w:t xml:space="preserve"> </w:t>
      </w:r>
      <w:r w:rsidRPr="002938A0">
        <w:rPr>
          <w:rFonts w:ascii="Arial" w:hAnsi="Arial" w:cs="Arial"/>
          <w:color w:val="auto"/>
          <w:sz w:val="20"/>
          <w:szCs w:val="20"/>
        </w:rPr>
        <w:t xml:space="preserve">distante dai risultati </w:t>
      </w:r>
      <w:proofErr w:type="spellStart"/>
      <w:r w:rsidRPr="002938A0">
        <w:rPr>
          <w:rFonts w:ascii="Arial" w:hAnsi="Arial" w:cs="Arial"/>
          <w:color w:val="auto"/>
          <w:sz w:val="20"/>
          <w:szCs w:val="20"/>
        </w:rPr>
        <w:t>pre</w:t>
      </w:r>
      <w:proofErr w:type="spellEnd"/>
      <w:r w:rsidRPr="002938A0">
        <w:rPr>
          <w:rFonts w:ascii="Arial" w:hAnsi="Arial" w:cs="Arial"/>
          <w:color w:val="auto"/>
          <w:sz w:val="20"/>
          <w:szCs w:val="20"/>
        </w:rPr>
        <w:t>-pandemia (35,7% nell’anno scolastico 2018/2019).</w:t>
      </w:r>
      <w:r>
        <w:rPr>
          <w:rFonts w:ascii="Arial" w:hAnsi="Arial" w:cs="Arial"/>
          <w:color w:val="auto"/>
          <w:sz w:val="20"/>
          <w:szCs w:val="20"/>
        </w:rPr>
        <w:t xml:space="preserve"> </w:t>
      </w:r>
      <w:r w:rsidRPr="002938A0">
        <w:rPr>
          <w:rFonts w:ascii="Arial" w:hAnsi="Arial" w:cs="Arial"/>
          <w:color w:val="auto"/>
          <w:sz w:val="20"/>
          <w:szCs w:val="20"/>
        </w:rPr>
        <w:t xml:space="preserve">Anche la </w:t>
      </w:r>
      <w:r w:rsidRPr="009779E5">
        <w:rPr>
          <w:rFonts w:ascii="Arial" w:hAnsi="Arial" w:cs="Arial"/>
          <w:b/>
          <w:color w:val="auto"/>
          <w:sz w:val="20"/>
          <w:szCs w:val="20"/>
        </w:rPr>
        <w:t>competenza matematica inadeguata</w:t>
      </w:r>
      <w:r w:rsidRPr="002938A0">
        <w:rPr>
          <w:rFonts w:ascii="Arial" w:hAnsi="Arial" w:cs="Arial"/>
          <w:color w:val="auto"/>
          <w:sz w:val="20"/>
          <w:szCs w:val="20"/>
        </w:rPr>
        <w:t xml:space="preserve"> è elevata, 49,9% in media in Italia, sui</w:t>
      </w:r>
      <w:r>
        <w:rPr>
          <w:rFonts w:ascii="Arial" w:hAnsi="Arial" w:cs="Arial"/>
          <w:color w:val="auto"/>
          <w:sz w:val="20"/>
          <w:szCs w:val="20"/>
        </w:rPr>
        <w:t xml:space="preserve"> </w:t>
      </w:r>
      <w:r w:rsidRPr="002938A0">
        <w:rPr>
          <w:rFonts w:ascii="Arial" w:hAnsi="Arial" w:cs="Arial"/>
          <w:color w:val="auto"/>
          <w:sz w:val="20"/>
          <w:szCs w:val="20"/>
        </w:rPr>
        <w:t>livelli dell’anno scolastico precedente (50,3%) ma lontana dai livelli raggiunti nell’anno</w:t>
      </w:r>
      <w:r>
        <w:rPr>
          <w:rFonts w:ascii="Arial" w:hAnsi="Arial" w:cs="Arial"/>
          <w:color w:val="auto"/>
          <w:sz w:val="20"/>
          <w:szCs w:val="20"/>
        </w:rPr>
        <w:t xml:space="preserve"> </w:t>
      </w:r>
      <w:r w:rsidRPr="002938A0">
        <w:rPr>
          <w:rFonts w:ascii="Arial" w:hAnsi="Arial" w:cs="Arial"/>
          <w:color w:val="auto"/>
          <w:sz w:val="20"/>
          <w:szCs w:val="20"/>
        </w:rPr>
        <w:t>scolastico precedente alla pandemia (39,3% nel 2018/2019</w:t>
      </w:r>
      <w:r>
        <w:rPr>
          <w:rFonts w:ascii="Arial" w:hAnsi="Arial" w:cs="Arial"/>
          <w:color w:val="auto"/>
          <w:sz w:val="20"/>
          <w:szCs w:val="20"/>
        </w:rPr>
        <w:t>).</w:t>
      </w:r>
    </w:p>
    <w:p w14:paraId="60E19310" w14:textId="0523DF19" w:rsidR="007358ED" w:rsidRDefault="007358ED" w:rsidP="00E34F20">
      <w:pPr>
        <w:pStyle w:val="StilePaola"/>
        <w:spacing w:before="0" w:after="120"/>
        <w:rPr>
          <w:rFonts w:ascii="Arial" w:hAnsi="Arial" w:cs="Arial"/>
          <w:color w:val="auto"/>
          <w:sz w:val="20"/>
          <w:szCs w:val="20"/>
        </w:rPr>
      </w:pPr>
      <w:r w:rsidRPr="002938A0">
        <w:rPr>
          <w:rFonts w:ascii="Arial" w:hAnsi="Arial" w:cs="Arial"/>
          <w:color w:val="auto"/>
          <w:sz w:val="20"/>
          <w:szCs w:val="20"/>
        </w:rPr>
        <w:t>Nel corso del 2021, il 9,9% degli individui di 25</w:t>
      </w:r>
      <w:r w:rsidR="00C027D6">
        <w:rPr>
          <w:rFonts w:ascii="Arial" w:hAnsi="Arial" w:cs="Arial"/>
          <w:color w:val="auto"/>
          <w:sz w:val="20"/>
          <w:szCs w:val="20"/>
        </w:rPr>
        <w:t>-</w:t>
      </w:r>
      <w:r w:rsidRPr="002938A0">
        <w:rPr>
          <w:rFonts w:ascii="Arial" w:hAnsi="Arial" w:cs="Arial"/>
          <w:color w:val="auto"/>
          <w:sz w:val="20"/>
          <w:szCs w:val="20"/>
        </w:rPr>
        <w:t xml:space="preserve">64 anni ha svolto </w:t>
      </w:r>
      <w:r w:rsidRPr="009779E5">
        <w:rPr>
          <w:rFonts w:ascii="Arial" w:hAnsi="Arial" w:cs="Arial"/>
          <w:b/>
          <w:color w:val="auto"/>
          <w:sz w:val="20"/>
          <w:szCs w:val="20"/>
        </w:rPr>
        <w:t>almeno una attività formativa</w:t>
      </w:r>
      <w:r w:rsidRPr="002938A0">
        <w:rPr>
          <w:rFonts w:ascii="Arial" w:hAnsi="Arial" w:cs="Arial"/>
          <w:color w:val="auto"/>
          <w:sz w:val="20"/>
          <w:szCs w:val="20"/>
        </w:rPr>
        <w:t xml:space="preserve"> nelle ultime 4 settimane (7,1% nel 2020 e 8,1% nel</w:t>
      </w:r>
      <w:r>
        <w:rPr>
          <w:rFonts w:ascii="Arial" w:hAnsi="Arial" w:cs="Arial"/>
          <w:color w:val="auto"/>
          <w:sz w:val="20"/>
          <w:szCs w:val="20"/>
        </w:rPr>
        <w:t xml:space="preserve"> </w:t>
      </w:r>
      <w:r w:rsidRPr="002938A0">
        <w:rPr>
          <w:rFonts w:ascii="Arial" w:hAnsi="Arial" w:cs="Arial"/>
          <w:color w:val="auto"/>
          <w:sz w:val="20"/>
          <w:szCs w:val="20"/>
        </w:rPr>
        <w:t>2019), recuperando ampiamente la perdita avvenuta nel 2020, a causa delle azioni di</w:t>
      </w:r>
      <w:r>
        <w:rPr>
          <w:rFonts w:ascii="Arial" w:hAnsi="Arial" w:cs="Arial"/>
          <w:color w:val="auto"/>
          <w:sz w:val="20"/>
          <w:szCs w:val="20"/>
        </w:rPr>
        <w:t xml:space="preserve"> </w:t>
      </w:r>
      <w:r w:rsidRPr="002938A0">
        <w:rPr>
          <w:rFonts w:ascii="Arial" w:hAnsi="Arial" w:cs="Arial"/>
          <w:color w:val="auto"/>
          <w:sz w:val="20"/>
          <w:szCs w:val="20"/>
        </w:rPr>
        <w:t xml:space="preserve">contrasto alla diffusione del </w:t>
      </w:r>
      <w:r w:rsidRPr="009C0A18">
        <w:rPr>
          <w:rFonts w:ascii="Arial" w:hAnsi="Arial" w:cs="Arial"/>
          <w:i/>
          <w:iCs/>
          <w:color w:val="auto"/>
          <w:sz w:val="20"/>
          <w:szCs w:val="20"/>
        </w:rPr>
        <w:t>COVID-19</w:t>
      </w:r>
      <w:r w:rsidRPr="002938A0">
        <w:rPr>
          <w:rFonts w:ascii="Arial" w:hAnsi="Arial" w:cs="Arial"/>
          <w:color w:val="auto"/>
          <w:sz w:val="20"/>
          <w:szCs w:val="20"/>
        </w:rPr>
        <w:t>. La partecipazione aumenta in tutte le regioni.</w:t>
      </w:r>
    </w:p>
    <w:p w14:paraId="48D3AB12" w14:textId="77777777" w:rsidR="007358ED" w:rsidRDefault="007358ED" w:rsidP="007358ED">
      <w:pPr>
        <w:autoSpaceDE w:val="0"/>
        <w:autoSpaceDN w:val="0"/>
        <w:adjustRightInd w:val="0"/>
        <w:spacing w:after="120" w:line="240" w:lineRule="auto"/>
        <w:jc w:val="both"/>
        <w:rPr>
          <w:rFonts w:ascii="Arial" w:hAnsi="Arial" w:cs="Arial"/>
          <w:sz w:val="20"/>
          <w:szCs w:val="20"/>
        </w:rPr>
      </w:pPr>
    </w:p>
    <w:p w14:paraId="7B56BEB5" w14:textId="77777777" w:rsidR="007358ED" w:rsidRPr="00DD7BC5" w:rsidRDefault="007358ED" w:rsidP="007358ED">
      <w:pPr>
        <w:autoSpaceDE w:val="0"/>
        <w:autoSpaceDN w:val="0"/>
        <w:adjustRightInd w:val="0"/>
        <w:spacing w:after="120" w:line="240" w:lineRule="auto"/>
        <w:jc w:val="both"/>
        <w:rPr>
          <w:rFonts w:cs="Helvetica"/>
          <w:b/>
          <w:sz w:val="24"/>
          <w:szCs w:val="24"/>
        </w:rPr>
      </w:pPr>
      <w:r>
        <w:rPr>
          <w:rFonts w:cs="Helvetica"/>
          <w:b/>
          <w:bCs/>
          <w:noProof/>
          <w:sz w:val="24"/>
          <w:szCs w:val="24"/>
          <w:lang w:eastAsia="it-IT"/>
        </w:rPr>
        <w:lastRenderedPageBreak/>
        <w:drawing>
          <wp:anchor distT="0" distB="0" distL="114300" distR="114300" simplePos="0" relativeHeight="251675648" behindDoc="0" locked="0" layoutInCell="1" allowOverlap="1" wp14:anchorId="29D6470A" wp14:editId="1C7010B1">
            <wp:simplePos x="0" y="0"/>
            <wp:positionH relativeFrom="column">
              <wp:posOffset>3810</wp:posOffset>
            </wp:positionH>
            <wp:positionV relativeFrom="paragraph">
              <wp:posOffset>17780</wp:posOffset>
            </wp:positionV>
            <wp:extent cx="864000" cy="864000"/>
            <wp:effectExtent l="0" t="0" r="0" b="0"/>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goal_IT.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64000" cy="864000"/>
                    </a:xfrm>
                    <a:prstGeom prst="rect">
                      <a:avLst/>
                    </a:prstGeom>
                  </pic:spPr>
                </pic:pic>
              </a:graphicData>
            </a:graphic>
            <wp14:sizeRelH relativeFrom="page">
              <wp14:pctWidth>0</wp14:pctWidth>
            </wp14:sizeRelH>
            <wp14:sizeRelV relativeFrom="page">
              <wp14:pctHeight>0</wp14:pctHeight>
            </wp14:sizeRelV>
          </wp:anchor>
        </w:drawing>
      </w:r>
      <w:r w:rsidRPr="00DD7BC5">
        <w:rPr>
          <w:rFonts w:cs="Helvetica"/>
          <w:b/>
          <w:sz w:val="24"/>
          <w:szCs w:val="24"/>
        </w:rPr>
        <w:t>Goal 5</w:t>
      </w:r>
    </w:p>
    <w:p w14:paraId="6A5D14FC" w14:textId="77777777" w:rsidR="00607606" w:rsidRDefault="00607606" w:rsidP="00607606">
      <w:pPr>
        <w:autoSpaceDE w:val="0"/>
        <w:autoSpaceDN w:val="0"/>
        <w:adjustRightInd w:val="0"/>
        <w:spacing w:after="0" w:line="240" w:lineRule="auto"/>
        <w:jc w:val="both"/>
        <w:rPr>
          <w:rFonts w:cs="Helvetica"/>
          <w:b/>
          <w:bCs/>
          <w:sz w:val="24"/>
          <w:szCs w:val="24"/>
        </w:rPr>
      </w:pPr>
    </w:p>
    <w:p w14:paraId="0EBD70D4" w14:textId="4C326C91" w:rsidR="007358ED" w:rsidRPr="00B4473A" w:rsidRDefault="007358ED" w:rsidP="00D66411">
      <w:pPr>
        <w:pStyle w:val="StilePaola"/>
        <w:spacing w:before="0" w:after="120" w:line="240" w:lineRule="auto"/>
        <w:rPr>
          <w:rFonts w:ascii="Arial" w:hAnsi="Arial" w:cs="Arial"/>
          <w:bCs/>
          <w:color w:val="auto"/>
          <w:sz w:val="20"/>
          <w:szCs w:val="20"/>
        </w:rPr>
      </w:pPr>
      <w:r w:rsidRPr="00B4473A">
        <w:rPr>
          <w:rFonts w:ascii="Arial" w:hAnsi="Arial" w:cs="Arial"/>
          <w:color w:val="auto"/>
          <w:sz w:val="20"/>
          <w:szCs w:val="20"/>
        </w:rPr>
        <w:t>N</w:t>
      </w:r>
      <w:r w:rsidRPr="00B4473A">
        <w:rPr>
          <w:rFonts w:ascii="Arial" w:hAnsi="Arial" w:cs="Arial"/>
          <w:bCs/>
          <w:color w:val="auto"/>
          <w:sz w:val="20"/>
          <w:szCs w:val="20"/>
        </w:rPr>
        <w:t>el 202</w:t>
      </w:r>
      <w:r>
        <w:rPr>
          <w:rFonts w:ascii="Arial" w:hAnsi="Arial" w:cs="Arial"/>
          <w:bCs/>
          <w:color w:val="auto"/>
          <w:sz w:val="20"/>
          <w:szCs w:val="20"/>
        </w:rPr>
        <w:t>1,</w:t>
      </w:r>
      <w:r w:rsidRPr="00B4473A">
        <w:rPr>
          <w:rFonts w:ascii="Arial" w:hAnsi="Arial" w:cs="Arial"/>
          <w:bCs/>
          <w:color w:val="auto"/>
          <w:sz w:val="20"/>
          <w:szCs w:val="20"/>
        </w:rPr>
        <w:t xml:space="preserve"> </w:t>
      </w:r>
      <w:r>
        <w:rPr>
          <w:rFonts w:ascii="Arial" w:hAnsi="Arial" w:cs="Arial"/>
          <w:bCs/>
          <w:color w:val="auto"/>
          <w:sz w:val="20"/>
          <w:szCs w:val="20"/>
        </w:rPr>
        <w:t>51,9</w:t>
      </w:r>
      <w:r w:rsidRPr="00B4473A">
        <w:rPr>
          <w:rFonts w:ascii="Arial" w:hAnsi="Arial" w:cs="Arial"/>
          <w:bCs/>
          <w:color w:val="auto"/>
          <w:sz w:val="20"/>
          <w:szCs w:val="20"/>
        </w:rPr>
        <w:t xml:space="preserve"> donne ogni 100</w:t>
      </w:r>
      <w:r>
        <w:rPr>
          <w:rFonts w:ascii="Arial" w:hAnsi="Arial" w:cs="Arial"/>
          <w:bCs/>
          <w:color w:val="auto"/>
          <w:sz w:val="20"/>
          <w:szCs w:val="20"/>
        </w:rPr>
        <w:t xml:space="preserve">mila </w:t>
      </w:r>
      <w:r w:rsidRPr="00B4473A">
        <w:rPr>
          <w:rFonts w:ascii="Arial" w:hAnsi="Arial" w:cs="Arial"/>
          <w:bCs/>
          <w:color w:val="auto"/>
          <w:sz w:val="20"/>
          <w:szCs w:val="20"/>
        </w:rPr>
        <w:t xml:space="preserve">si sono rivolte al </w:t>
      </w:r>
      <w:r w:rsidRPr="00B4473A">
        <w:rPr>
          <w:rFonts w:ascii="Arial" w:hAnsi="Arial" w:cs="Arial"/>
          <w:b/>
          <w:bCs/>
          <w:color w:val="auto"/>
          <w:sz w:val="20"/>
          <w:szCs w:val="20"/>
        </w:rPr>
        <w:t>numero verde</w:t>
      </w:r>
      <w:r w:rsidRPr="00B4473A">
        <w:rPr>
          <w:rFonts w:ascii="Arial" w:hAnsi="Arial" w:cs="Arial"/>
          <w:bCs/>
          <w:color w:val="auto"/>
          <w:sz w:val="20"/>
          <w:szCs w:val="20"/>
        </w:rPr>
        <w:t xml:space="preserve"> </w:t>
      </w:r>
      <w:r w:rsidRPr="00B4473A">
        <w:rPr>
          <w:rFonts w:ascii="Arial" w:hAnsi="Arial" w:cs="Arial"/>
          <w:b/>
          <w:bCs/>
          <w:color w:val="auto"/>
          <w:sz w:val="20"/>
          <w:szCs w:val="20"/>
        </w:rPr>
        <w:t>1522</w:t>
      </w:r>
      <w:r w:rsidRPr="00B4473A">
        <w:rPr>
          <w:rFonts w:ascii="Arial" w:hAnsi="Arial" w:cs="Arial"/>
          <w:bCs/>
          <w:color w:val="auto"/>
          <w:sz w:val="20"/>
          <w:szCs w:val="20"/>
        </w:rPr>
        <w:t xml:space="preserve"> perché vittime di violenza</w:t>
      </w:r>
      <w:r>
        <w:rPr>
          <w:rFonts w:ascii="Arial" w:hAnsi="Arial" w:cs="Arial"/>
          <w:bCs/>
          <w:color w:val="auto"/>
          <w:sz w:val="20"/>
          <w:szCs w:val="20"/>
        </w:rPr>
        <w:t>. L’aumento è generalizzato su tutto il territorio</w:t>
      </w:r>
      <w:r w:rsidRPr="00B4473A">
        <w:rPr>
          <w:rFonts w:ascii="Arial" w:hAnsi="Arial" w:cs="Arial"/>
          <w:bCs/>
          <w:color w:val="auto"/>
          <w:sz w:val="20"/>
          <w:szCs w:val="20"/>
        </w:rPr>
        <w:t xml:space="preserve"> </w:t>
      </w:r>
      <w:r>
        <w:rPr>
          <w:rFonts w:ascii="Arial" w:hAnsi="Arial" w:cs="Arial"/>
          <w:bCs/>
          <w:color w:val="auto"/>
          <w:sz w:val="20"/>
          <w:szCs w:val="20"/>
        </w:rPr>
        <w:t>e cresce di oltre due punti percentuali rispetto al 2020.</w:t>
      </w:r>
    </w:p>
    <w:p w14:paraId="149E30D0" w14:textId="77777777" w:rsidR="007358ED" w:rsidRDefault="007358ED" w:rsidP="00D66411">
      <w:pPr>
        <w:pStyle w:val="StilePaola"/>
        <w:spacing w:before="0" w:after="120" w:line="240" w:lineRule="auto"/>
        <w:rPr>
          <w:rStyle w:val="Enfasigrassetto"/>
        </w:rPr>
      </w:pPr>
      <w:r w:rsidRPr="00B4473A">
        <w:rPr>
          <w:rFonts w:ascii="Arial" w:hAnsi="Arial" w:cs="Arial"/>
          <w:bCs/>
          <w:color w:val="auto"/>
          <w:sz w:val="20"/>
          <w:szCs w:val="20"/>
        </w:rPr>
        <w:t>Nel 20</w:t>
      </w:r>
      <w:r>
        <w:rPr>
          <w:rFonts w:ascii="Arial" w:hAnsi="Arial" w:cs="Arial"/>
          <w:bCs/>
          <w:color w:val="auto"/>
          <w:sz w:val="20"/>
          <w:szCs w:val="20"/>
        </w:rPr>
        <w:t>20</w:t>
      </w:r>
      <w:r w:rsidRPr="00B4473A">
        <w:rPr>
          <w:rFonts w:ascii="Arial" w:hAnsi="Arial" w:cs="Arial"/>
          <w:bCs/>
          <w:color w:val="auto"/>
          <w:sz w:val="20"/>
          <w:szCs w:val="20"/>
        </w:rPr>
        <w:t xml:space="preserve"> sono stati commessi 11</w:t>
      </w:r>
      <w:r>
        <w:rPr>
          <w:rFonts w:ascii="Arial" w:hAnsi="Arial" w:cs="Arial"/>
          <w:bCs/>
          <w:color w:val="auto"/>
          <w:sz w:val="20"/>
          <w:szCs w:val="20"/>
        </w:rPr>
        <w:t>6</w:t>
      </w:r>
      <w:r w:rsidRPr="00B4473A">
        <w:rPr>
          <w:rFonts w:ascii="Arial" w:hAnsi="Arial" w:cs="Arial"/>
          <w:bCs/>
          <w:color w:val="auto"/>
          <w:sz w:val="20"/>
          <w:szCs w:val="20"/>
        </w:rPr>
        <w:t xml:space="preserve"> </w:t>
      </w:r>
      <w:r w:rsidRPr="00B4473A">
        <w:rPr>
          <w:rFonts w:ascii="Arial" w:hAnsi="Arial" w:cs="Arial"/>
          <w:b/>
          <w:bCs/>
          <w:color w:val="auto"/>
          <w:sz w:val="20"/>
          <w:szCs w:val="20"/>
        </w:rPr>
        <w:t>omicidi di donne</w:t>
      </w:r>
      <w:r w:rsidRPr="00B4473A">
        <w:rPr>
          <w:rFonts w:ascii="Arial" w:hAnsi="Arial" w:cs="Arial"/>
          <w:bCs/>
          <w:color w:val="auto"/>
          <w:sz w:val="20"/>
          <w:szCs w:val="20"/>
        </w:rPr>
        <w:t xml:space="preserve"> (1</w:t>
      </w:r>
      <w:r>
        <w:rPr>
          <w:rFonts w:ascii="Arial" w:hAnsi="Arial" w:cs="Arial"/>
          <w:bCs/>
          <w:color w:val="auto"/>
          <w:sz w:val="20"/>
          <w:szCs w:val="20"/>
        </w:rPr>
        <w:t>11</w:t>
      </w:r>
      <w:r w:rsidRPr="00B4473A">
        <w:rPr>
          <w:rFonts w:ascii="Arial" w:hAnsi="Arial" w:cs="Arial"/>
          <w:bCs/>
          <w:color w:val="auto"/>
          <w:sz w:val="20"/>
          <w:szCs w:val="20"/>
        </w:rPr>
        <w:t xml:space="preserve"> nel 201</w:t>
      </w:r>
      <w:r>
        <w:rPr>
          <w:rFonts w:ascii="Arial" w:hAnsi="Arial" w:cs="Arial"/>
          <w:bCs/>
          <w:color w:val="auto"/>
          <w:sz w:val="20"/>
          <w:szCs w:val="20"/>
        </w:rPr>
        <w:t>9</w:t>
      </w:r>
      <w:r w:rsidRPr="00B4473A">
        <w:rPr>
          <w:rFonts w:ascii="Arial" w:hAnsi="Arial" w:cs="Arial"/>
          <w:bCs/>
          <w:color w:val="auto"/>
          <w:sz w:val="20"/>
          <w:szCs w:val="20"/>
        </w:rPr>
        <w:t xml:space="preserve">). </w:t>
      </w:r>
      <w:r>
        <w:rPr>
          <w:rFonts w:ascii="Arial" w:hAnsi="Arial" w:cs="Arial"/>
          <w:bCs/>
          <w:color w:val="auto"/>
          <w:sz w:val="20"/>
          <w:szCs w:val="20"/>
        </w:rPr>
        <w:t>Nell’</w:t>
      </w:r>
      <w:r w:rsidRPr="00B4473A">
        <w:rPr>
          <w:rFonts w:ascii="Arial" w:hAnsi="Arial" w:cs="Arial"/>
          <w:bCs/>
          <w:color w:val="auto"/>
          <w:sz w:val="20"/>
          <w:szCs w:val="20"/>
        </w:rPr>
        <w:t>8</w:t>
      </w:r>
      <w:r>
        <w:rPr>
          <w:rFonts w:ascii="Arial" w:hAnsi="Arial" w:cs="Arial"/>
          <w:bCs/>
          <w:color w:val="auto"/>
          <w:sz w:val="20"/>
          <w:szCs w:val="20"/>
        </w:rPr>
        <w:t>3,6</w:t>
      </w:r>
      <w:r w:rsidRPr="00B4473A">
        <w:rPr>
          <w:rFonts w:ascii="Arial" w:hAnsi="Arial" w:cs="Arial"/>
          <w:bCs/>
          <w:color w:val="auto"/>
          <w:sz w:val="20"/>
          <w:szCs w:val="20"/>
        </w:rPr>
        <w:t xml:space="preserve">% </w:t>
      </w:r>
      <w:r>
        <w:rPr>
          <w:rFonts w:ascii="Arial" w:hAnsi="Arial" w:cs="Arial"/>
          <w:bCs/>
          <w:color w:val="auto"/>
          <w:sz w:val="20"/>
          <w:szCs w:val="20"/>
        </w:rPr>
        <w:t>dei casi l’omicidio è avvenuto</w:t>
      </w:r>
      <w:r w:rsidRPr="00B4473A">
        <w:rPr>
          <w:rFonts w:ascii="Arial" w:hAnsi="Arial" w:cs="Arial"/>
          <w:bCs/>
          <w:color w:val="auto"/>
          <w:sz w:val="20"/>
          <w:szCs w:val="20"/>
        </w:rPr>
        <w:t xml:space="preserve"> in ambito domestico (da partner, da ex partner o altro parente).</w:t>
      </w:r>
      <w:r>
        <w:rPr>
          <w:rStyle w:val="Enfasigrassetto"/>
        </w:rPr>
        <w:t xml:space="preserve"> </w:t>
      </w:r>
    </w:p>
    <w:p w14:paraId="13C34D18" w14:textId="457BD024" w:rsidR="007358ED" w:rsidRPr="00B4473A" w:rsidRDefault="007358ED" w:rsidP="00D66411">
      <w:pPr>
        <w:pStyle w:val="StilePaola"/>
        <w:spacing w:before="0" w:after="120" w:line="240" w:lineRule="auto"/>
        <w:rPr>
          <w:rFonts w:ascii="Arial" w:hAnsi="Arial" w:cs="Arial"/>
          <w:bCs/>
          <w:color w:val="auto"/>
          <w:sz w:val="20"/>
          <w:szCs w:val="20"/>
        </w:rPr>
      </w:pPr>
      <w:r w:rsidRPr="00B4473A">
        <w:rPr>
          <w:rFonts w:ascii="Arial" w:hAnsi="Arial" w:cs="Arial"/>
          <w:color w:val="auto"/>
          <w:sz w:val="20"/>
          <w:szCs w:val="20"/>
        </w:rPr>
        <w:t>Nel 20</w:t>
      </w:r>
      <w:r>
        <w:rPr>
          <w:rFonts w:ascii="Arial" w:hAnsi="Arial" w:cs="Arial"/>
          <w:color w:val="auto"/>
          <w:sz w:val="20"/>
          <w:szCs w:val="20"/>
        </w:rPr>
        <w:t>20</w:t>
      </w:r>
      <w:r w:rsidRPr="00B4473A">
        <w:rPr>
          <w:rFonts w:ascii="Arial" w:hAnsi="Arial" w:cs="Arial"/>
          <w:color w:val="auto"/>
          <w:sz w:val="20"/>
          <w:szCs w:val="20"/>
        </w:rPr>
        <w:t xml:space="preserve"> risultano attivi 2</w:t>
      </w:r>
      <w:r>
        <w:rPr>
          <w:rFonts w:ascii="Arial" w:hAnsi="Arial" w:cs="Arial"/>
          <w:color w:val="auto"/>
          <w:sz w:val="20"/>
          <w:szCs w:val="20"/>
        </w:rPr>
        <w:t>63</w:t>
      </w:r>
      <w:r w:rsidRPr="00B4473A">
        <w:rPr>
          <w:rFonts w:ascii="Arial" w:hAnsi="Arial" w:cs="Arial"/>
          <w:color w:val="auto"/>
          <w:sz w:val="20"/>
          <w:szCs w:val="20"/>
        </w:rPr>
        <w:t xml:space="preserve"> </w:t>
      </w:r>
      <w:r w:rsidRPr="00B4473A">
        <w:rPr>
          <w:rFonts w:ascii="Arial" w:hAnsi="Arial" w:cs="Arial"/>
          <w:b/>
          <w:color w:val="auto"/>
          <w:sz w:val="20"/>
          <w:szCs w:val="20"/>
        </w:rPr>
        <w:t>Centri Anti Violenza</w:t>
      </w:r>
      <w:r w:rsidRPr="00B4473A">
        <w:rPr>
          <w:rFonts w:ascii="Arial" w:hAnsi="Arial" w:cs="Arial"/>
          <w:color w:val="auto"/>
          <w:sz w:val="20"/>
          <w:szCs w:val="20"/>
        </w:rPr>
        <w:t xml:space="preserve"> (</w:t>
      </w:r>
      <w:r>
        <w:rPr>
          <w:rFonts w:ascii="Arial" w:hAnsi="Arial" w:cs="Arial"/>
          <w:color w:val="auto"/>
          <w:sz w:val="20"/>
          <w:szCs w:val="20"/>
        </w:rPr>
        <w:t>erano 281 nel</w:t>
      </w:r>
      <w:r w:rsidRPr="00B4473A">
        <w:rPr>
          <w:rFonts w:ascii="Arial" w:hAnsi="Arial" w:cs="Arial"/>
          <w:color w:val="auto"/>
          <w:sz w:val="20"/>
          <w:szCs w:val="20"/>
        </w:rPr>
        <w:t xml:space="preserve"> 201</w:t>
      </w:r>
      <w:r>
        <w:rPr>
          <w:rFonts w:ascii="Arial" w:hAnsi="Arial" w:cs="Arial"/>
          <w:color w:val="auto"/>
          <w:sz w:val="20"/>
          <w:szCs w:val="20"/>
        </w:rPr>
        <w:t>9</w:t>
      </w:r>
      <w:r w:rsidRPr="00B4473A">
        <w:rPr>
          <w:rFonts w:ascii="Arial" w:hAnsi="Arial" w:cs="Arial"/>
          <w:color w:val="auto"/>
          <w:sz w:val="20"/>
          <w:szCs w:val="20"/>
        </w:rPr>
        <w:t>) e 2</w:t>
      </w:r>
      <w:r>
        <w:rPr>
          <w:rFonts w:ascii="Arial" w:hAnsi="Arial" w:cs="Arial"/>
          <w:color w:val="auto"/>
          <w:sz w:val="20"/>
          <w:szCs w:val="20"/>
        </w:rPr>
        <w:t>42</w:t>
      </w:r>
      <w:r w:rsidRPr="00B4473A">
        <w:rPr>
          <w:rFonts w:ascii="Arial" w:hAnsi="Arial" w:cs="Arial"/>
          <w:color w:val="auto"/>
          <w:sz w:val="20"/>
          <w:szCs w:val="20"/>
        </w:rPr>
        <w:t xml:space="preserve"> </w:t>
      </w:r>
      <w:r w:rsidRPr="00B4473A">
        <w:rPr>
          <w:rFonts w:ascii="Arial" w:hAnsi="Arial" w:cs="Arial"/>
          <w:b/>
          <w:color w:val="auto"/>
          <w:sz w:val="20"/>
          <w:szCs w:val="20"/>
        </w:rPr>
        <w:t>Case Rifugio</w:t>
      </w:r>
      <w:r>
        <w:rPr>
          <w:rFonts w:ascii="Arial" w:hAnsi="Arial" w:cs="Arial"/>
          <w:b/>
          <w:color w:val="auto"/>
          <w:sz w:val="20"/>
          <w:szCs w:val="20"/>
        </w:rPr>
        <w:t xml:space="preserve"> </w:t>
      </w:r>
      <w:r w:rsidRPr="000A4440">
        <w:rPr>
          <w:rFonts w:ascii="Arial" w:hAnsi="Arial" w:cs="Arial"/>
          <w:color w:val="auto"/>
          <w:sz w:val="20"/>
          <w:szCs w:val="20"/>
        </w:rPr>
        <w:t>(257 nel 2019)</w:t>
      </w:r>
      <w:r w:rsidRPr="00B4473A">
        <w:rPr>
          <w:rFonts w:ascii="Arial" w:hAnsi="Arial" w:cs="Arial"/>
          <w:color w:val="auto"/>
          <w:sz w:val="20"/>
          <w:szCs w:val="20"/>
        </w:rPr>
        <w:t xml:space="preserve">. Il tasso medio di copertura nazionale è di </w:t>
      </w:r>
      <w:r>
        <w:rPr>
          <w:rFonts w:ascii="Arial" w:hAnsi="Arial" w:cs="Arial"/>
          <w:color w:val="auto"/>
          <w:sz w:val="20"/>
          <w:szCs w:val="20"/>
        </w:rPr>
        <w:t>1,87</w:t>
      </w:r>
      <w:r w:rsidRPr="00B4473A">
        <w:rPr>
          <w:rFonts w:ascii="Arial" w:hAnsi="Arial" w:cs="Arial"/>
          <w:color w:val="auto"/>
          <w:sz w:val="20"/>
          <w:szCs w:val="20"/>
        </w:rPr>
        <w:t xml:space="preserve"> servizi offerti ogni 100</w:t>
      </w:r>
      <w:r>
        <w:rPr>
          <w:rFonts w:ascii="Arial" w:hAnsi="Arial" w:cs="Arial"/>
          <w:color w:val="auto"/>
          <w:sz w:val="20"/>
          <w:szCs w:val="20"/>
        </w:rPr>
        <w:t>mila</w:t>
      </w:r>
      <w:r w:rsidRPr="00B4473A">
        <w:rPr>
          <w:rFonts w:ascii="Arial" w:hAnsi="Arial" w:cs="Arial"/>
          <w:color w:val="auto"/>
          <w:sz w:val="20"/>
          <w:szCs w:val="20"/>
        </w:rPr>
        <w:t xml:space="preserve"> donne di età superiore ai 14 anni</w:t>
      </w:r>
      <w:r>
        <w:rPr>
          <w:rFonts w:ascii="Arial" w:hAnsi="Arial" w:cs="Arial"/>
          <w:color w:val="auto"/>
          <w:sz w:val="20"/>
          <w:szCs w:val="20"/>
        </w:rPr>
        <w:t xml:space="preserve"> (1,98 nel 2019)</w:t>
      </w:r>
      <w:r w:rsidRPr="00B4473A">
        <w:rPr>
          <w:rFonts w:ascii="Arial" w:hAnsi="Arial" w:cs="Arial"/>
          <w:color w:val="auto"/>
          <w:sz w:val="20"/>
          <w:szCs w:val="20"/>
        </w:rPr>
        <w:t>.</w:t>
      </w:r>
    </w:p>
    <w:p w14:paraId="467147AB" w14:textId="77777777" w:rsidR="007358ED" w:rsidRDefault="007358ED" w:rsidP="00D66411">
      <w:pPr>
        <w:pStyle w:val="StilePaola"/>
        <w:spacing w:before="0" w:after="120" w:line="240" w:lineRule="auto"/>
        <w:rPr>
          <w:rFonts w:ascii="Arial" w:hAnsi="Arial" w:cs="Arial"/>
          <w:bCs/>
          <w:color w:val="auto"/>
          <w:sz w:val="20"/>
          <w:szCs w:val="20"/>
        </w:rPr>
      </w:pPr>
      <w:r w:rsidRPr="00B4473A">
        <w:rPr>
          <w:rFonts w:ascii="Arial" w:hAnsi="Arial" w:cs="Arial"/>
          <w:bCs/>
          <w:color w:val="auto"/>
          <w:sz w:val="20"/>
          <w:szCs w:val="20"/>
        </w:rPr>
        <w:t>Nel 202</w:t>
      </w:r>
      <w:r>
        <w:rPr>
          <w:rFonts w:ascii="Arial" w:hAnsi="Arial" w:cs="Arial"/>
          <w:bCs/>
          <w:color w:val="auto"/>
          <w:sz w:val="20"/>
          <w:szCs w:val="20"/>
        </w:rPr>
        <w:t>1</w:t>
      </w:r>
      <w:r w:rsidRPr="00B4473A">
        <w:rPr>
          <w:rFonts w:ascii="Arial" w:hAnsi="Arial" w:cs="Arial"/>
          <w:bCs/>
          <w:color w:val="auto"/>
          <w:sz w:val="20"/>
          <w:szCs w:val="20"/>
        </w:rPr>
        <w:t xml:space="preserve"> il rapporto tra il </w:t>
      </w:r>
      <w:r w:rsidRPr="005C41F7">
        <w:rPr>
          <w:rFonts w:ascii="Arial" w:hAnsi="Arial" w:cs="Arial"/>
          <w:b/>
          <w:bCs/>
          <w:color w:val="auto"/>
          <w:sz w:val="20"/>
          <w:szCs w:val="20"/>
        </w:rPr>
        <w:t>tasso di occupazione delle donne di 25-49 anni con figli</w:t>
      </w:r>
      <w:r w:rsidRPr="00B4473A">
        <w:rPr>
          <w:rFonts w:ascii="Arial" w:hAnsi="Arial" w:cs="Arial"/>
          <w:bCs/>
          <w:color w:val="auto"/>
          <w:sz w:val="20"/>
          <w:szCs w:val="20"/>
        </w:rPr>
        <w:t xml:space="preserve"> in età prescolare e il tasso di occupazione di quelle senza figli si attesta a 73%</w:t>
      </w:r>
      <w:r>
        <w:rPr>
          <w:rFonts w:ascii="Arial" w:hAnsi="Arial" w:cs="Arial"/>
          <w:bCs/>
          <w:color w:val="auto"/>
          <w:sz w:val="20"/>
          <w:szCs w:val="20"/>
        </w:rPr>
        <w:t>,</w:t>
      </w:r>
      <w:r w:rsidRPr="00B4473A">
        <w:rPr>
          <w:rFonts w:ascii="Arial" w:hAnsi="Arial" w:cs="Arial"/>
          <w:bCs/>
          <w:color w:val="auto"/>
          <w:sz w:val="20"/>
          <w:szCs w:val="20"/>
        </w:rPr>
        <w:t xml:space="preserve"> in lieve diminuzione (-</w:t>
      </w:r>
      <w:r>
        <w:rPr>
          <w:rFonts w:ascii="Arial" w:hAnsi="Arial" w:cs="Arial"/>
          <w:bCs/>
          <w:color w:val="auto"/>
          <w:sz w:val="20"/>
          <w:szCs w:val="20"/>
        </w:rPr>
        <w:t>1,2</w:t>
      </w:r>
      <w:r w:rsidRPr="00B4473A">
        <w:rPr>
          <w:rFonts w:ascii="Arial" w:hAnsi="Arial" w:cs="Arial"/>
          <w:bCs/>
          <w:color w:val="auto"/>
          <w:sz w:val="20"/>
          <w:szCs w:val="20"/>
        </w:rPr>
        <w:t xml:space="preserve"> punti percentuali) rispetto al</w:t>
      </w:r>
      <w:r>
        <w:rPr>
          <w:rFonts w:ascii="Arial" w:hAnsi="Arial" w:cs="Arial"/>
          <w:bCs/>
          <w:color w:val="auto"/>
          <w:sz w:val="20"/>
          <w:szCs w:val="20"/>
        </w:rPr>
        <w:t>l’anno precedente</w:t>
      </w:r>
      <w:r w:rsidRPr="00B4473A">
        <w:rPr>
          <w:rFonts w:ascii="Arial" w:hAnsi="Arial" w:cs="Arial"/>
          <w:bCs/>
          <w:color w:val="auto"/>
          <w:sz w:val="20"/>
          <w:szCs w:val="20"/>
        </w:rPr>
        <w:t>.</w:t>
      </w:r>
    </w:p>
    <w:p w14:paraId="017EFC46" w14:textId="77777777" w:rsidR="007358ED" w:rsidRPr="00C56E55" w:rsidRDefault="007358ED" w:rsidP="00E34F20">
      <w:pPr>
        <w:pStyle w:val="Corpotesto"/>
        <w:widowControl/>
        <w:spacing w:after="120" w:line="240" w:lineRule="auto"/>
        <w:rPr>
          <w:rFonts w:ascii="Arial" w:hAnsi="Arial" w:cs="Arial"/>
          <w:sz w:val="20"/>
          <w:szCs w:val="20"/>
          <w:lang w:val="it-IT"/>
        </w:rPr>
      </w:pPr>
      <w:r w:rsidRPr="00C56E55">
        <w:rPr>
          <w:rFonts w:ascii="Arial" w:hAnsi="Arial" w:cs="Arial"/>
          <w:sz w:val="20"/>
          <w:szCs w:val="20"/>
          <w:lang w:val="it-IT"/>
        </w:rPr>
        <w:t xml:space="preserve">Alla fine del 2021, l’Italia occupa la seconda posizione (38,8%) dopo la Francia (45,3%) per </w:t>
      </w:r>
      <w:r w:rsidRPr="00C56E55">
        <w:rPr>
          <w:rFonts w:ascii="Arial" w:hAnsi="Arial" w:cs="Arial"/>
          <w:b/>
          <w:sz w:val="20"/>
          <w:szCs w:val="20"/>
          <w:lang w:val="it-IT"/>
        </w:rPr>
        <w:t>presenza femminile nei consigli di amministrazione e nei ruoli di alta dirigenza delle grandi società quotate in borsa</w:t>
      </w:r>
      <w:r w:rsidRPr="00C56E55">
        <w:rPr>
          <w:rFonts w:ascii="Arial" w:hAnsi="Arial" w:cs="Arial"/>
          <w:sz w:val="20"/>
          <w:szCs w:val="20"/>
          <w:lang w:val="it-IT"/>
        </w:rPr>
        <w:t>. Ancora ridotti i ruoli di amministratore delegato (1,9%) e presidente (3,5%), che rappresentano rispettivamente il 2,4% del valore totale di mercato delle imprese quotate e il 20,7% della capitalizzazione complessiva</w:t>
      </w:r>
    </w:p>
    <w:p w14:paraId="7FA0C4B2" w14:textId="77777777" w:rsidR="007358ED" w:rsidRPr="00F135F4" w:rsidRDefault="007358ED" w:rsidP="007358ED">
      <w:pPr>
        <w:autoSpaceDE w:val="0"/>
        <w:autoSpaceDN w:val="0"/>
        <w:adjustRightInd w:val="0"/>
        <w:spacing w:after="120" w:line="240" w:lineRule="auto"/>
        <w:jc w:val="both"/>
        <w:rPr>
          <w:rFonts w:ascii="Arial" w:hAnsi="Arial" w:cs="Arial"/>
          <w:sz w:val="20"/>
          <w:szCs w:val="20"/>
        </w:rPr>
      </w:pPr>
    </w:p>
    <w:p w14:paraId="55A6D481" w14:textId="77777777" w:rsidR="007358ED" w:rsidRPr="00A17E82" w:rsidRDefault="007358ED" w:rsidP="007358ED">
      <w:pPr>
        <w:pStyle w:val="StilePaola"/>
        <w:spacing w:before="0" w:line="240" w:lineRule="auto"/>
        <w:rPr>
          <w:rFonts w:asciiTheme="minorHAnsi" w:hAnsiTheme="minorHAnsi" w:cstheme="minorHAnsi"/>
          <w:b/>
          <w:bCs/>
          <w:color w:val="000000" w:themeColor="text1"/>
        </w:rPr>
      </w:pPr>
      <w:r w:rsidRPr="00A17E82">
        <w:rPr>
          <w:rFonts w:asciiTheme="minorHAnsi" w:hAnsiTheme="minorHAnsi" w:cstheme="minorHAnsi"/>
          <w:b/>
          <w:bCs/>
          <w:noProof/>
          <w:color w:val="000000" w:themeColor="text1"/>
          <w:lang w:eastAsia="it-IT"/>
        </w:rPr>
        <w:drawing>
          <wp:anchor distT="0" distB="0" distL="114300" distR="114300" simplePos="0" relativeHeight="251666432" behindDoc="0" locked="0" layoutInCell="1" allowOverlap="1" wp14:anchorId="123D29C6" wp14:editId="4F7851BE">
            <wp:simplePos x="0" y="0"/>
            <wp:positionH relativeFrom="column">
              <wp:posOffset>3810</wp:posOffset>
            </wp:positionH>
            <wp:positionV relativeFrom="paragraph">
              <wp:posOffset>15875</wp:posOffset>
            </wp:positionV>
            <wp:extent cx="864000" cy="864000"/>
            <wp:effectExtent l="0" t="0" r="0" b="0"/>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goal_I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64000" cy="864000"/>
                    </a:xfrm>
                    <a:prstGeom prst="rect">
                      <a:avLst/>
                    </a:prstGeom>
                  </pic:spPr>
                </pic:pic>
              </a:graphicData>
            </a:graphic>
            <wp14:sizeRelH relativeFrom="page">
              <wp14:pctWidth>0</wp14:pctWidth>
            </wp14:sizeRelH>
            <wp14:sizeRelV relativeFrom="page">
              <wp14:pctHeight>0</wp14:pctHeight>
            </wp14:sizeRelV>
          </wp:anchor>
        </w:drawing>
      </w:r>
      <w:r w:rsidRPr="00A17E82">
        <w:rPr>
          <w:rFonts w:asciiTheme="minorHAnsi" w:hAnsiTheme="minorHAnsi" w:cstheme="minorHAnsi"/>
          <w:b/>
          <w:bCs/>
          <w:color w:val="000000" w:themeColor="text1"/>
        </w:rPr>
        <w:t xml:space="preserve">Goal 6 </w:t>
      </w:r>
    </w:p>
    <w:p w14:paraId="7C333732" w14:textId="77777777" w:rsidR="007358ED" w:rsidRDefault="007358ED" w:rsidP="007358ED">
      <w:pPr>
        <w:autoSpaceDE w:val="0"/>
        <w:autoSpaceDN w:val="0"/>
        <w:adjustRightInd w:val="0"/>
        <w:spacing w:after="0" w:line="240" w:lineRule="auto"/>
        <w:jc w:val="both"/>
        <w:rPr>
          <w:rFonts w:cs="Helvetica"/>
          <w:b/>
          <w:bCs/>
          <w:sz w:val="24"/>
          <w:szCs w:val="24"/>
        </w:rPr>
      </w:pPr>
    </w:p>
    <w:p w14:paraId="574311CA" w14:textId="77777777" w:rsidR="007358ED" w:rsidRDefault="007358ED" w:rsidP="00D66411">
      <w:pPr>
        <w:autoSpaceDE w:val="0"/>
        <w:autoSpaceDN w:val="0"/>
        <w:adjustRightInd w:val="0"/>
        <w:spacing w:after="120" w:line="240" w:lineRule="auto"/>
        <w:jc w:val="both"/>
        <w:rPr>
          <w:rFonts w:ascii="Arial" w:hAnsi="Arial" w:cs="Arial"/>
          <w:sz w:val="20"/>
          <w:szCs w:val="20"/>
        </w:rPr>
      </w:pPr>
      <w:r w:rsidRPr="008470D8">
        <w:rPr>
          <w:rFonts w:ascii="Arial" w:hAnsi="Arial" w:cs="Arial"/>
          <w:sz w:val="20"/>
          <w:szCs w:val="20"/>
        </w:rPr>
        <w:t>N</w:t>
      </w:r>
      <w:r>
        <w:rPr>
          <w:rFonts w:ascii="Arial" w:hAnsi="Arial" w:cs="Arial"/>
          <w:sz w:val="20"/>
          <w:szCs w:val="20"/>
        </w:rPr>
        <w:t>el 2020 n</w:t>
      </w:r>
      <w:r w:rsidRPr="008470D8">
        <w:rPr>
          <w:rFonts w:ascii="Arial" w:hAnsi="Arial" w:cs="Arial"/>
          <w:sz w:val="20"/>
          <w:szCs w:val="20"/>
        </w:rPr>
        <w:t xml:space="preserve">elle reti di distribuzione dell’acqua potabile </w:t>
      </w:r>
      <w:r>
        <w:rPr>
          <w:rFonts w:ascii="Arial" w:hAnsi="Arial" w:cs="Arial"/>
          <w:sz w:val="20"/>
          <w:szCs w:val="20"/>
        </w:rPr>
        <w:t xml:space="preserve">dei comuni capoluogo di provincia/città metropolitana </w:t>
      </w:r>
      <w:r w:rsidRPr="008470D8">
        <w:rPr>
          <w:rFonts w:ascii="Arial" w:hAnsi="Arial" w:cs="Arial"/>
          <w:sz w:val="20"/>
          <w:szCs w:val="20"/>
        </w:rPr>
        <w:t xml:space="preserve">sono </w:t>
      </w:r>
      <w:r>
        <w:rPr>
          <w:rFonts w:ascii="Arial" w:hAnsi="Arial" w:cs="Arial"/>
          <w:sz w:val="20"/>
          <w:szCs w:val="20"/>
        </w:rPr>
        <w:t xml:space="preserve">stati </w:t>
      </w:r>
      <w:r w:rsidRPr="006868AB">
        <w:rPr>
          <w:rFonts w:ascii="Arial" w:hAnsi="Arial" w:cs="Arial"/>
          <w:sz w:val="20"/>
          <w:szCs w:val="20"/>
        </w:rPr>
        <w:t>erogati</w:t>
      </w:r>
      <w:r w:rsidRPr="008470D8">
        <w:rPr>
          <w:rFonts w:ascii="Arial" w:hAnsi="Arial" w:cs="Arial"/>
          <w:b/>
          <w:sz w:val="20"/>
          <w:szCs w:val="20"/>
        </w:rPr>
        <w:t xml:space="preserve"> </w:t>
      </w:r>
      <w:r w:rsidRPr="006868AB">
        <w:rPr>
          <w:rFonts w:ascii="Arial" w:hAnsi="Arial" w:cs="Arial"/>
          <w:sz w:val="20"/>
          <w:szCs w:val="20"/>
        </w:rPr>
        <w:t>quotidianamente 2</w:t>
      </w:r>
      <w:r>
        <w:rPr>
          <w:rFonts w:ascii="Arial" w:hAnsi="Arial" w:cs="Arial"/>
          <w:sz w:val="20"/>
          <w:szCs w:val="20"/>
        </w:rPr>
        <w:t>36</w:t>
      </w:r>
      <w:r w:rsidRPr="006868AB">
        <w:rPr>
          <w:rFonts w:ascii="Arial" w:hAnsi="Arial" w:cs="Arial"/>
          <w:sz w:val="20"/>
          <w:szCs w:val="20"/>
        </w:rPr>
        <w:t xml:space="preserve"> litri per abitante</w:t>
      </w:r>
      <w:r w:rsidRPr="008470D8">
        <w:rPr>
          <w:rFonts w:ascii="Arial" w:hAnsi="Arial" w:cs="Arial"/>
          <w:sz w:val="20"/>
          <w:szCs w:val="20"/>
        </w:rPr>
        <w:t xml:space="preserve"> </w:t>
      </w:r>
      <w:r>
        <w:rPr>
          <w:rFonts w:ascii="Arial" w:hAnsi="Arial" w:cs="Arial"/>
          <w:sz w:val="20"/>
          <w:szCs w:val="20"/>
        </w:rPr>
        <w:t>(</w:t>
      </w:r>
      <w:r w:rsidRPr="008470D8">
        <w:rPr>
          <w:rFonts w:ascii="Arial" w:hAnsi="Arial" w:cs="Arial"/>
          <w:sz w:val="20"/>
          <w:szCs w:val="20"/>
        </w:rPr>
        <w:t xml:space="preserve">circa </w:t>
      </w:r>
      <w:r>
        <w:rPr>
          <w:rFonts w:ascii="Arial" w:hAnsi="Arial" w:cs="Arial"/>
          <w:sz w:val="20"/>
          <w:szCs w:val="20"/>
        </w:rPr>
        <w:t>un litro</w:t>
      </w:r>
      <w:r w:rsidRPr="008470D8">
        <w:rPr>
          <w:rFonts w:ascii="Arial" w:hAnsi="Arial" w:cs="Arial"/>
          <w:sz w:val="20"/>
          <w:szCs w:val="20"/>
        </w:rPr>
        <w:t xml:space="preserve"> in meno rispetto al 201</w:t>
      </w:r>
      <w:r>
        <w:rPr>
          <w:rFonts w:ascii="Arial" w:hAnsi="Arial" w:cs="Arial"/>
          <w:sz w:val="20"/>
          <w:szCs w:val="20"/>
        </w:rPr>
        <w:t>8)</w:t>
      </w:r>
      <w:r w:rsidRPr="008470D8">
        <w:rPr>
          <w:rFonts w:ascii="Arial" w:hAnsi="Arial" w:cs="Arial"/>
          <w:sz w:val="20"/>
          <w:szCs w:val="20"/>
        </w:rPr>
        <w:t xml:space="preserve">. </w:t>
      </w:r>
      <w:r w:rsidRPr="003B00C9">
        <w:rPr>
          <w:rFonts w:ascii="Arial" w:hAnsi="Arial" w:cs="Arial"/>
          <w:b/>
          <w:sz w:val="20"/>
          <w:szCs w:val="20"/>
        </w:rPr>
        <w:t>Misure di razionamento dell’acqua</w:t>
      </w:r>
      <w:r w:rsidRPr="008470D8">
        <w:rPr>
          <w:rFonts w:ascii="Arial" w:hAnsi="Arial" w:cs="Arial"/>
          <w:sz w:val="20"/>
          <w:szCs w:val="20"/>
        </w:rPr>
        <w:t xml:space="preserve"> sono state adottate</w:t>
      </w:r>
      <w:r>
        <w:rPr>
          <w:rFonts w:ascii="Arial" w:hAnsi="Arial" w:cs="Arial"/>
          <w:sz w:val="20"/>
          <w:szCs w:val="20"/>
        </w:rPr>
        <w:t>, nel 2020,</w:t>
      </w:r>
      <w:r w:rsidRPr="008470D8">
        <w:rPr>
          <w:rFonts w:ascii="Arial" w:hAnsi="Arial" w:cs="Arial"/>
          <w:sz w:val="20"/>
          <w:szCs w:val="20"/>
        </w:rPr>
        <w:t xml:space="preserve"> in </w:t>
      </w:r>
      <w:r>
        <w:rPr>
          <w:rFonts w:ascii="Arial" w:hAnsi="Arial" w:cs="Arial"/>
          <w:sz w:val="20"/>
          <w:szCs w:val="20"/>
        </w:rPr>
        <w:t>11</w:t>
      </w:r>
      <w:r w:rsidRPr="008470D8">
        <w:rPr>
          <w:rFonts w:ascii="Arial" w:hAnsi="Arial" w:cs="Arial"/>
          <w:sz w:val="20"/>
          <w:szCs w:val="20"/>
        </w:rPr>
        <w:t xml:space="preserve"> </w:t>
      </w:r>
      <w:r>
        <w:rPr>
          <w:rFonts w:ascii="Arial" w:hAnsi="Arial" w:cs="Arial"/>
          <w:sz w:val="20"/>
          <w:szCs w:val="20"/>
        </w:rPr>
        <w:t>capoluoghi</w:t>
      </w:r>
      <w:r w:rsidRPr="008470D8">
        <w:rPr>
          <w:rFonts w:ascii="Arial" w:hAnsi="Arial" w:cs="Arial"/>
          <w:sz w:val="20"/>
          <w:szCs w:val="20"/>
        </w:rPr>
        <w:t>, tutti ubicati nel Mezzogiorno</w:t>
      </w:r>
      <w:r>
        <w:rPr>
          <w:rFonts w:ascii="Arial" w:hAnsi="Arial" w:cs="Arial"/>
          <w:sz w:val="20"/>
          <w:szCs w:val="20"/>
        </w:rPr>
        <w:t>.</w:t>
      </w:r>
    </w:p>
    <w:p w14:paraId="430E6506" w14:textId="77777777" w:rsidR="007358ED" w:rsidRDefault="007358ED" w:rsidP="00D66411">
      <w:pPr>
        <w:autoSpaceDE w:val="0"/>
        <w:autoSpaceDN w:val="0"/>
        <w:adjustRightInd w:val="0"/>
        <w:spacing w:after="120" w:line="240" w:lineRule="auto"/>
        <w:jc w:val="both"/>
        <w:rPr>
          <w:rFonts w:ascii="Arial" w:hAnsi="Arial" w:cs="Arial"/>
          <w:sz w:val="20"/>
          <w:szCs w:val="20"/>
        </w:rPr>
      </w:pPr>
      <w:r w:rsidRPr="008470D8">
        <w:rPr>
          <w:rFonts w:ascii="Arial" w:hAnsi="Arial" w:cs="Arial"/>
          <w:b/>
          <w:sz w:val="20"/>
          <w:szCs w:val="20"/>
        </w:rPr>
        <w:t>L’efficienza delle reti comunali di distribuzione</w:t>
      </w:r>
      <w:r>
        <w:rPr>
          <w:rFonts w:ascii="Arial" w:hAnsi="Arial" w:cs="Arial"/>
          <w:sz w:val="20"/>
          <w:szCs w:val="20"/>
        </w:rPr>
        <w:t xml:space="preserve"> dell’acqua potabile è, nel 2020, </w:t>
      </w:r>
      <w:r w:rsidRPr="008470D8">
        <w:rPr>
          <w:rFonts w:ascii="Arial" w:hAnsi="Arial" w:cs="Arial"/>
          <w:sz w:val="20"/>
          <w:szCs w:val="20"/>
        </w:rPr>
        <w:t xml:space="preserve">pari al </w:t>
      </w:r>
      <w:r w:rsidRPr="003B00C9">
        <w:rPr>
          <w:rFonts w:ascii="Arial" w:hAnsi="Arial" w:cs="Arial"/>
          <w:sz w:val="20"/>
          <w:szCs w:val="20"/>
        </w:rPr>
        <w:t>63,8</w:t>
      </w:r>
      <w:r>
        <w:rPr>
          <w:rFonts w:ascii="Arial" w:hAnsi="Arial" w:cs="Arial"/>
          <w:sz w:val="20"/>
          <w:szCs w:val="20"/>
        </w:rPr>
        <w:t xml:space="preserve">% nei comuni capoluogo di provincia/città metropolitana </w:t>
      </w:r>
      <w:r w:rsidRPr="003B00C9">
        <w:rPr>
          <w:rFonts w:ascii="Arial" w:hAnsi="Arial" w:cs="Arial"/>
          <w:sz w:val="20"/>
          <w:szCs w:val="20"/>
        </w:rPr>
        <w:t>(0,9 punti percentuali in più rispetto al 2018).</w:t>
      </w:r>
    </w:p>
    <w:p w14:paraId="1A466D93" w14:textId="77777777" w:rsidR="007358ED" w:rsidRDefault="007358ED" w:rsidP="00D66411">
      <w:pPr>
        <w:autoSpaceDE w:val="0"/>
        <w:autoSpaceDN w:val="0"/>
        <w:adjustRightInd w:val="0"/>
        <w:spacing w:after="120" w:line="240" w:lineRule="auto"/>
        <w:jc w:val="both"/>
        <w:rPr>
          <w:rFonts w:ascii="Arial" w:hAnsi="Arial" w:cs="Arial"/>
          <w:sz w:val="20"/>
          <w:szCs w:val="20"/>
        </w:rPr>
      </w:pPr>
      <w:r w:rsidRPr="008470D8">
        <w:rPr>
          <w:rFonts w:ascii="Arial" w:hAnsi="Arial" w:cs="Arial"/>
          <w:sz w:val="20"/>
          <w:szCs w:val="20"/>
        </w:rPr>
        <w:t>Rimane elevata</w:t>
      </w:r>
      <w:r>
        <w:rPr>
          <w:rFonts w:ascii="Arial" w:hAnsi="Arial" w:cs="Arial"/>
          <w:sz w:val="20"/>
          <w:szCs w:val="20"/>
        </w:rPr>
        <w:t>, seppur stabile,</w:t>
      </w:r>
      <w:r w:rsidRPr="008470D8">
        <w:rPr>
          <w:rFonts w:ascii="Arial" w:hAnsi="Arial" w:cs="Arial"/>
          <w:sz w:val="20"/>
          <w:szCs w:val="20"/>
        </w:rPr>
        <w:t xml:space="preserve"> la quota di </w:t>
      </w:r>
      <w:r w:rsidRPr="008470D8">
        <w:rPr>
          <w:rFonts w:ascii="Arial" w:hAnsi="Arial" w:cs="Arial"/>
          <w:b/>
          <w:sz w:val="20"/>
          <w:szCs w:val="20"/>
        </w:rPr>
        <w:t>famiglie che dichiarano di non fidarsi a bere l’acqua di rubinetto</w:t>
      </w:r>
      <w:r w:rsidRPr="008470D8">
        <w:rPr>
          <w:rFonts w:ascii="Arial" w:hAnsi="Arial" w:cs="Arial"/>
          <w:sz w:val="20"/>
          <w:szCs w:val="20"/>
        </w:rPr>
        <w:t xml:space="preserve"> (28,</w:t>
      </w:r>
      <w:r>
        <w:rPr>
          <w:rFonts w:ascii="Arial" w:hAnsi="Arial" w:cs="Arial"/>
          <w:sz w:val="20"/>
          <w:szCs w:val="20"/>
        </w:rPr>
        <w:t>5% nel 2021</w:t>
      </w:r>
      <w:r w:rsidRPr="008470D8">
        <w:rPr>
          <w:rFonts w:ascii="Arial" w:hAnsi="Arial" w:cs="Arial"/>
          <w:sz w:val="20"/>
          <w:szCs w:val="20"/>
        </w:rPr>
        <w:t>)</w:t>
      </w:r>
      <w:r>
        <w:rPr>
          <w:rFonts w:ascii="Arial" w:hAnsi="Arial" w:cs="Arial"/>
          <w:sz w:val="20"/>
          <w:szCs w:val="20"/>
        </w:rPr>
        <w:t>. È invece complessivamente in lieve aumento</w:t>
      </w:r>
      <w:r w:rsidRPr="008470D8">
        <w:rPr>
          <w:rFonts w:ascii="Arial" w:hAnsi="Arial" w:cs="Arial"/>
          <w:sz w:val="20"/>
          <w:szCs w:val="20"/>
        </w:rPr>
        <w:t xml:space="preserve"> la quota di famiglie che </w:t>
      </w:r>
      <w:r w:rsidRPr="008470D8">
        <w:rPr>
          <w:rFonts w:ascii="Arial" w:hAnsi="Arial" w:cs="Arial"/>
          <w:b/>
          <w:sz w:val="20"/>
          <w:szCs w:val="20"/>
        </w:rPr>
        <w:t>lamentano irregolarità nel servizio di erogazione dell’acqua</w:t>
      </w:r>
      <w:r w:rsidRPr="008470D8">
        <w:rPr>
          <w:rFonts w:ascii="Arial" w:hAnsi="Arial" w:cs="Arial"/>
          <w:sz w:val="20"/>
          <w:szCs w:val="20"/>
        </w:rPr>
        <w:t xml:space="preserve"> nella propria abitazione: </w:t>
      </w:r>
      <w:r>
        <w:rPr>
          <w:rFonts w:ascii="Arial" w:hAnsi="Arial" w:cs="Arial"/>
          <w:sz w:val="20"/>
          <w:szCs w:val="20"/>
        </w:rPr>
        <w:t>9,4</w:t>
      </w:r>
      <w:r w:rsidRPr="008470D8">
        <w:rPr>
          <w:rFonts w:ascii="Arial" w:hAnsi="Arial" w:cs="Arial"/>
          <w:sz w:val="20"/>
          <w:szCs w:val="20"/>
        </w:rPr>
        <w:t>% nel 202</w:t>
      </w:r>
      <w:r>
        <w:rPr>
          <w:rFonts w:ascii="Arial" w:hAnsi="Arial" w:cs="Arial"/>
          <w:sz w:val="20"/>
          <w:szCs w:val="20"/>
        </w:rPr>
        <w:t>1</w:t>
      </w:r>
      <w:r w:rsidRPr="008470D8">
        <w:rPr>
          <w:rFonts w:ascii="Arial" w:hAnsi="Arial" w:cs="Arial"/>
          <w:sz w:val="20"/>
          <w:szCs w:val="20"/>
        </w:rPr>
        <w:t xml:space="preserve"> (8,</w:t>
      </w:r>
      <w:r>
        <w:rPr>
          <w:rFonts w:ascii="Arial" w:hAnsi="Arial" w:cs="Arial"/>
          <w:sz w:val="20"/>
          <w:szCs w:val="20"/>
        </w:rPr>
        <w:t>9</w:t>
      </w:r>
      <w:r w:rsidRPr="008470D8">
        <w:rPr>
          <w:rFonts w:ascii="Arial" w:hAnsi="Arial" w:cs="Arial"/>
          <w:sz w:val="20"/>
          <w:szCs w:val="20"/>
        </w:rPr>
        <w:t xml:space="preserve">% </w:t>
      </w:r>
      <w:r>
        <w:rPr>
          <w:rFonts w:ascii="Arial" w:hAnsi="Arial" w:cs="Arial"/>
          <w:sz w:val="20"/>
          <w:szCs w:val="20"/>
        </w:rPr>
        <w:t>l’anno precedente</w:t>
      </w:r>
      <w:r w:rsidRPr="008470D8">
        <w:rPr>
          <w:rFonts w:ascii="Arial" w:hAnsi="Arial" w:cs="Arial"/>
          <w:sz w:val="20"/>
          <w:szCs w:val="20"/>
        </w:rPr>
        <w:t>).</w:t>
      </w:r>
    </w:p>
    <w:p w14:paraId="1AE66471" w14:textId="77777777" w:rsidR="007358ED" w:rsidRDefault="007358ED" w:rsidP="007358ED">
      <w:pPr>
        <w:autoSpaceDE w:val="0"/>
        <w:autoSpaceDN w:val="0"/>
        <w:adjustRightInd w:val="0"/>
        <w:spacing w:after="120" w:line="240" w:lineRule="auto"/>
        <w:jc w:val="both"/>
        <w:rPr>
          <w:rFonts w:ascii="Arial" w:hAnsi="Arial" w:cs="Arial"/>
          <w:sz w:val="20"/>
          <w:szCs w:val="20"/>
        </w:rPr>
      </w:pPr>
    </w:p>
    <w:p w14:paraId="5588E3CE" w14:textId="39ECCA46" w:rsidR="007358ED" w:rsidRPr="00DD7BC5" w:rsidRDefault="007358ED" w:rsidP="007358ED">
      <w:pPr>
        <w:autoSpaceDE w:val="0"/>
        <w:autoSpaceDN w:val="0"/>
        <w:adjustRightInd w:val="0"/>
        <w:spacing w:after="0" w:line="240" w:lineRule="auto"/>
        <w:jc w:val="both"/>
        <w:rPr>
          <w:rFonts w:cs="Helvetica"/>
          <w:b/>
          <w:bCs/>
          <w:sz w:val="24"/>
          <w:szCs w:val="24"/>
        </w:rPr>
      </w:pPr>
      <w:r>
        <w:rPr>
          <w:rFonts w:cs="Helvetica"/>
          <w:b/>
          <w:bCs/>
          <w:noProof/>
          <w:sz w:val="24"/>
          <w:szCs w:val="24"/>
          <w:lang w:eastAsia="it-IT"/>
        </w:rPr>
        <w:drawing>
          <wp:anchor distT="0" distB="0" distL="114300" distR="114300" simplePos="0" relativeHeight="251661312" behindDoc="0" locked="0" layoutInCell="1" allowOverlap="1" wp14:anchorId="55E4C46F" wp14:editId="4450AB11">
            <wp:simplePos x="0" y="0"/>
            <wp:positionH relativeFrom="column">
              <wp:posOffset>3810</wp:posOffset>
            </wp:positionH>
            <wp:positionV relativeFrom="paragraph">
              <wp:posOffset>45720</wp:posOffset>
            </wp:positionV>
            <wp:extent cx="863600" cy="863600"/>
            <wp:effectExtent l="0" t="0" r="0" b="0"/>
            <wp:wrapSquare wrapText="bothSides"/>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goal_IT.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63600" cy="863600"/>
                    </a:xfrm>
                    <a:prstGeom prst="rect">
                      <a:avLst/>
                    </a:prstGeom>
                  </pic:spPr>
                </pic:pic>
              </a:graphicData>
            </a:graphic>
            <wp14:sizeRelH relativeFrom="margin">
              <wp14:pctWidth>0</wp14:pctWidth>
            </wp14:sizeRelH>
            <wp14:sizeRelV relativeFrom="margin">
              <wp14:pctHeight>0</wp14:pctHeight>
            </wp14:sizeRelV>
          </wp:anchor>
        </w:drawing>
      </w:r>
      <w:r w:rsidRPr="00DD7BC5">
        <w:rPr>
          <w:rFonts w:cs="Helvetica"/>
          <w:b/>
          <w:bCs/>
          <w:sz w:val="24"/>
          <w:szCs w:val="24"/>
        </w:rPr>
        <w:t>Goal 7</w:t>
      </w:r>
    </w:p>
    <w:p w14:paraId="285D8070" w14:textId="77777777" w:rsidR="000535F0" w:rsidRDefault="000535F0" w:rsidP="000535F0">
      <w:pPr>
        <w:autoSpaceDE w:val="0"/>
        <w:autoSpaceDN w:val="0"/>
        <w:adjustRightInd w:val="0"/>
        <w:spacing w:after="0" w:line="240" w:lineRule="auto"/>
        <w:jc w:val="both"/>
        <w:rPr>
          <w:rFonts w:cs="Helvetica"/>
          <w:b/>
          <w:bCs/>
          <w:sz w:val="24"/>
          <w:szCs w:val="24"/>
        </w:rPr>
      </w:pPr>
    </w:p>
    <w:p w14:paraId="2936CB63" w14:textId="4C18A710" w:rsidR="0098744B" w:rsidRPr="00782C32" w:rsidRDefault="0098744B" w:rsidP="00E34F20">
      <w:pPr>
        <w:spacing w:after="120" w:line="240" w:lineRule="auto"/>
        <w:jc w:val="both"/>
        <w:rPr>
          <w:rFonts w:ascii="Arial" w:hAnsi="Arial" w:cs="Arial"/>
          <w:sz w:val="20"/>
          <w:szCs w:val="20"/>
        </w:rPr>
      </w:pPr>
      <w:r w:rsidRPr="00782C32">
        <w:rPr>
          <w:rFonts w:ascii="Arial" w:hAnsi="Arial" w:cs="Arial"/>
          <w:sz w:val="20"/>
          <w:szCs w:val="20"/>
        </w:rPr>
        <w:t xml:space="preserve">L’Italia supera tutti gli obiettivi, stabiliti a livello nazionale e internazionale per il 2020, relativi alle </w:t>
      </w:r>
      <w:r w:rsidRPr="0098744B">
        <w:rPr>
          <w:rFonts w:ascii="Arial" w:hAnsi="Arial" w:cs="Arial"/>
          <w:b/>
          <w:sz w:val="20"/>
          <w:szCs w:val="20"/>
        </w:rPr>
        <w:t>Fonti Energetiche Rinnovabili</w:t>
      </w:r>
      <w:r w:rsidRPr="00782C32">
        <w:rPr>
          <w:rFonts w:ascii="Arial" w:hAnsi="Arial" w:cs="Arial"/>
          <w:sz w:val="20"/>
          <w:szCs w:val="20"/>
        </w:rPr>
        <w:t xml:space="preserve"> (FER). Nel 2020, l’apporto complessivo da FER al consumo finale lordo di energia raggiunge il 20,4%, segnando un miglioramento di 7,4 p.p. negli ultimi dieci anni. Tra il 2012 e il 2020, la </w:t>
      </w:r>
      <w:r w:rsidRPr="00F23FD1">
        <w:rPr>
          <w:rFonts w:ascii="Arial" w:hAnsi="Arial" w:cs="Arial"/>
          <w:b/>
          <w:sz w:val="20"/>
          <w:szCs w:val="20"/>
        </w:rPr>
        <w:t>capacità netta di generazione di energia rinnovabile</w:t>
      </w:r>
      <w:r w:rsidRPr="00782C32">
        <w:rPr>
          <w:rFonts w:ascii="Arial" w:hAnsi="Arial" w:cs="Arial"/>
          <w:sz w:val="20"/>
          <w:szCs w:val="20"/>
        </w:rPr>
        <w:t xml:space="preserve"> installata pro capite aumenta del 20%.</w:t>
      </w:r>
      <w:r w:rsidR="000535F0">
        <w:rPr>
          <w:rFonts w:ascii="Arial" w:hAnsi="Arial" w:cs="Arial"/>
          <w:sz w:val="20"/>
          <w:szCs w:val="20"/>
        </w:rPr>
        <w:t xml:space="preserve"> </w:t>
      </w:r>
    </w:p>
    <w:p w14:paraId="36255494" w14:textId="77777777" w:rsidR="0098744B" w:rsidRPr="00782C32" w:rsidRDefault="0098744B" w:rsidP="00E34F20">
      <w:pPr>
        <w:spacing w:after="120" w:line="240" w:lineRule="auto"/>
        <w:jc w:val="both"/>
        <w:rPr>
          <w:rFonts w:ascii="Arial" w:hAnsi="Arial" w:cs="Arial"/>
          <w:sz w:val="20"/>
          <w:szCs w:val="20"/>
        </w:rPr>
      </w:pPr>
      <w:r w:rsidRPr="00782C32">
        <w:rPr>
          <w:rFonts w:ascii="Arial" w:hAnsi="Arial" w:cs="Arial"/>
          <w:sz w:val="20"/>
          <w:szCs w:val="20"/>
        </w:rPr>
        <w:t xml:space="preserve">Benché la crescita delle fonti rinnovabili abbia contribuito a ridurre la </w:t>
      </w:r>
      <w:r w:rsidRPr="0098744B">
        <w:rPr>
          <w:rFonts w:ascii="Arial" w:hAnsi="Arial" w:cs="Arial"/>
          <w:b/>
          <w:sz w:val="20"/>
          <w:szCs w:val="20"/>
        </w:rPr>
        <w:t>dipendenza energetica dall’estero</w:t>
      </w:r>
      <w:r w:rsidRPr="00782C32">
        <w:rPr>
          <w:rFonts w:ascii="Arial" w:hAnsi="Arial" w:cs="Arial"/>
          <w:sz w:val="20"/>
          <w:szCs w:val="20"/>
        </w:rPr>
        <w:t xml:space="preserve"> del nostro Paese, la quota di importazioni nette sulla disponibilità energetica lorda dell’Italia è una delle più elevate dell’Ue27.</w:t>
      </w:r>
    </w:p>
    <w:p w14:paraId="6973DCE2" w14:textId="77777777" w:rsidR="0098744B" w:rsidRPr="00782C32" w:rsidRDefault="0098744B" w:rsidP="00E34F20">
      <w:pPr>
        <w:spacing w:after="120" w:line="240" w:lineRule="auto"/>
        <w:jc w:val="both"/>
        <w:rPr>
          <w:rFonts w:ascii="Arial" w:hAnsi="Arial" w:cs="Arial"/>
          <w:sz w:val="20"/>
          <w:szCs w:val="20"/>
        </w:rPr>
      </w:pPr>
      <w:r w:rsidRPr="00782C32">
        <w:rPr>
          <w:rFonts w:ascii="Arial" w:hAnsi="Arial" w:cs="Arial"/>
          <w:sz w:val="20"/>
          <w:szCs w:val="20"/>
        </w:rPr>
        <w:t>Interrompendo la serie di progressive riduzioni che aveva caratterizzato gli ultimi dieci anni, il 2020 segna un lieve incremento dell’</w:t>
      </w:r>
      <w:r w:rsidRPr="0098744B">
        <w:rPr>
          <w:rFonts w:ascii="Arial" w:hAnsi="Arial" w:cs="Arial"/>
          <w:b/>
          <w:sz w:val="20"/>
          <w:szCs w:val="20"/>
        </w:rPr>
        <w:t>intensità energetica totale</w:t>
      </w:r>
      <w:r w:rsidRPr="00782C32">
        <w:rPr>
          <w:rFonts w:ascii="Arial" w:hAnsi="Arial" w:cs="Arial"/>
          <w:sz w:val="20"/>
          <w:szCs w:val="20"/>
        </w:rPr>
        <w:t>, alimentato dal settore industriale (+6,3%).</w:t>
      </w:r>
    </w:p>
    <w:p w14:paraId="1CEDAEA8" w14:textId="5EE1B17C" w:rsidR="0098744B" w:rsidRPr="00782C32" w:rsidRDefault="0098744B" w:rsidP="00E34F20">
      <w:pPr>
        <w:spacing w:after="120" w:line="240" w:lineRule="auto"/>
        <w:jc w:val="both"/>
        <w:rPr>
          <w:rFonts w:ascii="Arial" w:hAnsi="Arial" w:cs="Arial"/>
          <w:sz w:val="20"/>
          <w:szCs w:val="20"/>
        </w:rPr>
      </w:pPr>
      <w:r w:rsidRPr="00782C32">
        <w:rPr>
          <w:rFonts w:ascii="Arial" w:hAnsi="Arial" w:cs="Arial"/>
          <w:sz w:val="20"/>
          <w:szCs w:val="20"/>
        </w:rPr>
        <w:t xml:space="preserve">Nel 2021, l’incidenza di popolazione </w:t>
      </w:r>
      <w:r>
        <w:rPr>
          <w:rFonts w:ascii="Arial" w:hAnsi="Arial" w:cs="Arial"/>
          <w:sz w:val="20"/>
          <w:szCs w:val="20"/>
        </w:rPr>
        <w:t xml:space="preserve">con </w:t>
      </w:r>
      <w:r w:rsidRPr="00C17D95">
        <w:rPr>
          <w:rFonts w:ascii="Arial" w:hAnsi="Arial" w:cs="Arial"/>
          <w:b/>
          <w:sz w:val="20"/>
          <w:szCs w:val="20"/>
        </w:rPr>
        <w:t>difficoltà a riscaldare adeguatamente l’abitazione</w:t>
      </w:r>
      <w:r w:rsidRPr="00782C32">
        <w:rPr>
          <w:rFonts w:ascii="Arial" w:hAnsi="Arial" w:cs="Arial"/>
          <w:sz w:val="20"/>
          <w:szCs w:val="20"/>
        </w:rPr>
        <w:t xml:space="preserve"> (8,1%) è sostanzialmente stabile rispetto all’anno precedente. </w:t>
      </w:r>
    </w:p>
    <w:p w14:paraId="655233BA" w14:textId="68CDDD2A" w:rsidR="0098744B" w:rsidRPr="00782C32" w:rsidRDefault="0098744B" w:rsidP="00E34F20">
      <w:pPr>
        <w:spacing w:after="120" w:line="240" w:lineRule="auto"/>
        <w:jc w:val="both"/>
        <w:rPr>
          <w:rFonts w:ascii="Arial" w:hAnsi="Arial" w:cs="Arial"/>
          <w:sz w:val="20"/>
          <w:szCs w:val="20"/>
        </w:rPr>
      </w:pPr>
      <w:r w:rsidRPr="00782C32">
        <w:rPr>
          <w:rFonts w:ascii="Arial" w:hAnsi="Arial" w:cs="Arial"/>
          <w:sz w:val="20"/>
          <w:szCs w:val="20"/>
        </w:rPr>
        <w:t xml:space="preserve">Il numero delle </w:t>
      </w:r>
      <w:r w:rsidRPr="0098744B">
        <w:rPr>
          <w:rFonts w:ascii="Arial" w:hAnsi="Arial" w:cs="Arial"/>
          <w:b/>
          <w:sz w:val="20"/>
          <w:szCs w:val="20"/>
        </w:rPr>
        <w:t>autovetture elettriche e ibride</w:t>
      </w:r>
      <w:r w:rsidRPr="00782C32">
        <w:rPr>
          <w:rFonts w:ascii="Arial" w:hAnsi="Arial" w:cs="Arial"/>
          <w:sz w:val="20"/>
          <w:szCs w:val="20"/>
        </w:rPr>
        <w:t xml:space="preserve"> cresce consistentemente e, nel 2021, raggiunge il 36,4% tra le auto di nuova immatricolazione.</w:t>
      </w:r>
    </w:p>
    <w:p w14:paraId="0E5D2824" w14:textId="77777777" w:rsidR="007358ED" w:rsidRPr="00F135F4" w:rsidRDefault="007358ED" w:rsidP="00E34F20">
      <w:pPr>
        <w:autoSpaceDE w:val="0"/>
        <w:autoSpaceDN w:val="0"/>
        <w:adjustRightInd w:val="0"/>
        <w:spacing w:line="240" w:lineRule="auto"/>
        <w:jc w:val="both"/>
        <w:rPr>
          <w:rFonts w:ascii="Arial" w:hAnsi="Arial" w:cs="Arial"/>
          <w:sz w:val="20"/>
          <w:szCs w:val="20"/>
        </w:rPr>
      </w:pPr>
    </w:p>
    <w:p w14:paraId="26D9B6CF" w14:textId="77777777" w:rsidR="007358ED" w:rsidRPr="00DD7BC5" w:rsidRDefault="007358ED" w:rsidP="007358ED">
      <w:pPr>
        <w:autoSpaceDE w:val="0"/>
        <w:autoSpaceDN w:val="0"/>
        <w:adjustRightInd w:val="0"/>
        <w:spacing w:after="0" w:line="240" w:lineRule="auto"/>
        <w:jc w:val="both"/>
        <w:rPr>
          <w:rFonts w:cs="Helvetica"/>
          <w:b/>
          <w:sz w:val="24"/>
          <w:szCs w:val="24"/>
        </w:rPr>
      </w:pPr>
      <w:r w:rsidRPr="001E77F3">
        <w:rPr>
          <w:rFonts w:cs="Helvetica"/>
          <w:b/>
          <w:bCs/>
          <w:noProof/>
          <w:sz w:val="10"/>
          <w:szCs w:val="10"/>
          <w:lang w:eastAsia="it-IT"/>
        </w:rPr>
        <w:lastRenderedPageBreak/>
        <w:drawing>
          <wp:anchor distT="0" distB="0" distL="114300" distR="114300" simplePos="0" relativeHeight="251662336" behindDoc="0" locked="0" layoutInCell="1" allowOverlap="1" wp14:anchorId="65BF95B9" wp14:editId="01DFBF4A">
            <wp:simplePos x="0" y="0"/>
            <wp:positionH relativeFrom="column">
              <wp:posOffset>3810</wp:posOffset>
            </wp:positionH>
            <wp:positionV relativeFrom="paragraph">
              <wp:posOffset>14605</wp:posOffset>
            </wp:positionV>
            <wp:extent cx="863600" cy="863600"/>
            <wp:effectExtent l="0" t="0" r="0" b="0"/>
            <wp:wrapSquare wrapText="bothSides"/>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goal_IT.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63600" cy="863600"/>
                    </a:xfrm>
                    <a:prstGeom prst="rect">
                      <a:avLst/>
                    </a:prstGeom>
                  </pic:spPr>
                </pic:pic>
              </a:graphicData>
            </a:graphic>
            <wp14:sizeRelH relativeFrom="margin">
              <wp14:pctWidth>0</wp14:pctWidth>
            </wp14:sizeRelH>
            <wp14:sizeRelV relativeFrom="margin">
              <wp14:pctHeight>0</wp14:pctHeight>
            </wp14:sizeRelV>
          </wp:anchor>
        </w:drawing>
      </w:r>
      <w:r w:rsidRPr="00DD7BC5">
        <w:rPr>
          <w:rFonts w:cs="Helvetica"/>
          <w:b/>
          <w:sz w:val="24"/>
          <w:szCs w:val="24"/>
        </w:rPr>
        <w:t>Goal 8</w:t>
      </w:r>
    </w:p>
    <w:p w14:paraId="4AF99225" w14:textId="77777777" w:rsidR="00641425" w:rsidRDefault="00641425" w:rsidP="00641425">
      <w:pPr>
        <w:autoSpaceDE w:val="0"/>
        <w:autoSpaceDN w:val="0"/>
        <w:adjustRightInd w:val="0"/>
        <w:spacing w:after="0" w:line="240" w:lineRule="auto"/>
        <w:jc w:val="both"/>
        <w:rPr>
          <w:rFonts w:cs="Helvetica"/>
          <w:b/>
          <w:bCs/>
          <w:sz w:val="24"/>
          <w:szCs w:val="24"/>
        </w:rPr>
      </w:pPr>
    </w:p>
    <w:p w14:paraId="5D3CEEAE" w14:textId="3D27A19E" w:rsidR="00F23FD1" w:rsidRPr="00F2210F" w:rsidRDefault="00F23FD1" w:rsidP="00E34F20">
      <w:pPr>
        <w:spacing w:after="120" w:line="240" w:lineRule="auto"/>
        <w:ind w:left="360"/>
        <w:jc w:val="both"/>
        <w:rPr>
          <w:rFonts w:ascii="Arial" w:hAnsi="Arial" w:cs="Arial"/>
          <w:sz w:val="20"/>
          <w:szCs w:val="20"/>
        </w:rPr>
      </w:pPr>
      <w:r w:rsidRPr="00F2210F">
        <w:rPr>
          <w:rFonts w:ascii="Arial" w:hAnsi="Arial" w:cs="Arial"/>
          <w:sz w:val="20"/>
          <w:szCs w:val="20"/>
        </w:rPr>
        <w:t xml:space="preserve">Il 2021 è stato caratterizzato da una decisa ripresa dell’attività economica, che ha seguito la caduta registrata nell’anno precedente, determinata dagli effetti dell’emergenza sanitaria. Le </w:t>
      </w:r>
      <w:r w:rsidRPr="00F23FD1">
        <w:rPr>
          <w:rFonts w:ascii="Arial" w:hAnsi="Arial" w:cs="Arial"/>
          <w:b/>
          <w:sz w:val="20"/>
          <w:szCs w:val="20"/>
        </w:rPr>
        <w:t>variazioni annue del Pil</w:t>
      </w:r>
      <w:r w:rsidRPr="00F2210F">
        <w:rPr>
          <w:rFonts w:ascii="Arial" w:hAnsi="Arial" w:cs="Arial"/>
          <w:sz w:val="20"/>
          <w:szCs w:val="20"/>
        </w:rPr>
        <w:t xml:space="preserve"> in volume, del Pil per abitante e per occupato sono </w:t>
      </w:r>
      <w:r w:rsidR="00027F92">
        <w:rPr>
          <w:rFonts w:ascii="Arial" w:hAnsi="Arial" w:cs="Arial"/>
          <w:sz w:val="20"/>
          <w:szCs w:val="20"/>
        </w:rPr>
        <w:t>rilevanti.</w:t>
      </w:r>
    </w:p>
    <w:p w14:paraId="03636A96" w14:textId="77777777" w:rsidR="00F23FD1" w:rsidRPr="00F2210F" w:rsidRDefault="00F23FD1" w:rsidP="00E34F20">
      <w:pPr>
        <w:spacing w:after="120" w:line="240" w:lineRule="auto"/>
        <w:jc w:val="both"/>
        <w:rPr>
          <w:rFonts w:ascii="Arial" w:hAnsi="Arial" w:cs="Arial"/>
          <w:sz w:val="20"/>
          <w:szCs w:val="20"/>
        </w:rPr>
      </w:pPr>
      <w:r w:rsidRPr="00F2210F">
        <w:rPr>
          <w:rFonts w:ascii="Arial" w:hAnsi="Arial" w:cs="Arial"/>
          <w:sz w:val="20"/>
          <w:szCs w:val="20"/>
        </w:rPr>
        <w:t xml:space="preserve">Nel 2021, il recupero delle ore lavorate si è associato a un </w:t>
      </w:r>
      <w:r w:rsidRPr="00F23FD1">
        <w:rPr>
          <w:rFonts w:ascii="Arial" w:hAnsi="Arial" w:cs="Arial"/>
          <w:b/>
          <w:sz w:val="20"/>
          <w:szCs w:val="20"/>
        </w:rPr>
        <w:t>leggero aumento del tasso di occupazione</w:t>
      </w:r>
      <w:r w:rsidRPr="00F2210F">
        <w:rPr>
          <w:rFonts w:ascii="Arial" w:hAnsi="Arial" w:cs="Arial"/>
          <w:sz w:val="20"/>
          <w:szCs w:val="20"/>
        </w:rPr>
        <w:t>, che, per i 20-64enni, ha raggiunto il 62,7% (+0,8 punti percentuali), con benefici superiori per le categorie che avevano sofferto di più l’effetto della pandemia nel 2020 (donne, giovani, stranieri e residenti nelle regioni meridionali).</w:t>
      </w:r>
    </w:p>
    <w:p w14:paraId="17FCB0DF" w14:textId="77777777" w:rsidR="00F23FD1" w:rsidRPr="00F2210F" w:rsidRDefault="00F23FD1" w:rsidP="00E34F20">
      <w:pPr>
        <w:spacing w:after="120" w:line="240" w:lineRule="auto"/>
        <w:jc w:val="both"/>
        <w:rPr>
          <w:rFonts w:ascii="Arial" w:hAnsi="Arial" w:cs="Arial"/>
          <w:sz w:val="20"/>
          <w:szCs w:val="20"/>
        </w:rPr>
      </w:pPr>
      <w:r w:rsidRPr="00F2210F">
        <w:rPr>
          <w:rFonts w:ascii="Arial" w:hAnsi="Arial" w:cs="Arial"/>
          <w:sz w:val="20"/>
          <w:szCs w:val="20"/>
        </w:rPr>
        <w:t xml:space="preserve">Il </w:t>
      </w:r>
      <w:r w:rsidRPr="00F23FD1">
        <w:rPr>
          <w:rFonts w:ascii="Arial" w:hAnsi="Arial" w:cs="Arial"/>
          <w:b/>
          <w:sz w:val="20"/>
          <w:szCs w:val="20"/>
        </w:rPr>
        <w:t>tasso di disoccupazione</w:t>
      </w:r>
      <w:r w:rsidRPr="00F2210F">
        <w:rPr>
          <w:rFonts w:ascii="Arial" w:hAnsi="Arial" w:cs="Arial"/>
          <w:sz w:val="20"/>
          <w:szCs w:val="20"/>
        </w:rPr>
        <w:t xml:space="preserve"> ha segnato un aumento marginale (9,5%; +0,2 p.p.), riflettendo anche la ripresa delle azioni di ricerca di lavoro che ha determinato una riduzione dell’inattività. Il tasso di disoccupazione permane su livelli ampiamente superiori a quelli europei.</w:t>
      </w:r>
    </w:p>
    <w:p w14:paraId="541A0D36" w14:textId="0EEA226A" w:rsidR="00F23FD1" w:rsidRPr="00F2210F" w:rsidRDefault="00F23FD1" w:rsidP="00E34F20">
      <w:pPr>
        <w:spacing w:after="120" w:line="240" w:lineRule="auto"/>
        <w:jc w:val="both"/>
        <w:rPr>
          <w:rFonts w:ascii="Arial" w:hAnsi="Arial" w:cs="Arial"/>
          <w:sz w:val="20"/>
          <w:szCs w:val="20"/>
        </w:rPr>
      </w:pPr>
      <w:r w:rsidRPr="00F2210F">
        <w:rPr>
          <w:rFonts w:ascii="Arial" w:hAnsi="Arial" w:cs="Arial"/>
          <w:sz w:val="20"/>
          <w:szCs w:val="20"/>
        </w:rPr>
        <w:t xml:space="preserve">Nel 2021, rallenta la crescita dell’incidenza di </w:t>
      </w:r>
      <w:r w:rsidRPr="00F23FD1">
        <w:rPr>
          <w:rFonts w:ascii="Arial" w:hAnsi="Arial" w:cs="Arial"/>
          <w:b/>
          <w:sz w:val="20"/>
          <w:szCs w:val="20"/>
        </w:rPr>
        <w:t>occupati che lavorano da casa</w:t>
      </w:r>
      <w:r w:rsidRPr="00F2210F">
        <w:rPr>
          <w:rFonts w:ascii="Arial" w:hAnsi="Arial" w:cs="Arial"/>
          <w:sz w:val="20"/>
          <w:szCs w:val="20"/>
        </w:rPr>
        <w:t xml:space="preserve">, che si attesta sul 14,8%. </w:t>
      </w:r>
    </w:p>
    <w:p w14:paraId="0679C549" w14:textId="094EFF4F" w:rsidR="00F23FD1" w:rsidRPr="00F2210F" w:rsidRDefault="00F23FD1" w:rsidP="00E34F20">
      <w:pPr>
        <w:spacing w:after="120" w:line="240" w:lineRule="auto"/>
        <w:jc w:val="both"/>
        <w:rPr>
          <w:rFonts w:ascii="Arial" w:hAnsi="Arial" w:cs="Arial"/>
          <w:sz w:val="20"/>
          <w:szCs w:val="20"/>
        </w:rPr>
      </w:pPr>
      <w:r w:rsidRPr="00F2210F">
        <w:rPr>
          <w:rFonts w:ascii="Arial" w:hAnsi="Arial" w:cs="Arial"/>
          <w:sz w:val="20"/>
          <w:szCs w:val="20"/>
        </w:rPr>
        <w:t xml:space="preserve">Nel 2020, la </w:t>
      </w:r>
      <w:r w:rsidRPr="00F23FD1">
        <w:rPr>
          <w:rFonts w:ascii="Arial" w:hAnsi="Arial" w:cs="Arial"/>
          <w:b/>
          <w:sz w:val="20"/>
          <w:szCs w:val="20"/>
        </w:rPr>
        <w:t>spesa pubblica per le misure occupazionali e la protezione sociale dei disoccupati</w:t>
      </w:r>
      <w:r w:rsidRPr="00F2210F">
        <w:rPr>
          <w:rFonts w:ascii="Arial" w:hAnsi="Arial" w:cs="Arial"/>
          <w:sz w:val="20"/>
          <w:szCs w:val="20"/>
        </w:rPr>
        <w:t xml:space="preserve"> cresce consistentemente, raggiungendo il 2,8% del Pil e sfiorando il 5% della spesa pubblica complessiva. L’andamento riflette il peso delle misure di politica economica approvate per mitigare le rica</w:t>
      </w:r>
      <w:r w:rsidR="00705DED">
        <w:rPr>
          <w:rFonts w:ascii="Arial" w:hAnsi="Arial" w:cs="Arial"/>
          <w:sz w:val="20"/>
          <w:szCs w:val="20"/>
        </w:rPr>
        <w:t xml:space="preserve">dute della pandemia da </w:t>
      </w:r>
      <w:r w:rsidR="00705DED" w:rsidRPr="009C0A18">
        <w:rPr>
          <w:rFonts w:ascii="Arial" w:hAnsi="Arial" w:cs="Arial"/>
          <w:i/>
          <w:iCs/>
          <w:sz w:val="20"/>
          <w:szCs w:val="20"/>
        </w:rPr>
        <w:t>COVID-19</w:t>
      </w:r>
      <w:r w:rsidR="00705DED">
        <w:rPr>
          <w:rFonts w:ascii="Arial" w:hAnsi="Arial" w:cs="Arial"/>
          <w:sz w:val="20"/>
          <w:szCs w:val="20"/>
        </w:rPr>
        <w:t>.</w:t>
      </w:r>
    </w:p>
    <w:p w14:paraId="08922DE1" w14:textId="77777777" w:rsidR="00F23FD1" w:rsidRPr="00F2210F" w:rsidRDefault="00F23FD1" w:rsidP="00E34F20">
      <w:pPr>
        <w:spacing w:after="120" w:line="240" w:lineRule="auto"/>
        <w:jc w:val="both"/>
        <w:rPr>
          <w:rFonts w:ascii="Arial" w:hAnsi="Arial" w:cs="Arial"/>
          <w:sz w:val="20"/>
          <w:szCs w:val="20"/>
        </w:rPr>
      </w:pPr>
      <w:r w:rsidRPr="00F2210F">
        <w:rPr>
          <w:rFonts w:ascii="Arial" w:hAnsi="Arial" w:cs="Arial"/>
          <w:sz w:val="20"/>
          <w:szCs w:val="20"/>
        </w:rPr>
        <w:t xml:space="preserve">Nel 2020, il </w:t>
      </w:r>
      <w:r w:rsidRPr="00F23FD1">
        <w:rPr>
          <w:rFonts w:ascii="Arial" w:hAnsi="Arial" w:cs="Arial"/>
          <w:b/>
          <w:sz w:val="20"/>
          <w:szCs w:val="20"/>
        </w:rPr>
        <w:t xml:space="preserve">tasso di infortuni mortali e inabilità permanenti </w:t>
      </w:r>
      <w:r w:rsidRPr="00F2210F">
        <w:rPr>
          <w:rFonts w:ascii="Arial" w:hAnsi="Arial" w:cs="Arial"/>
          <w:sz w:val="20"/>
          <w:szCs w:val="20"/>
        </w:rPr>
        <w:t>scende fino 9,0 ogni 10.000 occupati.</w:t>
      </w:r>
    </w:p>
    <w:p w14:paraId="5FD360DC" w14:textId="77777777" w:rsidR="007358ED" w:rsidRDefault="007358ED" w:rsidP="007358ED">
      <w:pPr>
        <w:autoSpaceDE w:val="0"/>
        <w:autoSpaceDN w:val="0"/>
        <w:adjustRightInd w:val="0"/>
        <w:spacing w:line="240" w:lineRule="auto"/>
        <w:jc w:val="both"/>
        <w:rPr>
          <w:rFonts w:ascii="Arial" w:hAnsi="Arial" w:cs="Arial"/>
          <w:sz w:val="20"/>
          <w:szCs w:val="20"/>
        </w:rPr>
      </w:pPr>
    </w:p>
    <w:p w14:paraId="4B37B116" w14:textId="77777777" w:rsidR="007358ED" w:rsidRPr="00DD7BC5" w:rsidRDefault="007358ED" w:rsidP="007358ED">
      <w:pPr>
        <w:autoSpaceDE w:val="0"/>
        <w:autoSpaceDN w:val="0"/>
        <w:adjustRightInd w:val="0"/>
        <w:spacing w:after="0" w:line="240" w:lineRule="auto"/>
        <w:jc w:val="both"/>
        <w:rPr>
          <w:rFonts w:cs="Helvetica"/>
          <w:sz w:val="24"/>
          <w:szCs w:val="24"/>
        </w:rPr>
      </w:pPr>
      <w:r w:rsidRPr="00FF083C">
        <w:rPr>
          <w:rFonts w:cs="Helvetica"/>
          <w:b/>
          <w:noProof/>
          <w:sz w:val="24"/>
          <w:szCs w:val="24"/>
          <w:lang w:eastAsia="it-IT"/>
        </w:rPr>
        <w:drawing>
          <wp:anchor distT="0" distB="0" distL="114300" distR="114300" simplePos="0" relativeHeight="251667456" behindDoc="0" locked="0" layoutInCell="1" allowOverlap="1" wp14:anchorId="7FBA2EA1" wp14:editId="249BD1E6">
            <wp:simplePos x="0" y="0"/>
            <wp:positionH relativeFrom="column">
              <wp:posOffset>3810</wp:posOffset>
            </wp:positionH>
            <wp:positionV relativeFrom="paragraph">
              <wp:posOffset>12065</wp:posOffset>
            </wp:positionV>
            <wp:extent cx="863600" cy="863600"/>
            <wp:effectExtent l="0" t="0" r="0" b="0"/>
            <wp:wrapSquare wrapText="bothSides"/>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goal_IT.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63600" cy="863600"/>
                    </a:xfrm>
                    <a:prstGeom prst="rect">
                      <a:avLst/>
                    </a:prstGeom>
                  </pic:spPr>
                </pic:pic>
              </a:graphicData>
            </a:graphic>
            <wp14:sizeRelH relativeFrom="page">
              <wp14:pctWidth>0</wp14:pctWidth>
            </wp14:sizeRelH>
            <wp14:sizeRelV relativeFrom="page">
              <wp14:pctHeight>0</wp14:pctHeight>
            </wp14:sizeRelV>
          </wp:anchor>
        </w:drawing>
      </w:r>
      <w:r w:rsidRPr="00FF083C">
        <w:rPr>
          <w:rFonts w:cs="Helvetica"/>
          <w:b/>
          <w:sz w:val="24"/>
          <w:szCs w:val="24"/>
        </w:rPr>
        <w:t>Goal 9</w:t>
      </w:r>
      <w:r w:rsidRPr="00DD7BC5">
        <w:rPr>
          <w:rFonts w:cs="Helvetica"/>
          <w:w w:val="95"/>
          <w:sz w:val="24"/>
          <w:szCs w:val="24"/>
        </w:rPr>
        <w:t xml:space="preserve"> </w:t>
      </w:r>
    </w:p>
    <w:p w14:paraId="4E19E60C" w14:textId="77777777" w:rsidR="00551FA2" w:rsidRDefault="00551FA2" w:rsidP="00551FA2">
      <w:pPr>
        <w:autoSpaceDE w:val="0"/>
        <w:autoSpaceDN w:val="0"/>
        <w:adjustRightInd w:val="0"/>
        <w:spacing w:after="0" w:line="240" w:lineRule="auto"/>
        <w:jc w:val="both"/>
        <w:rPr>
          <w:rFonts w:cs="Helvetica"/>
          <w:b/>
          <w:bCs/>
          <w:sz w:val="24"/>
          <w:szCs w:val="24"/>
        </w:rPr>
      </w:pPr>
    </w:p>
    <w:p w14:paraId="5B2E3A95" w14:textId="42C8799E" w:rsidR="007358ED" w:rsidRPr="00C472F8" w:rsidRDefault="007358ED" w:rsidP="00E34F20">
      <w:pPr>
        <w:pStyle w:val="NormaleWeb"/>
        <w:shd w:val="clear" w:color="auto" w:fill="FFFFFF"/>
        <w:spacing w:line="240" w:lineRule="auto"/>
        <w:jc w:val="both"/>
        <w:rPr>
          <w:rFonts w:ascii="Arial" w:hAnsi="Arial" w:cs="Arial"/>
          <w:sz w:val="20"/>
          <w:szCs w:val="20"/>
        </w:rPr>
      </w:pPr>
      <w:r w:rsidRPr="00C472F8">
        <w:rPr>
          <w:rFonts w:ascii="Arial" w:hAnsi="Arial" w:cs="Arial"/>
          <w:sz w:val="20"/>
          <w:szCs w:val="20"/>
        </w:rPr>
        <w:t xml:space="preserve">Nel 2020, </w:t>
      </w:r>
      <w:r w:rsidRPr="00C472F8">
        <w:rPr>
          <w:rFonts w:ascii="Arial" w:hAnsi="Arial" w:cs="Arial"/>
          <w:b/>
          <w:sz w:val="20"/>
          <w:szCs w:val="20"/>
        </w:rPr>
        <w:t>il trasporto passeggeri</w:t>
      </w:r>
      <w:r w:rsidRPr="00C472F8">
        <w:rPr>
          <w:rFonts w:ascii="Arial" w:hAnsi="Arial" w:cs="Arial"/>
          <w:sz w:val="20"/>
          <w:szCs w:val="20"/>
        </w:rPr>
        <w:t xml:space="preserve"> ha registrato un crollo delle presenze a causa delle misure restrittive per contrastare la pandemia. Anche il sistema della logistica è stato colpito, seppure in misura inferiore rispetto al trasporto passeggeri. </w:t>
      </w:r>
      <w:r w:rsidR="00551FA2">
        <w:rPr>
          <w:rFonts w:ascii="Arial" w:hAnsi="Arial" w:cs="Arial"/>
          <w:sz w:val="20"/>
          <w:szCs w:val="20"/>
        </w:rPr>
        <w:t xml:space="preserve"> </w:t>
      </w:r>
    </w:p>
    <w:p w14:paraId="178A5194" w14:textId="77777777" w:rsidR="007358ED" w:rsidRPr="00C472F8" w:rsidRDefault="007358ED" w:rsidP="00D66411">
      <w:pPr>
        <w:pStyle w:val="NormaleWeb"/>
        <w:shd w:val="clear" w:color="auto" w:fill="FFFFFF"/>
        <w:spacing w:after="120" w:line="240" w:lineRule="auto"/>
        <w:jc w:val="both"/>
        <w:rPr>
          <w:rFonts w:ascii="Arial" w:hAnsi="Arial" w:cs="Arial"/>
          <w:sz w:val="20"/>
          <w:szCs w:val="20"/>
        </w:rPr>
      </w:pPr>
      <w:r w:rsidRPr="00C472F8">
        <w:rPr>
          <w:rFonts w:ascii="Arial" w:hAnsi="Arial" w:cs="Arial"/>
          <w:sz w:val="20"/>
          <w:szCs w:val="20"/>
        </w:rPr>
        <w:t xml:space="preserve">Nel 2020, </w:t>
      </w:r>
      <w:r w:rsidRPr="00C472F8">
        <w:rPr>
          <w:rFonts w:ascii="Arial" w:hAnsi="Arial" w:cs="Arial"/>
          <w:b/>
          <w:sz w:val="20"/>
          <w:szCs w:val="20"/>
        </w:rPr>
        <w:t>l’intensità di emissioni di CO2 sul valore aggiunto</w:t>
      </w:r>
      <w:r w:rsidRPr="00C472F8">
        <w:rPr>
          <w:rFonts w:ascii="Arial" w:hAnsi="Arial" w:cs="Arial"/>
          <w:sz w:val="20"/>
          <w:szCs w:val="20"/>
        </w:rPr>
        <w:t xml:space="preserve"> ha continuato a diminuire, scendendo del 2,4% rispetto al 2019 e del 5,1% rispetto al 2018. </w:t>
      </w:r>
    </w:p>
    <w:p w14:paraId="30686060" w14:textId="77777777" w:rsidR="007358ED" w:rsidRPr="00C472F8" w:rsidRDefault="007358ED" w:rsidP="00D66411">
      <w:pPr>
        <w:pStyle w:val="NormaleWeb"/>
        <w:shd w:val="clear" w:color="auto" w:fill="FFFFFF"/>
        <w:spacing w:after="120" w:line="240" w:lineRule="auto"/>
        <w:jc w:val="both"/>
        <w:rPr>
          <w:rFonts w:ascii="Arial" w:hAnsi="Arial" w:cs="Arial"/>
          <w:sz w:val="20"/>
          <w:szCs w:val="20"/>
        </w:rPr>
      </w:pPr>
      <w:r w:rsidRPr="00C472F8">
        <w:rPr>
          <w:rFonts w:ascii="Arial" w:hAnsi="Arial" w:cs="Arial"/>
          <w:b/>
          <w:sz w:val="20"/>
          <w:szCs w:val="20"/>
        </w:rPr>
        <w:t>Gli investimenti in ricerca e sviluppo, software, beni di proprietà intellettuale</w:t>
      </w:r>
      <w:r w:rsidRPr="00C472F8">
        <w:rPr>
          <w:rFonts w:ascii="Arial" w:hAnsi="Arial" w:cs="Arial"/>
          <w:sz w:val="20"/>
          <w:szCs w:val="20"/>
        </w:rPr>
        <w:t xml:space="preserve"> hanno mostrato una minore reattività al ciclo economico del 2021 e la loro quota ha subito una brusca contrazione, attestandosi rispettivamente al 7,8%, 8,4% e 16,7%, con una diminuzione di 1,2, 1,1 e 2,4 punti percentuali rispetto al 2019. </w:t>
      </w:r>
    </w:p>
    <w:p w14:paraId="2F4612E6" w14:textId="77777777" w:rsidR="007358ED" w:rsidRPr="00C472F8" w:rsidRDefault="007358ED" w:rsidP="00D66411">
      <w:pPr>
        <w:pStyle w:val="NormaleWeb"/>
        <w:shd w:val="clear" w:color="auto" w:fill="FFFFFF"/>
        <w:spacing w:after="120" w:line="240" w:lineRule="auto"/>
        <w:jc w:val="both"/>
        <w:rPr>
          <w:rFonts w:ascii="Arial" w:hAnsi="Arial" w:cs="Arial"/>
          <w:b/>
          <w:sz w:val="20"/>
          <w:szCs w:val="20"/>
        </w:rPr>
      </w:pPr>
      <w:r w:rsidRPr="00C472F8">
        <w:rPr>
          <w:rFonts w:ascii="Arial" w:hAnsi="Arial" w:cs="Arial"/>
          <w:sz w:val="20"/>
          <w:szCs w:val="20"/>
        </w:rPr>
        <w:t xml:space="preserve">Nel 2020, </w:t>
      </w:r>
      <w:r w:rsidRPr="00C472F8">
        <w:rPr>
          <w:rFonts w:ascii="Arial" w:hAnsi="Arial" w:cs="Arial"/>
          <w:b/>
          <w:sz w:val="20"/>
          <w:szCs w:val="20"/>
        </w:rPr>
        <w:t>la spesa in ricerca e sviluppo</w:t>
      </w:r>
      <w:r w:rsidRPr="00C472F8">
        <w:rPr>
          <w:rFonts w:ascii="Arial" w:hAnsi="Arial" w:cs="Arial"/>
          <w:sz w:val="20"/>
          <w:szCs w:val="20"/>
        </w:rPr>
        <w:t xml:space="preserve"> è diminuita in valore assoluto rispetto all’anno precedente pur registrando un aumento della sua intensità pari al 1,51% del Pil.</w:t>
      </w:r>
    </w:p>
    <w:p w14:paraId="0D68B1AF" w14:textId="77777777" w:rsidR="007358ED" w:rsidRPr="00F135F4" w:rsidRDefault="007358ED" w:rsidP="007358ED">
      <w:pPr>
        <w:autoSpaceDE w:val="0"/>
        <w:autoSpaceDN w:val="0"/>
        <w:adjustRightInd w:val="0"/>
        <w:spacing w:after="120" w:line="240" w:lineRule="auto"/>
        <w:jc w:val="both"/>
        <w:rPr>
          <w:rFonts w:ascii="Arial" w:hAnsi="Arial" w:cs="Arial"/>
          <w:sz w:val="20"/>
          <w:szCs w:val="20"/>
        </w:rPr>
      </w:pPr>
    </w:p>
    <w:p w14:paraId="047531E3" w14:textId="77777777" w:rsidR="007358ED" w:rsidRPr="005A57D3" w:rsidRDefault="007358ED" w:rsidP="00E34F20">
      <w:pPr>
        <w:autoSpaceDE w:val="0"/>
        <w:autoSpaceDN w:val="0"/>
        <w:adjustRightInd w:val="0"/>
        <w:spacing w:after="0" w:line="240" w:lineRule="auto"/>
        <w:jc w:val="both"/>
        <w:rPr>
          <w:rFonts w:cs="Helvetica"/>
          <w:b/>
        </w:rPr>
      </w:pPr>
      <w:r w:rsidRPr="00E34F20">
        <w:rPr>
          <w:rFonts w:cs="Helvetica"/>
          <w:b/>
          <w:noProof/>
          <w:sz w:val="24"/>
          <w:szCs w:val="24"/>
          <w:lang w:eastAsia="it-IT"/>
        </w:rPr>
        <w:drawing>
          <wp:anchor distT="0" distB="0" distL="114300" distR="114300" simplePos="0" relativeHeight="251668480" behindDoc="0" locked="0" layoutInCell="1" allowOverlap="1" wp14:anchorId="08D03542" wp14:editId="3697CA24">
            <wp:simplePos x="0" y="0"/>
            <wp:positionH relativeFrom="column">
              <wp:posOffset>3810</wp:posOffset>
            </wp:positionH>
            <wp:positionV relativeFrom="paragraph">
              <wp:posOffset>13335</wp:posOffset>
            </wp:positionV>
            <wp:extent cx="864000" cy="864000"/>
            <wp:effectExtent l="0" t="0" r="0" b="0"/>
            <wp:wrapSquare wrapText="bothSides"/>
            <wp:docPr id="15361" name="Immagine 15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goal_IT.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64000" cy="864000"/>
                    </a:xfrm>
                    <a:prstGeom prst="rect">
                      <a:avLst/>
                    </a:prstGeom>
                  </pic:spPr>
                </pic:pic>
              </a:graphicData>
            </a:graphic>
            <wp14:sizeRelH relativeFrom="page">
              <wp14:pctWidth>0</wp14:pctWidth>
            </wp14:sizeRelH>
            <wp14:sizeRelV relativeFrom="page">
              <wp14:pctHeight>0</wp14:pctHeight>
            </wp14:sizeRelV>
          </wp:anchor>
        </w:drawing>
      </w:r>
      <w:r w:rsidRPr="00E34F20">
        <w:rPr>
          <w:rFonts w:cs="Helvetica"/>
          <w:b/>
          <w:sz w:val="24"/>
          <w:szCs w:val="24"/>
        </w:rPr>
        <w:t>Goal 10</w:t>
      </w:r>
    </w:p>
    <w:p w14:paraId="3460E057" w14:textId="77777777" w:rsidR="005A57D3" w:rsidRDefault="005A57D3" w:rsidP="00FA3CEF">
      <w:pPr>
        <w:autoSpaceDE w:val="0"/>
        <w:autoSpaceDN w:val="0"/>
        <w:adjustRightInd w:val="0"/>
        <w:spacing w:after="0" w:line="240" w:lineRule="auto"/>
        <w:jc w:val="both"/>
        <w:rPr>
          <w:rFonts w:cs="Helvetica"/>
          <w:b/>
          <w:bCs/>
          <w:sz w:val="24"/>
          <w:szCs w:val="24"/>
        </w:rPr>
      </w:pPr>
    </w:p>
    <w:p w14:paraId="7E72A3FF" w14:textId="77777777" w:rsidR="007358ED" w:rsidRDefault="007358ED" w:rsidP="00E34F20">
      <w:pPr>
        <w:pStyle w:val="StilePaola"/>
        <w:adjustRightInd w:val="0"/>
        <w:spacing w:before="0" w:after="160" w:line="240" w:lineRule="auto"/>
        <w:rPr>
          <w:rFonts w:ascii="Arial" w:hAnsi="Arial" w:cs="Arial"/>
          <w:color w:val="auto"/>
          <w:sz w:val="20"/>
          <w:szCs w:val="20"/>
        </w:rPr>
      </w:pPr>
      <w:r w:rsidRPr="008E0E43">
        <w:rPr>
          <w:rFonts w:ascii="Arial" w:hAnsi="Arial" w:cs="Arial"/>
          <w:color w:val="auto"/>
          <w:sz w:val="20"/>
          <w:szCs w:val="20"/>
        </w:rPr>
        <w:t xml:space="preserve">Nel 2021, </w:t>
      </w:r>
      <w:r w:rsidRPr="008E0E43">
        <w:rPr>
          <w:rFonts w:ascii="Arial" w:hAnsi="Arial" w:cs="Arial"/>
          <w:b/>
          <w:color w:val="auto"/>
          <w:sz w:val="20"/>
          <w:szCs w:val="20"/>
        </w:rPr>
        <w:t>il reddito disponibile lordo pro-capite delle famiglie residenti</w:t>
      </w:r>
      <w:r w:rsidRPr="008E0E43">
        <w:rPr>
          <w:rFonts w:ascii="Arial" w:hAnsi="Arial" w:cs="Arial"/>
          <w:color w:val="auto"/>
          <w:sz w:val="20"/>
          <w:szCs w:val="20"/>
        </w:rPr>
        <w:t xml:space="preserve"> in Italia ha segnato una crescita (+3,8%) dopo la flessione dell’anno precedente</w:t>
      </w:r>
      <w:r>
        <w:rPr>
          <w:rFonts w:ascii="Arial" w:hAnsi="Arial" w:cs="Arial"/>
          <w:color w:val="auto"/>
          <w:sz w:val="20"/>
          <w:szCs w:val="20"/>
        </w:rPr>
        <w:t xml:space="preserve">. </w:t>
      </w:r>
      <w:r w:rsidRPr="008E0E43">
        <w:rPr>
          <w:rFonts w:ascii="Arial" w:hAnsi="Arial" w:cs="Arial"/>
          <w:color w:val="auto"/>
          <w:sz w:val="20"/>
          <w:szCs w:val="20"/>
        </w:rPr>
        <w:t>L’aumento del potere d’acquisto è stato di intensità minore (+2,1%).</w:t>
      </w:r>
    </w:p>
    <w:p w14:paraId="1C083B2B" w14:textId="77777777" w:rsidR="007358ED" w:rsidRPr="001607C6" w:rsidRDefault="007358ED" w:rsidP="00E34F20">
      <w:pPr>
        <w:pStyle w:val="StilePaola"/>
        <w:adjustRightInd w:val="0"/>
        <w:spacing w:before="0" w:after="120" w:line="240" w:lineRule="auto"/>
        <w:rPr>
          <w:rFonts w:ascii="Arial" w:hAnsi="Arial" w:cs="Arial"/>
          <w:color w:val="auto"/>
          <w:sz w:val="20"/>
          <w:szCs w:val="20"/>
        </w:rPr>
      </w:pPr>
      <w:r w:rsidRPr="001607C6">
        <w:rPr>
          <w:rFonts w:ascii="Arial" w:hAnsi="Arial" w:cs="Arial"/>
          <w:color w:val="auto"/>
          <w:sz w:val="20"/>
          <w:szCs w:val="20"/>
        </w:rPr>
        <w:t xml:space="preserve">Nel 2020, primo anno di pandemia, si è registrato un </w:t>
      </w:r>
      <w:r w:rsidRPr="007826E3">
        <w:rPr>
          <w:rFonts w:ascii="Arial" w:hAnsi="Arial" w:cs="Arial"/>
          <w:color w:val="auto"/>
          <w:sz w:val="20"/>
          <w:szCs w:val="20"/>
        </w:rPr>
        <w:t>aumento dell’indicatore che esprime la</w:t>
      </w:r>
      <w:r w:rsidRPr="001607C6">
        <w:rPr>
          <w:rFonts w:ascii="Arial" w:hAnsi="Arial" w:cs="Arial"/>
          <w:b/>
          <w:color w:val="auto"/>
          <w:sz w:val="20"/>
          <w:szCs w:val="20"/>
        </w:rPr>
        <w:t xml:space="preserve"> diseguaglianza del reddito netto </w:t>
      </w:r>
      <w:r w:rsidRPr="007826E3">
        <w:rPr>
          <w:rFonts w:ascii="Arial" w:hAnsi="Arial" w:cs="Arial"/>
          <w:color w:val="auto"/>
          <w:sz w:val="20"/>
          <w:szCs w:val="20"/>
        </w:rPr>
        <w:t>(s80/s20)</w:t>
      </w:r>
      <w:r w:rsidRPr="001607C6">
        <w:rPr>
          <w:rFonts w:ascii="Arial" w:hAnsi="Arial" w:cs="Arial"/>
          <w:color w:val="auto"/>
          <w:sz w:val="20"/>
          <w:szCs w:val="20"/>
        </w:rPr>
        <w:t xml:space="preserve"> al livello di 5,9, ben 0,2 punti in più rispetto al 2019. I redditi familiari pro capite del 40% della popolazione a più basso reddito sono diminuiti in misura maggiore rispetto a quelli del totale della popolazione (-2,1 e -0,2 rispettivamente nel 2020).</w:t>
      </w:r>
    </w:p>
    <w:p w14:paraId="65A1DC91" w14:textId="7808D935" w:rsidR="007358ED" w:rsidRDefault="007358ED" w:rsidP="00E34F20">
      <w:pPr>
        <w:pStyle w:val="StilePaola"/>
        <w:adjustRightInd w:val="0"/>
        <w:spacing w:before="0" w:after="120" w:line="240" w:lineRule="auto"/>
        <w:rPr>
          <w:rFonts w:ascii="Arial" w:hAnsi="Arial" w:cs="Arial"/>
          <w:color w:val="auto"/>
          <w:sz w:val="20"/>
          <w:szCs w:val="20"/>
        </w:rPr>
      </w:pPr>
      <w:r w:rsidRPr="008E0E43">
        <w:rPr>
          <w:rFonts w:ascii="Arial" w:hAnsi="Arial" w:cs="Arial"/>
          <w:color w:val="auto"/>
          <w:sz w:val="20"/>
          <w:szCs w:val="20"/>
        </w:rPr>
        <w:t>Nel 2020, si è ulteriormente ridotto</w:t>
      </w:r>
      <w:r w:rsidRPr="008E0E43">
        <w:rPr>
          <w:rFonts w:ascii="Arial" w:hAnsi="Arial" w:cs="Arial"/>
          <w:b/>
          <w:color w:val="auto"/>
          <w:sz w:val="20"/>
          <w:szCs w:val="20"/>
        </w:rPr>
        <w:t xml:space="preserve"> il numero dei nuovi permessi di soggiorno</w:t>
      </w:r>
      <w:r w:rsidRPr="008E0E43">
        <w:rPr>
          <w:rFonts w:ascii="Arial" w:hAnsi="Arial" w:cs="Arial"/>
          <w:color w:val="auto"/>
          <w:sz w:val="20"/>
          <w:szCs w:val="20"/>
        </w:rPr>
        <w:t xml:space="preserve">, che si sono attestati a 106.503, il 39,9% in meno rispetto al 2019. La contrazione ha interessato tutte le motivazioni all’ingresso, ma a differenza dell’anno precedente sono diminuiti soprattutto i permessi rilasciati per richiesta di studio (-58,2), come effetto delle chiusure prolungate dei confini dovute alla pandemia da </w:t>
      </w:r>
      <w:r w:rsidRPr="009C0A18">
        <w:rPr>
          <w:rFonts w:ascii="Arial" w:hAnsi="Arial" w:cs="Arial"/>
          <w:i/>
          <w:iCs/>
          <w:color w:val="auto"/>
          <w:sz w:val="20"/>
          <w:szCs w:val="20"/>
        </w:rPr>
        <w:t>C</w:t>
      </w:r>
      <w:r w:rsidR="00705DED" w:rsidRPr="009C0A18">
        <w:rPr>
          <w:rFonts w:ascii="Arial" w:hAnsi="Arial" w:cs="Arial"/>
          <w:i/>
          <w:iCs/>
          <w:color w:val="auto"/>
          <w:sz w:val="20"/>
          <w:szCs w:val="20"/>
        </w:rPr>
        <w:t>OVID</w:t>
      </w:r>
      <w:r w:rsidRPr="009C0A18">
        <w:rPr>
          <w:rFonts w:ascii="Arial" w:hAnsi="Arial" w:cs="Arial"/>
          <w:i/>
          <w:iCs/>
          <w:color w:val="auto"/>
          <w:sz w:val="20"/>
          <w:szCs w:val="20"/>
        </w:rPr>
        <w:t>-19</w:t>
      </w:r>
      <w:r w:rsidRPr="008E0E43">
        <w:rPr>
          <w:rFonts w:ascii="Arial" w:hAnsi="Arial" w:cs="Arial"/>
          <w:color w:val="auto"/>
          <w:sz w:val="20"/>
          <w:szCs w:val="20"/>
        </w:rPr>
        <w:t xml:space="preserve">. </w:t>
      </w:r>
    </w:p>
    <w:p w14:paraId="6A651068" w14:textId="77777777" w:rsidR="007358ED" w:rsidRPr="008E0E43" w:rsidRDefault="007358ED" w:rsidP="007358ED">
      <w:pPr>
        <w:pStyle w:val="StilePaola"/>
        <w:adjustRightInd w:val="0"/>
        <w:spacing w:before="0"/>
        <w:rPr>
          <w:rFonts w:ascii="Arial" w:hAnsi="Arial" w:cs="Arial"/>
          <w:color w:val="auto"/>
          <w:sz w:val="20"/>
          <w:szCs w:val="20"/>
        </w:rPr>
      </w:pPr>
    </w:p>
    <w:p w14:paraId="42334816" w14:textId="77777777" w:rsidR="007358ED" w:rsidRDefault="007358ED" w:rsidP="007358ED">
      <w:pPr>
        <w:autoSpaceDE w:val="0"/>
        <w:autoSpaceDN w:val="0"/>
        <w:adjustRightInd w:val="0"/>
        <w:spacing w:line="240" w:lineRule="auto"/>
        <w:jc w:val="both"/>
        <w:rPr>
          <w:rFonts w:ascii="Arial" w:hAnsi="Arial" w:cs="Arial"/>
          <w:sz w:val="20"/>
          <w:szCs w:val="20"/>
        </w:rPr>
      </w:pPr>
    </w:p>
    <w:p w14:paraId="446159D2" w14:textId="77777777" w:rsidR="007358ED" w:rsidRPr="00DD7BC5" w:rsidRDefault="007358ED" w:rsidP="007358ED">
      <w:pPr>
        <w:autoSpaceDE w:val="0"/>
        <w:autoSpaceDN w:val="0"/>
        <w:adjustRightInd w:val="0"/>
        <w:spacing w:after="0" w:line="240" w:lineRule="auto"/>
        <w:jc w:val="both"/>
        <w:rPr>
          <w:rFonts w:cs="Helvetica"/>
          <w:b/>
          <w:sz w:val="24"/>
          <w:szCs w:val="24"/>
        </w:rPr>
      </w:pPr>
      <w:r w:rsidRPr="007D4915">
        <w:rPr>
          <w:rFonts w:cs="Helvetica"/>
          <w:b/>
          <w:bCs/>
          <w:noProof/>
          <w:sz w:val="24"/>
          <w:szCs w:val="24"/>
          <w:lang w:eastAsia="it-IT"/>
        </w:rPr>
        <w:lastRenderedPageBreak/>
        <w:drawing>
          <wp:anchor distT="0" distB="0" distL="114300" distR="114300" simplePos="0" relativeHeight="251671552" behindDoc="0" locked="0" layoutInCell="1" allowOverlap="1" wp14:anchorId="7832A483" wp14:editId="49DE22D6">
            <wp:simplePos x="0" y="0"/>
            <wp:positionH relativeFrom="column">
              <wp:posOffset>3810</wp:posOffset>
            </wp:positionH>
            <wp:positionV relativeFrom="paragraph">
              <wp:posOffset>12065</wp:posOffset>
            </wp:positionV>
            <wp:extent cx="864000" cy="864000"/>
            <wp:effectExtent l="0" t="0" r="0" b="0"/>
            <wp:wrapSquare wrapText="bothSides"/>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goal_IT.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64000" cy="864000"/>
                    </a:xfrm>
                    <a:prstGeom prst="rect">
                      <a:avLst/>
                    </a:prstGeom>
                  </pic:spPr>
                </pic:pic>
              </a:graphicData>
            </a:graphic>
            <wp14:sizeRelH relativeFrom="margin">
              <wp14:pctWidth>0</wp14:pctWidth>
            </wp14:sizeRelH>
            <wp14:sizeRelV relativeFrom="margin">
              <wp14:pctHeight>0</wp14:pctHeight>
            </wp14:sizeRelV>
          </wp:anchor>
        </w:drawing>
      </w:r>
      <w:r w:rsidRPr="007D4915">
        <w:rPr>
          <w:rFonts w:cs="Helvetica"/>
          <w:b/>
          <w:sz w:val="24"/>
          <w:szCs w:val="24"/>
        </w:rPr>
        <w:t>Goal 11</w:t>
      </w:r>
    </w:p>
    <w:p w14:paraId="65BFA15B" w14:textId="77777777" w:rsidR="007358ED" w:rsidRPr="00DD7BC5" w:rsidRDefault="007358ED" w:rsidP="00FA3CEF">
      <w:pPr>
        <w:autoSpaceDE w:val="0"/>
        <w:autoSpaceDN w:val="0"/>
        <w:adjustRightInd w:val="0"/>
        <w:spacing w:after="0" w:line="240" w:lineRule="auto"/>
        <w:jc w:val="both"/>
        <w:rPr>
          <w:rFonts w:cs="Helvetica"/>
          <w:b/>
          <w:sz w:val="24"/>
          <w:szCs w:val="24"/>
        </w:rPr>
      </w:pPr>
    </w:p>
    <w:p w14:paraId="1F34CE4C" w14:textId="58DA1331" w:rsidR="006B38C9" w:rsidRPr="00E34F20" w:rsidRDefault="007358ED" w:rsidP="00D368D1">
      <w:pPr>
        <w:autoSpaceDE w:val="0"/>
        <w:autoSpaceDN w:val="0"/>
        <w:adjustRightInd w:val="0"/>
        <w:spacing w:after="120" w:line="240" w:lineRule="auto"/>
        <w:jc w:val="both"/>
        <w:rPr>
          <w:rFonts w:ascii="Arial" w:hAnsi="Arial" w:cs="Arial"/>
          <w:sz w:val="2"/>
          <w:szCs w:val="2"/>
        </w:rPr>
      </w:pPr>
      <w:r w:rsidRPr="00923630">
        <w:rPr>
          <w:rFonts w:ascii="Arial" w:hAnsi="Arial" w:cs="Arial"/>
          <w:sz w:val="20"/>
          <w:szCs w:val="20"/>
        </w:rPr>
        <w:t xml:space="preserve">Nel 2021 il 17,6% della </w:t>
      </w:r>
      <w:r w:rsidRPr="00F23FD1">
        <w:rPr>
          <w:rFonts w:ascii="Arial" w:hAnsi="Arial" w:cs="Arial"/>
          <w:b/>
          <w:sz w:val="20"/>
          <w:szCs w:val="20"/>
        </w:rPr>
        <w:t>popolazione lamenta problemi relativi alle carenze strutturali e di umidità nelle abitazioni</w:t>
      </w:r>
      <w:r w:rsidRPr="00923630">
        <w:rPr>
          <w:rFonts w:ascii="Arial" w:hAnsi="Arial" w:cs="Arial"/>
          <w:sz w:val="20"/>
          <w:szCs w:val="20"/>
        </w:rPr>
        <w:t>; il disagio è più accentuato nel Mezzogiorno (19,9%).</w:t>
      </w:r>
    </w:p>
    <w:p w14:paraId="5BBC27A1" w14:textId="28DE4AA6" w:rsidR="007358ED" w:rsidRDefault="007358ED" w:rsidP="00FA3CEF">
      <w:pPr>
        <w:autoSpaceDE w:val="0"/>
        <w:autoSpaceDN w:val="0"/>
        <w:adjustRightInd w:val="0"/>
        <w:spacing w:after="120" w:line="240" w:lineRule="auto"/>
        <w:jc w:val="both"/>
        <w:rPr>
          <w:rFonts w:ascii="Arial" w:hAnsi="Arial" w:cs="Arial"/>
          <w:sz w:val="20"/>
          <w:szCs w:val="20"/>
        </w:rPr>
      </w:pPr>
      <w:r w:rsidRPr="00AE097C">
        <w:rPr>
          <w:rFonts w:ascii="Arial" w:hAnsi="Arial" w:cs="Arial"/>
          <w:sz w:val="20"/>
          <w:szCs w:val="20"/>
        </w:rPr>
        <w:t xml:space="preserve">Nel 2021 gli utenti classificati come </w:t>
      </w:r>
      <w:r w:rsidRPr="00F23FD1">
        <w:rPr>
          <w:rFonts w:ascii="Arial" w:hAnsi="Arial" w:cs="Arial"/>
          <w:b/>
          <w:sz w:val="20"/>
          <w:szCs w:val="20"/>
        </w:rPr>
        <w:t>assidui frequentatori dei mezzi pubblici</w:t>
      </w:r>
      <w:r w:rsidRPr="00AE097C">
        <w:rPr>
          <w:rFonts w:ascii="Arial" w:hAnsi="Arial" w:cs="Arial"/>
          <w:sz w:val="20"/>
          <w:szCs w:val="20"/>
        </w:rPr>
        <w:t xml:space="preserve"> </w:t>
      </w:r>
      <w:r w:rsidR="00C027D6">
        <w:rPr>
          <w:rFonts w:ascii="Arial" w:hAnsi="Arial" w:cs="Arial"/>
          <w:sz w:val="20"/>
          <w:szCs w:val="20"/>
        </w:rPr>
        <w:t>di</w:t>
      </w:r>
      <w:r w:rsidR="00C027D6" w:rsidRPr="00AE097C">
        <w:rPr>
          <w:rFonts w:ascii="Arial" w:hAnsi="Arial" w:cs="Arial"/>
          <w:sz w:val="20"/>
          <w:szCs w:val="20"/>
        </w:rPr>
        <w:t xml:space="preserve"> </w:t>
      </w:r>
      <w:r w:rsidRPr="00AE097C">
        <w:rPr>
          <w:rFonts w:ascii="Arial" w:hAnsi="Arial" w:cs="Arial"/>
          <w:sz w:val="20"/>
          <w:szCs w:val="20"/>
        </w:rPr>
        <w:t>14</w:t>
      </w:r>
      <w:r>
        <w:rPr>
          <w:rFonts w:ascii="Arial" w:hAnsi="Arial" w:cs="Arial"/>
          <w:sz w:val="20"/>
          <w:szCs w:val="20"/>
        </w:rPr>
        <w:t xml:space="preserve"> </w:t>
      </w:r>
      <w:r w:rsidRPr="00AE097C">
        <w:rPr>
          <w:rFonts w:ascii="Arial" w:hAnsi="Arial" w:cs="Arial"/>
          <w:sz w:val="20"/>
          <w:szCs w:val="20"/>
        </w:rPr>
        <w:t xml:space="preserve">anni e più rappresentano una quota inferiore al 10% (15,1% nell’anno </w:t>
      </w:r>
      <w:proofErr w:type="spellStart"/>
      <w:r w:rsidRPr="00AE097C">
        <w:rPr>
          <w:rFonts w:ascii="Arial" w:hAnsi="Arial" w:cs="Arial"/>
          <w:sz w:val="20"/>
          <w:szCs w:val="20"/>
        </w:rPr>
        <w:t>pre</w:t>
      </w:r>
      <w:proofErr w:type="spellEnd"/>
      <w:r w:rsidR="00F23FD1">
        <w:rPr>
          <w:rFonts w:ascii="Arial" w:hAnsi="Arial" w:cs="Arial"/>
          <w:sz w:val="20"/>
          <w:szCs w:val="20"/>
        </w:rPr>
        <w:t>-</w:t>
      </w:r>
      <w:r w:rsidRPr="00AE097C">
        <w:rPr>
          <w:rFonts w:ascii="Arial" w:hAnsi="Arial" w:cs="Arial"/>
          <w:sz w:val="20"/>
          <w:szCs w:val="20"/>
        </w:rPr>
        <w:t>pandemico),</w:t>
      </w:r>
      <w:r>
        <w:rPr>
          <w:rFonts w:ascii="Arial" w:hAnsi="Arial" w:cs="Arial"/>
          <w:sz w:val="20"/>
          <w:szCs w:val="20"/>
        </w:rPr>
        <w:t xml:space="preserve"> </w:t>
      </w:r>
      <w:r w:rsidRPr="00AE097C">
        <w:rPr>
          <w:rFonts w:ascii="Arial" w:hAnsi="Arial" w:cs="Arial"/>
          <w:sz w:val="20"/>
          <w:szCs w:val="20"/>
        </w:rPr>
        <w:t>mentre gli studenti che si recano nel luogo di studio solo con mezzi</w:t>
      </w:r>
      <w:r>
        <w:rPr>
          <w:rFonts w:ascii="Arial" w:hAnsi="Arial" w:cs="Arial"/>
          <w:sz w:val="20"/>
          <w:szCs w:val="20"/>
        </w:rPr>
        <w:t xml:space="preserve"> </w:t>
      </w:r>
      <w:r w:rsidRPr="00AE097C">
        <w:rPr>
          <w:rFonts w:ascii="Arial" w:hAnsi="Arial" w:cs="Arial"/>
          <w:sz w:val="20"/>
          <w:szCs w:val="20"/>
        </w:rPr>
        <w:t>pubblici sono circa il 25% (28,5% nel 2019). Il calo si concentra in modo</w:t>
      </w:r>
      <w:r>
        <w:rPr>
          <w:rFonts w:ascii="Arial" w:hAnsi="Arial" w:cs="Arial"/>
          <w:sz w:val="20"/>
          <w:szCs w:val="20"/>
        </w:rPr>
        <w:t xml:space="preserve"> </w:t>
      </w:r>
      <w:r w:rsidRPr="00AE097C">
        <w:rPr>
          <w:rFonts w:ascii="Arial" w:hAnsi="Arial" w:cs="Arial"/>
          <w:sz w:val="20"/>
          <w:szCs w:val="20"/>
        </w:rPr>
        <w:t>significativo nelle aree urbane: tra il 2019 e il 2020 si riduce di un quinto l’offerta di</w:t>
      </w:r>
      <w:r>
        <w:rPr>
          <w:rFonts w:ascii="Arial" w:hAnsi="Arial" w:cs="Arial"/>
          <w:sz w:val="20"/>
          <w:szCs w:val="20"/>
        </w:rPr>
        <w:t xml:space="preserve"> </w:t>
      </w:r>
      <w:r w:rsidRPr="00AE097C">
        <w:rPr>
          <w:rFonts w:ascii="Arial" w:hAnsi="Arial" w:cs="Arial"/>
          <w:sz w:val="20"/>
          <w:szCs w:val="20"/>
        </w:rPr>
        <w:t>trasporto pubblico locale nei capoluoghi.</w:t>
      </w:r>
    </w:p>
    <w:p w14:paraId="5C49403A" w14:textId="77777777" w:rsidR="007358ED" w:rsidRDefault="007358ED" w:rsidP="00FA3CEF">
      <w:pPr>
        <w:autoSpaceDE w:val="0"/>
        <w:autoSpaceDN w:val="0"/>
        <w:adjustRightInd w:val="0"/>
        <w:spacing w:after="120" w:line="240" w:lineRule="auto"/>
        <w:jc w:val="both"/>
        <w:rPr>
          <w:rFonts w:ascii="Arial" w:hAnsi="Arial" w:cs="Arial"/>
          <w:sz w:val="20"/>
          <w:szCs w:val="20"/>
        </w:rPr>
      </w:pPr>
      <w:r w:rsidRPr="00AE097C">
        <w:rPr>
          <w:rFonts w:ascii="Arial" w:hAnsi="Arial" w:cs="Arial"/>
          <w:sz w:val="20"/>
          <w:szCs w:val="20"/>
        </w:rPr>
        <w:t xml:space="preserve">Nel 2020 prosegue il processo di diminuzione della quota di </w:t>
      </w:r>
      <w:r w:rsidRPr="00F23FD1">
        <w:rPr>
          <w:rFonts w:ascii="Arial" w:hAnsi="Arial" w:cs="Arial"/>
          <w:b/>
          <w:sz w:val="20"/>
          <w:szCs w:val="20"/>
        </w:rPr>
        <w:t>rifiuti urbani conferiti in discarica</w:t>
      </w:r>
      <w:r w:rsidRPr="00AE097C">
        <w:rPr>
          <w:rFonts w:ascii="Arial" w:hAnsi="Arial" w:cs="Arial"/>
          <w:sz w:val="20"/>
          <w:szCs w:val="20"/>
        </w:rPr>
        <w:t>, che si attesta al 20,1%, un valore ancora lontano dall’obiettivo Ue al 2035</w:t>
      </w:r>
      <w:r>
        <w:rPr>
          <w:rFonts w:ascii="Arial" w:hAnsi="Arial" w:cs="Arial"/>
          <w:sz w:val="20"/>
          <w:szCs w:val="20"/>
        </w:rPr>
        <w:t xml:space="preserve"> </w:t>
      </w:r>
      <w:r w:rsidRPr="00AE097C">
        <w:rPr>
          <w:rFonts w:ascii="Arial" w:hAnsi="Arial" w:cs="Arial"/>
          <w:sz w:val="20"/>
          <w:szCs w:val="20"/>
        </w:rPr>
        <w:t>(10%). I volumi pro capite diminuiscono nei capoluoghi metropolitani per effetto della</w:t>
      </w:r>
      <w:r>
        <w:rPr>
          <w:rFonts w:ascii="Arial" w:hAnsi="Arial" w:cs="Arial"/>
          <w:sz w:val="20"/>
          <w:szCs w:val="20"/>
        </w:rPr>
        <w:t xml:space="preserve"> </w:t>
      </w:r>
      <w:r w:rsidRPr="00AE097C">
        <w:rPr>
          <w:rFonts w:ascii="Arial" w:hAnsi="Arial" w:cs="Arial"/>
          <w:sz w:val="20"/>
          <w:szCs w:val="20"/>
        </w:rPr>
        <w:t>pandemia.</w:t>
      </w:r>
    </w:p>
    <w:p w14:paraId="0131CAC3" w14:textId="77777777" w:rsidR="007358ED" w:rsidRDefault="007358ED" w:rsidP="00FA3CEF">
      <w:pPr>
        <w:autoSpaceDE w:val="0"/>
        <w:autoSpaceDN w:val="0"/>
        <w:adjustRightInd w:val="0"/>
        <w:spacing w:after="120" w:line="240" w:lineRule="auto"/>
        <w:jc w:val="both"/>
        <w:rPr>
          <w:rFonts w:ascii="Arial" w:hAnsi="Arial" w:cs="Arial"/>
          <w:sz w:val="20"/>
          <w:szCs w:val="20"/>
        </w:rPr>
      </w:pPr>
      <w:r w:rsidRPr="00AE097C">
        <w:rPr>
          <w:rFonts w:ascii="Arial" w:hAnsi="Arial" w:cs="Arial"/>
          <w:sz w:val="20"/>
          <w:szCs w:val="20"/>
        </w:rPr>
        <w:t xml:space="preserve">Nel 2020 i livelli di </w:t>
      </w:r>
      <w:r w:rsidRPr="00F23FD1">
        <w:rPr>
          <w:rFonts w:ascii="Arial" w:hAnsi="Arial" w:cs="Arial"/>
          <w:b/>
          <w:sz w:val="20"/>
          <w:szCs w:val="20"/>
        </w:rPr>
        <w:t>inquinamento atmosferico</w:t>
      </w:r>
      <w:r w:rsidRPr="00AE097C">
        <w:rPr>
          <w:rFonts w:ascii="Arial" w:hAnsi="Arial" w:cs="Arial"/>
          <w:sz w:val="20"/>
          <w:szCs w:val="20"/>
        </w:rPr>
        <w:t xml:space="preserve"> continuano a ridursi, in particolare per</w:t>
      </w:r>
      <w:r>
        <w:rPr>
          <w:rFonts w:ascii="Arial" w:hAnsi="Arial" w:cs="Arial"/>
          <w:sz w:val="20"/>
          <w:szCs w:val="20"/>
        </w:rPr>
        <w:t xml:space="preserve"> </w:t>
      </w:r>
      <w:r w:rsidRPr="00AE097C">
        <w:rPr>
          <w:rFonts w:ascii="Arial" w:hAnsi="Arial" w:cs="Arial"/>
          <w:sz w:val="20"/>
          <w:szCs w:val="20"/>
        </w:rPr>
        <w:t>il PM</w:t>
      </w:r>
      <w:r w:rsidRPr="00AE097C">
        <w:rPr>
          <w:rFonts w:ascii="Arial" w:hAnsi="Arial" w:cs="Arial"/>
          <w:sz w:val="20"/>
          <w:szCs w:val="20"/>
          <w:vertAlign w:val="subscript"/>
        </w:rPr>
        <w:t>2,5</w:t>
      </w:r>
      <w:r w:rsidRPr="00AE097C">
        <w:rPr>
          <w:rFonts w:ascii="Arial" w:hAnsi="Arial" w:cs="Arial"/>
          <w:sz w:val="20"/>
          <w:szCs w:val="20"/>
        </w:rPr>
        <w:t>, ma i valori restano elevati nelle grandi città, con i conseguenti rischi per la</w:t>
      </w:r>
      <w:r>
        <w:rPr>
          <w:rFonts w:ascii="Arial" w:hAnsi="Arial" w:cs="Arial"/>
          <w:sz w:val="20"/>
          <w:szCs w:val="20"/>
        </w:rPr>
        <w:t xml:space="preserve"> </w:t>
      </w:r>
      <w:r w:rsidRPr="00AE097C">
        <w:rPr>
          <w:rFonts w:ascii="Arial" w:hAnsi="Arial" w:cs="Arial"/>
          <w:sz w:val="20"/>
          <w:szCs w:val="20"/>
        </w:rPr>
        <w:t>salute umana.</w:t>
      </w:r>
    </w:p>
    <w:p w14:paraId="1D050F0A" w14:textId="77777777" w:rsidR="007358ED" w:rsidRPr="00F135F4" w:rsidRDefault="007358ED" w:rsidP="007358ED">
      <w:pPr>
        <w:autoSpaceDE w:val="0"/>
        <w:autoSpaceDN w:val="0"/>
        <w:adjustRightInd w:val="0"/>
        <w:spacing w:after="120" w:line="240" w:lineRule="auto"/>
        <w:jc w:val="both"/>
        <w:rPr>
          <w:rFonts w:ascii="Arial" w:hAnsi="Arial" w:cs="Arial"/>
          <w:sz w:val="20"/>
          <w:szCs w:val="20"/>
        </w:rPr>
      </w:pPr>
    </w:p>
    <w:p w14:paraId="661EA55B" w14:textId="77777777" w:rsidR="007358ED" w:rsidRPr="00DD7BC5" w:rsidRDefault="007358ED" w:rsidP="004E26B1">
      <w:pPr>
        <w:autoSpaceDE w:val="0"/>
        <w:autoSpaceDN w:val="0"/>
        <w:adjustRightInd w:val="0"/>
        <w:spacing w:after="0" w:line="240" w:lineRule="auto"/>
        <w:jc w:val="both"/>
        <w:rPr>
          <w:rFonts w:cs="Helvetica"/>
          <w:b/>
          <w:bCs/>
          <w:sz w:val="24"/>
          <w:szCs w:val="24"/>
        </w:rPr>
      </w:pPr>
      <w:r>
        <w:rPr>
          <w:rFonts w:cs="Helvetica"/>
          <w:b/>
          <w:bCs/>
          <w:noProof/>
          <w:sz w:val="24"/>
          <w:szCs w:val="24"/>
          <w:lang w:eastAsia="it-IT"/>
        </w:rPr>
        <w:drawing>
          <wp:anchor distT="0" distB="0" distL="114300" distR="114300" simplePos="0" relativeHeight="251672576" behindDoc="0" locked="0" layoutInCell="1" allowOverlap="1" wp14:anchorId="69EB3F49" wp14:editId="00E7C1AB">
            <wp:simplePos x="0" y="0"/>
            <wp:positionH relativeFrom="column">
              <wp:posOffset>3810</wp:posOffset>
            </wp:positionH>
            <wp:positionV relativeFrom="paragraph">
              <wp:posOffset>13970</wp:posOffset>
            </wp:positionV>
            <wp:extent cx="864000" cy="864000"/>
            <wp:effectExtent l="0" t="0" r="0" b="0"/>
            <wp:wrapSquare wrapText="bothSides"/>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goal_IT.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64000" cy="864000"/>
                    </a:xfrm>
                    <a:prstGeom prst="rect">
                      <a:avLst/>
                    </a:prstGeom>
                  </pic:spPr>
                </pic:pic>
              </a:graphicData>
            </a:graphic>
            <wp14:sizeRelH relativeFrom="margin">
              <wp14:pctWidth>0</wp14:pctWidth>
            </wp14:sizeRelH>
            <wp14:sizeRelV relativeFrom="margin">
              <wp14:pctHeight>0</wp14:pctHeight>
            </wp14:sizeRelV>
          </wp:anchor>
        </w:drawing>
      </w:r>
      <w:r w:rsidRPr="00DD7BC5">
        <w:rPr>
          <w:rFonts w:cs="Helvetica"/>
          <w:b/>
          <w:bCs/>
          <w:sz w:val="24"/>
          <w:szCs w:val="24"/>
        </w:rPr>
        <w:t xml:space="preserve">Goal 12 </w:t>
      </w:r>
    </w:p>
    <w:p w14:paraId="62A2EDF9" w14:textId="77777777" w:rsidR="006B38C9" w:rsidRPr="00DD7BC5" w:rsidRDefault="006B38C9" w:rsidP="00E34F20">
      <w:pPr>
        <w:autoSpaceDE w:val="0"/>
        <w:autoSpaceDN w:val="0"/>
        <w:adjustRightInd w:val="0"/>
        <w:spacing w:after="0" w:line="240" w:lineRule="auto"/>
        <w:jc w:val="both"/>
        <w:rPr>
          <w:rFonts w:cs="Helvetica"/>
          <w:b/>
          <w:sz w:val="24"/>
          <w:szCs w:val="24"/>
        </w:rPr>
      </w:pPr>
    </w:p>
    <w:p w14:paraId="0D721D82" w14:textId="72E27939" w:rsidR="007826E3" w:rsidRPr="00B16CC9" w:rsidRDefault="007826E3" w:rsidP="00E34F20">
      <w:pPr>
        <w:autoSpaceDE w:val="0"/>
        <w:autoSpaceDN w:val="0"/>
        <w:adjustRightInd w:val="0"/>
        <w:spacing w:after="120" w:line="240" w:lineRule="auto"/>
        <w:jc w:val="both"/>
        <w:rPr>
          <w:rFonts w:ascii="Arial" w:hAnsi="Arial" w:cs="Arial"/>
          <w:sz w:val="20"/>
          <w:szCs w:val="20"/>
        </w:rPr>
      </w:pPr>
      <w:r w:rsidRPr="00B16CC9">
        <w:rPr>
          <w:rFonts w:ascii="Arial" w:hAnsi="Arial" w:cs="Arial"/>
          <w:sz w:val="20"/>
          <w:szCs w:val="20"/>
        </w:rPr>
        <w:t xml:space="preserve">Nel 2020, la caduta dei consumi delle famiglie, </w:t>
      </w:r>
      <w:r w:rsidR="00C027D6" w:rsidRPr="00B16CC9">
        <w:rPr>
          <w:rFonts w:ascii="Arial" w:hAnsi="Arial" w:cs="Arial"/>
          <w:sz w:val="20"/>
          <w:szCs w:val="20"/>
        </w:rPr>
        <w:t>legat</w:t>
      </w:r>
      <w:r w:rsidR="00C027D6">
        <w:rPr>
          <w:rFonts w:ascii="Arial" w:hAnsi="Arial" w:cs="Arial"/>
          <w:sz w:val="20"/>
          <w:szCs w:val="20"/>
        </w:rPr>
        <w:t>a</w:t>
      </w:r>
      <w:r w:rsidR="00C027D6" w:rsidRPr="00B16CC9">
        <w:rPr>
          <w:rFonts w:ascii="Arial" w:hAnsi="Arial" w:cs="Arial"/>
          <w:sz w:val="20"/>
          <w:szCs w:val="20"/>
        </w:rPr>
        <w:t xml:space="preserve"> </w:t>
      </w:r>
      <w:r w:rsidRPr="00B16CC9">
        <w:rPr>
          <w:rFonts w:ascii="Arial" w:hAnsi="Arial" w:cs="Arial"/>
          <w:sz w:val="20"/>
          <w:szCs w:val="20"/>
        </w:rPr>
        <w:t>alle azioni di contrasto alla diffusione della pandemia</w:t>
      </w:r>
      <w:r w:rsidRPr="00B16CC9">
        <w:rPr>
          <w:rFonts w:ascii="Arial" w:hAnsi="Arial" w:cs="Arial"/>
          <w:i/>
          <w:sz w:val="20"/>
          <w:szCs w:val="20"/>
        </w:rPr>
        <w:t>,</w:t>
      </w:r>
      <w:r w:rsidRPr="00B16CC9">
        <w:rPr>
          <w:rFonts w:ascii="Arial" w:hAnsi="Arial" w:cs="Arial"/>
          <w:sz w:val="20"/>
          <w:szCs w:val="20"/>
        </w:rPr>
        <w:t xml:space="preserve"> ha contribuito a una consistente riduzione dei </w:t>
      </w:r>
      <w:r w:rsidRPr="007826E3">
        <w:rPr>
          <w:rFonts w:ascii="Arial" w:hAnsi="Arial" w:cs="Arial"/>
          <w:b/>
          <w:sz w:val="20"/>
          <w:szCs w:val="20"/>
        </w:rPr>
        <w:t>rifiuti urbani per abitante</w:t>
      </w:r>
      <w:r w:rsidRPr="00B16CC9">
        <w:rPr>
          <w:rFonts w:ascii="Arial" w:hAnsi="Arial" w:cs="Arial"/>
          <w:sz w:val="20"/>
          <w:szCs w:val="20"/>
        </w:rPr>
        <w:t>, che hanno raggiunto i 487 chilogrammi pro capite (-3,2% rispetto al 2019), un valore inferiore a quelli dell’Ue27 e delle principali economie europee (ad eccezione della Spagna).</w:t>
      </w:r>
    </w:p>
    <w:p w14:paraId="2FDBECF9" w14:textId="50034F2B" w:rsidR="007826E3" w:rsidRPr="007826E3" w:rsidRDefault="007826E3" w:rsidP="00E34F20">
      <w:pPr>
        <w:autoSpaceDE w:val="0"/>
        <w:autoSpaceDN w:val="0"/>
        <w:adjustRightInd w:val="0"/>
        <w:spacing w:after="120" w:line="240" w:lineRule="auto"/>
        <w:jc w:val="both"/>
        <w:rPr>
          <w:rFonts w:ascii="Arial" w:hAnsi="Arial" w:cs="Arial"/>
          <w:sz w:val="20"/>
          <w:szCs w:val="20"/>
        </w:rPr>
      </w:pPr>
      <w:r w:rsidRPr="007826E3">
        <w:rPr>
          <w:rFonts w:ascii="Arial" w:hAnsi="Arial" w:cs="Arial"/>
          <w:sz w:val="20"/>
          <w:szCs w:val="20"/>
        </w:rPr>
        <w:t>Nel 2020 si segnalano avanzamenti nei processi di gestione e di riconversione in nuove risorse dei rifiuti.</w:t>
      </w:r>
      <w:r w:rsidRPr="00B16CC9">
        <w:rPr>
          <w:rFonts w:ascii="Arial" w:hAnsi="Arial" w:cs="Arial"/>
          <w:sz w:val="20"/>
          <w:szCs w:val="20"/>
        </w:rPr>
        <w:t xml:space="preserve"> Aumentano il </w:t>
      </w:r>
      <w:r w:rsidRPr="007826E3">
        <w:rPr>
          <w:rFonts w:ascii="Arial" w:hAnsi="Arial" w:cs="Arial"/>
          <w:b/>
          <w:sz w:val="20"/>
          <w:szCs w:val="20"/>
        </w:rPr>
        <w:t>tasso di utilizzo circolare dei materiali</w:t>
      </w:r>
      <w:r w:rsidRPr="00B16CC9">
        <w:rPr>
          <w:rFonts w:ascii="Arial" w:hAnsi="Arial" w:cs="Arial"/>
          <w:sz w:val="20"/>
          <w:szCs w:val="20"/>
        </w:rPr>
        <w:t xml:space="preserve"> (21,6%; + 2,1 punti percentuali rispetto all’anno precedente), la percentuale di </w:t>
      </w:r>
      <w:r w:rsidRPr="007826E3">
        <w:rPr>
          <w:rFonts w:ascii="Arial" w:hAnsi="Arial" w:cs="Arial"/>
          <w:b/>
          <w:sz w:val="20"/>
          <w:szCs w:val="20"/>
        </w:rPr>
        <w:t>riciclaggio dei rifiuti urbani</w:t>
      </w:r>
      <w:r w:rsidRPr="00B16CC9">
        <w:rPr>
          <w:rFonts w:ascii="Arial" w:hAnsi="Arial" w:cs="Arial"/>
          <w:sz w:val="20"/>
          <w:szCs w:val="20"/>
        </w:rPr>
        <w:t xml:space="preserve"> (54,4%; +1,1 p.p.) e la percentuale di </w:t>
      </w:r>
      <w:r w:rsidRPr="007826E3">
        <w:rPr>
          <w:rFonts w:ascii="Arial" w:hAnsi="Arial" w:cs="Arial"/>
          <w:b/>
          <w:sz w:val="20"/>
          <w:szCs w:val="20"/>
        </w:rPr>
        <w:t>raccolta differenziata dei rifiuti urbani</w:t>
      </w:r>
      <w:r w:rsidRPr="00B16CC9">
        <w:rPr>
          <w:rFonts w:ascii="Arial" w:hAnsi="Arial" w:cs="Arial"/>
          <w:sz w:val="20"/>
          <w:szCs w:val="20"/>
        </w:rPr>
        <w:t xml:space="preserve"> (63,0%; +1,7 p.p.).</w:t>
      </w:r>
      <w:r>
        <w:rPr>
          <w:rFonts w:ascii="Arial" w:hAnsi="Arial" w:cs="Arial"/>
          <w:sz w:val="20"/>
          <w:szCs w:val="20"/>
        </w:rPr>
        <w:t xml:space="preserve"> Il </w:t>
      </w:r>
      <w:r w:rsidRPr="00B16CC9">
        <w:rPr>
          <w:rFonts w:ascii="Arial" w:hAnsi="Arial" w:cs="Arial"/>
          <w:sz w:val="20"/>
          <w:szCs w:val="20"/>
        </w:rPr>
        <w:t xml:space="preserve">nostro Paese si colloca, nella graduatoria europea, al quarto </w:t>
      </w:r>
      <w:r w:rsidRPr="007826E3">
        <w:rPr>
          <w:rFonts w:ascii="Arial" w:hAnsi="Arial" w:cs="Arial"/>
          <w:sz w:val="20"/>
          <w:szCs w:val="20"/>
        </w:rPr>
        <w:t>posto per il tasso di utilizzo circolare dei materiali e al sesto per il tasso di riciclaggio.</w:t>
      </w:r>
    </w:p>
    <w:p w14:paraId="231EEBFE" w14:textId="77777777" w:rsidR="007826E3" w:rsidRPr="00B16CC9" w:rsidRDefault="007826E3" w:rsidP="00E34F20">
      <w:pPr>
        <w:autoSpaceDE w:val="0"/>
        <w:autoSpaceDN w:val="0"/>
        <w:adjustRightInd w:val="0"/>
        <w:spacing w:after="120" w:line="240" w:lineRule="auto"/>
        <w:jc w:val="both"/>
        <w:rPr>
          <w:rFonts w:ascii="Arial" w:hAnsi="Arial" w:cs="Arial"/>
          <w:sz w:val="20"/>
          <w:szCs w:val="20"/>
        </w:rPr>
      </w:pPr>
      <w:r w:rsidRPr="00B16CC9">
        <w:rPr>
          <w:rFonts w:ascii="Arial" w:hAnsi="Arial" w:cs="Arial"/>
          <w:sz w:val="20"/>
          <w:szCs w:val="20"/>
        </w:rPr>
        <w:t xml:space="preserve">Nel 2020, in Italia, le attività produttive hanno generato 9,8 milioni di tonnellate di </w:t>
      </w:r>
      <w:r w:rsidRPr="007826E3">
        <w:rPr>
          <w:rFonts w:ascii="Arial" w:hAnsi="Arial" w:cs="Arial"/>
          <w:b/>
          <w:sz w:val="20"/>
          <w:szCs w:val="20"/>
        </w:rPr>
        <w:t>rifiuti speciali pericolosi</w:t>
      </w:r>
      <w:r w:rsidRPr="00B16CC9">
        <w:rPr>
          <w:rFonts w:ascii="Arial" w:hAnsi="Arial" w:cs="Arial"/>
          <w:sz w:val="20"/>
          <w:szCs w:val="20"/>
        </w:rPr>
        <w:t xml:space="preserve">, registrando un calo del 3% rispetto al 2019. La produzione di rifiuti speciali pericolosi è tuttavia in crescita rispetto al 2014, così come è in aumento il rapporto tra rifiuti speciali pericolosi e Pil. </w:t>
      </w:r>
    </w:p>
    <w:p w14:paraId="44B8EA3C" w14:textId="77777777" w:rsidR="007826E3" w:rsidRPr="00B16CC9" w:rsidRDefault="007826E3" w:rsidP="00E34F20">
      <w:pPr>
        <w:autoSpaceDE w:val="0"/>
        <w:autoSpaceDN w:val="0"/>
        <w:adjustRightInd w:val="0"/>
        <w:spacing w:after="120" w:line="240" w:lineRule="auto"/>
        <w:jc w:val="both"/>
        <w:rPr>
          <w:rFonts w:ascii="Arial" w:hAnsi="Arial" w:cs="Arial"/>
          <w:sz w:val="20"/>
          <w:szCs w:val="20"/>
        </w:rPr>
      </w:pPr>
      <w:r w:rsidRPr="00B16CC9">
        <w:rPr>
          <w:rFonts w:ascii="Arial" w:hAnsi="Arial" w:cs="Arial"/>
          <w:sz w:val="20"/>
          <w:szCs w:val="20"/>
        </w:rPr>
        <w:t xml:space="preserve">Nel biennio 2019-2020, si rilevano segnali positivi dalla Pubblica Amministrazione, che aumenta la quota di </w:t>
      </w:r>
      <w:r w:rsidRPr="007826E3">
        <w:rPr>
          <w:rFonts w:ascii="Arial" w:hAnsi="Arial" w:cs="Arial"/>
          <w:b/>
          <w:sz w:val="20"/>
          <w:szCs w:val="20"/>
        </w:rPr>
        <w:t>acquisti che rispettano i criteri ambientali minimi</w:t>
      </w:r>
      <w:r w:rsidRPr="00B16CC9">
        <w:rPr>
          <w:rFonts w:ascii="Arial" w:hAnsi="Arial" w:cs="Arial"/>
          <w:sz w:val="20"/>
          <w:szCs w:val="20"/>
        </w:rPr>
        <w:t>. Per contro, si riduce la percentuale di istituzioni pubbliche che adottano forme di rendicontazione sociale e/o ambientale.</w:t>
      </w:r>
    </w:p>
    <w:p w14:paraId="00FF7EE7" w14:textId="75518560" w:rsidR="007826E3" w:rsidRDefault="007826E3" w:rsidP="00D368D1">
      <w:pPr>
        <w:spacing w:after="120" w:line="240" w:lineRule="auto"/>
        <w:jc w:val="both"/>
        <w:rPr>
          <w:rFonts w:ascii="Arial" w:hAnsi="Arial" w:cs="Arial"/>
          <w:sz w:val="20"/>
          <w:szCs w:val="20"/>
        </w:rPr>
      </w:pPr>
      <w:r w:rsidRPr="00B16CC9">
        <w:rPr>
          <w:rFonts w:ascii="Arial" w:hAnsi="Arial" w:cs="Arial"/>
          <w:sz w:val="20"/>
          <w:szCs w:val="20"/>
        </w:rPr>
        <w:t xml:space="preserve">Nel triennio 2018-2020, quasi </w:t>
      </w:r>
      <w:r w:rsidR="006A7EAF">
        <w:rPr>
          <w:rFonts w:ascii="Arial" w:hAnsi="Arial" w:cs="Arial"/>
          <w:sz w:val="20"/>
          <w:szCs w:val="20"/>
        </w:rPr>
        <w:t>quattro</w:t>
      </w:r>
      <w:r w:rsidRPr="00B16CC9">
        <w:rPr>
          <w:rFonts w:ascii="Arial" w:hAnsi="Arial" w:cs="Arial"/>
          <w:sz w:val="20"/>
          <w:szCs w:val="20"/>
        </w:rPr>
        <w:t xml:space="preserve"> imprese su 10 hanno sviluppato </w:t>
      </w:r>
      <w:r w:rsidRPr="007826E3">
        <w:rPr>
          <w:rFonts w:ascii="Arial" w:hAnsi="Arial" w:cs="Arial"/>
          <w:b/>
          <w:sz w:val="20"/>
          <w:szCs w:val="20"/>
        </w:rPr>
        <w:t>innovazioni in grado di generare effetti positivi sull’ambiente</w:t>
      </w:r>
      <w:r w:rsidRPr="00B16CC9">
        <w:rPr>
          <w:rFonts w:ascii="Arial" w:hAnsi="Arial" w:cs="Arial"/>
          <w:sz w:val="20"/>
          <w:szCs w:val="20"/>
        </w:rPr>
        <w:t>.</w:t>
      </w:r>
    </w:p>
    <w:p w14:paraId="4B541398" w14:textId="77777777" w:rsidR="007358ED" w:rsidRPr="00F135F4" w:rsidRDefault="007358ED" w:rsidP="007358ED">
      <w:pPr>
        <w:autoSpaceDE w:val="0"/>
        <w:autoSpaceDN w:val="0"/>
        <w:adjustRightInd w:val="0"/>
        <w:spacing w:after="120" w:line="240" w:lineRule="auto"/>
        <w:jc w:val="both"/>
        <w:rPr>
          <w:rFonts w:ascii="Arial" w:hAnsi="Arial" w:cs="Arial"/>
          <w:sz w:val="20"/>
          <w:szCs w:val="20"/>
        </w:rPr>
      </w:pPr>
    </w:p>
    <w:p w14:paraId="73808642" w14:textId="77777777" w:rsidR="007358ED" w:rsidRPr="000A0C77" w:rsidRDefault="007358ED" w:rsidP="007358ED">
      <w:pPr>
        <w:autoSpaceDE w:val="0"/>
        <w:autoSpaceDN w:val="0"/>
        <w:adjustRightInd w:val="0"/>
        <w:spacing w:after="0" w:line="240" w:lineRule="auto"/>
        <w:jc w:val="both"/>
        <w:rPr>
          <w:rFonts w:cs="Helvetica"/>
          <w:b/>
          <w:bCs/>
          <w:sz w:val="24"/>
          <w:szCs w:val="24"/>
        </w:rPr>
      </w:pPr>
      <w:r w:rsidRPr="00BA4714">
        <w:rPr>
          <w:rFonts w:cs="Helvetica"/>
          <w:b/>
          <w:bCs/>
          <w:noProof/>
          <w:sz w:val="24"/>
          <w:szCs w:val="24"/>
          <w:lang w:eastAsia="it-IT"/>
        </w:rPr>
        <w:drawing>
          <wp:anchor distT="0" distB="0" distL="114300" distR="114300" simplePos="0" relativeHeight="251669504" behindDoc="0" locked="0" layoutInCell="1" allowOverlap="1" wp14:anchorId="55FD710C" wp14:editId="76E6AE7A">
            <wp:simplePos x="0" y="0"/>
            <wp:positionH relativeFrom="column">
              <wp:posOffset>3810</wp:posOffset>
            </wp:positionH>
            <wp:positionV relativeFrom="paragraph">
              <wp:posOffset>12700</wp:posOffset>
            </wp:positionV>
            <wp:extent cx="864000" cy="864000"/>
            <wp:effectExtent l="0" t="0" r="0" b="0"/>
            <wp:wrapSquare wrapText="bothSides"/>
            <wp:docPr id="15363" name="Immagine 15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3goal_IT.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64000" cy="864000"/>
                    </a:xfrm>
                    <a:prstGeom prst="rect">
                      <a:avLst/>
                    </a:prstGeom>
                  </pic:spPr>
                </pic:pic>
              </a:graphicData>
            </a:graphic>
            <wp14:sizeRelH relativeFrom="page">
              <wp14:pctWidth>0</wp14:pctWidth>
            </wp14:sizeRelH>
            <wp14:sizeRelV relativeFrom="page">
              <wp14:pctHeight>0</wp14:pctHeight>
            </wp14:sizeRelV>
          </wp:anchor>
        </w:drawing>
      </w:r>
      <w:r w:rsidRPr="000A0C77">
        <w:rPr>
          <w:rFonts w:cs="Helvetica"/>
          <w:b/>
          <w:bCs/>
          <w:sz w:val="24"/>
          <w:szCs w:val="24"/>
        </w:rPr>
        <w:t xml:space="preserve">Goal 13 </w:t>
      </w:r>
    </w:p>
    <w:p w14:paraId="24AB7C3A" w14:textId="77777777" w:rsidR="007358ED" w:rsidRDefault="007358ED" w:rsidP="007358ED">
      <w:pPr>
        <w:autoSpaceDE w:val="0"/>
        <w:autoSpaceDN w:val="0"/>
        <w:adjustRightInd w:val="0"/>
        <w:spacing w:after="0" w:line="240" w:lineRule="auto"/>
        <w:jc w:val="both"/>
        <w:rPr>
          <w:rFonts w:cs="Helvetica"/>
          <w:b/>
          <w:bCs/>
          <w:sz w:val="24"/>
          <w:szCs w:val="24"/>
        </w:rPr>
      </w:pPr>
    </w:p>
    <w:p w14:paraId="0B36D6C6" w14:textId="0073C719" w:rsidR="007358ED" w:rsidRPr="00C774AF" w:rsidRDefault="007358ED" w:rsidP="00E34F20">
      <w:pPr>
        <w:autoSpaceDE w:val="0"/>
        <w:autoSpaceDN w:val="0"/>
        <w:adjustRightInd w:val="0"/>
        <w:spacing w:after="120" w:line="240" w:lineRule="auto"/>
        <w:jc w:val="both"/>
        <w:rPr>
          <w:rFonts w:ascii="Arial" w:hAnsi="Arial" w:cs="Arial"/>
          <w:sz w:val="20"/>
          <w:szCs w:val="20"/>
        </w:rPr>
      </w:pPr>
      <w:r w:rsidRPr="007826E3">
        <w:rPr>
          <w:rFonts w:ascii="Arial" w:hAnsi="Arial" w:cs="Arial"/>
          <w:sz w:val="20"/>
          <w:szCs w:val="20"/>
        </w:rPr>
        <w:t xml:space="preserve">In Europa continuano a diminuire le </w:t>
      </w:r>
      <w:r w:rsidRPr="007826E3">
        <w:rPr>
          <w:rFonts w:ascii="Arial" w:hAnsi="Arial" w:cs="Arial"/>
          <w:b/>
          <w:sz w:val="20"/>
          <w:szCs w:val="20"/>
        </w:rPr>
        <w:t>emissioni di gas serra</w:t>
      </w:r>
      <w:r w:rsidRPr="007826E3">
        <w:rPr>
          <w:rFonts w:ascii="Arial" w:hAnsi="Arial" w:cs="Arial"/>
          <w:sz w:val="20"/>
          <w:szCs w:val="20"/>
        </w:rPr>
        <w:t>: nel 2019 sono il 24% in meno rispetto al 1990. L’Italia è tra i cinque Paesi Ue27 che forniscono il contributo maggiore a tale riduzione. Nel 2020, le emissioni di gas serra dell’economia italiana scendono del 9,8% rispetto all’anno precedente, anche</w:t>
      </w:r>
      <w:r w:rsidRPr="00C774AF">
        <w:rPr>
          <w:rFonts w:ascii="Arial" w:hAnsi="Arial" w:cs="Arial"/>
          <w:sz w:val="20"/>
          <w:szCs w:val="20"/>
        </w:rPr>
        <w:t xml:space="preserve"> per effetto della frenata dell’attività economica dovuta alle misure di contrasto alla diffusione del </w:t>
      </w:r>
      <w:r w:rsidR="00250013" w:rsidRPr="00C23E1E">
        <w:rPr>
          <w:rFonts w:ascii="Arial" w:hAnsi="Arial" w:cs="Arial"/>
          <w:i/>
          <w:iCs/>
          <w:sz w:val="20"/>
          <w:szCs w:val="20"/>
        </w:rPr>
        <w:t>COVID-19</w:t>
      </w:r>
      <w:r w:rsidRPr="00C774AF">
        <w:rPr>
          <w:rFonts w:ascii="Arial" w:hAnsi="Arial" w:cs="Arial"/>
          <w:sz w:val="20"/>
          <w:szCs w:val="20"/>
        </w:rPr>
        <w:t>. Le famiglie, che generano un quarto delle emissioni dell’Italia, nel 2020 riducono le proprie emissioni in misura maggiore rispetto alle attività produttive.</w:t>
      </w:r>
    </w:p>
    <w:p w14:paraId="51DA0EDE" w14:textId="77777777" w:rsidR="007358ED" w:rsidRPr="00C774AF" w:rsidRDefault="007358ED" w:rsidP="00E34F20">
      <w:pPr>
        <w:autoSpaceDE w:val="0"/>
        <w:autoSpaceDN w:val="0"/>
        <w:adjustRightInd w:val="0"/>
        <w:spacing w:after="120" w:line="240" w:lineRule="auto"/>
        <w:jc w:val="both"/>
        <w:rPr>
          <w:rFonts w:ascii="Arial" w:hAnsi="Arial" w:cs="Arial"/>
          <w:sz w:val="20"/>
          <w:szCs w:val="20"/>
        </w:rPr>
      </w:pPr>
      <w:r w:rsidRPr="00C774AF">
        <w:rPr>
          <w:rFonts w:ascii="Arial" w:hAnsi="Arial" w:cs="Arial"/>
          <w:sz w:val="20"/>
          <w:szCs w:val="20"/>
        </w:rPr>
        <w:t xml:space="preserve">Si registra un </w:t>
      </w:r>
      <w:r w:rsidRPr="007826E3">
        <w:rPr>
          <w:rFonts w:ascii="Arial" w:hAnsi="Arial" w:cs="Arial"/>
          <w:sz w:val="20"/>
          <w:szCs w:val="20"/>
        </w:rPr>
        <w:t>elevato</w:t>
      </w:r>
      <w:r w:rsidRPr="00C774AF">
        <w:rPr>
          <w:rFonts w:ascii="Arial" w:hAnsi="Arial" w:cs="Arial"/>
          <w:b/>
          <w:sz w:val="20"/>
          <w:szCs w:val="20"/>
        </w:rPr>
        <w:t xml:space="preserve"> pericolo di frane e alluvioni </w:t>
      </w:r>
      <w:r w:rsidRPr="007826E3">
        <w:rPr>
          <w:rFonts w:ascii="Arial" w:hAnsi="Arial" w:cs="Arial"/>
          <w:sz w:val="20"/>
          <w:szCs w:val="20"/>
        </w:rPr>
        <w:t>in numerose regioni</w:t>
      </w:r>
      <w:r w:rsidRPr="00C774AF">
        <w:rPr>
          <w:rFonts w:ascii="Arial" w:hAnsi="Arial" w:cs="Arial"/>
          <w:b/>
          <w:sz w:val="20"/>
          <w:szCs w:val="20"/>
        </w:rPr>
        <w:t xml:space="preserve"> </w:t>
      </w:r>
      <w:r w:rsidRPr="00C774AF">
        <w:rPr>
          <w:rFonts w:ascii="Arial" w:hAnsi="Arial" w:cs="Arial"/>
          <w:sz w:val="20"/>
          <w:szCs w:val="20"/>
        </w:rPr>
        <w:t xml:space="preserve">italiane, conseguenza anche dei </w:t>
      </w:r>
      <w:r>
        <w:rPr>
          <w:rFonts w:ascii="Arial" w:hAnsi="Arial" w:cs="Arial"/>
          <w:sz w:val="20"/>
          <w:szCs w:val="20"/>
        </w:rPr>
        <w:t>c</w:t>
      </w:r>
      <w:r w:rsidRPr="00C774AF">
        <w:rPr>
          <w:rFonts w:ascii="Arial" w:hAnsi="Arial" w:cs="Arial"/>
          <w:sz w:val="20"/>
          <w:szCs w:val="20"/>
        </w:rPr>
        <w:t>ambiamenti climatici. Nel 2020, il 2,2% della popolazione residente in Italia vive in aree a pericolosità da frana elevata o molto elevata e l’11,5% in aree a media pericolosità di alluvione.</w:t>
      </w:r>
    </w:p>
    <w:p w14:paraId="3579498B" w14:textId="0C2C31E9" w:rsidR="007358ED" w:rsidRPr="00C774AF" w:rsidRDefault="007358ED" w:rsidP="00E34F20">
      <w:pPr>
        <w:autoSpaceDE w:val="0"/>
        <w:autoSpaceDN w:val="0"/>
        <w:adjustRightInd w:val="0"/>
        <w:spacing w:after="120" w:line="240" w:lineRule="auto"/>
        <w:jc w:val="both"/>
        <w:rPr>
          <w:rFonts w:ascii="Arial" w:hAnsi="Arial" w:cs="Arial"/>
          <w:sz w:val="20"/>
          <w:szCs w:val="20"/>
        </w:rPr>
      </w:pPr>
      <w:r w:rsidRPr="00C774AF">
        <w:rPr>
          <w:rFonts w:ascii="Arial" w:hAnsi="Arial" w:cs="Arial"/>
          <w:sz w:val="20"/>
          <w:szCs w:val="20"/>
        </w:rPr>
        <w:t xml:space="preserve">Nel 2021, </w:t>
      </w:r>
      <w:r w:rsidRPr="007826E3">
        <w:rPr>
          <w:rFonts w:ascii="Arial" w:hAnsi="Arial" w:cs="Arial"/>
          <w:sz w:val="20"/>
          <w:szCs w:val="20"/>
        </w:rPr>
        <w:t>la</w:t>
      </w:r>
      <w:r w:rsidRPr="00C774AF">
        <w:rPr>
          <w:rFonts w:ascii="Arial" w:hAnsi="Arial" w:cs="Arial"/>
          <w:b/>
          <w:sz w:val="20"/>
          <w:szCs w:val="20"/>
        </w:rPr>
        <w:t xml:space="preserve"> preoccupazione dei cittadini per i cambiamenti climatici</w:t>
      </w:r>
      <w:r w:rsidRPr="00C774AF">
        <w:rPr>
          <w:rFonts w:ascii="Arial" w:hAnsi="Arial" w:cs="Arial"/>
          <w:sz w:val="20"/>
          <w:szCs w:val="20"/>
        </w:rPr>
        <w:t xml:space="preserve"> diminuisce rispetto al 2020, ma continua a essere la prima preoccupazione degli italiani tra le tematiche ambientali.</w:t>
      </w:r>
    </w:p>
    <w:p w14:paraId="09072CBF" w14:textId="77777777" w:rsidR="007358ED" w:rsidRPr="00F135F4" w:rsidRDefault="007358ED" w:rsidP="007358ED">
      <w:pPr>
        <w:autoSpaceDE w:val="0"/>
        <w:autoSpaceDN w:val="0"/>
        <w:adjustRightInd w:val="0"/>
        <w:spacing w:after="120" w:line="240" w:lineRule="auto"/>
        <w:jc w:val="both"/>
        <w:rPr>
          <w:rFonts w:ascii="Arial" w:hAnsi="Arial" w:cs="Arial"/>
          <w:sz w:val="20"/>
          <w:szCs w:val="20"/>
        </w:rPr>
      </w:pPr>
    </w:p>
    <w:p w14:paraId="734C474B" w14:textId="77777777" w:rsidR="007358ED" w:rsidRPr="00DD7BC5" w:rsidRDefault="007358ED" w:rsidP="007358ED">
      <w:pPr>
        <w:autoSpaceDE w:val="0"/>
        <w:autoSpaceDN w:val="0"/>
        <w:adjustRightInd w:val="0"/>
        <w:spacing w:after="0" w:line="240" w:lineRule="auto"/>
        <w:jc w:val="both"/>
        <w:rPr>
          <w:rFonts w:cs="Helvetica"/>
          <w:b/>
          <w:bCs/>
          <w:sz w:val="24"/>
          <w:szCs w:val="24"/>
        </w:rPr>
      </w:pPr>
      <w:r>
        <w:rPr>
          <w:rFonts w:cs="Helvetica"/>
          <w:b/>
          <w:bCs/>
          <w:noProof/>
          <w:sz w:val="24"/>
          <w:szCs w:val="24"/>
          <w:lang w:eastAsia="it-IT"/>
        </w:rPr>
        <w:lastRenderedPageBreak/>
        <w:drawing>
          <wp:anchor distT="0" distB="0" distL="114300" distR="114300" simplePos="0" relativeHeight="251663360" behindDoc="0" locked="0" layoutInCell="1" allowOverlap="1" wp14:anchorId="0AC070D0" wp14:editId="13B4A405">
            <wp:simplePos x="0" y="0"/>
            <wp:positionH relativeFrom="column">
              <wp:posOffset>3810</wp:posOffset>
            </wp:positionH>
            <wp:positionV relativeFrom="paragraph">
              <wp:posOffset>13335</wp:posOffset>
            </wp:positionV>
            <wp:extent cx="864000" cy="864000"/>
            <wp:effectExtent l="0" t="0" r="0" b="0"/>
            <wp:wrapSquare wrapText="bothSides"/>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4goal_IT.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64000" cy="864000"/>
                    </a:xfrm>
                    <a:prstGeom prst="rect">
                      <a:avLst/>
                    </a:prstGeom>
                  </pic:spPr>
                </pic:pic>
              </a:graphicData>
            </a:graphic>
            <wp14:sizeRelH relativeFrom="margin">
              <wp14:pctWidth>0</wp14:pctWidth>
            </wp14:sizeRelH>
            <wp14:sizeRelV relativeFrom="margin">
              <wp14:pctHeight>0</wp14:pctHeight>
            </wp14:sizeRelV>
          </wp:anchor>
        </w:drawing>
      </w:r>
      <w:r w:rsidRPr="00DD7BC5">
        <w:rPr>
          <w:rFonts w:cs="Helvetica"/>
          <w:b/>
          <w:bCs/>
          <w:sz w:val="24"/>
          <w:szCs w:val="24"/>
        </w:rPr>
        <w:t xml:space="preserve">Goal 14 </w:t>
      </w:r>
    </w:p>
    <w:p w14:paraId="5057F305" w14:textId="77777777" w:rsidR="007358ED" w:rsidRDefault="007358ED" w:rsidP="00D368D1">
      <w:pPr>
        <w:autoSpaceDE w:val="0"/>
        <w:autoSpaceDN w:val="0"/>
        <w:adjustRightInd w:val="0"/>
        <w:spacing w:after="0" w:line="240" w:lineRule="auto"/>
        <w:jc w:val="both"/>
        <w:rPr>
          <w:rFonts w:cs="Helvetica"/>
          <w:b/>
          <w:bCs/>
          <w:sz w:val="24"/>
          <w:szCs w:val="24"/>
        </w:rPr>
      </w:pPr>
    </w:p>
    <w:p w14:paraId="4355A94F" w14:textId="168381D4" w:rsidR="007358ED" w:rsidRPr="00436DA5" w:rsidRDefault="007358ED" w:rsidP="00D368D1">
      <w:pPr>
        <w:autoSpaceDE w:val="0"/>
        <w:autoSpaceDN w:val="0"/>
        <w:adjustRightInd w:val="0"/>
        <w:spacing w:after="120" w:line="240" w:lineRule="auto"/>
        <w:jc w:val="both"/>
        <w:rPr>
          <w:rFonts w:ascii="Arial" w:hAnsi="Arial" w:cs="Arial"/>
          <w:bCs/>
          <w:sz w:val="20"/>
          <w:szCs w:val="20"/>
        </w:rPr>
      </w:pPr>
      <w:r w:rsidRPr="00436DA5">
        <w:rPr>
          <w:rFonts w:ascii="Arial" w:eastAsia="Calibri" w:hAnsi="Arial" w:cs="Arial"/>
          <w:bCs/>
          <w:sz w:val="20"/>
          <w:szCs w:val="20"/>
        </w:rPr>
        <w:t xml:space="preserve">Elevata la quantità di </w:t>
      </w:r>
      <w:r w:rsidRPr="00436DA5">
        <w:rPr>
          <w:rFonts w:ascii="Arial" w:eastAsia="Calibri" w:hAnsi="Arial" w:cs="Arial"/>
          <w:b/>
          <w:bCs/>
          <w:sz w:val="20"/>
          <w:szCs w:val="20"/>
        </w:rPr>
        <w:t>rifiuti marini spiaggiati</w:t>
      </w:r>
      <w:r w:rsidRPr="00436DA5">
        <w:rPr>
          <w:rFonts w:ascii="Arial" w:eastAsia="Calibri" w:hAnsi="Arial" w:cs="Arial"/>
          <w:bCs/>
          <w:sz w:val="20"/>
          <w:szCs w:val="20"/>
        </w:rPr>
        <w:t xml:space="preserve"> lungo le coste Italiane. Nel periodo 2015-2020 il valore mediano è pari a 409 ogni 100 metri di spiaggia. Un terzo dei rifiuti marini è rappresentato da oggetti monouso in plastica. Le concentrazioni maggiori nella sotto regione marina del Mar Adriatico (535) e del Mediterraneo occidentale (427), quelle minori nel Mar Ionio e </w:t>
      </w:r>
      <w:r w:rsidR="00F315CC">
        <w:rPr>
          <w:rFonts w:ascii="Arial" w:eastAsia="Calibri" w:hAnsi="Arial" w:cs="Arial"/>
          <w:bCs/>
          <w:sz w:val="20"/>
          <w:szCs w:val="20"/>
        </w:rPr>
        <w:t xml:space="preserve">nel </w:t>
      </w:r>
      <w:r w:rsidRPr="00436DA5">
        <w:rPr>
          <w:rFonts w:ascii="Arial" w:eastAsia="Calibri" w:hAnsi="Arial" w:cs="Arial"/>
          <w:bCs/>
          <w:sz w:val="20"/>
          <w:szCs w:val="20"/>
        </w:rPr>
        <w:t xml:space="preserve">Mediterraneo Centrale (250). Tra il 2015 e il 2020 l’Emilia- Romagna e la Campania registrano le </w:t>
      </w:r>
      <w:r w:rsidRPr="00436DA5">
        <w:rPr>
          <w:rFonts w:ascii="Arial" w:hAnsi="Arial" w:cs="Arial"/>
          <w:bCs/>
          <w:sz w:val="20"/>
          <w:szCs w:val="20"/>
        </w:rPr>
        <w:t>riduzioni più marcate, Friuli-Venezia Giulia e Abruzzo gli incrementi più consistenti.</w:t>
      </w:r>
    </w:p>
    <w:p w14:paraId="484D0DBF" w14:textId="4E184EBF" w:rsidR="007358ED" w:rsidRPr="00436DA5" w:rsidRDefault="007358ED" w:rsidP="00D368D1">
      <w:pPr>
        <w:autoSpaceDE w:val="0"/>
        <w:autoSpaceDN w:val="0"/>
        <w:adjustRightInd w:val="0"/>
        <w:spacing w:after="120" w:line="240" w:lineRule="auto"/>
        <w:jc w:val="both"/>
        <w:rPr>
          <w:rFonts w:ascii="Arial" w:eastAsia="Calibri" w:hAnsi="Arial" w:cs="Arial"/>
          <w:bCs/>
          <w:sz w:val="20"/>
          <w:szCs w:val="20"/>
        </w:rPr>
      </w:pPr>
      <w:r w:rsidRPr="00436DA5">
        <w:rPr>
          <w:rFonts w:ascii="Arial" w:hAnsi="Arial" w:cs="Arial"/>
          <w:bCs/>
          <w:sz w:val="20"/>
          <w:szCs w:val="20"/>
        </w:rPr>
        <w:t xml:space="preserve">Nel 2021, il perimetro delle </w:t>
      </w:r>
      <w:r w:rsidRPr="00436DA5">
        <w:rPr>
          <w:rFonts w:ascii="Arial" w:hAnsi="Arial" w:cs="Arial"/>
          <w:b/>
          <w:bCs/>
          <w:sz w:val="20"/>
          <w:szCs w:val="20"/>
        </w:rPr>
        <w:t>aree marine comprese nella Rete Natura 2000</w:t>
      </w:r>
      <w:r w:rsidRPr="00436DA5">
        <w:rPr>
          <w:rFonts w:ascii="Arial" w:hAnsi="Arial" w:cs="Arial"/>
          <w:bCs/>
          <w:sz w:val="20"/>
          <w:szCs w:val="20"/>
        </w:rPr>
        <w:t xml:space="preserve"> delimita complessivamente</w:t>
      </w:r>
      <w:r w:rsidRPr="00436DA5">
        <w:rPr>
          <w:rFonts w:ascii="Arial" w:eastAsia="Calibri" w:hAnsi="Arial" w:cs="Arial"/>
          <w:bCs/>
          <w:sz w:val="20"/>
          <w:szCs w:val="20"/>
        </w:rPr>
        <w:t xml:space="preserve"> 20.717 km</w:t>
      </w:r>
      <w:r w:rsidRPr="00436DA5">
        <w:rPr>
          <w:rFonts w:ascii="Arial" w:eastAsia="Calibri" w:hAnsi="Arial" w:cs="Arial"/>
          <w:bCs/>
          <w:sz w:val="20"/>
          <w:szCs w:val="20"/>
          <w:vertAlign w:val="superscript"/>
        </w:rPr>
        <w:t>2</w:t>
      </w:r>
      <w:r w:rsidRPr="00436DA5">
        <w:rPr>
          <w:rFonts w:ascii="Arial" w:eastAsia="Calibri" w:hAnsi="Arial" w:cs="Arial"/>
          <w:bCs/>
          <w:sz w:val="20"/>
          <w:szCs w:val="20"/>
        </w:rPr>
        <w:t xml:space="preserve">, corrispondente al 13,4% delle acque territoriali italiane. Tra il 2020 e il 2021 </w:t>
      </w:r>
      <w:r w:rsidR="00F315CC">
        <w:rPr>
          <w:rFonts w:ascii="Arial" w:eastAsia="Calibri" w:hAnsi="Arial" w:cs="Arial"/>
          <w:bCs/>
          <w:sz w:val="20"/>
          <w:szCs w:val="20"/>
        </w:rPr>
        <w:t xml:space="preserve">è stata </w:t>
      </w:r>
      <w:r w:rsidRPr="00436DA5">
        <w:rPr>
          <w:rFonts w:ascii="Arial" w:eastAsia="Calibri" w:hAnsi="Arial" w:cs="Arial"/>
          <w:bCs/>
          <w:sz w:val="20"/>
          <w:szCs w:val="20"/>
        </w:rPr>
        <w:t>ampliata l’area dei Fondali dell’Isola di Salina di 309 km</w:t>
      </w:r>
      <w:r w:rsidRPr="00436DA5">
        <w:rPr>
          <w:rFonts w:ascii="Arial" w:eastAsia="Calibri" w:hAnsi="Arial" w:cs="Arial"/>
          <w:bCs/>
          <w:sz w:val="20"/>
          <w:szCs w:val="20"/>
          <w:vertAlign w:val="superscript"/>
        </w:rPr>
        <w:t>2</w:t>
      </w:r>
      <w:r w:rsidRPr="00436DA5">
        <w:rPr>
          <w:rFonts w:ascii="Arial" w:eastAsia="Calibri" w:hAnsi="Arial" w:cs="Arial"/>
          <w:bCs/>
          <w:sz w:val="20"/>
          <w:szCs w:val="20"/>
        </w:rPr>
        <w:t xml:space="preserve"> (area sia terrestre che marina in larga parte in sovrapposizione con l’Arcipelago delle Eolie). Nel triennio 2018-2021, più che triplicata la copertura delle acque tutelate (dal 3,8% al 13,4), anche se molto contenuta nel 2021. Aumento legato all’individuazione di nuovi siti, in seguito alle sollecitazioni della Commissione </w:t>
      </w:r>
      <w:r w:rsidR="00F315CC">
        <w:rPr>
          <w:rFonts w:ascii="Arial" w:eastAsia="Calibri" w:hAnsi="Arial" w:cs="Arial"/>
          <w:bCs/>
          <w:sz w:val="20"/>
          <w:szCs w:val="20"/>
        </w:rPr>
        <w:t>e</w:t>
      </w:r>
      <w:r w:rsidRPr="00436DA5">
        <w:rPr>
          <w:rFonts w:ascii="Arial" w:eastAsia="Calibri" w:hAnsi="Arial" w:cs="Arial"/>
          <w:bCs/>
          <w:sz w:val="20"/>
          <w:szCs w:val="20"/>
        </w:rPr>
        <w:t>uropea.</w:t>
      </w:r>
    </w:p>
    <w:p w14:paraId="4F152E41" w14:textId="77777777" w:rsidR="007358ED" w:rsidRPr="00436DA5" w:rsidRDefault="007358ED" w:rsidP="00D368D1">
      <w:pPr>
        <w:autoSpaceDE w:val="0"/>
        <w:autoSpaceDN w:val="0"/>
        <w:adjustRightInd w:val="0"/>
        <w:spacing w:after="120" w:line="240" w:lineRule="auto"/>
        <w:jc w:val="both"/>
        <w:rPr>
          <w:rFonts w:ascii="Arial" w:eastAsia="Calibri" w:hAnsi="Arial" w:cs="Arial"/>
          <w:bCs/>
          <w:sz w:val="20"/>
          <w:szCs w:val="20"/>
        </w:rPr>
      </w:pPr>
      <w:r w:rsidRPr="00436DA5">
        <w:rPr>
          <w:rFonts w:ascii="Arial" w:hAnsi="Arial" w:cs="Arial"/>
          <w:bCs/>
          <w:sz w:val="20"/>
          <w:szCs w:val="20"/>
        </w:rPr>
        <w:t xml:space="preserve">Nel 2021 risultano tutelate il 10,6% delle </w:t>
      </w:r>
      <w:r w:rsidRPr="00436DA5">
        <w:rPr>
          <w:rFonts w:ascii="Arial" w:hAnsi="Arial" w:cs="Arial"/>
          <w:b/>
          <w:bCs/>
          <w:sz w:val="20"/>
          <w:szCs w:val="20"/>
        </w:rPr>
        <w:t xml:space="preserve">aree marine protette complessive </w:t>
      </w:r>
      <w:r w:rsidRPr="00436DA5">
        <w:rPr>
          <w:rFonts w:ascii="Arial" w:hAnsi="Arial" w:cs="Arial"/>
          <w:bCs/>
          <w:sz w:val="20"/>
          <w:szCs w:val="20"/>
        </w:rPr>
        <w:t xml:space="preserve">– nazionali, regionali e della Rete Natura 2000 (al netto delle loro sovrapposizioni spaziali) – garantendo così il rispetto dell’obiettivo 11 degli </w:t>
      </w:r>
      <w:proofErr w:type="spellStart"/>
      <w:r w:rsidRPr="00E34F20">
        <w:rPr>
          <w:rFonts w:ascii="Arial" w:hAnsi="Arial" w:cs="Arial"/>
          <w:bCs/>
          <w:i/>
          <w:iCs/>
          <w:sz w:val="20"/>
          <w:szCs w:val="20"/>
        </w:rPr>
        <w:t>Aichi</w:t>
      </w:r>
      <w:proofErr w:type="spellEnd"/>
      <w:r w:rsidRPr="00E34F20">
        <w:rPr>
          <w:rFonts w:ascii="Arial" w:hAnsi="Arial" w:cs="Arial"/>
          <w:bCs/>
          <w:i/>
          <w:iCs/>
          <w:sz w:val="20"/>
          <w:szCs w:val="20"/>
        </w:rPr>
        <w:t xml:space="preserve"> </w:t>
      </w:r>
      <w:proofErr w:type="spellStart"/>
      <w:r w:rsidRPr="00E34F20">
        <w:rPr>
          <w:rFonts w:ascii="Arial" w:hAnsi="Arial" w:cs="Arial"/>
          <w:bCs/>
          <w:i/>
          <w:iCs/>
          <w:sz w:val="20"/>
          <w:szCs w:val="20"/>
        </w:rPr>
        <w:t>Biodiversity</w:t>
      </w:r>
      <w:proofErr w:type="spellEnd"/>
      <w:r w:rsidRPr="00E34F20">
        <w:rPr>
          <w:rFonts w:ascii="Arial" w:hAnsi="Arial" w:cs="Arial"/>
          <w:bCs/>
          <w:i/>
          <w:iCs/>
          <w:sz w:val="20"/>
          <w:szCs w:val="20"/>
        </w:rPr>
        <w:t xml:space="preserve"> Targets</w:t>
      </w:r>
      <w:r w:rsidRPr="00436DA5">
        <w:rPr>
          <w:rFonts w:ascii="Arial" w:hAnsi="Arial" w:cs="Arial"/>
          <w:bCs/>
          <w:sz w:val="20"/>
          <w:szCs w:val="20"/>
        </w:rPr>
        <w:t xml:space="preserve"> finalizzati alla tutela della biodiversità. Ancora poco utilizzati i diversi strumenti </w:t>
      </w:r>
      <w:r w:rsidRPr="00436DA5">
        <w:rPr>
          <w:rFonts w:ascii="Arial" w:eastAsia="Calibri" w:hAnsi="Arial" w:cs="Arial"/>
          <w:bCs/>
          <w:sz w:val="20"/>
          <w:szCs w:val="20"/>
        </w:rPr>
        <w:t xml:space="preserve">per la gestione delle 31 aree marine protette. </w:t>
      </w:r>
    </w:p>
    <w:p w14:paraId="7A9C5398" w14:textId="77777777" w:rsidR="007358ED" w:rsidRPr="00436DA5" w:rsidRDefault="007358ED" w:rsidP="00D368D1">
      <w:pPr>
        <w:autoSpaceDE w:val="0"/>
        <w:autoSpaceDN w:val="0"/>
        <w:adjustRightInd w:val="0"/>
        <w:spacing w:after="120" w:line="240" w:lineRule="auto"/>
        <w:jc w:val="both"/>
        <w:rPr>
          <w:rFonts w:ascii="Arial" w:eastAsia="Calibri" w:hAnsi="Arial" w:cs="Arial"/>
          <w:bCs/>
          <w:sz w:val="20"/>
          <w:szCs w:val="20"/>
        </w:rPr>
      </w:pPr>
      <w:r w:rsidRPr="00436DA5">
        <w:rPr>
          <w:rFonts w:ascii="Arial" w:eastAsia="Calibri" w:hAnsi="Arial" w:cs="Arial"/>
          <w:bCs/>
          <w:sz w:val="20"/>
          <w:szCs w:val="20"/>
        </w:rPr>
        <w:t xml:space="preserve">Nel 2020 l’Italia è molto vicina all’obiettivo previsto dalla Direttiva Balneazione, con il 97,3 % delle </w:t>
      </w:r>
      <w:r w:rsidRPr="00436DA5">
        <w:rPr>
          <w:rFonts w:ascii="Arial" w:eastAsia="Calibri" w:hAnsi="Arial" w:cs="Arial"/>
          <w:b/>
          <w:bCs/>
          <w:sz w:val="20"/>
          <w:szCs w:val="20"/>
        </w:rPr>
        <w:t>acque di balneazione marino costiere</w:t>
      </w:r>
      <w:r w:rsidRPr="00436DA5">
        <w:rPr>
          <w:rFonts w:ascii="Arial" w:eastAsia="Calibri" w:hAnsi="Arial" w:cs="Arial"/>
          <w:bCs/>
          <w:sz w:val="20"/>
          <w:szCs w:val="20"/>
        </w:rPr>
        <w:t xml:space="preserve"> che presentano livelli di qualità almeno sufficiente (4.719 su 4.848 siti), anche se permane una minima quota (1,7%) che presenta qualità scarsa oppure non è campionata (0,9%). </w:t>
      </w:r>
    </w:p>
    <w:p w14:paraId="5FD5EBFC" w14:textId="77777777" w:rsidR="007358ED" w:rsidRPr="00F135F4" w:rsidRDefault="007358ED" w:rsidP="007358ED">
      <w:pPr>
        <w:autoSpaceDE w:val="0"/>
        <w:autoSpaceDN w:val="0"/>
        <w:adjustRightInd w:val="0"/>
        <w:spacing w:after="120" w:line="240" w:lineRule="auto"/>
        <w:jc w:val="both"/>
        <w:rPr>
          <w:rFonts w:ascii="Arial" w:hAnsi="Arial" w:cs="Arial"/>
          <w:sz w:val="20"/>
          <w:szCs w:val="20"/>
        </w:rPr>
      </w:pPr>
    </w:p>
    <w:p w14:paraId="2CCB0F7E" w14:textId="77777777" w:rsidR="007358ED" w:rsidRDefault="007358ED" w:rsidP="007358ED">
      <w:pPr>
        <w:pStyle w:val="NormaleWeb"/>
        <w:keepNext/>
        <w:shd w:val="clear" w:color="auto" w:fill="FFFFFF"/>
        <w:spacing w:after="0" w:line="408" w:lineRule="atLeast"/>
        <w:jc w:val="both"/>
        <w:rPr>
          <w:rFonts w:asciiTheme="minorHAnsi" w:hAnsiTheme="minorHAnsi" w:cs="Helvetica"/>
          <w:b/>
          <w:bCs/>
          <w:color w:val="808080" w:themeColor="background1" w:themeShade="80"/>
        </w:rPr>
      </w:pPr>
      <w:r>
        <w:rPr>
          <w:b/>
          <w:bCs/>
          <w:noProof/>
          <w:lang w:eastAsia="it-IT"/>
        </w:rPr>
        <w:drawing>
          <wp:anchor distT="0" distB="0" distL="114300" distR="114300" simplePos="0" relativeHeight="251673600" behindDoc="0" locked="0" layoutInCell="1" allowOverlap="1" wp14:anchorId="14052019" wp14:editId="23AD0F1D">
            <wp:simplePos x="0" y="0"/>
            <wp:positionH relativeFrom="column">
              <wp:posOffset>3810</wp:posOffset>
            </wp:positionH>
            <wp:positionV relativeFrom="paragraph">
              <wp:posOffset>61595</wp:posOffset>
            </wp:positionV>
            <wp:extent cx="864000" cy="864000"/>
            <wp:effectExtent l="0" t="0" r="0" b="0"/>
            <wp:wrapSquare wrapText="bothSides"/>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5goal_IT.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64000" cy="864000"/>
                    </a:xfrm>
                    <a:prstGeom prst="rect">
                      <a:avLst/>
                    </a:prstGeom>
                  </pic:spPr>
                </pic:pic>
              </a:graphicData>
            </a:graphic>
            <wp14:sizeRelH relativeFrom="margin">
              <wp14:pctWidth>0</wp14:pctWidth>
            </wp14:sizeRelH>
            <wp14:sizeRelV relativeFrom="margin">
              <wp14:pctHeight>0</wp14:pctHeight>
            </wp14:sizeRelV>
          </wp:anchor>
        </w:drawing>
      </w:r>
      <w:r w:rsidRPr="00DD7BC5">
        <w:rPr>
          <w:rFonts w:asciiTheme="minorHAnsi" w:hAnsiTheme="minorHAnsi"/>
          <w:b/>
          <w:bCs/>
        </w:rPr>
        <w:t>Goal 15</w:t>
      </w:r>
    </w:p>
    <w:p w14:paraId="051E32AA" w14:textId="77777777" w:rsidR="007358ED" w:rsidRDefault="007358ED" w:rsidP="007358ED">
      <w:pPr>
        <w:autoSpaceDE w:val="0"/>
        <w:autoSpaceDN w:val="0"/>
        <w:adjustRightInd w:val="0"/>
        <w:spacing w:after="0" w:line="240" w:lineRule="auto"/>
        <w:jc w:val="both"/>
        <w:rPr>
          <w:rFonts w:cs="Helvetica"/>
          <w:b/>
          <w:bCs/>
          <w:sz w:val="24"/>
          <w:szCs w:val="24"/>
        </w:rPr>
      </w:pPr>
    </w:p>
    <w:p w14:paraId="3DEE653D" w14:textId="77777777" w:rsidR="007358ED" w:rsidRPr="006032CA" w:rsidRDefault="007358ED" w:rsidP="00D368D1">
      <w:pPr>
        <w:spacing w:after="120" w:line="240" w:lineRule="auto"/>
        <w:jc w:val="both"/>
        <w:rPr>
          <w:rFonts w:ascii="Arial" w:hAnsi="Arial" w:cs="Arial"/>
          <w:sz w:val="20"/>
          <w:szCs w:val="20"/>
        </w:rPr>
      </w:pPr>
      <w:r w:rsidRPr="006032CA">
        <w:rPr>
          <w:rFonts w:ascii="Arial" w:hAnsi="Arial" w:cs="Arial"/>
          <w:sz w:val="20"/>
          <w:szCs w:val="20"/>
        </w:rPr>
        <w:t xml:space="preserve">Nel 2021, il sistema delle </w:t>
      </w:r>
      <w:r w:rsidRPr="008C61BD">
        <w:rPr>
          <w:rFonts w:ascii="Arial" w:hAnsi="Arial" w:cs="Arial"/>
          <w:b/>
          <w:sz w:val="20"/>
          <w:szCs w:val="20"/>
        </w:rPr>
        <w:t>aree protette</w:t>
      </w:r>
      <w:r w:rsidRPr="006032CA">
        <w:rPr>
          <w:rFonts w:ascii="Arial" w:hAnsi="Arial" w:cs="Arial"/>
          <w:sz w:val="20"/>
          <w:szCs w:val="20"/>
        </w:rPr>
        <w:t xml:space="preserve"> </w:t>
      </w:r>
      <w:r>
        <w:rPr>
          <w:rFonts w:ascii="Arial" w:hAnsi="Arial" w:cs="Arial"/>
          <w:sz w:val="20"/>
          <w:szCs w:val="20"/>
        </w:rPr>
        <w:t xml:space="preserve">copre il 21,7% del territorio nazionale, </w:t>
      </w:r>
      <w:r w:rsidRPr="006032CA">
        <w:rPr>
          <w:rFonts w:ascii="Arial" w:hAnsi="Arial" w:cs="Arial"/>
          <w:sz w:val="20"/>
          <w:szCs w:val="20"/>
        </w:rPr>
        <w:t>assicura</w:t>
      </w:r>
      <w:r>
        <w:rPr>
          <w:rFonts w:ascii="Arial" w:hAnsi="Arial" w:cs="Arial"/>
          <w:sz w:val="20"/>
          <w:szCs w:val="20"/>
        </w:rPr>
        <w:t>ndo</w:t>
      </w:r>
      <w:r w:rsidRPr="006032CA">
        <w:rPr>
          <w:rFonts w:ascii="Arial" w:hAnsi="Arial" w:cs="Arial"/>
          <w:sz w:val="20"/>
          <w:szCs w:val="20"/>
        </w:rPr>
        <w:t xml:space="preserve"> una elevata copertura delle 172 Aree chiave per la biodiversità censite in Italia (75,9% per gli ecosistemi terrestri, 85,2% per quelli d’acqua dolce); gran parte dei Paesi Ue sono però più vicini all’obiettivo della copertura totale.</w:t>
      </w:r>
    </w:p>
    <w:p w14:paraId="7DAEB7B0" w14:textId="77777777" w:rsidR="007358ED" w:rsidRPr="006032CA" w:rsidRDefault="007358ED" w:rsidP="00D368D1">
      <w:pPr>
        <w:spacing w:after="120" w:line="240" w:lineRule="auto"/>
        <w:jc w:val="both"/>
        <w:rPr>
          <w:rFonts w:ascii="Arial" w:hAnsi="Arial" w:cs="Arial"/>
          <w:sz w:val="20"/>
          <w:szCs w:val="20"/>
        </w:rPr>
      </w:pPr>
      <w:r w:rsidRPr="006032CA">
        <w:rPr>
          <w:rFonts w:ascii="Arial" w:hAnsi="Arial" w:cs="Arial"/>
          <w:sz w:val="20"/>
          <w:szCs w:val="20"/>
        </w:rPr>
        <w:t xml:space="preserve">Torna ad accelerare il </w:t>
      </w:r>
      <w:r w:rsidRPr="008C61BD">
        <w:rPr>
          <w:rFonts w:ascii="Arial" w:hAnsi="Arial" w:cs="Arial"/>
          <w:b/>
          <w:sz w:val="20"/>
          <w:szCs w:val="20"/>
        </w:rPr>
        <w:t>consumo di suolo</w:t>
      </w:r>
      <w:r w:rsidRPr="006032CA">
        <w:rPr>
          <w:rFonts w:ascii="Arial" w:hAnsi="Arial" w:cs="Arial"/>
          <w:sz w:val="20"/>
          <w:szCs w:val="20"/>
        </w:rPr>
        <w:t xml:space="preserve">: nel 2021, le superfici rese impermeabili dalle coperture artificiali </w:t>
      </w:r>
      <w:r>
        <w:rPr>
          <w:rFonts w:ascii="Arial" w:hAnsi="Arial" w:cs="Arial"/>
          <w:sz w:val="20"/>
          <w:szCs w:val="20"/>
        </w:rPr>
        <w:t xml:space="preserve">sono pari al </w:t>
      </w:r>
      <w:r w:rsidRPr="006032CA">
        <w:rPr>
          <w:rFonts w:ascii="Arial" w:hAnsi="Arial" w:cs="Arial"/>
          <w:sz w:val="20"/>
          <w:szCs w:val="20"/>
        </w:rPr>
        <w:t>7,2% del territorio nazionale</w:t>
      </w:r>
      <w:r>
        <w:rPr>
          <w:rFonts w:ascii="Arial" w:hAnsi="Arial" w:cs="Arial"/>
          <w:sz w:val="20"/>
          <w:szCs w:val="20"/>
        </w:rPr>
        <w:t xml:space="preserve">, con </w:t>
      </w:r>
      <w:r w:rsidRPr="006032CA">
        <w:rPr>
          <w:rFonts w:ascii="Arial" w:hAnsi="Arial" w:cs="Arial"/>
          <w:sz w:val="20"/>
          <w:szCs w:val="20"/>
        </w:rPr>
        <w:t>un incremento medio di 17,4 ettari al giorno, contro i 15,9 dell’anno precedente. Molte regioni, tuttavia, si sono avvicinate all’obiettivo del consumo di suolo zero; le situazioni più critiche in Piemonte, Liguria, Lombardia, Veneto, Lazio e Campania.</w:t>
      </w:r>
    </w:p>
    <w:p w14:paraId="32C9D5AC" w14:textId="77777777" w:rsidR="007358ED" w:rsidRPr="006032CA" w:rsidRDefault="007358ED" w:rsidP="00D368D1">
      <w:pPr>
        <w:spacing w:after="120" w:line="240" w:lineRule="auto"/>
        <w:jc w:val="both"/>
        <w:rPr>
          <w:rFonts w:ascii="Arial" w:hAnsi="Arial" w:cs="Arial"/>
          <w:sz w:val="20"/>
          <w:szCs w:val="20"/>
        </w:rPr>
      </w:pPr>
      <w:r w:rsidRPr="006032CA">
        <w:rPr>
          <w:rFonts w:ascii="Arial" w:hAnsi="Arial" w:cs="Arial"/>
          <w:sz w:val="20"/>
          <w:szCs w:val="20"/>
        </w:rPr>
        <w:t xml:space="preserve">Nel 2020 il 44,4% del territorio italiano presenta un grado di </w:t>
      </w:r>
      <w:r w:rsidRPr="008C61BD">
        <w:rPr>
          <w:rFonts w:ascii="Arial" w:hAnsi="Arial" w:cs="Arial"/>
          <w:b/>
          <w:sz w:val="20"/>
          <w:szCs w:val="20"/>
        </w:rPr>
        <w:t>frammentazione</w:t>
      </w:r>
      <w:r w:rsidRPr="006032CA">
        <w:rPr>
          <w:rFonts w:ascii="Arial" w:hAnsi="Arial" w:cs="Arial"/>
          <w:sz w:val="20"/>
          <w:szCs w:val="20"/>
        </w:rPr>
        <w:t xml:space="preserve"> elevato o molto elevato, che ne inibisce la funzionalità ecologica. Il fenomeno è particolarmente accentuato in Puglia e nelle Marche, ma interessa in quasi tutte le regioni più di un quarto della superficie territoriale. </w:t>
      </w:r>
    </w:p>
    <w:p w14:paraId="0416EF58" w14:textId="77777777" w:rsidR="007358ED" w:rsidRPr="00F11A02" w:rsidRDefault="007358ED" w:rsidP="00D368D1">
      <w:pPr>
        <w:spacing w:after="120" w:line="240" w:lineRule="auto"/>
        <w:jc w:val="both"/>
        <w:rPr>
          <w:rFonts w:ascii="Arial" w:hAnsi="Arial" w:cs="Arial"/>
          <w:sz w:val="20"/>
          <w:szCs w:val="20"/>
        </w:rPr>
      </w:pPr>
      <w:r w:rsidRPr="006032CA">
        <w:rPr>
          <w:rFonts w:ascii="Arial" w:hAnsi="Arial" w:cs="Arial"/>
          <w:sz w:val="20"/>
          <w:szCs w:val="20"/>
        </w:rPr>
        <w:t xml:space="preserve">Fra gli uccelli nidificanti in Italia si rileva una positiva diminuzione delle </w:t>
      </w:r>
      <w:r w:rsidRPr="008C61BD">
        <w:rPr>
          <w:rFonts w:ascii="Arial" w:hAnsi="Arial" w:cs="Arial"/>
          <w:b/>
          <w:sz w:val="20"/>
          <w:szCs w:val="20"/>
        </w:rPr>
        <w:t>specie a rischio di estinzione</w:t>
      </w:r>
      <w:r w:rsidRPr="006032CA">
        <w:rPr>
          <w:rFonts w:ascii="Arial" w:hAnsi="Arial" w:cs="Arial"/>
          <w:sz w:val="20"/>
          <w:szCs w:val="20"/>
        </w:rPr>
        <w:t xml:space="preserve"> (26,1% nel 2019, contro il 30% del 2013). L’Italia resta comunque lontana dall’obiettivo della messa in sicurezza di tutte le specie minacciate entro il 2020.</w:t>
      </w:r>
    </w:p>
    <w:p w14:paraId="7EE8BDDC" w14:textId="77777777" w:rsidR="007358ED" w:rsidRPr="00F135F4" w:rsidRDefault="007358ED" w:rsidP="009203D1">
      <w:pPr>
        <w:autoSpaceDE w:val="0"/>
        <w:autoSpaceDN w:val="0"/>
        <w:adjustRightInd w:val="0"/>
        <w:spacing w:after="120" w:line="240" w:lineRule="auto"/>
        <w:jc w:val="both"/>
        <w:rPr>
          <w:rFonts w:ascii="Arial" w:hAnsi="Arial" w:cs="Arial"/>
          <w:sz w:val="20"/>
          <w:szCs w:val="20"/>
        </w:rPr>
      </w:pPr>
      <w:r w:rsidRPr="000A0C77">
        <w:rPr>
          <w:rFonts w:cs="Times New Roman"/>
          <w:b/>
          <w:bCs/>
          <w:noProof/>
          <w:sz w:val="24"/>
          <w:szCs w:val="24"/>
          <w:lang w:eastAsia="it-IT"/>
        </w:rPr>
        <w:drawing>
          <wp:anchor distT="0" distB="0" distL="114300" distR="114300" simplePos="0" relativeHeight="251670528" behindDoc="0" locked="0" layoutInCell="1" allowOverlap="1" wp14:anchorId="41298F92" wp14:editId="7275AB2E">
            <wp:simplePos x="0" y="0"/>
            <wp:positionH relativeFrom="column">
              <wp:posOffset>3810</wp:posOffset>
            </wp:positionH>
            <wp:positionV relativeFrom="paragraph">
              <wp:posOffset>214630</wp:posOffset>
            </wp:positionV>
            <wp:extent cx="863600" cy="863600"/>
            <wp:effectExtent l="0" t="0" r="0" b="0"/>
            <wp:wrapSquare wrapText="bothSides"/>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6goal_IT.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63600" cy="863600"/>
                    </a:xfrm>
                    <a:prstGeom prst="rect">
                      <a:avLst/>
                    </a:prstGeom>
                  </pic:spPr>
                </pic:pic>
              </a:graphicData>
            </a:graphic>
            <wp14:sizeRelH relativeFrom="page">
              <wp14:pctWidth>0</wp14:pctWidth>
            </wp14:sizeRelH>
            <wp14:sizeRelV relativeFrom="page">
              <wp14:pctHeight>0</wp14:pctHeight>
            </wp14:sizeRelV>
          </wp:anchor>
        </w:drawing>
      </w:r>
    </w:p>
    <w:p w14:paraId="41C89848" w14:textId="77777777" w:rsidR="007358ED" w:rsidRPr="000A0C77" w:rsidRDefault="007358ED" w:rsidP="00D368D1">
      <w:pPr>
        <w:spacing w:after="0"/>
        <w:jc w:val="both"/>
        <w:rPr>
          <w:rFonts w:cs="Times New Roman"/>
          <w:b/>
          <w:bCs/>
          <w:sz w:val="24"/>
          <w:szCs w:val="24"/>
        </w:rPr>
      </w:pPr>
      <w:r w:rsidRPr="000A0C77">
        <w:rPr>
          <w:rFonts w:cs="Times New Roman"/>
          <w:b/>
          <w:bCs/>
          <w:sz w:val="24"/>
          <w:szCs w:val="24"/>
        </w:rPr>
        <w:t xml:space="preserve">Goal 16 </w:t>
      </w:r>
    </w:p>
    <w:p w14:paraId="4786E9A2" w14:textId="77777777" w:rsidR="007358ED" w:rsidRDefault="007358ED" w:rsidP="007358ED">
      <w:pPr>
        <w:autoSpaceDE w:val="0"/>
        <w:autoSpaceDN w:val="0"/>
        <w:adjustRightInd w:val="0"/>
        <w:spacing w:after="0" w:line="240" w:lineRule="auto"/>
        <w:jc w:val="both"/>
        <w:rPr>
          <w:rFonts w:cs="Helvetica"/>
          <w:b/>
          <w:bCs/>
          <w:sz w:val="24"/>
          <w:szCs w:val="24"/>
        </w:rPr>
      </w:pPr>
    </w:p>
    <w:p w14:paraId="1372D331" w14:textId="77777777" w:rsidR="007358ED" w:rsidRDefault="007358ED" w:rsidP="00D368D1">
      <w:pPr>
        <w:tabs>
          <w:tab w:val="left" w:pos="9639"/>
        </w:tabs>
        <w:spacing w:after="120" w:line="240" w:lineRule="auto"/>
        <w:jc w:val="both"/>
        <w:rPr>
          <w:rFonts w:ascii="Arial" w:hAnsi="Arial" w:cs="Arial"/>
          <w:sz w:val="20"/>
          <w:szCs w:val="20"/>
        </w:rPr>
      </w:pPr>
      <w:r w:rsidRPr="00D82A99">
        <w:rPr>
          <w:rFonts w:ascii="Arial" w:hAnsi="Arial" w:cs="Arial"/>
          <w:sz w:val="20"/>
          <w:szCs w:val="20"/>
        </w:rPr>
        <w:t>Nel 20</w:t>
      </w:r>
      <w:r>
        <w:rPr>
          <w:rFonts w:ascii="Arial" w:hAnsi="Arial" w:cs="Arial"/>
          <w:sz w:val="20"/>
          <w:szCs w:val="20"/>
        </w:rPr>
        <w:t>20</w:t>
      </w:r>
      <w:r w:rsidRPr="00D82A99">
        <w:rPr>
          <w:rFonts w:ascii="Arial" w:hAnsi="Arial" w:cs="Arial"/>
          <w:sz w:val="20"/>
          <w:szCs w:val="20"/>
        </w:rPr>
        <w:t xml:space="preserve"> in Italia sono stati commessi 0,</w:t>
      </w:r>
      <w:r>
        <w:rPr>
          <w:rFonts w:ascii="Arial" w:hAnsi="Arial" w:cs="Arial"/>
          <w:sz w:val="20"/>
          <w:szCs w:val="20"/>
        </w:rPr>
        <w:t>5</w:t>
      </w:r>
      <w:r w:rsidRPr="00D82A99">
        <w:rPr>
          <w:rFonts w:ascii="Arial" w:hAnsi="Arial" w:cs="Arial"/>
          <w:sz w:val="20"/>
          <w:szCs w:val="20"/>
        </w:rPr>
        <w:t xml:space="preserve"> </w:t>
      </w:r>
      <w:r w:rsidRPr="005D4957">
        <w:rPr>
          <w:rFonts w:ascii="Arial" w:hAnsi="Arial" w:cs="Arial"/>
          <w:b/>
          <w:sz w:val="20"/>
          <w:szCs w:val="20"/>
        </w:rPr>
        <w:t>omicidi volontari</w:t>
      </w:r>
      <w:r w:rsidRPr="00D82A99">
        <w:rPr>
          <w:rFonts w:ascii="Arial" w:hAnsi="Arial" w:cs="Arial"/>
          <w:sz w:val="20"/>
          <w:szCs w:val="20"/>
        </w:rPr>
        <w:t xml:space="preserve"> per 100</w:t>
      </w:r>
      <w:r>
        <w:rPr>
          <w:rFonts w:ascii="Arial" w:hAnsi="Arial" w:cs="Arial"/>
          <w:sz w:val="20"/>
          <w:szCs w:val="20"/>
        </w:rPr>
        <w:t>mila</w:t>
      </w:r>
      <w:r w:rsidRPr="00D82A99">
        <w:rPr>
          <w:rFonts w:ascii="Arial" w:hAnsi="Arial" w:cs="Arial"/>
          <w:sz w:val="20"/>
          <w:szCs w:val="20"/>
        </w:rPr>
        <w:t xml:space="preserve"> abitanti. Il tasso di omicidi </w:t>
      </w:r>
      <w:r>
        <w:rPr>
          <w:rFonts w:ascii="Arial" w:hAnsi="Arial" w:cs="Arial"/>
          <w:sz w:val="20"/>
          <w:szCs w:val="20"/>
        </w:rPr>
        <w:t>rimane stabile, tra i più bassi in Europa</w:t>
      </w:r>
      <w:r w:rsidRPr="00D82A99">
        <w:rPr>
          <w:rFonts w:ascii="Arial" w:hAnsi="Arial" w:cs="Arial"/>
          <w:sz w:val="20"/>
          <w:szCs w:val="20"/>
        </w:rPr>
        <w:t xml:space="preserve">. </w:t>
      </w:r>
    </w:p>
    <w:p w14:paraId="371CC47C" w14:textId="77777777" w:rsidR="007358ED" w:rsidRDefault="007358ED" w:rsidP="00D368D1">
      <w:pPr>
        <w:tabs>
          <w:tab w:val="left" w:pos="9639"/>
        </w:tabs>
        <w:spacing w:after="120" w:line="240" w:lineRule="atLeast"/>
        <w:jc w:val="both"/>
        <w:rPr>
          <w:rFonts w:ascii="Arial" w:hAnsi="Arial" w:cs="Arial"/>
          <w:sz w:val="20"/>
          <w:szCs w:val="20"/>
        </w:rPr>
      </w:pPr>
      <w:r>
        <w:rPr>
          <w:rFonts w:ascii="Arial" w:hAnsi="Arial" w:cs="Arial"/>
          <w:sz w:val="20"/>
          <w:szCs w:val="20"/>
        </w:rPr>
        <w:t>Al 31 dicembre 2021</w:t>
      </w:r>
      <w:r w:rsidRPr="00D82A99">
        <w:rPr>
          <w:rFonts w:ascii="Arial" w:hAnsi="Arial" w:cs="Arial"/>
          <w:sz w:val="20"/>
          <w:szCs w:val="20"/>
        </w:rPr>
        <w:t xml:space="preserve"> i </w:t>
      </w:r>
      <w:r w:rsidRPr="005D4957">
        <w:rPr>
          <w:rFonts w:ascii="Arial" w:hAnsi="Arial" w:cs="Arial"/>
          <w:b/>
          <w:sz w:val="20"/>
          <w:szCs w:val="20"/>
        </w:rPr>
        <w:t>detenuti in attesa di primo giudizio</w:t>
      </w:r>
      <w:r w:rsidRPr="00D82A99">
        <w:rPr>
          <w:rFonts w:ascii="Arial" w:hAnsi="Arial" w:cs="Arial"/>
          <w:sz w:val="20"/>
          <w:szCs w:val="20"/>
        </w:rPr>
        <w:t xml:space="preserve"> sono </w:t>
      </w:r>
      <w:r>
        <w:rPr>
          <w:rFonts w:ascii="Arial" w:hAnsi="Arial" w:cs="Arial"/>
          <w:sz w:val="20"/>
          <w:szCs w:val="20"/>
        </w:rPr>
        <w:t>8.527, pari al 15,8</w:t>
      </w:r>
      <w:r w:rsidRPr="00D82A99">
        <w:rPr>
          <w:rFonts w:ascii="Arial" w:hAnsi="Arial" w:cs="Arial"/>
          <w:sz w:val="20"/>
          <w:szCs w:val="20"/>
        </w:rPr>
        <w:t>% della popolazione carceraria. Il numero di detenuti presenti in istituti di detenzione è superiore al numero di posti disponibili definiti dalla capienza regolamentare (1</w:t>
      </w:r>
      <w:r>
        <w:rPr>
          <w:rFonts w:ascii="Arial" w:hAnsi="Arial" w:cs="Arial"/>
          <w:sz w:val="20"/>
          <w:szCs w:val="20"/>
        </w:rPr>
        <w:t>06</w:t>
      </w:r>
      <w:r w:rsidRPr="00D82A99">
        <w:rPr>
          <w:rFonts w:ascii="Arial" w:hAnsi="Arial" w:cs="Arial"/>
          <w:sz w:val="20"/>
          <w:szCs w:val="20"/>
        </w:rPr>
        <w:t>,</w:t>
      </w:r>
      <w:r>
        <w:rPr>
          <w:rFonts w:ascii="Arial" w:hAnsi="Arial" w:cs="Arial"/>
          <w:sz w:val="20"/>
          <w:szCs w:val="20"/>
        </w:rPr>
        <w:t>5</w:t>
      </w:r>
      <w:r w:rsidRPr="00D82A99">
        <w:rPr>
          <w:rFonts w:ascii="Arial" w:hAnsi="Arial" w:cs="Arial"/>
          <w:sz w:val="20"/>
          <w:szCs w:val="20"/>
        </w:rPr>
        <w:t xml:space="preserve"> per cento posti disponibili). </w:t>
      </w:r>
    </w:p>
    <w:p w14:paraId="65AAA009" w14:textId="1591E016" w:rsidR="007358ED" w:rsidRPr="00D82A99" w:rsidRDefault="007358ED" w:rsidP="00E34F20">
      <w:pPr>
        <w:tabs>
          <w:tab w:val="left" w:pos="9639"/>
        </w:tabs>
        <w:spacing w:after="120" w:line="240" w:lineRule="atLeast"/>
        <w:jc w:val="both"/>
        <w:rPr>
          <w:rFonts w:ascii="Arial" w:hAnsi="Arial" w:cs="Arial"/>
          <w:sz w:val="20"/>
          <w:szCs w:val="20"/>
        </w:rPr>
      </w:pPr>
      <w:r w:rsidRPr="00D82A99">
        <w:rPr>
          <w:rFonts w:ascii="Arial" w:hAnsi="Arial" w:cs="Arial"/>
          <w:sz w:val="20"/>
          <w:szCs w:val="20"/>
        </w:rPr>
        <w:t>Nel 20</w:t>
      </w:r>
      <w:r>
        <w:rPr>
          <w:rFonts w:ascii="Arial" w:hAnsi="Arial" w:cs="Arial"/>
          <w:sz w:val="20"/>
          <w:szCs w:val="20"/>
        </w:rPr>
        <w:t>21</w:t>
      </w:r>
      <w:r w:rsidRPr="00D82A99">
        <w:rPr>
          <w:rFonts w:ascii="Arial" w:hAnsi="Arial" w:cs="Arial"/>
          <w:sz w:val="20"/>
          <w:szCs w:val="20"/>
        </w:rPr>
        <w:t xml:space="preserve"> </w:t>
      </w:r>
      <w:r>
        <w:rPr>
          <w:rFonts w:ascii="Arial" w:hAnsi="Arial" w:cs="Arial"/>
          <w:sz w:val="20"/>
          <w:szCs w:val="20"/>
        </w:rPr>
        <w:t>si segnala una battuta di arresto nel processo di riduzione del</w:t>
      </w:r>
      <w:r w:rsidRPr="00D82A99">
        <w:rPr>
          <w:rFonts w:ascii="Arial" w:hAnsi="Arial" w:cs="Arial"/>
          <w:sz w:val="20"/>
          <w:szCs w:val="20"/>
        </w:rPr>
        <w:t xml:space="preserve">la durata dei </w:t>
      </w:r>
      <w:r w:rsidRPr="005D4957">
        <w:rPr>
          <w:rFonts w:ascii="Arial" w:hAnsi="Arial" w:cs="Arial"/>
          <w:b/>
          <w:sz w:val="20"/>
          <w:szCs w:val="20"/>
        </w:rPr>
        <w:t>procedimenti civili</w:t>
      </w:r>
      <w:r w:rsidRPr="00D82A99">
        <w:rPr>
          <w:rFonts w:ascii="Arial" w:hAnsi="Arial" w:cs="Arial"/>
          <w:sz w:val="20"/>
          <w:szCs w:val="20"/>
        </w:rPr>
        <w:t xml:space="preserve"> </w:t>
      </w:r>
      <w:r>
        <w:rPr>
          <w:rFonts w:ascii="Arial" w:hAnsi="Arial" w:cs="Arial"/>
          <w:sz w:val="20"/>
          <w:szCs w:val="20"/>
        </w:rPr>
        <w:t>n</w:t>
      </w:r>
      <w:r w:rsidRPr="00D82A99">
        <w:rPr>
          <w:rFonts w:ascii="Arial" w:hAnsi="Arial" w:cs="Arial"/>
          <w:sz w:val="20"/>
          <w:szCs w:val="20"/>
        </w:rPr>
        <w:t>ei tribunali ordi</w:t>
      </w:r>
      <w:r>
        <w:rPr>
          <w:rFonts w:ascii="Arial" w:hAnsi="Arial" w:cs="Arial"/>
          <w:sz w:val="20"/>
          <w:szCs w:val="20"/>
        </w:rPr>
        <w:t>nari: la durata media aumenta di 7 giorni rispetto all’anno precedente (da 419 a 426 giorni), sebbene il numero dei procedimenti pendenti sia diminuito del 6,7% nello stesso anno</w:t>
      </w:r>
      <w:r w:rsidRPr="00D82A99">
        <w:rPr>
          <w:rFonts w:ascii="Arial" w:hAnsi="Arial" w:cs="Arial"/>
          <w:sz w:val="20"/>
          <w:szCs w:val="20"/>
        </w:rPr>
        <w:t>.</w:t>
      </w:r>
    </w:p>
    <w:p w14:paraId="5DCA750D" w14:textId="77777777" w:rsidR="007358ED" w:rsidRPr="00E34F20" w:rsidRDefault="007358ED" w:rsidP="00E34F20">
      <w:pPr>
        <w:tabs>
          <w:tab w:val="left" w:pos="9639"/>
        </w:tabs>
        <w:spacing w:after="120" w:line="240" w:lineRule="auto"/>
        <w:jc w:val="both"/>
        <w:rPr>
          <w:rFonts w:ascii="Arial" w:hAnsi="Arial" w:cs="Arial"/>
          <w:sz w:val="20"/>
          <w:szCs w:val="20"/>
        </w:rPr>
      </w:pPr>
    </w:p>
    <w:p w14:paraId="0988DA55" w14:textId="77777777" w:rsidR="007358ED" w:rsidRPr="00DD7BC5" w:rsidRDefault="007358ED" w:rsidP="00E34F20">
      <w:pPr>
        <w:autoSpaceDE w:val="0"/>
        <w:autoSpaceDN w:val="0"/>
        <w:adjustRightInd w:val="0"/>
        <w:spacing w:before="240" w:after="0" w:line="240" w:lineRule="auto"/>
        <w:jc w:val="both"/>
        <w:rPr>
          <w:rFonts w:cs="Helvetica"/>
          <w:b/>
          <w:sz w:val="24"/>
          <w:szCs w:val="24"/>
        </w:rPr>
      </w:pPr>
      <w:r>
        <w:rPr>
          <w:rFonts w:cs="Helvetica"/>
          <w:b/>
          <w:bCs/>
          <w:noProof/>
          <w:sz w:val="24"/>
          <w:szCs w:val="24"/>
          <w:lang w:eastAsia="it-IT"/>
        </w:rPr>
        <w:lastRenderedPageBreak/>
        <w:drawing>
          <wp:anchor distT="0" distB="0" distL="114300" distR="114300" simplePos="0" relativeHeight="251674624" behindDoc="0" locked="0" layoutInCell="1" allowOverlap="1" wp14:anchorId="2734E711" wp14:editId="33914B9F">
            <wp:simplePos x="0" y="0"/>
            <wp:positionH relativeFrom="column">
              <wp:posOffset>3810</wp:posOffset>
            </wp:positionH>
            <wp:positionV relativeFrom="paragraph">
              <wp:posOffset>76200</wp:posOffset>
            </wp:positionV>
            <wp:extent cx="864000" cy="864000"/>
            <wp:effectExtent l="0" t="0" r="0" b="0"/>
            <wp:wrapSquare wrapText="bothSides"/>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7goal_IT.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64000" cy="864000"/>
                    </a:xfrm>
                    <a:prstGeom prst="rect">
                      <a:avLst/>
                    </a:prstGeom>
                  </pic:spPr>
                </pic:pic>
              </a:graphicData>
            </a:graphic>
            <wp14:sizeRelH relativeFrom="margin">
              <wp14:pctWidth>0</wp14:pctWidth>
            </wp14:sizeRelH>
            <wp14:sizeRelV relativeFrom="margin">
              <wp14:pctHeight>0</wp14:pctHeight>
            </wp14:sizeRelV>
          </wp:anchor>
        </w:drawing>
      </w:r>
      <w:r w:rsidRPr="00DD7BC5">
        <w:rPr>
          <w:rFonts w:cs="Helvetica"/>
          <w:b/>
          <w:sz w:val="24"/>
          <w:szCs w:val="24"/>
        </w:rPr>
        <w:t>Goal 17</w:t>
      </w:r>
    </w:p>
    <w:p w14:paraId="7C9CD581" w14:textId="77777777" w:rsidR="009203D1" w:rsidRDefault="009203D1" w:rsidP="0006569A">
      <w:pPr>
        <w:autoSpaceDE w:val="0"/>
        <w:autoSpaceDN w:val="0"/>
        <w:adjustRightInd w:val="0"/>
        <w:spacing w:after="0" w:line="240" w:lineRule="auto"/>
        <w:jc w:val="both"/>
        <w:rPr>
          <w:rFonts w:cs="Helvetica"/>
          <w:b/>
          <w:bCs/>
          <w:sz w:val="24"/>
          <w:szCs w:val="24"/>
        </w:rPr>
      </w:pPr>
    </w:p>
    <w:p w14:paraId="7CAFDA8A" w14:textId="184E78A6" w:rsidR="007358ED" w:rsidRPr="00607A9F" w:rsidRDefault="007358ED" w:rsidP="00E34F20">
      <w:pPr>
        <w:pStyle w:val="NormaleWeb"/>
        <w:shd w:val="clear" w:color="auto" w:fill="FFFFFF"/>
        <w:spacing w:line="240" w:lineRule="auto"/>
        <w:jc w:val="both"/>
        <w:rPr>
          <w:rFonts w:ascii="Arial" w:hAnsi="Arial" w:cs="Arial"/>
          <w:sz w:val="20"/>
          <w:szCs w:val="20"/>
        </w:rPr>
      </w:pPr>
      <w:r w:rsidRPr="00607A9F">
        <w:rPr>
          <w:rFonts w:ascii="Arial" w:hAnsi="Arial" w:cs="Arial"/>
          <w:sz w:val="20"/>
          <w:szCs w:val="20"/>
        </w:rPr>
        <w:t>Nel 202</w:t>
      </w:r>
      <w:r>
        <w:rPr>
          <w:rFonts w:ascii="Arial" w:hAnsi="Arial" w:cs="Arial"/>
          <w:sz w:val="20"/>
          <w:szCs w:val="20"/>
        </w:rPr>
        <w:t>1</w:t>
      </w:r>
      <w:r w:rsidRPr="00607A9F">
        <w:rPr>
          <w:rFonts w:ascii="Arial" w:hAnsi="Arial" w:cs="Arial"/>
          <w:sz w:val="20"/>
          <w:szCs w:val="20"/>
        </w:rPr>
        <w:t xml:space="preserve">, le </w:t>
      </w:r>
      <w:r w:rsidRPr="00774C41">
        <w:rPr>
          <w:rFonts w:ascii="Arial" w:hAnsi="Arial" w:cs="Arial"/>
          <w:b/>
          <w:sz w:val="20"/>
          <w:szCs w:val="20"/>
        </w:rPr>
        <w:t>entrate delle Amministrazioni Pubbliche</w:t>
      </w:r>
      <w:r w:rsidRPr="00607A9F">
        <w:rPr>
          <w:rFonts w:ascii="Arial" w:hAnsi="Arial" w:cs="Arial"/>
          <w:sz w:val="20"/>
          <w:szCs w:val="20"/>
        </w:rPr>
        <w:t xml:space="preserve"> rappresentano il 43,</w:t>
      </w:r>
      <w:r>
        <w:rPr>
          <w:rFonts w:ascii="Arial" w:hAnsi="Arial" w:cs="Arial"/>
          <w:sz w:val="20"/>
          <w:szCs w:val="20"/>
        </w:rPr>
        <w:t>5</w:t>
      </w:r>
      <w:r w:rsidRPr="00607A9F">
        <w:rPr>
          <w:rFonts w:ascii="Arial" w:hAnsi="Arial" w:cs="Arial"/>
          <w:sz w:val="20"/>
          <w:szCs w:val="20"/>
        </w:rPr>
        <w:t>% del Pil</w:t>
      </w:r>
      <w:r>
        <w:rPr>
          <w:rFonts w:ascii="Arial" w:hAnsi="Arial" w:cs="Arial"/>
          <w:sz w:val="20"/>
          <w:szCs w:val="20"/>
        </w:rPr>
        <w:t>,</w:t>
      </w:r>
      <w:r w:rsidRPr="00607A9F">
        <w:rPr>
          <w:rFonts w:ascii="Arial" w:hAnsi="Arial" w:cs="Arial"/>
          <w:sz w:val="20"/>
          <w:szCs w:val="20"/>
        </w:rPr>
        <w:t xml:space="preserve"> con un incremento </w:t>
      </w:r>
      <w:r>
        <w:rPr>
          <w:rFonts w:ascii="Arial" w:hAnsi="Arial" w:cs="Arial"/>
          <w:sz w:val="20"/>
          <w:szCs w:val="20"/>
        </w:rPr>
        <w:t>d</w:t>
      </w:r>
      <w:r w:rsidR="009203D1">
        <w:rPr>
          <w:rFonts w:ascii="Arial" w:hAnsi="Arial" w:cs="Arial"/>
          <w:sz w:val="20"/>
          <w:szCs w:val="20"/>
        </w:rPr>
        <w:t>i</w:t>
      </w:r>
      <w:r>
        <w:rPr>
          <w:rFonts w:ascii="Arial" w:hAnsi="Arial" w:cs="Arial"/>
          <w:sz w:val="20"/>
          <w:szCs w:val="20"/>
        </w:rPr>
        <w:t xml:space="preserve"> 0,7 </w:t>
      </w:r>
      <w:r w:rsidRPr="00CB46F1">
        <w:rPr>
          <w:rFonts w:ascii="Arial" w:hAnsi="Arial" w:cs="Arial"/>
          <w:sz w:val="20"/>
          <w:szCs w:val="20"/>
        </w:rPr>
        <w:t>punti percentuali rispetto al 2020 e di 2,2 punti rispetto a dieci anni prima</w:t>
      </w:r>
      <w:r w:rsidRPr="00607A9F">
        <w:rPr>
          <w:rFonts w:ascii="Arial" w:hAnsi="Arial" w:cs="Arial"/>
          <w:sz w:val="20"/>
          <w:szCs w:val="20"/>
        </w:rPr>
        <w:t>.</w:t>
      </w:r>
    </w:p>
    <w:p w14:paraId="015FEBF4" w14:textId="77777777" w:rsidR="007358ED" w:rsidRPr="00607A9F" w:rsidRDefault="007358ED" w:rsidP="00E34F20">
      <w:pPr>
        <w:pStyle w:val="NormaleWeb"/>
        <w:shd w:val="clear" w:color="auto" w:fill="FFFFFF"/>
        <w:spacing w:before="60" w:after="120" w:line="240" w:lineRule="auto"/>
        <w:jc w:val="both"/>
        <w:rPr>
          <w:rFonts w:ascii="Arial" w:hAnsi="Arial" w:cs="Arial"/>
          <w:sz w:val="20"/>
          <w:szCs w:val="20"/>
        </w:rPr>
      </w:pPr>
      <w:r>
        <w:rPr>
          <w:rFonts w:ascii="Arial" w:hAnsi="Arial" w:cs="Arial"/>
          <w:sz w:val="20"/>
          <w:szCs w:val="20"/>
        </w:rPr>
        <w:t>Nel 2020</w:t>
      </w:r>
      <w:r w:rsidRPr="00607A9F">
        <w:rPr>
          <w:rFonts w:ascii="Arial" w:hAnsi="Arial" w:cs="Arial"/>
          <w:sz w:val="20"/>
          <w:szCs w:val="20"/>
        </w:rPr>
        <w:t xml:space="preserve">, il rapporto </w:t>
      </w:r>
      <w:r w:rsidRPr="007826E3">
        <w:rPr>
          <w:rFonts w:ascii="Arial" w:hAnsi="Arial" w:cs="Arial"/>
          <w:sz w:val="20"/>
          <w:szCs w:val="20"/>
        </w:rPr>
        <w:t>tra</w:t>
      </w:r>
      <w:r w:rsidRPr="00774C41">
        <w:rPr>
          <w:rFonts w:ascii="Arial" w:hAnsi="Arial" w:cs="Arial"/>
          <w:b/>
          <w:sz w:val="20"/>
          <w:szCs w:val="20"/>
        </w:rPr>
        <w:t xml:space="preserve"> Aiuto Pubblico allo Sviluppo </w:t>
      </w:r>
      <w:r w:rsidRPr="007826E3">
        <w:rPr>
          <w:rFonts w:ascii="Arial" w:hAnsi="Arial" w:cs="Arial"/>
          <w:sz w:val="20"/>
          <w:szCs w:val="20"/>
        </w:rPr>
        <w:t>(APS)</w:t>
      </w:r>
      <w:r w:rsidRPr="00607A9F">
        <w:rPr>
          <w:rFonts w:ascii="Arial" w:hAnsi="Arial" w:cs="Arial"/>
          <w:sz w:val="20"/>
          <w:szCs w:val="20"/>
        </w:rPr>
        <w:t xml:space="preserve"> e reddito nazionale lordo </w:t>
      </w:r>
      <w:r>
        <w:rPr>
          <w:rFonts w:ascii="Arial" w:hAnsi="Arial" w:cs="Arial"/>
          <w:sz w:val="20"/>
          <w:szCs w:val="20"/>
        </w:rPr>
        <w:t>rimane stabile rispetto ai due anni precedenti (</w:t>
      </w:r>
      <w:r w:rsidRPr="00607A9F">
        <w:rPr>
          <w:rFonts w:ascii="Arial" w:hAnsi="Arial" w:cs="Arial"/>
          <w:sz w:val="20"/>
          <w:szCs w:val="20"/>
        </w:rPr>
        <w:t>0,22%</w:t>
      </w:r>
      <w:r>
        <w:rPr>
          <w:rFonts w:ascii="Arial" w:hAnsi="Arial" w:cs="Arial"/>
          <w:sz w:val="20"/>
          <w:szCs w:val="20"/>
        </w:rPr>
        <w:t>)</w:t>
      </w:r>
      <w:r w:rsidRPr="00607A9F">
        <w:rPr>
          <w:rFonts w:ascii="Arial" w:hAnsi="Arial" w:cs="Arial"/>
          <w:sz w:val="20"/>
          <w:szCs w:val="20"/>
        </w:rPr>
        <w:t>.</w:t>
      </w:r>
      <w:r w:rsidRPr="00CB46F1">
        <w:rPr>
          <w:color w:val="231F20"/>
        </w:rPr>
        <w:t xml:space="preserve"> </w:t>
      </w:r>
      <w:r w:rsidRPr="00CB46F1">
        <w:rPr>
          <w:rFonts w:ascii="Arial" w:hAnsi="Arial" w:cs="Arial"/>
          <w:sz w:val="20"/>
          <w:szCs w:val="20"/>
        </w:rPr>
        <w:t>Anche l’APS destinato ai Paesi meno sviluppati sul reddito nazionale lordo rimane invariato rispetto all’anno precedente (0,06%)</w:t>
      </w:r>
      <w:r w:rsidRPr="00607A9F">
        <w:rPr>
          <w:rFonts w:ascii="Arial" w:hAnsi="Arial" w:cs="Arial"/>
          <w:sz w:val="20"/>
          <w:szCs w:val="20"/>
        </w:rPr>
        <w:t xml:space="preserve">. L’Italia resta ancora lontana dal raggiungimento dei </w:t>
      </w:r>
      <w:r w:rsidRPr="00E34F20">
        <w:rPr>
          <w:rFonts w:ascii="Arial" w:hAnsi="Arial" w:cs="Arial"/>
          <w:i/>
          <w:iCs/>
          <w:sz w:val="20"/>
          <w:szCs w:val="20"/>
        </w:rPr>
        <w:t>target</w:t>
      </w:r>
      <w:r w:rsidRPr="00607A9F">
        <w:rPr>
          <w:rFonts w:ascii="Arial" w:hAnsi="Arial" w:cs="Arial"/>
          <w:sz w:val="20"/>
          <w:szCs w:val="20"/>
        </w:rPr>
        <w:t xml:space="preserve"> previsti dall’Agenda 2030</w:t>
      </w:r>
      <w:r>
        <w:rPr>
          <w:rFonts w:ascii="Arial" w:hAnsi="Arial" w:cs="Arial"/>
          <w:sz w:val="20"/>
          <w:szCs w:val="20"/>
        </w:rPr>
        <w:t>.</w:t>
      </w:r>
    </w:p>
    <w:p w14:paraId="57EBA104" w14:textId="77777777" w:rsidR="007358ED" w:rsidRPr="00607A9F" w:rsidRDefault="007358ED" w:rsidP="0006569A">
      <w:pPr>
        <w:pStyle w:val="NormaleWeb"/>
        <w:shd w:val="clear" w:color="auto" w:fill="FFFFFF"/>
        <w:spacing w:after="120" w:line="240" w:lineRule="auto"/>
        <w:jc w:val="both"/>
        <w:rPr>
          <w:rFonts w:ascii="Arial" w:hAnsi="Arial" w:cs="Arial"/>
          <w:sz w:val="20"/>
          <w:szCs w:val="20"/>
        </w:rPr>
      </w:pPr>
      <w:r w:rsidRPr="00607A9F">
        <w:rPr>
          <w:rFonts w:ascii="Arial" w:hAnsi="Arial" w:cs="Arial"/>
          <w:sz w:val="20"/>
          <w:szCs w:val="20"/>
        </w:rPr>
        <w:t>Nel 202</w:t>
      </w:r>
      <w:r>
        <w:rPr>
          <w:rFonts w:ascii="Arial" w:hAnsi="Arial" w:cs="Arial"/>
          <w:sz w:val="20"/>
          <w:szCs w:val="20"/>
        </w:rPr>
        <w:t>1</w:t>
      </w:r>
      <w:r w:rsidRPr="00607A9F">
        <w:rPr>
          <w:rFonts w:ascii="Arial" w:hAnsi="Arial" w:cs="Arial"/>
          <w:sz w:val="20"/>
          <w:szCs w:val="20"/>
        </w:rPr>
        <w:t xml:space="preserve"> le </w:t>
      </w:r>
      <w:r w:rsidRPr="00774C41">
        <w:rPr>
          <w:rFonts w:ascii="Arial" w:hAnsi="Arial" w:cs="Arial"/>
          <w:b/>
          <w:sz w:val="20"/>
          <w:szCs w:val="20"/>
        </w:rPr>
        <w:t>rimesse dei lavoratori immigrati</w:t>
      </w:r>
      <w:r w:rsidRPr="00607A9F">
        <w:rPr>
          <w:rFonts w:ascii="Arial" w:hAnsi="Arial" w:cs="Arial"/>
          <w:sz w:val="20"/>
          <w:szCs w:val="20"/>
        </w:rPr>
        <w:t xml:space="preserve"> in Italia ammontano a circa </w:t>
      </w:r>
      <w:r>
        <w:rPr>
          <w:rFonts w:ascii="Arial" w:hAnsi="Arial" w:cs="Arial"/>
          <w:sz w:val="20"/>
          <w:szCs w:val="20"/>
        </w:rPr>
        <w:t>7</w:t>
      </w:r>
      <w:r w:rsidRPr="00607A9F">
        <w:rPr>
          <w:rFonts w:ascii="Arial" w:hAnsi="Arial" w:cs="Arial"/>
          <w:sz w:val="20"/>
          <w:szCs w:val="20"/>
        </w:rPr>
        <w:t xml:space="preserve">,7 </w:t>
      </w:r>
      <w:r>
        <w:rPr>
          <w:rFonts w:ascii="Arial" w:hAnsi="Arial" w:cs="Arial"/>
          <w:sz w:val="20"/>
          <w:szCs w:val="20"/>
        </w:rPr>
        <w:t xml:space="preserve">miliardi </w:t>
      </w:r>
      <w:r w:rsidRPr="00607A9F">
        <w:rPr>
          <w:rFonts w:ascii="Arial" w:hAnsi="Arial" w:cs="Arial"/>
          <w:sz w:val="20"/>
          <w:szCs w:val="20"/>
        </w:rPr>
        <w:t>di euro</w:t>
      </w:r>
      <w:r>
        <w:rPr>
          <w:rFonts w:ascii="Arial" w:hAnsi="Arial" w:cs="Arial"/>
          <w:sz w:val="20"/>
          <w:szCs w:val="20"/>
        </w:rPr>
        <w:t xml:space="preserve"> </w:t>
      </w:r>
      <w:r w:rsidRPr="00607A9F">
        <w:rPr>
          <w:rFonts w:ascii="Arial" w:hAnsi="Arial" w:cs="Arial"/>
          <w:sz w:val="20"/>
          <w:szCs w:val="20"/>
        </w:rPr>
        <w:t>con una crescita del 1</w:t>
      </w:r>
      <w:r>
        <w:rPr>
          <w:rFonts w:ascii="Arial" w:hAnsi="Arial" w:cs="Arial"/>
          <w:sz w:val="20"/>
          <w:szCs w:val="20"/>
        </w:rPr>
        <w:t>4</w:t>
      </w:r>
      <w:r w:rsidRPr="00607A9F">
        <w:rPr>
          <w:rFonts w:ascii="Arial" w:hAnsi="Arial" w:cs="Arial"/>
          <w:sz w:val="20"/>
          <w:szCs w:val="20"/>
        </w:rPr>
        <w:t>,</w:t>
      </w:r>
      <w:r>
        <w:rPr>
          <w:rFonts w:ascii="Arial" w:hAnsi="Arial" w:cs="Arial"/>
          <w:sz w:val="20"/>
          <w:szCs w:val="20"/>
        </w:rPr>
        <w:t>3% rispetto al 2020</w:t>
      </w:r>
      <w:r w:rsidRPr="00607A9F">
        <w:rPr>
          <w:rFonts w:ascii="Arial" w:hAnsi="Arial" w:cs="Arial"/>
          <w:sz w:val="20"/>
          <w:szCs w:val="20"/>
        </w:rPr>
        <w:t>.</w:t>
      </w:r>
    </w:p>
    <w:p w14:paraId="058D0B32" w14:textId="77777777" w:rsidR="007358ED" w:rsidRPr="00607A9F" w:rsidRDefault="007358ED" w:rsidP="0006569A">
      <w:pPr>
        <w:pStyle w:val="NormaleWeb"/>
        <w:shd w:val="clear" w:color="auto" w:fill="FFFFFF"/>
        <w:spacing w:after="120" w:line="240" w:lineRule="auto"/>
        <w:jc w:val="both"/>
        <w:rPr>
          <w:rFonts w:ascii="Arial" w:hAnsi="Arial" w:cs="Arial"/>
          <w:sz w:val="20"/>
          <w:szCs w:val="20"/>
        </w:rPr>
      </w:pPr>
      <w:r w:rsidRPr="00CB46F1">
        <w:rPr>
          <w:rFonts w:ascii="Arial" w:hAnsi="Arial" w:cs="Arial"/>
          <w:sz w:val="20"/>
          <w:szCs w:val="20"/>
        </w:rPr>
        <w:t xml:space="preserve">Nel 2021, gli </w:t>
      </w:r>
      <w:r w:rsidRPr="00CB46F1">
        <w:rPr>
          <w:rFonts w:ascii="Arial" w:hAnsi="Arial" w:cs="Arial"/>
          <w:b/>
          <w:sz w:val="20"/>
          <w:szCs w:val="20"/>
        </w:rPr>
        <w:t>utenti regolari di Internet</w:t>
      </w:r>
      <w:r w:rsidRPr="00CB46F1">
        <w:rPr>
          <w:rFonts w:ascii="Arial" w:hAnsi="Arial" w:cs="Arial"/>
          <w:sz w:val="20"/>
          <w:szCs w:val="20"/>
        </w:rPr>
        <w:t xml:space="preserve"> (dai 16 ai 74 anni) sono l’80,2%, una percentuale inferiore alla media Ue27 (87%). Di questi, il 39,8% utilizza Internet per </w:t>
      </w:r>
      <w:r w:rsidRPr="00CB46F1">
        <w:rPr>
          <w:rFonts w:ascii="Arial" w:hAnsi="Arial" w:cs="Arial"/>
          <w:b/>
          <w:sz w:val="20"/>
          <w:szCs w:val="20"/>
        </w:rPr>
        <w:t>acquistare merci o servizi online</w:t>
      </w:r>
      <w:r w:rsidRPr="00CB46F1">
        <w:rPr>
          <w:rFonts w:ascii="Arial" w:hAnsi="Arial" w:cs="Arial"/>
          <w:sz w:val="20"/>
          <w:szCs w:val="20"/>
        </w:rPr>
        <w:t xml:space="preserve"> (+8,4 punti rispetto al 2020), il 45,3% per effettuare operazioni di </w:t>
      </w:r>
      <w:r w:rsidRPr="00CB46F1">
        <w:rPr>
          <w:rFonts w:ascii="Arial" w:hAnsi="Arial" w:cs="Arial"/>
          <w:b/>
          <w:sz w:val="20"/>
          <w:szCs w:val="20"/>
        </w:rPr>
        <w:t>Internet banking</w:t>
      </w:r>
      <w:r w:rsidRPr="00CB46F1">
        <w:rPr>
          <w:rFonts w:ascii="Arial" w:hAnsi="Arial" w:cs="Arial"/>
          <w:sz w:val="20"/>
          <w:szCs w:val="20"/>
        </w:rPr>
        <w:t xml:space="preserve"> e il 34,1% per </w:t>
      </w:r>
      <w:r w:rsidRPr="00CB46F1">
        <w:rPr>
          <w:rFonts w:ascii="Arial" w:hAnsi="Arial" w:cs="Arial"/>
          <w:b/>
          <w:sz w:val="20"/>
          <w:szCs w:val="20"/>
        </w:rPr>
        <w:t xml:space="preserve">interagire on line con la Pubblica Amministrazione </w:t>
      </w:r>
      <w:r w:rsidRPr="00CB46F1">
        <w:rPr>
          <w:rFonts w:ascii="Arial" w:hAnsi="Arial" w:cs="Arial"/>
          <w:sz w:val="20"/>
          <w:szCs w:val="20"/>
        </w:rPr>
        <w:t>o con i gestori dei servizi pubblici</w:t>
      </w:r>
      <w:r>
        <w:rPr>
          <w:rFonts w:ascii="Arial" w:hAnsi="Arial" w:cs="Arial"/>
          <w:sz w:val="20"/>
          <w:szCs w:val="20"/>
        </w:rPr>
        <w:t>.</w:t>
      </w:r>
    </w:p>
    <w:p w14:paraId="037D9662" w14:textId="6667981B" w:rsidR="00D14886" w:rsidRDefault="00D14886" w:rsidP="002717C6">
      <w:pPr>
        <w:spacing w:after="60"/>
        <w:jc w:val="both"/>
        <w:rPr>
          <w:rFonts w:ascii="Arial" w:eastAsia="Times New Roman" w:hAnsi="Arial" w:cs="Arial"/>
          <w:b/>
          <w:bCs/>
          <w:iCs/>
          <w:color w:val="289AD1"/>
          <w:sz w:val="28"/>
          <w:szCs w:val="28"/>
        </w:rPr>
      </w:pPr>
    </w:p>
    <w:p w14:paraId="2F4331A8" w14:textId="0E2FF815" w:rsidR="001B1021" w:rsidRDefault="001B1021" w:rsidP="002717C6">
      <w:pPr>
        <w:spacing w:after="60"/>
        <w:jc w:val="both"/>
        <w:rPr>
          <w:rFonts w:ascii="Arial" w:eastAsia="Times New Roman" w:hAnsi="Arial" w:cs="Arial"/>
          <w:b/>
          <w:bCs/>
          <w:iCs/>
          <w:color w:val="289AD1"/>
          <w:sz w:val="28"/>
          <w:szCs w:val="28"/>
        </w:rPr>
      </w:pPr>
    </w:p>
    <w:tbl>
      <w:tblPr>
        <w:tblStyle w:val="Grigliatabella"/>
        <w:tblW w:w="0" w:type="auto"/>
        <w:tblBorders>
          <w:top w:val="single" w:sz="18" w:space="0" w:color="008080"/>
          <w:left w:val="none" w:sz="0" w:space="0" w:color="auto"/>
          <w:bottom w:val="single" w:sz="18" w:space="0" w:color="008080"/>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1B1021" w14:paraId="3A6162D2" w14:textId="77777777" w:rsidTr="00E34F20">
        <w:tc>
          <w:tcPr>
            <w:tcW w:w="4814" w:type="dxa"/>
          </w:tcPr>
          <w:p w14:paraId="799D0242" w14:textId="77777777" w:rsidR="00F777D9" w:rsidRPr="00B05791" w:rsidRDefault="00F777D9" w:rsidP="00F777D9">
            <w:pPr>
              <w:pStyle w:val="Default"/>
              <w:rPr>
                <w:color w:val="008080"/>
                <w:sz w:val="20"/>
                <w:szCs w:val="20"/>
              </w:rPr>
            </w:pPr>
            <w:r w:rsidRPr="00B05791">
              <w:rPr>
                <w:b/>
                <w:bCs/>
                <w:color w:val="008080"/>
                <w:sz w:val="20"/>
                <w:szCs w:val="20"/>
              </w:rPr>
              <w:t xml:space="preserve">Per chiarimenti tecnici e metodologici: </w:t>
            </w:r>
          </w:p>
          <w:p w14:paraId="23B95130" w14:textId="77777777" w:rsidR="00F777D9" w:rsidRPr="00B05791" w:rsidRDefault="00F777D9" w:rsidP="00181E86">
            <w:pPr>
              <w:autoSpaceDE w:val="0"/>
              <w:autoSpaceDN w:val="0"/>
              <w:adjustRightInd w:val="0"/>
              <w:rPr>
                <w:rFonts w:ascii="Arial" w:hAnsi="Arial" w:cs="Arial"/>
                <w:b/>
                <w:bCs/>
                <w:color w:val="008080"/>
              </w:rPr>
            </w:pPr>
          </w:p>
          <w:p w14:paraId="22DEFD8C" w14:textId="77777777" w:rsidR="00A06DE3" w:rsidRPr="00B05791" w:rsidRDefault="00A06DE3" w:rsidP="00A06DE3">
            <w:pPr>
              <w:autoSpaceDE w:val="0"/>
              <w:autoSpaceDN w:val="0"/>
              <w:adjustRightInd w:val="0"/>
              <w:rPr>
                <w:rFonts w:ascii="Arial" w:hAnsi="Arial" w:cs="Arial"/>
                <w:color w:val="008080"/>
              </w:rPr>
            </w:pPr>
            <w:r w:rsidRPr="00B05791">
              <w:rPr>
                <w:rFonts w:ascii="Arial" w:hAnsi="Arial" w:cs="Arial"/>
                <w:b/>
                <w:bCs/>
                <w:color w:val="008080"/>
              </w:rPr>
              <w:t xml:space="preserve">Paola Ungaro </w:t>
            </w:r>
          </w:p>
          <w:p w14:paraId="296DF8E5" w14:textId="5FB19FA7" w:rsidR="001B1021" w:rsidRPr="00B05791" w:rsidRDefault="00A06DE3" w:rsidP="00A06DE3">
            <w:pPr>
              <w:spacing w:after="60"/>
              <w:jc w:val="both"/>
              <w:rPr>
                <w:rFonts w:ascii="Arial" w:eastAsia="Times New Roman" w:hAnsi="Arial" w:cs="Arial"/>
                <w:b/>
                <w:bCs/>
                <w:iCs/>
                <w:color w:val="289AD1"/>
                <w:sz w:val="28"/>
                <w:szCs w:val="28"/>
              </w:rPr>
            </w:pPr>
            <w:r w:rsidRPr="00B05791">
              <w:rPr>
                <w:rFonts w:ascii="Arial" w:hAnsi="Arial" w:cs="Arial"/>
                <w:color w:val="000000"/>
              </w:rPr>
              <w:t>ungaro@istat.it</w:t>
            </w:r>
          </w:p>
        </w:tc>
        <w:tc>
          <w:tcPr>
            <w:tcW w:w="4814" w:type="dxa"/>
          </w:tcPr>
          <w:p w14:paraId="5498D397" w14:textId="77777777" w:rsidR="00F777D9" w:rsidRPr="00E34F20" w:rsidRDefault="00F777D9" w:rsidP="00181E86">
            <w:pPr>
              <w:autoSpaceDE w:val="0"/>
              <w:autoSpaceDN w:val="0"/>
              <w:adjustRightInd w:val="0"/>
              <w:rPr>
                <w:rFonts w:ascii="Arial" w:hAnsi="Arial" w:cs="Arial"/>
                <w:b/>
                <w:bCs/>
                <w:color w:val="008080"/>
                <w:sz w:val="20"/>
                <w:szCs w:val="20"/>
                <w:highlight w:val="yellow"/>
              </w:rPr>
            </w:pPr>
          </w:p>
          <w:p w14:paraId="2266BA48" w14:textId="77777777" w:rsidR="00F777D9" w:rsidRDefault="00F777D9" w:rsidP="00181E86">
            <w:pPr>
              <w:autoSpaceDE w:val="0"/>
              <w:autoSpaceDN w:val="0"/>
              <w:adjustRightInd w:val="0"/>
              <w:rPr>
                <w:rFonts w:ascii="Arial" w:hAnsi="Arial" w:cs="Arial"/>
                <w:b/>
                <w:bCs/>
                <w:color w:val="008080"/>
                <w:highlight w:val="yellow"/>
              </w:rPr>
            </w:pPr>
          </w:p>
          <w:p w14:paraId="7AF23ED5" w14:textId="6A1338D6" w:rsidR="001B1021" w:rsidRDefault="001B1021" w:rsidP="00181E86">
            <w:pPr>
              <w:spacing w:after="60"/>
              <w:jc w:val="both"/>
              <w:rPr>
                <w:rFonts w:ascii="Arial" w:eastAsia="Times New Roman" w:hAnsi="Arial" w:cs="Arial"/>
                <w:b/>
                <w:bCs/>
                <w:iCs/>
                <w:color w:val="289AD1"/>
                <w:sz w:val="28"/>
                <w:szCs w:val="28"/>
              </w:rPr>
            </w:pPr>
          </w:p>
        </w:tc>
      </w:tr>
    </w:tbl>
    <w:p w14:paraId="614CFA05" w14:textId="55251266" w:rsidR="001B1021" w:rsidRDefault="001B1021" w:rsidP="002717C6">
      <w:pPr>
        <w:spacing w:after="60"/>
        <w:jc w:val="both"/>
        <w:rPr>
          <w:rFonts w:ascii="Arial" w:eastAsia="Times New Roman" w:hAnsi="Arial" w:cs="Arial"/>
          <w:b/>
          <w:bCs/>
          <w:iCs/>
          <w:color w:val="289AD1"/>
          <w:sz w:val="28"/>
          <w:szCs w:val="28"/>
        </w:rPr>
      </w:pPr>
    </w:p>
    <w:p w14:paraId="0A3FADDF" w14:textId="0A26EA62" w:rsidR="00181E86" w:rsidRDefault="00181E86" w:rsidP="002717C6">
      <w:pPr>
        <w:spacing w:after="60"/>
        <w:jc w:val="both"/>
        <w:rPr>
          <w:rFonts w:ascii="Arial" w:eastAsia="Times New Roman" w:hAnsi="Arial" w:cs="Arial"/>
          <w:b/>
          <w:bCs/>
          <w:iCs/>
          <w:color w:val="289AD1"/>
          <w:sz w:val="28"/>
          <w:szCs w:val="28"/>
        </w:rPr>
      </w:pPr>
    </w:p>
    <w:p w14:paraId="11FA7677" w14:textId="77777777" w:rsidR="00181E86" w:rsidRPr="00A17E82" w:rsidRDefault="00181E86" w:rsidP="00E34F20">
      <w:pPr>
        <w:autoSpaceDE w:val="0"/>
        <w:autoSpaceDN w:val="0"/>
        <w:adjustRightInd w:val="0"/>
        <w:spacing w:after="0" w:line="240" w:lineRule="auto"/>
        <w:rPr>
          <w:rFonts w:ascii="Arial" w:eastAsia="Times New Roman" w:hAnsi="Arial" w:cs="Arial"/>
          <w:b/>
          <w:bCs/>
          <w:iCs/>
          <w:color w:val="289AD1"/>
          <w:sz w:val="28"/>
          <w:szCs w:val="28"/>
        </w:rPr>
      </w:pPr>
    </w:p>
    <w:sectPr w:rsidR="00181E86" w:rsidRPr="00A17E82" w:rsidSect="00D15529">
      <w:headerReference w:type="default" r:id="rId36"/>
      <w:footerReference w:type="default" r:id="rId37"/>
      <w:headerReference w:type="first" r:id="rId38"/>
      <w:pgSz w:w="11906" w:h="16838"/>
      <w:pgMar w:top="1417" w:right="1134" w:bottom="1134" w:left="1134" w:header="708" w:footer="4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820B8F" w14:textId="77777777" w:rsidR="00925DA5" w:rsidRDefault="00925DA5" w:rsidP="006B5A9E">
      <w:pPr>
        <w:spacing w:after="0" w:line="240" w:lineRule="auto"/>
      </w:pPr>
      <w:r>
        <w:separator/>
      </w:r>
    </w:p>
  </w:endnote>
  <w:endnote w:type="continuationSeparator" w:id="0">
    <w:p w14:paraId="109FBBE4" w14:textId="77777777" w:rsidR="00925DA5" w:rsidRDefault="00925DA5" w:rsidP="006B5A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DIN">
    <w:altName w:val="Arial"/>
    <w:panose1 w:val="00000000000000000000"/>
    <w:charset w:val="00"/>
    <w:family w:val="swiss"/>
    <w:notTrueType/>
    <w:pitch w:val="default"/>
    <w:sig w:usb0="00000003" w:usb1="00000000" w:usb2="00000000" w:usb3="00000000" w:csb0="00000001" w:csb1="00000000"/>
  </w:font>
  <w:font w:name="Helvetica LT Std Cond">
    <w:altName w:val="Times New Roman"/>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LTStd-Cond">
    <w:altName w:val="Arial"/>
    <w:panose1 w:val="00000000000000000000"/>
    <w:charset w:val="00"/>
    <w:family w:val="swiss"/>
    <w:notTrueType/>
    <w:pitch w:val="default"/>
    <w:sig w:usb0="00000000" w:usb1="08070000" w:usb2="00000010" w:usb3="00000000" w:csb0="0002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3481863"/>
      <w:docPartObj>
        <w:docPartGallery w:val="Page Numbers (Bottom of Page)"/>
        <w:docPartUnique/>
      </w:docPartObj>
    </w:sdtPr>
    <w:sdtEndPr/>
    <w:sdtContent>
      <w:p w14:paraId="1EDDE63D" w14:textId="4B3135A9" w:rsidR="00A053A2" w:rsidRDefault="00A053A2">
        <w:pPr>
          <w:pStyle w:val="Pidipagina"/>
        </w:pPr>
        <w:r>
          <w:fldChar w:fldCharType="begin"/>
        </w:r>
        <w:r>
          <w:instrText>PAGE   \* MERGEFORMAT</w:instrText>
        </w:r>
        <w:r>
          <w:fldChar w:fldCharType="separate"/>
        </w:r>
        <w:r w:rsidR="00A75774">
          <w:rPr>
            <w:noProof/>
          </w:rPr>
          <w:t>2</w:t>
        </w:r>
        <w:r>
          <w:fldChar w:fldCharType="end"/>
        </w:r>
      </w:p>
    </w:sdtContent>
  </w:sdt>
  <w:p w14:paraId="41D6772B" w14:textId="77777777" w:rsidR="00A053A2" w:rsidRDefault="00A053A2">
    <w:pPr>
      <w:pStyle w:val="Pidipagina"/>
    </w:pPr>
  </w:p>
  <w:p w14:paraId="6B316B16" w14:textId="77777777" w:rsidR="00234D94" w:rsidRDefault="00234D94"/>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1DB5B5" w14:textId="77777777" w:rsidR="00925DA5" w:rsidRDefault="00925DA5" w:rsidP="006B5A9E">
      <w:pPr>
        <w:spacing w:after="0" w:line="240" w:lineRule="auto"/>
      </w:pPr>
      <w:r>
        <w:separator/>
      </w:r>
    </w:p>
  </w:footnote>
  <w:footnote w:type="continuationSeparator" w:id="0">
    <w:p w14:paraId="5DF48F79" w14:textId="77777777" w:rsidR="00925DA5" w:rsidRDefault="00925DA5" w:rsidP="006B5A9E">
      <w:pPr>
        <w:spacing w:after="0" w:line="240" w:lineRule="auto"/>
      </w:pPr>
      <w:r>
        <w:continuationSeparator/>
      </w:r>
    </w:p>
  </w:footnote>
  <w:footnote w:id="1">
    <w:p w14:paraId="3FC6A0A0" w14:textId="77777777" w:rsidR="00A053A2" w:rsidRDefault="00A053A2" w:rsidP="003F4BC6">
      <w:pPr>
        <w:pStyle w:val="Testonotaapidipagina"/>
        <w:jc w:val="both"/>
      </w:pPr>
      <w:r w:rsidRPr="00BA6084">
        <w:rPr>
          <w:rStyle w:val="Rimandonotaapidipagina"/>
          <w:rFonts w:ascii="Arial" w:hAnsi="Arial" w:cs="Arial"/>
          <w:sz w:val="16"/>
          <w:szCs w:val="16"/>
        </w:rPr>
        <w:footnoteRef/>
      </w:r>
      <w:r>
        <w:rPr>
          <w:rFonts w:ascii="Arial" w:hAnsi="Arial" w:cs="Arial"/>
          <w:sz w:val="16"/>
          <w:szCs w:val="16"/>
        </w:rPr>
        <w:t xml:space="preserve"> </w:t>
      </w:r>
      <w:r w:rsidRPr="00BA6084">
        <w:rPr>
          <w:rFonts w:ascii="Arial" w:hAnsi="Arial" w:cs="Arial"/>
          <w:sz w:val="16"/>
          <w:szCs w:val="16"/>
        </w:rPr>
        <w:t xml:space="preserve">Il 25 settembre 2015 l’Assemblea Generale delle Nazioni Unite ha adottato l’Agenda 2030 per lo sviluppo sostenibile (UN </w:t>
      </w:r>
      <w:proofErr w:type="spellStart"/>
      <w:r w:rsidRPr="00BA6084">
        <w:rPr>
          <w:rFonts w:ascii="Arial" w:hAnsi="Arial" w:cs="Arial"/>
          <w:sz w:val="16"/>
          <w:szCs w:val="16"/>
        </w:rPr>
        <w:t>Resolution</w:t>
      </w:r>
      <w:proofErr w:type="spellEnd"/>
      <w:r w:rsidRPr="00BA6084">
        <w:rPr>
          <w:rFonts w:ascii="Arial" w:hAnsi="Arial" w:cs="Arial"/>
          <w:sz w:val="16"/>
          <w:szCs w:val="16"/>
        </w:rPr>
        <w:t xml:space="preserve"> A7RES/70/1, New York).</w:t>
      </w:r>
    </w:p>
  </w:footnote>
  <w:footnote w:id="2">
    <w:p w14:paraId="37C2270E" w14:textId="531262D5" w:rsidR="00F91D1B" w:rsidRPr="00890323" w:rsidRDefault="00F91D1B" w:rsidP="00F91D1B">
      <w:pPr>
        <w:pStyle w:val="Testonotaapidipagina"/>
        <w:jc w:val="both"/>
        <w:rPr>
          <w:rFonts w:ascii="Arial" w:eastAsiaTheme="minorHAnsi" w:hAnsi="Arial" w:cs="Arial"/>
          <w:color w:val="000000"/>
          <w:sz w:val="16"/>
          <w:szCs w:val="16"/>
          <w:shd w:val="clear" w:color="auto" w:fill="FFFFFF"/>
          <w:lang w:eastAsia="en-US" w:bidi="ar-SA"/>
        </w:rPr>
      </w:pPr>
      <w:r>
        <w:rPr>
          <w:rStyle w:val="Rimandonotaapidipagina"/>
        </w:rPr>
        <w:footnoteRef/>
      </w:r>
      <w:r>
        <w:t xml:space="preserve"> </w:t>
      </w:r>
      <w:r w:rsidRPr="00890323">
        <w:rPr>
          <w:rFonts w:ascii="Arial" w:eastAsiaTheme="minorHAnsi" w:hAnsi="Arial" w:cs="Arial"/>
          <w:color w:val="000000"/>
          <w:sz w:val="16"/>
          <w:szCs w:val="16"/>
          <w:shd w:val="clear" w:color="auto" w:fill="FFFFFF"/>
          <w:lang w:eastAsia="en-US" w:bidi="ar-SA"/>
        </w:rPr>
        <w:t xml:space="preserve">Questo totale </w:t>
      </w:r>
      <w:r w:rsidR="007812A0">
        <w:rPr>
          <w:rFonts w:ascii="Arial" w:eastAsiaTheme="minorHAnsi" w:hAnsi="Arial" w:cs="Arial"/>
          <w:color w:val="000000"/>
          <w:sz w:val="16"/>
          <w:szCs w:val="16"/>
          <w:shd w:val="clear" w:color="auto" w:fill="FFFFFF"/>
          <w:lang w:eastAsia="en-US" w:bidi="ar-SA"/>
        </w:rPr>
        <w:t>comprende</w:t>
      </w:r>
      <w:r w:rsidRPr="00890323">
        <w:rPr>
          <w:rFonts w:ascii="Arial" w:eastAsiaTheme="minorHAnsi" w:hAnsi="Arial" w:cs="Arial"/>
          <w:color w:val="000000"/>
          <w:sz w:val="16"/>
          <w:szCs w:val="16"/>
          <w:shd w:val="clear" w:color="auto" w:fill="FFFFFF"/>
          <w:lang w:eastAsia="en-US" w:bidi="ar-SA"/>
        </w:rPr>
        <w:t xml:space="preserve"> anche </w:t>
      </w:r>
      <w:r>
        <w:rPr>
          <w:rFonts w:ascii="Arial" w:eastAsiaTheme="minorHAnsi" w:hAnsi="Arial" w:cs="Arial"/>
          <w:color w:val="000000"/>
          <w:sz w:val="16"/>
          <w:szCs w:val="16"/>
          <w:shd w:val="clear" w:color="auto" w:fill="FFFFFF"/>
          <w:lang w:eastAsia="en-US" w:bidi="ar-SA"/>
        </w:rPr>
        <w:t xml:space="preserve">le </w:t>
      </w:r>
      <w:r w:rsidRPr="00890323">
        <w:rPr>
          <w:rFonts w:ascii="Arial" w:eastAsiaTheme="minorHAnsi" w:hAnsi="Arial" w:cs="Arial"/>
          <w:color w:val="000000"/>
          <w:sz w:val="16"/>
          <w:szCs w:val="16"/>
          <w:shd w:val="clear" w:color="auto" w:fill="FFFFFF"/>
          <w:lang w:eastAsia="en-US" w:bidi="ar-SA"/>
        </w:rPr>
        <w:t xml:space="preserve">misure statistiche che hanno una rappresentazione in differenti </w:t>
      </w:r>
      <w:r w:rsidRPr="007530BB">
        <w:rPr>
          <w:rFonts w:ascii="Arial" w:eastAsiaTheme="minorHAnsi" w:hAnsi="Arial" w:cs="Arial"/>
          <w:color w:val="000000"/>
          <w:sz w:val="16"/>
          <w:szCs w:val="16"/>
          <w:shd w:val="clear" w:color="auto" w:fill="FFFFFF"/>
          <w:lang w:eastAsia="en-US" w:bidi="ar-SA"/>
        </w:rPr>
        <w:t>Goal</w:t>
      </w:r>
      <w:r w:rsidRPr="00890323">
        <w:rPr>
          <w:rFonts w:ascii="Arial" w:eastAsiaTheme="minorHAnsi" w:hAnsi="Arial" w:cs="Arial"/>
          <w:color w:val="000000"/>
          <w:sz w:val="16"/>
          <w:szCs w:val="16"/>
          <w:shd w:val="clear" w:color="auto" w:fill="FFFFFF"/>
          <w:lang w:eastAsia="en-US" w:bidi="ar-SA"/>
        </w:rPr>
        <w:t xml:space="preserve">. Nel complesso le misure differenti sono </w:t>
      </w:r>
      <w:r w:rsidR="00B053F7">
        <w:rPr>
          <w:rFonts w:ascii="Arial" w:eastAsiaTheme="minorHAnsi" w:hAnsi="Arial" w:cs="Arial"/>
          <w:color w:val="000000"/>
          <w:sz w:val="16"/>
          <w:szCs w:val="16"/>
          <w:shd w:val="clear" w:color="auto" w:fill="FFFFFF"/>
          <w:lang w:eastAsia="en-US" w:bidi="ar-SA"/>
        </w:rPr>
        <w:t>34</w:t>
      </w:r>
      <w:r>
        <w:rPr>
          <w:rFonts w:ascii="Arial" w:eastAsiaTheme="minorHAnsi" w:hAnsi="Arial" w:cs="Arial"/>
          <w:color w:val="000000"/>
          <w:sz w:val="16"/>
          <w:szCs w:val="16"/>
          <w:shd w:val="clear" w:color="auto" w:fill="FFFFFF"/>
          <w:lang w:eastAsia="en-US" w:bidi="ar-SA"/>
        </w:rPr>
        <w:t>1</w:t>
      </w:r>
      <w:r w:rsidRPr="00890323">
        <w:rPr>
          <w:rFonts w:ascii="Arial" w:eastAsiaTheme="minorHAnsi" w:hAnsi="Arial" w:cs="Arial"/>
          <w:color w:val="000000"/>
          <w:sz w:val="16"/>
          <w:szCs w:val="16"/>
          <w:shd w:val="clear" w:color="auto" w:fill="FFFFFF"/>
          <w:lang w:eastAsia="en-US" w:bidi="ar-SA"/>
        </w:rPr>
        <w:t xml:space="preserve">. </w:t>
      </w:r>
    </w:p>
  </w:footnote>
  <w:footnote w:id="3">
    <w:p w14:paraId="105AE535" w14:textId="1EB52BF0" w:rsidR="00EA6F22" w:rsidRPr="0094788C" w:rsidRDefault="00EA6F22" w:rsidP="00EA6F22">
      <w:pPr>
        <w:tabs>
          <w:tab w:val="num" w:pos="360"/>
          <w:tab w:val="num" w:pos="482"/>
          <w:tab w:val="num" w:pos="2042"/>
        </w:tabs>
        <w:adjustRightInd w:val="0"/>
        <w:spacing w:after="120"/>
        <w:jc w:val="both"/>
        <w:rPr>
          <w:rFonts w:ascii="Arial" w:hAnsi="Arial" w:cs="Arial"/>
          <w:color w:val="000000"/>
          <w:sz w:val="16"/>
          <w:szCs w:val="16"/>
          <w:shd w:val="clear" w:color="auto" w:fill="FFFFFF"/>
        </w:rPr>
      </w:pPr>
      <w:r w:rsidRPr="00BA6084">
        <w:rPr>
          <w:rStyle w:val="Rimandonotaapidipagina"/>
          <w:rFonts w:ascii="Arial" w:hAnsi="Arial" w:cs="Arial"/>
          <w:sz w:val="16"/>
          <w:szCs w:val="16"/>
        </w:rPr>
        <w:footnoteRef/>
      </w:r>
      <w:r>
        <w:rPr>
          <w:rFonts w:ascii="Arial" w:hAnsi="Arial" w:cs="Arial"/>
          <w:color w:val="000000"/>
          <w:sz w:val="16"/>
          <w:szCs w:val="16"/>
          <w:shd w:val="clear" w:color="auto" w:fill="FFFFFF"/>
        </w:rPr>
        <w:t xml:space="preserve"> </w:t>
      </w:r>
      <w:r w:rsidR="00F21747">
        <w:rPr>
          <w:rFonts w:ascii="Arial" w:hAnsi="Arial" w:cs="Arial"/>
          <w:color w:val="000000"/>
          <w:sz w:val="16"/>
          <w:szCs w:val="16"/>
          <w:shd w:val="clear" w:color="auto" w:fill="FFFFFF"/>
        </w:rPr>
        <w:t xml:space="preserve">Le misure statistiche sono state elaborate </w:t>
      </w:r>
      <w:r w:rsidRPr="00B87707">
        <w:rPr>
          <w:rFonts w:ascii="Arial" w:hAnsi="Arial" w:cs="Arial"/>
          <w:color w:val="000000"/>
          <w:sz w:val="16"/>
          <w:szCs w:val="16"/>
          <w:shd w:val="clear" w:color="auto" w:fill="FFFFFF"/>
        </w:rPr>
        <w:t xml:space="preserve">attraverso le collaborazioni sviluppate in ambito </w:t>
      </w:r>
      <w:proofErr w:type="spellStart"/>
      <w:r w:rsidRPr="00B87707">
        <w:rPr>
          <w:rFonts w:ascii="Arial" w:hAnsi="Arial" w:cs="Arial"/>
          <w:color w:val="000000"/>
          <w:sz w:val="16"/>
          <w:szCs w:val="16"/>
          <w:shd w:val="clear" w:color="auto" w:fill="FFFFFF"/>
        </w:rPr>
        <w:t>Sistan</w:t>
      </w:r>
      <w:proofErr w:type="spellEnd"/>
      <w:r w:rsidRPr="00B87707">
        <w:rPr>
          <w:rFonts w:ascii="Arial" w:hAnsi="Arial" w:cs="Arial"/>
          <w:color w:val="000000"/>
          <w:sz w:val="16"/>
          <w:szCs w:val="16"/>
          <w:shd w:val="clear" w:color="auto" w:fill="FFFFFF"/>
        </w:rPr>
        <w:t xml:space="preserve"> e con istituzioni esterne al Sistema </w:t>
      </w:r>
      <w:r w:rsidR="00886A46">
        <w:rPr>
          <w:rFonts w:ascii="Arial" w:hAnsi="Arial" w:cs="Arial"/>
          <w:color w:val="000000"/>
          <w:sz w:val="16"/>
          <w:szCs w:val="16"/>
          <w:shd w:val="clear" w:color="auto" w:fill="FFFFFF"/>
        </w:rPr>
        <w:t>S</w:t>
      </w:r>
      <w:r w:rsidR="00886A46" w:rsidRPr="00B87707">
        <w:rPr>
          <w:rFonts w:ascii="Arial" w:hAnsi="Arial" w:cs="Arial"/>
          <w:color w:val="000000"/>
          <w:sz w:val="16"/>
          <w:szCs w:val="16"/>
          <w:shd w:val="clear" w:color="auto" w:fill="FFFFFF"/>
        </w:rPr>
        <w:t>tatistico</w:t>
      </w:r>
      <w:r w:rsidRPr="00B87707">
        <w:rPr>
          <w:rFonts w:ascii="Arial" w:hAnsi="Arial" w:cs="Arial"/>
          <w:color w:val="000000"/>
          <w:sz w:val="16"/>
          <w:szCs w:val="16"/>
          <w:shd w:val="clear" w:color="auto" w:fill="FFFFFF"/>
        </w:rPr>
        <w:t xml:space="preserve">. In particolare: </w:t>
      </w:r>
      <w:proofErr w:type="spellStart"/>
      <w:r w:rsidRPr="0094788C">
        <w:rPr>
          <w:rFonts w:ascii="Arial" w:hAnsi="Arial" w:cs="Arial"/>
          <w:color w:val="000000"/>
          <w:sz w:val="16"/>
          <w:szCs w:val="16"/>
          <w:shd w:val="clear" w:color="auto" w:fill="FFFFFF"/>
        </w:rPr>
        <w:t>Anvur</w:t>
      </w:r>
      <w:proofErr w:type="spellEnd"/>
      <w:r w:rsidRPr="0094788C">
        <w:rPr>
          <w:rFonts w:ascii="Arial" w:hAnsi="Arial" w:cs="Arial"/>
          <w:color w:val="000000"/>
          <w:sz w:val="16"/>
          <w:szCs w:val="16"/>
          <w:shd w:val="clear" w:color="auto" w:fill="FFFFFF"/>
        </w:rPr>
        <w:t xml:space="preserve">, </w:t>
      </w:r>
      <w:proofErr w:type="spellStart"/>
      <w:r w:rsidRPr="0094788C">
        <w:rPr>
          <w:rFonts w:ascii="Arial" w:hAnsi="Arial" w:cs="Arial"/>
          <w:color w:val="000000"/>
          <w:sz w:val="16"/>
          <w:szCs w:val="16"/>
          <w:shd w:val="clear" w:color="auto" w:fill="FFFFFF"/>
        </w:rPr>
        <w:t>ASviS</w:t>
      </w:r>
      <w:proofErr w:type="spellEnd"/>
      <w:r w:rsidRPr="0094788C">
        <w:rPr>
          <w:rFonts w:ascii="Arial" w:hAnsi="Arial" w:cs="Arial"/>
          <w:color w:val="000000"/>
          <w:sz w:val="16"/>
          <w:szCs w:val="16"/>
          <w:shd w:val="clear" w:color="auto" w:fill="FFFFFF"/>
        </w:rPr>
        <w:t xml:space="preserve">, Banca d’Italia, Consob, CREA - Centro di ricerca Politiche e </w:t>
      </w:r>
      <w:proofErr w:type="spellStart"/>
      <w:r w:rsidRPr="0094788C">
        <w:rPr>
          <w:rFonts w:ascii="Arial" w:hAnsi="Arial" w:cs="Arial"/>
          <w:color w:val="000000"/>
          <w:sz w:val="16"/>
          <w:szCs w:val="16"/>
          <w:shd w:val="clear" w:color="auto" w:fill="FFFFFF"/>
        </w:rPr>
        <w:t>Bioeconomia</w:t>
      </w:r>
      <w:proofErr w:type="spellEnd"/>
      <w:r w:rsidRPr="0094788C">
        <w:rPr>
          <w:rFonts w:ascii="Arial" w:hAnsi="Arial" w:cs="Arial"/>
          <w:color w:val="000000"/>
          <w:sz w:val="16"/>
          <w:szCs w:val="16"/>
          <w:shd w:val="clear" w:color="auto" w:fill="FFFFFF"/>
        </w:rPr>
        <w:t xml:space="preserve">, </w:t>
      </w:r>
      <w:proofErr w:type="spellStart"/>
      <w:r w:rsidRPr="0094788C">
        <w:rPr>
          <w:rFonts w:ascii="Arial" w:hAnsi="Arial" w:cs="Arial"/>
          <w:color w:val="000000"/>
          <w:sz w:val="16"/>
          <w:szCs w:val="16"/>
          <w:shd w:val="clear" w:color="auto" w:fill="FFFFFF"/>
        </w:rPr>
        <w:t>Cresme</w:t>
      </w:r>
      <w:proofErr w:type="spellEnd"/>
      <w:r w:rsidRPr="0094788C">
        <w:rPr>
          <w:rFonts w:ascii="Arial" w:hAnsi="Arial" w:cs="Arial"/>
          <w:color w:val="000000"/>
          <w:sz w:val="16"/>
          <w:szCs w:val="16"/>
          <w:shd w:val="clear" w:color="auto" w:fill="FFFFFF"/>
        </w:rPr>
        <w:t xml:space="preserve">, Enea, GSE </w:t>
      </w:r>
      <w:proofErr w:type="spellStart"/>
      <w:r w:rsidRPr="0094788C">
        <w:rPr>
          <w:rFonts w:ascii="Arial" w:hAnsi="Arial" w:cs="Arial"/>
          <w:color w:val="000000"/>
          <w:sz w:val="16"/>
          <w:szCs w:val="16"/>
          <w:shd w:val="clear" w:color="auto" w:fill="FFFFFF"/>
        </w:rPr>
        <w:t>S.p.A</w:t>
      </w:r>
      <w:proofErr w:type="spellEnd"/>
      <w:r w:rsidRPr="0094788C">
        <w:rPr>
          <w:rFonts w:ascii="Arial" w:hAnsi="Arial" w:cs="Arial"/>
          <w:color w:val="000000"/>
          <w:sz w:val="16"/>
          <w:szCs w:val="16"/>
          <w:shd w:val="clear" w:color="auto" w:fill="FFFFFF"/>
        </w:rPr>
        <w:t>, Invalsi, Istituto Nazionale di Geofisica e Vulcanologia, Istituto Superiore di Sanità, Istituto Superiore per la Protezione e la Ricerca Ambientale, Ministero degli Affari Esteri e della Cooperazione Internazionale, Ministero della Giustizia, Ministero del Lavoro e delle Politiche Sociali, Ministero dell’Economia e delle Finanze, Ministero dell’Istruzione, Ministero della Salute, Ministero della Transizione Ecologica, Ministero dell’Università e Ricerca, Ministero dell’Interno, Presidenza del Consiglio dei Ministri - Dipartimento Pari Opportunità, Terna S.p.A..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C8E0EF" w14:textId="77777777" w:rsidR="00A053A2" w:rsidRDefault="00A053A2" w:rsidP="00FF083C">
    <w:pPr>
      <w:pStyle w:val="Intestazione"/>
    </w:pPr>
    <w:r>
      <w:rPr>
        <w:noProof/>
        <w:lang w:eastAsia="it-IT"/>
      </w:rPr>
      <mc:AlternateContent>
        <mc:Choice Requires="wps">
          <w:drawing>
            <wp:anchor distT="0" distB="0" distL="114300" distR="114300" simplePos="0" relativeHeight="251661312" behindDoc="0" locked="0" layoutInCell="1" allowOverlap="1" wp14:anchorId="7EFE094E" wp14:editId="72B7EF2B">
              <wp:simplePos x="0" y="0"/>
              <wp:positionH relativeFrom="column">
                <wp:posOffset>3810</wp:posOffset>
              </wp:positionH>
              <wp:positionV relativeFrom="paragraph">
                <wp:posOffset>388620</wp:posOffset>
              </wp:positionV>
              <wp:extent cx="6134735" cy="0"/>
              <wp:effectExtent l="0" t="0" r="12065" b="12700"/>
              <wp:wrapNone/>
              <wp:docPr id="22" name="Connettore 2 22"/>
              <wp:cNvGraphicFramePr/>
              <a:graphic xmlns:a="http://schemas.openxmlformats.org/drawingml/2006/main">
                <a:graphicData uri="http://schemas.microsoft.com/office/word/2010/wordprocessingShape">
                  <wps:wsp>
                    <wps:cNvCnPr/>
                    <wps:spPr>
                      <a:xfrm flipV="1">
                        <a:off x="0" y="0"/>
                        <a:ext cx="6134735" cy="0"/>
                      </a:xfrm>
                      <a:prstGeom prst="straightConnector1">
                        <a:avLst/>
                      </a:prstGeom>
                      <a:ln w="9525">
                        <a:solidFill>
                          <a:srgbClr val="219CD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7D9D4D0" id="_x0000_t32" coordsize="21600,21600" o:spt="32" o:oned="t" path="m,l21600,21600e" filled="f">
              <v:path arrowok="t" fillok="f" o:connecttype="none"/>
              <o:lock v:ext="edit" shapetype="t"/>
            </v:shapetype>
            <v:shape id="Connettore 2 22" o:spid="_x0000_s1026" type="#_x0000_t32" style="position:absolute;margin-left:.3pt;margin-top:30.6pt;width:483.05pt;height:0;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" strokecolor="#219cd2">
              <v:stroke joinstyle="miter"/>
            </v:shape>
          </w:pict>
        </mc:Fallback>
      </mc:AlternateContent>
    </w:r>
    <w:r w:rsidRPr="0041335C">
      <w:t xml:space="preserve"> </w:t>
    </w:r>
  </w:p>
  <w:p w14:paraId="4A6A0126" w14:textId="77777777" w:rsidR="00A053A2" w:rsidRDefault="00A053A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2D7B46" w14:textId="0AAA14DE" w:rsidR="00A053A2" w:rsidRDefault="007724D6" w:rsidP="00FF083C">
    <w:pPr>
      <w:pStyle w:val="Intestazione"/>
    </w:pPr>
    <w:r w:rsidRPr="007724D6">
      <w:rPr>
        <w:rFonts w:ascii="Arial Narrow" w:eastAsia="Times New Roman" w:hAnsi="Arial Narrow" w:cs="Arial"/>
        <w:b/>
        <w:caps/>
        <w:noProof/>
        <w:color w:val="7F7F7F"/>
        <w:sz w:val="20"/>
        <w:szCs w:val="20"/>
        <w:lang w:eastAsia="it-IT"/>
      </w:rPr>
      <mc:AlternateContent>
        <mc:Choice Requires="wps">
          <w:drawing>
            <wp:anchor distT="45720" distB="45720" distL="114300" distR="114300" simplePos="0" relativeHeight="251667456" behindDoc="0" locked="0" layoutInCell="1" allowOverlap="1" wp14:anchorId="448B1901" wp14:editId="0B321EED">
              <wp:simplePos x="0" y="0"/>
              <wp:positionH relativeFrom="column">
                <wp:posOffset>3061335</wp:posOffset>
              </wp:positionH>
              <wp:positionV relativeFrom="paragraph">
                <wp:posOffset>-78105</wp:posOffset>
              </wp:positionV>
              <wp:extent cx="1028700" cy="266700"/>
              <wp:effectExtent l="0" t="0" r="0" b="0"/>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66700"/>
                      </a:xfrm>
                      <a:prstGeom prst="rect">
                        <a:avLst/>
                      </a:prstGeom>
                      <a:solidFill>
                        <a:srgbClr val="FFFFFF"/>
                      </a:solidFill>
                      <a:ln w="9525">
                        <a:noFill/>
                        <a:miter lim="800000"/>
                        <a:headEnd/>
                        <a:tailEnd/>
                      </a:ln>
                    </wps:spPr>
                    <wps:txbx>
                      <w:txbxContent>
                        <w:p w14:paraId="57BA1A1F" w14:textId="77777777" w:rsidR="007724D6" w:rsidRPr="00E34F20" w:rsidRDefault="007724D6" w:rsidP="007724D6">
                          <w:pPr>
                            <w:rPr>
                              <w:rFonts w:ascii="Arial" w:hAnsi="Arial" w:cs="Arial"/>
                              <w:sz w:val="16"/>
                              <w:szCs w:val="16"/>
                            </w:rPr>
                          </w:pPr>
                          <w:r>
                            <w:rPr>
                              <w:rFonts w:ascii="Arial" w:hAnsi="Arial" w:cs="Arial"/>
                              <w:sz w:val="16"/>
                              <w:szCs w:val="16"/>
                            </w:rPr>
                            <w:t xml:space="preserve">12 </w:t>
                          </w:r>
                          <w:proofErr w:type="gramStart"/>
                          <w:r>
                            <w:rPr>
                              <w:rFonts w:ascii="Arial" w:hAnsi="Arial" w:cs="Arial"/>
                              <w:sz w:val="16"/>
                              <w:szCs w:val="16"/>
                            </w:rPr>
                            <w:t>Ottobre</w:t>
                          </w:r>
                          <w:proofErr w:type="gramEnd"/>
                          <w:r>
                            <w:rPr>
                              <w:rFonts w:ascii="Arial" w:hAnsi="Arial" w:cs="Arial"/>
                              <w:sz w:val="16"/>
                              <w:szCs w:val="16"/>
                            </w:rPr>
                            <w:t xml:space="preserve">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8B1901" id="_x0000_t202" coordsize="21600,21600" o:spt="202" path="m,l,21600r21600,l21600,xe">
              <v:stroke joinstyle="miter"/>
              <v:path gradientshapeok="t" o:connecttype="rect"/>
            </v:shapetype>
            <v:shape id="Casella di testo 2" o:spid="_x0000_s1026" type="#_x0000_t202" style="position:absolute;margin-left:241.05pt;margin-top:-6.15pt;width:81pt;height:21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" stroked="f">
              <v:textbox>
                <w:txbxContent>
                  <w:p w14:paraId="57BA1A1F" w14:textId="77777777" w:rsidR="007724D6" w:rsidRPr="00E34F20" w:rsidRDefault="007724D6" w:rsidP="007724D6">
                    <w:pPr>
                      <w:rPr>
                        <w:rFonts w:ascii="Arial" w:hAnsi="Arial" w:cs="Arial"/>
                        <w:sz w:val="16"/>
                        <w:szCs w:val="16"/>
                      </w:rPr>
                    </w:pPr>
                    <w:r>
                      <w:rPr>
                        <w:rFonts w:ascii="Arial" w:hAnsi="Arial" w:cs="Arial"/>
                        <w:sz w:val="16"/>
                        <w:szCs w:val="16"/>
                      </w:rPr>
                      <w:t xml:space="preserve">12 </w:t>
                    </w:r>
                    <w:proofErr w:type="gramStart"/>
                    <w:r>
                      <w:rPr>
                        <w:rFonts w:ascii="Arial" w:hAnsi="Arial" w:cs="Arial"/>
                        <w:sz w:val="16"/>
                        <w:szCs w:val="16"/>
                      </w:rPr>
                      <w:t>Ottobre</w:t>
                    </w:r>
                    <w:proofErr w:type="gramEnd"/>
                    <w:r>
                      <w:rPr>
                        <w:rFonts w:ascii="Arial" w:hAnsi="Arial" w:cs="Arial"/>
                        <w:sz w:val="16"/>
                        <w:szCs w:val="16"/>
                      </w:rPr>
                      <w:t xml:space="preserve"> 2022</w:t>
                    </w:r>
                  </w:p>
                </w:txbxContent>
              </v:textbox>
              <w10:wrap type="square"/>
            </v:shape>
          </w:pict>
        </mc:Fallback>
      </mc:AlternateContent>
    </w:r>
    <w:r w:rsidR="00A053A2">
      <w:rPr>
        <w:noProof/>
        <w:lang w:eastAsia="it-IT"/>
      </w:rPr>
      <mc:AlternateContent>
        <mc:Choice Requires="wps">
          <w:drawing>
            <wp:anchor distT="0" distB="0" distL="114300" distR="114300" simplePos="0" relativeHeight="251665408" behindDoc="0" locked="0" layoutInCell="1" allowOverlap="1" wp14:anchorId="155F2BF3" wp14:editId="0EB01B1F">
              <wp:simplePos x="0" y="0"/>
              <wp:positionH relativeFrom="column">
                <wp:posOffset>3810</wp:posOffset>
              </wp:positionH>
              <wp:positionV relativeFrom="paragraph">
                <wp:posOffset>388620</wp:posOffset>
              </wp:positionV>
              <wp:extent cx="6134735" cy="0"/>
              <wp:effectExtent l="0" t="0" r="12065" b="12700"/>
              <wp:wrapNone/>
              <wp:docPr id="20" name="Connettore 2 20"/>
              <wp:cNvGraphicFramePr/>
              <a:graphic xmlns:a="http://schemas.openxmlformats.org/drawingml/2006/main">
                <a:graphicData uri="http://schemas.microsoft.com/office/word/2010/wordprocessingShape">
                  <wps:wsp>
                    <wps:cNvCnPr/>
                    <wps:spPr>
                      <a:xfrm flipV="1">
                        <a:off x="0" y="0"/>
                        <a:ext cx="6134735" cy="0"/>
                      </a:xfrm>
                      <a:prstGeom prst="straightConnector1">
                        <a:avLst/>
                      </a:prstGeom>
                      <a:ln w="9525">
                        <a:solidFill>
                          <a:srgbClr val="219CD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592316B" id="_x0000_t32" coordsize="21600,21600" o:spt="32" o:oned="t" path="m,l21600,21600e" filled="f">
              <v:path arrowok="t" fillok="f" o:connecttype="none"/>
              <o:lock v:ext="edit" shapetype="t"/>
            </v:shapetype>
            <v:shape id="Connettore 2 20" o:spid="_x0000_s1026" type="#_x0000_t32" style="position:absolute;margin-left:.3pt;margin-top:30.6pt;width:483.05pt;height:0;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" strokecolor="#219cd2">
              <v:stroke joinstyle="miter"/>
            </v:shape>
          </w:pict>
        </mc:Fallback>
      </mc:AlternateContent>
    </w:r>
    <w:r w:rsidR="00A053A2" w:rsidRPr="0041335C">
      <w:rPr>
        <w:noProof/>
        <w:lang w:eastAsia="it-IT"/>
      </w:rPr>
      <w:drawing>
        <wp:anchor distT="0" distB="0" distL="114300" distR="114300" simplePos="0" relativeHeight="251664384" behindDoc="0" locked="0" layoutInCell="1" allowOverlap="1" wp14:anchorId="688FE9B6" wp14:editId="7405D271">
          <wp:simplePos x="0" y="0"/>
          <wp:positionH relativeFrom="column">
            <wp:posOffset>3175</wp:posOffset>
          </wp:positionH>
          <wp:positionV relativeFrom="paragraph">
            <wp:posOffset>-94615</wp:posOffset>
          </wp:positionV>
          <wp:extent cx="1997075" cy="454327"/>
          <wp:effectExtent l="0" t="0" r="0" b="0"/>
          <wp:wrapNone/>
          <wp:docPr id="2" name="Immagine 3">
            <a:extLst xmlns:a="http://schemas.openxmlformats.org/drawingml/2006/main">
              <a:ext uri="{FF2B5EF4-FFF2-40B4-BE49-F238E27FC236}">
                <a16:creationId xmlns:a16="http://schemas.microsoft.com/office/drawing/2014/main" id="{DA1882A2-AC4A-0E4E-A038-741253A4F1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7" name="Immagine 3">
                    <a:extLst>
                      <a:ext uri="{FF2B5EF4-FFF2-40B4-BE49-F238E27FC236}">
                        <a16:creationId xmlns:a16="http://schemas.microsoft.com/office/drawing/2014/main" id="{DA1882A2-AC4A-0E4E-A038-741253A4F112}"/>
                      </a:ext>
                    </a:extLst>
                  </pic:cNvPr>
                  <pic:cNvPicPr>
                    <a:picLocks noChangeAspect="1"/>
                  </pic:cNvPicPr>
                </pic:nvPicPr>
                <pic:blipFill>
                  <a:blip r:embed="rId1">
                    <a:extLst>
                      <a:ext uri="{28A0092B-C50C-407E-A947-70E740481C1C}">
                        <a14:useLocalDpi xmlns:a14="http://schemas.microsoft.com/office/drawing/2010/main" val="0"/>
                      </a:ext>
                    </a:extLst>
                  </a:blip>
                  <a:srcRect b="64841"/>
                  <a:stretch>
                    <a:fillRect/>
                  </a:stretch>
                </pic:blipFill>
                <pic:spPr bwMode="auto">
                  <a:xfrm>
                    <a:off x="0" y="0"/>
                    <a:ext cx="1997075" cy="4543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53A2" w:rsidRPr="0041335C">
      <w:rPr>
        <w:noProof/>
        <w:lang w:eastAsia="it-IT"/>
      </w:rPr>
      <w:drawing>
        <wp:anchor distT="0" distB="0" distL="114300" distR="114300" simplePos="0" relativeHeight="251663360" behindDoc="0" locked="0" layoutInCell="1" allowOverlap="1" wp14:anchorId="1E672566" wp14:editId="761286B4">
          <wp:simplePos x="0" y="0"/>
          <wp:positionH relativeFrom="column">
            <wp:posOffset>4137660</wp:posOffset>
          </wp:positionH>
          <wp:positionV relativeFrom="paragraph">
            <wp:posOffset>-1270</wp:posOffset>
          </wp:positionV>
          <wp:extent cx="2000922" cy="255690"/>
          <wp:effectExtent l="0" t="0" r="0" b="0"/>
          <wp:wrapNone/>
          <wp:docPr id="9" name="Immagine 18">
            <a:extLst xmlns:a="http://schemas.openxmlformats.org/drawingml/2006/main">
              <a:ext uri="{FF2B5EF4-FFF2-40B4-BE49-F238E27FC236}">
                <a16:creationId xmlns:a16="http://schemas.microsoft.com/office/drawing/2014/main" id="{654D4DD5-2C85-DC4C-B679-073416097C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8">
                    <a:extLst>
                      <a:ext uri="{FF2B5EF4-FFF2-40B4-BE49-F238E27FC236}">
                        <a16:creationId xmlns:a16="http://schemas.microsoft.com/office/drawing/2014/main" id="{654D4DD5-2C85-DC4C-B679-073416097CC2}"/>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000922" cy="255690"/>
                  </a:xfrm>
                  <a:prstGeom prst="rect">
                    <a:avLst/>
                  </a:prstGeom>
                </pic:spPr>
              </pic:pic>
            </a:graphicData>
          </a:graphic>
          <wp14:sizeRelH relativeFrom="margin">
            <wp14:pctWidth>0</wp14:pctWidth>
          </wp14:sizeRelH>
          <wp14:sizeRelV relativeFrom="margin">
            <wp14:pctHeight>0</wp14:pctHeight>
          </wp14:sizeRelV>
        </wp:anchor>
      </w:drawing>
    </w:r>
    <w:r w:rsidR="00A053A2" w:rsidRPr="0041335C">
      <w:t xml:space="preserve"> </w:t>
    </w:r>
  </w:p>
  <w:p w14:paraId="0BDEDF3C" w14:textId="395EF357" w:rsidR="00A053A2" w:rsidRDefault="00A053A2">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229F2"/>
    <w:multiLevelType w:val="hybridMultilevel"/>
    <w:tmpl w:val="913C19C0"/>
    <w:lvl w:ilvl="0" w:tplc="955208A8">
      <w:start w:val="1"/>
      <w:numFmt w:val="lowerLetter"/>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 w15:restartNumberingAfterBreak="0">
    <w:nsid w:val="0FA4407E"/>
    <w:multiLevelType w:val="hybridMultilevel"/>
    <w:tmpl w:val="254C4034"/>
    <w:lvl w:ilvl="0" w:tplc="F44CA4D6">
      <w:start w:val="1"/>
      <w:numFmt w:val="lowerLetter"/>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 w15:restartNumberingAfterBreak="0">
    <w:nsid w:val="1D5E65FC"/>
    <w:multiLevelType w:val="hybridMultilevel"/>
    <w:tmpl w:val="DB5E61F6"/>
    <w:lvl w:ilvl="0" w:tplc="7C204A1E">
      <w:numFmt w:val="bullet"/>
      <w:lvlText w:val="-"/>
      <w:lvlJc w:val="left"/>
      <w:pPr>
        <w:ind w:left="420" w:hanging="360"/>
      </w:pPr>
      <w:rPr>
        <w:rFonts w:ascii="Arial" w:eastAsia="Times New Roman" w:hAnsi="Arial" w:cs="Arial" w:hint="default"/>
      </w:rPr>
    </w:lvl>
    <w:lvl w:ilvl="1" w:tplc="04100003" w:tentative="1">
      <w:start w:val="1"/>
      <w:numFmt w:val="bullet"/>
      <w:lvlText w:val="o"/>
      <w:lvlJc w:val="left"/>
      <w:pPr>
        <w:ind w:left="1140" w:hanging="360"/>
      </w:pPr>
      <w:rPr>
        <w:rFonts w:ascii="Courier New" w:hAnsi="Courier New" w:cs="Courier New" w:hint="default"/>
      </w:rPr>
    </w:lvl>
    <w:lvl w:ilvl="2" w:tplc="04100005" w:tentative="1">
      <w:start w:val="1"/>
      <w:numFmt w:val="bullet"/>
      <w:lvlText w:val=""/>
      <w:lvlJc w:val="left"/>
      <w:pPr>
        <w:ind w:left="1860" w:hanging="360"/>
      </w:pPr>
      <w:rPr>
        <w:rFonts w:ascii="Wingdings" w:hAnsi="Wingdings" w:hint="default"/>
      </w:rPr>
    </w:lvl>
    <w:lvl w:ilvl="3" w:tplc="04100001" w:tentative="1">
      <w:start w:val="1"/>
      <w:numFmt w:val="bullet"/>
      <w:lvlText w:val=""/>
      <w:lvlJc w:val="left"/>
      <w:pPr>
        <w:ind w:left="2580" w:hanging="360"/>
      </w:pPr>
      <w:rPr>
        <w:rFonts w:ascii="Symbol" w:hAnsi="Symbol" w:hint="default"/>
      </w:rPr>
    </w:lvl>
    <w:lvl w:ilvl="4" w:tplc="04100003" w:tentative="1">
      <w:start w:val="1"/>
      <w:numFmt w:val="bullet"/>
      <w:lvlText w:val="o"/>
      <w:lvlJc w:val="left"/>
      <w:pPr>
        <w:ind w:left="3300" w:hanging="360"/>
      </w:pPr>
      <w:rPr>
        <w:rFonts w:ascii="Courier New" w:hAnsi="Courier New" w:cs="Courier New" w:hint="default"/>
      </w:rPr>
    </w:lvl>
    <w:lvl w:ilvl="5" w:tplc="04100005" w:tentative="1">
      <w:start w:val="1"/>
      <w:numFmt w:val="bullet"/>
      <w:lvlText w:val=""/>
      <w:lvlJc w:val="left"/>
      <w:pPr>
        <w:ind w:left="4020" w:hanging="360"/>
      </w:pPr>
      <w:rPr>
        <w:rFonts w:ascii="Wingdings" w:hAnsi="Wingdings" w:hint="default"/>
      </w:rPr>
    </w:lvl>
    <w:lvl w:ilvl="6" w:tplc="04100001" w:tentative="1">
      <w:start w:val="1"/>
      <w:numFmt w:val="bullet"/>
      <w:lvlText w:val=""/>
      <w:lvlJc w:val="left"/>
      <w:pPr>
        <w:ind w:left="4740" w:hanging="360"/>
      </w:pPr>
      <w:rPr>
        <w:rFonts w:ascii="Symbol" w:hAnsi="Symbol" w:hint="default"/>
      </w:rPr>
    </w:lvl>
    <w:lvl w:ilvl="7" w:tplc="04100003" w:tentative="1">
      <w:start w:val="1"/>
      <w:numFmt w:val="bullet"/>
      <w:lvlText w:val="o"/>
      <w:lvlJc w:val="left"/>
      <w:pPr>
        <w:ind w:left="5460" w:hanging="360"/>
      </w:pPr>
      <w:rPr>
        <w:rFonts w:ascii="Courier New" w:hAnsi="Courier New" w:cs="Courier New" w:hint="default"/>
      </w:rPr>
    </w:lvl>
    <w:lvl w:ilvl="8" w:tplc="04100005" w:tentative="1">
      <w:start w:val="1"/>
      <w:numFmt w:val="bullet"/>
      <w:lvlText w:val=""/>
      <w:lvlJc w:val="left"/>
      <w:pPr>
        <w:ind w:left="6180" w:hanging="360"/>
      </w:pPr>
      <w:rPr>
        <w:rFonts w:ascii="Wingdings" w:hAnsi="Wingdings" w:hint="default"/>
      </w:rPr>
    </w:lvl>
  </w:abstractNum>
  <w:abstractNum w:abstractNumId="3" w15:restartNumberingAfterBreak="0">
    <w:nsid w:val="28092795"/>
    <w:multiLevelType w:val="hybridMultilevel"/>
    <w:tmpl w:val="5D96D568"/>
    <w:lvl w:ilvl="0" w:tplc="5C5EECE2">
      <w:start w:val="1"/>
      <w:numFmt w:val="lowerLetter"/>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 w15:restartNumberingAfterBreak="0">
    <w:nsid w:val="479B371E"/>
    <w:multiLevelType w:val="hybridMultilevel"/>
    <w:tmpl w:val="3FCCEFF4"/>
    <w:lvl w:ilvl="0" w:tplc="DE922E5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512E0F65"/>
    <w:multiLevelType w:val="hybridMultilevel"/>
    <w:tmpl w:val="53BA7016"/>
    <w:lvl w:ilvl="0" w:tplc="AA283908">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6982035"/>
    <w:multiLevelType w:val="hybridMultilevel"/>
    <w:tmpl w:val="012AF7C6"/>
    <w:lvl w:ilvl="0" w:tplc="EDE29566">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690A005A"/>
    <w:multiLevelType w:val="hybridMultilevel"/>
    <w:tmpl w:val="EA24EC4E"/>
    <w:lvl w:ilvl="0" w:tplc="231A17D6">
      <w:start w:val="1"/>
      <w:numFmt w:val="lowerLetter"/>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8" w15:restartNumberingAfterBreak="0">
    <w:nsid w:val="74EE2185"/>
    <w:multiLevelType w:val="hybridMultilevel"/>
    <w:tmpl w:val="05249766"/>
    <w:lvl w:ilvl="0" w:tplc="0FC2D58C">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769876CF"/>
    <w:multiLevelType w:val="hybridMultilevel"/>
    <w:tmpl w:val="C20E389E"/>
    <w:lvl w:ilvl="0" w:tplc="C30E6964">
      <w:start w:val="1"/>
      <w:numFmt w:val="lowerLetter"/>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0" w15:restartNumberingAfterBreak="0">
    <w:nsid w:val="7BB63632"/>
    <w:multiLevelType w:val="hybridMultilevel"/>
    <w:tmpl w:val="F4E47154"/>
    <w:lvl w:ilvl="0" w:tplc="43D815F6">
      <w:start w:val="1"/>
      <w:numFmt w:val="lowerLetter"/>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num w:numId="1">
    <w:abstractNumId w:val="1"/>
  </w:num>
  <w:num w:numId="2">
    <w:abstractNumId w:val="2"/>
  </w:num>
  <w:num w:numId="3">
    <w:abstractNumId w:val="9"/>
  </w:num>
  <w:num w:numId="4">
    <w:abstractNumId w:val="7"/>
  </w:num>
  <w:num w:numId="5">
    <w:abstractNumId w:val="3"/>
  </w:num>
  <w:num w:numId="6">
    <w:abstractNumId w:val="10"/>
  </w:num>
  <w:num w:numId="7">
    <w:abstractNumId w:val="4"/>
  </w:num>
  <w:num w:numId="8">
    <w:abstractNumId w:val="8"/>
  </w:num>
  <w:num w:numId="9">
    <w:abstractNumId w:val="6"/>
  </w:num>
  <w:num w:numId="10">
    <w:abstractNumId w:val="5"/>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activeWritingStyle w:appName="MSWord" w:lang="it-IT" w:vendorID="64" w:dllVersion="6" w:nlCheck="1" w:checkStyle="0"/>
  <w:activeWritingStyle w:appName="MSWord" w:lang="it-IT" w:vendorID="64" w:dllVersion="0" w:nlCheck="1" w:checkStyle="0"/>
  <w:activeWritingStyle w:appName="MSWord" w:lang="en-US" w:vendorID="64" w:dllVersion="0" w:nlCheck="1" w:checkStyle="0"/>
  <w:activeWritingStyle w:appName="MSWord" w:lang="it-IT" w:vendorID="64" w:dllVersion="131078" w:nlCheck="1" w:checkStyle="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E16"/>
    <w:rsid w:val="000013FC"/>
    <w:rsid w:val="00007051"/>
    <w:rsid w:val="00016931"/>
    <w:rsid w:val="00016DAD"/>
    <w:rsid w:val="000204E2"/>
    <w:rsid w:val="00021452"/>
    <w:rsid w:val="000235DF"/>
    <w:rsid w:val="00023947"/>
    <w:rsid w:val="00024205"/>
    <w:rsid w:val="00024B09"/>
    <w:rsid w:val="00025033"/>
    <w:rsid w:val="00027F92"/>
    <w:rsid w:val="00030C2E"/>
    <w:rsid w:val="00032250"/>
    <w:rsid w:val="000464C7"/>
    <w:rsid w:val="00046659"/>
    <w:rsid w:val="00051636"/>
    <w:rsid w:val="000535F0"/>
    <w:rsid w:val="00056E5B"/>
    <w:rsid w:val="00057BA5"/>
    <w:rsid w:val="00060B30"/>
    <w:rsid w:val="0006328E"/>
    <w:rsid w:val="0006569A"/>
    <w:rsid w:val="00066E53"/>
    <w:rsid w:val="00072D15"/>
    <w:rsid w:val="0007413A"/>
    <w:rsid w:val="00075AA7"/>
    <w:rsid w:val="00076CA1"/>
    <w:rsid w:val="000954E0"/>
    <w:rsid w:val="000A0C77"/>
    <w:rsid w:val="000A5FCE"/>
    <w:rsid w:val="000B3226"/>
    <w:rsid w:val="000B4F78"/>
    <w:rsid w:val="000B52BE"/>
    <w:rsid w:val="000B5611"/>
    <w:rsid w:val="000B65E5"/>
    <w:rsid w:val="000B6B9B"/>
    <w:rsid w:val="000D1068"/>
    <w:rsid w:val="000D174E"/>
    <w:rsid w:val="000D6D4E"/>
    <w:rsid w:val="000E0B51"/>
    <w:rsid w:val="000E6B2D"/>
    <w:rsid w:val="000F2659"/>
    <w:rsid w:val="000F2969"/>
    <w:rsid w:val="000F7EA0"/>
    <w:rsid w:val="001062B2"/>
    <w:rsid w:val="0011161F"/>
    <w:rsid w:val="001132E2"/>
    <w:rsid w:val="001224FF"/>
    <w:rsid w:val="0012298B"/>
    <w:rsid w:val="00125407"/>
    <w:rsid w:val="00133454"/>
    <w:rsid w:val="00137FFE"/>
    <w:rsid w:val="0014018D"/>
    <w:rsid w:val="00140A77"/>
    <w:rsid w:val="00142F3E"/>
    <w:rsid w:val="00145955"/>
    <w:rsid w:val="00155984"/>
    <w:rsid w:val="00163C20"/>
    <w:rsid w:val="00166D6A"/>
    <w:rsid w:val="00173157"/>
    <w:rsid w:val="00175863"/>
    <w:rsid w:val="00181E86"/>
    <w:rsid w:val="00186C4F"/>
    <w:rsid w:val="001959D0"/>
    <w:rsid w:val="001A55C9"/>
    <w:rsid w:val="001B1021"/>
    <w:rsid w:val="001C352E"/>
    <w:rsid w:val="001D05C3"/>
    <w:rsid w:val="001D162D"/>
    <w:rsid w:val="001D447A"/>
    <w:rsid w:val="001D45BB"/>
    <w:rsid w:val="001E2620"/>
    <w:rsid w:val="001E39DD"/>
    <w:rsid w:val="001E77F3"/>
    <w:rsid w:val="001F12AD"/>
    <w:rsid w:val="001F3C87"/>
    <w:rsid w:val="001F4F2B"/>
    <w:rsid w:val="001F6582"/>
    <w:rsid w:val="00201033"/>
    <w:rsid w:val="00203AFB"/>
    <w:rsid w:val="00204BB6"/>
    <w:rsid w:val="0021088D"/>
    <w:rsid w:val="002157D1"/>
    <w:rsid w:val="00220EEE"/>
    <w:rsid w:val="002254DC"/>
    <w:rsid w:val="00234D94"/>
    <w:rsid w:val="0024353B"/>
    <w:rsid w:val="00243D36"/>
    <w:rsid w:val="00245287"/>
    <w:rsid w:val="002470B2"/>
    <w:rsid w:val="00250013"/>
    <w:rsid w:val="0025045D"/>
    <w:rsid w:val="00251BB5"/>
    <w:rsid w:val="00256156"/>
    <w:rsid w:val="00256E2D"/>
    <w:rsid w:val="002717C6"/>
    <w:rsid w:val="002775EC"/>
    <w:rsid w:val="00282572"/>
    <w:rsid w:val="002962A0"/>
    <w:rsid w:val="002A5870"/>
    <w:rsid w:val="002B251A"/>
    <w:rsid w:val="002C4D6B"/>
    <w:rsid w:val="002D7784"/>
    <w:rsid w:val="002F73F5"/>
    <w:rsid w:val="0030101C"/>
    <w:rsid w:val="0030537F"/>
    <w:rsid w:val="00311090"/>
    <w:rsid w:val="0031432B"/>
    <w:rsid w:val="0032165A"/>
    <w:rsid w:val="00336315"/>
    <w:rsid w:val="00336362"/>
    <w:rsid w:val="00345BFD"/>
    <w:rsid w:val="003537F4"/>
    <w:rsid w:val="00360311"/>
    <w:rsid w:val="00361EDC"/>
    <w:rsid w:val="003659D3"/>
    <w:rsid w:val="00380180"/>
    <w:rsid w:val="003805F5"/>
    <w:rsid w:val="00386E90"/>
    <w:rsid w:val="003A3B1C"/>
    <w:rsid w:val="003B42A6"/>
    <w:rsid w:val="003B4FBD"/>
    <w:rsid w:val="003B57CB"/>
    <w:rsid w:val="003B6529"/>
    <w:rsid w:val="003B65C1"/>
    <w:rsid w:val="003B6F2C"/>
    <w:rsid w:val="003C5F30"/>
    <w:rsid w:val="003D3131"/>
    <w:rsid w:val="003E356C"/>
    <w:rsid w:val="003E785F"/>
    <w:rsid w:val="003F4B77"/>
    <w:rsid w:val="003F4BC6"/>
    <w:rsid w:val="00403029"/>
    <w:rsid w:val="004034BE"/>
    <w:rsid w:val="0040399A"/>
    <w:rsid w:val="00404D58"/>
    <w:rsid w:val="00424F70"/>
    <w:rsid w:val="004271A4"/>
    <w:rsid w:val="004469CA"/>
    <w:rsid w:val="00446AA8"/>
    <w:rsid w:val="00446C1D"/>
    <w:rsid w:val="00450811"/>
    <w:rsid w:val="004545FD"/>
    <w:rsid w:val="00455B5A"/>
    <w:rsid w:val="00463468"/>
    <w:rsid w:val="00464171"/>
    <w:rsid w:val="0046673A"/>
    <w:rsid w:val="00467971"/>
    <w:rsid w:val="00471DDA"/>
    <w:rsid w:val="00472E46"/>
    <w:rsid w:val="00475F20"/>
    <w:rsid w:val="00481199"/>
    <w:rsid w:val="00486524"/>
    <w:rsid w:val="004927EC"/>
    <w:rsid w:val="004953AA"/>
    <w:rsid w:val="00497DEE"/>
    <w:rsid w:val="004A335E"/>
    <w:rsid w:val="004A673B"/>
    <w:rsid w:val="004B3038"/>
    <w:rsid w:val="004B3254"/>
    <w:rsid w:val="004B71F4"/>
    <w:rsid w:val="004B73FD"/>
    <w:rsid w:val="004C0A30"/>
    <w:rsid w:val="004C19F9"/>
    <w:rsid w:val="004C2BC1"/>
    <w:rsid w:val="004C3B88"/>
    <w:rsid w:val="004C5694"/>
    <w:rsid w:val="004C7657"/>
    <w:rsid w:val="004D525E"/>
    <w:rsid w:val="004D5E7E"/>
    <w:rsid w:val="004E1FE2"/>
    <w:rsid w:val="004E26B1"/>
    <w:rsid w:val="004E2AB7"/>
    <w:rsid w:val="004E777F"/>
    <w:rsid w:val="004F4E43"/>
    <w:rsid w:val="004F62E9"/>
    <w:rsid w:val="004F6733"/>
    <w:rsid w:val="004F6FC4"/>
    <w:rsid w:val="0050221E"/>
    <w:rsid w:val="005057ED"/>
    <w:rsid w:val="00513AB3"/>
    <w:rsid w:val="00514D61"/>
    <w:rsid w:val="0052574C"/>
    <w:rsid w:val="00527EE0"/>
    <w:rsid w:val="0053197D"/>
    <w:rsid w:val="005334EE"/>
    <w:rsid w:val="005464A2"/>
    <w:rsid w:val="00551FA2"/>
    <w:rsid w:val="00556F4C"/>
    <w:rsid w:val="00562F50"/>
    <w:rsid w:val="00567AFB"/>
    <w:rsid w:val="0057107E"/>
    <w:rsid w:val="0057448A"/>
    <w:rsid w:val="005832F0"/>
    <w:rsid w:val="00584D35"/>
    <w:rsid w:val="005871BC"/>
    <w:rsid w:val="005A0C9D"/>
    <w:rsid w:val="005A134E"/>
    <w:rsid w:val="005A1E23"/>
    <w:rsid w:val="005A2476"/>
    <w:rsid w:val="005A2A5C"/>
    <w:rsid w:val="005A4C06"/>
    <w:rsid w:val="005A57D3"/>
    <w:rsid w:val="005B566B"/>
    <w:rsid w:val="005B7332"/>
    <w:rsid w:val="005C3B78"/>
    <w:rsid w:val="005C4FAA"/>
    <w:rsid w:val="005C54D6"/>
    <w:rsid w:val="005C7193"/>
    <w:rsid w:val="005C73AD"/>
    <w:rsid w:val="005D0775"/>
    <w:rsid w:val="005D2BB9"/>
    <w:rsid w:val="005D4957"/>
    <w:rsid w:val="005D6F1A"/>
    <w:rsid w:val="005E3EA5"/>
    <w:rsid w:val="005E457E"/>
    <w:rsid w:val="005F136A"/>
    <w:rsid w:val="005F6B5E"/>
    <w:rsid w:val="005F7E60"/>
    <w:rsid w:val="00601815"/>
    <w:rsid w:val="00607606"/>
    <w:rsid w:val="006221E0"/>
    <w:rsid w:val="00623B13"/>
    <w:rsid w:val="006245E2"/>
    <w:rsid w:val="00633635"/>
    <w:rsid w:val="00641349"/>
    <w:rsid w:val="00641425"/>
    <w:rsid w:val="006436FE"/>
    <w:rsid w:val="00650B24"/>
    <w:rsid w:val="0065343B"/>
    <w:rsid w:val="00663DA4"/>
    <w:rsid w:val="006730B8"/>
    <w:rsid w:val="0067563C"/>
    <w:rsid w:val="00676856"/>
    <w:rsid w:val="00677DBB"/>
    <w:rsid w:val="006856B8"/>
    <w:rsid w:val="0068587D"/>
    <w:rsid w:val="00686504"/>
    <w:rsid w:val="006868AB"/>
    <w:rsid w:val="006A747D"/>
    <w:rsid w:val="006A7EAF"/>
    <w:rsid w:val="006B01DC"/>
    <w:rsid w:val="006B38C9"/>
    <w:rsid w:val="006B5A9E"/>
    <w:rsid w:val="006C312D"/>
    <w:rsid w:val="006D1C28"/>
    <w:rsid w:val="006D6949"/>
    <w:rsid w:val="006E021D"/>
    <w:rsid w:val="006E1AB1"/>
    <w:rsid w:val="006E440E"/>
    <w:rsid w:val="006E7CB4"/>
    <w:rsid w:val="006F50FB"/>
    <w:rsid w:val="00702911"/>
    <w:rsid w:val="00702AF0"/>
    <w:rsid w:val="0070352E"/>
    <w:rsid w:val="00705DED"/>
    <w:rsid w:val="00707C64"/>
    <w:rsid w:val="00713D8C"/>
    <w:rsid w:val="007148CD"/>
    <w:rsid w:val="00725D72"/>
    <w:rsid w:val="007315B2"/>
    <w:rsid w:val="007358ED"/>
    <w:rsid w:val="0073590F"/>
    <w:rsid w:val="0073669A"/>
    <w:rsid w:val="00741155"/>
    <w:rsid w:val="00751BA6"/>
    <w:rsid w:val="00752EB6"/>
    <w:rsid w:val="007530BB"/>
    <w:rsid w:val="007577C8"/>
    <w:rsid w:val="007669CF"/>
    <w:rsid w:val="00771238"/>
    <w:rsid w:val="007724D6"/>
    <w:rsid w:val="00773B72"/>
    <w:rsid w:val="0077487E"/>
    <w:rsid w:val="007801DB"/>
    <w:rsid w:val="007812A0"/>
    <w:rsid w:val="00782405"/>
    <w:rsid w:val="007826E3"/>
    <w:rsid w:val="00790EA6"/>
    <w:rsid w:val="00793DD3"/>
    <w:rsid w:val="007966B1"/>
    <w:rsid w:val="007A2324"/>
    <w:rsid w:val="007B2BCF"/>
    <w:rsid w:val="007B4BF6"/>
    <w:rsid w:val="007B5056"/>
    <w:rsid w:val="007B7EE5"/>
    <w:rsid w:val="007C0863"/>
    <w:rsid w:val="007C3160"/>
    <w:rsid w:val="007C7B56"/>
    <w:rsid w:val="007D4915"/>
    <w:rsid w:val="007D57A1"/>
    <w:rsid w:val="007E23A6"/>
    <w:rsid w:val="007E2811"/>
    <w:rsid w:val="007E329D"/>
    <w:rsid w:val="007E6E87"/>
    <w:rsid w:val="007F3B87"/>
    <w:rsid w:val="00802702"/>
    <w:rsid w:val="00812D02"/>
    <w:rsid w:val="00813205"/>
    <w:rsid w:val="008146B7"/>
    <w:rsid w:val="008235CD"/>
    <w:rsid w:val="00823B3E"/>
    <w:rsid w:val="00832D2A"/>
    <w:rsid w:val="00832DC8"/>
    <w:rsid w:val="00834EF9"/>
    <w:rsid w:val="0083669B"/>
    <w:rsid w:val="00855B40"/>
    <w:rsid w:val="008567FC"/>
    <w:rsid w:val="00856E86"/>
    <w:rsid w:val="00860056"/>
    <w:rsid w:val="008614EF"/>
    <w:rsid w:val="008619E0"/>
    <w:rsid w:val="00862FE8"/>
    <w:rsid w:val="00874B80"/>
    <w:rsid w:val="008835F2"/>
    <w:rsid w:val="00886A46"/>
    <w:rsid w:val="0088796D"/>
    <w:rsid w:val="00890B08"/>
    <w:rsid w:val="00890EA3"/>
    <w:rsid w:val="00892966"/>
    <w:rsid w:val="008A4FB0"/>
    <w:rsid w:val="008A6E55"/>
    <w:rsid w:val="008B0D4E"/>
    <w:rsid w:val="008B66EF"/>
    <w:rsid w:val="008C7F5A"/>
    <w:rsid w:val="008D107D"/>
    <w:rsid w:val="008D12C8"/>
    <w:rsid w:val="008D3741"/>
    <w:rsid w:val="008E3412"/>
    <w:rsid w:val="008E7E73"/>
    <w:rsid w:val="00906328"/>
    <w:rsid w:val="00912999"/>
    <w:rsid w:val="009150EC"/>
    <w:rsid w:val="0091700C"/>
    <w:rsid w:val="00917B0F"/>
    <w:rsid w:val="00917F1F"/>
    <w:rsid w:val="009203D1"/>
    <w:rsid w:val="00925277"/>
    <w:rsid w:val="00925DA5"/>
    <w:rsid w:val="0092717F"/>
    <w:rsid w:val="00930FD0"/>
    <w:rsid w:val="009312B1"/>
    <w:rsid w:val="00936373"/>
    <w:rsid w:val="00936F51"/>
    <w:rsid w:val="00941CDE"/>
    <w:rsid w:val="0094328A"/>
    <w:rsid w:val="0094788C"/>
    <w:rsid w:val="009507DB"/>
    <w:rsid w:val="00963452"/>
    <w:rsid w:val="009648A2"/>
    <w:rsid w:val="00973E27"/>
    <w:rsid w:val="0097627B"/>
    <w:rsid w:val="00981CB0"/>
    <w:rsid w:val="00984912"/>
    <w:rsid w:val="0098744B"/>
    <w:rsid w:val="0099194E"/>
    <w:rsid w:val="0099372D"/>
    <w:rsid w:val="009A7A3C"/>
    <w:rsid w:val="009B13AE"/>
    <w:rsid w:val="009B5A01"/>
    <w:rsid w:val="009B5D01"/>
    <w:rsid w:val="009C0A18"/>
    <w:rsid w:val="009C6910"/>
    <w:rsid w:val="009D14D7"/>
    <w:rsid w:val="009E006B"/>
    <w:rsid w:val="009E150F"/>
    <w:rsid w:val="009E4AC9"/>
    <w:rsid w:val="009E4F4D"/>
    <w:rsid w:val="00A02D2C"/>
    <w:rsid w:val="00A053A2"/>
    <w:rsid w:val="00A06DE3"/>
    <w:rsid w:val="00A17E82"/>
    <w:rsid w:val="00A35B68"/>
    <w:rsid w:val="00A37039"/>
    <w:rsid w:val="00A47FD1"/>
    <w:rsid w:val="00A5210F"/>
    <w:rsid w:val="00A53C54"/>
    <w:rsid w:val="00A53E1E"/>
    <w:rsid w:val="00A57CFF"/>
    <w:rsid w:val="00A66FF6"/>
    <w:rsid w:val="00A67CF2"/>
    <w:rsid w:val="00A71FAB"/>
    <w:rsid w:val="00A720F2"/>
    <w:rsid w:val="00A747D1"/>
    <w:rsid w:val="00A75774"/>
    <w:rsid w:val="00A7751B"/>
    <w:rsid w:val="00A8613C"/>
    <w:rsid w:val="00AA1FF2"/>
    <w:rsid w:val="00AB062E"/>
    <w:rsid w:val="00AB254A"/>
    <w:rsid w:val="00AB34F7"/>
    <w:rsid w:val="00AB436A"/>
    <w:rsid w:val="00AB5B9E"/>
    <w:rsid w:val="00AC37B7"/>
    <w:rsid w:val="00AD02BE"/>
    <w:rsid w:val="00AD39F5"/>
    <w:rsid w:val="00AD4120"/>
    <w:rsid w:val="00AE147B"/>
    <w:rsid w:val="00AE40B2"/>
    <w:rsid w:val="00AF30E4"/>
    <w:rsid w:val="00B03D77"/>
    <w:rsid w:val="00B053F7"/>
    <w:rsid w:val="00B05791"/>
    <w:rsid w:val="00B06B79"/>
    <w:rsid w:val="00B06D1E"/>
    <w:rsid w:val="00B135F5"/>
    <w:rsid w:val="00B148E5"/>
    <w:rsid w:val="00B169EC"/>
    <w:rsid w:val="00B23C0A"/>
    <w:rsid w:val="00B24E82"/>
    <w:rsid w:val="00B26411"/>
    <w:rsid w:val="00B30400"/>
    <w:rsid w:val="00B360DA"/>
    <w:rsid w:val="00B3669D"/>
    <w:rsid w:val="00B36E8C"/>
    <w:rsid w:val="00B47FB4"/>
    <w:rsid w:val="00B55415"/>
    <w:rsid w:val="00B629A6"/>
    <w:rsid w:val="00B642D3"/>
    <w:rsid w:val="00B655AA"/>
    <w:rsid w:val="00B658E7"/>
    <w:rsid w:val="00B83A81"/>
    <w:rsid w:val="00B873DD"/>
    <w:rsid w:val="00B87707"/>
    <w:rsid w:val="00B87D55"/>
    <w:rsid w:val="00B91513"/>
    <w:rsid w:val="00B9198F"/>
    <w:rsid w:val="00B93DD3"/>
    <w:rsid w:val="00BA0D1F"/>
    <w:rsid w:val="00BA337C"/>
    <w:rsid w:val="00BA3A8A"/>
    <w:rsid w:val="00BA459F"/>
    <w:rsid w:val="00BA45DD"/>
    <w:rsid w:val="00BA59E5"/>
    <w:rsid w:val="00BA6084"/>
    <w:rsid w:val="00BA68C4"/>
    <w:rsid w:val="00BA6CD0"/>
    <w:rsid w:val="00BB693A"/>
    <w:rsid w:val="00BC3311"/>
    <w:rsid w:val="00BC4204"/>
    <w:rsid w:val="00BC67CD"/>
    <w:rsid w:val="00BD3F64"/>
    <w:rsid w:val="00BD41A6"/>
    <w:rsid w:val="00BD64B5"/>
    <w:rsid w:val="00BE2901"/>
    <w:rsid w:val="00BE5E22"/>
    <w:rsid w:val="00C00A01"/>
    <w:rsid w:val="00C0205D"/>
    <w:rsid w:val="00C027D6"/>
    <w:rsid w:val="00C15029"/>
    <w:rsid w:val="00C21E51"/>
    <w:rsid w:val="00C23E1E"/>
    <w:rsid w:val="00C24357"/>
    <w:rsid w:val="00C31CD2"/>
    <w:rsid w:val="00C33A73"/>
    <w:rsid w:val="00C379E0"/>
    <w:rsid w:val="00C37D7B"/>
    <w:rsid w:val="00C52CDC"/>
    <w:rsid w:val="00C5328D"/>
    <w:rsid w:val="00C53AEF"/>
    <w:rsid w:val="00C562BA"/>
    <w:rsid w:val="00C650CA"/>
    <w:rsid w:val="00C7018E"/>
    <w:rsid w:val="00C70C9A"/>
    <w:rsid w:val="00C77E0B"/>
    <w:rsid w:val="00C856AC"/>
    <w:rsid w:val="00C8786D"/>
    <w:rsid w:val="00C960D9"/>
    <w:rsid w:val="00CA4177"/>
    <w:rsid w:val="00CB7FB2"/>
    <w:rsid w:val="00CD0D4D"/>
    <w:rsid w:val="00CD3A17"/>
    <w:rsid w:val="00CD6C5E"/>
    <w:rsid w:val="00CE2116"/>
    <w:rsid w:val="00CE6054"/>
    <w:rsid w:val="00CE65FA"/>
    <w:rsid w:val="00CE6BEA"/>
    <w:rsid w:val="00CF6722"/>
    <w:rsid w:val="00CF6A10"/>
    <w:rsid w:val="00CF70A6"/>
    <w:rsid w:val="00D013F1"/>
    <w:rsid w:val="00D07CA4"/>
    <w:rsid w:val="00D10AA9"/>
    <w:rsid w:val="00D1382C"/>
    <w:rsid w:val="00D14886"/>
    <w:rsid w:val="00D15529"/>
    <w:rsid w:val="00D16764"/>
    <w:rsid w:val="00D17F39"/>
    <w:rsid w:val="00D26DB7"/>
    <w:rsid w:val="00D3104F"/>
    <w:rsid w:val="00D32629"/>
    <w:rsid w:val="00D368D1"/>
    <w:rsid w:val="00D421B1"/>
    <w:rsid w:val="00D43E5C"/>
    <w:rsid w:val="00D55206"/>
    <w:rsid w:val="00D553BF"/>
    <w:rsid w:val="00D60D43"/>
    <w:rsid w:val="00D60E16"/>
    <w:rsid w:val="00D61C53"/>
    <w:rsid w:val="00D65FB7"/>
    <w:rsid w:val="00D66411"/>
    <w:rsid w:val="00D779DF"/>
    <w:rsid w:val="00D80BF9"/>
    <w:rsid w:val="00D81D4E"/>
    <w:rsid w:val="00D82A99"/>
    <w:rsid w:val="00D90054"/>
    <w:rsid w:val="00D930B3"/>
    <w:rsid w:val="00DA7962"/>
    <w:rsid w:val="00DB0A09"/>
    <w:rsid w:val="00DB4256"/>
    <w:rsid w:val="00DC04C0"/>
    <w:rsid w:val="00DC42C7"/>
    <w:rsid w:val="00DC6F46"/>
    <w:rsid w:val="00DC770A"/>
    <w:rsid w:val="00DD0AD4"/>
    <w:rsid w:val="00DD477C"/>
    <w:rsid w:val="00DD7121"/>
    <w:rsid w:val="00DD7BC5"/>
    <w:rsid w:val="00DE493A"/>
    <w:rsid w:val="00DE56A7"/>
    <w:rsid w:val="00DF4B10"/>
    <w:rsid w:val="00E041DE"/>
    <w:rsid w:val="00E1605F"/>
    <w:rsid w:val="00E16DBA"/>
    <w:rsid w:val="00E21FEF"/>
    <w:rsid w:val="00E253E7"/>
    <w:rsid w:val="00E265F3"/>
    <w:rsid w:val="00E26B8D"/>
    <w:rsid w:val="00E26E7B"/>
    <w:rsid w:val="00E31145"/>
    <w:rsid w:val="00E34F20"/>
    <w:rsid w:val="00E363A2"/>
    <w:rsid w:val="00E43F64"/>
    <w:rsid w:val="00E43F8D"/>
    <w:rsid w:val="00E4485B"/>
    <w:rsid w:val="00E543D8"/>
    <w:rsid w:val="00E60C06"/>
    <w:rsid w:val="00E63D73"/>
    <w:rsid w:val="00E652A5"/>
    <w:rsid w:val="00E751D9"/>
    <w:rsid w:val="00E77938"/>
    <w:rsid w:val="00E77D5D"/>
    <w:rsid w:val="00E81280"/>
    <w:rsid w:val="00E815E9"/>
    <w:rsid w:val="00E8327A"/>
    <w:rsid w:val="00E86088"/>
    <w:rsid w:val="00E86CC1"/>
    <w:rsid w:val="00E94304"/>
    <w:rsid w:val="00E94E06"/>
    <w:rsid w:val="00EA6F22"/>
    <w:rsid w:val="00EA785A"/>
    <w:rsid w:val="00EB2BE0"/>
    <w:rsid w:val="00EB36A7"/>
    <w:rsid w:val="00EB4086"/>
    <w:rsid w:val="00EB5917"/>
    <w:rsid w:val="00EB7674"/>
    <w:rsid w:val="00EC142D"/>
    <w:rsid w:val="00EC5FEA"/>
    <w:rsid w:val="00ED02F0"/>
    <w:rsid w:val="00ED16D4"/>
    <w:rsid w:val="00EE2A30"/>
    <w:rsid w:val="00F077DF"/>
    <w:rsid w:val="00F11200"/>
    <w:rsid w:val="00F11CEF"/>
    <w:rsid w:val="00F21747"/>
    <w:rsid w:val="00F23FD1"/>
    <w:rsid w:val="00F240AD"/>
    <w:rsid w:val="00F249F4"/>
    <w:rsid w:val="00F2627C"/>
    <w:rsid w:val="00F269CE"/>
    <w:rsid w:val="00F26F0B"/>
    <w:rsid w:val="00F315CC"/>
    <w:rsid w:val="00F31F48"/>
    <w:rsid w:val="00F33B20"/>
    <w:rsid w:val="00F446DD"/>
    <w:rsid w:val="00F4641D"/>
    <w:rsid w:val="00F465A2"/>
    <w:rsid w:val="00F47A76"/>
    <w:rsid w:val="00F5018C"/>
    <w:rsid w:val="00F5253A"/>
    <w:rsid w:val="00F57346"/>
    <w:rsid w:val="00F72750"/>
    <w:rsid w:val="00F7307C"/>
    <w:rsid w:val="00F777D9"/>
    <w:rsid w:val="00F878D4"/>
    <w:rsid w:val="00F90242"/>
    <w:rsid w:val="00F91D1B"/>
    <w:rsid w:val="00FA2710"/>
    <w:rsid w:val="00FA3CEF"/>
    <w:rsid w:val="00FA6AF4"/>
    <w:rsid w:val="00FB2C36"/>
    <w:rsid w:val="00FB3628"/>
    <w:rsid w:val="00FC48B6"/>
    <w:rsid w:val="00FD4A3A"/>
    <w:rsid w:val="00FE1C2B"/>
    <w:rsid w:val="00FE547F"/>
    <w:rsid w:val="00FF083C"/>
    <w:rsid w:val="00FF2428"/>
    <w:rsid w:val="00FF2E3F"/>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C0BBD4"/>
  <w15:docId w15:val="{EE28EAB3-EFA3-9F40-A3F8-45F2391E5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1"/>
    <w:qFormat/>
    <w:rsid w:val="006B5A9E"/>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Titolo2">
    <w:name w:val="heading 2"/>
    <w:basedOn w:val="Normale"/>
    <w:next w:val="Normale"/>
    <w:link w:val="Titolo2Carattere"/>
    <w:uiPriority w:val="9"/>
    <w:semiHidden/>
    <w:unhideWhenUsed/>
    <w:qFormat/>
    <w:rsid w:val="002717C6"/>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itolo3">
    <w:name w:val="heading 3"/>
    <w:basedOn w:val="Normale"/>
    <w:next w:val="Normale"/>
    <w:link w:val="Titolo3Carattere"/>
    <w:uiPriority w:val="9"/>
    <w:semiHidden/>
    <w:unhideWhenUsed/>
    <w:qFormat/>
    <w:rsid w:val="00F4641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ilePaola">
    <w:name w:val="StilePaola"/>
    <w:basedOn w:val="NormaleWeb"/>
    <w:link w:val="StilePaolaCarattere"/>
    <w:qFormat/>
    <w:rsid w:val="009150EC"/>
    <w:pPr>
      <w:shd w:val="clear" w:color="auto" w:fill="FFFFFF"/>
      <w:tabs>
        <w:tab w:val="right" w:leader="dot" w:pos="7371"/>
      </w:tabs>
      <w:spacing w:before="100" w:after="0" w:line="0" w:lineRule="atLeast"/>
      <w:jc w:val="both"/>
    </w:pPr>
    <w:rPr>
      <w:rFonts w:ascii="Cambria" w:hAnsi="Cambria" w:cs="Helvetica"/>
      <w:color w:val="808080" w:themeColor="background1" w:themeShade="80"/>
    </w:rPr>
  </w:style>
  <w:style w:type="character" w:customStyle="1" w:styleId="StilePaolaCarattere">
    <w:name w:val="StilePaola Carattere"/>
    <w:basedOn w:val="Carpredefinitoparagrafo"/>
    <w:link w:val="StilePaola"/>
    <w:rsid w:val="009150EC"/>
    <w:rPr>
      <w:rFonts w:ascii="Cambria" w:hAnsi="Cambria" w:cs="Helvetica"/>
      <w:color w:val="808080" w:themeColor="background1" w:themeShade="80"/>
      <w:sz w:val="24"/>
      <w:szCs w:val="24"/>
      <w:shd w:val="clear" w:color="auto" w:fill="FFFFFF"/>
    </w:rPr>
  </w:style>
  <w:style w:type="paragraph" w:styleId="NormaleWeb">
    <w:name w:val="Normal (Web)"/>
    <w:basedOn w:val="Normale"/>
    <w:link w:val="NormaleWebCarattere"/>
    <w:uiPriority w:val="99"/>
    <w:unhideWhenUsed/>
    <w:rsid w:val="009150EC"/>
    <w:rPr>
      <w:rFonts w:ascii="Times New Roman" w:hAnsi="Times New Roman" w:cs="Times New Roman"/>
      <w:sz w:val="24"/>
      <w:szCs w:val="24"/>
    </w:rPr>
  </w:style>
  <w:style w:type="paragraph" w:styleId="Testonormale">
    <w:name w:val="Plain Text"/>
    <w:basedOn w:val="Normale"/>
    <w:link w:val="TestonormaleCarattere"/>
    <w:uiPriority w:val="99"/>
    <w:semiHidden/>
    <w:rsid w:val="00BD41A6"/>
    <w:pPr>
      <w:tabs>
        <w:tab w:val="right" w:leader="dot" w:pos="7371"/>
      </w:tabs>
      <w:spacing w:after="0" w:line="240" w:lineRule="auto"/>
    </w:pPr>
    <w:rPr>
      <w:rFonts w:ascii="Courier New" w:eastAsia="Times New Roman" w:hAnsi="Courier New" w:cs="Times New Roman"/>
      <w:sz w:val="20"/>
      <w:szCs w:val="20"/>
      <w:lang w:eastAsia="it-IT"/>
    </w:rPr>
  </w:style>
  <w:style w:type="character" w:customStyle="1" w:styleId="TestonormaleCarattere">
    <w:name w:val="Testo normale Carattere"/>
    <w:basedOn w:val="Carpredefinitoparagrafo"/>
    <w:link w:val="Testonormale"/>
    <w:uiPriority w:val="99"/>
    <w:semiHidden/>
    <w:rsid w:val="00BD41A6"/>
    <w:rPr>
      <w:rFonts w:ascii="Courier New" w:eastAsia="Times New Roman" w:hAnsi="Courier New" w:cs="Times New Roman"/>
      <w:sz w:val="20"/>
      <w:szCs w:val="20"/>
      <w:lang w:eastAsia="it-IT"/>
    </w:rPr>
  </w:style>
  <w:style w:type="paragraph" w:customStyle="1" w:styleId="Default">
    <w:name w:val="Default"/>
    <w:rsid w:val="00BD41A6"/>
    <w:pPr>
      <w:autoSpaceDE w:val="0"/>
      <w:autoSpaceDN w:val="0"/>
      <w:adjustRightInd w:val="0"/>
      <w:spacing w:after="0" w:line="240" w:lineRule="auto"/>
    </w:pPr>
    <w:rPr>
      <w:rFonts w:ascii="DIN" w:eastAsia="Calibri" w:hAnsi="DIN" w:cs="DIN"/>
      <w:color w:val="000000"/>
      <w:sz w:val="24"/>
      <w:szCs w:val="24"/>
    </w:rPr>
  </w:style>
  <w:style w:type="character" w:customStyle="1" w:styleId="Titolo1Carattere">
    <w:name w:val="Titolo 1 Carattere"/>
    <w:basedOn w:val="Carpredefinitoparagrafo"/>
    <w:link w:val="Titolo1"/>
    <w:uiPriority w:val="1"/>
    <w:rsid w:val="006B5A9E"/>
    <w:rPr>
      <w:rFonts w:asciiTheme="majorHAnsi" w:eastAsiaTheme="majorEastAsia" w:hAnsiTheme="majorHAnsi" w:cstheme="majorBidi"/>
      <w:b/>
      <w:bCs/>
      <w:color w:val="2E74B5" w:themeColor="accent1" w:themeShade="BF"/>
      <w:sz w:val="28"/>
      <w:szCs w:val="28"/>
    </w:rPr>
  </w:style>
  <w:style w:type="paragraph" w:styleId="Corpotesto">
    <w:name w:val="Body Text"/>
    <w:basedOn w:val="Normale"/>
    <w:link w:val="CorpotestoCarattere"/>
    <w:uiPriority w:val="1"/>
    <w:qFormat/>
    <w:rsid w:val="006B5A9E"/>
    <w:pPr>
      <w:widowControl w:val="0"/>
      <w:autoSpaceDE w:val="0"/>
      <w:autoSpaceDN w:val="0"/>
      <w:spacing w:after="0" w:line="280" w:lineRule="exact"/>
      <w:jc w:val="both"/>
    </w:pPr>
    <w:rPr>
      <w:rFonts w:ascii="Helvetica LT Std Cond" w:eastAsia="Helvetica LT Std Cond" w:hAnsi="Helvetica LT Std Cond" w:cs="Helvetica LT Std Cond"/>
      <w:sz w:val="24"/>
      <w:szCs w:val="24"/>
      <w:lang w:val="en-US"/>
    </w:rPr>
  </w:style>
  <w:style w:type="character" w:customStyle="1" w:styleId="CorpotestoCarattere">
    <w:name w:val="Corpo testo Carattere"/>
    <w:basedOn w:val="Carpredefinitoparagrafo"/>
    <w:link w:val="Corpotesto"/>
    <w:uiPriority w:val="1"/>
    <w:rsid w:val="006B5A9E"/>
    <w:rPr>
      <w:rFonts w:ascii="Helvetica LT Std Cond" w:eastAsia="Helvetica LT Std Cond" w:hAnsi="Helvetica LT Std Cond" w:cs="Helvetica LT Std Cond"/>
      <w:sz w:val="24"/>
      <w:szCs w:val="24"/>
      <w:lang w:val="en-US"/>
    </w:rPr>
  </w:style>
  <w:style w:type="character" w:customStyle="1" w:styleId="NormaleWebCarattere">
    <w:name w:val="Normale (Web) Carattere"/>
    <w:basedOn w:val="Carpredefinitoparagrafo"/>
    <w:link w:val="NormaleWeb"/>
    <w:uiPriority w:val="99"/>
    <w:rsid w:val="006B5A9E"/>
    <w:rPr>
      <w:rFonts w:ascii="Times New Roman" w:hAnsi="Times New Roman" w:cs="Times New Roman"/>
      <w:sz w:val="24"/>
      <w:szCs w:val="24"/>
    </w:rPr>
  </w:style>
  <w:style w:type="paragraph" w:styleId="Testonotaapidipagina">
    <w:name w:val="footnote text"/>
    <w:aliases w:val="Footnote1,Footnote2,Footnote3,Footnote4,Footnote5,Footnote6,Footnote7,Footnote8,Footnote9,Footnote10,Footnote11,Footnote21,Footnote31,Footnote41,Footnote51,Footnote61,Footnote71,Footnote81,Footnote91,Footnote12,fn Cha"/>
    <w:basedOn w:val="Normale"/>
    <w:link w:val="TestonotaapidipaginaCarattere"/>
    <w:uiPriority w:val="99"/>
    <w:unhideWhenUsed/>
    <w:qFormat/>
    <w:rsid w:val="006B5A9E"/>
    <w:pPr>
      <w:widowControl w:val="0"/>
      <w:autoSpaceDE w:val="0"/>
      <w:autoSpaceDN w:val="0"/>
      <w:spacing w:after="0" w:line="240" w:lineRule="auto"/>
    </w:pPr>
    <w:rPr>
      <w:rFonts w:ascii="Helvetica LT Std Cond" w:eastAsia="Helvetica LT Std Cond" w:hAnsi="Helvetica LT Std Cond" w:cs="Helvetica LT Std Cond"/>
      <w:sz w:val="20"/>
      <w:szCs w:val="20"/>
      <w:lang w:eastAsia="it-IT" w:bidi="it-IT"/>
    </w:rPr>
  </w:style>
  <w:style w:type="character" w:customStyle="1" w:styleId="TestonotaapidipaginaCarattere">
    <w:name w:val="Testo nota a piè di pagina Carattere"/>
    <w:aliases w:val="Footnote1 Carattere,Footnote2 Carattere,Footnote3 Carattere,Footnote4 Carattere,Footnote5 Carattere,Footnote6 Carattere,Footnote7 Carattere,Footnote8 Carattere,Footnote9 Carattere,Footnote10 Carattere"/>
    <w:basedOn w:val="Carpredefinitoparagrafo"/>
    <w:link w:val="Testonotaapidipagina"/>
    <w:uiPriority w:val="99"/>
    <w:qFormat/>
    <w:rsid w:val="006B5A9E"/>
    <w:rPr>
      <w:rFonts w:ascii="Helvetica LT Std Cond" w:eastAsia="Helvetica LT Std Cond" w:hAnsi="Helvetica LT Std Cond" w:cs="Helvetica LT Std Cond"/>
      <w:sz w:val="20"/>
      <w:szCs w:val="20"/>
      <w:lang w:eastAsia="it-IT" w:bidi="it-IT"/>
    </w:rPr>
  </w:style>
  <w:style w:type="character" w:styleId="Rimandonotaapidipagina">
    <w:name w:val="footnote reference"/>
    <w:aliases w:val="Footnote symbol,Times 10 Point,Exposant 3 Point,Footnote reference number,SUPERS,EN Footnote Reference,note TESI,stylish,number,no...,Footnote,Footnote Reference/,Footnote Reference Superscript,(Footnote Reference),ftr,Ref"/>
    <w:basedOn w:val="Carpredefinitoparagrafo"/>
    <w:link w:val="ftrefCharCharCharCharCharCharCharCharChar"/>
    <w:uiPriority w:val="99"/>
    <w:unhideWhenUsed/>
    <w:qFormat/>
    <w:rsid w:val="006B5A9E"/>
    <w:rPr>
      <w:vertAlign w:val="superscript"/>
    </w:rPr>
  </w:style>
  <w:style w:type="character" w:styleId="Enfasigrassetto">
    <w:name w:val="Strong"/>
    <w:basedOn w:val="Carpredefinitoparagrafo"/>
    <w:uiPriority w:val="22"/>
    <w:qFormat/>
    <w:rsid w:val="00F4641D"/>
    <w:rPr>
      <w:b/>
      <w:bCs/>
    </w:rPr>
  </w:style>
  <w:style w:type="character" w:customStyle="1" w:styleId="Titolo3Carattere">
    <w:name w:val="Titolo 3 Carattere"/>
    <w:basedOn w:val="Carpredefinitoparagrafo"/>
    <w:link w:val="Titolo3"/>
    <w:uiPriority w:val="9"/>
    <w:semiHidden/>
    <w:rsid w:val="00F4641D"/>
    <w:rPr>
      <w:rFonts w:asciiTheme="majorHAnsi" w:eastAsiaTheme="majorEastAsia" w:hAnsiTheme="majorHAnsi" w:cstheme="majorBidi"/>
      <w:color w:val="1F4D78" w:themeColor="accent1" w:themeShade="7F"/>
      <w:sz w:val="24"/>
      <w:szCs w:val="24"/>
    </w:rPr>
  </w:style>
  <w:style w:type="paragraph" w:styleId="Testofumetto">
    <w:name w:val="Balloon Text"/>
    <w:basedOn w:val="Normale"/>
    <w:link w:val="TestofumettoCarattere"/>
    <w:uiPriority w:val="99"/>
    <w:semiHidden/>
    <w:unhideWhenUsed/>
    <w:rsid w:val="00E543D8"/>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543D8"/>
    <w:rPr>
      <w:rFonts w:ascii="Tahoma" w:hAnsi="Tahoma" w:cs="Tahoma"/>
      <w:sz w:val="16"/>
      <w:szCs w:val="16"/>
    </w:rPr>
  </w:style>
  <w:style w:type="paragraph" w:customStyle="1" w:styleId="ATitoloparagrafo">
    <w:name w:val="A.Titolo paragrafo"/>
    <w:basedOn w:val="Normale"/>
    <w:link w:val="ATitoloparagrafoCarattere"/>
    <w:rsid w:val="00E16DBA"/>
    <w:pPr>
      <w:tabs>
        <w:tab w:val="left" w:pos="432"/>
        <w:tab w:val="left" w:pos="720"/>
        <w:tab w:val="left" w:pos="1440"/>
        <w:tab w:val="left" w:pos="2160"/>
        <w:tab w:val="left" w:pos="3119"/>
        <w:tab w:val="left" w:pos="3600"/>
        <w:tab w:val="left" w:pos="4320"/>
        <w:tab w:val="left" w:pos="5040"/>
        <w:tab w:val="left" w:pos="5760"/>
        <w:tab w:val="left" w:pos="6480"/>
        <w:tab w:val="left" w:pos="7200"/>
        <w:tab w:val="right" w:leader="dot" w:pos="7371"/>
        <w:tab w:val="left" w:pos="7920"/>
        <w:tab w:val="left" w:pos="8640"/>
      </w:tabs>
      <w:spacing w:before="440" w:after="220" w:line="240" w:lineRule="auto"/>
    </w:pPr>
    <w:rPr>
      <w:rFonts w:ascii="Times New Roman" w:eastAsia="Times New Roman" w:hAnsi="Times New Roman" w:cs="Times New Roman"/>
      <w:b/>
      <w:lang w:eastAsia="it-IT"/>
    </w:rPr>
  </w:style>
  <w:style w:type="character" w:customStyle="1" w:styleId="ATitoloparagrafoCarattere">
    <w:name w:val="A.Titolo paragrafo Carattere"/>
    <w:link w:val="ATitoloparagrafo"/>
    <w:rsid w:val="00E16DBA"/>
    <w:rPr>
      <w:rFonts w:ascii="Times New Roman" w:eastAsia="Times New Roman" w:hAnsi="Times New Roman" w:cs="Times New Roman"/>
      <w:b/>
      <w:lang w:eastAsia="it-IT"/>
    </w:rPr>
  </w:style>
  <w:style w:type="paragraph" w:styleId="Intestazione">
    <w:name w:val="header"/>
    <w:basedOn w:val="Normale"/>
    <w:link w:val="IntestazioneCarattere"/>
    <w:uiPriority w:val="99"/>
    <w:unhideWhenUsed/>
    <w:rsid w:val="00D43E5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43E5C"/>
  </w:style>
  <w:style w:type="paragraph" w:styleId="Pidipagina">
    <w:name w:val="footer"/>
    <w:basedOn w:val="Normale"/>
    <w:link w:val="PidipaginaCarattere"/>
    <w:uiPriority w:val="99"/>
    <w:unhideWhenUsed/>
    <w:rsid w:val="00D43E5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43E5C"/>
  </w:style>
  <w:style w:type="character" w:customStyle="1" w:styleId="Titolo2Carattere">
    <w:name w:val="Titolo 2 Carattere"/>
    <w:basedOn w:val="Carpredefinitoparagrafo"/>
    <w:link w:val="Titolo2"/>
    <w:uiPriority w:val="9"/>
    <w:semiHidden/>
    <w:rsid w:val="002717C6"/>
    <w:rPr>
      <w:rFonts w:asciiTheme="majorHAnsi" w:eastAsiaTheme="majorEastAsia" w:hAnsiTheme="majorHAnsi" w:cstheme="majorBidi"/>
      <w:b/>
      <w:bCs/>
      <w:color w:val="5B9BD5" w:themeColor="accent1"/>
      <w:sz w:val="26"/>
      <w:szCs w:val="26"/>
    </w:rPr>
  </w:style>
  <w:style w:type="character" w:styleId="Collegamentoipertestuale">
    <w:name w:val="Hyperlink"/>
    <w:basedOn w:val="Carpredefinitoparagrafo"/>
    <w:uiPriority w:val="99"/>
    <w:unhideWhenUsed/>
    <w:rsid w:val="002717C6"/>
    <w:rPr>
      <w:color w:val="0563C1" w:themeColor="hyperlink"/>
      <w:u w:val="single"/>
    </w:rPr>
  </w:style>
  <w:style w:type="paragraph" w:customStyle="1" w:styleId="ftrefCharCharCharCharCharCharCharCharChar">
    <w:name w:val="ftref Char Char Char Char Char Char Char Char Char"/>
    <w:aliases w:val="Footnote Char Char Char Char Char Char Char Char Char,BVI fnr Char Char Char Char Char Char Char Char Char,BVI fnr Char Char Char Char Char Char Char Char Char Char"/>
    <w:basedOn w:val="Normale"/>
    <w:next w:val="Normale"/>
    <w:link w:val="Rimandonotaapidipagina"/>
    <w:uiPriority w:val="99"/>
    <w:rsid w:val="006E7CB4"/>
    <w:pPr>
      <w:spacing w:line="240" w:lineRule="exact"/>
    </w:pPr>
    <w:rPr>
      <w:vertAlign w:val="superscript"/>
    </w:rPr>
  </w:style>
  <w:style w:type="character" w:styleId="Rimandocommento">
    <w:name w:val="annotation reference"/>
    <w:basedOn w:val="Carpredefinitoparagrafo"/>
    <w:uiPriority w:val="99"/>
    <w:semiHidden/>
    <w:unhideWhenUsed/>
    <w:rsid w:val="00E31145"/>
    <w:rPr>
      <w:sz w:val="16"/>
      <w:szCs w:val="16"/>
    </w:rPr>
  </w:style>
  <w:style w:type="paragraph" w:styleId="Testocommento">
    <w:name w:val="annotation text"/>
    <w:basedOn w:val="Normale"/>
    <w:link w:val="TestocommentoCarattere"/>
    <w:uiPriority w:val="99"/>
    <w:unhideWhenUsed/>
    <w:rsid w:val="00E31145"/>
    <w:pPr>
      <w:spacing w:line="240" w:lineRule="auto"/>
    </w:pPr>
    <w:rPr>
      <w:sz w:val="20"/>
      <w:szCs w:val="20"/>
    </w:rPr>
  </w:style>
  <w:style w:type="character" w:customStyle="1" w:styleId="TestocommentoCarattere">
    <w:name w:val="Testo commento Carattere"/>
    <w:basedOn w:val="Carpredefinitoparagrafo"/>
    <w:link w:val="Testocommento"/>
    <w:uiPriority w:val="99"/>
    <w:rsid w:val="00E31145"/>
    <w:rPr>
      <w:sz w:val="20"/>
      <w:szCs w:val="20"/>
    </w:rPr>
  </w:style>
  <w:style w:type="paragraph" w:styleId="Soggettocommento">
    <w:name w:val="annotation subject"/>
    <w:basedOn w:val="Testocommento"/>
    <w:next w:val="Testocommento"/>
    <w:link w:val="SoggettocommentoCarattere"/>
    <w:uiPriority w:val="99"/>
    <w:semiHidden/>
    <w:unhideWhenUsed/>
    <w:rsid w:val="00E31145"/>
    <w:rPr>
      <w:b/>
      <w:bCs/>
    </w:rPr>
  </w:style>
  <w:style w:type="character" w:customStyle="1" w:styleId="SoggettocommentoCarattere">
    <w:name w:val="Soggetto commento Carattere"/>
    <w:basedOn w:val="TestocommentoCarattere"/>
    <w:link w:val="Soggettocommento"/>
    <w:uiPriority w:val="99"/>
    <w:semiHidden/>
    <w:rsid w:val="00E31145"/>
    <w:rPr>
      <w:b/>
      <w:bCs/>
      <w:sz w:val="20"/>
      <w:szCs w:val="20"/>
    </w:rPr>
  </w:style>
  <w:style w:type="paragraph" w:styleId="Revisione">
    <w:name w:val="Revision"/>
    <w:hidden/>
    <w:uiPriority w:val="99"/>
    <w:semiHidden/>
    <w:rsid w:val="00FD4A3A"/>
    <w:pPr>
      <w:spacing w:after="0" w:line="240" w:lineRule="auto"/>
    </w:pPr>
  </w:style>
  <w:style w:type="character" w:customStyle="1" w:styleId="A5">
    <w:name w:val="A5"/>
    <w:uiPriority w:val="99"/>
    <w:rsid w:val="00497DEE"/>
    <w:rPr>
      <w:rFonts w:cs="Helvetica LT Std Cond"/>
      <w:color w:val="000000"/>
      <w:sz w:val="14"/>
      <w:szCs w:val="14"/>
    </w:rPr>
  </w:style>
  <w:style w:type="character" w:customStyle="1" w:styleId="A7">
    <w:name w:val="A7"/>
    <w:uiPriority w:val="99"/>
    <w:rsid w:val="00497DEE"/>
    <w:rPr>
      <w:rFonts w:cs="Helvetica LT Std Cond"/>
      <w:color w:val="000000"/>
      <w:u w:val="single"/>
    </w:rPr>
  </w:style>
  <w:style w:type="character" w:customStyle="1" w:styleId="A10">
    <w:name w:val="A10"/>
    <w:uiPriority w:val="99"/>
    <w:rsid w:val="000D1068"/>
    <w:rPr>
      <w:rFonts w:cs="Helvetica LT Std Cond"/>
      <w:color w:val="000000"/>
      <w:sz w:val="14"/>
      <w:szCs w:val="14"/>
    </w:rPr>
  </w:style>
  <w:style w:type="paragraph" w:customStyle="1" w:styleId="01testo">
    <w:name w:val="01_testo"/>
    <w:basedOn w:val="Normale"/>
    <w:link w:val="01testoCarattere"/>
    <w:uiPriority w:val="99"/>
    <w:qFormat/>
    <w:rsid w:val="00B06B79"/>
    <w:pPr>
      <w:spacing w:after="60" w:line="264" w:lineRule="auto"/>
      <w:jc w:val="both"/>
    </w:pPr>
    <w:rPr>
      <w:rFonts w:ascii="Arial" w:eastAsia="Times New Roman" w:hAnsi="Arial" w:cs="Calibri"/>
      <w:spacing w:val="2"/>
      <w:sz w:val="20"/>
    </w:rPr>
  </w:style>
  <w:style w:type="character" w:customStyle="1" w:styleId="01testoCarattere">
    <w:name w:val="01_testo Carattere"/>
    <w:link w:val="01testo"/>
    <w:uiPriority w:val="99"/>
    <w:locked/>
    <w:rsid w:val="00B06B79"/>
    <w:rPr>
      <w:rFonts w:ascii="Arial" w:eastAsia="Times New Roman" w:hAnsi="Arial" w:cs="Calibri"/>
      <w:spacing w:val="2"/>
      <w:sz w:val="20"/>
    </w:rPr>
  </w:style>
  <w:style w:type="paragraph" w:styleId="Paragrafoelenco">
    <w:name w:val="List Paragraph"/>
    <w:basedOn w:val="Normale"/>
    <w:uiPriority w:val="34"/>
    <w:qFormat/>
    <w:rsid w:val="00F2627C"/>
    <w:pPr>
      <w:widowControl w:val="0"/>
      <w:autoSpaceDE w:val="0"/>
      <w:autoSpaceDN w:val="0"/>
      <w:spacing w:after="0" w:line="240" w:lineRule="auto"/>
      <w:ind w:left="720"/>
      <w:contextualSpacing/>
    </w:pPr>
    <w:rPr>
      <w:rFonts w:ascii="Helvetica LT Std Cond" w:eastAsia="Helvetica LT Std Cond" w:hAnsi="Helvetica LT Std Cond" w:cs="Helvetica LT Std Cond"/>
      <w:lang w:val="en-US"/>
    </w:rPr>
  </w:style>
  <w:style w:type="table" w:styleId="Grigliatabella">
    <w:name w:val="Table Grid"/>
    <w:basedOn w:val="Tabellanormale"/>
    <w:uiPriority w:val="39"/>
    <w:rsid w:val="001B10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basedOn w:val="Carpredefinitoparagrafo"/>
    <w:rsid w:val="003110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907952">
      <w:bodyDiv w:val="1"/>
      <w:marLeft w:val="0"/>
      <w:marRight w:val="0"/>
      <w:marTop w:val="0"/>
      <w:marBottom w:val="0"/>
      <w:divBdr>
        <w:top w:val="none" w:sz="0" w:space="0" w:color="auto"/>
        <w:left w:val="none" w:sz="0" w:space="0" w:color="auto"/>
        <w:bottom w:val="none" w:sz="0" w:space="0" w:color="auto"/>
        <w:right w:val="none" w:sz="0" w:space="0" w:color="auto"/>
      </w:divBdr>
      <w:divsChild>
        <w:div w:id="339236607">
          <w:marLeft w:val="0"/>
          <w:marRight w:val="0"/>
          <w:marTop w:val="0"/>
          <w:marBottom w:val="0"/>
          <w:divBdr>
            <w:top w:val="none" w:sz="0" w:space="0" w:color="auto"/>
            <w:left w:val="none" w:sz="0" w:space="0" w:color="auto"/>
            <w:bottom w:val="none" w:sz="0" w:space="0" w:color="auto"/>
            <w:right w:val="none" w:sz="0" w:space="0" w:color="auto"/>
          </w:divBdr>
          <w:divsChild>
            <w:div w:id="90398807">
              <w:marLeft w:val="0"/>
              <w:marRight w:val="0"/>
              <w:marTop w:val="0"/>
              <w:marBottom w:val="0"/>
              <w:divBdr>
                <w:top w:val="none" w:sz="0" w:space="0" w:color="auto"/>
                <w:left w:val="none" w:sz="0" w:space="0" w:color="auto"/>
                <w:bottom w:val="none" w:sz="0" w:space="0" w:color="auto"/>
                <w:right w:val="none" w:sz="0" w:space="0" w:color="auto"/>
              </w:divBdr>
              <w:divsChild>
                <w:div w:id="8997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fontTable" Target="fontTable.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yperlink" Target="https://www.istat.it/it/benessere-e-sostenibilit&#224;/obiettivi-di-sviluppo-sostenibile" TargetMode="Externa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image" Target="media/image1.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29.emf"/><Relationship Id="rId1" Type="http://schemas.openxmlformats.org/officeDocument/2006/relationships/image" Target="media/image28.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108FF8-EE08-499F-92A3-D9AF3A108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12</Pages>
  <Words>4600</Words>
  <Characters>26223</Characters>
  <Application>Microsoft Office Word</Application>
  <DocSecurity>0</DocSecurity>
  <Lines>218</Lines>
  <Paragraphs>61</Paragraphs>
  <ScaleCrop>false</ScaleCrop>
  <HeadingPairs>
    <vt:vector size="2" baseType="variant">
      <vt:variant>
        <vt:lpstr>Titolo</vt:lpstr>
      </vt:variant>
      <vt:variant>
        <vt:i4>1</vt:i4>
      </vt:variant>
    </vt:vector>
  </HeadingPairs>
  <TitlesOfParts>
    <vt:vector size="1" baseType="lpstr">
      <vt:lpstr/>
    </vt:vector>
  </TitlesOfParts>
  <Company>ISTAT</Company>
  <LinksUpToDate>false</LinksUpToDate>
  <CharactersWithSpaces>30762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Paola Patteri</dc:creator>
  <cp:lastModifiedBy>Stefania Schipani</cp:lastModifiedBy>
  <cp:revision>7</cp:revision>
  <cp:lastPrinted>2022-10-11T09:55:00Z</cp:lastPrinted>
  <dcterms:created xsi:type="dcterms:W3CDTF">2022-10-11T09:55:00Z</dcterms:created>
  <dcterms:modified xsi:type="dcterms:W3CDTF">2022-10-11T11:14:00Z</dcterms:modified>
</cp:coreProperties>
</file>