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8AD" w:rsidRPr="003643F1" w:rsidRDefault="00BE18AD" w:rsidP="00921CE1">
      <w:pPr>
        <w:spacing w:before="0" w:after="0"/>
        <w:ind w:left="1843"/>
        <w:rPr>
          <w:rFonts w:ascii="Arial" w:hAnsi="Arial" w:cs="Arial"/>
          <w:noProof/>
          <w:color w:val="5F5F5F"/>
          <w:sz w:val="16"/>
          <w:szCs w:val="28"/>
        </w:rPr>
      </w:pPr>
    </w:p>
    <w:p w:rsidR="008A27B3" w:rsidRPr="00C8504B" w:rsidRDefault="009B6ACA" w:rsidP="00921CE1">
      <w:pPr>
        <w:spacing w:before="0" w:after="0"/>
        <w:ind w:left="1843"/>
        <w:rPr>
          <w:rFonts w:ascii="Arial" w:hAnsi="Arial" w:cs="Arial"/>
          <w:color w:val="5F5F5F"/>
          <w:sz w:val="28"/>
          <w:szCs w:val="28"/>
        </w:rPr>
      </w:pPr>
      <w:r>
        <w:rPr>
          <w:rFonts w:ascii="Arial" w:hAnsi="Arial" w:cs="Arial"/>
          <w:noProof/>
          <w:color w:val="5F5F5F"/>
          <w:sz w:val="28"/>
          <w:szCs w:val="28"/>
        </w:rPr>
        <w:t>Settembre</w:t>
      </w:r>
      <w:r w:rsidR="00432B1B">
        <w:rPr>
          <w:rFonts w:ascii="Arial" w:hAnsi="Arial" w:cs="Arial"/>
          <w:noProof/>
          <w:color w:val="5F5F5F"/>
          <w:sz w:val="28"/>
          <w:szCs w:val="28"/>
        </w:rPr>
        <w:t xml:space="preserve"> 20</w:t>
      </w:r>
      <w:r w:rsidR="005B7BD6">
        <w:rPr>
          <w:rFonts w:ascii="Arial" w:hAnsi="Arial" w:cs="Arial"/>
          <w:noProof/>
          <w:color w:val="5F5F5F"/>
          <w:sz w:val="28"/>
          <w:szCs w:val="28"/>
        </w:rPr>
        <w:t>2</w:t>
      </w:r>
      <w:r w:rsidR="00432B1B">
        <w:rPr>
          <w:rFonts w:ascii="Arial" w:hAnsi="Arial" w:cs="Arial"/>
          <w:noProof/>
          <w:color w:val="5F5F5F"/>
          <w:sz w:val="28"/>
          <w:szCs w:val="28"/>
        </w:rPr>
        <w:t>2</w:t>
      </w:r>
    </w:p>
    <w:p w:rsidR="008A27B3" w:rsidRPr="00C8504B" w:rsidRDefault="004C4EFD" w:rsidP="00921CE1">
      <w:pPr>
        <w:spacing w:before="0" w:after="0"/>
        <w:ind w:left="1843"/>
        <w:rPr>
          <w:rFonts w:ascii="Calibri" w:hAnsi="Calibri" w:cs="Arial"/>
          <w:b/>
          <w:bCs/>
          <w:color w:val="5F5F5F"/>
          <w:w w:val="95"/>
          <w:sz w:val="52"/>
          <w:szCs w:val="52"/>
        </w:rPr>
      </w:pPr>
      <w:r>
        <w:rPr>
          <w:rFonts w:ascii="Calibri" w:hAnsi="Calibri" w:cs="Arial"/>
          <w:b/>
          <w:bCs/>
          <w:color w:val="5F5F5F"/>
          <w:w w:val="95"/>
          <w:sz w:val="52"/>
          <w:szCs w:val="52"/>
        </w:rPr>
        <w:t>P</w:t>
      </w:r>
      <w:r w:rsidR="008A27B3" w:rsidRPr="00C8504B">
        <w:rPr>
          <w:rFonts w:ascii="Calibri" w:hAnsi="Calibri" w:cs="Arial"/>
          <w:b/>
          <w:bCs/>
          <w:color w:val="5F5F5F"/>
          <w:w w:val="95"/>
          <w:sz w:val="52"/>
          <w:szCs w:val="52"/>
        </w:rPr>
        <w:t>REZZI AL CONSUMO</w:t>
      </w:r>
    </w:p>
    <w:p w:rsidR="008A27B3" w:rsidRPr="00FA655E" w:rsidRDefault="008A27B3" w:rsidP="00921CE1">
      <w:pPr>
        <w:spacing w:before="0" w:after="0"/>
        <w:ind w:left="1843"/>
        <w:rPr>
          <w:rFonts w:ascii="Arial" w:hAnsi="Arial" w:cs="Arial"/>
          <w:color w:val="808080"/>
          <w:sz w:val="28"/>
          <w:szCs w:val="28"/>
        </w:rPr>
      </w:pPr>
      <w:r w:rsidRPr="00FA655E">
        <w:rPr>
          <w:rFonts w:ascii="Arial" w:hAnsi="Arial" w:cs="Arial"/>
          <w:color w:val="808080"/>
          <w:sz w:val="28"/>
          <w:szCs w:val="28"/>
        </w:rPr>
        <w:t>Dati definitivi</w:t>
      </w:r>
    </w:p>
    <w:p w:rsidR="008A27B3" w:rsidRPr="00931034" w:rsidRDefault="008A27B3" w:rsidP="003643F1">
      <w:pPr>
        <w:spacing w:before="0" w:after="0" w:line="160" w:lineRule="exact"/>
        <w:ind w:left="1814"/>
        <w:rPr>
          <w:rFonts w:ascii="Arial Narrow" w:hAnsi="Arial Narrow" w:cs="Arial"/>
          <w:color w:val="808080"/>
        </w:rPr>
      </w:pPr>
    </w:p>
    <w:p w:rsidR="00EC66CA" w:rsidRDefault="00BA2932" w:rsidP="00FB1AA4">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sidRPr="009B6ACA">
        <w:rPr>
          <w:rFonts w:ascii="Arial" w:hAnsi="Arial" w:cs="Arial"/>
          <w:sz w:val="21"/>
          <w:szCs w:val="21"/>
        </w:rPr>
        <w:t xml:space="preserve">Nel mese di </w:t>
      </w:r>
      <w:r w:rsidR="009B6ACA" w:rsidRPr="009B6ACA">
        <w:rPr>
          <w:rFonts w:ascii="Arial" w:hAnsi="Arial" w:cs="Arial"/>
          <w:sz w:val="21"/>
          <w:szCs w:val="21"/>
        </w:rPr>
        <w:t>settembre</w:t>
      </w:r>
      <w:r w:rsidR="00367107" w:rsidRPr="009B6ACA">
        <w:rPr>
          <w:rFonts w:ascii="Arial" w:hAnsi="Arial" w:cs="Arial"/>
          <w:sz w:val="21"/>
          <w:szCs w:val="21"/>
        </w:rPr>
        <w:t xml:space="preserve"> 2022</w:t>
      </w:r>
      <w:r w:rsidRPr="009B6ACA">
        <w:rPr>
          <w:rFonts w:ascii="Arial" w:hAnsi="Arial" w:cs="Arial"/>
          <w:sz w:val="21"/>
          <w:szCs w:val="21"/>
        </w:rPr>
        <w:t xml:space="preserve">, si stima che </w:t>
      </w:r>
      <w:r w:rsidRPr="00FA655E">
        <w:rPr>
          <w:rFonts w:ascii="Arial" w:hAnsi="Arial" w:cs="Arial"/>
          <w:sz w:val="21"/>
          <w:szCs w:val="21"/>
        </w:rPr>
        <w:t xml:space="preserve">l’indice nazionale dei prezzi al consumo per l’intera collettività (NIC), al lordo dei tabacchi, </w:t>
      </w:r>
      <w:r>
        <w:rPr>
          <w:rFonts w:ascii="Arial" w:hAnsi="Arial" w:cs="Arial"/>
          <w:sz w:val="21"/>
          <w:szCs w:val="21"/>
        </w:rPr>
        <w:t>registri</w:t>
      </w:r>
      <w:r w:rsidRPr="00C02614">
        <w:rPr>
          <w:rFonts w:ascii="Arial" w:hAnsi="Arial" w:cs="Arial"/>
          <w:sz w:val="21"/>
          <w:szCs w:val="21"/>
        </w:rPr>
        <w:t xml:space="preserve"> </w:t>
      </w:r>
      <w:r w:rsidR="00BE1487" w:rsidRPr="00C02614">
        <w:rPr>
          <w:rFonts w:ascii="Arial" w:hAnsi="Arial" w:cs="Arial"/>
          <w:sz w:val="21"/>
          <w:szCs w:val="21"/>
        </w:rPr>
        <w:t>un</w:t>
      </w:r>
      <w:r w:rsidR="000B5984">
        <w:rPr>
          <w:rFonts w:ascii="Arial" w:hAnsi="Arial" w:cs="Arial"/>
          <w:sz w:val="21"/>
          <w:szCs w:val="21"/>
        </w:rPr>
        <w:t xml:space="preserve"> aumento </w:t>
      </w:r>
      <w:r w:rsidR="008E4238">
        <w:rPr>
          <w:rFonts w:ascii="Arial" w:hAnsi="Arial" w:cs="Arial"/>
          <w:sz w:val="21"/>
          <w:szCs w:val="21"/>
        </w:rPr>
        <w:t>dello 0,3</w:t>
      </w:r>
      <w:r w:rsidR="00BF6871" w:rsidRPr="002E2387">
        <w:rPr>
          <w:rFonts w:ascii="Arial" w:hAnsi="Arial" w:cs="Arial"/>
          <w:sz w:val="21"/>
          <w:szCs w:val="21"/>
        </w:rPr>
        <w:t>% su base mensile e del</w:t>
      </w:r>
      <w:r w:rsidR="00546233">
        <w:rPr>
          <w:rFonts w:ascii="Arial" w:hAnsi="Arial" w:cs="Arial"/>
          <w:sz w:val="21"/>
          <w:szCs w:val="21"/>
        </w:rPr>
        <w:t>l’8,</w:t>
      </w:r>
      <w:r w:rsidR="008E4238">
        <w:rPr>
          <w:rFonts w:ascii="Arial" w:hAnsi="Arial" w:cs="Arial"/>
          <w:sz w:val="21"/>
          <w:szCs w:val="21"/>
        </w:rPr>
        <w:t>9</w:t>
      </w:r>
      <w:r w:rsidR="00BF6871" w:rsidRPr="002E2387">
        <w:rPr>
          <w:rFonts w:ascii="Arial" w:hAnsi="Arial" w:cs="Arial"/>
          <w:sz w:val="21"/>
          <w:szCs w:val="21"/>
        </w:rPr>
        <w:t>% su base annua (</w:t>
      </w:r>
      <w:r w:rsidR="009B6ACA">
        <w:rPr>
          <w:rFonts w:ascii="Arial" w:hAnsi="Arial" w:cs="Arial"/>
          <w:sz w:val="21"/>
          <w:szCs w:val="21"/>
        </w:rPr>
        <w:t>da +8,4</w:t>
      </w:r>
      <w:r w:rsidR="009B6ACA" w:rsidRPr="002E2387">
        <w:rPr>
          <w:rFonts w:ascii="Arial" w:hAnsi="Arial" w:cs="Arial"/>
          <w:sz w:val="21"/>
          <w:szCs w:val="21"/>
        </w:rPr>
        <w:t>% del mese precedente</w:t>
      </w:r>
      <w:r w:rsidR="00BF6871">
        <w:rPr>
          <w:rFonts w:ascii="Arial" w:hAnsi="Arial" w:cs="Arial"/>
          <w:sz w:val="21"/>
          <w:szCs w:val="21"/>
        </w:rPr>
        <w:t>)</w:t>
      </w:r>
      <w:r w:rsidR="00546233">
        <w:rPr>
          <w:rFonts w:ascii="Arial" w:hAnsi="Arial" w:cs="Arial"/>
          <w:sz w:val="21"/>
          <w:szCs w:val="21"/>
        </w:rPr>
        <w:t>, confermando</w:t>
      </w:r>
      <w:r w:rsidR="00F42D56">
        <w:rPr>
          <w:rFonts w:ascii="Arial" w:hAnsi="Arial" w:cs="Arial"/>
          <w:sz w:val="21"/>
          <w:szCs w:val="21"/>
        </w:rPr>
        <w:t xml:space="preserve"> </w:t>
      </w:r>
      <w:r>
        <w:rPr>
          <w:rFonts w:ascii="Arial" w:hAnsi="Arial" w:cs="Arial"/>
          <w:sz w:val="21"/>
          <w:szCs w:val="21"/>
        </w:rPr>
        <w:t>la stima preliminare</w:t>
      </w:r>
      <w:r w:rsidRPr="00D72B80">
        <w:rPr>
          <w:rFonts w:ascii="Arial" w:hAnsi="Arial" w:cs="Arial"/>
          <w:sz w:val="21"/>
          <w:szCs w:val="21"/>
        </w:rPr>
        <w:t>.</w:t>
      </w:r>
    </w:p>
    <w:p w:rsidR="009B6ACA" w:rsidRPr="003F1004" w:rsidRDefault="009B6ACA" w:rsidP="00FB1AA4">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sidRPr="00F757FA">
        <w:rPr>
          <w:rFonts w:ascii="Arial" w:hAnsi="Arial" w:cs="Arial"/>
          <w:sz w:val="21"/>
          <w:szCs w:val="21"/>
        </w:rPr>
        <w:t xml:space="preserve">L’ulteriore accelerazione </w:t>
      </w:r>
      <w:r>
        <w:rPr>
          <w:rFonts w:ascii="Arial" w:hAnsi="Arial" w:cs="Arial"/>
          <w:sz w:val="21"/>
          <w:szCs w:val="21"/>
        </w:rPr>
        <w:t>dell’inflazione</w:t>
      </w:r>
      <w:r w:rsidRPr="00F757FA">
        <w:rPr>
          <w:rFonts w:ascii="Arial" w:hAnsi="Arial" w:cs="Arial"/>
          <w:sz w:val="21"/>
          <w:szCs w:val="21"/>
        </w:rPr>
        <w:t xml:space="preserve"> </w:t>
      </w:r>
      <w:r>
        <w:rPr>
          <w:rFonts w:ascii="Arial" w:hAnsi="Arial" w:cs="Arial"/>
          <w:sz w:val="21"/>
          <w:szCs w:val="21"/>
        </w:rPr>
        <w:t xml:space="preserve">su </w:t>
      </w:r>
      <w:r w:rsidRPr="00F757FA">
        <w:rPr>
          <w:rFonts w:ascii="Arial" w:hAnsi="Arial" w:cs="Arial"/>
          <w:sz w:val="21"/>
          <w:szCs w:val="21"/>
        </w:rPr>
        <w:t>base tendenziale si deve</w:t>
      </w:r>
      <w:r>
        <w:rPr>
          <w:rFonts w:ascii="Arial" w:hAnsi="Arial" w:cs="Arial"/>
          <w:sz w:val="21"/>
          <w:szCs w:val="21"/>
        </w:rPr>
        <w:t xml:space="preserve"> soprattutto</w:t>
      </w:r>
      <w:r w:rsidRPr="00F757FA">
        <w:rPr>
          <w:rFonts w:ascii="Arial" w:hAnsi="Arial" w:cs="Arial"/>
          <w:sz w:val="21"/>
          <w:szCs w:val="21"/>
        </w:rPr>
        <w:t xml:space="preserve"> </w:t>
      </w:r>
      <w:r>
        <w:rPr>
          <w:rFonts w:ascii="Arial" w:hAnsi="Arial" w:cs="Arial"/>
          <w:sz w:val="21"/>
          <w:szCs w:val="21"/>
        </w:rPr>
        <w:t>a</w:t>
      </w:r>
      <w:r w:rsidRPr="00F757FA">
        <w:rPr>
          <w:rFonts w:ascii="Arial" w:hAnsi="Arial" w:cs="Arial"/>
          <w:sz w:val="21"/>
          <w:szCs w:val="21"/>
        </w:rPr>
        <w:t>i prezzi dei Beni alimentari (la cui crescita passa da +10,1% di agosto a +11,</w:t>
      </w:r>
      <w:r w:rsidR="008E4238">
        <w:rPr>
          <w:rFonts w:ascii="Arial" w:hAnsi="Arial" w:cs="Arial"/>
          <w:sz w:val="21"/>
          <w:szCs w:val="21"/>
        </w:rPr>
        <w:t>4</w:t>
      </w:r>
      <w:r w:rsidRPr="00F757FA">
        <w:rPr>
          <w:rFonts w:ascii="Arial" w:hAnsi="Arial" w:cs="Arial"/>
          <w:sz w:val="21"/>
          <w:szCs w:val="21"/>
        </w:rPr>
        <w:t>%) sia lavorati (da +10,4% a +11,</w:t>
      </w:r>
      <w:r w:rsidR="008E4238">
        <w:rPr>
          <w:rFonts w:ascii="Arial" w:hAnsi="Arial" w:cs="Arial"/>
          <w:sz w:val="21"/>
          <w:szCs w:val="21"/>
        </w:rPr>
        <w:t>4</w:t>
      </w:r>
      <w:r w:rsidRPr="00F757FA">
        <w:rPr>
          <w:rFonts w:ascii="Arial" w:hAnsi="Arial" w:cs="Arial"/>
          <w:sz w:val="21"/>
          <w:szCs w:val="21"/>
        </w:rPr>
        <w:t>%) sia non lavorati (da +9,8% a +11,0%)</w:t>
      </w:r>
      <w:r>
        <w:rPr>
          <w:rFonts w:ascii="Arial" w:hAnsi="Arial" w:cs="Arial"/>
          <w:sz w:val="21"/>
          <w:szCs w:val="21"/>
        </w:rPr>
        <w:t xml:space="preserve"> e a quelli </w:t>
      </w:r>
      <w:r w:rsidRPr="00F757FA">
        <w:rPr>
          <w:rFonts w:ascii="Arial" w:hAnsi="Arial" w:cs="Arial"/>
          <w:sz w:val="21"/>
          <w:szCs w:val="21"/>
        </w:rPr>
        <w:t>dei</w:t>
      </w:r>
      <w:r>
        <w:rPr>
          <w:rFonts w:ascii="Arial" w:hAnsi="Arial" w:cs="Arial"/>
          <w:sz w:val="21"/>
          <w:szCs w:val="21"/>
        </w:rPr>
        <w:t xml:space="preserve"> </w:t>
      </w:r>
      <w:r w:rsidRPr="00F757FA">
        <w:rPr>
          <w:rFonts w:ascii="Arial" w:hAnsi="Arial" w:cs="Arial"/>
          <w:sz w:val="21"/>
          <w:szCs w:val="21"/>
        </w:rPr>
        <w:t>Servizi ricreativi, culturali e per la cura della persona</w:t>
      </w:r>
      <w:r>
        <w:rPr>
          <w:rFonts w:ascii="Arial" w:hAnsi="Arial" w:cs="Arial"/>
          <w:sz w:val="21"/>
          <w:szCs w:val="21"/>
        </w:rPr>
        <w:t xml:space="preserve"> (da +4,6% a +5,7%). Contribuiscono</w:t>
      </w:r>
      <w:r w:rsidR="00BC6184">
        <w:rPr>
          <w:rFonts w:ascii="Arial" w:hAnsi="Arial" w:cs="Arial"/>
          <w:sz w:val="21"/>
          <w:szCs w:val="21"/>
        </w:rPr>
        <w:t xml:space="preserve"> all’accelerazione</w:t>
      </w:r>
      <w:r>
        <w:rPr>
          <w:rFonts w:ascii="Arial" w:hAnsi="Arial" w:cs="Arial"/>
          <w:sz w:val="21"/>
          <w:szCs w:val="21"/>
        </w:rPr>
        <w:t xml:space="preserve">, in misura minore, anche i prezzi </w:t>
      </w:r>
      <w:r w:rsidRPr="00F757FA">
        <w:rPr>
          <w:rFonts w:ascii="Arial" w:hAnsi="Arial" w:cs="Arial"/>
          <w:sz w:val="21"/>
          <w:szCs w:val="21"/>
        </w:rPr>
        <w:t>dei Beni non durevoli (da +3,</w:t>
      </w:r>
      <w:r>
        <w:rPr>
          <w:rFonts w:ascii="Arial" w:hAnsi="Arial" w:cs="Arial"/>
          <w:sz w:val="21"/>
          <w:szCs w:val="21"/>
        </w:rPr>
        <w:t>8</w:t>
      </w:r>
      <w:r w:rsidRPr="00F757FA">
        <w:rPr>
          <w:rFonts w:ascii="Arial" w:hAnsi="Arial" w:cs="Arial"/>
          <w:sz w:val="21"/>
          <w:szCs w:val="21"/>
        </w:rPr>
        <w:t>% a +4,</w:t>
      </w:r>
      <w:r w:rsidR="008E4238">
        <w:rPr>
          <w:rFonts w:ascii="Arial" w:hAnsi="Arial" w:cs="Arial"/>
          <w:sz w:val="21"/>
          <w:szCs w:val="21"/>
        </w:rPr>
        <w:t>6</w:t>
      </w:r>
      <w:r w:rsidRPr="00F757FA">
        <w:rPr>
          <w:rFonts w:ascii="Arial" w:hAnsi="Arial" w:cs="Arial"/>
          <w:sz w:val="21"/>
          <w:szCs w:val="21"/>
        </w:rPr>
        <w:t>%)</w:t>
      </w:r>
      <w:r>
        <w:rPr>
          <w:rFonts w:ascii="Arial" w:hAnsi="Arial" w:cs="Arial"/>
          <w:sz w:val="21"/>
          <w:szCs w:val="21"/>
        </w:rPr>
        <w:t xml:space="preserve"> e</w:t>
      </w:r>
      <w:r w:rsidRPr="00F757FA">
        <w:rPr>
          <w:rFonts w:ascii="Arial" w:hAnsi="Arial" w:cs="Arial"/>
          <w:sz w:val="21"/>
          <w:szCs w:val="21"/>
        </w:rPr>
        <w:t xml:space="preserve"> dei Beni semidurevoli (da+2,3% a +2,8%)</w:t>
      </w:r>
      <w:r>
        <w:rPr>
          <w:rFonts w:ascii="Arial" w:hAnsi="Arial" w:cs="Arial"/>
          <w:sz w:val="21"/>
          <w:szCs w:val="21"/>
        </w:rPr>
        <w:t>.</w:t>
      </w:r>
      <w:r w:rsidRPr="00F757FA">
        <w:rPr>
          <w:rFonts w:ascii="Arial" w:hAnsi="Arial" w:cs="Arial"/>
          <w:sz w:val="21"/>
          <w:szCs w:val="21"/>
        </w:rPr>
        <w:t xml:space="preserve"> </w:t>
      </w:r>
      <w:r>
        <w:rPr>
          <w:rFonts w:ascii="Arial" w:hAnsi="Arial" w:cs="Arial"/>
          <w:sz w:val="21"/>
          <w:szCs w:val="21"/>
        </w:rPr>
        <w:t xml:space="preserve">Pur rallentando di poco, continuano a crescere in misura molto ampia, </w:t>
      </w:r>
      <w:r w:rsidRPr="00F757FA">
        <w:rPr>
          <w:rFonts w:ascii="Arial" w:hAnsi="Arial" w:cs="Arial"/>
          <w:sz w:val="21"/>
          <w:szCs w:val="21"/>
        </w:rPr>
        <w:t xml:space="preserve">i prezzi dei Beni energetici (da +44,9% di agosto </w:t>
      </w:r>
      <w:r>
        <w:rPr>
          <w:rFonts w:ascii="Arial" w:hAnsi="Arial" w:cs="Arial"/>
          <w:sz w:val="21"/>
          <w:szCs w:val="21"/>
        </w:rPr>
        <w:t xml:space="preserve">a </w:t>
      </w:r>
      <w:r w:rsidRPr="00F757FA">
        <w:rPr>
          <w:rFonts w:ascii="Arial" w:hAnsi="Arial" w:cs="Arial"/>
          <w:sz w:val="21"/>
          <w:szCs w:val="21"/>
        </w:rPr>
        <w:t>+44,5%) sia regolamentat</w:t>
      </w:r>
      <w:r>
        <w:rPr>
          <w:rFonts w:ascii="Arial" w:hAnsi="Arial" w:cs="Arial"/>
          <w:sz w:val="21"/>
          <w:szCs w:val="21"/>
        </w:rPr>
        <w:t>i</w:t>
      </w:r>
      <w:r w:rsidRPr="00F757FA">
        <w:rPr>
          <w:rFonts w:ascii="Arial" w:hAnsi="Arial" w:cs="Arial"/>
          <w:sz w:val="21"/>
          <w:szCs w:val="21"/>
        </w:rPr>
        <w:t xml:space="preserve"> (da +47,9% a </w:t>
      </w:r>
      <w:r w:rsidRPr="003F1004">
        <w:rPr>
          <w:rFonts w:ascii="Arial" w:hAnsi="Arial" w:cs="Arial"/>
          <w:sz w:val="21"/>
          <w:szCs w:val="21"/>
        </w:rPr>
        <w:t xml:space="preserve">+ 47,7%) </w:t>
      </w:r>
      <w:r>
        <w:rPr>
          <w:rFonts w:ascii="Arial" w:hAnsi="Arial" w:cs="Arial"/>
          <w:sz w:val="21"/>
          <w:szCs w:val="21"/>
        </w:rPr>
        <w:t xml:space="preserve">sia </w:t>
      </w:r>
      <w:r w:rsidRPr="003F1004">
        <w:rPr>
          <w:rFonts w:ascii="Arial" w:hAnsi="Arial" w:cs="Arial"/>
          <w:sz w:val="21"/>
          <w:szCs w:val="21"/>
        </w:rPr>
        <w:t>non regolamentat</w:t>
      </w:r>
      <w:r>
        <w:rPr>
          <w:rFonts w:ascii="Arial" w:hAnsi="Arial" w:cs="Arial"/>
          <w:sz w:val="21"/>
          <w:szCs w:val="21"/>
        </w:rPr>
        <w:t>i</w:t>
      </w:r>
      <w:r w:rsidRPr="003F1004">
        <w:rPr>
          <w:rFonts w:ascii="Arial" w:hAnsi="Arial" w:cs="Arial"/>
          <w:sz w:val="21"/>
          <w:szCs w:val="21"/>
        </w:rPr>
        <w:t xml:space="preserve"> (da +41,6% a +41,2%); decelerano anche i prezzi dei Servizi relativi ai trasporti (da +8,4% a +7,2%)</w:t>
      </w:r>
      <w:r>
        <w:rPr>
          <w:rFonts w:ascii="Arial" w:hAnsi="Arial" w:cs="Arial"/>
          <w:sz w:val="21"/>
          <w:szCs w:val="21"/>
        </w:rPr>
        <w:t>.</w:t>
      </w:r>
    </w:p>
    <w:p w:rsidR="009B6ACA" w:rsidRDefault="009B6ACA" w:rsidP="00FB1AA4">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Pr>
          <w:rFonts w:ascii="Arial" w:hAnsi="Arial" w:cs="Arial"/>
          <w:sz w:val="21"/>
          <w:szCs w:val="21"/>
        </w:rPr>
        <w:t>L</w:t>
      </w:r>
      <w:r w:rsidRPr="00BB0BDC">
        <w:rPr>
          <w:rFonts w:ascii="Arial" w:hAnsi="Arial" w:cs="Arial"/>
          <w:sz w:val="21"/>
          <w:szCs w:val="21"/>
        </w:rPr>
        <w:t>’“inflazione di fondo”, al netto degli energe</w:t>
      </w:r>
      <w:r>
        <w:rPr>
          <w:rFonts w:ascii="Arial" w:hAnsi="Arial" w:cs="Arial"/>
          <w:sz w:val="21"/>
          <w:szCs w:val="21"/>
        </w:rPr>
        <w:t xml:space="preserve">tici e degli alimentari freschi, accelera da +4,4% a +5,0% e </w:t>
      </w:r>
      <w:r w:rsidRPr="00BB0BDC">
        <w:rPr>
          <w:rFonts w:ascii="Arial" w:hAnsi="Arial" w:cs="Arial"/>
          <w:sz w:val="21"/>
          <w:szCs w:val="21"/>
        </w:rPr>
        <w:t xml:space="preserve">quella al netto dei soli beni energetici </w:t>
      </w:r>
      <w:r>
        <w:rPr>
          <w:rFonts w:ascii="Arial" w:hAnsi="Arial" w:cs="Arial"/>
          <w:sz w:val="21"/>
          <w:szCs w:val="21"/>
        </w:rPr>
        <w:t>da +5,0% a +5,5%.</w:t>
      </w:r>
    </w:p>
    <w:p w:rsidR="009B6ACA" w:rsidRDefault="009B6ACA" w:rsidP="00FB1AA4">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Pr>
          <w:rFonts w:ascii="Arial" w:hAnsi="Arial" w:cs="Arial"/>
          <w:sz w:val="21"/>
          <w:szCs w:val="21"/>
        </w:rPr>
        <w:t>Su base annua accelerano i prezzi dei beni</w:t>
      </w:r>
      <w:r w:rsidRPr="00570391">
        <w:rPr>
          <w:rFonts w:ascii="Arial" w:hAnsi="Arial" w:cs="Arial"/>
          <w:sz w:val="21"/>
          <w:szCs w:val="21"/>
        </w:rPr>
        <w:t xml:space="preserve"> (da </w:t>
      </w:r>
      <w:r>
        <w:rPr>
          <w:rFonts w:ascii="Arial" w:hAnsi="Arial" w:cs="Arial"/>
          <w:sz w:val="21"/>
          <w:szCs w:val="21"/>
        </w:rPr>
        <w:t>+11,8%</w:t>
      </w:r>
      <w:r w:rsidRPr="00570391">
        <w:rPr>
          <w:rFonts w:ascii="Arial" w:hAnsi="Arial" w:cs="Arial"/>
          <w:sz w:val="21"/>
          <w:szCs w:val="21"/>
        </w:rPr>
        <w:t xml:space="preserve"> a </w:t>
      </w:r>
      <w:r>
        <w:rPr>
          <w:rFonts w:ascii="Arial" w:hAnsi="Arial" w:cs="Arial"/>
          <w:sz w:val="21"/>
          <w:szCs w:val="21"/>
        </w:rPr>
        <w:t>+12,5</w:t>
      </w:r>
      <w:r w:rsidRPr="00570391">
        <w:rPr>
          <w:rFonts w:ascii="Arial" w:hAnsi="Arial" w:cs="Arial"/>
          <w:sz w:val="21"/>
          <w:szCs w:val="21"/>
        </w:rPr>
        <w:t>%)</w:t>
      </w:r>
      <w:r>
        <w:rPr>
          <w:rFonts w:ascii="Arial" w:hAnsi="Arial" w:cs="Arial"/>
          <w:sz w:val="21"/>
          <w:szCs w:val="21"/>
        </w:rPr>
        <w:t>, mentre è sostanzialmente stabile la crescita di quelli dei</w:t>
      </w:r>
      <w:r w:rsidRPr="00570391">
        <w:rPr>
          <w:rFonts w:ascii="Arial" w:hAnsi="Arial" w:cs="Arial"/>
          <w:sz w:val="21"/>
          <w:szCs w:val="21"/>
        </w:rPr>
        <w:t xml:space="preserve"> servizi </w:t>
      </w:r>
      <w:r>
        <w:rPr>
          <w:rFonts w:ascii="Arial" w:hAnsi="Arial" w:cs="Arial"/>
          <w:sz w:val="21"/>
          <w:szCs w:val="21"/>
        </w:rPr>
        <w:t>(da +3,8% a +3,9%)</w:t>
      </w:r>
      <w:r w:rsidRPr="00570391">
        <w:rPr>
          <w:rFonts w:ascii="Arial" w:hAnsi="Arial" w:cs="Arial"/>
          <w:sz w:val="21"/>
          <w:szCs w:val="21"/>
        </w:rPr>
        <w:t xml:space="preserve">; </w:t>
      </w:r>
      <w:r>
        <w:rPr>
          <w:rFonts w:ascii="Arial" w:hAnsi="Arial" w:cs="Arial"/>
          <w:sz w:val="21"/>
          <w:szCs w:val="21"/>
        </w:rPr>
        <w:t xml:space="preserve">si amplia, quindi, </w:t>
      </w:r>
      <w:r w:rsidRPr="00570391">
        <w:rPr>
          <w:rFonts w:ascii="Arial" w:hAnsi="Arial" w:cs="Arial"/>
          <w:sz w:val="21"/>
          <w:szCs w:val="21"/>
        </w:rPr>
        <w:t xml:space="preserve">il differenziale inflazionistico </w:t>
      </w:r>
      <w:r>
        <w:rPr>
          <w:rFonts w:ascii="Arial" w:hAnsi="Arial" w:cs="Arial"/>
          <w:sz w:val="21"/>
          <w:szCs w:val="21"/>
        </w:rPr>
        <w:t xml:space="preserve">negativo </w:t>
      </w:r>
      <w:r w:rsidRPr="00D11F91">
        <w:rPr>
          <w:rFonts w:ascii="Arial" w:hAnsi="Arial" w:cs="Arial"/>
          <w:sz w:val="21"/>
          <w:szCs w:val="21"/>
        </w:rPr>
        <w:t>tra questi ultimi e i prezz</w:t>
      </w:r>
      <w:r>
        <w:rPr>
          <w:rFonts w:ascii="Arial" w:hAnsi="Arial" w:cs="Arial"/>
          <w:sz w:val="21"/>
          <w:szCs w:val="21"/>
        </w:rPr>
        <w:t>i dei beni (da -8,0 di agosto a -8,6</w:t>
      </w:r>
      <w:r w:rsidRPr="009A3D58">
        <w:rPr>
          <w:rFonts w:ascii="Arial" w:hAnsi="Arial" w:cs="Arial"/>
          <w:sz w:val="21"/>
          <w:szCs w:val="21"/>
        </w:rPr>
        <w:t xml:space="preserve"> </w:t>
      </w:r>
      <w:r w:rsidRPr="00D11F91">
        <w:rPr>
          <w:rFonts w:ascii="Arial" w:hAnsi="Arial" w:cs="Arial"/>
          <w:sz w:val="21"/>
          <w:szCs w:val="21"/>
        </w:rPr>
        <w:t>punti percentuali)</w:t>
      </w:r>
      <w:r>
        <w:rPr>
          <w:rFonts w:ascii="Arial" w:hAnsi="Arial" w:cs="Arial"/>
          <w:sz w:val="21"/>
          <w:szCs w:val="21"/>
        </w:rPr>
        <w:t xml:space="preserve">. </w:t>
      </w:r>
    </w:p>
    <w:p w:rsidR="009B6ACA" w:rsidRPr="00B73DEE" w:rsidRDefault="009B6ACA" w:rsidP="00FB1AA4">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sidRPr="00B73DEE">
        <w:rPr>
          <w:rFonts w:ascii="Arial" w:hAnsi="Arial" w:cs="Arial"/>
          <w:sz w:val="21"/>
          <w:szCs w:val="21"/>
        </w:rPr>
        <w:t>Accelerano i prezzi dei Beni alimentari, per la cura della casa e della persona (da +</w:t>
      </w:r>
      <w:r>
        <w:rPr>
          <w:rFonts w:ascii="Arial" w:hAnsi="Arial" w:cs="Arial"/>
          <w:sz w:val="21"/>
          <w:szCs w:val="21"/>
        </w:rPr>
        <w:t>9,6</w:t>
      </w:r>
      <w:r w:rsidRPr="00B73DEE">
        <w:rPr>
          <w:rFonts w:ascii="Arial" w:hAnsi="Arial" w:cs="Arial"/>
          <w:sz w:val="21"/>
          <w:szCs w:val="21"/>
        </w:rPr>
        <w:t>% a +</w:t>
      </w:r>
      <w:r w:rsidR="008E4238">
        <w:rPr>
          <w:rFonts w:ascii="Arial" w:hAnsi="Arial" w:cs="Arial"/>
          <w:sz w:val="21"/>
          <w:szCs w:val="21"/>
        </w:rPr>
        <w:t>10,9</w:t>
      </w:r>
      <w:r w:rsidRPr="00B73DEE">
        <w:rPr>
          <w:rFonts w:ascii="Arial" w:hAnsi="Arial" w:cs="Arial"/>
          <w:sz w:val="21"/>
          <w:szCs w:val="21"/>
        </w:rPr>
        <w:t>%)</w:t>
      </w:r>
      <w:r>
        <w:rPr>
          <w:rFonts w:ascii="Arial" w:hAnsi="Arial" w:cs="Arial"/>
          <w:sz w:val="21"/>
          <w:szCs w:val="21"/>
        </w:rPr>
        <w:t xml:space="preserve"> e quelli dei</w:t>
      </w:r>
      <w:r w:rsidRPr="00B73DEE">
        <w:rPr>
          <w:rFonts w:ascii="Arial" w:hAnsi="Arial" w:cs="Arial"/>
          <w:sz w:val="21"/>
          <w:szCs w:val="21"/>
        </w:rPr>
        <w:t xml:space="preserve"> prodotti ad </w:t>
      </w:r>
      <w:r>
        <w:rPr>
          <w:rFonts w:ascii="Arial" w:hAnsi="Arial" w:cs="Arial"/>
          <w:sz w:val="21"/>
          <w:szCs w:val="21"/>
        </w:rPr>
        <w:t>alta frequenza d’acquisto (da +7,7</w:t>
      </w:r>
      <w:r w:rsidRPr="00B73DEE">
        <w:rPr>
          <w:rFonts w:ascii="Arial" w:hAnsi="Arial" w:cs="Arial"/>
          <w:sz w:val="21"/>
          <w:szCs w:val="21"/>
        </w:rPr>
        <w:t>% a +</w:t>
      </w:r>
      <w:r>
        <w:rPr>
          <w:rFonts w:ascii="Arial" w:hAnsi="Arial" w:cs="Arial"/>
          <w:sz w:val="21"/>
          <w:szCs w:val="21"/>
        </w:rPr>
        <w:t>8,</w:t>
      </w:r>
      <w:r w:rsidR="008E4238">
        <w:rPr>
          <w:rFonts w:ascii="Arial" w:hAnsi="Arial" w:cs="Arial"/>
          <w:sz w:val="21"/>
          <w:szCs w:val="21"/>
        </w:rPr>
        <w:t>4</w:t>
      </w:r>
      <w:r w:rsidRPr="00B73DEE">
        <w:rPr>
          <w:rFonts w:ascii="Arial" w:hAnsi="Arial" w:cs="Arial"/>
          <w:sz w:val="21"/>
          <w:szCs w:val="21"/>
        </w:rPr>
        <w:t>%).</w:t>
      </w:r>
    </w:p>
    <w:p w:rsidR="009B6ACA" w:rsidRDefault="009B6ACA" w:rsidP="00FB1AA4">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sidRPr="00BA5D8E">
        <w:rPr>
          <w:rFonts w:ascii="Arial" w:hAnsi="Arial" w:cs="Arial"/>
          <w:sz w:val="21"/>
          <w:szCs w:val="21"/>
        </w:rPr>
        <w:t>L’aumento congiunturale dell’indice generale è dovut</w:t>
      </w:r>
      <w:r>
        <w:rPr>
          <w:rFonts w:ascii="Arial" w:hAnsi="Arial" w:cs="Arial"/>
          <w:sz w:val="21"/>
          <w:szCs w:val="21"/>
        </w:rPr>
        <w:t>o prevalentemente a</w:t>
      </w:r>
      <w:r w:rsidRPr="00BA5D8E">
        <w:rPr>
          <w:rFonts w:ascii="Arial" w:hAnsi="Arial" w:cs="Arial"/>
          <w:sz w:val="21"/>
          <w:szCs w:val="21"/>
        </w:rPr>
        <w:t xml:space="preserve">i prezzi </w:t>
      </w:r>
      <w:r>
        <w:rPr>
          <w:rFonts w:ascii="Arial" w:hAnsi="Arial" w:cs="Arial"/>
          <w:sz w:val="21"/>
          <w:szCs w:val="21"/>
        </w:rPr>
        <w:t>dei Beni alimentari non lavorati (+2,0%), dei Beni semidurevoli (+1,0%), dei Beni durevoli (+0,</w:t>
      </w:r>
      <w:r w:rsidR="008E4238">
        <w:rPr>
          <w:rFonts w:ascii="Arial" w:hAnsi="Arial" w:cs="Arial"/>
          <w:sz w:val="21"/>
          <w:szCs w:val="21"/>
        </w:rPr>
        <w:t>7</w:t>
      </w:r>
      <w:r>
        <w:rPr>
          <w:rFonts w:ascii="Arial" w:hAnsi="Arial" w:cs="Arial"/>
          <w:sz w:val="21"/>
          <w:szCs w:val="21"/>
        </w:rPr>
        <w:t xml:space="preserve">%) </w:t>
      </w:r>
      <w:r w:rsidR="00434001">
        <w:rPr>
          <w:rFonts w:ascii="Arial" w:hAnsi="Arial" w:cs="Arial"/>
          <w:sz w:val="21"/>
          <w:szCs w:val="21"/>
        </w:rPr>
        <w:t xml:space="preserve">e degli Alimentari lavorati (+0,5%), </w:t>
      </w:r>
      <w:r>
        <w:rPr>
          <w:rFonts w:ascii="Arial" w:hAnsi="Arial" w:cs="Arial"/>
          <w:sz w:val="21"/>
          <w:szCs w:val="21"/>
        </w:rPr>
        <w:t>in parte frenato dal calo dei prezzi dei Servizi relativi ai trasporti (-4,2% dovuto per lo più a fattori stagionali).</w:t>
      </w:r>
    </w:p>
    <w:p w:rsidR="009B6ACA" w:rsidRDefault="009B6ACA" w:rsidP="00FB1AA4">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sidRPr="00C4222E">
        <w:rPr>
          <w:rFonts w:ascii="Arial" w:hAnsi="Arial" w:cs="Arial"/>
          <w:sz w:val="21"/>
          <w:szCs w:val="21"/>
        </w:rPr>
        <w:t xml:space="preserve">L’inflazione acquisita per </w:t>
      </w:r>
      <w:r>
        <w:rPr>
          <w:rFonts w:ascii="Arial" w:hAnsi="Arial" w:cs="Arial"/>
          <w:sz w:val="21"/>
          <w:szCs w:val="21"/>
        </w:rPr>
        <w:t xml:space="preserve">il 2022 è </w:t>
      </w:r>
      <w:r w:rsidRPr="00605FC8">
        <w:rPr>
          <w:rFonts w:ascii="Arial" w:hAnsi="Arial" w:cs="Arial"/>
          <w:sz w:val="21"/>
          <w:szCs w:val="21"/>
        </w:rPr>
        <w:t xml:space="preserve">pari </w:t>
      </w:r>
      <w:r w:rsidRPr="00DB2D2A">
        <w:rPr>
          <w:rFonts w:ascii="Arial" w:hAnsi="Arial" w:cs="Arial"/>
          <w:sz w:val="21"/>
          <w:szCs w:val="21"/>
        </w:rPr>
        <w:t xml:space="preserve">a </w:t>
      </w:r>
      <w:r>
        <w:rPr>
          <w:rFonts w:ascii="Arial" w:hAnsi="Arial" w:cs="Arial"/>
          <w:sz w:val="21"/>
          <w:szCs w:val="21"/>
        </w:rPr>
        <w:t>+7,1</w:t>
      </w:r>
      <w:r w:rsidRPr="00DB2D2A">
        <w:rPr>
          <w:rFonts w:ascii="Arial" w:hAnsi="Arial" w:cs="Arial"/>
          <w:sz w:val="21"/>
          <w:szCs w:val="21"/>
        </w:rPr>
        <w:t>% per l’indice generale e a +</w:t>
      </w:r>
      <w:r>
        <w:rPr>
          <w:rFonts w:ascii="Arial" w:hAnsi="Arial" w:cs="Arial"/>
          <w:sz w:val="21"/>
          <w:szCs w:val="21"/>
        </w:rPr>
        <w:t>3,6</w:t>
      </w:r>
      <w:r w:rsidRPr="00DB2D2A">
        <w:rPr>
          <w:rFonts w:ascii="Arial" w:hAnsi="Arial" w:cs="Arial"/>
          <w:sz w:val="21"/>
          <w:szCs w:val="21"/>
        </w:rPr>
        <w:t>% per</w:t>
      </w:r>
      <w:r w:rsidRPr="00605FC8">
        <w:rPr>
          <w:rFonts w:ascii="Arial" w:hAnsi="Arial" w:cs="Arial"/>
          <w:sz w:val="21"/>
          <w:szCs w:val="21"/>
        </w:rPr>
        <w:t xml:space="preserve"> la componente di fondo.</w:t>
      </w:r>
    </w:p>
    <w:p w:rsidR="009B6ACA" w:rsidRDefault="009B6ACA" w:rsidP="00CE4DD8">
      <w:pPr>
        <w:pStyle w:val="Paragrafoelenco"/>
        <w:widowControl/>
        <w:numPr>
          <w:ilvl w:val="0"/>
          <w:numId w:val="12"/>
        </w:numPr>
        <w:tabs>
          <w:tab w:val="left" w:pos="10206"/>
        </w:tabs>
        <w:overflowPunct/>
        <w:autoSpaceDE/>
        <w:autoSpaceDN/>
        <w:adjustRightInd/>
        <w:spacing w:before="0" w:line="230" w:lineRule="exact"/>
        <w:ind w:left="284" w:hanging="284"/>
        <w:contextualSpacing w:val="0"/>
        <w:jc w:val="both"/>
        <w:rPr>
          <w:rFonts w:ascii="Arial" w:hAnsi="Arial" w:cs="Arial"/>
          <w:sz w:val="21"/>
          <w:szCs w:val="21"/>
        </w:rPr>
      </w:pPr>
      <w:r w:rsidRPr="00C86B09">
        <w:rPr>
          <w:rFonts w:ascii="Arial" w:hAnsi="Arial" w:cs="Arial"/>
          <w:sz w:val="21"/>
          <w:szCs w:val="21"/>
        </w:rPr>
        <w:t xml:space="preserve">Secondo le stime preliminari, </w:t>
      </w:r>
      <w:r>
        <w:rPr>
          <w:rFonts w:ascii="Arial" w:hAnsi="Arial" w:cs="Arial"/>
          <w:sz w:val="21"/>
          <w:szCs w:val="21"/>
        </w:rPr>
        <w:t>l</w:t>
      </w:r>
      <w:r w:rsidRPr="00F91EBE">
        <w:rPr>
          <w:rFonts w:ascii="Arial" w:hAnsi="Arial" w:cs="Arial"/>
          <w:iCs/>
          <w:sz w:val="21"/>
          <w:szCs w:val="21"/>
        </w:rPr>
        <w:t>’indice</w:t>
      </w:r>
      <w:r w:rsidRPr="00F91EBE">
        <w:rPr>
          <w:rFonts w:ascii="Arial" w:hAnsi="Arial" w:cs="Arial"/>
          <w:sz w:val="21"/>
          <w:szCs w:val="21"/>
        </w:rPr>
        <w:t xml:space="preserve"> armonizzato dei prezzi al consumo (IPCA) </w:t>
      </w:r>
      <w:r>
        <w:rPr>
          <w:rFonts w:ascii="Arial" w:hAnsi="Arial" w:cs="Arial"/>
          <w:sz w:val="21"/>
          <w:szCs w:val="21"/>
        </w:rPr>
        <w:t>aumenta dell’1,</w:t>
      </w:r>
      <w:r w:rsidR="008E4238">
        <w:rPr>
          <w:rFonts w:ascii="Arial" w:hAnsi="Arial" w:cs="Arial"/>
          <w:sz w:val="21"/>
          <w:szCs w:val="21"/>
        </w:rPr>
        <w:t>6</w:t>
      </w:r>
      <w:r>
        <w:rPr>
          <w:rFonts w:ascii="Arial" w:hAnsi="Arial" w:cs="Arial"/>
          <w:sz w:val="21"/>
          <w:szCs w:val="21"/>
        </w:rPr>
        <w:t>%</w:t>
      </w:r>
      <w:r w:rsidRPr="00C86B09">
        <w:rPr>
          <w:rFonts w:ascii="Arial" w:hAnsi="Arial" w:cs="Arial"/>
          <w:sz w:val="21"/>
          <w:szCs w:val="21"/>
        </w:rPr>
        <w:t xml:space="preserve"> </w:t>
      </w:r>
      <w:r>
        <w:rPr>
          <w:rFonts w:ascii="Arial" w:hAnsi="Arial" w:cs="Arial"/>
          <w:sz w:val="21"/>
          <w:szCs w:val="21"/>
        </w:rPr>
        <w:t>su base mensile,</w:t>
      </w:r>
      <w:r w:rsidRPr="00844544">
        <w:rPr>
          <w:rFonts w:ascii="Arial" w:hAnsi="Arial" w:cs="Arial"/>
          <w:sz w:val="21"/>
          <w:szCs w:val="21"/>
        </w:rPr>
        <w:t xml:space="preserve"> </w:t>
      </w:r>
      <w:r>
        <w:rPr>
          <w:rFonts w:ascii="Arial" w:hAnsi="Arial" w:cs="Arial"/>
          <w:sz w:val="21"/>
          <w:szCs w:val="21"/>
        </w:rPr>
        <w:t>anche</w:t>
      </w:r>
      <w:r w:rsidRPr="00BF2F99">
        <w:rPr>
          <w:rFonts w:ascii="Arial" w:hAnsi="Arial" w:cs="Arial"/>
          <w:sz w:val="21"/>
          <w:szCs w:val="21"/>
        </w:rPr>
        <w:t xml:space="preserve"> per effetto della fine dei saldi </w:t>
      </w:r>
      <w:r>
        <w:rPr>
          <w:rFonts w:ascii="Arial" w:hAnsi="Arial" w:cs="Arial"/>
          <w:sz w:val="21"/>
          <w:szCs w:val="21"/>
        </w:rPr>
        <w:t xml:space="preserve">estivi </w:t>
      </w:r>
      <w:r w:rsidRPr="00BF2F99">
        <w:rPr>
          <w:rFonts w:ascii="Arial" w:hAnsi="Arial" w:cs="Arial"/>
          <w:sz w:val="21"/>
          <w:szCs w:val="21"/>
        </w:rPr>
        <w:t>di cui il NIC non tiene conto,</w:t>
      </w:r>
      <w:r>
        <w:rPr>
          <w:rFonts w:ascii="Arial" w:hAnsi="Arial" w:cs="Arial"/>
          <w:sz w:val="21"/>
          <w:szCs w:val="21"/>
        </w:rPr>
        <w:t xml:space="preserve"> e del 9,</w:t>
      </w:r>
      <w:r w:rsidR="008E4238">
        <w:rPr>
          <w:rFonts w:ascii="Arial" w:hAnsi="Arial" w:cs="Arial"/>
          <w:sz w:val="21"/>
          <w:szCs w:val="21"/>
        </w:rPr>
        <w:t>4</w:t>
      </w:r>
      <w:r>
        <w:rPr>
          <w:rFonts w:ascii="Arial" w:hAnsi="Arial" w:cs="Arial"/>
          <w:sz w:val="21"/>
          <w:szCs w:val="21"/>
        </w:rPr>
        <w:t>% su base annua (da +9,1</w:t>
      </w:r>
      <w:r w:rsidRPr="007B1698">
        <w:rPr>
          <w:rFonts w:ascii="Arial" w:hAnsi="Arial" w:cs="Arial"/>
          <w:sz w:val="21"/>
          <w:szCs w:val="21"/>
        </w:rPr>
        <w:t>% nel mese precedente</w:t>
      </w:r>
      <w:r>
        <w:rPr>
          <w:rFonts w:ascii="Arial" w:hAnsi="Arial" w:cs="Arial"/>
          <w:sz w:val="21"/>
          <w:szCs w:val="21"/>
        </w:rPr>
        <w:t>)</w:t>
      </w:r>
      <w:r w:rsidR="00434001">
        <w:rPr>
          <w:rFonts w:ascii="Arial" w:hAnsi="Arial" w:cs="Arial"/>
          <w:sz w:val="21"/>
          <w:szCs w:val="21"/>
        </w:rPr>
        <w:t>; la stima preliminare era +9,5%</w:t>
      </w:r>
      <w:r w:rsidRPr="00FC1229">
        <w:rPr>
          <w:rFonts w:ascii="Arial" w:hAnsi="Arial" w:cs="Arial"/>
          <w:sz w:val="21"/>
          <w:szCs w:val="21"/>
        </w:rPr>
        <w:t>.</w:t>
      </w:r>
      <w:r>
        <w:rPr>
          <w:rFonts w:ascii="Arial" w:hAnsi="Arial" w:cs="Arial"/>
          <w:sz w:val="21"/>
          <w:szCs w:val="21"/>
        </w:rPr>
        <w:t xml:space="preserve"> </w:t>
      </w:r>
    </w:p>
    <w:p w:rsidR="003643F1" w:rsidRPr="00FC4BD2" w:rsidRDefault="003643F1" w:rsidP="003643F1">
      <w:pPr>
        <w:pStyle w:val="Paragrafoelenco"/>
        <w:widowControl/>
        <w:numPr>
          <w:ilvl w:val="0"/>
          <w:numId w:val="5"/>
        </w:numPr>
        <w:tabs>
          <w:tab w:val="left" w:pos="10206"/>
        </w:tabs>
        <w:overflowPunct/>
        <w:autoSpaceDE/>
        <w:autoSpaceDN/>
        <w:adjustRightInd/>
        <w:spacing w:before="0" w:line="230" w:lineRule="exact"/>
        <w:ind w:left="284" w:hanging="284"/>
        <w:contextualSpacing w:val="0"/>
        <w:jc w:val="both"/>
        <w:rPr>
          <w:rFonts w:ascii="Arial" w:hAnsi="Arial" w:cs="Arial"/>
          <w:b/>
          <w:sz w:val="21"/>
          <w:szCs w:val="21"/>
        </w:rPr>
      </w:pPr>
      <w:r w:rsidRPr="00FC5E9D">
        <w:rPr>
          <w:rFonts w:ascii="Arial" w:hAnsi="Arial" w:cs="Arial"/>
          <w:iCs/>
          <w:sz w:val="21"/>
          <w:szCs w:val="21"/>
        </w:rPr>
        <w:t xml:space="preserve">L’indice nazionale dei prezzi al consumo per le famiglie di operai e impiegati (FOI), al netto dei tabacchi, </w:t>
      </w:r>
      <w:r w:rsidRPr="00FC5E9D">
        <w:rPr>
          <w:rFonts w:ascii="Arial" w:hAnsi="Arial" w:cs="Arial"/>
          <w:sz w:val="21"/>
          <w:szCs w:val="21"/>
        </w:rPr>
        <w:t xml:space="preserve">registra </w:t>
      </w:r>
      <w:r>
        <w:rPr>
          <w:rFonts w:ascii="Arial" w:hAnsi="Arial" w:cs="Arial"/>
          <w:sz w:val="21"/>
          <w:szCs w:val="21"/>
        </w:rPr>
        <w:t xml:space="preserve">un </w:t>
      </w:r>
      <w:r w:rsidRPr="00C0472F">
        <w:rPr>
          <w:rFonts w:ascii="Arial" w:hAnsi="Arial" w:cs="Arial"/>
          <w:sz w:val="21"/>
          <w:szCs w:val="21"/>
        </w:rPr>
        <w:t>a</w:t>
      </w:r>
      <w:r>
        <w:rPr>
          <w:rFonts w:ascii="Arial" w:hAnsi="Arial" w:cs="Arial"/>
          <w:sz w:val="21"/>
          <w:szCs w:val="21"/>
        </w:rPr>
        <w:t>umento dello 0,3</w:t>
      </w:r>
      <w:r w:rsidRPr="00C0472F">
        <w:rPr>
          <w:rFonts w:ascii="Arial" w:hAnsi="Arial" w:cs="Arial"/>
          <w:sz w:val="21"/>
          <w:szCs w:val="21"/>
        </w:rPr>
        <w:t>% su base mensile e del</w:t>
      </w:r>
      <w:r>
        <w:rPr>
          <w:rFonts w:ascii="Arial" w:hAnsi="Arial" w:cs="Arial"/>
          <w:sz w:val="21"/>
          <w:szCs w:val="21"/>
        </w:rPr>
        <w:t>l’8,6</w:t>
      </w:r>
      <w:r w:rsidRPr="00FC5E9D">
        <w:rPr>
          <w:rFonts w:ascii="Arial" w:hAnsi="Arial" w:cs="Arial"/>
          <w:sz w:val="21"/>
          <w:szCs w:val="21"/>
        </w:rPr>
        <w:t>% su base annua</w:t>
      </w:r>
      <w:r w:rsidRPr="00FC5E9D">
        <w:rPr>
          <w:rFonts w:ascii="Arial" w:hAnsi="Arial" w:cs="Arial"/>
          <w:iCs/>
          <w:sz w:val="21"/>
          <w:szCs w:val="21"/>
        </w:rPr>
        <w:t>.</w:t>
      </w:r>
    </w:p>
    <w:p w:rsidR="00FC4BD2" w:rsidRPr="003643F1" w:rsidRDefault="003643F1" w:rsidP="003643F1">
      <w:pPr>
        <w:pStyle w:val="Paragrafoelenco"/>
        <w:widowControl/>
        <w:numPr>
          <w:ilvl w:val="0"/>
          <w:numId w:val="5"/>
        </w:numPr>
        <w:tabs>
          <w:tab w:val="left" w:pos="10206"/>
        </w:tabs>
        <w:overflowPunct/>
        <w:autoSpaceDE/>
        <w:autoSpaceDN/>
        <w:adjustRightInd/>
        <w:spacing w:before="0" w:after="0" w:line="230" w:lineRule="exact"/>
        <w:ind w:left="284" w:hanging="284"/>
        <w:contextualSpacing w:val="0"/>
        <w:jc w:val="both"/>
        <w:rPr>
          <w:rFonts w:ascii="Arial" w:hAnsi="Arial" w:cs="Arial"/>
          <w:sz w:val="21"/>
          <w:szCs w:val="21"/>
        </w:rPr>
      </w:pPr>
      <w:r w:rsidRPr="00B72825">
        <w:rPr>
          <w:rFonts w:ascii="Arial" w:hAnsi="Arial" w:cs="Arial"/>
          <w:iCs/>
          <w:sz w:val="21"/>
          <w:szCs w:val="21"/>
        </w:rPr>
        <w:t xml:space="preserve">Nel </w:t>
      </w:r>
      <w:r>
        <w:rPr>
          <w:rFonts w:ascii="Arial" w:hAnsi="Arial" w:cs="Arial"/>
          <w:iCs/>
          <w:sz w:val="21"/>
          <w:szCs w:val="21"/>
        </w:rPr>
        <w:t>terzo trimestre 2022</w:t>
      </w:r>
      <w:r w:rsidRPr="00454380">
        <w:rPr>
          <w:rFonts w:ascii="Arial" w:hAnsi="Arial" w:cs="Arial"/>
          <w:iCs/>
          <w:sz w:val="21"/>
          <w:szCs w:val="21"/>
        </w:rPr>
        <w:t xml:space="preserve"> </w:t>
      </w:r>
      <w:r w:rsidRPr="00B72825">
        <w:rPr>
          <w:rFonts w:ascii="Arial" w:hAnsi="Arial" w:cs="Arial"/>
          <w:iCs/>
          <w:sz w:val="21"/>
          <w:szCs w:val="21"/>
        </w:rPr>
        <w:t>l’impatto dell’inflazione, misurata dall’IPCA, è più ampio sulle famiglie con minore capaci</w:t>
      </w:r>
      <w:r>
        <w:rPr>
          <w:rFonts w:ascii="Arial" w:hAnsi="Arial" w:cs="Arial"/>
          <w:iCs/>
          <w:sz w:val="21"/>
          <w:szCs w:val="21"/>
        </w:rPr>
        <w:t>tà di spesa rispetto a quelle c</w:t>
      </w:r>
      <w:r w:rsidRPr="00B72825">
        <w:rPr>
          <w:rFonts w:ascii="Arial" w:hAnsi="Arial" w:cs="Arial"/>
          <w:iCs/>
          <w:sz w:val="21"/>
          <w:szCs w:val="21"/>
        </w:rPr>
        <w:t xml:space="preserve">on </w:t>
      </w:r>
      <w:r>
        <w:rPr>
          <w:rFonts w:ascii="Arial" w:hAnsi="Arial" w:cs="Arial"/>
          <w:iCs/>
          <w:sz w:val="21"/>
          <w:szCs w:val="21"/>
        </w:rPr>
        <w:t>livelli di spesa più elevati (+11,6% e +7,6% rispettivamente</w:t>
      </w:r>
      <w:r w:rsidRPr="00B72825">
        <w:rPr>
          <w:rFonts w:ascii="Arial" w:hAnsi="Arial" w:cs="Arial"/>
          <w:iCs/>
          <w:sz w:val="21"/>
          <w:szCs w:val="21"/>
        </w:rPr>
        <w:t xml:space="preserve">). </w:t>
      </w:r>
      <w:r w:rsidRPr="00B72825">
        <w:rPr>
          <w:rFonts w:ascii="Arial" w:hAnsi="Arial" w:cs="Arial"/>
          <w:i/>
          <w:sz w:val="21"/>
          <w:szCs w:val="21"/>
        </w:rPr>
        <w:t>Per l’</w:t>
      </w:r>
      <w:r w:rsidRPr="006E681F">
        <w:rPr>
          <w:rFonts w:ascii="Arial" w:hAnsi="Arial" w:cs="Arial"/>
          <w:i/>
          <w:iCs/>
          <w:sz w:val="21"/>
          <w:szCs w:val="21"/>
        </w:rPr>
        <w:t>approfondimento</w:t>
      </w:r>
      <w:r w:rsidRPr="00454380">
        <w:rPr>
          <w:rFonts w:ascii="Arial" w:hAnsi="Arial" w:cs="Arial"/>
          <w:i/>
          <w:iCs/>
          <w:sz w:val="21"/>
          <w:szCs w:val="21"/>
        </w:rPr>
        <w:t xml:space="preserve"> cf</w:t>
      </w:r>
      <w:r w:rsidRPr="00B72825">
        <w:rPr>
          <w:rFonts w:ascii="Arial" w:hAnsi="Arial" w:cs="Arial"/>
          <w:i/>
          <w:iCs/>
          <w:sz w:val="21"/>
          <w:szCs w:val="21"/>
        </w:rPr>
        <w:t>r.</w:t>
      </w:r>
      <w:r w:rsidRPr="006E681F">
        <w:rPr>
          <w:rFonts w:ascii="Arial" w:hAnsi="Arial" w:cs="Arial"/>
          <w:i/>
          <w:iCs/>
          <w:sz w:val="21"/>
          <w:szCs w:val="21"/>
        </w:rPr>
        <w:t xml:space="preserve"> pag. 1</w:t>
      </w:r>
      <w:r>
        <w:rPr>
          <w:rFonts w:ascii="Arial" w:hAnsi="Arial" w:cs="Arial"/>
          <w:i/>
          <w:iCs/>
          <w:sz w:val="21"/>
          <w:szCs w:val="21"/>
        </w:rPr>
        <w:t>0</w:t>
      </w:r>
      <w:r w:rsidRPr="00454380">
        <w:rPr>
          <w:rFonts w:ascii="Arial" w:hAnsi="Arial" w:cs="Arial"/>
          <w:iCs/>
          <w:sz w:val="21"/>
          <w:szCs w:val="21"/>
        </w:rPr>
        <w:t>.</w:t>
      </w:r>
    </w:p>
    <w:p w:rsidR="00FC4BD2" w:rsidRPr="009477E4" w:rsidRDefault="0089229A" w:rsidP="00FC4BD2">
      <w:pPr>
        <w:pStyle w:val="Paragrafoelenco"/>
        <w:widowControl/>
        <w:tabs>
          <w:tab w:val="left" w:pos="10206"/>
        </w:tabs>
        <w:overflowPunct/>
        <w:autoSpaceDE/>
        <w:autoSpaceDN/>
        <w:adjustRightInd/>
        <w:spacing w:before="0" w:line="230" w:lineRule="exact"/>
        <w:ind w:left="360"/>
        <w:contextualSpacing w:val="0"/>
        <w:jc w:val="both"/>
        <w:rPr>
          <w:rFonts w:ascii="Arial" w:hAnsi="Arial" w:cs="Arial"/>
          <w:sz w:val="21"/>
          <w:szCs w:val="21"/>
        </w:rPr>
      </w:pPr>
      <w:r w:rsidRPr="00FC3B83">
        <w:rPr>
          <w:noProof/>
        </w:rPr>
        <w:drawing>
          <wp:anchor distT="0" distB="0" distL="114300" distR="114300" simplePos="0" relativeHeight="251681280" behindDoc="0" locked="0" layoutInCell="1" allowOverlap="1" wp14:anchorId="69012004" wp14:editId="6B361576">
            <wp:simplePos x="0" y="0"/>
            <wp:positionH relativeFrom="column">
              <wp:posOffset>-353695</wp:posOffset>
            </wp:positionH>
            <wp:positionV relativeFrom="paragraph">
              <wp:posOffset>0</wp:posOffset>
            </wp:positionV>
            <wp:extent cx="929005" cy="929005"/>
            <wp:effectExtent l="0" t="0" r="4445" b="4445"/>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9005" cy="929005"/>
                    </a:xfrm>
                    <a:prstGeom prst="rect">
                      <a:avLst/>
                    </a:prstGeom>
                    <a:noFill/>
                  </pic:spPr>
                </pic:pic>
              </a:graphicData>
            </a:graphic>
            <wp14:sizeRelV relativeFrom="margin">
              <wp14:pctHeight>0</wp14:pctHeight>
            </wp14:sizeRelV>
          </wp:anchor>
        </w:drawing>
      </w:r>
      <w:r w:rsidR="006C5BC3">
        <w:rPr>
          <w:rFonts w:ascii="Arial" w:hAnsi="Arial" w:cs="Arial"/>
          <w:noProof/>
          <w:sz w:val="21"/>
          <w:szCs w:val="21"/>
        </w:rPr>
        <w:drawing>
          <wp:anchor distT="0" distB="0" distL="114300" distR="114300" simplePos="0" relativeHeight="251677184" behindDoc="0" locked="0" layoutInCell="1" allowOverlap="1" wp14:anchorId="67E47F4B" wp14:editId="43F446F9">
            <wp:simplePos x="0" y="0"/>
            <wp:positionH relativeFrom="column">
              <wp:posOffset>6118501</wp:posOffset>
            </wp:positionH>
            <wp:positionV relativeFrom="paragraph">
              <wp:posOffset>926079</wp:posOffset>
            </wp:positionV>
            <wp:extent cx="647700" cy="628650"/>
            <wp:effectExtent l="0" t="0" r="0" b="0"/>
            <wp:wrapNone/>
            <wp:docPr id="52" name="Immagine 52"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anchor>
        </w:drawing>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6"/>
        <w:gridCol w:w="3290"/>
      </w:tblGrid>
      <w:tr w:rsidR="00FC3B83" w:rsidRPr="002578CE" w:rsidTr="00BD0687">
        <w:trPr>
          <w:trHeight w:val="115"/>
        </w:trPr>
        <w:tc>
          <w:tcPr>
            <w:tcW w:w="6916" w:type="dxa"/>
            <w:vMerge w:val="restart"/>
            <w:tcBorders>
              <w:top w:val="nil"/>
              <w:left w:val="single" w:sz="4" w:space="0" w:color="FFFFFF"/>
              <w:right w:val="single" w:sz="48" w:space="0" w:color="FFFFFF"/>
            </w:tcBorders>
            <w:shd w:val="clear" w:color="auto" w:fill="D9D9D9"/>
          </w:tcPr>
          <w:p w:rsidR="00FC3B83" w:rsidRPr="00FC3B83" w:rsidRDefault="00FC3B83" w:rsidP="00FC3B83">
            <w:pPr>
              <w:pStyle w:val="Paragrafobase"/>
              <w:spacing w:before="120" w:line="140" w:lineRule="atLeast"/>
              <w:rPr>
                <w:rFonts w:ascii="Calibri" w:hAnsi="Calibri" w:cs="Arial"/>
                <w:color w:val="E42618"/>
                <w:sz w:val="56"/>
                <w:szCs w:val="56"/>
              </w:rPr>
            </w:pPr>
            <w:r w:rsidRPr="00FC3B83">
              <w:rPr>
                <w:noProof/>
              </w:rPr>
              <w:drawing>
                <wp:anchor distT="0" distB="0" distL="114300" distR="114300" simplePos="0" relativeHeight="251685376" behindDoc="0" locked="0" layoutInCell="1" allowOverlap="1" wp14:anchorId="14E2522C" wp14:editId="497710AA">
                  <wp:simplePos x="0" y="0"/>
                  <wp:positionH relativeFrom="column">
                    <wp:posOffset>398145</wp:posOffset>
                  </wp:positionH>
                  <wp:positionV relativeFrom="paragraph">
                    <wp:posOffset>6514465</wp:posOffset>
                  </wp:positionV>
                  <wp:extent cx="920750" cy="920750"/>
                  <wp:effectExtent l="0" t="0" r="0" b="0"/>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anchor>
              </w:drawing>
            </w:r>
            <w:r w:rsidRPr="00FC3B83">
              <w:rPr>
                <w:rFonts w:ascii="Arial" w:hAnsi="Arial" w:cs="Arial"/>
                <w:iCs/>
                <w:noProof/>
                <w:sz w:val="21"/>
                <w:szCs w:val="21"/>
              </w:rPr>
              <w:drawing>
                <wp:anchor distT="0" distB="0" distL="114300" distR="114300" simplePos="0" relativeHeight="251684352" behindDoc="0" locked="0" layoutInCell="1" allowOverlap="1" wp14:anchorId="77C729D0" wp14:editId="2E9C0B85">
                  <wp:simplePos x="0" y="0"/>
                  <wp:positionH relativeFrom="column">
                    <wp:posOffset>398145</wp:posOffset>
                  </wp:positionH>
                  <wp:positionV relativeFrom="paragraph">
                    <wp:posOffset>6514465</wp:posOffset>
                  </wp:positionV>
                  <wp:extent cx="920750" cy="920750"/>
                  <wp:effectExtent l="0" t="0" r="0"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anchor>
              </w:drawing>
            </w:r>
            <w:r w:rsidRPr="00FC3B83">
              <w:rPr>
                <w:rFonts w:ascii="Arial" w:hAnsi="Arial" w:cs="Arial"/>
                <w:noProof/>
                <w:color w:val="E42618"/>
                <w:sz w:val="22"/>
                <w:szCs w:val="22"/>
              </w:rPr>
              <w:drawing>
                <wp:anchor distT="0" distB="0" distL="114300" distR="114300" simplePos="0" relativeHeight="251683328" behindDoc="0" locked="0" layoutInCell="1" allowOverlap="1" wp14:anchorId="3372CA01" wp14:editId="55BC564A">
                  <wp:simplePos x="0" y="0"/>
                  <wp:positionH relativeFrom="column">
                    <wp:posOffset>398145</wp:posOffset>
                  </wp:positionH>
                  <wp:positionV relativeFrom="paragraph">
                    <wp:posOffset>6514465</wp:posOffset>
                  </wp:positionV>
                  <wp:extent cx="920750" cy="920750"/>
                  <wp:effectExtent l="0" t="0" r="0" b="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anchor>
              </w:drawing>
            </w:r>
            <w:r w:rsidRPr="00FC3B83">
              <w:rPr>
                <w:rFonts w:ascii="Arial" w:hAnsi="Arial" w:cs="Arial"/>
                <w:noProof/>
                <w:color w:val="E42618"/>
                <w:sz w:val="22"/>
                <w:szCs w:val="22"/>
              </w:rPr>
              <mc:AlternateContent>
                <mc:Choice Requires="wpg">
                  <w:drawing>
                    <wp:anchor distT="0" distB="0" distL="114300" distR="114300" simplePos="0" relativeHeight="251682304" behindDoc="0" locked="0" layoutInCell="1" allowOverlap="1" wp14:anchorId="35472B20" wp14:editId="064E4717">
                      <wp:simplePos x="0" y="0"/>
                      <wp:positionH relativeFrom="column">
                        <wp:posOffset>403225</wp:posOffset>
                      </wp:positionH>
                      <wp:positionV relativeFrom="paragraph">
                        <wp:posOffset>6517005</wp:posOffset>
                      </wp:positionV>
                      <wp:extent cx="6760210" cy="3480435"/>
                      <wp:effectExtent l="0" t="0" r="2540" b="5715"/>
                      <wp:wrapNone/>
                      <wp:docPr id="10" name="Grup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3480435"/>
                                <a:chOff x="635" y="10263"/>
                                <a:chExt cx="10646" cy="5481"/>
                              </a:xfrm>
                            </wpg:grpSpPr>
                            <pic:pic xmlns:pic="http://schemas.openxmlformats.org/drawingml/2006/picture">
                              <pic:nvPicPr>
                                <pic:cNvPr id="15" name="Immagine 9" descr="Descrizione: iconeComunicati-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261" y="11995"/>
                                  <a:ext cx="102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Immagine 8" descr="Descrizione: iconeComunicati-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271" y="14769"/>
                                  <a:ext cx="1005"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Immagine 2" descr="Descrizione: iconeComunicati-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35" y="10263"/>
                                  <a:ext cx="1410"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Immagine 3" descr="Descrizione: iconeComunicati-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246" y="10525"/>
                                  <a:ext cx="1035"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BF6DEC" id="Gruppo 10" o:spid="_x0000_s1026" style="position:absolute;margin-left:31.75pt;margin-top:513.15pt;width:532.3pt;height:274.05pt;z-index:251682304" coordorigin="635,10263" coordsize="10646,5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">
                      <v:shape id="Immagine 9" o:spid="_x0000_s1027" type="#_x0000_t75" alt="Descrizione: iconeComunicati-03" style="position:absolute;left:10261;top:11995;width:1020;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">
                        <v:imagedata r:id="rId19" o:title=" iconeComunicati-03"/>
                      </v:shape>
                      <v:shape id="Immagine 8" o:spid="_x0000_s1028" type="#_x0000_t75" alt="Descrizione: iconeComunicati-06" style="position:absolute;left:10271;top:14769;width:1005;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">
                        <v:imagedata r:id="rId20" o:title=" iconeComunicati-06"/>
                      </v:shape>
                      <v:shape id="Immagine 2" o:spid="_x0000_s1029" type="#_x0000_t75" alt="Descrizione: iconeComunicati-02" style="position:absolute;left:635;top:10263;width:141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">
                        <v:imagedata r:id="rId21" o:title=" iconeComunicati-02"/>
                      </v:shape>
                      <v:shape id="Immagine 3" o:spid="_x0000_s1030" type="#_x0000_t75" alt="Descrizione: iconeComunicati-05" style="position:absolute;left:10246;top:10525;width:1035;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">
                        <v:imagedata r:id="rId22" o:title=" iconeComunicati-05"/>
                      </v:shape>
                    </v:group>
                  </w:pict>
                </mc:Fallback>
              </mc:AlternateContent>
            </w:r>
            <w:r w:rsidRPr="00FC3B83">
              <w:rPr>
                <w:rFonts w:ascii="Arial" w:hAnsi="Arial" w:cs="Arial"/>
                <w:color w:val="E42618"/>
                <w:sz w:val="22"/>
                <w:szCs w:val="22"/>
              </w:rPr>
              <w:t xml:space="preserve">                     </w:t>
            </w:r>
            <w:r w:rsidRPr="00FC3B83">
              <w:rPr>
                <w:rFonts w:ascii="Calibri" w:hAnsi="Calibri" w:cs="Arial"/>
                <w:color w:val="E42618"/>
                <w:sz w:val="56"/>
                <w:szCs w:val="56"/>
              </w:rPr>
              <w:t>Il commento</w:t>
            </w:r>
          </w:p>
          <w:p w:rsidR="00FC3B83" w:rsidRPr="00FC3B83" w:rsidRDefault="00FC3B83" w:rsidP="00FC3B83">
            <w:pPr>
              <w:widowControl/>
              <w:tabs>
                <w:tab w:val="left" w:pos="284"/>
              </w:tabs>
              <w:overflowPunct/>
              <w:autoSpaceDE/>
              <w:autoSpaceDN/>
              <w:adjustRightInd/>
              <w:spacing w:before="0" w:after="0"/>
              <w:jc w:val="both"/>
              <w:rPr>
                <w:rFonts w:ascii="Calibri" w:hAnsi="Calibri" w:cs="Arial"/>
                <w:color w:val="E31C18"/>
                <w:kern w:val="0"/>
                <w:sz w:val="24"/>
                <w:szCs w:val="24"/>
              </w:rPr>
            </w:pPr>
          </w:p>
          <w:p w:rsidR="00FC3B83" w:rsidRPr="00FC3B83" w:rsidRDefault="003643F1" w:rsidP="00253087">
            <w:pPr>
              <w:pStyle w:val="Paragrafobase"/>
              <w:tabs>
                <w:tab w:val="left" w:pos="6526"/>
              </w:tabs>
              <w:spacing w:after="80" w:line="260" w:lineRule="exact"/>
              <w:ind w:left="142" w:right="176"/>
              <w:jc w:val="both"/>
              <w:rPr>
                <w:rFonts w:ascii="Arial" w:hAnsi="Arial" w:cs="Arial"/>
                <w:sz w:val="21"/>
                <w:szCs w:val="21"/>
              </w:rPr>
            </w:pPr>
            <w:r>
              <w:rPr>
                <w:rFonts w:ascii="Arial" w:hAnsi="Arial" w:cs="Arial"/>
                <w:sz w:val="21"/>
                <w:szCs w:val="21"/>
              </w:rPr>
              <w:t xml:space="preserve">Bisogna risalire ad agosto 1983 (quando fu pari a +11,0%) per trovare una crescita dei prezzi del “carrello della spesa”, su base annua, superiore a quella di settembre 2022 (+10,9%). Non sono, infatti, i Beni energetici a spiegare (se non per le conseguenze che la loro crescita così ampia ha innescato) la nuova accelerazione dell’inflazione, ma soprattutto i Beni alimentari (sia lavorati sia non lavorati) seguiti dai </w:t>
            </w:r>
            <w:r w:rsidRPr="00F170AF">
              <w:rPr>
                <w:rFonts w:ascii="Arial" w:hAnsi="Arial" w:cs="Arial"/>
                <w:sz w:val="21"/>
                <w:szCs w:val="21"/>
              </w:rPr>
              <w:t>Servizi ricreativi, culturali e per la cura della persona</w:t>
            </w:r>
            <w:r>
              <w:rPr>
                <w:rFonts w:ascii="Arial" w:hAnsi="Arial" w:cs="Arial"/>
                <w:sz w:val="21"/>
                <w:szCs w:val="21"/>
              </w:rPr>
              <w:t>, in un quadro di crescenti e diffuse tensioni inflazionistiche.</w:t>
            </w:r>
            <w:r>
              <w:t xml:space="preserve"> </w:t>
            </w:r>
            <w:r>
              <w:rPr>
                <w:rFonts w:ascii="Arial" w:hAnsi="Arial" w:cs="Arial"/>
                <w:sz w:val="21"/>
                <w:szCs w:val="21"/>
              </w:rPr>
              <w:t>La crescita dei prezzi al consumo</w:t>
            </w:r>
            <w:r w:rsidRPr="007D73E0">
              <w:rPr>
                <w:rFonts w:ascii="Arial" w:hAnsi="Arial" w:cs="Arial"/>
                <w:sz w:val="21"/>
                <w:szCs w:val="21"/>
              </w:rPr>
              <w:t xml:space="preserve"> </w:t>
            </w:r>
            <w:r>
              <w:rPr>
                <w:rFonts w:ascii="Arial" w:hAnsi="Arial" w:cs="Arial"/>
                <w:sz w:val="21"/>
                <w:szCs w:val="21"/>
              </w:rPr>
              <w:t>accelera</w:t>
            </w:r>
            <w:r w:rsidRPr="007D73E0">
              <w:rPr>
                <w:rFonts w:ascii="Arial" w:hAnsi="Arial" w:cs="Arial"/>
                <w:sz w:val="21"/>
                <w:szCs w:val="21"/>
              </w:rPr>
              <w:t xml:space="preserve"> per tutti i gruppi di famiglie, ma il differenziale inflazionistico tra le famiglie meno abbienti e quelle con maggiore capacità di spesa continua </w:t>
            </w:r>
            <w:r>
              <w:rPr>
                <w:rFonts w:ascii="Arial" w:hAnsi="Arial" w:cs="Arial"/>
                <w:sz w:val="21"/>
                <w:szCs w:val="21"/>
              </w:rPr>
              <w:t>ad ampliarsi</w:t>
            </w:r>
            <w:r w:rsidRPr="00A527B6">
              <w:rPr>
                <w:rFonts w:ascii="Arial" w:hAnsi="Arial" w:cs="Arial"/>
                <w:sz w:val="21"/>
                <w:szCs w:val="21"/>
              </w:rPr>
              <w:t>.</w:t>
            </w:r>
          </w:p>
        </w:tc>
        <w:tc>
          <w:tcPr>
            <w:tcW w:w="3290" w:type="dxa"/>
            <w:tcBorders>
              <w:top w:val="nil"/>
              <w:left w:val="single" w:sz="48" w:space="0" w:color="FFFFFF"/>
              <w:bottom w:val="single" w:sz="36" w:space="0" w:color="FFFFFF"/>
              <w:right w:val="single" w:sz="36" w:space="0" w:color="FFFFFF"/>
            </w:tcBorders>
            <w:shd w:val="clear" w:color="auto" w:fill="E31C18"/>
          </w:tcPr>
          <w:p w:rsidR="00FC3B83" w:rsidRPr="00163D97" w:rsidRDefault="00FC3B83" w:rsidP="00FC3B83">
            <w:pPr>
              <w:pStyle w:val="Paragrafobase"/>
              <w:spacing w:before="120" w:line="320" w:lineRule="exact"/>
              <w:ind w:left="176"/>
              <w:rPr>
                <w:rFonts w:ascii="Calibri" w:hAnsi="Calibri" w:cs="Arial"/>
                <w:b/>
                <w:color w:val="FFFFFF"/>
                <w:sz w:val="28"/>
                <w:szCs w:val="28"/>
              </w:rPr>
            </w:pPr>
            <w:r>
              <w:rPr>
                <w:iCs/>
                <w:noProof/>
              </w:rPr>
              <w:drawing>
                <wp:anchor distT="0" distB="0" distL="114300" distR="114300" simplePos="0" relativeHeight="251680256" behindDoc="0" locked="0" layoutInCell="1" allowOverlap="1" wp14:anchorId="07D73ACB" wp14:editId="66F72DEC">
                  <wp:simplePos x="0" y="0"/>
                  <wp:positionH relativeFrom="column">
                    <wp:posOffset>1558290</wp:posOffset>
                  </wp:positionH>
                  <wp:positionV relativeFrom="paragraph">
                    <wp:posOffset>-60491</wp:posOffset>
                  </wp:positionV>
                  <wp:extent cx="657225" cy="638175"/>
                  <wp:effectExtent l="0" t="0" r="9525" b="9525"/>
                  <wp:wrapNone/>
                  <wp:docPr id="24"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3" descr="Descrizione: iconeComunicati-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163D97">
              <w:rPr>
                <w:rFonts w:ascii="Calibri" w:hAnsi="Calibri" w:cs="Arial"/>
                <w:b/>
                <w:color w:val="FFFFFF"/>
                <w:sz w:val="28"/>
                <w:szCs w:val="28"/>
              </w:rPr>
              <w:t>PROSSIMA</w:t>
            </w:r>
            <w:r>
              <w:rPr>
                <w:rFonts w:ascii="Calibri" w:hAnsi="Calibri" w:cs="Arial"/>
                <w:b/>
                <w:color w:val="FFFFFF"/>
                <w:sz w:val="28"/>
                <w:szCs w:val="28"/>
              </w:rPr>
              <w:t xml:space="preserve"> </w:t>
            </w:r>
          </w:p>
          <w:p w:rsidR="00FC3B83" w:rsidRPr="00163D97" w:rsidRDefault="00FC3B83" w:rsidP="00FC3B83">
            <w:pPr>
              <w:pStyle w:val="Paragrafobase"/>
              <w:spacing w:line="320" w:lineRule="exact"/>
              <w:ind w:left="176"/>
              <w:rPr>
                <w:rFonts w:ascii="Arial Narrow" w:hAnsi="Arial Narrow" w:cs="Arial"/>
                <w:b/>
                <w:color w:val="FFFFFF"/>
                <w:sz w:val="28"/>
                <w:szCs w:val="28"/>
              </w:rPr>
            </w:pPr>
            <w:r w:rsidRPr="00163D97">
              <w:rPr>
                <w:rFonts w:ascii="Calibri" w:hAnsi="Calibri" w:cs="Arial"/>
                <w:b/>
                <w:color w:val="FFFFFF"/>
                <w:sz w:val="28"/>
                <w:szCs w:val="28"/>
              </w:rPr>
              <w:t>DIFFUSIONE</w:t>
            </w:r>
          </w:p>
          <w:p w:rsidR="00FC3B83" w:rsidRPr="002578CE" w:rsidRDefault="00FC3B83" w:rsidP="009B6ACA">
            <w:pPr>
              <w:pStyle w:val="Paragrafobase"/>
              <w:spacing w:before="60" w:after="60" w:line="160" w:lineRule="atLeast"/>
              <w:ind w:left="176"/>
              <w:rPr>
                <w:rFonts w:ascii="Arial" w:hAnsi="Arial" w:cs="Arial"/>
                <w:sz w:val="21"/>
                <w:szCs w:val="21"/>
              </w:rPr>
            </w:pPr>
            <w:r>
              <w:rPr>
                <w:rFonts w:ascii="Arial Narrow" w:hAnsi="Arial Narrow" w:cs="Arial"/>
                <w:color w:val="FFFFFF"/>
                <w:sz w:val="22"/>
                <w:szCs w:val="22"/>
              </w:rPr>
              <w:t>2</w:t>
            </w:r>
            <w:r w:rsidR="009B6ACA">
              <w:rPr>
                <w:rFonts w:ascii="Arial Narrow" w:hAnsi="Arial Narrow" w:cs="Arial"/>
                <w:color w:val="FFFFFF"/>
                <w:sz w:val="22"/>
                <w:szCs w:val="22"/>
              </w:rPr>
              <w:t>8</w:t>
            </w:r>
            <w:r>
              <w:rPr>
                <w:rFonts w:ascii="Arial Narrow" w:hAnsi="Arial Narrow" w:cs="Arial"/>
                <w:color w:val="FFFFFF"/>
                <w:sz w:val="22"/>
                <w:szCs w:val="22"/>
              </w:rPr>
              <w:t xml:space="preserve"> </w:t>
            </w:r>
            <w:r w:rsidR="009B6ACA">
              <w:rPr>
                <w:rFonts w:ascii="Arial Narrow" w:hAnsi="Arial Narrow" w:cs="Arial"/>
                <w:color w:val="FFFFFF"/>
                <w:sz w:val="22"/>
                <w:szCs w:val="22"/>
              </w:rPr>
              <w:t>ottobre</w:t>
            </w:r>
            <w:r>
              <w:rPr>
                <w:rFonts w:ascii="Arial Narrow" w:hAnsi="Arial Narrow" w:cs="Arial"/>
                <w:color w:val="FFFFFF"/>
                <w:sz w:val="22"/>
                <w:szCs w:val="22"/>
              </w:rPr>
              <w:t xml:space="preserve"> 2022</w:t>
            </w:r>
          </w:p>
        </w:tc>
      </w:tr>
      <w:tr w:rsidR="00FC3B83" w:rsidRPr="003643F1" w:rsidTr="00BD0687">
        <w:trPr>
          <w:trHeight w:val="115"/>
        </w:trPr>
        <w:tc>
          <w:tcPr>
            <w:tcW w:w="6916" w:type="dxa"/>
            <w:vMerge/>
            <w:tcBorders>
              <w:left w:val="single" w:sz="4" w:space="0" w:color="FFFFFF"/>
              <w:right w:val="single" w:sz="48" w:space="0" w:color="FFFFFF"/>
            </w:tcBorders>
            <w:shd w:val="clear" w:color="auto" w:fill="D9D9D9"/>
          </w:tcPr>
          <w:p w:rsidR="00FC3B83" w:rsidRPr="002578CE" w:rsidRDefault="00FC3B83" w:rsidP="00FC3B83">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90" w:type="dxa"/>
            <w:tcBorders>
              <w:top w:val="single" w:sz="36" w:space="0" w:color="FFFFFF"/>
              <w:left w:val="single" w:sz="48" w:space="0" w:color="FFFFFF"/>
              <w:bottom w:val="single" w:sz="36" w:space="0" w:color="FFFFFF"/>
              <w:right w:val="single" w:sz="36" w:space="0" w:color="FFFFFF"/>
            </w:tcBorders>
            <w:shd w:val="clear" w:color="auto" w:fill="E31C18"/>
          </w:tcPr>
          <w:p w:rsidR="00FC3B83" w:rsidRPr="007B5BE5" w:rsidRDefault="00FC3B83" w:rsidP="00FC3B83">
            <w:pPr>
              <w:pStyle w:val="Paragrafobase"/>
              <w:spacing w:before="120" w:line="320" w:lineRule="exact"/>
              <w:ind w:left="176"/>
              <w:rPr>
                <w:rFonts w:ascii="Calibri" w:hAnsi="Calibri" w:cs="Arial"/>
                <w:b/>
                <w:color w:val="FFFFFF"/>
                <w:sz w:val="28"/>
                <w:szCs w:val="28"/>
                <w:lang w:val="en-GB"/>
              </w:rPr>
            </w:pPr>
            <w:r w:rsidRPr="007B5BE5">
              <w:rPr>
                <w:rFonts w:ascii="Calibri" w:hAnsi="Calibri" w:cs="Arial"/>
                <w:b/>
                <w:color w:val="FFFFFF"/>
                <w:sz w:val="28"/>
                <w:szCs w:val="28"/>
                <w:lang w:val="en-GB"/>
              </w:rPr>
              <w:t>Link utili</w:t>
            </w:r>
          </w:p>
          <w:p w:rsidR="00FC3B83" w:rsidRPr="004E5688" w:rsidRDefault="009C5BA6" w:rsidP="00FC3B83">
            <w:pPr>
              <w:pStyle w:val="Paragrafobase"/>
              <w:spacing w:before="60" w:line="240" w:lineRule="exact"/>
              <w:ind w:left="176"/>
              <w:rPr>
                <w:rStyle w:val="Collegamentoipertestuale"/>
                <w:rFonts w:ascii="Arial Narrow" w:hAnsi="Arial Narrow" w:cs="Arial"/>
                <w:color w:val="FFFFFF"/>
                <w:sz w:val="22"/>
                <w:szCs w:val="22"/>
                <w:lang w:val="en-US"/>
              </w:rPr>
            </w:pPr>
            <w:hyperlink r:id="rId23" w:history="1">
              <w:r w:rsidR="00FC3B83" w:rsidRPr="004E5688">
                <w:rPr>
                  <w:rStyle w:val="Collegamentoipertestuale"/>
                  <w:rFonts w:ascii="Arial Narrow" w:hAnsi="Arial Narrow" w:cs="Arial"/>
                  <w:color w:val="FFFFFF"/>
                  <w:sz w:val="22"/>
                  <w:szCs w:val="22"/>
                  <w:lang w:val="en-US"/>
                </w:rPr>
                <w:t>http://dati.istat.it/</w:t>
              </w:r>
            </w:hyperlink>
          </w:p>
          <w:p w:rsidR="00FC3B83" w:rsidRDefault="009C5BA6" w:rsidP="00FC3B83">
            <w:pPr>
              <w:pStyle w:val="Paragrafobase"/>
              <w:spacing w:before="120" w:line="240" w:lineRule="exact"/>
              <w:ind w:left="176"/>
              <w:rPr>
                <w:rStyle w:val="Collegamentoipertestuale"/>
                <w:rFonts w:ascii="Arial Narrow" w:hAnsi="Arial Narrow" w:cs="Arial"/>
                <w:color w:val="FFFFFF"/>
                <w:sz w:val="22"/>
                <w:szCs w:val="22"/>
                <w:lang w:val="en-US"/>
              </w:rPr>
            </w:pPr>
            <w:hyperlink r:id="rId24" w:history="1">
              <w:r w:rsidR="00FC3B83" w:rsidRPr="004E5688">
                <w:rPr>
                  <w:rStyle w:val="Collegamentoipertestuale"/>
                  <w:rFonts w:ascii="Arial Narrow" w:hAnsi="Arial Narrow" w:cs="Arial"/>
                  <w:color w:val="FFFFFF"/>
                  <w:sz w:val="22"/>
                  <w:szCs w:val="22"/>
                  <w:lang w:val="en-US"/>
                </w:rPr>
                <w:t>http://www.istat.it/it/congiuntura</w:t>
              </w:r>
            </w:hyperlink>
          </w:p>
          <w:p w:rsidR="00FC3B83" w:rsidRPr="006756B1" w:rsidRDefault="00FC3B83" w:rsidP="00FC3B83">
            <w:pPr>
              <w:pStyle w:val="Paragrafobase"/>
              <w:spacing w:before="120" w:after="120" w:line="240" w:lineRule="exact"/>
              <w:ind w:left="176"/>
              <w:rPr>
                <w:rFonts w:ascii="Arial Narrow" w:hAnsi="Arial Narrow" w:cs="Arial"/>
                <w:color w:val="FFFFFF" w:themeColor="background1"/>
                <w:sz w:val="22"/>
                <w:szCs w:val="22"/>
                <w:u w:val="single"/>
                <w:lang w:val="en-US"/>
              </w:rPr>
            </w:pPr>
            <w:r w:rsidRPr="004018F1">
              <w:rPr>
                <w:rFonts w:ascii="Arial Narrow" w:hAnsi="Arial Narrow" w:cs="Arial"/>
                <w:color w:val="FFFFFF" w:themeColor="background1"/>
                <w:sz w:val="22"/>
                <w:szCs w:val="22"/>
                <w:u w:val="single"/>
                <w:lang w:val="en-US"/>
              </w:rPr>
              <w:t>http://rivaluta.istat.it/Rivaluta/</w:t>
            </w:r>
          </w:p>
        </w:tc>
      </w:tr>
      <w:tr w:rsidR="00FC3B83" w:rsidRPr="002578CE" w:rsidTr="00BD0687">
        <w:trPr>
          <w:trHeight w:val="686"/>
        </w:trPr>
        <w:tc>
          <w:tcPr>
            <w:tcW w:w="6916" w:type="dxa"/>
            <w:vMerge/>
            <w:tcBorders>
              <w:left w:val="single" w:sz="4" w:space="0" w:color="FFFFFF"/>
              <w:bottom w:val="nil"/>
              <w:right w:val="single" w:sz="48" w:space="0" w:color="FFFFFF"/>
            </w:tcBorders>
            <w:shd w:val="clear" w:color="auto" w:fill="D9D9D9"/>
          </w:tcPr>
          <w:p w:rsidR="00FC3B83" w:rsidRPr="00387CE8" w:rsidRDefault="00FC3B83" w:rsidP="00FC3B83">
            <w:pPr>
              <w:widowControl/>
              <w:tabs>
                <w:tab w:val="left" w:pos="284"/>
                <w:tab w:val="left" w:pos="709"/>
              </w:tabs>
              <w:overflowPunct/>
              <w:autoSpaceDE/>
              <w:autoSpaceDN/>
              <w:adjustRightInd/>
              <w:spacing w:before="0" w:after="120" w:line="230" w:lineRule="exact"/>
              <w:jc w:val="both"/>
              <w:rPr>
                <w:rFonts w:ascii="Arial" w:hAnsi="Arial" w:cs="Arial"/>
                <w:sz w:val="21"/>
                <w:szCs w:val="21"/>
                <w:lang w:val="en-US"/>
              </w:rPr>
            </w:pPr>
          </w:p>
        </w:tc>
        <w:tc>
          <w:tcPr>
            <w:tcW w:w="3290" w:type="dxa"/>
            <w:tcBorders>
              <w:top w:val="single" w:sz="36" w:space="0" w:color="FFFFFF"/>
              <w:left w:val="single" w:sz="48" w:space="0" w:color="FFFFFF"/>
              <w:bottom w:val="single" w:sz="36" w:space="0" w:color="FFFFFF"/>
              <w:right w:val="single" w:sz="36" w:space="0" w:color="FFFFFF"/>
            </w:tcBorders>
            <w:shd w:val="clear" w:color="auto" w:fill="E31C18"/>
          </w:tcPr>
          <w:p w:rsidR="00FC3B83" w:rsidRPr="00E61ECE" w:rsidRDefault="00FC3B83" w:rsidP="00FC3B83">
            <w:pPr>
              <w:pStyle w:val="Paragrafobase"/>
              <w:spacing w:before="120" w:line="320" w:lineRule="exact"/>
              <w:ind w:left="176"/>
              <w:rPr>
                <w:rFonts w:ascii="Calibri" w:hAnsi="Calibri" w:cs="Arial"/>
                <w:b/>
                <w:color w:val="FFFFFF"/>
                <w:sz w:val="28"/>
                <w:szCs w:val="28"/>
              </w:rPr>
            </w:pPr>
            <w:r>
              <w:rPr>
                <w:rFonts w:ascii="Calibri" w:hAnsi="Calibri" w:cs="Arial"/>
                <w:b/>
                <w:noProof/>
                <w:color w:val="FFFFFF"/>
                <w:sz w:val="28"/>
                <w:szCs w:val="28"/>
              </w:rPr>
              <w:drawing>
                <wp:anchor distT="0" distB="0" distL="114300" distR="114300" simplePos="0" relativeHeight="251679232" behindDoc="0" locked="0" layoutInCell="1" allowOverlap="1" wp14:anchorId="33A9AF12" wp14:editId="0FAE1471">
                  <wp:simplePos x="0" y="0"/>
                  <wp:positionH relativeFrom="column">
                    <wp:posOffset>1576594</wp:posOffset>
                  </wp:positionH>
                  <wp:positionV relativeFrom="paragraph">
                    <wp:posOffset>122555</wp:posOffset>
                  </wp:positionV>
                  <wp:extent cx="638175" cy="619125"/>
                  <wp:effectExtent l="0" t="0" r="0" b="0"/>
                  <wp:wrapNone/>
                  <wp:docPr id="35" name="Immagine 8" descr="Descrizione: iconeComunicati-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8" descr="Descrizione: iconeComunicati-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61ECE">
              <w:rPr>
                <w:rFonts w:ascii="Calibri" w:hAnsi="Calibri" w:cs="Arial"/>
                <w:b/>
                <w:color w:val="FFFFFF"/>
                <w:sz w:val="28"/>
                <w:szCs w:val="28"/>
              </w:rPr>
              <w:t>L’approfondimento</w:t>
            </w:r>
          </w:p>
          <w:p w:rsidR="00FC3B83" w:rsidRPr="002578CE" w:rsidRDefault="00FC3B83" w:rsidP="00FC3B83">
            <w:pPr>
              <w:pStyle w:val="Paragrafobase"/>
              <w:spacing w:before="60" w:after="60" w:line="240" w:lineRule="exact"/>
              <w:ind w:left="176" w:right="-391"/>
              <w:rPr>
                <w:rFonts w:ascii="Arial" w:hAnsi="Arial" w:cs="Arial"/>
                <w:sz w:val="21"/>
                <w:szCs w:val="21"/>
              </w:rPr>
            </w:pPr>
            <w:r>
              <w:rPr>
                <w:rFonts w:ascii="Arial Narrow" w:hAnsi="Arial Narrow" w:cs="Arial"/>
                <w:color w:val="FFFFFF"/>
                <w:sz w:val="22"/>
                <w:szCs w:val="22"/>
                <w:u w:val="single"/>
              </w:rPr>
              <w:t>pagina 10</w:t>
            </w:r>
          </w:p>
        </w:tc>
      </w:tr>
    </w:tbl>
    <w:p w:rsidR="00576F67" w:rsidRPr="00957753" w:rsidRDefault="00576F67" w:rsidP="00FC4BD2">
      <w:pPr>
        <w:widowControl/>
        <w:overflowPunct/>
        <w:autoSpaceDE/>
        <w:autoSpaceDN/>
        <w:adjustRightInd/>
        <w:spacing w:before="0" w:after="0" w:line="230" w:lineRule="exact"/>
        <w:ind w:left="357"/>
        <w:jc w:val="both"/>
        <w:rPr>
          <w:rFonts w:ascii="Arial" w:hAnsi="Arial" w:cs="Arial"/>
          <w:b/>
          <w:sz w:val="8"/>
          <w:szCs w:val="8"/>
          <w:lang w:val="en-US"/>
        </w:rPr>
        <w:sectPr w:rsidR="00576F67" w:rsidRPr="00957753" w:rsidSect="00DD3536">
          <w:headerReference w:type="default" r:id="rId25"/>
          <w:headerReference w:type="first" r:id="rId26"/>
          <w:pgSz w:w="11907" w:h="16840" w:code="9"/>
          <w:pgMar w:top="2238" w:right="851" w:bottom="680" w:left="851" w:header="567" w:footer="204" w:gutter="0"/>
          <w:cols w:space="720"/>
          <w:noEndnote/>
          <w:docGrid w:linePitch="272"/>
        </w:sectPr>
      </w:pPr>
    </w:p>
    <w:p w:rsidR="00487AB9" w:rsidRPr="00957753" w:rsidRDefault="00487AB9" w:rsidP="008D4068">
      <w:pPr>
        <w:pStyle w:val="001TitoGra"/>
        <w:spacing w:after="120" w:line="240" w:lineRule="auto"/>
        <w:rPr>
          <w:rFonts w:cs="Calibri"/>
          <w:bCs/>
          <w:color w:val="auto"/>
          <w:kern w:val="0"/>
          <w:lang w:val="en-US"/>
        </w:rPr>
      </w:pPr>
    </w:p>
    <w:p w:rsidR="00E273E3" w:rsidRPr="00C8504B" w:rsidRDefault="001033EA" w:rsidP="001033EA">
      <w:pPr>
        <w:pStyle w:val="001TitoGra"/>
        <w:rPr>
          <w:rFonts w:ascii="Arial" w:hAnsi="Arial"/>
          <w:b w:val="0"/>
          <w:color w:val="auto"/>
          <w:sz w:val="21"/>
          <w:szCs w:val="21"/>
        </w:rPr>
      </w:pPr>
      <w:r w:rsidRPr="00C8504B">
        <w:rPr>
          <w:rFonts w:cs="Calibri"/>
          <w:bCs/>
          <w:color w:val="FF0000"/>
          <w:kern w:val="0"/>
        </w:rPr>
        <w:t>FIGURA 1.</w:t>
      </w:r>
      <w:r w:rsidRPr="00C8504B">
        <w:rPr>
          <w:rFonts w:cs="Calibri"/>
          <w:bCs/>
          <w:kern w:val="0"/>
        </w:rPr>
        <w:t xml:space="preserve"> </w:t>
      </w:r>
      <w:r w:rsidR="00DA7A68" w:rsidRPr="00C8504B">
        <w:rPr>
          <w:rFonts w:cs="Calibri"/>
          <w:bCs/>
          <w:kern w:val="0"/>
        </w:rPr>
        <w:t>INDICI DEI PREZZI AL CONSUMO NIC</w:t>
      </w:r>
      <w:r w:rsidRPr="00C8504B">
        <w:rPr>
          <w:rFonts w:cs="Calibri"/>
          <w:bCs/>
          <w:color w:val="808080"/>
          <w:kern w:val="0"/>
        </w:rPr>
        <w:t xml:space="preserve"> </w:t>
      </w:r>
    </w:p>
    <w:p w:rsidR="001033EA" w:rsidRPr="00C8504B" w:rsidRDefault="005B7BD6" w:rsidP="00CB0759">
      <w:pPr>
        <w:pStyle w:val="001TitoGra"/>
        <w:spacing w:after="120" w:line="240" w:lineRule="auto"/>
        <w:rPr>
          <w:rFonts w:cs="Calibri"/>
          <w:b w:val="0"/>
          <w:kern w:val="0"/>
          <w:sz w:val="20"/>
          <w:szCs w:val="20"/>
        </w:rPr>
      </w:pPr>
      <w:r>
        <w:rPr>
          <w:b w:val="0"/>
          <w:sz w:val="20"/>
          <w:szCs w:val="20"/>
        </w:rPr>
        <w:t>Gennaio 2017</w:t>
      </w:r>
      <w:r w:rsidR="00141DAE" w:rsidRPr="00141DAE">
        <w:rPr>
          <w:b w:val="0"/>
          <w:sz w:val="20"/>
          <w:szCs w:val="20"/>
        </w:rPr>
        <w:t xml:space="preserve"> - </w:t>
      </w:r>
      <w:r w:rsidR="009B6ACA">
        <w:rPr>
          <w:b w:val="0"/>
          <w:sz w:val="20"/>
          <w:szCs w:val="20"/>
        </w:rPr>
        <w:t>settembre</w:t>
      </w:r>
      <w:r w:rsidR="009A20F3" w:rsidRPr="00F36E1D">
        <w:rPr>
          <w:b w:val="0"/>
          <w:sz w:val="20"/>
          <w:szCs w:val="20"/>
        </w:rPr>
        <w:t xml:space="preserve"> </w:t>
      </w:r>
      <w:r w:rsidR="00141DAE" w:rsidRPr="00141DAE">
        <w:rPr>
          <w:b w:val="0"/>
          <w:sz w:val="20"/>
          <w:szCs w:val="20"/>
        </w:rPr>
        <w:t>202</w:t>
      </w:r>
      <w:r>
        <w:rPr>
          <w:b w:val="0"/>
          <w:sz w:val="20"/>
          <w:szCs w:val="20"/>
        </w:rPr>
        <w:t>2</w:t>
      </w:r>
      <w:r w:rsidR="002A1B8C" w:rsidRPr="00C8504B">
        <w:rPr>
          <w:rFonts w:cs="Calibri"/>
          <w:b w:val="0"/>
          <w:kern w:val="0"/>
          <w:sz w:val="20"/>
          <w:szCs w:val="20"/>
        </w:rPr>
        <w:t>, variazioni percentuali congiunturali e tendenziali</w:t>
      </w:r>
      <w:r w:rsidR="0047143B" w:rsidRPr="00C8504B">
        <w:rPr>
          <w:rFonts w:cs="Calibri"/>
          <w:b w:val="0"/>
          <w:kern w:val="0"/>
          <w:sz w:val="20"/>
          <w:szCs w:val="20"/>
        </w:rPr>
        <w:t xml:space="preserve"> (base 2015=100)</w:t>
      </w:r>
    </w:p>
    <w:p w:rsidR="008D4068" w:rsidRPr="00C8504B" w:rsidRDefault="00C8411E" w:rsidP="005E34B4">
      <w:pPr>
        <w:pStyle w:val="001TitoGra"/>
        <w:spacing w:after="120" w:line="240" w:lineRule="auto"/>
      </w:pPr>
      <w:r>
        <w:rPr>
          <w:noProof/>
        </w:rPr>
        <w:drawing>
          <wp:inline distT="0" distB="0" distL="0" distR="0" wp14:anchorId="63A4A32A">
            <wp:extent cx="6443980" cy="322516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3980" cy="3225165"/>
                    </a:xfrm>
                    <a:prstGeom prst="rect">
                      <a:avLst/>
                    </a:prstGeom>
                    <a:noFill/>
                  </pic:spPr>
                </pic:pic>
              </a:graphicData>
            </a:graphic>
          </wp:inline>
        </w:drawing>
      </w:r>
    </w:p>
    <w:p w:rsidR="00377B2E" w:rsidRDefault="00377B2E" w:rsidP="00377B2E">
      <w:pPr>
        <w:pStyle w:val="001TitoGra"/>
        <w:spacing w:after="120" w:line="240" w:lineRule="auto"/>
        <w:rPr>
          <w:rFonts w:cs="Calibri"/>
          <w:bCs/>
          <w:color w:val="auto"/>
          <w:kern w:val="0"/>
        </w:rPr>
      </w:pPr>
    </w:p>
    <w:p w:rsidR="00487AB9" w:rsidRDefault="00487AB9" w:rsidP="00377B2E">
      <w:pPr>
        <w:pStyle w:val="001TitoGra"/>
        <w:spacing w:after="120" w:line="240" w:lineRule="auto"/>
        <w:rPr>
          <w:rFonts w:cs="Calibri"/>
          <w:bCs/>
          <w:color w:val="auto"/>
          <w:kern w:val="0"/>
        </w:rPr>
      </w:pPr>
    </w:p>
    <w:p w:rsidR="00743FF0" w:rsidRPr="00C8504B" w:rsidRDefault="00743FF0" w:rsidP="00377B2E">
      <w:pPr>
        <w:pStyle w:val="001TitoGra"/>
        <w:spacing w:after="120" w:line="240" w:lineRule="auto"/>
        <w:rPr>
          <w:rFonts w:cs="Calibri"/>
          <w:bCs/>
          <w:color w:val="auto"/>
          <w:kern w:val="0"/>
        </w:rPr>
      </w:pPr>
    </w:p>
    <w:p w:rsidR="005E34B4" w:rsidRPr="00C8504B" w:rsidRDefault="005E34B4" w:rsidP="005E34B4">
      <w:pPr>
        <w:pStyle w:val="001TitoGra"/>
        <w:spacing w:line="240" w:lineRule="auto"/>
      </w:pPr>
      <w:r w:rsidRPr="00C8504B">
        <w:rPr>
          <w:color w:val="E42618"/>
        </w:rPr>
        <w:t>PROSPETTO 1</w:t>
      </w:r>
      <w:r w:rsidRPr="00C8504B">
        <w:rPr>
          <w:color w:val="D90B13"/>
        </w:rPr>
        <w:t>.</w:t>
      </w:r>
      <w:r w:rsidRPr="00C8504B">
        <w:t xml:space="preserve"> </w:t>
      </w:r>
      <w:r w:rsidRPr="00C8504B">
        <w:rPr>
          <w:rFonts w:cs="Calibri"/>
          <w:bCs/>
          <w:kern w:val="0"/>
        </w:rPr>
        <w:t>INDICI DEI PREZZI AL CONSUMO NIC</w:t>
      </w:r>
      <w:r w:rsidR="00384595" w:rsidRPr="00C8504B">
        <w:rPr>
          <w:rFonts w:cs="Calibri"/>
          <w:bCs/>
          <w:kern w:val="0"/>
        </w:rPr>
        <w:t>,</w:t>
      </w:r>
      <w:r w:rsidRPr="00C8504B">
        <w:rPr>
          <w:rFonts w:cs="Calibri"/>
          <w:bCs/>
          <w:kern w:val="0"/>
        </w:rPr>
        <w:t xml:space="preserve"> IPCA</w:t>
      </w:r>
      <w:r w:rsidR="00384595" w:rsidRPr="00C8504B">
        <w:rPr>
          <w:rFonts w:cs="Calibri"/>
          <w:bCs/>
          <w:kern w:val="0"/>
        </w:rPr>
        <w:t xml:space="preserve"> E FOI</w:t>
      </w:r>
    </w:p>
    <w:p w:rsidR="005E34B4" w:rsidRDefault="009B6ACA" w:rsidP="005E34B4">
      <w:pPr>
        <w:pStyle w:val="001TitoGra"/>
        <w:spacing w:after="120" w:line="240" w:lineRule="auto"/>
        <w:rPr>
          <w:b w:val="0"/>
          <w:sz w:val="20"/>
          <w:szCs w:val="20"/>
        </w:rPr>
      </w:pPr>
      <w:r>
        <w:rPr>
          <w:b w:val="0"/>
          <w:sz w:val="20"/>
          <w:szCs w:val="20"/>
        </w:rPr>
        <w:t>Settembre</w:t>
      </w:r>
      <w:r w:rsidR="009A20F3">
        <w:rPr>
          <w:b w:val="0"/>
          <w:sz w:val="20"/>
          <w:szCs w:val="20"/>
        </w:rPr>
        <w:t xml:space="preserve"> </w:t>
      </w:r>
      <w:r w:rsidR="005B7BD6">
        <w:rPr>
          <w:b w:val="0"/>
          <w:sz w:val="20"/>
          <w:szCs w:val="20"/>
        </w:rPr>
        <w:t>2022</w:t>
      </w:r>
      <w:r w:rsidR="005F6217" w:rsidRPr="00C8504B">
        <w:rPr>
          <w:b w:val="0"/>
          <w:sz w:val="20"/>
          <w:szCs w:val="20"/>
        </w:rPr>
        <w:t>, i</w:t>
      </w:r>
      <w:r w:rsidR="005E34B4" w:rsidRPr="00C8504B">
        <w:rPr>
          <w:b w:val="0"/>
          <w:sz w:val="20"/>
          <w:szCs w:val="20"/>
        </w:rPr>
        <w:t>ndici e variazioni percentu</w:t>
      </w:r>
      <w:r w:rsidR="005F6217" w:rsidRPr="00C8504B">
        <w:rPr>
          <w:b w:val="0"/>
          <w:sz w:val="20"/>
          <w:szCs w:val="20"/>
        </w:rPr>
        <w:t>ali congiunturali e tendenziali</w:t>
      </w:r>
      <w:r w:rsidR="005E34B4" w:rsidRPr="00C8504B">
        <w:rPr>
          <w:b w:val="0"/>
          <w:sz w:val="20"/>
          <w:szCs w:val="20"/>
        </w:rPr>
        <w:t xml:space="preserve"> (base 2015=100)</w:t>
      </w:r>
    </w:p>
    <w:tbl>
      <w:tblPr>
        <w:tblW w:w="10206" w:type="dxa"/>
        <w:jc w:val="center"/>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4599"/>
        <w:gridCol w:w="1869"/>
        <w:gridCol w:w="1869"/>
        <w:gridCol w:w="1869"/>
      </w:tblGrid>
      <w:tr w:rsidR="00073BDC" w:rsidRPr="00C8504B" w:rsidTr="00073BDC">
        <w:trPr>
          <w:trHeight w:val="255"/>
          <w:jc w:val="center"/>
        </w:trPr>
        <w:tc>
          <w:tcPr>
            <w:tcW w:w="4599" w:type="dxa"/>
            <w:vMerge w:val="restart"/>
            <w:vAlign w:val="center"/>
          </w:tcPr>
          <w:p w:rsidR="00073BDC" w:rsidRPr="00C8504B" w:rsidRDefault="00073BDC" w:rsidP="00073BDC">
            <w:pPr>
              <w:tabs>
                <w:tab w:val="left" w:pos="5093"/>
              </w:tabs>
              <w:spacing w:before="40" w:after="20"/>
              <w:ind w:left="-57"/>
              <w:jc w:val="center"/>
              <w:rPr>
                <w:rFonts w:ascii="Arial Narrow" w:hAnsi="Arial Narrow" w:cs="Arial"/>
                <w:b/>
                <w:bCs/>
                <w:sz w:val="18"/>
                <w:szCs w:val="18"/>
              </w:rPr>
            </w:pPr>
          </w:p>
        </w:tc>
        <w:tc>
          <w:tcPr>
            <w:tcW w:w="1869" w:type="dxa"/>
            <w:shd w:val="clear" w:color="auto" w:fill="D9D9D9"/>
            <w:vAlign w:val="center"/>
          </w:tcPr>
          <w:p w:rsidR="00073BDC" w:rsidRPr="00C8504B" w:rsidRDefault="00073BDC" w:rsidP="00073BDC">
            <w:pPr>
              <w:tabs>
                <w:tab w:val="left" w:pos="5093"/>
              </w:tabs>
              <w:spacing w:before="40" w:after="20"/>
              <w:jc w:val="center"/>
              <w:rPr>
                <w:rFonts w:ascii="Arial Narrow" w:hAnsi="Arial Narrow" w:cs="Arial"/>
                <w:b/>
                <w:bCs/>
                <w:sz w:val="18"/>
                <w:szCs w:val="18"/>
              </w:rPr>
            </w:pPr>
            <w:r w:rsidRPr="00C8504B">
              <w:rPr>
                <w:rFonts w:ascii="Arial Narrow" w:hAnsi="Arial Narrow" w:cs="Arial"/>
                <w:b/>
                <w:bCs/>
                <w:snapToGrid w:val="0"/>
                <w:sz w:val="18"/>
                <w:szCs w:val="18"/>
              </w:rPr>
              <w:t>Indici</w:t>
            </w:r>
          </w:p>
        </w:tc>
        <w:tc>
          <w:tcPr>
            <w:tcW w:w="1869" w:type="dxa"/>
            <w:shd w:val="clear" w:color="auto" w:fill="auto"/>
            <w:vAlign w:val="center"/>
          </w:tcPr>
          <w:p w:rsidR="00073BDC" w:rsidRPr="00C8504B" w:rsidRDefault="00073BDC" w:rsidP="00073BDC">
            <w:pPr>
              <w:tabs>
                <w:tab w:val="left" w:pos="5093"/>
              </w:tabs>
              <w:spacing w:before="40" w:after="20"/>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1869" w:type="dxa"/>
            <w:shd w:val="clear" w:color="auto" w:fill="D9D9D9"/>
            <w:vAlign w:val="center"/>
          </w:tcPr>
          <w:p w:rsidR="00073BDC" w:rsidRPr="00C8504B" w:rsidRDefault="00073BDC" w:rsidP="00073BDC">
            <w:pPr>
              <w:tabs>
                <w:tab w:val="left" w:pos="5093"/>
              </w:tabs>
              <w:spacing w:before="40" w:after="20"/>
              <w:jc w:val="center"/>
              <w:rPr>
                <w:rFonts w:ascii="Arial Narrow" w:hAnsi="Arial Narrow" w:cs="Arial"/>
                <w:b/>
                <w:bCs/>
                <w:sz w:val="18"/>
                <w:szCs w:val="18"/>
              </w:rPr>
            </w:pPr>
            <w:r w:rsidRPr="00C8504B">
              <w:rPr>
                <w:rFonts w:ascii="Arial Narrow" w:hAnsi="Arial Narrow" w:cs="Arial"/>
                <w:b/>
                <w:bCs/>
                <w:sz w:val="18"/>
                <w:szCs w:val="18"/>
              </w:rPr>
              <w:t>Variazioni tendenziali</w:t>
            </w:r>
          </w:p>
        </w:tc>
      </w:tr>
      <w:tr w:rsidR="00C22A24" w:rsidRPr="00C8504B" w:rsidTr="00073BDC">
        <w:trPr>
          <w:trHeight w:val="255"/>
          <w:jc w:val="center"/>
        </w:trPr>
        <w:tc>
          <w:tcPr>
            <w:tcW w:w="4599" w:type="dxa"/>
            <w:vMerge/>
            <w:vAlign w:val="center"/>
          </w:tcPr>
          <w:p w:rsidR="00C22A24" w:rsidRPr="00C8504B" w:rsidRDefault="00C22A24" w:rsidP="00C22A24">
            <w:pPr>
              <w:tabs>
                <w:tab w:val="left" w:pos="5093"/>
              </w:tabs>
              <w:spacing w:before="40" w:after="20"/>
              <w:ind w:left="-57"/>
              <w:rPr>
                <w:rFonts w:ascii="Arial Narrow" w:hAnsi="Arial Narrow" w:cs="Arial"/>
                <w:b/>
                <w:bCs/>
                <w:sz w:val="18"/>
                <w:szCs w:val="18"/>
              </w:rPr>
            </w:pPr>
          </w:p>
        </w:tc>
        <w:tc>
          <w:tcPr>
            <w:tcW w:w="1869" w:type="dxa"/>
            <w:shd w:val="clear" w:color="auto" w:fill="auto"/>
            <w:vAlign w:val="center"/>
          </w:tcPr>
          <w:p w:rsidR="00C22A24" w:rsidRDefault="009B6ACA" w:rsidP="00C22A24">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settembre</w:t>
            </w:r>
          </w:p>
          <w:p w:rsidR="00C22A24" w:rsidRPr="00C8504B" w:rsidRDefault="00C22A24" w:rsidP="00C22A24">
            <w:pPr>
              <w:tabs>
                <w:tab w:val="left" w:pos="5093"/>
              </w:tabs>
              <w:spacing w:before="40" w:after="20"/>
              <w:jc w:val="right"/>
              <w:rPr>
                <w:rFonts w:ascii="Arial Narrow" w:hAnsi="Arial Narrow" w:cs="Arial"/>
                <w:bCs/>
                <w:sz w:val="18"/>
                <w:szCs w:val="18"/>
              </w:rPr>
            </w:pPr>
            <w:r>
              <w:rPr>
                <w:rFonts w:ascii="Arial Narrow" w:hAnsi="Arial Narrow" w:cs="Arial"/>
                <w:bCs/>
                <w:snapToGrid w:val="0"/>
                <w:sz w:val="18"/>
                <w:szCs w:val="18"/>
              </w:rPr>
              <w:t>2022</w:t>
            </w:r>
          </w:p>
        </w:tc>
        <w:tc>
          <w:tcPr>
            <w:tcW w:w="1869" w:type="dxa"/>
            <w:shd w:val="clear" w:color="auto" w:fill="auto"/>
            <w:vAlign w:val="center"/>
          </w:tcPr>
          <w:p w:rsidR="00C22A24" w:rsidRDefault="00932AA7" w:rsidP="00C22A24">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set</w:t>
            </w:r>
            <w:r w:rsidR="00C22A24">
              <w:rPr>
                <w:rFonts w:ascii="Arial Narrow" w:hAnsi="Arial Narrow" w:cs="Arial"/>
                <w:kern w:val="0"/>
                <w:sz w:val="18"/>
                <w:szCs w:val="18"/>
                <w:u w:val="single"/>
              </w:rPr>
              <w:t>-22</w:t>
            </w:r>
          </w:p>
          <w:p w:rsidR="00C22A24" w:rsidRPr="00E03E58" w:rsidRDefault="00932AA7" w:rsidP="00C22A24">
            <w:pPr>
              <w:widowControl/>
              <w:overflowPunct/>
              <w:autoSpaceDE/>
              <w:autoSpaceDN/>
              <w:adjustRightInd/>
              <w:spacing w:before="40" w:after="20"/>
              <w:jc w:val="right"/>
              <w:rPr>
                <w:rFonts w:ascii="Arial Narrow" w:hAnsi="Arial Narrow" w:cs="Arial"/>
                <w:kern w:val="0"/>
                <w:sz w:val="18"/>
                <w:szCs w:val="18"/>
              </w:rPr>
            </w:pPr>
            <w:r>
              <w:rPr>
                <w:rFonts w:ascii="Arial Narrow" w:hAnsi="Arial Narrow" w:cs="Arial"/>
                <w:kern w:val="0"/>
                <w:sz w:val="18"/>
                <w:szCs w:val="18"/>
              </w:rPr>
              <w:t>ago</w:t>
            </w:r>
            <w:r w:rsidR="00C22A24">
              <w:rPr>
                <w:rFonts w:ascii="Arial Narrow" w:hAnsi="Arial Narrow" w:cs="Arial"/>
                <w:kern w:val="0"/>
                <w:sz w:val="18"/>
                <w:szCs w:val="18"/>
              </w:rPr>
              <w:t>-22</w:t>
            </w:r>
          </w:p>
        </w:tc>
        <w:tc>
          <w:tcPr>
            <w:tcW w:w="1869" w:type="dxa"/>
            <w:shd w:val="clear" w:color="auto" w:fill="auto"/>
            <w:vAlign w:val="center"/>
          </w:tcPr>
          <w:p w:rsidR="00C22A24" w:rsidRDefault="00932AA7" w:rsidP="00C22A24">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set</w:t>
            </w:r>
            <w:r w:rsidR="00C22A24">
              <w:rPr>
                <w:rFonts w:ascii="Arial Narrow" w:hAnsi="Arial Narrow" w:cs="Arial"/>
                <w:kern w:val="0"/>
                <w:sz w:val="18"/>
                <w:szCs w:val="18"/>
                <w:u w:val="single"/>
              </w:rPr>
              <w:t>-22</w:t>
            </w:r>
          </w:p>
          <w:p w:rsidR="00C22A24" w:rsidRPr="00EF00E1" w:rsidRDefault="00932AA7" w:rsidP="00C22A24">
            <w:pPr>
              <w:tabs>
                <w:tab w:val="left" w:pos="5093"/>
              </w:tabs>
              <w:spacing w:before="40" w:after="20"/>
              <w:jc w:val="right"/>
              <w:rPr>
                <w:rFonts w:ascii="Arial Narrow" w:hAnsi="Arial Narrow" w:cs="Arial"/>
                <w:bCs/>
                <w:sz w:val="18"/>
                <w:szCs w:val="18"/>
              </w:rPr>
            </w:pPr>
            <w:r>
              <w:rPr>
                <w:rFonts w:ascii="Arial Narrow" w:hAnsi="Arial Narrow" w:cs="Arial"/>
                <w:kern w:val="0"/>
                <w:sz w:val="18"/>
                <w:szCs w:val="18"/>
              </w:rPr>
              <w:t>set</w:t>
            </w:r>
            <w:r w:rsidR="00C22A24">
              <w:rPr>
                <w:rFonts w:ascii="Arial Narrow" w:hAnsi="Arial Narrow" w:cs="Arial"/>
                <w:kern w:val="0"/>
                <w:sz w:val="18"/>
                <w:szCs w:val="18"/>
              </w:rPr>
              <w:t>-21</w:t>
            </w:r>
          </w:p>
        </w:tc>
      </w:tr>
      <w:tr w:rsidR="00253087" w:rsidRPr="00C8504B" w:rsidTr="00ED70FA">
        <w:trPr>
          <w:trHeight w:val="255"/>
          <w:jc w:val="center"/>
        </w:trPr>
        <w:tc>
          <w:tcPr>
            <w:tcW w:w="4599" w:type="dxa"/>
            <w:vAlign w:val="center"/>
          </w:tcPr>
          <w:p w:rsidR="00253087" w:rsidRPr="00C8504B" w:rsidRDefault="00253087" w:rsidP="00253087">
            <w:pPr>
              <w:tabs>
                <w:tab w:val="left" w:pos="5093"/>
              </w:tabs>
              <w:spacing w:before="40" w:after="20"/>
              <w:ind w:left="-57"/>
              <w:rPr>
                <w:rFonts w:ascii="Arial Narrow" w:hAnsi="Arial Narrow" w:cs="Arial"/>
                <w:bCs/>
                <w:sz w:val="18"/>
                <w:szCs w:val="18"/>
              </w:rPr>
            </w:pPr>
            <w:r w:rsidRPr="00C8504B">
              <w:rPr>
                <w:rFonts w:ascii="Arial Narrow" w:hAnsi="Arial Narrow" w:cs="Arial"/>
                <w:bCs/>
                <w:snapToGrid w:val="0"/>
                <w:sz w:val="18"/>
                <w:szCs w:val="18"/>
              </w:rPr>
              <w:t xml:space="preserve">Indice nazionale per l’intera collettività NIC </w:t>
            </w:r>
          </w:p>
        </w:tc>
        <w:tc>
          <w:tcPr>
            <w:tcW w:w="1869" w:type="dxa"/>
            <w:shd w:val="clear" w:color="auto" w:fill="D9D9D9"/>
            <w:vAlign w:val="bottom"/>
          </w:tcPr>
          <w:p w:rsidR="00253087" w:rsidRPr="00BC17DF" w:rsidRDefault="00253087"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114,2</w:t>
            </w:r>
          </w:p>
        </w:tc>
        <w:tc>
          <w:tcPr>
            <w:tcW w:w="1869" w:type="dxa"/>
            <w:shd w:val="clear" w:color="auto" w:fill="FFFFFF" w:themeFill="background1"/>
            <w:vAlign w:val="center"/>
          </w:tcPr>
          <w:p w:rsidR="00253087" w:rsidRPr="00BC17DF" w:rsidRDefault="00253087"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+0,3</w:t>
            </w:r>
          </w:p>
        </w:tc>
        <w:tc>
          <w:tcPr>
            <w:tcW w:w="1869" w:type="dxa"/>
            <w:shd w:val="clear" w:color="auto" w:fill="D9D9D9"/>
            <w:vAlign w:val="center"/>
          </w:tcPr>
          <w:p w:rsidR="00253087" w:rsidRPr="00BC17DF" w:rsidRDefault="00253087"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+8,9</w:t>
            </w:r>
          </w:p>
        </w:tc>
      </w:tr>
      <w:tr w:rsidR="00253087" w:rsidRPr="00C8504B" w:rsidTr="00ED70FA">
        <w:trPr>
          <w:trHeight w:val="255"/>
          <w:jc w:val="center"/>
        </w:trPr>
        <w:tc>
          <w:tcPr>
            <w:tcW w:w="4599" w:type="dxa"/>
            <w:vAlign w:val="center"/>
          </w:tcPr>
          <w:p w:rsidR="00253087" w:rsidRPr="00C8504B" w:rsidRDefault="00253087" w:rsidP="00253087">
            <w:pPr>
              <w:tabs>
                <w:tab w:val="left" w:pos="5093"/>
              </w:tabs>
              <w:spacing w:before="40" w:after="20"/>
              <w:ind w:left="-57"/>
              <w:rPr>
                <w:rFonts w:ascii="Arial Narrow" w:hAnsi="Arial Narrow" w:cs="Arial"/>
                <w:bCs/>
                <w:sz w:val="18"/>
                <w:szCs w:val="18"/>
              </w:rPr>
            </w:pPr>
            <w:r w:rsidRPr="00C8504B">
              <w:rPr>
                <w:rFonts w:ascii="Arial Narrow" w:hAnsi="Arial Narrow" w:cs="Arial"/>
                <w:bCs/>
                <w:snapToGrid w:val="0"/>
                <w:sz w:val="18"/>
                <w:szCs w:val="18"/>
              </w:rPr>
              <w:t xml:space="preserve">Indice armonizzato IPCA </w:t>
            </w:r>
          </w:p>
        </w:tc>
        <w:tc>
          <w:tcPr>
            <w:tcW w:w="1869" w:type="dxa"/>
            <w:shd w:val="clear" w:color="auto" w:fill="D9D9D9"/>
            <w:vAlign w:val="bottom"/>
          </w:tcPr>
          <w:p w:rsidR="00253087" w:rsidRPr="00BC17DF" w:rsidRDefault="00253087"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115,6</w:t>
            </w:r>
          </w:p>
        </w:tc>
        <w:tc>
          <w:tcPr>
            <w:tcW w:w="1869" w:type="dxa"/>
            <w:shd w:val="clear" w:color="auto" w:fill="FFFFFF" w:themeFill="background1"/>
            <w:vAlign w:val="center"/>
          </w:tcPr>
          <w:p w:rsidR="00253087" w:rsidRPr="00BC17DF" w:rsidRDefault="00253087"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+1,6</w:t>
            </w:r>
          </w:p>
        </w:tc>
        <w:tc>
          <w:tcPr>
            <w:tcW w:w="1869" w:type="dxa"/>
            <w:shd w:val="clear" w:color="auto" w:fill="D9D9D9"/>
            <w:vAlign w:val="center"/>
          </w:tcPr>
          <w:p w:rsidR="00253087" w:rsidRPr="00BC17DF" w:rsidRDefault="00253087"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+9,4</w:t>
            </w:r>
          </w:p>
        </w:tc>
      </w:tr>
      <w:tr w:rsidR="00253087" w:rsidRPr="00C8504B" w:rsidTr="00ED70FA">
        <w:trPr>
          <w:trHeight w:val="255"/>
          <w:jc w:val="center"/>
        </w:trPr>
        <w:tc>
          <w:tcPr>
            <w:tcW w:w="4599" w:type="dxa"/>
            <w:vAlign w:val="center"/>
          </w:tcPr>
          <w:p w:rsidR="00253087" w:rsidRPr="00C8504B" w:rsidRDefault="00253087" w:rsidP="00253087">
            <w:pPr>
              <w:tabs>
                <w:tab w:val="left" w:pos="5093"/>
              </w:tabs>
              <w:spacing w:before="40" w:after="20"/>
              <w:ind w:left="-57"/>
              <w:rPr>
                <w:rFonts w:ascii="Arial Narrow" w:hAnsi="Arial Narrow" w:cs="Arial"/>
                <w:bCs/>
                <w:snapToGrid w:val="0"/>
                <w:sz w:val="18"/>
                <w:szCs w:val="18"/>
              </w:rPr>
            </w:pPr>
            <w:r w:rsidRPr="00C8504B">
              <w:rPr>
                <w:rFonts w:ascii="Arial Narrow" w:hAnsi="Arial Narrow" w:cs="Arial"/>
                <w:bCs/>
                <w:snapToGrid w:val="0"/>
                <w:sz w:val="18"/>
                <w:szCs w:val="18"/>
              </w:rPr>
              <w:t>Indice per le famiglie di operai e impiegati FOI (senza tabacchi)</w:t>
            </w:r>
          </w:p>
        </w:tc>
        <w:tc>
          <w:tcPr>
            <w:tcW w:w="1869" w:type="dxa"/>
            <w:shd w:val="clear" w:color="auto" w:fill="D9D9D9"/>
            <w:vAlign w:val="bottom"/>
          </w:tcPr>
          <w:p w:rsidR="00253087" w:rsidRPr="00BC17DF" w:rsidRDefault="00253087"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113,5</w:t>
            </w:r>
          </w:p>
        </w:tc>
        <w:tc>
          <w:tcPr>
            <w:tcW w:w="1869" w:type="dxa"/>
            <w:shd w:val="clear" w:color="auto" w:fill="FFFFFF" w:themeFill="background1"/>
            <w:vAlign w:val="center"/>
          </w:tcPr>
          <w:p w:rsidR="00253087" w:rsidRPr="00BC17DF" w:rsidRDefault="00253087"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+0,3</w:t>
            </w:r>
          </w:p>
        </w:tc>
        <w:tc>
          <w:tcPr>
            <w:tcW w:w="1869" w:type="dxa"/>
            <w:shd w:val="clear" w:color="auto" w:fill="D9D9D9"/>
            <w:vAlign w:val="center"/>
          </w:tcPr>
          <w:p w:rsidR="00253087" w:rsidRPr="00BC17DF" w:rsidRDefault="00253087"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+8,6</w:t>
            </w:r>
          </w:p>
        </w:tc>
      </w:tr>
    </w:tbl>
    <w:p w:rsidR="001033EA" w:rsidRPr="00C8504B" w:rsidRDefault="001033EA" w:rsidP="00A235C2">
      <w:pPr>
        <w:pStyle w:val="001TitoGra"/>
        <w:spacing w:line="240" w:lineRule="auto"/>
        <w:rPr>
          <w:rFonts w:cs="Calibri"/>
          <w:b w:val="0"/>
          <w:kern w:val="0"/>
        </w:rPr>
      </w:pPr>
    </w:p>
    <w:p w:rsidR="00DD056D" w:rsidRPr="00C8504B" w:rsidRDefault="00DD056D" w:rsidP="00A235C2">
      <w:pPr>
        <w:pStyle w:val="001TitoGra"/>
        <w:spacing w:line="240" w:lineRule="auto"/>
        <w:rPr>
          <w:rFonts w:cs="Calibri"/>
          <w:b w:val="0"/>
          <w:kern w:val="0"/>
        </w:rPr>
        <w:sectPr w:rsidR="00DD056D" w:rsidRPr="00C8504B" w:rsidSect="000161B7">
          <w:headerReference w:type="default" r:id="rId28"/>
          <w:footerReference w:type="default" r:id="rId29"/>
          <w:footerReference w:type="first" r:id="rId30"/>
          <w:pgSz w:w="11907" w:h="16840" w:code="9"/>
          <w:pgMar w:top="1534" w:right="851" w:bottom="680" w:left="851" w:header="567" w:footer="567" w:gutter="0"/>
          <w:cols w:space="720"/>
          <w:noEndnote/>
          <w:titlePg/>
          <w:docGrid w:linePitch="272"/>
        </w:sectPr>
      </w:pPr>
    </w:p>
    <w:p w:rsidR="002F10E9" w:rsidRPr="002C12B2" w:rsidRDefault="002F10E9" w:rsidP="002F10E9">
      <w:pPr>
        <w:tabs>
          <w:tab w:val="left" w:pos="851"/>
          <w:tab w:val="left" w:pos="9639"/>
        </w:tabs>
        <w:spacing w:before="0" w:after="120"/>
        <w:jc w:val="both"/>
        <w:rPr>
          <w:rFonts w:ascii="Arial" w:hAnsi="Arial" w:cs="Arial"/>
          <w:iCs/>
          <w:sz w:val="21"/>
          <w:szCs w:val="21"/>
        </w:rPr>
      </w:pPr>
    </w:p>
    <w:p w:rsidR="002F10E9" w:rsidRPr="00C8504B" w:rsidRDefault="002F10E9" w:rsidP="002F10E9">
      <w:pPr>
        <w:pStyle w:val="00TitoGra1"/>
        <w:spacing w:line="240" w:lineRule="auto"/>
        <w:rPr>
          <w:color w:val="E42618"/>
          <w:szCs w:val="36"/>
        </w:rPr>
      </w:pPr>
      <w:r w:rsidRPr="00C8504B">
        <w:rPr>
          <w:color w:val="E42618"/>
          <w:szCs w:val="36"/>
        </w:rPr>
        <w:t>Indice nazionale dei prezzi al consumo per l’intera collettività (NIC)</w:t>
      </w:r>
      <w:r w:rsidRPr="00C8504B">
        <w:rPr>
          <w:color w:val="E42618"/>
          <w:szCs w:val="36"/>
        </w:rPr>
        <w:tab/>
      </w:r>
    </w:p>
    <w:p w:rsidR="002F10E9" w:rsidRPr="002C12B2" w:rsidRDefault="002F10E9" w:rsidP="002F10E9">
      <w:pPr>
        <w:tabs>
          <w:tab w:val="left" w:pos="851"/>
          <w:tab w:val="left" w:pos="9639"/>
        </w:tabs>
        <w:spacing w:before="0" w:after="120"/>
        <w:jc w:val="both"/>
        <w:rPr>
          <w:rFonts w:ascii="Arial" w:hAnsi="Arial" w:cs="Arial"/>
          <w:iCs/>
          <w:sz w:val="21"/>
          <w:szCs w:val="21"/>
        </w:rPr>
      </w:pPr>
    </w:p>
    <w:p w:rsidR="00C423DB" w:rsidRPr="00C8504B" w:rsidRDefault="00C423DB" w:rsidP="00BD0487">
      <w:pPr>
        <w:pStyle w:val="001TitoloBolocco"/>
        <w:spacing w:after="120" w:line="240" w:lineRule="auto"/>
      </w:pPr>
      <w:r w:rsidRPr="00C8504B">
        <w:t>Le divisioni di spesa</w:t>
      </w:r>
    </w:p>
    <w:p w:rsidR="003643F1" w:rsidRDefault="003643F1" w:rsidP="003643F1">
      <w:pPr>
        <w:tabs>
          <w:tab w:val="left" w:pos="851"/>
          <w:tab w:val="left" w:pos="9639"/>
        </w:tabs>
        <w:spacing w:before="0" w:after="120"/>
        <w:jc w:val="both"/>
        <w:rPr>
          <w:rFonts w:ascii="Arial" w:hAnsi="Arial" w:cs="Arial"/>
          <w:iCs/>
          <w:sz w:val="21"/>
          <w:szCs w:val="21"/>
        </w:rPr>
      </w:pPr>
      <w:r w:rsidRPr="00797809">
        <w:rPr>
          <w:rFonts w:ascii="Arial" w:hAnsi="Arial" w:cs="Arial"/>
          <w:iCs/>
          <w:sz w:val="21"/>
          <w:szCs w:val="21"/>
        </w:rPr>
        <w:t xml:space="preserve">A </w:t>
      </w:r>
      <w:r>
        <w:rPr>
          <w:rFonts w:ascii="Arial" w:hAnsi="Arial" w:cs="Arial"/>
          <w:iCs/>
          <w:sz w:val="21"/>
          <w:szCs w:val="21"/>
        </w:rPr>
        <w:t>settembre</w:t>
      </w:r>
      <w:r w:rsidRPr="00797809">
        <w:rPr>
          <w:rFonts w:ascii="Arial" w:hAnsi="Arial" w:cs="Arial"/>
          <w:iCs/>
          <w:sz w:val="21"/>
          <w:szCs w:val="21"/>
        </w:rPr>
        <w:t xml:space="preserve"> l</w:t>
      </w:r>
      <w:r>
        <w:rPr>
          <w:rFonts w:ascii="Arial" w:hAnsi="Arial" w:cs="Arial"/>
          <w:iCs/>
          <w:sz w:val="21"/>
          <w:szCs w:val="21"/>
        </w:rPr>
        <w:t>’accelerazione dell</w:t>
      </w:r>
      <w:r w:rsidRPr="00797809">
        <w:rPr>
          <w:rFonts w:ascii="Arial" w:hAnsi="Arial" w:cs="Arial"/>
          <w:iCs/>
          <w:sz w:val="21"/>
          <w:szCs w:val="21"/>
        </w:rPr>
        <w:t xml:space="preserve">a crescita tendenziale dei prezzi al consumo si deve prevalentemente </w:t>
      </w:r>
      <w:r>
        <w:rPr>
          <w:rFonts w:ascii="Arial" w:hAnsi="Arial" w:cs="Arial"/>
          <w:iCs/>
          <w:sz w:val="21"/>
          <w:szCs w:val="21"/>
        </w:rPr>
        <w:t>a quella</w:t>
      </w:r>
      <w:r w:rsidRPr="00797809">
        <w:rPr>
          <w:rFonts w:ascii="Arial" w:hAnsi="Arial" w:cs="Arial"/>
          <w:iCs/>
          <w:sz w:val="21"/>
          <w:szCs w:val="21"/>
        </w:rPr>
        <w:t xml:space="preserve"> dei prezzi d</w:t>
      </w:r>
      <w:r>
        <w:rPr>
          <w:rFonts w:ascii="Arial" w:hAnsi="Arial" w:cs="Arial"/>
          <w:iCs/>
          <w:sz w:val="21"/>
          <w:szCs w:val="21"/>
        </w:rPr>
        <w:t>ei</w:t>
      </w:r>
      <w:r w:rsidRPr="00797809">
        <w:rPr>
          <w:rFonts w:ascii="Arial" w:hAnsi="Arial" w:cs="Arial"/>
          <w:iCs/>
          <w:sz w:val="21"/>
          <w:szCs w:val="21"/>
        </w:rPr>
        <w:t xml:space="preserve"> Prodotti alimentari e bevande analcoliche (da +10,</w:t>
      </w:r>
      <w:r>
        <w:rPr>
          <w:rFonts w:ascii="Arial" w:hAnsi="Arial" w:cs="Arial"/>
          <w:iCs/>
          <w:sz w:val="21"/>
          <w:szCs w:val="21"/>
        </w:rPr>
        <w:t>5</w:t>
      </w:r>
      <w:r w:rsidRPr="00797809">
        <w:rPr>
          <w:rFonts w:ascii="Arial" w:hAnsi="Arial" w:cs="Arial"/>
          <w:iCs/>
          <w:sz w:val="21"/>
          <w:szCs w:val="21"/>
        </w:rPr>
        <w:t xml:space="preserve">% </w:t>
      </w:r>
      <w:r>
        <w:rPr>
          <w:rFonts w:ascii="Arial" w:hAnsi="Arial" w:cs="Arial"/>
          <w:iCs/>
          <w:sz w:val="21"/>
          <w:szCs w:val="21"/>
        </w:rPr>
        <w:t xml:space="preserve">di agosto </w:t>
      </w:r>
      <w:r w:rsidRPr="00797809">
        <w:rPr>
          <w:rFonts w:ascii="Arial" w:hAnsi="Arial" w:cs="Arial"/>
          <w:iCs/>
          <w:sz w:val="21"/>
          <w:szCs w:val="21"/>
        </w:rPr>
        <w:t>a +</w:t>
      </w:r>
      <w:r>
        <w:rPr>
          <w:rFonts w:ascii="Arial" w:hAnsi="Arial" w:cs="Arial"/>
          <w:iCs/>
          <w:sz w:val="21"/>
          <w:szCs w:val="21"/>
        </w:rPr>
        <w:t>11,7</w:t>
      </w:r>
      <w:r w:rsidRPr="00797809">
        <w:rPr>
          <w:rFonts w:ascii="Arial" w:hAnsi="Arial" w:cs="Arial"/>
          <w:iCs/>
          <w:sz w:val="21"/>
          <w:szCs w:val="21"/>
        </w:rPr>
        <w:t>%)</w:t>
      </w:r>
      <w:r>
        <w:rPr>
          <w:rFonts w:ascii="Arial" w:hAnsi="Arial" w:cs="Arial"/>
          <w:iCs/>
          <w:sz w:val="21"/>
          <w:szCs w:val="21"/>
        </w:rPr>
        <w:t>, dei Servizi ricettivi e di ristorazione (da +6,5% a +8,0%) e, in misura minore, dei prezzi di Abbigliamento e calzature</w:t>
      </w:r>
      <w:r w:rsidRPr="00797809">
        <w:rPr>
          <w:rFonts w:ascii="Arial" w:hAnsi="Arial" w:cs="Arial"/>
          <w:iCs/>
          <w:sz w:val="21"/>
          <w:szCs w:val="21"/>
        </w:rPr>
        <w:t xml:space="preserve"> (da +</w:t>
      </w:r>
      <w:r>
        <w:rPr>
          <w:rFonts w:ascii="Arial" w:hAnsi="Arial" w:cs="Arial"/>
          <w:iCs/>
          <w:sz w:val="21"/>
          <w:szCs w:val="21"/>
        </w:rPr>
        <w:t>1,8</w:t>
      </w:r>
      <w:r w:rsidRPr="00797809">
        <w:rPr>
          <w:rFonts w:ascii="Arial" w:hAnsi="Arial" w:cs="Arial"/>
          <w:iCs/>
          <w:sz w:val="21"/>
          <w:szCs w:val="21"/>
        </w:rPr>
        <w:t>% a +</w:t>
      </w:r>
      <w:r>
        <w:rPr>
          <w:rFonts w:ascii="Arial" w:hAnsi="Arial" w:cs="Arial"/>
          <w:iCs/>
          <w:sz w:val="21"/>
          <w:szCs w:val="21"/>
        </w:rPr>
        <w:t>2,5</w:t>
      </w:r>
      <w:r w:rsidRPr="00797809">
        <w:rPr>
          <w:rFonts w:ascii="Arial" w:hAnsi="Arial" w:cs="Arial"/>
          <w:iCs/>
          <w:sz w:val="21"/>
          <w:szCs w:val="21"/>
        </w:rPr>
        <w:t>%)</w:t>
      </w:r>
      <w:r>
        <w:rPr>
          <w:rFonts w:ascii="Arial" w:hAnsi="Arial" w:cs="Arial"/>
          <w:iCs/>
          <w:sz w:val="21"/>
          <w:szCs w:val="21"/>
        </w:rPr>
        <w:t xml:space="preserve">, di Abitazione, acqua, elettricità e combustibili (da +31,5% a +32,1%) e di </w:t>
      </w:r>
      <w:r w:rsidRPr="006D1800">
        <w:rPr>
          <w:rFonts w:ascii="Arial" w:hAnsi="Arial" w:cs="Arial"/>
          <w:iCs/>
          <w:sz w:val="21"/>
          <w:szCs w:val="21"/>
        </w:rPr>
        <w:t>Mobili, articoli e servizi per la casa</w:t>
      </w:r>
      <w:r>
        <w:rPr>
          <w:rFonts w:ascii="Arial" w:hAnsi="Arial" w:cs="Arial"/>
          <w:iCs/>
          <w:sz w:val="21"/>
          <w:szCs w:val="21"/>
        </w:rPr>
        <w:t xml:space="preserve"> (da +6,0% a +6,5%), con i prezzi delle Comunicazioni che registrano una flessione meno ampia (da -3,7% a -3,0%) </w:t>
      </w:r>
      <w:r w:rsidRPr="00797809">
        <w:rPr>
          <w:rFonts w:ascii="Arial" w:hAnsi="Arial" w:cs="Arial"/>
          <w:iCs/>
          <w:sz w:val="21"/>
          <w:szCs w:val="21"/>
        </w:rPr>
        <w:t xml:space="preserve">(Prospetto 2 e Figura 2). Tale dinamica è stata </w:t>
      </w:r>
      <w:r>
        <w:rPr>
          <w:rFonts w:ascii="Arial" w:hAnsi="Arial" w:cs="Arial"/>
          <w:iCs/>
          <w:sz w:val="21"/>
          <w:szCs w:val="21"/>
        </w:rPr>
        <w:t xml:space="preserve">solo </w:t>
      </w:r>
      <w:r w:rsidRPr="00797809">
        <w:rPr>
          <w:rFonts w:ascii="Arial" w:hAnsi="Arial" w:cs="Arial"/>
          <w:iCs/>
          <w:sz w:val="21"/>
          <w:szCs w:val="21"/>
        </w:rPr>
        <w:t>in parte compensata dal rallentamento dei prezzi dei Trasporti (da +</w:t>
      </w:r>
      <w:r>
        <w:rPr>
          <w:rFonts w:ascii="Arial" w:hAnsi="Arial" w:cs="Arial"/>
          <w:iCs/>
          <w:sz w:val="21"/>
          <w:szCs w:val="21"/>
        </w:rPr>
        <w:t>10,3</w:t>
      </w:r>
      <w:r w:rsidRPr="00797809">
        <w:rPr>
          <w:rFonts w:ascii="Arial" w:hAnsi="Arial" w:cs="Arial"/>
          <w:iCs/>
          <w:sz w:val="21"/>
          <w:szCs w:val="21"/>
        </w:rPr>
        <w:t>% a +</w:t>
      </w:r>
      <w:r>
        <w:rPr>
          <w:rFonts w:ascii="Arial" w:hAnsi="Arial" w:cs="Arial"/>
          <w:iCs/>
          <w:sz w:val="21"/>
          <w:szCs w:val="21"/>
        </w:rPr>
        <w:t>9,5%).</w:t>
      </w:r>
    </w:p>
    <w:p w:rsidR="00BC6184" w:rsidRDefault="00BC6184" w:rsidP="00BC6184">
      <w:pPr>
        <w:tabs>
          <w:tab w:val="left" w:pos="851"/>
          <w:tab w:val="left" w:pos="9639"/>
        </w:tabs>
        <w:spacing w:before="0" w:after="120"/>
        <w:jc w:val="both"/>
        <w:rPr>
          <w:rFonts w:ascii="Arial" w:hAnsi="Arial" w:cs="Arial"/>
          <w:iCs/>
          <w:sz w:val="21"/>
          <w:szCs w:val="21"/>
        </w:rPr>
      </w:pPr>
      <w:r w:rsidRPr="00797809">
        <w:rPr>
          <w:rFonts w:ascii="Arial" w:hAnsi="Arial" w:cs="Arial"/>
          <w:iCs/>
          <w:sz w:val="21"/>
          <w:szCs w:val="21"/>
        </w:rPr>
        <w:t>In termini di contributi, l’inflazione è quindi dovuta principalmente ai prezzi di Abitazione, acqua, elettricità e combustibili</w:t>
      </w:r>
      <w:r w:rsidRPr="00797809" w:rsidDel="002F3F09">
        <w:rPr>
          <w:rFonts w:ascii="Arial" w:hAnsi="Arial" w:cs="Arial"/>
          <w:iCs/>
          <w:sz w:val="21"/>
          <w:szCs w:val="21"/>
        </w:rPr>
        <w:t xml:space="preserve"> </w:t>
      </w:r>
      <w:r w:rsidRPr="00797809">
        <w:rPr>
          <w:rFonts w:ascii="Arial" w:hAnsi="Arial" w:cs="Arial"/>
          <w:iCs/>
          <w:sz w:val="21"/>
          <w:szCs w:val="21"/>
        </w:rPr>
        <w:t>(+3,</w:t>
      </w:r>
      <w:r>
        <w:rPr>
          <w:rFonts w:ascii="Arial" w:hAnsi="Arial" w:cs="Arial"/>
          <w:iCs/>
          <w:sz w:val="21"/>
          <w:szCs w:val="21"/>
        </w:rPr>
        <w:t>429</w:t>
      </w:r>
      <w:r w:rsidRPr="00797809">
        <w:rPr>
          <w:rFonts w:ascii="Arial" w:hAnsi="Arial" w:cs="Arial"/>
          <w:iCs/>
          <w:sz w:val="21"/>
          <w:szCs w:val="21"/>
        </w:rPr>
        <w:t xml:space="preserve"> punti percentuali), dei Prodotti alimentari e bevande analcoliche (+</w:t>
      </w:r>
      <w:r>
        <w:rPr>
          <w:rFonts w:ascii="Arial" w:hAnsi="Arial" w:cs="Arial"/>
          <w:iCs/>
          <w:sz w:val="21"/>
          <w:szCs w:val="21"/>
        </w:rPr>
        <w:t>2,161</w:t>
      </w:r>
      <w:r w:rsidRPr="00797809">
        <w:rPr>
          <w:rFonts w:ascii="Arial" w:hAnsi="Arial" w:cs="Arial"/>
          <w:iCs/>
          <w:sz w:val="21"/>
          <w:szCs w:val="21"/>
        </w:rPr>
        <w:t>) e dei Trasporti (+1,</w:t>
      </w:r>
      <w:r>
        <w:rPr>
          <w:rFonts w:ascii="Arial" w:hAnsi="Arial" w:cs="Arial"/>
          <w:iCs/>
          <w:sz w:val="21"/>
          <w:szCs w:val="21"/>
        </w:rPr>
        <w:t>334</w:t>
      </w:r>
      <w:r w:rsidRPr="00797809">
        <w:rPr>
          <w:rFonts w:ascii="Arial" w:hAnsi="Arial" w:cs="Arial"/>
          <w:iCs/>
          <w:sz w:val="21"/>
          <w:szCs w:val="21"/>
        </w:rPr>
        <w:t xml:space="preserve">). </w:t>
      </w:r>
      <w:r>
        <w:rPr>
          <w:rFonts w:ascii="Arial" w:hAnsi="Arial" w:cs="Arial"/>
          <w:iCs/>
          <w:sz w:val="21"/>
          <w:szCs w:val="21"/>
        </w:rPr>
        <w:t>L’unico c</w:t>
      </w:r>
      <w:r w:rsidRPr="00607564">
        <w:rPr>
          <w:rFonts w:ascii="Arial" w:hAnsi="Arial" w:cs="Arial"/>
          <w:iCs/>
          <w:sz w:val="21"/>
          <w:szCs w:val="21"/>
        </w:rPr>
        <w:t xml:space="preserve">ontributo negativo </w:t>
      </w:r>
      <w:r>
        <w:rPr>
          <w:rFonts w:ascii="Arial" w:hAnsi="Arial" w:cs="Arial"/>
          <w:iCs/>
          <w:sz w:val="21"/>
          <w:szCs w:val="21"/>
        </w:rPr>
        <w:t>è quello dei</w:t>
      </w:r>
      <w:r w:rsidRPr="00797809">
        <w:rPr>
          <w:rFonts w:ascii="Arial" w:hAnsi="Arial" w:cs="Arial"/>
          <w:iCs/>
          <w:sz w:val="21"/>
          <w:szCs w:val="21"/>
        </w:rPr>
        <w:t xml:space="preserve"> prezzi delle Comunicazioni (-0,0</w:t>
      </w:r>
      <w:r>
        <w:rPr>
          <w:rFonts w:ascii="Arial" w:hAnsi="Arial" w:cs="Arial"/>
          <w:iCs/>
          <w:sz w:val="21"/>
          <w:szCs w:val="21"/>
        </w:rPr>
        <w:t>80</w:t>
      </w:r>
      <w:r w:rsidRPr="00797809">
        <w:rPr>
          <w:rFonts w:ascii="Arial" w:hAnsi="Arial" w:cs="Arial"/>
          <w:iCs/>
          <w:sz w:val="21"/>
          <w:szCs w:val="21"/>
        </w:rPr>
        <w:t>).</w:t>
      </w:r>
    </w:p>
    <w:p w:rsidR="002C12B2" w:rsidRDefault="002C12B2" w:rsidP="00D1705F">
      <w:pPr>
        <w:tabs>
          <w:tab w:val="left" w:pos="851"/>
          <w:tab w:val="left" w:pos="9639"/>
        </w:tabs>
        <w:spacing w:before="0" w:after="120"/>
        <w:jc w:val="both"/>
        <w:rPr>
          <w:rFonts w:ascii="Arial" w:hAnsi="Arial" w:cs="Arial"/>
          <w:iCs/>
          <w:sz w:val="21"/>
          <w:szCs w:val="21"/>
        </w:rPr>
      </w:pPr>
    </w:p>
    <w:p w:rsidR="00704407" w:rsidRDefault="005F50EA" w:rsidP="00704407">
      <w:pPr>
        <w:pStyle w:val="Corpotesto"/>
        <w:tabs>
          <w:tab w:val="left" w:pos="6237"/>
        </w:tabs>
        <w:spacing w:line="240" w:lineRule="exact"/>
        <w:jc w:val="both"/>
        <w:rPr>
          <w:rFonts w:ascii="Arial Narrow" w:hAnsi="Arial Narrow" w:cs="Calibri"/>
          <w:b/>
          <w:bCs/>
          <w:color w:val="5F5F5F"/>
          <w:kern w:val="0"/>
          <w:sz w:val="22"/>
          <w:szCs w:val="22"/>
        </w:rPr>
      </w:pPr>
      <w:r w:rsidRPr="00C8504B">
        <w:rPr>
          <w:rFonts w:ascii="Arial Narrow" w:hAnsi="Arial Narrow" w:cs="Arial"/>
          <w:b/>
          <w:color w:val="E42618"/>
          <w:sz w:val="22"/>
          <w:szCs w:val="22"/>
        </w:rPr>
        <w:t xml:space="preserve">PROSPETTO </w:t>
      </w:r>
      <w:r w:rsidR="00E74721" w:rsidRPr="00C8504B">
        <w:rPr>
          <w:rFonts w:ascii="Arial Narrow" w:hAnsi="Arial Narrow" w:cs="Arial"/>
          <w:b/>
          <w:color w:val="E42618"/>
          <w:sz w:val="22"/>
          <w:szCs w:val="22"/>
        </w:rPr>
        <w:t>2</w:t>
      </w:r>
      <w:r w:rsidRPr="00C8504B">
        <w:rPr>
          <w:rFonts w:ascii="Arial Narrow" w:hAnsi="Arial Narrow" w:cs="Arial"/>
          <w:b/>
          <w:color w:val="E42618"/>
          <w:sz w:val="22"/>
          <w:szCs w:val="22"/>
        </w:rPr>
        <w:t>.</w:t>
      </w:r>
      <w:r w:rsidRPr="00C8504B">
        <w:rPr>
          <w:rFonts w:ascii="Arial Narrow" w:hAnsi="Arial Narrow" w:cs="Arial"/>
          <w:b/>
          <w:color w:val="2298D1"/>
          <w:sz w:val="22"/>
          <w:szCs w:val="22"/>
        </w:rPr>
        <w:t xml:space="preserve"> </w:t>
      </w:r>
      <w:r w:rsidR="00C423DB" w:rsidRPr="00C8504B">
        <w:rPr>
          <w:rFonts w:ascii="Arial Narrow" w:hAnsi="Arial Narrow" w:cs="Calibri"/>
          <w:b/>
          <w:bCs/>
          <w:color w:val="5F5F5F"/>
          <w:kern w:val="0"/>
          <w:sz w:val="22"/>
          <w:szCs w:val="22"/>
        </w:rPr>
        <w:t>I</w:t>
      </w:r>
      <w:r w:rsidR="00FA79D6" w:rsidRPr="00C8504B">
        <w:rPr>
          <w:rFonts w:ascii="Arial Narrow" w:hAnsi="Arial Narrow" w:cs="Calibri"/>
          <w:b/>
          <w:bCs/>
          <w:color w:val="5F5F5F"/>
          <w:kern w:val="0"/>
          <w:sz w:val="22"/>
          <w:szCs w:val="22"/>
        </w:rPr>
        <w:t>NDICI DEI PREZZI AL CONSUMO NIC</w:t>
      </w:r>
      <w:r w:rsidR="00C423DB" w:rsidRPr="00C8504B">
        <w:rPr>
          <w:rFonts w:ascii="Arial Narrow" w:hAnsi="Arial Narrow" w:cs="Calibri"/>
          <w:b/>
          <w:bCs/>
          <w:color w:val="5F5F5F"/>
          <w:kern w:val="0"/>
          <w:sz w:val="22"/>
          <w:szCs w:val="22"/>
        </w:rPr>
        <w:t xml:space="preserve"> PER DIVISIONE DI SPESA</w:t>
      </w:r>
      <w:r w:rsidR="00B359A0">
        <w:rPr>
          <w:rFonts w:ascii="Arial Narrow" w:hAnsi="Arial Narrow" w:cs="Calibri"/>
          <w:b/>
          <w:bCs/>
          <w:color w:val="5F5F5F"/>
          <w:kern w:val="0"/>
          <w:sz w:val="22"/>
          <w:szCs w:val="22"/>
        </w:rPr>
        <w:t xml:space="preserve">, </w:t>
      </w:r>
    </w:p>
    <w:p w:rsidR="00C423DB" w:rsidRPr="00C8504B" w:rsidRDefault="009B6ACA" w:rsidP="00201869">
      <w:pPr>
        <w:pStyle w:val="Corpotesto"/>
        <w:tabs>
          <w:tab w:val="left" w:pos="6237"/>
        </w:tabs>
        <w:spacing w:after="120" w:line="240" w:lineRule="exact"/>
        <w:jc w:val="both"/>
        <w:rPr>
          <w:rFonts w:ascii="Arial Narrow" w:hAnsi="Arial Narrow" w:cs="Arial"/>
          <w:color w:val="5F5F5F"/>
        </w:rPr>
      </w:pPr>
      <w:r>
        <w:rPr>
          <w:rFonts w:ascii="Arial Narrow" w:hAnsi="Arial Narrow" w:cs="Arial"/>
          <w:color w:val="5F5F5F"/>
        </w:rPr>
        <w:t>Settembre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003630E3" w:rsidRPr="00C8504B">
        <w:rPr>
          <w:rFonts w:ascii="Arial Narrow" w:hAnsi="Arial Narrow" w:cs="Arial"/>
          <w:color w:val="5F5F5F"/>
        </w:rPr>
        <w:t xml:space="preserve">, pesi, </w:t>
      </w:r>
      <w:r w:rsidR="002A44B4">
        <w:rPr>
          <w:rFonts w:ascii="Arial Narrow" w:hAnsi="Arial Narrow" w:cs="Arial"/>
          <w:color w:val="5F5F5F"/>
        </w:rPr>
        <w:t>variazioni perc</w:t>
      </w:r>
      <w:r w:rsidR="006C5F1A">
        <w:rPr>
          <w:rFonts w:ascii="Arial Narrow" w:hAnsi="Arial Narrow" w:cs="Arial"/>
          <w:color w:val="5F5F5F"/>
        </w:rPr>
        <w:t>entuali</w:t>
      </w:r>
      <w:r w:rsidR="0060323E" w:rsidRPr="00C8504B">
        <w:rPr>
          <w:rFonts w:ascii="Arial Narrow" w:hAnsi="Arial Narrow" w:cs="Arial"/>
          <w:color w:val="5F5F5F"/>
        </w:rPr>
        <w:t xml:space="preserve"> congiunturali e tendenziali (base 2015=100)</w:t>
      </w:r>
      <w:r w:rsidR="00A25192" w:rsidRPr="00C8504B">
        <w:rPr>
          <w:rFonts w:ascii="Arial Narrow" w:hAnsi="Arial Narrow" w:cs="Arial"/>
          <w:color w:val="5F5F5F"/>
        </w:rPr>
        <w:t xml:space="preserve"> e</w:t>
      </w:r>
      <w:r w:rsidR="003630E3" w:rsidRPr="00C8504B">
        <w:rPr>
          <w:rFonts w:ascii="Arial Narrow" w:hAnsi="Arial Narrow" w:cs="Arial"/>
          <w:color w:val="5F5F5F"/>
        </w:rPr>
        <w:t xml:space="preserve"> contributi</w:t>
      </w:r>
      <w:r w:rsidR="00A25192" w:rsidRPr="00C8504B">
        <w:rPr>
          <w:rFonts w:ascii="Arial Narrow" w:hAnsi="Arial Narrow" w:cs="Arial"/>
          <w:color w:val="5F5F5F"/>
        </w:rPr>
        <w:t xml:space="preserve"> </w:t>
      </w:r>
      <w:r w:rsidR="00C17464" w:rsidRPr="00C8504B">
        <w:rPr>
          <w:rFonts w:ascii="Arial Narrow" w:hAnsi="Arial Narrow" w:cs="Arial"/>
          <w:color w:val="5F5F5F"/>
        </w:rPr>
        <w:t>alla variazione tend</w:t>
      </w:r>
      <w:r w:rsidR="00704407">
        <w:rPr>
          <w:rFonts w:ascii="Arial Narrow" w:hAnsi="Arial Narrow" w:cs="Arial"/>
          <w:color w:val="5F5F5F"/>
        </w:rPr>
        <w:t>.</w:t>
      </w:r>
      <w:r w:rsidR="00C17464" w:rsidRPr="00C8504B">
        <w:rPr>
          <w:rFonts w:ascii="Arial Narrow" w:hAnsi="Arial Narrow" w:cs="Arial"/>
          <w:color w:val="5F5F5F"/>
        </w:rPr>
        <w:t xml:space="preserve"> dell’indice generale</w:t>
      </w:r>
    </w:p>
    <w:tbl>
      <w:tblPr>
        <w:tblW w:w="10348" w:type="dxa"/>
        <w:tblInd w:w="70" w:type="dxa"/>
        <w:tblBorders>
          <w:top w:val="single" w:sz="4" w:space="0" w:color="000000"/>
          <w:bottom w:val="single" w:sz="4" w:space="0" w:color="000000"/>
          <w:insideH w:val="single" w:sz="4" w:space="0" w:color="000000"/>
        </w:tblBorders>
        <w:tblCellMar>
          <w:left w:w="70" w:type="dxa"/>
          <w:right w:w="0" w:type="dxa"/>
        </w:tblCellMar>
        <w:tblLook w:val="0000" w:firstRow="0" w:lastRow="0" w:firstColumn="0" w:lastColumn="0" w:noHBand="0" w:noVBand="0"/>
      </w:tblPr>
      <w:tblGrid>
        <w:gridCol w:w="3119"/>
        <w:gridCol w:w="1018"/>
        <w:gridCol w:w="845"/>
        <w:gridCol w:w="972"/>
        <w:gridCol w:w="931"/>
        <w:gridCol w:w="931"/>
        <w:gridCol w:w="1540"/>
        <w:gridCol w:w="992"/>
      </w:tblGrid>
      <w:tr w:rsidR="00B33C41" w:rsidRPr="00C8504B" w:rsidTr="0037471D">
        <w:trPr>
          <w:trHeight w:val="311"/>
        </w:trPr>
        <w:tc>
          <w:tcPr>
            <w:tcW w:w="3119" w:type="dxa"/>
            <w:vMerge w:val="restart"/>
            <w:vAlign w:val="center"/>
          </w:tcPr>
          <w:p w:rsidR="00B33C41" w:rsidRPr="00C8504B" w:rsidRDefault="00B33C41" w:rsidP="00B33C41">
            <w:pPr>
              <w:spacing w:before="40" w:after="20"/>
              <w:rPr>
                <w:rFonts w:ascii="Arial Narrow" w:hAnsi="Arial Narrow" w:cs="Arial"/>
                <w:bCs/>
                <w:sz w:val="18"/>
                <w:szCs w:val="18"/>
              </w:rPr>
            </w:pPr>
            <w:bookmarkStart w:id="0" w:name="OLE_LINK2"/>
            <w:r w:rsidRPr="00C8504B">
              <w:rPr>
                <w:rFonts w:ascii="Arial Narrow" w:hAnsi="Arial Narrow" w:cs="Arial"/>
                <w:b/>
                <w:bCs/>
                <w:sz w:val="18"/>
                <w:szCs w:val="18"/>
              </w:rPr>
              <w:t>DIVISIONI DI SPESA</w:t>
            </w:r>
          </w:p>
        </w:tc>
        <w:tc>
          <w:tcPr>
            <w:tcW w:w="1018" w:type="dxa"/>
            <w:vMerge w:val="restart"/>
            <w:shd w:val="clear" w:color="auto" w:fill="D9D9D9"/>
            <w:vAlign w:val="center"/>
          </w:tcPr>
          <w:p w:rsidR="00B33C41" w:rsidRPr="00C8504B" w:rsidRDefault="00B33C41" w:rsidP="00B33C41">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1817" w:type="dxa"/>
            <w:gridSpan w:val="2"/>
            <w:vAlign w:val="center"/>
          </w:tcPr>
          <w:p w:rsidR="00B33C41" w:rsidRPr="00C8504B" w:rsidRDefault="00B33C41" w:rsidP="00B33C41">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1862" w:type="dxa"/>
            <w:gridSpan w:val="2"/>
            <w:shd w:val="clear" w:color="auto" w:fill="D9D9D9"/>
            <w:vAlign w:val="center"/>
          </w:tcPr>
          <w:p w:rsidR="00B33C41" w:rsidRPr="00C8504B" w:rsidRDefault="00B33C41" w:rsidP="00B33C41">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tendenziali</w:t>
            </w:r>
          </w:p>
        </w:tc>
        <w:tc>
          <w:tcPr>
            <w:tcW w:w="1540" w:type="dxa"/>
            <w:vMerge w:val="restart"/>
            <w:shd w:val="clear" w:color="auto" w:fill="auto"/>
            <w:vAlign w:val="center"/>
          </w:tcPr>
          <w:p w:rsidR="00B33C41" w:rsidRPr="00C8504B" w:rsidRDefault="00B33C41" w:rsidP="00B33C41">
            <w:pPr>
              <w:tabs>
                <w:tab w:val="left" w:pos="5093"/>
              </w:tabs>
              <w:spacing w:before="40" w:after="20"/>
              <w:ind w:right="57"/>
              <w:jc w:val="right"/>
              <w:rPr>
                <w:rFonts w:ascii="Arial Narrow" w:hAnsi="Arial Narrow" w:cs="Arial"/>
                <w:b/>
                <w:bCs/>
                <w:sz w:val="18"/>
                <w:szCs w:val="18"/>
              </w:rPr>
            </w:pPr>
            <w:r w:rsidRPr="00C8504B">
              <w:rPr>
                <w:rFonts w:ascii="Arial Narrow" w:hAnsi="Arial Narrow" w:cs="Arial"/>
                <w:b/>
                <w:bCs/>
                <w:sz w:val="18"/>
                <w:szCs w:val="18"/>
              </w:rPr>
              <w:t>Contributo alla variazione tendenziale dell’indice generale</w:t>
            </w:r>
            <w:r w:rsidRPr="00C8504B" w:rsidDel="00CB4E07">
              <w:rPr>
                <w:rFonts w:ascii="Arial Narrow" w:hAnsi="Arial Narrow" w:cs="Arial"/>
                <w:b/>
                <w:bCs/>
                <w:snapToGrid w:val="0"/>
                <w:sz w:val="18"/>
                <w:szCs w:val="18"/>
              </w:rPr>
              <w:t xml:space="preserve"> </w:t>
            </w:r>
          </w:p>
        </w:tc>
        <w:tc>
          <w:tcPr>
            <w:tcW w:w="992" w:type="dxa"/>
            <w:vMerge w:val="restart"/>
            <w:shd w:val="clear" w:color="auto" w:fill="D9D9D9"/>
            <w:vAlign w:val="center"/>
          </w:tcPr>
          <w:p w:rsidR="00B33C41" w:rsidRPr="00C8504B" w:rsidRDefault="00B33C41" w:rsidP="00CA390A">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Pr>
                <w:rFonts w:ascii="Arial Narrow" w:hAnsi="Arial Narrow" w:cs="Arial"/>
                <w:b/>
                <w:bCs/>
                <w:kern w:val="0"/>
                <w:sz w:val="18"/>
                <w:szCs w:val="18"/>
              </w:rPr>
              <w:t xml:space="preserve"> a </w:t>
            </w:r>
            <w:r w:rsidR="009B6ACA">
              <w:rPr>
                <w:rFonts w:ascii="Arial Narrow" w:hAnsi="Arial Narrow" w:cs="Arial"/>
                <w:b/>
                <w:bCs/>
                <w:kern w:val="0"/>
                <w:sz w:val="18"/>
                <w:szCs w:val="18"/>
              </w:rPr>
              <w:t>settembre</w:t>
            </w:r>
          </w:p>
        </w:tc>
      </w:tr>
      <w:tr w:rsidR="00993203" w:rsidRPr="00C8504B" w:rsidTr="003750EC">
        <w:trPr>
          <w:trHeight w:val="454"/>
        </w:trPr>
        <w:tc>
          <w:tcPr>
            <w:tcW w:w="3119" w:type="dxa"/>
            <w:vMerge/>
            <w:vAlign w:val="center"/>
          </w:tcPr>
          <w:p w:rsidR="00993203" w:rsidRPr="00C8504B" w:rsidRDefault="00993203" w:rsidP="00993203">
            <w:pPr>
              <w:spacing w:before="40" w:after="20"/>
              <w:rPr>
                <w:rFonts w:ascii="Arial Narrow" w:hAnsi="Arial Narrow" w:cs="Arial"/>
                <w:b/>
                <w:bCs/>
                <w:sz w:val="18"/>
                <w:szCs w:val="18"/>
              </w:rPr>
            </w:pPr>
          </w:p>
        </w:tc>
        <w:tc>
          <w:tcPr>
            <w:tcW w:w="1018" w:type="dxa"/>
            <w:vMerge/>
            <w:shd w:val="clear" w:color="auto" w:fill="D9D9D9"/>
            <w:vAlign w:val="center"/>
          </w:tcPr>
          <w:p w:rsidR="00993203" w:rsidRPr="00C8504B" w:rsidRDefault="00993203" w:rsidP="00993203">
            <w:pPr>
              <w:spacing w:before="40" w:after="20"/>
              <w:ind w:right="57"/>
              <w:jc w:val="right"/>
              <w:rPr>
                <w:rFonts w:ascii="Arial Narrow" w:hAnsi="Arial Narrow" w:cs="Arial"/>
                <w:b/>
                <w:bCs/>
                <w:sz w:val="18"/>
                <w:szCs w:val="18"/>
              </w:rPr>
            </w:pPr>
          </w:p>
        </w:tc>
        <w:tc>
          <w:tcPr>
            <w:tcW w:w="845" w:type="dxa"/>
            <w:vAlign w:val="center"/>
          </w:tcPr>
          <w:p w:rsidR="00993203" w:rsidRDefault="00932AA7" w:rsidP="00993203">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w:t>
            </w:r>
            <w:r w:rsidR="00993203">
              <w:rPr>
                <w:rFonts w:ascii="Arial Narrow" w:hAnsi="Arial Narrow" w:cs="Arial"/>
                <w:kern w:val="0"/>
                <w:sz w:val="18"/>
                <w:szCs w:val="18"/>
                <w:u w:val="single"/>
              </w:rPr>
              <w:t>-</w:t>
            </w:r>
            <w:r w:rsidR="00EA385D">
              <w:rPr>
                <w:rFonts w:ascii="Arial Narrow" w:hAnsi="Arial Narrow" w:cs="Arial"/>
                <w:kern w:val="0"/>
                <w:sz w:val="18"/>
                <w:szCs w:val="18"/>
                <w:u w:val="single"/>
              </w:rPr>
              <w:t>22</w:t>
            </w:r>
          </w:p>
          <w:p w:rsidR="00993203" w:rsidRPr="00E03E58" w:rsidRDefault="00932AA7" w:rsidP="00993203">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ago</w:t>
            </w:r>
            <w:r w:rsidR="00993203">
              <w:rPr>
                <w:rFonts w:ascii="Arial Narrow" w:hAnsi="Arial Narrow" w:cs="Arial"/>
                <w:kern w:val="0"/>
                <w:sz w:val="18"/>
                <w:szCs w:val="18"/>
              </w:rPr>
              <w:t>-2</w:t>
            </w:r>
            <w:r w:rsidR="008474B9">
              <w:rPr>
                <w:rFonts w:ascii="Arial Narrow" w:hAnsi="Arial Narrow" w:cs="Arial"/>
                <w:kern w:val="0"/>
                <w:sz w:val="18"/>
                <w:szCs w:val="18"/>
              </w:rPr>
              <w:t>2</w:t>
            </w:r>
          </w:p>
        </w:tc>
        <w:tc>
          <w:tcPr>
            <w:tcW w:w="972" w:type="dxa"/>
            <w:vAlign w:val="center"/>
          </w:tcPr>
          <w:p w:rsidR="00993203" w:rsidRDefault="00932AA7" w:rsidP="00993203">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w:t>
            </w:r>
            <w:r w:rsidR="00EA385D">
              <w:rPr>
                <w:rFonts w:ascii="Arial Narrow" w:hAnsi="Arial Narrow" w:cs="Arial"/>
                <w:kern w:val="0"/>
                <w:sz w:val="18"/>
                <w:szCs w:val="18"/>
                <w:u w:val="single"/>
              </w:rPr>
              <w:t>-21</w:t>
            </w:r>
          </w:p>
          <w:p w:rsidR="00993203" w:rsidRPr="008814F3" w:rsidRDefault="00932AA7" w:rsidP="008E0F35">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ago</w:t>
            </w:r>
            <w:r w:rsidR="00EA385D">
              <w:rPr>
                <w:rFonts w:ascii="Arial Narrow" w:hAnsi="Arial Narrow" w:cs="Arial"/>
                <w:kern w:val="0"/>
                <w:sz w:val="18"/>
                <w:szCs w:val="18"/>
              </w:rPr>
              <w:t>-</w:t>
            </w:r>
            <w:r w:rsidR="00993203">
              <w:rPr>
                <w:rFonts w:ascii="Arial Narrow" w:hAnsi="Arial Narrow" w:cs="Arial"/>
                <w:kern w:val="0"/>
                <w:sz w:val="18"/>
                <w:szCs w:val="18"/>
              </w:rPr>
              <w:t>2</w:t>
            </w:r>
            <w:r w:rsidR="00D40B90">
              <w:rPr>
                <w:rFonts w:ascii="Arial Narrow" w:hAnsi="Arial Narrow" w:cs="Arial"/>
                <w:kern w:val="0"/>
                <w:sz w:val="18"/>
                <w:szCs w:val="18"/>
              </w:rPr>
              <w:t>1</w:t>
            </w:r>
          </w:p>
        </w:tc>
        <w:tc>
          <w:tcPr>
            <w:tcW w:w="931" w:type="dxa"/>
            <w:shd w:val="clear" w:color="auto" w:fill="auto"/>
            <w:vAlign w:val="center"/>
          </w:tcPr>
          <w:p w:rsidR="00993203" w:rsidRDefault="00932AA7" w:rsidP="00993203">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w:t>
            </w:r>
            <w:r w:rsidR="00993203">
              <w:rPr>
                <w:rFonts w:ascii="Arial Narrow" w:hAnsi="Arial Narrow" w:cs="Arial"/>
                <w:kern w:val="0"/>
                <w:sz w:val="18"/>
                <w:szCs w:val="18"/>
                <w:u w:val="single"/>
              </w:rPr>
              <w:t>-2</w:t>
            </w:r>
            <w:r w:rsidR="00EA385D">
              <w:rPr>
                <w:rFonts w:ascii="Arial Narrow" w:hAnsi="Arial Narrow" w:cs="Arial"/>
                <w:kern w:val="0"/>
                <w:sz w:val="18"/>
                <w:szCs w:val="18"/>
                <w:u w:val="single"/>
              </w:rPr>
              <w:t>2</w:t>
            </w:r>
          </w:p>
          <w:p w:rsidR="00993203" w:rsidRPr="008814F3" w:rsidRDefault="00932AA7" w:rsidP="00993203">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w:t>
            </w:r>
            <w:r w:rsidR="00993203">
              <w:rPr>
                <w:rFonts w:ascii="Arial Narrow" w:hAnsi="Arial Narrow" w:cs="Arial"/>
                <w:kern w:val="0"/>
                <w:sz w:val="18"/>
                <w:szCs w:val="18"/>
              </w:rPr>
              <w:t>-2</w:t>
            </w:r>
            <w:r w:rsidR="00EA385D">
              <w:rPr>
                <w:rFonts w:ascii="Arial Narrow" w:hAnsi="Arial Narrow" w:cs="Arial"/>
                <w:kern w:val="0"/>
                <w:sz w:val="18"/>
                <w:szCs w:val="18"/>
              </w:rPr>
              <w:t>1</w:t>
            </w:r>
          </w:p>
        </w:tc>
        <w:tc>
          <w:tcPr>
            <w:tcW w:w="931" w:type="dxa"/>
            <w:shd w:val="clear" w:color="auto" w:fill="auto"/>
            <w:vAlign w:val="center"/>
          </w:tcPr>
          <w:p w:rsidR="00FF50A1" w:rsidRDefault="00932AA7" w:rsidP="00FF50A1">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ago</w:t>
            </w:r>
            <w:r w:rsidR="00FF50A1">
              <w:rPr>
                <w:rFonts w:ascii="Arial Narrow" w:hAnsi="Arial Narrow" w:cs="Arial"/>
                <w:kern w:val="0"/>
                <w:sz w:val="18"/>
                <w:szCs w:val="18"/>
                <w:u w:val="single"/>
              </w:rPr>
              <w:t>-22</w:t>
            </w:r>
          </w:p>
          <w:p w:rsidR="00993203" w:rsidRPr="008814F3" w:rsidRDefault="00932AA7" w:rsidP="00FF50A1">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ago</w:t>
            </w:r>
            <w:r w:rsidR="00FF50A1">
              <w:rPr>
                <w:rFonts w:ascii="Arial Narrow" w:hAnsi="Arial Narrow" w:cs="Arial"/>
                <w:kern w:val="0"/>
                <w:sz w:val="18"/>
                <w:szCs w:val="18"/>
              </w:rPr>
              <w:t>-21</w:t>
            </w:r>
          </w:p>
        </w:tc>
        <w:tc>
          <w:tcPr>
            <w:tcW w:w="1540" w:type="dxa"/>
            <w:vMerge/>
            <w:shd w:val="clear" w:color="auto" w:fill="auto"/>
          </w:tcPr>
          <w:p w:rsidR="00993203" w:rsidRPr="00C8504B" w:rsidRDefault="00993203" w:rsidP="00993203">
            <w:pPr>
              <w:spacing w:before="40" w:after="20"/>
              <w:ind w:right="57"/>
              <w:jc w:val="right"/>
              <w:rPr>
                <w:rFonts w:ascii="Arial Narrow" w:hAnsi="Arial Narrow" w:cs="Arial"/>
                <w:b/>
                <w:bCs/>
                <w:snapToGrid w:val="0"/>
                <w:sz w:val="18"/>
                <w:szCs w:val="18"/>
              </w:rPr>
            </w:pPr>
          </w:p>
        </w:tc>
        <w:tc>
          <w:tcPr>
            <w:tcW w:w="992" w:type="dxa"/>
            <w:vMerge/>
            <w:shd w:val="clear" w:color="auto" w:fill="D9D9D9"/>
            <w:vAlign w:val="center"/>
          </w:tcPr>
          <w:p w:rsidR="00993203" w:rsidRPr="00C8504B" w:rsidRDefault="00993203" w:rsidP="00993203">
            <w:pPr>
              <w:spacing w:before="40" w:after="20"/>
              <w:ind w:right="57"/>
              <w:jc w:val="right"/>
              <w:rPr>
                <w:rFonts w:ascii="Arial Narrow" w:hAnsi="Arial Narrow" w:cs="Arial"/>
                <w:b/>
                <w:bCs/>
                <w:sz w:val="18"/>
                <w:szCs w:val="18"/>
              </w:rPr>
            </w:pPr>
          </w:p>
        </w:tc>
      </w:tr>
      <w:tr w:rsidR="00BC17DF" w:rsidRPr="00C8504B" w:rsidTr="00ED70FA">
        <w:trPr>
          <w:trHeight w:val="255"/>
        </w:trPr>
        <w:tc>
          <w:tcPr>
            <w:tcW w:w="3119" w:type="dxa"/>
            <w:vAlign w:val="center"/>
          </w:tcPr>
          <w:p w:rsidR="00BC17DF" w:rsidRPr="00C8504B" w:rsidRDefault="00BC17DF" w:rsidP="00BC17DF">
            <w:pPr>
              <w:spacing w:before="40" w:after="20"/>
              <w:rPr>
                <w:rFonts w:ascii="Arial Narrow" w:hAnsi="Arial Narrow" w:cs="Arial"/>
                <w:sz w:val="18"/>
                <w:szCs w:val="18"/>
              </w:rPr>
            </w:pPr>
            <w:r w:rsidRPr="00C8504B">
              <w:rPr>
                <w:rFonts w:ascii="Arial Narrow" w:hAnsi="Arial Narrow" w:cs="Arial"/>
                <w:sz w:val="18"/>
                <w:szCs w:val="18"/>
              </w:rPr>
              <w:t>Prodotti alimentari e bevande analcoliche</w:t>
            </w:r>
          </w:p>
        </w:tc>
        <w:tc>
          <w:tcPr>
            <w:tcW w:w="1018" w:type="dxa"/>
            <w:shd w:val="clear" w:color="auto" w:fill="D9D9D9"/>
            <w:vAlign w:val="center"/>
          </w:tcPr>
          <w:p w:rsidR="00BC17DF" w:rsidRPr="0052712B" w:rsidRDefault="00BC17DF" w:rsidP="00BC17DF">
            <w:pPr>
              <w:spacing w:before="40" w:after="20"/>
              <w:ind w:right="57"/>
              <w:jc w:val="right"/>
              <w:rPr>
                <w:rFonts w:ascii="Arial Narrow" w:hAnsi="Arial Narrow" w:cs="Arial"/>
                <w:sz w:val="18"/>
                <w:szCs w:val="18"/>
              </w:rPr>
            </w:pPr>
            <w:r w:rsidRPr="0052712B">
              <w:rPr>
                <w:rFonts w:ascii="Arial Narrow" w:hAnsi="Arial Narrow" w:cs="Arial"/>
                <w:sz w:val="18"/>
                <w:szCs w:val="18"/>
              </w:rPr>
              <w:t>183.676</w:t>
            </w:r>
          </w:p>
        </w:tc>
        <w:tc>
          <w:tcPr>
            <w:tcW w:w="845" w:type="dxa"/>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+1,2</w:t>
            </w:r>
          </w:p>
        </w:tc>
        <w:tc>
          <w:tcPr>
            <w:tcW w:w="97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+0,1</w:t>
            </w:r>
          </w:p>
        </w:tc>
        <w:tc>
          <w:tcPr>
            <w:tcW w:w="931" w:type="dxa"/>
            <w:shd w:val="clear" w:color="auto" w:fill="auto"/>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+11,7</w:t>
            </w:r>
          </w:p>
        </w:tc>
        <w:tc>
          <w:tcPr>
            <w:tcW w:w="931"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+10,5</w:t>
            </w:r>
          </w:p>
        </w:tc>
        <w:tc>
          <w:tcPr>
            <w:tcW w:w="1540" w:type="dxa"/>
            <w:shd w:val="clear" w:color="auto" w:fill="auto"/>
            <w:tcMar>
              <w:left w:w="284" w:type="dxa"/>
              <w:right w:w="57" w:type="dxa"/>
            </w:tcMar>
            <w:vAlign w:val="bottom"/>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2,161</w:t>
            </w:r>
          </w:p>
        </w:tc>
        <w:tc>
          <w:tcPr>
            <w:tcW w:w="99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+8,4</w:t>
            </w:r>
          </w:p>
        </w:tc>
      </w:tr>
      <w:tr w:rsidR="00BC17DF" w:rsidRPr="00C8504B" w:rsidTr="00ED70FA">
        <w:trPr>
          <w:trHeight w:val="255"/>
        </w:trPr>
        <w:tc>
          <w:tcPr>
            <w:tcW w:w="3119" w:type="dxa"/>
            <w:vAlign w:val="center"/>
          </w:tcPr>
          <w:p w:rsidR="00BC17DF" w:rsidRPr="00C8504B" w:rsidRDefault="00BC17DF" w:rsidP="00BC17DF">
            <w:pPr>
              <w:spacing w:before="40" w:after="20"/>
              <w:rPr>
                <w:rFonts w:ascii="Arial Narrow" w:hAnsi="Arial Narrow" w:cs="Arial"/>
                <w:sz w:val="18"/>
                <w:szCs w:val="18"/>
              </w:rPr>
            </w:pPr>
            <w:r w:rsidRPr="00C8504B">
              <w:rPr>
                <w:rFonts w:ascii="Arial Narrow" w:hAnsi="Arial Narrow" w:cs="Arial"/>
                <w:sz w:val="18"/>
                <w:szCs w:val="18"/>
              </w:rPr>
              <w:t>Bevande alcoliche e tabacchi</w:t>
            </w:r>
          </w:p>
        </w:tc>
        <w:tc>
          <w:tcPr>
            <w:tcW w:w="1018" w:type="dxa"/>
            <w:shd w:val="clear" w:color="auto" w:fill="D9D9D9"/>
            <w:vAlign w:val="center"/>
          </w:tcPr>
          <w:p w:rsidR="00BC17DF" w:rsidRPr="0052712B" w:rsidRDefault="00BC17DF" w:rsidP="00BC17DF">
            <w:pPr>
              <w:spacing w:before="40" w:after="20"/>
              <w:ind w:right="57"/>
              <w:jc w:val="right"/>
              <w:rPr>
                <w:rFonts w:ascii="Arial Narrow" w:hAnsi="Arial Narrow" w:cs="Arial"/>
                <w:sz w:val="18"/>
                <w:szCs w:val="18"/>
              </w:rPr>
            </w:pPr>
            <w:r w:rsidRPr="0052712B">
              <w:rPr>
                <w:rFonts w:ascii="Arial Narrow" w:hAnsi="Arial Narrow" w:cs="Arial"/>
                <w:sz w:val="18"/>
                <w:szCs w:val="18"/>
              </w:rPr>
              <w:t>34.038</w:t>
            </w:r>
          </w:p>
        </w:tc>
        <w:tc>
          <w:tcPr>
            <w:tcW w:w="845" w:type="dxa"/>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+0,3</w:t>
            </w:r>
          </w:p>
        </w:tc>
        <w:tc>
          <w:tcPr>
            <w:tcW w:w="97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-0,2</w:t>
            </w:r>
          </w:p>
        </w:tc>
        <w:tc>
          <w:tcPr>
            <w:tcW w:w="931" w:type="dxa"/>
            <w:shd w:val="clear" w:color="auto" w:fill="auto"/>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+2,0</w:t>
            </w:r>
          </w:p>
        </w:tc>
        <w:tc>
          <w:tcPr>
            <w:tcW w:w="931"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+1,5</w:t>
            </w:r>
          </w:p>
        </w:tc>
        <w:tc>
          <w:tcPr>
            <w:tcW w:w="1540" w:type="dxa"/>
            <w:shd w:val="clear" w:color="auto" w:fill="auto"/>
            <w:tcMar>
              <w:left w:w="284" w:type="dxa"/>
              <w:right w:w="57" w:type="dxa"/>
            </w:tcMar>
            <w:vAlign w:val="bottom"/>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0,068</w:t>
            </w:r>
          </w:p>
        </w:tc>
        <w:tc>
          <w:tcPr>
            <w:tcW w:w="99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+1,3</w:t>
            </w:r>
          </w:p>
        </w:tc>
      </w:tr>
      <w:tr w:rsidR="00BC17DF" w:rsidRPr="00C8504B" w:rsidTr="00ED70FA">
        <w:trPr>
          <w:trHeight w:val="255"/>
        </w:trPr>
        <w:tc>
          <w:tcPr>
            <w:tcW w:w="3119" w:type="dxa"/>
            <w:vAlign w:val="center"/>
          </w:tcPr>
          <w:p w:rsidR="00BC17DF" w:rsidRPr="00C8504B" w:rsidRDefault="00BC17DF" w:rsidP="00BC17DF">
            <w:pPr>
              <w:spacing w:before="40" w:after="20"/>
              <w:rPr>
                <w:rFonts w:ascii="Arial Narrow" w:hAnsi="Arial Narrow" w:cs="Arial"/>
                <w:sz w:val="18"/>
                <w:szCs w:val="18"/>
              </w:rPr>
            </w:pPr>
            <w:r w:rsidRPr="00C8504B">
              <w:rPr>
                <w:rFonts w:ascii="Arial Narrow" w:hAnsi="Arial Narrow" w:cs="Arial"/>
                <w:sz w:val="18"/>
                <w:szCs w:val="18"/>
              </w:rPr>
              <w:t>Abbigliamento e calzature</w:t>
            </w:r>
          </w:p>
        </w:tc>
        <w:tc>
          <w:tcPr>
            <w:tcW w:w="1018" w:type="dxa"/>
            <w:shd w:val="clear" w:color="auto" w:fill="D9D9D9"/>
            <w:vAlign w:val="center"/>
          </w:tcPr>
          <w:p w:rsidR="00BC17DF" w:rsidRPr="0052712B" w:rsidRDefault="00BC17DF" w:rsidP="00BC17DF">
            <w:pPr>
              <w:spacing w:before="40" w:after="20"/>
              <w:ind w:right="57"/>
              <w:jc w:val="right"/>
              <w:rPr>
                <w:rFonts w:ascii="Arial Narrow" w:hAnsi="Arial Narrow" w:cs="Arial"/>
                <w:sz w:val="18"/>
                <w:szCs w:val="18"/>
              </w:rPr>
            </w:pPr>
            <w:r w:rsidRPr="0052712B">
              <w:rPr>
                <w:rFonts w:ascii="Arial Narrow" w:hAnsi="Arial Narrow" w:cs="Arial"/>
                <w:sz w:val="18"/>
                <w:szCs w:val="18"/>
              </w:rPr>
              <w:t>63.855</w:t>
            </w:r>
          </w:p>
        </w:tc>
        <w:tc>
          <w:tcPr>
            <w:tcW w:w="845" w:type="dxa"/>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+1,2</w:t>
            </w:r>
          </w:p>
        </w:tc>
        <w:tc>
          <w:tcPr>
            <w:tcW w:w="97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+0,4</w:t>
            </w:r>
          </w:p>
        </w:tc>
        <w:tc>
          <w:tcPr>
            <w:tcW w:w="931" w:type="dxa"/>
            <w:shd w:val="clear" w:color="auto" w:fill="auto"/>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+2,5</w:t>
            </w:r>
          </w:p>
        </w:tc>
        <w:tc>
          <w:tcPr>
            <w:tcW w:w="931"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+1,8</w:t>
            </w:r>
          </w:p>
        </w:tc>
        <w:tc>
          <w:tcPr>
            <w:tcW w:w="1540" w:type="dxa"/>
            <w:shd w:val="clear" w:color="auto" w:fill="auto"/>
            <w:tcMar>
              <w:left w:w="284" w:type="dxa"/>
              <w:right w:w="57" w:type="dxa"/>
            </w:tcMar>
            <w:vAlign w:val="bottom"/>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0,162</w:t>
            </w:r>
          </w:p>
        </w:tc>
        <w:tc>
          <w:tcPr>
            <w:tcW w:w="99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+1,7</w:t>
            </w:r>
          </w:p>
        </w:tc>
      </w:tr>
      <w:tr w:rsidR="00BC17DF" w:rsidRPr="00C8504B" w:rsidTr="00ED70FA">
        <w:trPr>
          <w:trHeight w:val="255"/>
        </w:trPr>
        <w:tc>
          <w:tcPr>
            <w:tcW w:w="3119" w:type="dxa"/>
            <w:vAlign w:val="center"/>
          </w:tcPr>
          <w:p w:rsidR="00BC17DF" w:rsidRPr="00C8504B" w:rsidRDefault="00BC17DF" w:rsidP="00BC17DF">
            <w:pPr>
              <w:spacing w:before="40" w:after="20"/>
              <w:rPr>
                <w:rFonts w:ascii="Arial Narrow" w:hAnsi="Arial Narrow" w:cs="Arial"/>
                <w:sz w:val="18"/>
                <w:szCs w:val="18"/>
              </w:rPr>
            </w:pPr>
            <w:r w:rsidRPr="00C8504B">
              <w:rPr>
                <w:rFonts w:ascii="Arial Narrow" w:hAnsi="Arial Narrow" w:cs="Arial"/>
                <w:sz w:val="18"/>
                <w:szCs w:val="18"/>
              </w:rPr>
              <w:t>Abitazione, acqua, elettricità e combustibili</w:t>
            </w:r>
          </w:p>
        </w:tc>
        <w:tc>
          <w:tcPr>
            <w:tcW w:w="1018" w:type="dxa"/>
            <w:shd w:val="clear" w:color="auto" w:fill="D9D9D9"/>
            <w:vAlign w:val="center"/>
          </w:tcPr>
          <w:p w:rsidR="00BC17DF" w:rsidRPr="0052712B" w:rsidRDefault="00BC17DF" w:rsidP="00BC17DF">
            <w:pPr>
              <w:spacing w:before="40" w:after="20"/>
              <w:ind w:right="57"/>
              <w:jc w:val="right"/>
              <w:rPr>
                <w:rFonts w:ascii="Arial Narrow" w:hAnsi="Arial Narrow" w:cs="Arial"/>
                <w:sz w:val="18"/>
                <w:szCs w:val="18"/>
              </w:rPr>
            </w:pPr>
            <w:r w:rsidRPr="0052712B">
              <w:rPr>
                <w:rFonts w:ascii="Arial Narrow" w:hAnsi="Arial Narrow" w:cs="Arial"/>
                <w:sz w:val="18"/>
                <w:szCs w:val="18"/>
              </w:rPr>
              <w:t>109.684</w:t>
            </w:r>
          </w:p>
        </w:tc>
        <w:tc>
          <w:tcPr>
            <w:tcW w:w="845" w:type="dxa"/>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+0,5</w:t>
            </w:r>
          </w:p>
        </w:tc>
        <w:tc>
          <w:tcPr>
            <w:tcW w:w="97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+0,1</w:t>
            </w:r>
          </w:p>
        </w:tc>
        <w:tc>
          <w:tcPr>
            <w:tcW w:w="931" w:type="dxa"/>
            <w:shd w:val="clear" w:color="auto" w:fill="auto"/>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+32,1</w:t>
            </w:r>
          </w:p>
        </w:tc>
        <w:tc>
          <w:tcPr>
            <w:tcW w:w="931"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+31,5</w:t>
            </w:r>
          </w:p>
        </w:tc>
        <w:tc>
          <w:tcPr>
            <w:tcW w:w="1540" w:type="dxa"/>
            <w:shd w:val="clear" w:color="auto" w:fill="auto"/>
            <w:tcMar>
              <w:left w:w="284" w:type="dxa"/>
              <w:right w:w="57" w:type="dxa"/>
            </w:tcMar>
            <w:vAlign w:val="bottom"/>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3,429</w:t>
            </w:r>
          </w:p>
        </w:tc>
        <w:tc>
          <w:tcPr>
            <w:tcW w:w="99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+26,4</w:t>
            </w:r>
          </w:p>
        </w:tc>
      </w:tr>
      <w:tr w:rsidR="00BC17DF" w:rsidRPr="00C8504B" w:rsidTr="00ED70FA">
        <w:trPr>
          <w:trHeight w:val="255"/>
        </w:trPr>
        <w:tc>
          <w:tcPr>
            <w:tcW w:w="3119" w:type="dxa"/>
            <w:vAlign w:val="center"/>
          </w:tcPr>
          <w:p w:rsidR="00BC17DF" w:rsidRPr="00C8504B" w:rsidRDefault="00BC17DF" w:rsidP="00BC17DF">
            <w:pPr>
              <w:spacing w:before="40" w:after="20"/>
              <w:rPr>
                <w:rFonts w:ascii="Arial Narrow" w:hAnsi="Arial Narrow" w:cs="Arial"/>
                <w:sz w:val="18"/>
                <w:szCs w:val="18"/>
              </w:rPr>
            </w:pPr>
            <w:r w:rsidRPr="00C8504B">
              <w:rPr>
                <w:rFonts w:ascii="Arial Narrow" w:hAnsi="Arial Narrow" w:cs="Arial"/>
                <w:sz w:val="18"/>
                <w:szCs w:val="18"/>
              </w:rPr>
              <w:t>Mobili, articoli e servizi per la casa</w:t>
            </w:r>
          </w:p>
        </w:tc>
        <w:tc>
          <w:tcPr>
            <w:tcW w:w="1018" w:type="dxa"/>
            <w:shd w:val="clear" w:color="auto" w:fill="D9D9D9"/>
            <w:vAlign w:val="center"/>
          </w:tcPr>
          <w:p w:rsidR="00BC17DF" w:rsidRPr="0052712B" w:rsidRDefault="00BC17DF" w:rsidP="00BC17DF">
            <w:pPr>
              <w:spacing w:before="40" w:after="20"/>
              <w:ind w:right="57"/>
              <w:jc w:val="right"/>
              <w:rPr>
                <w:rFonts w:ascii="Arial Narrow" w:hAnsi="Arial Narrow" w:cs="Arial"/>
                <w:sz w:val="18"/>
                <w:szCs w:val="18"/>
              </w:rPr>
            </w:pPr>
            <w:r w:rsidRPr="0052712B">
              <w:rPr>
                <w:rFonts w:ascii="Arial Narrow" w:hAnsi="Arial Narrow" w:cs="Arial"/>
                <w:sz w:val="18"/>
                <w:szCs w:val="18"/>
              </w:rPr>
              <w:t>79.950</w:t>
            </w:r>
          </w:p>
        </w:tc>
        <w:tc>
          <w:tcPr>
            <w:tcW w:w="845" w:type="dxa"/>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+0,6</w:t>
            </w:r>
          </w:p>
        </w:tc>
        <w:tc>
          <w:tcPr>
            <w:tcW w:w="97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0,0</w:t>
            </w:r>
          </w:p>
        </w:tc>
        <w:tc>
          <w:tcPr>
            <w:tcW w:w="931" w:type="dxa"/>
            <w:shd w:val="clear" w:color="auto" w:fill="auto"/>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+6,5</w:t>
            </w:r>
          </w:p>
        </w:tc>
        <w:tc>
          <w:tcPr>
            <w:tcW w:w="931"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+6,0</w:t>
            </w:r>
          </w:p>
        </w:tc>
        <w:tc>
          <w:tcPr>
            <w:tcW w:w="1540" w:type="dxa"/>
            <w:shd w:val="clear" w:color="auto" w:fill="auto"/>
            <w:tcMar>
              <w:left w:w="284" w:type="dxa"/>
              <w:right w:w="57" w:type="dxa"/>
            </w:tcMar>
            <w:vAlign w:val="bottom"/>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0,526</w:t>
            </w:r>
          </w:p>
        </w:tc>
        <w:tc>
          <w:tcPr>
            <w:tcW w:w="99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+4,9</w:t>
            </w:r>
          </w:p>
        </w:tc>
      </w:tr>
      <w:tr w:rsidR="00BC17DF" w:rsidRPr="00C8504B" w:rsidTr="00ED70FA">
        <w:trPr>
          <w:trHeight w:val="255"/>
        </w:trPr>
        <w:tc>
          <w:tcPr>
            <w:tcW w:w="3119" w:type="dxa"/>
            <w:vAlign w:val="center"/>
          </w:tcPr>
          <w:p w:rsidR="00BC17DF" w:rsidRPr="00C8504B" w:rsidRDefault="00BC17DF" w:rsidP="00BC17DF">
            <w:pPr>
              <w:spacing w:before="40" w:after="20"/>
              <w:rPr>
                <w:rFonts w:ascii="Arial Narrow" w:hAnsi="Arial Narrow" w:cs="Arial"/>
                <w:sz w:val="18"/>
                <w:szCs w:val="18"/>
              </w:rPr>
            </w:pPr>
            <w:r w:rsidRPr="00C8504B">
              <w:rPr>
                <w:rFonts w:ascii="Arial Narrow" w:hAnsi="Arial Narrow" w:cs="Arial"/>
                <w:sz w:val="18"/>
                <w:szCs w:val="18"/>
              </w:rPr>
              <w:t>Servizi sanitari e spese per la salute</w:t>
            </w:r>
          </w:p>
        </w:tc>
        <w:tc>
          <w:tcPr>
            <w:tcW w:w="1018" w:type="dxa"/>
            <w:shd w:val="clear" w:color="auto" w:fill="D9D9D9"/>
            <w:vAlign w:val="center"/>
          </w:tcPr>
          <w:p w:rsidR="00BC17DF" w:rsidRPr="0052712B" w:rsidRDefault="00BC17DF" w:rsidP="00BC17DF">
            <w:pPr>
              <w:spacing w:before="40" w:after="20"/>
              <w:ind w:right="57"/>
              <w:jc w:val="right"/>
              <w:rPr>
                <w:rFonts w:ascii="Arial Narrow" w:hAnsi="Arial Narrow" w:cs="Arial"/>
                <w:sz w:val="18"/>
                <w:szCs w:val="18"/>
              </w:rPr>
            </w:pPr>
            <w:r w:rsidRPr="0052712B">
              <w:rPr>
                <w:rFonts w:ascii="Arial Narrow" w:hAnsi="Arial Narrow" w:cs="Arial"/>
                <w:sz w:val="18"/>
                <w:szCs w:val="18"/>
              </w:rPr>
              <w:t>88.946</w:t>
            </w:r>
          </w:p>
        </w:tc>
        <w:tc>
          <w:tcPr>
            <w:tcW w:w="845" w:type="dxa"/>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+0,1</w:t>
            </w:r>
          </w:p>
        </w:tc>
        <w:tc>
          <w:tcPr>
            <w:tcW w:w="97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0,0</w:t>
            </w:r>
          </w:p>
        </w:tc>
        <w:tc>
          <w:tcPr>
            <w:tcW w:w="931" w:type="dxa"/>
            <w:shd w:val="clear" w:color="auto" w:fill="auto"/>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+0,9</w:t>
            </w:r>
          </w:p>
        </w:tc>
        <w:tc>
          <w:tcPr>
            <w:tcW w:w="931"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+0,8</w:t>
            </w:r>
          </w:p>
        </w:tc>
        <w:tc>
          <w:tcPr>
            <w:tcW w:w="1540" w:type="dxa"/>
            <w:shd w:val="clear" w:color="auto" w:fill="auto"/>
            <w:tcMar>
              <w:left w:w="284" w:type="dxa"/>
              <w:right w:w="57" w:type="dxa"/>
            </w:tcMar>
            <w:vAlign w:val="bottom"/>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0,073</w:t>
            </w:r>
          </w:p>
        </w:tc>
        <w:tc>
          <w:tcPr>
            <w:tcW w:w="99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+0,8</w:t>
            </w:r>
          </w:p>
        </w:tc>
      </w:tr>
      <w:tr w:rsidR="00BC17DF" w:rsidRPr="00C8504B" w:rsidTr="00ED70FA">
        <w:trPr>
          <w:trHeight w:val="255"/>
        </w:trPr>
        <w:tc>
          <w:tcPr>
            <w:tcW w:w="3119" w:type="dxa"/>
            <w:vAlign w:val="center"/>
          </w:tcPr>
          <w:p w:rsidR="00BC17DF" w:rsidRPr="00C8504B" w:rsidRDefault="00BC17DF" w:rsidP="00BC17DF">
            <w:pPr>
              <w:spacing w:before="40" w:after="20"/>
              <w:rPr>
                <w:rFonts w:ascii="Arial Narrow" w:hAnsi="Arial Narrow" w:cs="Arial"/>
                <w:sz w:val="18"/>
                <w:szCs w:val="18"/>
              </w:rPr>
            </w:pPr>
            <w:r w:rsidRPr="00C8504B">
              <w:rPr>
                <w:rFonts w:ascii="Arial Narrow" w:hAnsi="Arial Narrow" w:cs="Arial"/>
                <w:sz w:val="18"/>
                <w:szCs w:val="18"/>
              </w:rPr>
              <w:t>Trasporti</w:t>
            </w:r>
          </w:p>
        </w:tc>
        <w:tc>
          <w:tcPr>
            <w:tcW w:w="1018" w:type="dxa"/>
            <w:shd w:val="clear" w:color="auto" w:fill="D9D9D9"/>
            <w:vAlign w:val="center"/>
          </w:tcPr>
          <w:p w:rsidR="00BC17DF" w:rsidRPr="0052712B" w:rsidRDefault="00BC17DF" w:rsidP="00BC17DF">
            <w:pPr>
              <w:spacing w:before="40" w:after="20"/>
              <w:ind w:right="57"/>
              <w:jc w:val="right"/>
              <w:rPr>
                <w:rFonts w:ascii="Arial Narrow" w:hAnsi="Arial Narrow" w:cs="Arial"/>
                <w:sz w:val="18"/>
                <w:szCs w:val="18"/>
              </w:rPr>
            </w:pPr>
            <w:r w:rsidRPr="0052712B">
              <w:rPr>
                <w:rFonts w:ascii="Arial Narrow" w:hAnsi="Arial Narrow" w:cs="Arial"/>
                <w:sz w:val="18"/>
                <w:szCs w:val="18"/>
              </w:rPr>
              <w:t>144.843</w:t>
            </w:r>
          </w:p>
        </w:tc>
        <w:tc>
          <w:tcPr>
            <w:tcW w:w="845" w:type="dxa"/>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-2,1</w:t>
            </w:r>
          </w:p>
        </w:tc>
        <w:tc>
          <w:tcPr>
            <w:tcW w:w="97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-1,4</w:t>
            </w:r>
          </w:p>
        </w:tc>
        <w:tc>
          <w:tcPr>
            <w:tcW w:w="931" w:type="dxa"/>
            <w:shd w:val="clear" w:color="auto" w:fill="auto"/>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+9,5</w:t>
            </w:r>
          </w:p>
        </w:tc>
        <w:tc>
          <w:tcPr>
            <w:tcW w:w="931"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+10,3</w:t>
            </w:r>
          </w:p>
        </w:tc>
        <w:tc>
          <w:tcPr>
            <w:tcW w:w="1540" w:type="dxa"/>
            <w:shd w:val="clear" w:color="auto" w:fill="auto"/>
            <w:tcMar>
              <w:left w:w="284" w:type="dxa"/>
              <w:right w:w="57" w:type="dxa"/>
            </w:tcMar>
            <w:vAlign w:val="bottom"/>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1,334</w:t>
            </w:r>
          </w:p>
        </w:tc>
        <w:tc>
          <w:tcPr>
            <w:tcW w:w="99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+9,8</w:t>
            </w:r>
          </w:p>
        </w:tc>
      </w:tr>
      <w:tr w:rsidR="00BC17DF" w:rsidRPr="00C8504B" w:rsidTr="00ED70FA">
        <w:trPr>
          <w:trHeight w:val="255"/>
        </w:trPr>
        <w:tc>
          <w:tcPr>
            <w:tcW w:w="3119" w:type="dxa"/>
            <w:vAlign w:val="center"/>
          </w:tcPr>
          <w:p w:rsidR="00BC17DF" w:rsidRPr="00C8504B" w:rsidRDefault="00BC17DF" w:rsidP="00BC17DF">
            <w:pPr>
              <w:spacing w:before="40" w:after="20"/>
              <w:rPr>
                <w:rFonts w:ascii="Arial Narrow" w:hAnsi="Arial Narrow" w:cs="Arial"/>
                <w:sz w:val="18"/>
                <w:szCs w:val="18"/>
              </w:rPr>
            </w:pPr>
            <w:r w:rsidRPr="00C8504B">
              <w:rPr>
                <w:rFonts w:ascii="Arial Narrow" w:hAnsi="Arial Narrow" w:cs="Arial"/>
                <w:sz w:val="18"/>
                <w:szCs w:val="18"/>
              </w:rPr>
              <w:t>Comunicazioni</w:t>
            </w:r>
          </w:p>
        </w:tc>
        <w:tc>
          <w:tcPr>
            <w:tcW w:w="1018" w:type="dxa"/>
            <w:shd w:val="clear" w:color="auto" w:fill="D9D9D9"/>
            <w:vAlign w:val="center"/>
          </w:tcPr>
          <w:p w:rsidR="00BC17DF" w:rsidRPr="0052712B" w:rsidRDefault="00BC17DF" w:rsidP="00BC17DF">
            <w:pPr>
              <w:spacing w:before="40" w:after="20"/>
              <w:ind w:right="57"/>
              <w:jc w:val="right"/>
              <w:rPr>
                <w:rFonts w:ascii="Arial Narrow" w:hAnsi="Arial Narrow" w:cs="Arial"/>
                <w:sz w:val="18"/>
                <w:szCs w:val="18"/>
              </w:rPr>
            </w:pPr>
            <w:r w:rsidRPr="0052712B">
              <w:rPr>
                <w:rFonts w:ascii="Arial Narrow" w:hAnsi="Arial Narrow" w:cs="Arial"/>
                <w:sz w:val="18"/>
                <w:szCs w:val="18"/>
              </w:rPr>
              <w:t>25.749</w:t>
            </w:r>
          </w:p>
        </w:tc>
        <w:tc>
          <w:tcPr>
            <w:tcW w:w="845" w:type="dxa"/>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+0,9</w:t>
            </w:r>
          </w:p>
        </w:tc>
        <w:tc>
          <w:tcPr>
            <w:tcW w:w="97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+0,1</w:t>
            </w:r>
          </w:p>
        </w:tc>
        <w:tc>
          <w:tcPr>
            <w:tcW w:w="931" w:type="dxa"/>
            <w:shd w:val="clear" w:color="auto" w:fill="auto"/>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-3,0</w:t>
            </w:r>
          </w:p>
        </w:tc>
        <w:tc>
          <w:tcPr>
            <w:tcW w:w="931"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-3,7</w:t>
            </w:r>
          </w:p>
        </w:tc>
        <w:tc>
          <w:tcPr>
            <w:tcW w:w="1540" w:type="dxa"/>
            <w:shd w:val="clear" w:color="auto" w:fill="auto"/>
            <w:tcMar>
              <w:left w:w="284" w:type="dxa"/>
              <w:right w:w="57" w:type="dxa"/>
            </w:tcMar>
            <w:vAlign w:val="bottom"/>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-0,080</w:t>
            </w:r>
          </w:p>
        </w:tc>
        <w:tc>
          <w:tcPr>
            <w:tcW w:w="99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-3,0</w:t>
            </w:r>
          </w:p>
        </w:tc>
      </w:tr>
      <w:tr w:rsidR="00BC17DF" w:rsidRPr="00C8504B" w:rsidTr="00ED70FA">
        <w:trPr>
          <w:trHeight w:val="255"/>
        </w:trPr>
        <w:tc>
          <w:tcPr>
            <w:tcW w:w="3119" w:type="dxa"/>
            <w:vAlign w:val="center"/>
          </w:tcPr>
          <w:p w:rsidR="00BC17DF" w:rsidRPr="00C8504B" w:rsidRDefault="00BC17DF" w:rsidP="00BC17DF">
            <w:pPr>
              <w:spacing w:before="40" w:after="20"/>
              <w:rPr>
                <w:rFonts w:ascii="Arial Narrow" w:hAnsi="Arial Narrow" w:cs="Arial"/>
                <w:sz w:val="18"/>
                <w:szCs w:val="18"/>
              </w:rPr>
            </w:pPr>
            <w:r w:rsidRPr="00C8504B">
              <w:rPr>
                <w:rFonts w:ascii="Arial Narrow" w:hAnsi="Arial Narrow" w:cs="Arial"/>
                <w:sz w:val="18"/>
                <w:szCs w:val="18"/>
              </w:rPr>
              <w:t>Ricreazione, spettacoli e cultura</w:t>
            </w:r>
          </w:p>
        </w:tc>
        <w:tc>
          <w:tcPr>
            <w:tcW w:w="1018" w:type="dxa"/>
            <w:shd w:val="clear" w:color="auto" w:fill="D9D9D9"/>
            <w:vAlign w:val="center"/>
          </w:tcPr>
          <w:p w:rsidR="00BC17DF" w:rsidRPr="0052712B" w:rsidRDefault="00BC17DF" w:rsidP="00BC17DF">
            <w:pPr>
              <w:spacing w:before="40" w:after="20"/>
              <w:ind w:right="57"/>
              <w:jc w:val="right"/>
              <w:rPr>
                <w:rFonts w:ascii="Arial Narrow" w:hAnsi="Arial Narrow" w:cs="Arial"/>
                <w:sz w:val="18"/>
                <w:szCs w:val="18"/>
              </w:rPr>
            </w:pPr>
            <w:r w:rsidRPr="0052712B">
              <w:rPr>
                <w:rFonts w:ascii="Arial Narrow" w:hAnsi="Arial Narrow" w:cs="Arial"/>
                <w:sz w:val="18"/>
                <w:szCs w:val="18"/>
              </w:rPr>
              <w:t>70.540</w:t>
            </w:r>
          </w:p>
        </w:tc>
        <w:tc>
          <w:tcPr>
            <w:tcW w:w="845" w:type="dxa"/>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-0,9</w:t>
            </w:r>
          </w:p>
        </w:tc>
        <w:tc>
          <w:tcPr>
            <w:tcW w:w="97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-0,9</w:t>
            </w:r>
          </w:p>
        </w:tc>
        <w:tc>
          <w:tcPr>
            <w:tcW w:w="931" w:type="dxa"/>
            <w:shd w:val="clear" w:color="auto" w:fill="auto"/>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+1,9</w:t>
            </w:r>
          </w:p>
        </w:tc>
        <w:tc>
          <w:tcPr>
            <w:tcW w:w="931"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+1,9</w:t>
            </w:r>
          </w:p>
        </w:tc>
        <w:tc>
          <w:tcPr>
            <w:tcW w:w="1540" w:type="dxa"/>
            <w:shd w:val="clear" w:color="auto" w:fill="auto"/>
            <w:tcMar>
              <w:left w:w="284" w:type="dxa"/>
              <w:right w:w="57" w:type="dxa"/>
            </w:tcMar>
            <w:vAlign w:val="bottom"/>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0,125</w:t>
            </w:r>
          </w:p>
        </w:tc>
        <w:tc>
          <w:tcPr>
            <w:tcW w:w="99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+1,2</w:t>
            </w:r>
          </w:p>
        </w:tc>
      </w:tr>
      <w:tr w:rsidR="00BC17DF" w:rsidRPr="00C8504B" w:rsidTr="00ED70FA">
        <w:trPr>
          <w:trHeight w:val="255"/>
        </w:trPr>
        <w:tc>
          <w:tcPr>
            <w:tcW w:w="3119" w:type="dxa"/>
            <w:vAlign w:val="center"/>
          </w:tcPr>
          <w:p w:rsidR="00BC17DF" w:rsidRPr="00C8504B" w:rsidRDefault="00BC17DF" w:rsidP="00BC17DF">
            <w:pPr>
              <w:spacing w:before="40" w:after="20"/>
              <w:rPr>
                <w:rFonts w:ascii="Arial Narrow" w:hAnsi="Arial Narrow" w:cs="Arial"/>
                <w:sz w:val="18"/>
                <w:szCs w:val="18"/>
              </w:rPr>
            </w:pPr>
            <w:r w:rsidRPr="00C8504B">
              <w:rPr>
                <w:rFonts w:ascii="Arial Narrow" w:hAnsi="Arial Narrow" w:cs="Arial"/>
                <w:sz w:val="18"/>
                <w:szCs w:val="18"/>
              </w:rPr>
              <w:t>Istruzione</w:t>
            </w:r>
          </w:p>
        </w:tc>
        <w:tc>
          <w:tcPr>
            <w:tcW w:w="1018" w:type="dxa"/>
            <w:shd w:val="clear" w:color="auto" w:fill="D9D9D9"/>
            <w:vAlign w:val="center"/>
          </w:tcPr>
          <w:p w:rsidR="00BC17DF" w:rsidRPr="0052712B" w:rsidRDefault="00BC17DF" w:rsidP="00BC17DF">
            <w:pPr>
              <w:spacing w:before="40" w:after="20"/>
              <w:ind w:right="57"/>
              <w:jc w:val="right"/>
              <w:rPr>
                <w:rFonts w:ascii="Arial Narrow" w:hAnsi="Arial Narrow" w:cs="Arial"/>
                <w:sz w:val="18"/>
                <w:szCs w:val="18"/>
              </w:rPr>
            </w:pPr>
            <w:r w:rsidRPr="0052712B">
              <w:rPr>
                <w:rFonts w:ascii="Arial Narrow" w:hAnsi="Arial Narrow" w:cs="Arial"/>
                <w:sz w:val="18"/>
                <w:szCs w:val="18"/>
              </w:rPr>
              <w:t>10.835</w:t>
            </w:r>
          </w:p>
        </w:tc>
        <w:tc>
          <w:tcPr>
            <w:tcW w:w="845" w:type="dxa"/>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+0,7</w:t>
            </w:r>
          </w:p>
        </w:tc>
        <w:tc>
          <w:tcPr>
            <w:tcW w:w="97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+0,2</w:t>
            </w:r>
          </w:p>
        </w:tc>
        <w:tc>
          <w:tcPr>
            <w:tcW w:w="931" w:type="dxa"/>
            <w:shd w:val="clear" w:color="auto" w:fill="auto"/>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+0,1</w:t>
            </w:r>
          </w:p>
        </w:tc>
        <w:tc>
          <w:tcPr>
            <w:tcW w:w="931"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-0,4</w:t>
            </w:r>
          </w:p>
        </w:tc>
        <w:tc>
          <w:tcPr>
            <w:tcW w:w="1540" w:type="dxa"/>
            <w:shd w:val="clear" w:color="auto" w:fill="auto"/>
            <w:tcMar>
              <w:left w:w="284" w:type="dxa"/>
              <w:right w:w="57" w:type="dxa"/>
            </w:tcMar>
            <w:vAlign w:val="bottom"/>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0,001</w:t>
            </w:r>
          </w:p>
        </w:tc>
        <w:tc>
          <w:tcPr>
            <w:tcW w:w="99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0,0</w:t>
            </w:r>
          </w:p>
        </w:tc>
      </w:tr>
      <w:tr w:rsidR="00BC17DF" w:rsidRPr="00C8504B" w:rsidTr="00ED70FA">
        <w:trPr>
          <w:trHeight w:val="255"/>
        </w:trPr>
        <w:tc>
          <w:tcPr>
            <w:tcW w:w="3119" w:type="dxa"/>
            <w:vAlign w:val="center"/>
          </w:tcPr>
          <w:p w:rsidR="00BC17DF" w:rsidRPr="00C8504B" w:rsidRDefault="00BC17DF" w:rsidP="00BC17DF">
            <w:pPr>
              <w:spacing w:before="40" w:after="20"/>
              <w:rPr>
                <w:rFonts w:ascii="Arial Narrow" w:hAnsi="Arial Narrow" w:cs="Arial"/>
                <w:sz w:val="18"/>
                <w:szCs w:val="18"/>
              </w:rPr>
            </w:pPr>
            <w:r w:rsidRPr="00C8504B">
              <w:rPr>
                <w:rFonts w:ascii="Arial Narrow" w:hAnsi="Arial Narrow" w:cs="Arial"/>
                <w:sz w:val="18"/>
                <w:szCs w:val="18"/>
              </w:rPr>
              <w:t>Servizi ricettivi e di ristorazione</w:t>
            </w:r>
          </w:p>
        </w:tc>
        <w:tc>
          <w:tcPr>
            <w:tcW w:w="1018" w:type="dxa"/>
            <w:shd w:val="clear" w:color="auto" w:fill="D9D9D9"/>
            <w:vAlign w:val="center"/>
          </w:tcPr>
          <w:p w:rsidR="00BC17DF" w:rsidRPr="0052712B" w:rsidRDefault="00BC17DF" w:rsidP="00BC17DF">
            <w:pPr>
              <w:spacing w:before="40" w:after="20"/>
              <w:ind w:right="57"/>
              <w:jc w:val="right"/>
              <w:rPr>
                <w:rFonts w:ascii="Arial Narrow" w:hAnsi="Arial Narrow" w:cs="Arial"/>
                <w:sz w:val="18"/>
                <w:szCs w:val="18"/>
              </w:rPr>
            </w:pPr>
            <w:r w:rsidRPr="0052712B">
              <w:rPr>
                <w:rFonts w:ascii="Arial Narrow" w:hAnsi="Arial Narrow" w:cs="Arial"/>
                <w:sz w:val="18"/>
                <w:szCs w:val="18"/>
              </w:rPr>
              <w:t>93.754</w:t>
            </w:r>
          </w:p>
        </w:tc>
        <w:tc>
          <w:tcPr>
            <w:tcW w:w="845" w:type="dxa"/>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+1,6</w:t>
            </w:r>
          </w:p>
        </w:tc>
        <w:tc>
          <w:tcPr>
            <w:tcW w:w="97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+0,2</w:t>
            </w:r>
          </w:p>
        </w:tc>
        <w:tc>
          <w:tcPr>
            <w:tcW w:w="931" w:type="dxa"/>
            <w:shd w:val="clear" w:color="auto" w:fill="auto"/>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+8,0</w:t>
            </w:r>
          </w:p>
        </w:tc>
        <w:tc>
          <w:tcPr>
            <w:tcW w:w="931"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+6,5</w:t>
            </w:r>
          </w:p>
        </w:tc>
        <w:tc>
          <w:tcPr>
            <w:tcW w:w="1540" w:type="dxa"/>
            <w:shd w:val="clear" w:color="auto" w:fill="auto"/>
            <w:tcMar>
              <w:left w:w="284" w:type="dxa"/>
              <w:right w:w="57" w:type="dxa"/>
            </w:tcMar>
            <w:vAlign w:val="bottom"/>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0,780</w:t>
            </w:r>
          </w:p>
        </w:tc>
        <w:tc>
          <w:tcPr>
            <w:tcW w:w="99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+6,5</w:t>
            </w:r>
          </w:p>
        </w:tc>
      </w:tr>
      <w:tr w:rsidR="00BC17DF" w:rsidRPr="00C8504B" w:rsidTr="00ED70FA">
        <w:trPr>
          <w:trHeight w:val="255"/>
        </w:trPr>
        <w:tc>
          <w:tcPr>
            <w:tcW w:w="3119" w:type="dxa"/>
            <w:vAlign w:val="center"/>
          </w:tcPr>
          <w:p w:rsidR="00BC17DF" w:rsidRPr="00C8504B" w:rsidRDefault="00BC17DF" w:rsidP="00BC17DF">
            <w:pPr>
              <w:spacing w:before="40" w:after="20"/>
              <w:rPr>
                <w:rFonts w:ascii="Arial Narrow" w:hAnsi="Arial Narrow" w:cs="Arial"/>
                <w:sz w:val="18"/>
                <w:szCs w:val="18"/>
              </w:rPr>
            </w:pPr>
            <w:r w:rsidRPr="00C8504B">
              <w:rPr>
                <w:rFonts w:ascii="Arial Narrow" w:hAnsi="Arial Narrow" w:cs="Arial"/>
                <w:sz w:val="18"/>
                <w:szCs w:val="18"/>
              </w:rPr>
              <w:t>Altri beni e servizi</w:t>
            </w:r>
          </w:p>
        </w:tc>
        <w:tc>
          <w:tcPr>
            <w:tcW w:w="1018" w:type="dxa"/>
            <w:shd w:val="clear" w:color="auto" w:fill="D9D9D9"/>
            <w:vAlign w:val="center"/>
          </w:tcPr>
          <w:p w:rsidR="00BC17DF" w:rsidRPr="0052712B" w:rsidRDefault="00BC17DF" w:rsidP="00BC17DF">
            <w:pPr>
              <w:spacing w:before="40" w:after="20"/>
              <w:ind w:right="57"/>
              <w:jc w:val="right"/>
              <w:rPr>
                <w:rFonts w:ascii="Arial Narrow" w:hAnsi="Arial Narrow" w:cs="Arial"/>
                <w:sz w:val="18"/>
                <w:szCs w:val="18"/>
              </w:rPr>
            </w:pPr>
            <w:r w:rsidRPr="0052712B">
              <w:rPr>
                <w:rFonts w:ascii="Arial Narrow" w:hAnsi="Arial Narrow" w:cs="Arial"/>
                <w:sz w:val="18"/>
                <w:szCs w:val="18"/>
              </w:rPr>
              <w:t>94.130</w:t>
            </w:r>
          </w:p>
        </w:tc>
        <w:tc>
          <w:tcPr>
            <w:tcW w:w="845" w:type="dxa"/>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+0,3</w:t>
            </w:r>
          </w:p>
        </w:tc>
        <w:tc>
          <w:tcPr>
            <w:tcW w:w="97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-0,1</w:t>
            </w:r>
          </w:p>
        </w:tc>
        <w:tc>
          <w:tcPr>
            <w:tcW w:w="931" w:type="dxa"/>
            <w:shd w:val="clear" w:color="auto" w:fill="auto"/>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+2,8</w:t>
            </w:r>
          </w:p>
        </w:tc>
        <w:tc>
          <w:tcPr>
            <w:tcW w:w="931"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+2,4</w:t>
            </w:r>
          </w:p>
        </w:tc>
        <w:tc>
          <w:tcPr>
            <w:tcW w:w="1540" w:type="dxa"/>
            <w:shd w:val="clear" w:color="auto" w:fill="auto"/>
            <w:tcMar>
              <w:left w:w="284" w:type="dxa"/>
              <w:right w:w="57" w:type="dxa"/>
            </w:tcMar>
            <w:vAlign w:val="bottom"/>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0,260</w:t>
            </w:r>
          </w:p>
        </w:tc>
        <w:tc>
          <w:tcPr>
            <w:tcW w:w="992" w:type="dxa"/>
            <w:shd w:val="clear" w:color="auto" w:fill="D9D9D9"/>
            <w:vAlign w:val="center"/>
          </w:tcPr>
          <w:p w:rsidR="00BC17DF" w:rsidRPr="00BC17DF" w:rsidRDefault="00BC17DF" w:rsidP="00BC17DF">
            <w:pPr>
              <w:spacing w:before="40" w:after="20"/>
              <w:ind w:right="57"/>
              <w:jc w:val="right"/>
              <w:rPr>
                <w:rFonts w:ascii="Arial Narrow" w:hAnsi="Arial Narrow" w:cs="Arial"/>
                <w:sz w:val="18"/>
                <w:szCs w:val="18"/>
              </w:rPr>
            </w:pPr>
            <w:r w:rsidRPr="00BC17DF">
              <w:rPr>
                <w:rFonts w:ascii="Arial Narrow" w:hAnsi="Arial Narrow" w:cs="Arial"/>
                <w:sz w:val="18"/>
                <w:szCs w:val="18"/>
              </w:rPr>
              <w:t>+1,9</w:t>
            </w:r>
          </w:p>
        </w:tc>
      </w:tr>
      <w:tr w:rsidR="00BC17DF" w:rsidRPr="0019686B" w:rsidTr="00ED70FA">
        <w:trPr>
          <w:trHeight w:val="255"/>
        </w:trPr>
        <w:tc>
          <w:tcPr>
            <w:tcW w:w="3119" w:type="dxa"/>
            <w:shd w:val="clear" w:color="auto" w:fill="E42618"/>
            <w:vAlign w:val="center"/>
          </w:tcPr>
          <w:p w:rsidR="00BC17DF" w:rsidRPr="00C8504B" w:rsidRDefault="00BC17DF" w:rsidP="00BC17DF">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1018" w:type="dxa"/>
            <w:shd w:val="clear" w:color="auto" w:fill="E42618"/>
            <w:vAlign w:val="center"/>
          </w:tcPr>
          <w:p w:rsidR="00BC17DF" w:rsidRPr="006673E6" w:rsidRDefault="00BC17DF" w:rsidP="00BC17DF">
            <w:pPr>
              <w:spacing w:before="40" w:after="20"/>
              <w:ind w:right="57"/>
              <w:jc w:val="right"/>
              <w:rPr>
                <w:rFonts w:ascii="Arial Narrow" w:hAnsi="Arial Narrow" w:cs="Arial"/>
                <w:b/>
                <w:color w:val="FFFFFF" w:themeColor="background1"/>
                <w:sz w:val="18"/>
                <w:szCs w:val="18"/>
              </w:rPr>
            </w:pPr>
            <w:r w:rsidRPr="006673E6">
              <w:rPr>
                <w:rFonts w:ascii="Arial Narrow" w:hAnsi="Arial Narrow" w:cs="Arial"/>
                <w:b/>
                <w:color w:val="FFFFFF" w:themeColor="background1"/>
                <w:sz w:val="18"/>
                <w:szCs w:val="18"/>
              </w:rPr>
              <w:t>1.000.000</w:t>
            </w:r>
          </w:p>
        </w:tc>
        <w:tc>
          <w:tcPr>
            <w:tcW w:w="845" w:type="dxa"/>
            <w:shd w:val="clear" w:color="auto" w:fill="E42618"/>
            <w:vAlign w:val="center"/>
          </w:tcPr>
          <w:p w:rsidR="00BC17DF" w:rsidRPr="00BC17DF" w:rsidRDefault="00BC17DF" w:rsidP="00BC17DF">
            <w:pPr>
              <w:spacing w:before="40" w:after="20"/>
              <w:ind w:righ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+0,3</w:t>
            </w:r>
          </w:p>
        </w:tc>
        <w:tc>
          <w:tcPr>
            <w:tcW w:w="972" w:type="dxa"/>
            <w:shd w:val="clear" w:color="auto" w:fill="E42618"/>
            <w:vAlign w:val="center"/>
          </w:tcPr>
          <w:p w:rsidR="00BC17DF" w:rsidRPr="00BC17DF" w:rsidRDefault="00BC17DF" w:rsidP="00BC17DF">
            <w:pPr>
              <w:spacing w:before="40" w:after="20"/>
              <w:ind w:righ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-0,2</w:t>
            </w:r>
          </w:p>
        </w:tc>
        <w:tc>
          <w:tcPr>
            <w:tcW w:w="931" w:type="dxa"/>
            <w:shd w:val="clear" w:color="auto" w:fill="E42618"/>
            <w:vAlign w:val="center"/>
          </w:tcPr>
          <w:p w:rsidR="00BC17DF" w:rsidRPr="00BC17DF" w:rsidRDefault="00BC17DF" w:rsidP="00BC17DF">
            <w:pPr>
              <w:spacing w:before="40" w:after="20"/>
              <w:ind w:righ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+8,9</w:t>
            </w:r>
          </w:p>
        </w:tc>
        <w:tc>
          <w:tcPr>
            <w:tcW w:w="931" w:type="dxa"/>
            <w:shd w:val="clear" w:color="auto" w:fill="E42618"/>
            <w:vAlign w:val="center"/>
          </w:tcPr>
          <w:p w:rsidR="00BC17DF" w:rsidRPr="00BC17DF" w:rsidRDefault="00BC17DF" w:rsidP="00BC17DF">
            <w:pPr>
              <w:spacing w:before="40" w:after="20"/>
              <w:ind w:righ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+8,4</w:t>
            </w:r>
          </w:p>
        </w:tc>
        <w:tc>
          <w:tcPr>
            <w:tcW w:w="1540" w:type="dxa"/>
            <w:shd w:val="clear" w:color="auto" w:fill="E42618"/>
            <w:tcMar>
              <w:left w:w="284" w:type="dxa"/>
              <w:right w:w="57" w:type="dxa"/>
            </w:tcMar>
            <w:vAlign w:val="bottom"/>
          </w:tcPr>
          <w:p w:rsidR="00BC17DF" w:rsidRPr="00BC17DF" w:rsidRDefault="00BC17DF" w:rsidP="00BC17DF">
            <w:pPr>
              <w:spacing w:before="40" w:after="20"/>
              <w:ind w:right="57"/>
              <w:jc w:val="right"/>
              <w:rPr>
                <w:rFonts w:ascii="Arial Narrow" w:hAnsi="Arial Narrow" w:cs="Arial"/>
                <w:b/>
                <w:color w:val="FFFFFF" w:themeColor="background1"/>
                <w:sz w:val="18"/>
                <w:szCs w:val="18"/>
              </w:rPr>
            </w:pPr>
          </w:p>
        </w:tc>
        <w:tc>
          <w:tcPr>
            <w:tcW w:w="992" w:type="dxa"/>
            <w:shd w:val="clear" w:color="auto" w:fill="E42618"/>
            <w:vAlign w:val="center"/>
          </w:tcPr>
          <w:p w:rsidR="00BC17DF" w:rsidRPr="00BC17DF" w:rsidRDefault="00BC17DF" w:rsidP="00BC17DF">
            <w:pPr>
              <w:spacing w:before="40" w:after="20"/>
              <w:ind w:righ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+7,1</w:t>
            </w:r>
          </w:p>
        </w:tc>
      </w:tr>
      <w:bookmarkEnd w:id="0"/>
    </w:tbl>
    <w:p w:rsidR="00D1705F" w:rsidRDefault="00D1705F" w:rsidP="00D1705F">
      <w:pPr>
        <w:tabs>
          <w:tab w:val="left" w:pos="851"/>
          <w:tab w:val="left" w:pos="9639"/>
        </w:tabs>
        <w:spacing w:before="0" w:after="120"/>
        <w:jc w:val="both"/>
        <w:rPr>
          <w:rFonts w:ascii="Arial" w:hAnsi="Arial" w:cs="Arial"/>
          <w:iCs/>
          <w:sz w:val="21"/>
          <w:szCs w:val="21"/>
        </w:rPr>
      </w:pPr>
    </w:p>
    <w:p w:rsidR="00184B06" w:rsidRPr="004324F0" w:rsidRDefault="00184B06" w:rsidP="00C1564D">
      <w:pPr>
        <w:spacing w:before="0" w:after="0"/>
        <w:rPr>
          <w:rFonts w:ascii="Arial Narrow" w:hAnsi="Arial Narrow" w:cs="Calibri"/>
          <w:b/>
          <w:bCs/>
          <w:color w:val="5F5F5F"/>
          <w:kern w:val="0"/>
          <w:sz w:val="22"/>
          <w:szCs w:val="22"/>
        </w:rPr>
      </w:pPr>
      <w:r w:rsidRPr="004324F0">
        <w:rPr>
          <w:rFonts w:ascii="Arial Narrow" w:hAnsi="Arial Narrow" w:cs="Arial"/>
          <w:b/>
          <w:color w:val="E42618"/>
          <w:sz w:val="22"/>
          <w:szCs w:val="22"/>
        </w:rPr>
        <w:t xml:space="preserve">FIGURA 2. </w:t>
      </w:r>
      <w:r w:rsidRPr="004324F0">
        <w:rPr>
          <w:rFonts w:ascii="Arial Narrow" w:hAnsi="Arial Narrow" w:cs="Calibri"/>
          <w:b/>
          <w:bCs/>
          <w:color w:val="5F5F5F"/>
          <w:kern w:val="0"/>
          <w:sz w:val="22"/>
          <w:szCs w:val="22"/>
        </w:rPr>
        <w:t>INDICI DEI PREZZI AL CONSUMO NIC PER DIVISIONE DI SPESA</w:t>
      </w:r>
    </w:p>
    <w:p w:rsidR="00184B06" w:rsidRDefault="009B6ACA" w:rsidP="00C30CFD">
      <w:pPr>
        <w:pStyle w:val="001TitoGra"/>
        <w:spacing w:after="120" w:line="240" w:lineRule="auto"/>
        <w:rPr>
          <w:rFonts w:cs="Calibri"/>
          <w:b w:val="0"/>
          <w:kern w:val="0"/>
          <w:sz w:val="20"/>
          <w:szCs w:val="20"/>
        </w:rPr>
      </w:pPr>
      <w:r>
        <w:rPr>
          <w:b w:val="0"/>
          <w:sz w:val="20"/>
          <w:szCs w:val="20"/>
        </w:rPr>
        <w:t>Settembre</w:t>
      </w:r>
      <w:r w:rsidR="009A20F3" w:rsidRPr="009A20F3">
        <w:rPr>
          <w:b w:val="0"/>
          <w:sz w:val="20"/>
          <w:szCs w:val="20"/>
        </w:rPr>
        <w:t xml:space="preserve"> </w:t>
      </w:r>
      <w:r w:rsidR="005B7BD6" w:rsidRPr="005B7BD6">
        <w:rPr>
          <w:b w:val="0"/>
          <w:sz w:val="20"/>
          <w:szCs w:val="20"/>
        </w:rPr>
        <w:t>2022</w:t>
      </w:r>
      <w:r w:rsidR="00184B06" w:rsidRPr="00BB71FB">
        <w:rPr>
          <w:rFonts w:cs="Calibri"/>
          <w:b w:val="0"/>
          <w:kern w:val="0"/>
          <w:sz w:val="20"/>
          <w:szCs w:val="20"/>
        </w:rPr>
        <w:t>, variazioni percentuali tendenziali</w:t>
      </w:r>
      <w:r w:rsidR="00184B06" w:rsidRPr="004324F0">
        <w:rPr>
          <w:rFonts w:cs="Calibri"/>
          <w:b w:val="0"/>
          <w:kern w:val="0"/>
          <w:sz w:val="20"/>
          <w:szCs w:val="20"/>
        </w:rPr>
        <w:t xml:space="preserve"> (base 2015=100)</w:t>
      </w:r>
    </w:p>
    <w:p w:rsidR="00665C10" w:rsidRPr="00C8504B" w:rsidRDefault="00C8411E" w:rsidP="002B0DBA">
      <w:pPr>
        <w:pStyle w:val="001TitoGra"/>
        <w:spacing w:after="60" w:line="240" w:lineRule="auto"/>
        <w:rPr>
          <w:rFonts w:cs="Calibri"/>
          <w:b w:val="0"/>
          <w:kern w:val="0"/>
          <w:sz w:val="20"/>
          <w:szCs w:val="20"/>
        </w:rPr>
      </w:pPr>
      <w:r>
        <w:rPr>
          <w:rFonts w:cs="Calibri"/>
          <w:b w:val="0"/>
          <w:noProof/>
          <w:kern w:val="0"/>
          <w:sz w:val="20"/>
          <w:szCs w:val="20"/>
        </w:rPr>
        <w:drawing>
          <wp:inline distT="0" distB="0" distL="0" distR="0" wp14:anchorId="26AB86A0">
            <wp:extent cx="6572250" cy="204216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2250" cy="2042160"/>
                    </a:xfrm>
                    <a:prstGeom prst="rect">
                      <a:avLst/>
                    </a:prstGeom>
                    <a:noFill/>
                  </pic:spPr>
                </pic:pic>
              </a:graphicData>
            </a:graphic>
          </wp:inline>
        </w:drawing>
      </w:r>
    </w:p>
    <w:p w:rsidR="00A51F45" w:rsidRPr="00A51F45" w:rsidRDefault="00A51F45" w:rsidP="00A51F45">
      <w:pPr>
        <w:spacing w:before="0" w:after="120"/>
        <w:jc w:val="both"/>
        <w:rPr>
          <w:rFonts w:ascii="Arial" w:hAnsi="Arial" w:cs="Arial"/>
          <w:color w:val="000000"/>
          <w:kern w:val="0"/>
          <w:sz w:val="21"/>
          <w:szCs w:val="21"/>
        </w:rPr>
      </w:pPr>
    </w:p>
    <w:p w:rsidR="004B33E4" w:rsidRPr="00C8504B" w:rsidRDefault="005B1978" w:rsidP="00BD0487">
      <w:pPr>
        <w:pStyle w:val="001TitoloBolocco"/>
        <w:spacing w:after="120" w:line="240" w:lineRule="auto"/>
        <w:rPr>
          <w:szCs w:val="26"/>
        </w:rPr>
      </w:pPr>
      <w:r w:rsidRPr="00C8504B">
        <w:rPr>
          <w:szCs w:val="26"/>
        </w:rPr>
        <w:t>Le TIPOLOGIE DI PRODOTTO</w:t>
      </w:r>
    </w:p>
    <w:p w:rsidR="009B6ACA" w:rsidRPr="00AA6CC8" w:rsidRDefault="009B6ACA" w:rsidP="009B6ACA">
      <w:pPr>
        <w:spacing w:before="0" w:after="120"/>
        <w:jc w:val="both"/>
        <w:rPr>
          <w:rFonts w:ascii="Arial" w:hAnsi="Arial" w:cs="Arial"/>
          <w:color w:val="000000"/>
          <w:kern w:val="0"/>
          <w:sz w:val="21"/>
          <w:szCs w:val="21"/>
        </w:rPr>
      </w:pPr>
      <w:r w:rsidRPr="003B7708">
        <w:rPr>
          <w:rFonts w:ascii="Arial" w:hAnsi="Arial" w:cs="Arial"/>
          <w:color w:val="000000"/>
          <w:kern w:val="0"/>
          <w:sz w:val="21"/>
          <w:szCs w:val="21"/>
        </w:rPr>
        <w:t>A</w:t>
      </w:r>
      <w:r>
        <w:rPr>
          <w:rFonts w:ascii="Arial" w:hAnsi="Arial" w:cs="Arial"/>
          <w:color w:val="000000"/>
          <w:kern w:val="0"/>
          <w:sz w:val="21"/>
          <w:szCs w:val="21"/>
        </w:rPr>
        <w:t xml:space="preserve"> settembre</w:t>
      </w:r>
      <w:r w:rsidRPr="003B7708">
        <w:rPr>
          <w:rFonts w:ascii="Arial" w:hAnsi="Arial" w:cs="Arial"/>
          <w:color w:val="000000"/>
          <w:kern w:val="0"/>
          <w:sz w:val="21"/>
          <w:szCs w:val="21"/>
        </w:rPr>
        <w:t xml:space="preserve">, secondo le stime preliminari, </w:t>
      </w:r>
      <w:r>
        <w:rPr>
          <w:rFonts w:ascii="Arial" w:hAnsi="Arial" w:cs="Arial"/>
          <w:color w:val="000000"/>
          <w:kern w:val="0"/>
          <w:sz w:val="21"/>
          <w:szCs w:val="21"/>
        </w:rPr>
        <w:t>l’accelerazione</w:t>
      </w:r>
      <w:r w:rsidRPr="003B7708">
        <w:rPr>
          <w:rFonts w:ascii="Arial" w:hAnsi="Arial" w:cs="Arial"/>
          <w:color w:val="000000"/>
          <w:kern w:val="0"/>
          <w:sz w:val="21"/>
          <w:szCs w:val="21"/>
        </w:rPr>
        <w:t xml:space="preserve"> su base annua</w:t>
      </w:r>
      <w:r>
        <w:rPr>
          <w:rFonts w:ascii="Arial" w:hAnsi="Arial" w:cs="Arial"/>
          <w:color w:val="000000"/>
          <w:kern w:val="0"/>
          <w:sz w:val="21"/>
          <w:szCs w:val="21"/>
        </w:rPr>
        <w:t xml:space="preserve"> </w:t>
      </w:r>
      <w:r w:rsidRPr="003B7708">
        <w:rPr>
          <w:rFonts w:ascii="Arial" w:hAnsi="Arial" w:cs="Arial"/>
          <w:color w:val="000000"/>
          <w:kern w:val="0"/>
          <w:sz w:val="21"/>
          <w:szCs w:val="21"/>
        </w:rPr>
        <w:t>dell’indice generale dei prezzi al consumo NIC (da +</w:t>
      </w:r>
      <w:r>
        <w:rPr>
          <w:rFonts w:ascii="Arial" w:hAnsi="Arial" w:cs="Arial"/>
          <w:color w:val="000000"/>
          <w:kern w:val="0"/>
          <w:sz w:val="21"/>
          <w:szCs w:val="21"/>
        </w:rPr>
        <w:t>8,4</w:t>
      </w:r>
      <w:r w:rsidRPr="003B7708">
        <w:rPr>
          <w:rFonts w:ascii="Arial" w:hAnsi="Arial" w:cs="Arial"/>
          <w:color w:val="000000"/>
          <w:kern w:val="0"/>
          <w:sz w:val="21"/>
          <w:szCs w:val="21"/>
        </w:rPr>
        <w:t>% a +</w:t>
      </w:r>
      <w:r>
        <w:rPr>
          <w:rFonts w:ascii="Arial" w:hAnsi="Arial" w:cs="Arial"/>
          <w:color w:val="000000"/>
          <w:kern w:val="0"/>
          <w:sz w:val="21"/>
          <w:szCs w:val="21"/>
        </w:rPr>
        <w:t>8,9</w:t>
      </w:r>
      <w:r w:rsidRPr="003B7708">
        <w:rPr>
          <w:rFonts w:ascii="Arial" w:hAnsi="Arial" w:cs="Arial"/>
          <w:color w:val="000000"/>
          <w:kern w:val="0"/>
          <w:sz w:val="21"/>
          <w:szCs w:val="21"/>
        </w:rPr>
        <w:t xml:space="preserve">%) si deve </w:t>
      </w:r>
      <w:r>
        <w:rPr>
          <w:rFonts w:ascii="Arial" w:hAnsi="Arial" w:cs="Arial"/>
          <w:color w:val="000000"/>
          <w:kern w:val="0"/>
          <w:sz w:val="21"/>
          <w:szCs w:val="21"/>
        </w:rPr>
        <w:t>ai</w:t>
      </w:r>
      <w:r w:rsidRPr="003B7708">
        <w:rPr>
          <w:rFonts w:ascii="Arial" w:hAnsi="Arial" w:cs="Arial"/>
          <w:color w:val="000000"/>
          <w:kern w:val="0"/>
          <w:sz w:val="21"/>
          <w:szCs w:val="21"/>
        </w:rPr>
        <w:t xml:space="preserve"> prezzi dei beni (</w:t>
      </w:r>
      <w:r>
        <w:rPr>
          <w:rFonts w:ascii="Arial" w:hAnsi="Arial" w:cs="Arial"/>
          <w:sz w:val="21"/>
          <w:szCs w:val="21"/>
        </w:rPr>
        <w:t>da +11,8% a +12,5</w:t>
      </w:r>
      <w:r w:rsidRPr="003B7708">
        <w:rPr>
          <w:rFonts w:ascii="Arial" w:hAnsi="Arial" w:cs="Arial"/>
          <w:sz w:val="21"/>
          <w:szCs w:val="21"/>
        </w:rPr>
        <w:t>%)</w:t>
      </w:r>
      <w:r>
        <w:rPr>
          <w:rFonts w:ascii="Arial" w:hAnsi="Arial" w:cs="Arial"/>
          <w:sz w:val="21"/>
          <w:szCs w:val="21"/>
        </w:rPr>
        <w:t>,</w:t>
      </w:r>
      <w:r w:rsidRPr="003B7708">
        <w:rPr>
          <w:rFonts w:ascii="Arial" w:hAnsi="Arial" w:cs="Arial"/>
          <w:sz w:val="21"/>
          <w:szCs w:val="21"/>
        </w:rPr>
        <w:t xml:space="preserve"> </w:t>
      </w:r>
      <w:r w:rsidRPr="003B7708">
        <w:rPr>
          <w:rFonts w:ascii="Arial" w:hAnsi="Arial" w:cs="Arial"/>
          <w:color w:val="000000"/>
          <w:kern w:val="0"/>
          <w:sz w:val="21"/>
          <w:szCs w:val="21"/>
        </w:rPr>
        <w:t xml:space="preserve">mentre </w:t>
      </w:r>
      <w:r>
        <w:rPr>
          <w:rFonts w:ascii="Arial" w:hAnsi="Arial" w:cs="Arial"/>
          <w:color w:val="000000"/>
          <w:kern w:val="0"/>
          <w:sz w:val="21"/>
          <w:szCs w:val="21"/>
        </w:rPr>
        <w:t>la crescita di quelli</w:t>
      </w:r>
      <w:r w:rsidRPr="003B7708">
        <w:rPr>
          <w:rFonts w:ascii="Arial" w:hAnsi="Arial" w:cs="Arial"/>
          <w:color w:val="000000"/>
          <w:kern w:val="0"/>
          <w:sz w:val="21"/>
          <w:szCs w:val="21"/>
        </w:rPr>
        <w:t xml:space="preserve"> dei servizi </w:t>
      </w:r>
      <w:r>
        <w:rPr>
          <w:rFonts w:ascii="Arial" w:hAnsi="Arial" w:cs="Arial"/>
          <w:color w:val="000000"/>
          <w:kern w:val="0"/>
          <w:sz w:val="21"/>
          <w:szCs w:val="21"/>
        </w:rPr>
        <w:t xml:space="preserve">rimane sostanzialmente stabile </w:t>
      </w:r>
      <w:r w:rsidRPr="003B7708">
        <w:rPr>
          <w:rFonts w:ascii="Arial" w:hAnsi="Arial" w:cs="Arial"/>
          <w:color w:val="000000"/>
          <w:kern w:val="0"/>
          <w:sz w:val="21"/>
          <w:szCs w:val="21"/>
        </w:rPr>
        <w:t>(</w:t>
      </w:r>
      <w:r>
        <w:rPr>
          <w:rFonts w:ascii="Arial" w:hAnsi="Arial" w:cs="Arial"/>
          <w:sz w:val="21"/>
          <w:szCs w:val="21"/>
        </w:rPr>
        <w:t>da +3,8% a +3,9</w:t>
      </w:r>
      <w:r w:rsidRPr="003B7708">
        <w:rPr>
          <w:rFonts w:ascii="Arial" w:hAnsi="Arial" w:cs="Arial"/>
          <w:sz w:val="21"/>
          <w:szCs w:val="21"/>
        </w:rPr>
        <w:t>%</w:t>
      </w:r>
      <w:r w:rsidRPr="003B7708">
        <w:rPr>
          <w:rFonts w:ascii="Arial" w:hAnsi="Arial" w:cs="Arial"/>
          <w:color w:val="000000"/>
          <w:kern w:val="0"/>
          <w:sz w:val="21"/>
          <w:szCs w:val="21"/>
        </w:rPr>
        <w:t xml:space="preserve">); il differenziale inflazionistico tra questi ultimi e i prezzi dei beni rimane quindi negativo, ma si </w:t>
      </w:r>
      <w:r>
        <w:rPr>
          <w:rFonts w:ascii="Arial" w:hAnsi="Arial" w:cs="Arial"/>
          <w:color w:val="000000"/>
          <w:kern w:val="0"/>
          <w:sz w:val="21"/>
          <w:szCs w:val="21"/>
        </w:rPr>
        <w:t>amplia</w:t>
      </w:r>
      <w:r w:rsidRPr="003B7708">
        <w:rPr>
          <w:rFonts w:ascii="Arial" w:hAnsi="Arial" w:cs="Arial"/>
          <w:color w:val="000000"/>
          <w:kern w:val="0"/>
          <w:sz w:val="21"/>
          <w:szCs w:val="21"/>
        </w:rPr>
        <w:t xml:space="preserve"> a -</w:t>
      </w:r>
      <w:r>
        <w:rPr>
          <w:rFonts w:ascii="Arial" w:hAnsi="Arial" w:cs="Arial"/>
          <w:color w:val="000000"/>
          <w:kern w:val="0"/>
          <w:sz w:val="21"/>
          <w:szCs w:val="21"/>
        </w:rPr>
        <w:t>8,6</w:t>
      </w:r>
      <w:r w:rsidRPr="003B7708">
        <w:rPr>
          <w:rFonts w:ascii="Arial" w:hAnsi="Arial" w:cs="Arial"/>
          <w:color w:val="000000"/>
          <w:kern w:val="0"/>
          <w:sz w:val="21"/>
          <w:szCs w:val="21"/>
        </w:rPr>
        <w:t xml:space="preserve"> punti percentuali (</w:t>
      </w:r>
      <w:r>
        <w:rPr>
          <w:rFonts w:ascii="Arial" w:hAnsi="Arial" w:cs="Arial"/>
          <w:color w:val="000000"/>
          <w:kern w:val="0"/>
          <w:sz w:val="21"/>
          <w:szCs w:val="21"/>
        </w:rPr>
        <w:t>da</w:t>
      </w:r>
      <w:r w:rsidRPr="003B7708">
        <w:rPr>
          <w:rFonts w:ascii="Arial" w:hAnsi="Arial" w:cs="Arial"/>
          <w:color w:val="000000"/>
          <w:kern w:val="0"/>
          <w:sz w:val="21"/>
          <w:szCs w:val="21"/>
        </w:rPr>
        <w:t xml:space="preserve"> -</w:t>
      </w:r>
      <w:r>
        <w:rPr>
          <w:rFonts w:ascii="Arial" w:hAnsi="Arial" w:cs="Arial"/>
          <w:color w:val="000000"/>
          <w:kern w:val="0"/>
          <w:sz w:val="21"/>
          <w:szCs w:val="21"/>
        </w:rPr>
        <w:t>8,0 di agosto</w:t>
      </w:r>
      <w:r w:rsidRPr="003B7708">
        <w:rPr>
          <w:rFonts w:ascii="Arial" w:hAnsi="Arial" w:cs="Arial"/>
          <w:color w:val="000000"/>
          <w:kern w:val="0"/>
          <w:sz w:val="21"/>
          <w:szCs w:val="21"/>
        </w:rPr>
        <w:t>).</w:t>
      </w:r>
      <w:r>
        <w:rPr>
          <w:rFonts w:ascii="Arial" w:hAnsi="Arial" w:cs="Arial"/>
          <w:color w:val="000000"/>
          <w:kern w:val="0"/>
          <w:sz w:val="21"/>
          <w:szCs w:val="21"/>
        </w:rPr>
        <w:t xml:space="preserve"> </w:t>
      </w:r>
    </w:p>
    <w:p w:rsidR="009B6ACA" w:rsidRDefault="009B6ACA" w:rsidP="009B6ACA">
      <w:pPr>
        <w:spacing w:before="0" w:after="120"/>
        <w:jc w:val="both"/>
        <w:rPr>
          <w:rFonts w:ascii="Arial" w:hAnsi="Arial" w:cs="Arial"/>
          <w:color w:val="000000"/>
          <w:kern w:val="0"/>
          <w:sz w:val="21"/>
          <w:szCs w:val="21"/>
        </w:rPr>
      </w:pPr>
      <w:r>
        <w:rPr>
          <w:rFonts w:ascii="Arial" w:hAnsi="Arial" w:cs="Arial"/>
          <w:color w:val="000000"/>
          <w:kern w:val="0"/>
          <w:sz w:val="21"/>
          <w:szCs w:val="21"/>
        </w:rPr>
        <w:t>L’accelerazione dei prezzi dei beni è imputabile prevalentemente ai</w:t>
      </w:r>
      <w:r w:rsidRPr="004B427C">
        <w:rPr>
          <w:rFonts w:ascii="Arial" w:hAnsi="Arial" w:cs="Arial"/>
          <w:color w:val="000000"/>
          <w:kern w:val="0"/>
          <w:sz w:val="21"/>
          <w:szCs w:val="21"/>
        </w:rPr>
        <w:t xml:space="preserve"> prezzi </w:t>
      </w:r>
      <w:r>
        <w:rPr>
          <w:rFonts w:ascii="Arial" w:hAnsi="Arial" w:cs="Arial"/>
          <w:color w:val="000000"/>
          <w:kern w:val="0"/>
          <w:sz w:val="21"/>
          <w:szCs w:val="21"/>
        </w:rPr>
        <w:t>dei Beni alimentari (da +10,1% a +11,</w:t>
      </w:r>
      <w:r w:rsidR="00194ECA">
        <w:rPr>
          <w:rFonts w:ascii="Arial" w:hAnsi="Arial" w:cs="Arial"/>
          <w:color w:val="000000"/>
          <w:kern w:val="0"/>
          <w:sz w:val="21"/>
          <w:szCs w:val="21"/>
        </w:rPr>
        <w:t>4</w:t>
      </w:r>
      <w:r>
        <w:rPr>
          <w:rFonts w:ascii="Arial" w:hAnsi="Arial" w:cs="Arial"/>
          <w:color w:val="000000"/>
          <w:kern w:val="0"/>
          <w:sz w:val="21"/>
          <w:szCs w:val="21"/>
        </w:rPr>
        <w:t>%; +1,</w:t>
      </w:r>
      <w:r w:rsidR="00194ECA">
        <w:rPr>
          <w:rFonts w:ascii="Arial" w:hAnsi="Arial" w:cs="Arial"/>
          <w:color w:val="000000"/>
          <w:kern w:val="0"/>
          <w:sz w:val="21"/>
          <w:szCs w:val="21"/>
        </w:rPr>
        <w:t>1</w:t>
      </w:r>
      <w:r>
        <w:rPr>
          <w:rFonts w:ascii="Arial" w:hAnsi="Arial" w:cs="Arial"/>
          <w:color w:val="000000"/>
          <w:kern w:val="0"/>
          <w:sz w:val="21"/>
          <w:szCs w:val="21"/>
        </w:rPr>
        <w:t>% il congiunturale), a causa sia degli Alimentari lavorati (da +10,4% a +11,</w:t>
      </w:r>
      <w:r w:rsidR="00194ECA">
        <w:rPr>
          <w:rFonts w:ascii="Arial" w:hAnsi="Arial" w:cs="Arial"/>
          <w:color w:val="000000"/>
          <w:kern w:val="0"/>
          <w:sz w:val="21"/>
          <w:szCs w:val="21"/>
        </w:rPr>
        <w:t>4</w:t>
      </w:r>
      <w:r>
        <w:rPr>
          <w:rFonts w:ascii="Arial" w:hAnsi="Arial" w:cs="Arial"/>
          <w:color w:val="000000"/>
          <w:kern w:val="0"/>
          <w:sz w:val="21"/>
          <w:szCs w:val="21"/>
        </w:rPr>
        <w:t>%; +0,</w:t>
      </w:r>
      <w:r w:rsidR="00194ECA">
        <w:rPr>
          <w:rFonts w:ascii="Arial" w:hAnsi="Arial" w:cs="Arial"/>
          <w:color w:val="000000"/>
          <w:kern w:val="0"/>
          <w:sz w:val="21"/>
          <w:szCs w:val="21"/>
        </w:rPr>
        <w:t>5</w:t>
      </w:r>
      <w:r>
        <w:rPr>
          <w:rFonts w:ascii="Arial" w:hAnsi="Arial" w:cs="Arial"/>
          <w:color w:val="000000"/>
          <w:kern w:val="0"/>
          <w:sz w:val="21"/>
          <w:szCs w:val="21"/>
        </w:rPr>
        <w:t>% rispetto al mese precedente) sia degli Alimentati non lavorati</w:t>
      </w:r>
      <w:r w:rsidRPr="00F07745">
        <w:rPr>
          <w:rFonts w:ascii="Arial" w:hAnsi="Arial" w:cs="Arial"/>
          <w:color w:val="000000"/>
          <w:kern w:val="0"/>
          <w:sz w:val="21"/>
          <w:szCs w:val="21"/>
        </w:rPr>
        <w:t xml:space="preserve"> (</w:t>
      </w:r>
      <w:r>
        <w:rPr>
          <w:rFonts w:ascii="Arial" w:hAnsi="Arial" w:cs="Arial"/>
          <w:color w:val="000000"/>
          <w:kern w:val="0"/>
          <w:sz w:val="21"/>
          <w:szCs w:val="21"/>
        </w:rPr>
        <w:t xml:space="preserve">da </w:t>
      </w:r>
      <w:r w:rsidRPr="00F07745">
        <w:rPr>
          <w:rFonts w:ascii="Arial" w:hAnsi="Arial" w:cs="Arial"/>
          <w:color w:val="000000"/>
          <w:kern w:val="0"/>
          <w:sz w:val="21"/>
          <w:szCs w:val="21"/>
        </w:rPr>
        <w:t>+</w:t>
      </w:r>
      <w:r>
        <w:rPr>
          <w:rFonts w:ascii="Arial" w:hAnsi="Arial" w:cs="Arial"/>
          <w:color w:val="000000"/>
          <w:kern w:val="0"/>
          <w:sz w:val="21"/>
          <w:szCs w:val="21"/>
        </w:rPr>
        <w:t>9,8% a +11,0%; +2,0% su base mensile).</w:t>
      </w:r>
      <w:r w:rsidRPr="00600BF5">
        <w:rPr>
          <w:rFonts w:ascii="Arial" w:hAnsi="Arial" w:cs="Arial"/>
          <w:color w:val="000000"/>
          <w:kern w:val="0"/>
          <w:sz w:val="21"/>
          <w:szCs w:val="21"/>
        </w:rPr>
        <w:t xml:space="preserve"> </w:t>
      </w:r>
      <w:r>
        <w:rPr>
          <w:rFonts w:ascii="Arial" w:hAnsi="Arial" w:cs="Arial"/>
          <w:color w:val="000000"/>
          <w:kern w:val="0"/>
          <w:sz w:val="21"/>
          <w:szCs w:val="21"/>
        </w:rPr>
        <w:t xml:space="preserve">Per quest’ultimo aggregato in particolare è da segnalare l’accelerazione dei prezzi dei </w:t>
      </w:r>
      <w:r w:rsidRPr="00DE32E9">
        <w:rPr>
          <w:rFonts w:ascii="Arial" w:hAnsi="Arial" w:cs="Arial"/>
          <w:color w:val="000000"/>
          <w:kern w:val="0"/>
          <w:sz w:val="21"/>
          <w:szCs w:val="21"/>
        </w:rPr>
        <w:t>Vegetali freschi o refrigerati diversi dalle patate</w:t>
      </w:r>
      <w:r>
        <w:rPr>
          <w:rFonts w:ascii="Arial" w:hAnsi="Arial" w:cs="Arial"/>
          <w:color w:val="000000"/>
          <w:kern w:val="0"/>
          <w:sz w:val="21"/>
          <w:szCs w:val="21"/>
        </w:rPr>
        <w:t xml:space="preserve"> (da +12,4% a +16,7%; +9,</w:t>
      </w:r>
      <w:r w:rsidR="00194ECA">
        <w:rPr>
          <w:rFonts w:ascii="Arial" w:hAnsi="Arial" w:cs="Arial"/>
          <w:color w:val="000000"/>
          <w:kern w:val="0"/>
          <w:sz w:val="21"/>
          <w:szCs w:val="21"/>
        </w:rPr>
        <w:t>5</w:t>
      </w:r>
      <w:r>
        <w:rPr>
          <w:rFonts w:ascii="Arial" w:hAnsi="Arial" w:cs="Arial"/>
          <w:color w:val="000000"/>
          <w:kern w:val="0"/>
          <w:sz w:val="21"/>
          <w:szCs w:val="21"/>
        </w:rPr>
        <w:t xml:space="preserve">% il congiunturale), mentre quelli della </w:t>
      </w:r>
      <w:r w:rsidRPr="00AE4A1B">
        <w:rPr>
          <w:rFonts w:ascii="Arial" w:hAnsi="Arial" w:cs="Arial"/>
          <w:color w:val="000000"/>
          <w:kern w:val="0"/>
          <w:sz w:val="21"/>
          <w:szCs w:val="21"/>
        </w:rPr>
        <w:t>Frutta fresca o refrigerata</w:t>
      </w:r>
      <w:r>
        <w:rPr>
          <w:rFonts w:ascii="Arial" w:hAnsi="Arial" w:cs="Arial"/>
          <w:color w:val="000000"/>
          <w:kern w:val="0"/>
          <w:sz w:val="21"/>
          <w:szCs w:val="21"/>
        </w:rPr>
        <w:t xml:space="preserve"> rallentano a +7,9% (da +8,3%; -0,8% rispetto ad agosto).</w:t>
      </w:r>
    </w:p>
    <w:p w:rsidR="00192064" w:rsidRDefault="00192064" w:rsidP="00192064">
      <w:pPr>
        <w:spacing w:before="0" w:after="120"/>
        <w:jc w:val="both"/>
        <w:rPr>
          <w:rFonts w:ascii="Arial" w:hAnsi="Arial" w:cs="Arial"/>
          <w:color w:val="000000"/>
          <w:kern w:val="0"/>
          <w:sz w:val="21"/>
          <w:szCs w:val="21"/>
        </w:rPr>
      </w:pPr>
      <w:r>
        <w:rPr>
          <w:rFonts w:ascii="Arial" w:hAnsi="Arial" w:cs="Arial"/>
          <w:sz w:val="21"/>
          <w:szCs w:val="21"/>
        </w:rPr>
        <w:t xml:space="preserve">Contribuiscono all’accelerazione </w:t>
      </w:r>
      <w:r w:rsidRPr="00D06CC3">
        <w:rPr>
          <w:rFonts w:ascii="Arial" w:hAnsi="Arial" w:cs="Arial"/>
          <w:sz w:val="21"/>
          <w:szCs w:val="21"/>
        </w:rPr>
        <w:t xml:space="preserve">dei prezzi dei beni </w:t>
      </w:r>
      <w:r>
        <w:rPr>
          <w:rFonts w:ascii="Arial" w:hAnsi="Arial" w:cs="Arial"/>
          <w:sz w:val="21"/>
          <w:szCs w:val="21"/>
        </w:rPr>
        <w:t>anche quelli degli Altri beni (da +3,5</w:t>
      </w:r>
      <w:r w:rsidRPr="00AE4A1B">
        <w:rPr>
          <w:rFonts w:ascii="Arial" w:hAnsi="Arial" w:cs="Arial"/>
          <w:sz w:val="21"/>
          <w:szCs w:val="21"/>
        </w:rPr>
        <w:t>% a +</w:t>
      </w:r>
      <w:r>
        <w:rPr>
          <w:rFonts w:ascii="Arial" w:hAnsi="Arial" w:cs="Arial"/>
          <w:sz w:val="21"/>
          <w:szCs w:val="21"/>
        </w:rPr>
        <w:t>4,0%; +0,7% su base mensile) e di tutti gli aggregati che ne fanno parte e quindi dei prezzi dei Beni durevoli (da +4,2% a +4,6%; +0,7% rispetto al mese precedente</w:t>
      </w:r>
      <w:r>
        <w:rPr>
          <w:rFonts w:ascii="Arial" w:hAnsi="Arial" w:cs="Arial"/>
          <w:color w:val="000000"/>
          <w:kern w:val="0"/>
          <w:sz w:val="21"/>
          <w:szCs w:val="21"/>
        </w:rPr>
        <w:t>), dei Beni non durevoli (da +3,8% a +4,6%; +0,4% il congiunturale) e dei Beni semidurevoli (da +2,3% a +2,8%; +1,0% sul mese).</w:t>
      </w:r>
    </w:p>
    <w:p w:rsidR="009B6ACA" w:rsidRDefault="009B6ACA" w:rsidP="009B6ACA">
      <w:pPr>
        <w:spacing w:before="0" w:after="120"/>
        <w:jc w:val="both"/>
        <w:rPr>
          <w:rFonts w:ascii="Arial" w:hAnsi="Arial" w:cs="Arial"/>
          <w:color w:val="000000"/>
          <w:kern w:val="0"/>
          <w:sz w:val="21"/>
          <w:szCs w:val="21"/>
        </w:rPr>
      </w:pPr>
    </w:p>
    <w:p w:rsidR="005B1978" w:rsidRPr="00C8504B" w:rsidRDefault="003961E3" w:rsidP="009612C2">
      <w:pPr>
        <w:spacing w:before="0" w:after="0"/>
        <w:jc w:val="both"/>
        <w:rPr>
          <w:rFonts w:ascii="Arial Narrow" w:hAnsi="Arial Narrow" w:cs="Arial"/>
          <w:b/>
          <w:color w:val="5F5F5F"/>
          <w:sz w:val="22"/>
          <w:szCs w:val="22"/>
        </w:rPr>
      </w:pPr>
      <w:r w:rsidRPr="00C8504B">
        <w:rPr>
          <w:rFonts w:ascii="Arial Narrow" w:hAnsi="Arial Narrow" w:cs="Arial"/>
          <w:b/>
          <w:color w:val="E42618"/>
          <w:sz w:val="22"/>
          <w:szCs w:val="22"/>
        </w:rPr>
        <w:t>PROSPETTO</w:t>
      </w:r>
      <w:r w:rsidR="005B1978" w:rsidRPr="00C8504B">
        <w:rPr>
          <w:rFonts w:ascii="Arial Narrow" w:hAnsi="Arial Narrow" w:cs="Arial"/>
          <w:b/>
          <w:color w:val="E42618"/>
          <w:sz w:val="22"/>
          <w:szCs w:val="22"/>
        </w:rPr>
        <w:t xml:space="preserve"> </w:t>
      </w:r>
      <w:r w:rsidR="00E74721" w:rsidRPr="00C8504B">
        <w:rPr>
          <w:rFonts w:ascii="Arial Narrow" w:hAnsi="Arial Narrow" w:cs="Arial"/>
          <w:b/>
          <w:color w:val="E42618"/>
          <w:sz w:val="22"/>
          <w:szCs w:val="22"/>
        </w:rPr>
        <w:t>3</w:t>
      </w:r>
      <w:r w:rsidRPr="00C8504B">
        <w:rPr>
          <w:rFonts w:ascii="Arial Narrow" w:hAnsi="Arial Narrow" w:cs="Arial"/>
          <w:b/>
          <w:color w:val="E42618"/>
          <w:sz w:val="22"/>
          <w:szCs w:val="22"/>
        </w:rPr>
        <w:t>.</w:t>
      </w:r>
      <w:r w:rsidRPr="00C8504B">
        <w:rPr>
          <w:rFonts w:ascii="Arial Narrow" w:hAnsi="Arial Narrow" w:cs="Arial"/>
          <w:b/>
          <w:color w:val="5F5F5F"/>
        </w:rPr>
        <w:t xml:space="preserve"> </w:t>
      </w:r>
      <w:r w:rsidR="005B1978" w:rsidRPr="00C8504B">
        <w:rPr>
          <w:rFonts w:ascii="Arial Narrow" w:hAnsi="Arial Narrow" w:cs="Calibri"/>
          <w:b/>
          <w:bCs/>
          <w:color w:val="5F5F5F"/>
          <w:kern w:val="0"/>
          <w:sz w:val="22"/>
          <w:szCs w:val="22"/>
        </w:rPr>
        <w:t>INDICE DEI PREZZI AL CONSUMO NIC PER TIPOLOGIA DI PRODOTTO</w:t>
      </w:r>
    </w:p>
    <w:p w:rsidR="005B1978" w:rsidRPr="00C8504B" w:rsidRDefault="009B6ACA" w:rsidP="005B1978">
      <w:pPr>
        <w:spacing w:before="0" w:after="120"/>
        <w:jc w:val="both"/>
        <w:rPr>
          <w:rFonts w:ascii="Arial Narrow" w:hAnsi="Arial Narrow" w:cs="Arial"/>
          <w:color w:val="5F5F5F"/>
        </w:rPr>
      </w:pPr>
      <w:r>
        <w:rPr>
          <w:rFonts w:ascii="Arial Narrow" w:hAnsi="Arial Narrow" w:cs="Arial"/>
          <w:color w:val="5F5F5F"/>
        </w:rPr>
        <w:t>Settembre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00CB0759" w:rsidRPr="00C8504B">
        <w:rPr>
          <w:rFonts w:ascii="Arial Narrow" w:hAnsi="Arial Narrow" w:cs="Arial"/>
          <w:color w:val="5F5F5F"/>
        </w:rPr>
        <w:t>,</w:t>
      </w:r>
      <w:r w:rsidR="00A25192" w:rsidRPr="00C8504B">
        <w:rPr>
          <w:rFonts w:ascii="Arial Narrow" w:hAnsi="Arial Narrow" w:cs="Arial"/>
          <w:color w:val="5F5F5F"/>
        </w:rPr>
        <w:t xml:space="preserve"> pesi e </w:t>
      </w:r>
      <w:r w:rsidR="005B1978" w:rsidRPr="00C8504B">
        <w:rPr>
          <w:rFonts w:ascii="Arial Narrow" w:hAnsi="Arial Narrow" w:cs="Arial"/>
          <w:color w:val="5F5F5F"/>
        </w:rPr>
        <w:t xml:space="preserve">variazioni </w:t>
      </w:r>
      <w:r w:rsidR="00A1287A" w:rsidRPr="00C8504B">
        <w:rPr>
          <w:rFonts w:ascii="Arial Narrow" w:hAnsi="Arial Narrow" w:cs="Arial"/>
          <w:color w:val="5F5F5F"/>
        </w:rPr>
        <w:t xml:space="preserve">congiunturali e tendenziali </w:t>
      </w:r>
      <w:r w:rsidR="005B1978" w:rsidRPr="00C8504B">
        <w:rPr>
          <w:rFonts w:ascii="Arial Narrow" w:hAnsi="Arial Narrow" w:cs="Arial"/>
          <w:color w:val="5F5F5F"/>
        </w:rPr>
        <w:t>percentuali (base 20</w:t>
      </w:r>
      <w:r w:rsidR="00FB2FA2" w:rsidRPr="00C8504B">
        <w:rPr>
          <w:rFonts w:ascii="Arial Narrow" w:hAnsi="Arial Narrow" w:cs="Arial"/>
          <w:color w:val="5F5F5F"/>
        </w:rPr>
        <w:t>15=100)</w:t>
      </w:r>
    </w:p>
    <w:tbl>
      <w:tblPr>
        <w:tblW w:w="10206" w:type="dxa"/>
        <w:tblInd w:w="70" w:type="dxa"/>
        <w:tblBorders>
          <w:top w:val="single" w:sz="4" w:space="0" w:color="auto"/>
          <w:bottom w:val="single" w:sz="4" w:space="0" w:color="auto"/>
          <w:insideH w:val="single" w:sz="4" w:space="0" w:color="auto"/>
        </w:tblBorders>
        <w:tblLayout w:type="fixed"/>
        <w:tblCellMar>
          <w:left w:w="70" w:type="dxa"/>
          <w:right w:w="0" w:type="dxa"/>
        </w:tblCellMar>
        <w:tblLook w:val="0400" w:firstRow="0" w:lastRow="0" w:firstColumn="0" w:lastColumn="0" w:noHBand="0" w:noVBand="1"/>
      </w:tblPr>
      <w:tblGrid>
        <w:gridCol w:w="4253"/>
        <w:gridCol w:w="992"/>
        <w:gridCol w:w="978"/>
        <w:gridCol w:w="1006"/>
        <w:gridCol w:w="992"/>
        <w:gridCol w:w="983"/>
        <w:gridCol w:w="1002"/>
      </w:tblGrid>
      <w:tr w:rsidR="00B33C41" w:rsidRPr="00C8504B" w:rsidTr="00851952">
        <w:trPr>
          <w:trHeight w:val="326"/>
          <w:tblHeader/>
        </w:trPr>
        <w:tc>
          <w:tcPr>
            <w:tcW w:w="4253" w:type="dxa"/>
            <w:vMerge w:val="restart"/>
            <w:vAlign w:val="center"/>
          </w:tcPr>
          <w:p w:rsidR="00B33C41" w:rsidRPr="00C8504B" w:rsidRDefault="00B33C41" w:rsidP="00B33C41">
            <w:pPr>
              <w:spacing w:before="0" w:after="0"/>
              <w:ind w:left="-68"/>
              <w:rPr>
                <w:rFonts w:ascii="Arial Narrow" w:hAnsi="Arial Narrow" w:cs="Arial"/>
                <w:b/>
                <w:bCs/>
                <w:sz w:val="18"/>
                <w:szCs w:val="18"/>
              </w:rPr>
            </w:pPr>
            <w:r w:rsidRPr="00C8504B">
              <w:rPr>
                <w:rFonts w:ascii="Arial Narrow" w:hAnsi="Arial Narrow" w:cs="Arial"/>
                <w:b/>
                <w:bCs/>
                <w:sz w:val="18"/>
                <w:szCs w:val="18"/>
              </w:rPr>
              <w:t>TIPOLOGIE DI PRODOTTO</w:t>
            </w:r>
          </w:p>
        </w:tc>
        <w:tc>
          <w:tcPr>
            <w:tcW w:w="992" w:type="dxa"/>
            <w:vMerge w:val="restart"/>
            <w:shd w:val="clear" w:color="auto" w:fill="D9D9D9"/>
            <w:vAlign w:val="center"/>
          </w:tcPr>
          <w:p w:rsidR="00B33C41" w:rsidRPr="00C8504B" w:rsidRDefault="00B33C41" w:rsidP="00B33C41">
            <w:pPr>
              <w:spacing w:before="0" w:after="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1984" w:type="dxa"/>
            <w:gridSpan w:val="2"/>
            <w:vAlign w:val="center"/>
          </w:tcPr>
          <w:p w:rsidR="00B33C41" w:rsidRPr="003750EC" w:rsidRDefault="00B33C41" w:rsidP="00B33C41">
            <w:pPr>
              <w:spacing w:before="0" w:after="0"/>
              <w:ind w:right="57"/>
              <w:jc w:val="right"/>
              <w:rPr>
                <w:rFonts w:ascii="Arial Narrow" w:hAnsi="Arial Narrow" w:cs="Arial"/>
                <w:b/>
                <w:bCs/>
                <w:sz w:val="18"/>
                <w:szCs w:val="18"/>
              </w:rPr>
            </w:pPr>
            <w:r w:rsidRPr="003750EC">
              <w:rPr>
                <w:rFonts w:ascii="Arial Narrow" w:hAnsi="Arial Narrow" w:cs="Arial"/>
                <w:b/>
                <w:bCs/>
                <w:sz w:val="18"/>
                <w:szCs w:val="18"/>
              </w:rPr>
              <w:t>Variazioni congiunturali</w:t>
            </w:r>
          </w:p>
        </w:tc>
        <w:tc>
          <w:tcPr>
            <w:tcW w:w="1975" w:type="dxa"/>
            <w:gridSpan w:val="2"/>
            <w:shd w:val="clear" w:color="auto" w:fill="D9D9D9"/>
            <w:vAlign w:val="center"/>
          </w:tcPr>
          <w:p w:rsidR="00B33C41" w:rsidRPr="003750EC" w:rsidRDefault="00B33C41" w:rsidP="00B33C41">
            <w:pPr>
              <w:spacing w:before="0" w:after="0"/>
              <w:ind w:right="57"/>
              <w:jc w:val="right"/>
              <w:rPr>
                <w:rFonts w:ascii="Arial Narrow" w:hAnsi="Arial Narrow" w:cs="Arial"/>
                <w:b/>
                <w:bCs/>
                <w:sz w:val="18"/>
                <w:szCs w:val="18"/>
              </w:rPr>
            </w:pPr>
            <w:r w:rsidRPr="003750EC">
              <w:rPr>
                <w:rFonts w:ascii="Arial Narrow" w:hAnsi="Arial Narrow" w:cs="Arial"/>
                <w:b/>
                <w:bCs/>
                <w:sz w:val="18"/>
                <w:szCs w:val="18"/>
              </w:rPr>
              <w:t>Variazioni tendenziali</w:t>
            </w:r>
          </w:p>
        </w:tc>
        <w:tc>
          <w:tcPr>
            <w:tcW w:w="1002" w:type="dxa"/>
            <w:vMerge w:val="restart"/>
            <w:shd w:val="clear" w:color="auto" w:fill="auto"/>
            <w:vAlign w:val="center"/>
          </w:tcPr>
          <w:p w:rsidR="00B33C41" w:rsidRPr="00C8504B" w:rsidRDefault="00B33C41" w:rsidP="00CA390A">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Pr>
                <w:rFonts w:ascii="Arial Narrow" w:hAnsi="Arial Narrow" w:cs="Arial"/>
                <w:b/>
                <w:bCs/>
                <w:kern w:val="0"/>
                <w:sz w:val="18"/>
                <w:szCs w:val="18"/>
              </w:rPr>
              <w:t xml:space="preserve"> a </w:t>
            </w:r>
            <w:r w:rsidR="009B6ACA">
              <w:rPr>
                <w:rFonts w:ascii="Arial Narrow" w:hAnsi="Arial Narrow" w:cs="Arial"/>
                <w:b/>
                <w:bCs/>
                <w:kern w:val="0"/>
                <w:sz w:val="18"/>
                <w:szCs w:val="18"/>
              </w:rPr>
              <w:t>settembre</w:t>
            </w:r>
          </w:p>
        </w:tc>
      </w:tr>
      <w:tr w:rsidR="00932AA7" w:rsidRPr="00C8504B" w:rsidTr="00A170DD">
        <w:trPr>
          <w:trHeight w:val="381"/>
          <w:tblHeader/>
        </w:trPr>
        <w:tc>
          <w:tcPr>
            <w:tcW w:w="4253" w:type="dxa"/>
            <w:vMerge/>
            <w:vAlign w:val="center"/>
          </w:tcPr>
          <w:p w:rsidR="00932AA7" w:rsidRPr="00C8504B" w:rsidRDefault="00932AA7" w:rsidP="00932AA7">
            <w:pPr>
              <w:spacing w:before="40" w:after="20"/>
              <w:ind w:left="-68"/>
              <w:rPr>
                <w:rFonts w:ascii="Arial Narrow" w:hAnsi="Arial Narrow" w:cs="Arial"/>
                <w:b/>
                <w:bCs/>
                <w:sz w:val="18"/>
                <w:szCs w:val="18"/>
              </w:rPr>
            </w:pPr>
          </w:p>
        </w:tc>
        <w:tc>
          <w:tcPr>
            <w:tcW w:w="992" w:type="dxa"/>
            <w:vMerge/>
            <w:shd w:val="clear" w:color="auto" w:fill="D9D9D9"/>
            <w:vAlign w:val="center"/>
          </w:tcPr>
          <w:p w:rsidR="00932AA7" w:rsidRPr="00C8504B" w:rsidRDefault="00932AA7" w:rsidP="00932AA7">
            <w:pPr>
              <w:spacing w:before="40" w:after="20"/>
              <w:ind w:right="57"/>
              <w:jc w:val="right"/>
              <w:rPr>
                <w:rFonts w:ascii="Arial Narrow" w:hAnsi="Arial Narrow" w:cs="Arial"/>
                <w:b/>
                <w:bCs/>
                <w:sz w:val="18"/>
                <w:szCs w:val="18"/>
              </w:rPr>
            </w:pPr>
          </w:p>
        </w:tc>
        <w:tc>
          <w:tcPr>
            <w:tcW w:w="978" w:type="dxa"/>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932AA7" w:rsidRPr="00E03E58" w:rsidRDefault="00932AA7" w:rsidP="00932AA7">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ago-22</w:t>
            </w:r>
          </w:p>
        </w:tc>
        <w:tc>
          <w:tcPr>
            <w:tcW w:w="1006" w:type="dxa"/>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set-21</w:t>
            </w:r>
          </w:p>
          <w:p w:rsidR="00932AA7" w:rsidRPr="008814F3"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ago-21</w:t>
            </w:r>
          </w:p>
        </w:tc>
        <w:tc>
          <w:tcPr>
            <w:tcW w:w="992" w:type="dxa"/>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932AA7" w:rsidRPr="008814F3"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set-21</w:t>
            </w:r>
          </w:p>
        </w:tc>
        <w:tc>
          <w:tcPr>
            <w:tcW w:w="983" w:type="dxa"/>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ago-22</w:t>
            </w:r>
          </w:p>
          <w:p w:rsidR="00932AA7" w:rsidRPr="008814F3"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ago-21</w:t>
            </w:r>
          </w:p>
        </w:tc>
        <w:tc>
          <w:tcPr>
            <w:tcW w:w="1002" w:type="dxa"/>
            <w:vMerge/>
            <w:shd w:val="clear" w:color="auto" w:fill="auto"/>
            <w:vAlign w:val="center"/>
          </w:tcPr>
          <w:p w:rsidR="00932AA7" w:rsidRPr="00CF0807" w:rsidRDefault="00932AA7" w:rsidP="00932AA7">
            <w:pPr>
              <w:spacing w:before="0" w:after="0"/>
              <w:jc w:val="right"/>
              <w:rPr>
                <w:rFonts w:ascii="Arial Narrow" w:hAnsi="Arial Narrow" w:cs="Arial"/>
                <w:bCs/>
                <w:sz w:val="18"/>
                <w:szCs w:val="18"/>
              </w:rPr>
            </w:pPr>
          </w:p>
        </w:tc>
      </w:tr>
      <w:tr w:rsidR="00BC17DF" w:rsidRPr="00C8504B" w:rsidTr="007B3359">
        <w:trPr>
          <w:trHeight w:val="255"/>
          <w:tblHeader/>
        </w:trPr>
        <w:tc>
          <w:tcPr>
            <w:tcW w:w="4253" w:type="dxa"/>
            <w:vAlign w:val="center"/>
          </w:tcPr>
          <w:p w:rsidR="00BC17DF" w:rsidRPr="00C8504B" w:rsidRDefault="00BC17DF" w:rsidP="00BC17DF">
            <w:pPr>
              <w:spacing w:before="40" w:after="20"/>
              <w:ind w:left="-68"/>
              <w:rPr>
                <w:rFonts w:ascii="Arial Narrow" w:hAnsi="Arial Narrow" w:cs="Arial"/>
                <w:sz w:val="18"/>
                <w:szCs w:val="18"/>
              </w:rPr>
            </w:pPr>
            <w:r w:rsidRPr="00C8504B">
              <w:rPr>
                <w:rFonts w:ascii="Arial Narrow" w:hAnsi="Arial Narrow" w:cs="Arial"/>
                <w:sz w:val="18"/>
                <w:szCs w:val="18"/>
              </w:rPr>
              <w:t>Beni alimentari, di cui:</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195.333</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+1,1</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0,0</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+11,4</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+10,1</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+8,0</w:t>
            </w:r>
          </w:p>
        </w:tc>
      </w:tr>
      <w:tr w:rsidR="00BC17DF" w:rsidRPr="00C8504B" w:rsidTr="007B3359">
        <w:trPr>
          <w:trHeight w:val="255"/>
          <w:tblHeader/>
        </w:trPr>
        <w:tc>
          <w:tcPr>
            <w:tcW w:w="4253" w:type="dxa"/>
            <w:vAlign w:val="center"/>
          </w:tcPr>
          <w:p w:rsidR="00BC17DF" w:rsidRPr="00C8504B" w:rsidRDefault="00BC17DF" w:rsidP="00BC17DF">
            <w:pPr>
              <w:spacing w:before="40" w:after="20"/>
              <w:ind w:firstLine="214"/>
              <w:rPr>
                <w:rFonts w:ascii="Arial Narrow" w:hAnsi="Arial Narrow" w:cs="Arial"/>
                <w:sz w:val="18"/>
                <w:szCs w:val="18"/>
              </w:rPr>
            </w:pPr>
            <w:r w:rsidRPr="00C8504B">
              <w:rPr>
                <w:rFonts w:ascii="Arial Narrow" w:hAnsi="Arial Narrow" w:cs="Arial"/>
                <w:sz w:val="18"/>
                <w:szCs w:val="18"/>
              </w:rPr>
              <w:t>Alimentari lavorati</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120.047</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+0,5</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-0,4</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+11,4</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+10,4</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+7,8</w:t>
            </w:r>
          </w:p>
        </w:tc>
      </w:tr>
      <w:tr w:rsidR="00BC17DF" w:rsidRPr="00C8504B" w:rsidTr="007B3359">
        <w:trPr>
          <w:trHeight w:val="255"/>
          <w:tblHeader/>
        </w:trPr>
        <w:tc>
          <w:tcPr>
            <w:tcW w:w="4253" w:type="dxa"/>
            <w:vAlign w:val="center"/>
          </w:tcPr>
          <w:p w:rsidR="00BC17DF" w:rsidRPr="00C8504B" w:rsidRDefault="00BC17DF" w:rsidP="00BC17DF">
            <w:pPr>
              <w:spacing w:before="40" w:after="20"/>
              <w:ind w:firstLine="214"/>
              <w:rPr>
                <w:rFonts w:ascii="Arial Narrow" w:hAnsi="Arial Narrow" w:cs="Arial"/>
                <w:sz w:val="18"/>
                <w:szCs w:val="18"/>
              </w:rPr>
            </w:pPr>
            <w:r w:rsidRPr="00C8504B">
              <w:rPr>
                <w:rFonts w:ascii="Arial Narrow" w:hAnsi="Arial Narrow" w:cs="Arial"/>
                <w:sz w:val="18"/>
                <w:szCs w:val="18"/>
              </w:rPr>
              <w:t>Alimentari non lavorati</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75.286</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+2,0</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+0,8</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+11,0</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+9,8</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+8,5</w:t>
            </w:r>
          </w:p>
        </w:tc>
      </w:tr>
      <w:tr w:rsidR="00BC17DF" w:rsidRPr="00C8504B" w:rsidTr="007B3359">
        <w:trPr>
          <w:trHeight w:val="255"/>
          <w:tblHeader/>
        </w:trPr>
        <w:tc>
          <w:tcPr>
            <w:tcW w:w="4253" w:type="dxa"/>
            <w:vAlign w:val="center"/>
          </w:tcPr>
          <w:p w:rsidR="00BC17DF" w:rsidRPr="00C8504B" w:rsidRDefault="00BC17DF" w:rsidP="00BC17DF">
            <w:pPr>
              <w:spacing w:before="40" w:after="20"/>
              <w:ind w:left="-68"/>
              <w:rPr>
                <w:rFonts w:ascii="Arial Narrow" w:hAnsi="Arial Narrow" w:cs="Arial"/>
                <w:sz w:val="18"/>
                <w:szCs w:val="18"/>
              </w:rPr>
            </w:pPr>
            <w:r w:rsidRPr="00C8504B">
              <w:rPr>
                <w:rFonts w:ascii="Arial Narrow" w:hAnsi="Arial Narrow" w:cs="Arial"/>
                <w:sz w:val="18"/>
                <w:szCs w:val="18"/>
              </w:rPr>
              <w:t>Beni energetici, di cui:</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92.494</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-0,2</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+0,1</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+44,5</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+44,9</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+40,5</w:t>
            </w:r>
          </w:p>
        </w:tc>
      </w:tr>
      <w:tr w:rsidR="00BC17DF" w:rsidRPr="00C8504B" w:rsidTr="007B3359">
        <w:trPr>
          <w:trHeight w:val="255"/>
          <w:tblHeader/>
        </w:trPr>
        <w:tc>
          <w:tcPr>
            <w:tcW w:w="4253" w:type="dxa"/>
            <w:vAlign w:val="center"/>
          </w:tcPr>
          <w:p w:rsidR="00BC17DF" w:rsidRPr="00C8504B" w:rsidRDefault="00BC17DF" w:rsidP="00BC17DF">
            <w:pPr>
              <w:spacing w:before="40" w:after="20"/>
              <w:ind w:firstLine="214"/>
              <w:rPr>
                <w:rFonts w:ascii="Arial Narrow" w:hAnsi="Arial Narrow" w:cs="Arial"/>
                <w:sz w:val="18"/>
                <w:szCs w:val="18"/>
              </w:rPr>
            </w:pPr>
            <w:r w:rsidRPr="00C8504B">
              <w:rPr>
                <w:rFonts w:ascii="Arial Narrow" w:hAnsi="Arial Narrow" w:cs="Arial"/>
                <w:sz w:val="18"/>
                <w:szCs w:val="18"/>
              </w:rPr>
              <w:t>Energetici regolamentati</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17.411</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0,0</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+0,1</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+47,7</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+47,9</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+55,5</w:t>
            </w:r>
          </w:p>
        </w:tc>
      </w:tr>
      <w:tr w:rsidR="00BC17DF" w:rsidRPr="00C8504B" w:rsidTr="007B3359">
        <w:trPr>
          <w:trHeight w:val="255"/>
          <w:tblHeader/>
        </w:trPr>
        <w:tc>
          <w:tcPr>
            <w:tcW w:w="4253" w:type="dxa"/>
            <w:vAlign w:val="center"/>
          </w:tcPr>
          <w:p w:rsidR="00BC17DF" w:rsidRPr="00C8504B" w:rsidRDefault="00BC17DF" w:rsidP="00BC17DF">
            <w:pPr>
              <w:spacing w:before="40" w:after="20"/>
              <w:ind w:firstLine="214"/>
              <w:rPr>
                <w:rFonts w:ascii="Arial Narrow" w:hAnsi="Arial Narrow" w:cs="Arial"/>
                <w:sz w:val="18"/>
                <w:szCs w:val="18"/>
              </w:rPr>
            </w:pPr>
            <w:r w:rsidRPr="00C8504B">
              <w:rPr>
                <w:rFonts w:ascii="Arial Narrow" w:hAnsi="Arial Narrow" w:cs="Arial"/>
                <w:sz w:val="18"/>
                <w:szCs w:val="18"/>
              </w:rPr>
              <w:t>Energetici non regolamentati</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75.083</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-0,2</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+0,1</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+41,2</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+41,6</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+34,6</w:t>
            </w:r>
          </w:p>
        </w:tc>
      </w:tr>
      <w:tr w:rsidR="00BC17DF" w:rsidRPr="00C8504B" w:rsidTr="007B3359">
        <w:trPr>
          <w:trHeight w:val="255"/>
          <w:tblHeader/>
        </w:trPr>
        <w:tc>
          <w:tcPr>
            <w:tcW w:w="4253" w:type="dxa"/>
            <w:vAlign w:val="center"/>
          </w:tcPr>
          <w:p w:rsidR="00BC17DF" w:rsidRPr="00C8504B" w:rsidRDefault="00BC17DF" w:rsidP="00BC17DF">
            <w:pPr>
              <w:spacing w:before="40" w:after="20"/>
              <w:ind w:left="-68"/>
              <w:rPr>
                <w:rFonts w:ascii="Arial Narrow" w:hAnsi="Arial Narrow" w:cs="Arial"/>
                <w:sz w:val="18"/>
                <w:szCs w:val="18"/>
              </w:rPr>
            </w:pPr>
            <w:r w:rsidRPr="00C8504B">
              <w:rPr>
                <w:rFonts w:ascii="Arial Narrow" w:hAnsi="Arial Narrow" w:cs="Arial"/>
                <w:sz w:val="18"/>
                <w:szCs w:val="18"/>
              </w:rPr>
              <w:t>Tabacchi</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22.381</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0,0</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0,0</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+0,2</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+0,2</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+0,3</w:t>
            </w:r>
          </w:p>
        </w:tc>
      </w:tr>
      <w:tr w:rsidR="00BC17DF" w:rsidRPr="00C8504B" w:rsidTr="007B3359">
        <w:trPr>
          <w:trHeight w:val="255"/>
          <w:tblHeader/>
        </w:trPr>
        <w:tc>
          <w:tcPr>
            <w:tcW w:w="4253" w:type="dxa"/>
            <w:vAlign w:val="center"/>
          </w:tcPr>
          <w:p w:rsidR="00BC17DF" w:rsidRPr="00C8504B" w:rsidRDefault="00BC17DF" w:rsidP="00BC17DF">
            <w:pPr>
              <w:spacing w:before="40" w:after="20"/>
              <w:ind w:left="-68"/>
              <w:rPr>
                <w:rFonts w:ascii="Arial Narrow" w:hAnsi="Arial Narrow" w:cs="Arial"/>
                <w:sz w:val="18"/>
                <w:szCs w:val="18"/>
              </w:rPr>
            </w:pPr>
            <w:r w:rsidRPr="00C8504B">
              <w:rPr>
                <w:rFonts w:ascii="Arial Narrow" w:hAnsi="Arial Narrow" w:cs="Arial"/>
                <w:sz w:val="18"/>
                <w:szCs w:val="18"/>
              </w:rPr>
              <w:t>Altri beni, di cui:</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270.978</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+0,7</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+0,2</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+4,0</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+3,5</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+2,7</w:t>
            </w:r>
          </w:p>
        </w:tc>
      </w:tr>
      <w:tr w:rsidR="00BC17DF" w:rsidRPr="00C8504B" w:rsidTr="007B3359">
        <w:trPr>
          <w:trHeight w:val="255"/>
          <w:tblHeader/>
        </w:trPr>
        <w:tc>
          <w:tcPr>
            <w:tcW w:w="4253" w:type="dxa"/>
            <w:vAlign w:val="center"/>
          </w:tcPr>
          <w:p w:rsidR="00BC17DF" w:rsidRPr="00C8504B" w:rsidRDefault="00BC17DF" w:rsidP="00BC17DF">
            <w:pPr>
              <w:spacing w:before="40" w:after="20"/>
              <w:ind w:firstLine="214"/>
              <w:rPr>
                <w:rFonts w:ascii="Arial Narrow" w:hAnsi="Arial Narrow" w:cs="Arial"/>
                <w:sz w:val="18"/>
                <w:szCs w:val="18"/>
              </w:rPr>
            </w:pPr>
            <w:r w:rsidRPr="00C8504B">
              <w:rPr>
                <w:rFonts w:ascii="Arial Narrow" w:hAnsi="Arial Narrow" w:cs="Arial"/>
                <w:sz w:val="18"/>
                <w:szCs w:val="18"/>
              </w:rPr>
              <w:t>Beni durevoli</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105.690</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+0,7</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+0,3</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+4,6</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+4,2</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+3,1</w:t>
            </w:r>
          </w:p>
        </w:tc>
      </w:tr>
      <w:tr w:rsidR="00BC17DF" w:rsidRPr="00C8504B" w:rsidTr="007B3359">
        <w:trPr>
          <w:trHeight w:val="255"/>
          <w:tblHeader/>
        </w:trPr>
        <w:tc>
          <w:tcPr>
            <w:tcW w:w="4253" w:type="dxa"/>
            <w:vAlign w:val="center"/>
          </w:tcPr>
          <w:p w:rsidR="00BC17DF" w:rsidRPr="00C8504B" w:rsidRDefault="00BC17DF" w:rsidP="00BC17DF">
            <w:pPr>
              <w:spacing w:before="40" w:after="20"/>
              <w:ind w:firstLine="214"/>
              <w:rPr>
                <w:rFonts w:ascii="Arial Narrow" w:hAnsi="Arial Narrow" w:cs="Arial"/>
                <w:sz w:val="18"/>
                <w:szCs w:val="18"/>
              </w:rPr>
            </w:pPr>
            <w:r w:rsidRPr="00C8504B">
              <w:rPr>
                <w:rFonts w:ascii="Arial Narrow" w:hAnsi="Arial Narrow" w:cs="Arial"/>
                <w:sz w:val="18"/>
                <w:szCs w:val="18"/>
              </w:rPr>
              <w:t>Beni non durevoli</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70.411</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+0,4</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-0,3</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+4,6</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+3,8</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+3,0</w:t>
            </w:r>
          </w:p>
        </w:tc>
      </w:tr>
      <w:tr w:rsidR="00BC17DF" w:rsidRPr="00C8504B" w:rsidTr="007B3359">
        <w:trPr>
          <w:trHeight w:val="255"/>
          <w:tblHeader/>
        </w:trPr>
        <w:tc>
          <w:tcPr>
            <w:tcW w:w="4253" w:type="dxa"/>
            <w:vAlign w:val="center"/>
          </w:tcPr>
          <w:p w:rsidR="00BC17DF" w:rsidRPr="00C8504B" w:rsidRDefault="00BC17DF" w:rsidP="00BC17DF">
            <w:pPr>
              <w:spacing w:before="40" w:after="20"/>
              <w:ind w:firstLine="214"/>
              <w:rPr>
                <w:rFonts w:ascii="Arial Narrow" w:hAnsi="Arial Narrow" w:cs="Arial"/>
                <w:sz w:val="18"/>
                <w:szCs w:val="18"/>
              </w:rPr>
            </w:pPr>
            <w:r w:rsidRPr="00C8504B">
              <w:rPr>
                <w:rFonts w:ascii="Arial Narrow" w:hAnsi="Arial Narrow" w:cs="Arial"/>
                <w:sz w:val="18"/>
                <w:szCs w:val="18"/>
              </w:rPr>
              <w:t>Beni semidurevoli</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94.877</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+1,0</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+0,4</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+2,8</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+2,3</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+2,0</w:t>
            </w:r>
          </w:p>
        </w:tc>
      </w:tr>
      <w:tr w:rsidR="00BC17DF" w:rsidRPr="007A2B61" w:rsidTr="007B3359">
        <w:trPr>
          <w:trHeight w:val="255"/>
          <w:tblHeader/>
        </w:trPr>
        <w:tc>
          <w:tcPr>
            <w:tcW w:w="4253" w:type="dxa"/>
            <w:shd w:val="clear" w:color="auto" w:fill="808080"/>
            <w:vAlign w:val="center"/>
          </w:tcPr>
          <w:p w:rsidR="00BC17DF" w:rsidRPr="007A2B61" w:rsidRDefault="00BC17DF" w:rsidP="00BC17DF">
            <w:pPr>
              <w:spacing w:before="40" w:after="20"/>
              <w:rPr>
                <w:rFonts w:ascii="Arial Narrow" w:hAnsi="Arial Narrow" w:cs="Arial"/>
                <w:b/>
                <w:bCs/>
                <w:color w:val="FFFFFF"/>
                <w:sz w:val="18"/>
                <w:szCs w:val="18"/>
              </w:rPr>
            </w:pPr>
            <w:r w:rsidRPr="007A2B61">
              <w:rPr>
                <w:rFonts w:ascii="Arial Narrow" w:hAnsi="Arial Narrow" w:cs="Arial"/>
                <w:b/>
                <w:bCs/>
                <w:color w:val="FFFFFF"/>
                <w:sz w:val="18"/>
                <w:szCs w:val="18"/>
              </w:rPr>
              <w:t>Beni</w:t>
            </w:r>
          </w:p>
        </w:tc>
        <w:tc>
          <w:tcPr>
            <w:tcW w:w="992" w:type="dxa"/>
            <w:shd w:val="clear" w:color="auto" w:fill="808080"/>
            <w:vAlign w:val="center"/>
          </w:tcPr>
          <w:p w:rsidR="00BC17DF" w:rsidRPr="007A2B61" w:rsidRDefault="00BC17DF" w:rsidP="00BC17DF">
            <w:pPr>
              <w:spacing w:before="40" w:after="20"/>
              <w:ind w:right="57"/>
              <w:jc w:val="right"/>
              <w:rPr>
                <w:rFonts w:ascii="Arial Narrow" w:hAnsi="Arial Narrow" w:cs="Arial"/>
                <w:b/>
                <w:bCs/>
                <w:color w:val="FFFFFF"/>
                <w:sz w:val="18"/>
                <w:szCs w:val="18"/>
              </w:rPr>
            </w:pPr>
            <w:r w:rsidRPr="007A2B61">
              <w:rPr>
                <w:rFonts w:ascii="Arial Narrow" w:hAnsi="Arial Narrow" w:cs="Arial"/>
                <w:b/>
                <w:bCs/>
                <w:color w:val="FFFFFF"/>
                <w:sz w:val="18"/>
                <w:szCs w:val="18"/>
              </w:rPr>
              <w:t>581.186</w:t>
            </w:r>
          </w:p>
        </w:tc>
        <w:tc>
          <w:tcPr>
            <w:tcW w:w="978" w:type="dxa"/>
            <w:shd w:val="clear" w:color="auto" w:fill="808080"/>
            <w:tcMar>
              <w:left w:w="142" w:type="dxa"/>
            </w:tcMar>
            <w:vAlign w:val="center"/>
          </w:tcPr>
          <w:p w:rsidR="00BC17DF" w:rsidRPr="00BC17DF" w:rsidRDefault="00BC17DF" w:rsidP="00BC17DF">
            <w:pPr>
              <w:spacing w:before="40" w:after="20"/>
              <w:ind w:right="57"/>
              <w:jc w:val="right"/>
              <w:rPr>
                <w:rFonts w:ascii="Arial Narrow" w:hAnsi="Arial Narrow" w:cs="Arial"/>
                <w:b/>
                <w:bCs/>
                <w:color w:val="FFFFFF"/>
                <w:sz w:val="18"/>
                <w:szCs w:val="18"/>
              </w:rPr>
            </w:pPr>
            <w:r w:rsidRPr="00BC17DF">
              <w:rPr>
                <w:rFonts w:ascii="Arial Narrow" w:hAnsi="Arial Narrow" w:cs="Arial"/>
                <w:b/>
                <w:bCs/>
                <w:color w:val="FFFFFF"/>
                <w:sz w:val="18"/>
                <w:szCs w:val="18"/>
              </w:rPr>
              <w:t>+0,7</w:t>
            </w:r>
          </w:p>
        </w:tc>
        <w:tc>
          <w:tcPr>
            <w:tcW w:w="1006" w:type="dxa"/>
            <w:shd w:val="clear" w:color="auto" w:fill="808080"/>
            <w:tcMar>
              <w:left w:w="85" w:type="dxa"/>
            </w:tcMar>
            <w:vAlign w:val="center"/>
          </w:tcPr>
          <w:p w:rsidR="00BC17DF" w:rsidRPr="00BC17DF" w:rsidRDefault="00BC17DF" w:rsidP="00BC17DF">
            <w:pPr>
              <w:spacing w:before="40" w:after="20"/>
              <w:ind w:right="57"/>
              <w:jc w:val="right"/>
              <w:rPr>
                <w:rFonts w:ascii="Arial Narrow" w:hAnsi="Arial Narrow" w:cs="Arial"/>
                <w:b/>
                <w:bCs/>
                <w:color w:val="FFFFFF"/>
                <w:sz w:val="18"/>
                <w:szCs w:val="18"/>
              </w:rPr>
            </w:pPr>
            <w:r w:rsidRPr="00BC17DF">
              <w:rPr>
                <w:rFonts w:ascii="Arial Narrow" w:hAnsi="Arial Narrow" w:cs="Arial"/>
                <w:b/>
                <w:bCs/>
                <w:color w:val="FFFFFF"/>
                <w:sz w:val="18"/>
                <w:szCs w:val="18"/>
              </w:rPr>
              <w:t>+0,1</w:t>
            </w:r>
          </w:p>
        </w:tc>
        <w:tc>
          <w:tcPr>
            <w:tcW w:w="992" w:type="dxa"/>
            <w:shd w:val="clear" w:color="auto" w:fill="808080"/>
            <w:tcMar>
              <w:left w:w="85" w:type="dxa"/>
            </w:tcMar>
            <w:vAlign w:val="center"/>
          </w:tcPr>
          <w:p w:rsidR="00BC17DF" w:rsidRPr="00BC17DF" w:rsidRDefault="00BC17DF" w:rsidP="00BC17DF">
            <w:pPr>
              <w:spacing w:before="40" w:after="20"/>
              <w:ind w:right="57"/>
              <w:jc w:val="right"/>
              <w:rPr>
                <w:rFonts w:ascii="Arial Narrow" w:hAnsi="Arial Narrow" w:cs="Arial"/>
                <w:b/>
                <w:bCs/>
                <w:color w:val="FFFFFF"/>
                <w:sz w:val="18"/>
                <w:szCs w:val="18"/>
              </w:rPr>
            </w:pPr>
            <w:r w:rsidRPr="00BC17DF">
              <w:rPr>
                <w:rFonts w:ascii="Arial Narrow" w:hAnsi="Arial Narrow" w:cs="Arial"/>
                <w:b/>
                <w:bCs/>
                <w:color w:val="FFFFFF"/>
                <w:sz w:val="18"/>
                <w:szCs w:val="18"/>
              </w:rPr>
              <w:t>+12,5</w:t>
            </w:r>
          </w:p>
        </w:tc>
        <w:tc>
          <w:tcPr>
            <w:tcW w:w="983" w:type="dxa"/>
            <w:shd w:val="clear" w:color="auto" w:fill="808080"/>
            <w:tcMar>
              <w:left w:w="85" w:type="dxa"/>
            </w:tcMar>
            <w:vAlign w:val="center"/>
          </w:tcPr>
          <w:p w:rsidR="00BC17DF" w:rsidRPr="00BC17DF" w:rsidRDefault="00BC17DF" w:rsidP="00BC17DF">
            <w:pPr>
              <w:spacing w:before="40" w:after="20"/>
              <w:ind w:right="57"/>
              <w:jc w:val="right"/>
              <w:rPr>
                <w:rFonts w:ascii="Arial Narrow" w:hAnsi="Arial Narrow" w:cs="Arial"/>
                <w:b/>
                <w:bCs/>
                <w:color w:val="FFFFFF"/>
                <w:sz w:val="18"/>
                <w:szCs w:val="18"/>
              </w:rPr>
            </w:pPr>
            <w:r w:rsidRPr="00BC17DF">
              <w:rPr>
                <w:rFonts w:ascii="Arial Narrow" w:hAnsi="Arial Narrow" w:cs="Arial"/>
                <w:b/>
                <w:bCs/>
                <w:color w:val="FFFFFF"/>
                <w:sz w:val="18"/>
                <w:szCs w:val="18"/>
              </w:rPr>
              <w:t>+11,8</w:t>
            </w:r>
          </w:p>
        </w:tc>
        <w:tc>
          <w:tcPr>
            <w:tcW w:w="1002" w:type="dxa"/>
            <w:shd w:val="clear" w:color="auto" w:fill="808080"/>
            <w:tcMar>
              <w:left w:w="284" w:type="dxa"/>
              <w:right w:w="85" w:type="dxa"/>
            </w:tcMar>
            <w:vAlign w:val="center"/>
          </w:tcPr>
          <w:p w:rsidR="00BC17DF" w:rsidRPr="00BC17DF" w:rsidRDefault="00BC17DF" w:rsidP="00332306">
            <w:pPr>
              <w:spacing w:before="40" w:after="20"/>
              <w:jc w:val="right"/>
              <w:rPr>
                <w:rFonts w:ascii="Arial Narrow" w:hAnsi="Arial Narrow" w:cs="Arial"/>
                <w:b/>
                <w:bCs/>
                <w:color w:val="FFFFFF"/>
                <w:sz w:val="18"/>
                <w:szCs w:val="18"/>
              </w:rPr>
            </w:pPr>
            <w:r w:rsidRPr="00BC17DF">
              <w:rPr>
                <w:rFonts w:ascii="Arial Narrow" w:hAnsi="Arial Narrow" w:cs="Arial"/>
                <w:b/>
                <w:bCs/>
                <w:color w:val="FFFFFF"/>
                <w:sz w:val="18"/>
                <w:szCs w:val="18"/>
              </w:rPr>
              <w:t>+10,1</w:t>
            </w:r>
          </w:p>
        </w:tc>
      </w:tr>
      <w:tr w:rsidR="00BC17DF" w:rsidRPr="00C8504B" w:rsidTr="007B3359">
        <w:trPr>
          <w:trHeight w:val="255"/>
          <w:tblHeader/>
        </w:trPr>
        <w:tc>
          <w:tcPr>
            <w:tcW w:w="4253" w:type="dxa"/>
            <w:vAlign w:val="center"/>
          </w:tcPr>
          <w:p w:rsidR="00BC17DF" w:rsidRPr="00C8504B" w:rsidRDefault="00BC17DF" w:rsidP="00BC17DF">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all'abitazione</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76.842</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+0,4</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+0,1</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+1,8</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+1,5</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+1,5</w:t>
            </w:r>
          </w:p>
        </w:tc>
      </w:tr>
      <w:tr w:rsidR="00BC17DF" w:rsidRPr="00C8504B" w:rsidTr="007B3359">
        <w:trPr>
          <w:trHeight w:val="255"/>
          <w:tblHeader/>
        </w:trPr>
        <w:tc>
          <w:tcPr>
            <w:tcW w:w="4253" w:type="dxa"/>
            <w:vAlign w:val="center"/>
          </w:tcPr>
          <w:p w:rsidR="00BC17DF" w:rsidRPr="00C8504B" w:rsidRDefault="00BC17DF" w:rsidP="00BC17DF">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alle comunicazioni</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17.859</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0,0</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+0,1</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+0,2</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+0,3</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0,0</w:t>
            </w:r>
          </w:p>
        </w:tc>
      </w:tr>
      <w:tr w:rsidR="00BC17DF" w:rsidRPr="00C8504B" w:rsidTr="007B3359">
        <w:trPr>
          <w:trHeight w:val="255"/>
          <w:tblHeader/>
        </w:trPr>
        <w:tc>
          <w:tcPr>
            <w:tcW w:w="4253" w:type="dxa"/>
            <w:vAlign w:val="center"/>
          </w:tcPr>
          <w:p w:rsidR="00BC17DF" w:rsidRPr="00C8504B" w:rsidRDefault="00BC17DF" w:rsidP="00BC17DF">
            <w:pPr>
              <w:tabs>
                <w:tab w:val="left" w:pos="290"/>
              </w:tabs>
              <w:spacing w:before="40" w:after="20"/>
              <w:ind w:left="-68"/>
              <w:rPr>
                <w:rFonts w:ascii="Arial Narrow" w:hAnsi="Arial Narrow" w:cs="Arial"/>
                <w:bCs/>
                <w:sz w:val="18"/>
                <w:szCs w:val="18"/>
              </w:rPr>
            </w:pPr>
            <w:r w:rsidRPr="00C8504B">
              <w:rPr>
                <w:rFonts w:ascii="Arial Narrow" w:hAnsi="Arial Narrow" w:cs="Arial"/>
                <w:bCs/>
                <w:sz w:val="18"/>
                <w:szCs w:val="18"/>
              </w:rPr>
              <w:t>Servizi ricreativi, culturali e per la cura della persona</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143.087</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+0,5</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-0,5</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+5,7</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+4,6</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+4,6</w:t>
            </w:r>
          </w:p>
        </w:tc>
      </w:tr>
      <w:tr w:rsidR="00BC17DF" w:rsidRPr="00C8504B" w:rsidTr="007B3359">
        <w:trPr>
          <w:trHeight w:val="255"/>
          <w:tblHeader/>
        </w:trPr>
        <w:tc>
          <w:tcPr>
            <w:tcW w:w="4253" w:type="dxa"/>
            <w:vAlign w:val="center"/>
          </w:tcPr>
          <w:p w:rsidR="00BC17DF" w:rsidRPr="00C8504B" w:rsidRDefault="00BC17DF" w:rsidP="00BC17DF">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ai trasporti</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64.440</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-4,2</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-3,1</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+7,2</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+8,4</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+5,8</w:t>
            </w:r>
          </w:p>
        </w:tc>
      </w:tr>
      <w:tr w:rsidR="00BC17DF" w:rsidRPr="00C8504B" w:rsidTr="007B3359">
        <w:trPr>
          <w:trHeight w:val="255"/>
          <w:tblHeader/>
        </w:trPr>
        <w:tc>
          <w:tcPr>
            <w:tcW w:w="4253" w:type="dxa"/>
            <w:vAlign w:val="center"/>
          </w:tcPr>
          <w:p w:rsidR="00BC17DF" w:rsidRPr="00C8504B" w:rsidRDefault="00BC17DF" w:rsidP="00BC17DF">
            <w:pPr>
              <w:spacing w:before="40" w:after="20"/>
              <w:ind w:left="-68"/>
              <w:rPr>
                <w:rFonts w:ascii="Arial Narrow" w:hAnsi="Arial Narrow" w:cs="Arial"/>
                <w:bCs/>
                <w:sz w:val="18"/>
                <w:szCs w:val="18"/>
              </w:rPr>
            </w:pPr>
            <w:r w:rsidRPr="00C8504B">
              <w:rPr>
                <w:rFonts w:ascii="Arial Narrow" w:hAnsi="Arial Narrow" w:cs="Arial"/>
                <w:bCs/>
                <w:sz w:val="18"/>
                <w:szCs w:val="18"/>
              </w:rPr>
              <w:t>Servizi vari</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116.586</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+0,2</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+0,1</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+1,7</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+1,6</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+1,4</w:t>
            </w:r>
          </w:p>
        </w:tc>
      </w:tr>
      <w:tr w:rsidR="00BC17DF" w:rsidRPr="007A2B61" w:rsidTr="007B3359">
        <w:trPr>
          <w:trHeight w:val="255"/>
          <w:tblHeader/>
        </w:trPr>
        <w:tc>
          <w:tcPr>
            <w:tcW w:w="4253" w:type="dxa"/>
            <w:shd w:val="clear" w:color="auto" w:fill="808080"/>
            <w:vAlign w:val="center"/>
          </w:tcPr>
          <w:p w:rsidR="00BC17DF" w:rsidRPr="00C8504B" w:rsidRDefault="00BC17DF" w:rsidP="00BC17DF">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Servizi</w:t>
            </w:r>
          </w:p>
        </w:tc>
        <w:tc>
          <w:tcPr>
            <w:tcW w:w="992" w:type="dxa"/>
            <w:shd w:val="clear" w:color="auto" w:fill="808080"/>
            <w:vAlign w:val="center"/>
          </w:tcPr>
          <w:p w:rsidR="00BC17DF" w:rsidRPr="007A2B61" w:rsidRDefault="00BC17DF" w:rsidP="00BC17DF">
            <w:pPr>
              <w:spacing w:before="40" w:after="20"/>
              <w:ind w:right="57"/>
              <w:jc w:val="right"/>
              <w:rPr>
                <w:rFonts w:ascii="Arial Narrow" w:hAnsi="Arial Narrow" w:cs="Arial"/>
                <w:b/>
                <w:bCs/>
                <w:color w:val="FFFFFF"/>
                <w:sz w:val="18"/>
                <w:szCs w:val="18"/>
              </w:rPr>
            </w:pPr>
            <w:r w:rsidRPr="007A2B61">
              <w:rPr>
                <w:rFonts w:ascii="Arial Narrow" w:hAnsi="Arial Narrow" w:cs="Arial"/>
                <w:b/>
                <w:bCs/>
                <w:color w:val="FFFFFF"/>
                <w:sz w:val="18"/>
                <w:szCs w:val="18"/>
              </w:rPr>
              <w:t>418.814</w:t>
            </w:r>
          </w:p>
        </w:tc>
        <w:tc>
          <w:tcPr>
            <w:tcW w:w="978" w:type="dxa"/>
            <w:shd w:val="clear" w:color="auto" w:fill="808080"/>
            <w:tcMar>
              <w:left w:w="142" w:type="dxa"/>
            </w:tcMar>
            <w:vAlign w:val="center"/>
          </w:tcPr>
          <w:p w:rsidR="00BC17DF" w:rsidRPr="00BC17DF" w:rsidRDefault="00BC17DF" w:rsidP="00BC17DF">
            <w:pPr>
              <w:spacing w:before="40" w:after="20"/>
              <w:ind w:right="57"/>
              <w:jc w:val="right"/>
              <w:rPr>
                <w:rFonts w:ascii="Arial Narrow" w:hAnsi="Arial Narrow" w:cs="Arial"/>
                <w:b/>
                <w:bCs/>
                <w:color w:val="FFFFFF"/>
                <w:sz w:val="18"/>
                <w:szCs w:val="18"/>
              </w:rPr>
            </w:pPr>
            <w:r w:rsidRPr="00BC17DF">
              <w:rPr>
                <w:rFonts w:ascii="Arial Narrow" w:hAnsi="Arial Narrow" w:cs="Arial"/>
                <w:b/>
                <w:bCs/>
                <w:color w:val="FFFFFF"/>
                <w:sz w:val="18"/>
                <w:szCs w:val="18"/>
              </w:rPr>
              <w:t>-0,5</w:t>
            </w:r>
          </w:p>
        </w:tc>
        <w:tc>
          <w:tcPr>
            <w:tcW w:w="1006" w:type="dxa"/>
            <w:shd w:val="clear" w:color="auto" w:fill="808080"/>
            <w:tcMar>
              <w:left w:w="85" w:type="dxa"/>
            </w:tcMar>
            <w:vAlign w:val="center"/>
          </w:tcPr>
          <w:p w:rsidR="00BC17DF" w:rsidRPr="00BC17DF" w:rsidRDefault="00BC17DF" w:rsidP="00BC17DF">
            <w:pPr>
              <w:spacing w:before="40" w:after="20"/>
              <w:ind w:right="57"/>
              <w:jc w:val="right"/>
              <w:rPr>
                <w:rFonts w:ascii="Arial Narrow" w:hAnsi="Arial Narrow" w:cs="Arial"/>
                <w:b/>
                <w:bCs/>
                <w:color w:val="FFFFFF"/>
                <w:sz w:val="18"/>
                <w:szCs w:val="18"/>
              </w:rPr>
            </w:pPr>
            <w:r w:rsidRPr="00BC17DF">
              <w:rPr>
                <w:rFonts w:ascii="Arial Narrow" w:hAnsi="Arial Narrow" w:cs="Arial"/>
                <w:b/>
                <w:bCs/>
                <w:color w:val="FFFFFF"/>
                <w:sz w:val="18"/>
                <w:szCs w:val="18"/>
              </w:rPr>
              <w:t>-0,6</w:t>
            </w:r>
          </w:p>
        </w:tc>
        <w:tc>
          <w:tcPr>
            <w:tcW w:w="992" w:type="dxa"/>
            <w:shd w:val="clear" w:color="auto" w:fill="808080"/>
            <w:tcMar>
              <w:left w:w="85" w:type="dxa"/>
            </w:tcMar>
            <w:vAlign w:val="center"/>
          </w:tcPr>
          <w:p w:rsidR="00BC17DF" w:rsidRPr="00BC17DF" w:rsidRDefault="00BC17DF" w:rsidP="00BC17DF">
            <w:pPr>
              <w:spacing w:before="40" w:after="20"/>
              <w:ind w:right="57"/>
              <w:jc w:val="right"/>
              <w:rPr>
                <w:rFonts w:ascii="Arial Narrow" w:hAnsi="Arial Narrow" w:cs="Arial"/>
                <w:b/>
                <w:bCs/>
                <w:color w:val="FFFFFF"/>
                <w:sz w:val="18"/>
                <w:szCs w:val="18"/>
              </w:rPr>
            </w:pPr>
            <w:r w:rsidRPr="00BC17DF">
              <w:rPr>
                <w:rFonts w:ascii="Arial Narrow" w:hAnsi="Arial Narrow" w:cs="Arial"/>
                <w:b/>
                <w:bCs/>
                <w:color w:val="FFFFFF"/>
                <w:sz w:val="18"/>
                <w:szCs w:val="18"/>
              </w:rPr>
              <w:t>+3,9</w:t>
            </w:r>
          </w:p>
        </w:tc>
        <w:tc>
          <w:tcPr>
            <w:tcW w:w="983" w:type="dxa"/>
            <w:shd w:val="clear" w:color="auto" w:fill="808080"/>
            <w:tcMar>
              <w:left w:w="85" w:type="dxa"/>
            </w:tcMar>
            <w:vAlign w:val="center"/>
          </w:tcPr>
          <w:p w:rsidR="00BC17DF" w:rsidRPr="00BC17DF" w:rsidRDefault="00BC17DF" w:rsidP="00BC17DF">
            <w:pPr>
              <w:spacing w:before="40" w:after="20"/>
              <w:ind w:right="57"/>
              <w:jc w:val="right"/>
              <w:rPr>
                <w:rFonts w:ascii="Arial Narrow" w:hAnsi="Arial Narrow" w:cs="Arial"/>
                <w:b/>
                <w:bCs/>
                <w:color w:val="FFFFFF"/>
                <w:sz w:val="18"/>
                <w:szCs w:val="18"/>
              </w:rPr>
            </w:pPr>
            <w:r w:rsidRPr="00BC17DF">
              <w:rPr>
                <w:rFonts w:ascii="Arial Narrow" w:hAnsi="Arial Narrow" w:cs="Arial"/>
                <w:b/>
                <w:bCs/>
                <w:color w:val="FFFFFF"/>
                <w:sz w:val="18"/>
                <w:szCs w:val="18"/>
              </w:rPr>
              <w:t>+3,8</w:t>
            </w:r>
          </w:p>
        </w:tc>
        <w:tc>
          <w:tcPr>
            <w:tcW w:w="1002" w:type="dxa"/>
            <w:shd w:val="clear" w:color="auto" w:fill="808080"/>
            <w:tcMar>
              <w:left w:w="284" w:type="dxa"/>
              <w:right w:w="85" w:type="dxa"/>
            </w:tcMar>
            <w:vAlign w:val="center"/>
          </w:tcPr>
          <w:p w:rsidR="00BC17DF" w:rsidRPr="00BC17DF" w:rsidRDefault="00BC17DF" w:rsidP="00332306">
            <w:pPr>
              <w:spacing w:before="40" w:after="20"/>
              <w:jc w:val="right"/>
              <w:rPr>
                <w:rFonts w:ascii="Arial Narrow" w:hAnsi="Arial Narrow" w:cs="Arial"/>
                <w:b/>
                <w:bCs/>
                <w:color w:val="FFFFFF"/>
                <w:sz w:val="18"/>
                <w:szCs w:val="18"/>
              </w:rPr>
            </w:pPr>
            <w:r w:rsidRPr="00BC17DF">
              <w:rPr>
                <w:rFonts w:ascii="Arial Narrow" w:hAnsi="Arial Narrow" w:cs="Arial"/>
                <w:b/>
                <w:bCs/>
                <w:color w:val="FFFFFF"/>
                <w:sz w:val="18"/>
                <w:szCs w:val="18"/>
              </w:rPr>
              <w:t>+3,0</w:t>
            </w:r>
          </w:p>
        </w:tc>
      </w:tr>
      <w:tr w:rsidR="00BC17DF" w:rsidRPr="007A2B61" w:rsidTr="007B3359">
        <w:trPr>
          <w:trHeight w:val="255"/>
          <w:tblHeader/>
        </w:trPr>
        <w:tc>
          <w:tcPr>
            <w:tcW w:w="4253" w:type="dxa"/>
            <w:shd w:val="clear" w:color="auto" w:fill="E42618"/>
            <w:vAlign w:val="center"/>
          </w:tcPr>
          <w:p w:rsidR="00BC17DF" w:rsidRPr="00C8504B" w:rsidRDefault="00BC17DF" w:rsidP="00BC17DF">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992" w:type="dxa"/>
            <w:shd w:val="clear" w:color="auto" w:fill="E42618"/>
            <w:vAlign w:val="center"/>
          </w:tcPr>
          <w:p w:rsidR="00BC17DF" w:rsidRPr="007A2B61" w:rsidRDefault="00BC17DF" w:rsidP="00BC17DF">
            <w:pPr>
              <w:spacing w:before="40" w:after="20"/>
              <w:ind w:right="57"/>
              <w:jc w:val="right"/>
              <w:rPr>
                <w:rFonts w:ascii="Arial Narrow" w:hAnsi="Arial Narrow" w:cs="Arial"/>
                <w:b/>
                <w:bCs/>
                <w:color w:val="FFFFFF"/>
                <w:sz w:val="18"/>
                <w:szCs w:val="18"/>
              </w:rPr>
            </w:pPr>
            <w:r w:rsidRPr="007A2B61">
              <w:rPr>
                <w:rFonts w:ascii="Arial Narrow" w:hAnsi="Arial Narrow" w:cs="Arial"/>
                <w:b/>
                <w:bCs/>
                <w:color w:val="FFFFFF"/>
                <w:sz w:val="18"/>
                <w:szCs w:val="18"/>
              </w:rPr>
              <w:t>1.000.000</w:t>
            </w:r>
          </w:p>
        </w:tc>
        <w:tc>
          <w:tcPr>
            <w:tcW w:w="978" w:type="dxa"/>
            <w:shd w:val="clear" w:color="auto" w:fill="E42618"/>
            <w:tcMar>
              <w:left w:w="142" w:type="dxa"/>
            </w:tcMar>
            <w:vAlign w:val="center"/>
          </w:tcPr>
          <w:p w:rsidR="00BC17DF" w:rsidRPr="00BC17DF" w:rsidRDefault="00BC17DF" w:rsidP="00BC17DF">
            <w:pPr>
              <w:spacing w:before="40" w:after="20"/>
              <w:ind w:right="57"/>
              <w:jc w:val="right"/>
              <w:rPr>
                <w:rFonts w:ascii="Arial Narrow" w:hAnsi="Arial Narrow" w:cs="Arial"/>
                <w:b/>
                <w:bCs/>
                <w:color w:val="FFFFFF"/>
                <w:sz w:val="18"/>
                <w:szCs w:val="18"/>
              </w:rPr>
            </w:pPr>
            <w:r w:rsidRPr="00BC17DF">
              <w:rPr>
                <w:rFonts w:ascii="Arial Narrow" w:hAnsi="Arial Narrow" w:cs="Arial"/>
                <w:b/>
                <w:bCs/>
                <w:color w:val="FFFFFF"/>
                <w:sz w:val="18"/>
                <w:szCs w:val="18"/>
              </w:rPr>
              <w:t>+0,3</w:t>
            </w:r>
          </w:p>
        </w:tc>
        <w:tc>
          <w:tcPr>
            <w:tcW w:w="1006" w:type="dxa"/>
            <w:shd w:val="clear" w:color="auto" w:fill="E42618"/>
            <w:tcMar>
              <w:left w:w="85" w:type="dxa"/>
            </w:tcMar>
            <w:vAlign w:val="center"/>
          </w:tcPr>
          <w:p w:rsidR="00BC17DF" w:rsidRPr="00BC17DF" w:rsidRDefault="00BC17DF" w:rsidP="00BC17DF">
            <w:pPr>
              <w:spacing w:before="40" w:after="20"/>
              <w:ind w:right="57"/>
              <w:jc w:val="right"/>
              <w:rPr>
                <w:rFonts w:ascii="Arial Narrow" w:hAnsi="Arial Narrow" w:cs="Arial"/>
                <w:b/>
                <w:bCs/>
                <w:color w:val="FFFFFF"/>
                <w:sz w:val="18"/>
                <w:szCs w:val="18"/>
              </w:rPr>
            </w:pPr>
            <w:r w:rsidRPr="00BC17DF">
              <w:rPr>
                <w:rFonts w:ascii="Arial Narrow" w:hAnsi="Arial Narrow" w:cs="Arial"/>
                <w:b/>
                <w:bCs/>
                <w:color w:val="FFFFFF"/>
                <w:sz w:val="18"/>
                <w:szCs w:val="18"/>
              </w:rPr>
              <w:t>-0,2</w:t>
            </w:r>
          </w:p>
        </w:tc>
        <w:tc>
          <w:tcPr>
            <w:tcW w:w="992" w:type="dxa"/>
            <w:shd w:val="clear" w:color="auto" w:fill="E42618"/>
            <w:tcMar>
              <w:left w:w="85" w:type="dxa"/>
            </w:tcMar>
            <w:vAlign w:val="center"/>
          </w:tcPr>
          <w:p w:rsidR="00BC17DF" w:rsidRPr="00BC17DF" w:rsidRDefault="00BC17DF" w:rsidP="00BC17DF">
            <w:pPr>
              <w:spacing w:before="40" w:after="20"/>
              <w:ind w:right="57"/>
              <w:jc w:val="right"/>
              <w:rPr>
                <w:rFonts w:ascii="Arial Narrow" w:hAnsi="Arial Narrow" w:cs="Arial"/>
                <w:b/>
                <w:bCs/>
                <w:color w:val="FFFFFF"/>
                <w:sz w:val="18"/>
                <w:szCs w:val="18"/>
              </w:rPr>
            </w:pPr>
            <w:r w:rsidRPr="00BC17DF">
              <w:rPr>
                <w:rFonts w:ascii="Arial Narrow" w:hAnsi="Arial Narrow" w:cs="Arial"/>
                <w:b/>
                <w:bCs/>
                <w:color w:val="FFFFFF"/>
                <w:sz w:val="18"/>
                <w:szCs w:val="18"/>
              </w:rPr>
              <w:t>+8,9</w:t>
            </w:r>
          </w:p>
        </w:tc>
        <w:tc>
          <w:tcPr>
            <w:tcW w:w="983" w:type="dxa"/>
            <w:shd w:val="clear" w:color="auto" w:fill="E42618"/>
            <w:tcMar>
              <w:left w:w="85" w:type="dxa"/>
            </w:tcMar>
            <w:vAlign w:val="center"/>
          </w:tcPr>
          <w:p w:rsidR="00BC17DF" w:rsidRPr="00BC17DF" w:rsidRDefault="00BC17DF" w:rsidP="00BC17DF">
            <w:pPr>
              <w:spacing w:before="40" w:after="20"/>
              <w:ind w:right="57"/>
              <w:jc w:val="right"/>
              <w:rPr>
                <w:rFonts w:ascii="Arial Narrow" w:hAnsi="Arial Narrow" w:cs="Arial"/>
                <w:b/>
                <w:bCs/>
                <w:color w:val="FFFFFF"/>
                <w:sz w:val="18"/>
                <w:szCs w:val="18"/>
              </w:rPr>
            </w:pPr>
            <w:r w:rsidRPr="00BC17DF">
              <w:rPr>
                <w:rFonts w:ascii="Arial Narrow" w:hAnsi="Arial Narrow" w:cs="Arial"/>
                <w:b/>
                <w:bCs/>
                <w:color w:val="FFFFFF"/>
                <w:sz w:val="18"/>
                <w:szCs w:val="18"/>
              </w:rPr>
              <w:t>+8,4</w:t>
            </w:r>
          </w:p>
        </w:tc>
        <w:tc>
          <w:tcPr>
            <w:tcW w:w="1002" w:type="dxa"/>
            <w:shd w:val="clear" w:color="auto" w:fill="E42618"/>
            <w:tcMar>
              <w:left w:w="284" w:type="dxa"/>
              <w:right w:w="85" w:type="dxa"/>
            </w:tcMar>
            <w:vAlign w:val="center"/>
          </w:tcPr>
          <w:p w:rsidR="00BC17DF" w:rsidRPr="00BC17DF" w:rsidRDefault="00BC17DF" w:rsidP="00332306">
            <w:pPr>
              <w:spacing w:before="40" w:after="20"/>
              <w:jc w:val="right"/>
              <w:rPr>
                <w:rFonts w:ascii="Arial Narrow" w:hAnsi="Arial Narrow" w:cs="Arial"/>
                <w:b/>
                <w:bCs/>
                <w:color w:val="FFFFFF"/>
                <w:sz w:val="18"/>
                <w:szCs w:val="18"/>
              </w:rPr>
            </w:pPr>
            <w:r w:rsidRPr="00BC17DF">
              <w:rPr>
                <w:rFonts w:ascii="Arial Narrow" w:hAnsi="Arial Narrow" w:cs="Arial"/>
                <w:b/>
                <w:bCs/>
                <w:color w:val="FFFFFF"/>
                <w:sz w:val="18"/>
                <w:szCs w:val="18"/>
              </w:rPr>
              <w:t>+7,1</w:t>
            </w:r>
          </w:p>
        </w:tc>
      </w:tr>
      <w:tr w:rsidR="00BC17DF" w:rsidRPr="00C8504B" w:rsidTr="007B3359">
        <w:trPr>
          <w:trHeight w:val="255"/>
          <w:tblHeader/>
        </w:trPr>
        <w:tc>
          <w:tcPr>
            <w:tcW w:w="4253" w:type="dxa"/>
            <w:vAlign w:val="center"/>
          </w:tcPr>
          <w:p w:rsidR="00BC17DF" w:rsidRPr="00C8504B" w:rsidRDefault="00BC17DF" w:rsidP="00BC17DF">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degli energetici e alimentari freschi (Componente di fondo)</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832.220</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+0,2</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-0,4</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+5,0</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+4,4</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+3,6</w:t>
            </w:r>
          </w:p>
        </w:tc>
      </w:tr>
      <w:tr w:rsidR="00BC17DF" w:rsidRPr="00C8504B" w:rsidTr="007B3359">
        <w:trPr>
          <w:trHeight w:val="255"/>
          <w:tblHeader/>
        </w:trPr>
        <w:tc>
          <w:tcPr>
            <w:tcW w:w="4253" w:type="dxa"/>
            <w:vAlign w:val="center"/>
          </w:tcPr>
          <w:p w:rsidR="00BC17DF" w:rsidRPr="00C8504B" w:rsidRDefault="00BC17DF" w:rsidP="00BC17DF">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 degli alimentari (incluse bevande alcoliche) e tabacchi</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689.792</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+0,1</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-0,3</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+3,9</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+3,6</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+3,0</w:t>
            </w:r>
          </w:p>
        </w:tc>
      </w:tr>
      <w:tr w:rsidR="00BC17DF" w:rsidRPr="00C8504B" w:rsidTr="007B3359">
        <w:trPr>
          <w:trHeight w:val="255"/>
          <w:tblHeader/>
        </w:trPr>
        <w:tc>
          <w:tcPr>
            <w:tcW w:w="4253" w:type="dxa"/>
            <w:vAlign w:val="center"/>
          </w:tcPr>
          <w:p w:rsidR="00BC17DF" w:rsidRPr="00C8504B" w:rsidRDefault="00BC17DF" w:rsidP="00BC17DF">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degli energetici</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907.506</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+0,3</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-0,2</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+5,5</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+5,0</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+3,9</w:t>
            </w:r>
          </w:p>
        </w:tc>
      </w:tr>
      <w:tr w:rsidR="00BC17DF" w:rsidRPr="00C8504B" w:rsidTr="007B3359">
        <w:trPr>
          <w:trHeight w:val="255"/>
          <w:tblHeader/>
        </w:trPr>
        <w:tc>
          <w:tcPr>
            <w:tcW w:w="4253" w:type="dxa"/>
            <w:vAlign w:val="center"/>
          </w:tcPr>
          <w:p w:rsidR="00BC17DF" w:rsidRPr="00C8504B" w:rsidRDefault="00BC17DF" w:rsidP="00BC17DF">
            <w:pPr>
              <w:spacing w:before="40" w:after="20"/>
              <w:ind w:left="-68"/>
              <w:rPr>
                <w:rFonts w:ascii="Arial Narrow" w:hAnsi="Arial Narrow" w:cs="Arial"/>
                <w:bCs/>
                <w:sz w:val="18"/>
                <w:szCs w:val="18"/>
              </w:rPr>
            </w:pPr>
            <w:r w:rsidRPr="00C8504B">
              <w:rPr>
                <w:rFonts w:ascii="Arial Narrow" w:hAnsi="Arial Narrow" w:cs="Arial"/>
                <w:bCs/>
                <w:sz w:val="18"/>
                <w:szCs w:val="18"/>
              </w:rPr>
              <w:t>Indice dei beni alimentari, per la cura della casa e della persona</w:t>
            </w:r>
          </w:p>
        </w:tc>
        <w:tc>
          <w:tcPr>
            <w:tcW w:w="992" w:type="dxa"/>
            <w:shd w:val="clear" w:color="auto" w:fill="D9D9D9"/>
            <w:vAlign w:val="center"/>
          </w:tcPr>
          <w:p w:rsidR="00BC17DF" w:rsidRPr="009612C2" w:rsidRDefault="00BC17DF" w:rsidP="00BC17DF">
            <w:pPr>
              <w:spacing w:before="40" w:after="20"/>
              <w:ind w:left="-68" w:right="57"/>
              <w:jc w:val="right"/>
              <w:rPr>
                <w:rFonts w:ascii="Arial Narrow" w:hAnsi="Arial Narrow" w:cs="Arial"/>
                <w:sz w:val="18"/>
                <w:szCs w:val="18"/>
              </w:rPr>
            </w:pPr>
            <w:r w:rsidRPr="009612C2">
              <w:rPr>
                <w:rFonts w:ascii="Arial Narrow" w:hAnsi="Arial Narrow" w:cs="Arial"/>
                <w:sz w:val="18"/>
                <w:szCs w:val="18"/>
              </w:rPr>
              <w:t>220.483</w:t>
            </w:r>
          </w:p>
        </w:tc>
        <w:tc>
          <w:tcPr>
            <w:tcW w:w="978" w:type="dxa"/>
            <w:tcMar>
              <w:left w:w="142"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+1,0</w:t>
            </w:r>
          </w:p>
        </w:tc>
        <w:tc>
          <w:tcPr>
            <w:tcW w:w="1006"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-0,1</w:t>
            </w:r>
          </w:p>
        </w:tc>
        <w:tc>
          <w:tcPr>
            <w:tcW w:w="992" w:type="dxa"/>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+10,9</w:t>
            </w:r>
          </w:p>
        </w:tc>
        <w:tc>
          <w:tcPr>
            <w:tcW w:w="983" w:type="dxa"/>
            <w:shd w:val="clear" w:color="auto" w:fill="D9D9D9"/>
            <w:tcMar>
              <w:left w:w="85" w:type="dxa"/>
            </w:tcMar>
            <w:vAlign w:val="center"/>
          </w:tcPr>
          <w:p w:rsidR="00BC17DF" w:rsidRPr="00BC17DF" w:rsidRDefault="00BC17DF" w:rsidP="00BC17DF">
            <w:pPr>
              <w:spacing w:before="40" w:after="20"/>
              <w:ind w:left="-68" w:right="57"/>
              <w:jc w:val="right"/>
              <w:rPr>
                <w:rFonts w:ascii="Arial Narrow" w:hAnsi="Arial Narrow" w:cs="Arial"/>
                <w:sz w:val="18"/>
                <w:szCs w:val="18"/>
              </w:rPr>
            </w:pPr>
            <w:r w:rsidRPr="00BC17DF">
              <w:rPr>
                <w:rFonts w:ascii="Arial Narrow" w:hAnsi="Arial Narrow" w:cs="Arial"/>
                <w:sz w:val="18"/>
                <w:szCs w:val="18"/>
              </w:rPr>
              <w:t>+9,6</w:t>
            </w:r>
          </w:p>
        </w:tc>
        <w:tc>
          <w:tcPr>
            <w:tcW w:w="1002" w:type="dxa"/>
            <w:shd w:val="clear" w:color="auto" w:fill="auto"/>
            <w:tcMar>
              <w:left w:w="284" w:type="dxa"/>
              <w:right w:w="85" w:type="dxa"/>
            </w:tcMar>
            <w:vAlign w:val="center"/>
          </w:tcPr>
          <w:p w:rsidR="00BC17DF" w:rsidRPr="00BC17DF" w:rsidRDefault="00BC17DF" w:rsidP="00332306">
            <w:pPr>
              <w:spacing w:before="40" w:after="20"/>
              <w:ind w:left="-68"/>
              <w:jc w:val="right"/>
              <w:rPr>
                <w:rFonts w:ascii="Arial Narrow" w:hAnsi="Arial Narrow" w:cs="Arial"/>
                <w:sz w:val="18"/>
                <w:szCs w:val="18"/>
              </w:rPr>
            </w:pPr>
            <w:r w:rsidRPr="00BC17DF">
              <w:rPr>
                <w:rFonts w:ascii="Arial Narrow" w:hAnsi="Arial Narrow" w:cs="Arial"/>
                <w:sz w:val="18"/>
                <w:szCs w:val="18"/>
              </w:rPr>
              <w:t>+7,6</w:t>
            </w:r>
          </w:p>
        </w:tc>
      </w:tr>
    </w:tbl>
    <w:p w:rsidR="009259FD" w:rsidRDefault="009259FD" w:rsidP="00C12AFA">
      <w:pPr>
        <w:spacing w:before="0" w:after="120"/>
        <w:jc w:val="both"/>
        <w:rPr>
          <w:rFonts w:ascii="Arial" w:hAnsi="Arial" w:cs="Arial"/>
          <w:color w:val="000000"/>
          <w:kern w:val="0"/>
          <w:sz w:val="21"/>
          <w:szCs w:val="21"/>
        </w:rPr>
      </w:pPr>
    </w:p>
    <w:p w:rsidR="00491FE4" w:rsidRDefault="00491FE4" w:rsidP="00C12AFA">
      <w:pPr>
        <w:spacing w:before="0" w:after="120"/>
        <w:jc w:val="both"/>
        <w:rPr>
          <w:rFonts w:ascii="Arial" w:hAnsi="Arial" w:cs="Arial"/>
          <w:color w:val="000000"/>
          <w:kern w:val="0"/>
          <w:sz w:val="21"/>
          <w:szCs w:val="21"/>
        </w:rPr>
      </w:pPr>
    </w:p>
    <w:p w:rsidR="00C8411E" w:rsidRDefault="00C8411E" w:rsidP="00C12AFA">
      <w:pPr>
        <w:spacing w:before="0" w:after="120"/>
        <w:jc w:val="both"/>
        <w:rPr>
          <w:rFonts w:ascii="Arial" w:hAnsi="Arial" w:cs="Arial"/>
          <w:color w:val="000000"/>
          <w:kern w:val="0"/>
          <w:sz w:val="21"/>
          <w:szCs w:val="21"/>
        </w:rPr>
      </w:pPr>
    </w:p>
    <w:p w:rsidR="00894684" w:rsidRPr="00FB77C8" w:rsidRDefault="00894684" w:rsidP="00894684">
      <w:pPr>
        <w:spacing w:before="0" w:after="120"/>
        <w:jc w:val="both"/>
        <w:rPr>
          <w:rFonts w:ascii="Arial" w:hAnsi="Arial" w:cs="Arial"/>
          <w:color w:val="000000"/>
          <w:kern w:val="0"/>
          <w:sz w:val="12"/>
          <w:szCs w:val="21"/>
        </w:rPr>
      </w:pPr>
    </w:p>
    <w:p w:rsidR="009B6ACA" w:rsidRDefault="009B6ACA" w:rsidP="009B6ACA">
      <w:pPr>
        <w:spacing w:before="0" w:after="120"/>
        <w:jc w:val="both"/>
        <w:rPr>
          <w:rFonts w:ascii="Arial" w:hAnsi="Arial" w:cs="Arial"/>
          <w:sz w:val="21"/>
          <w:szCs w:val="21"/>
        </w:rPr>
      </w:pPr>
      <w:r>
        <w:rPr>
          <w:rFonts w:ascii="Arial" w:hAnsi="Arial" w:cs="Arial"/>
          <w:sz w:val="21"/>
          <w:szCs w:val="21"/>
        </w:rPr>
        <w:t xml:space="preserve">Registrano, invece, un lieve rallentamento della crescita, che rimane pur sempre molto elevata, i prezzi dei Beni energetici (da +44,9% di agosto a +44,5%; -0,2% su base mensile) per la componente sia regolamentata (da +47,9% a +47,7%; nullo il congiunturale), sia non regolamentata (da +41,6% a +41,2%; -0,2% rispetto al mese precedente). </w:t>
      </w:r>
      <w:r w:rsidRPr="000E726B">
        <w:rPr>
          <w:rFonts w:ascii="Arial" w:hAnsi="Arial" w:cs="Arial"/>
          <w:color w:val="000000"/>
          <w:kern w:val="0"/>
          <w:sz w:val="21"/>
          <w:szCs w:val="21"/>
        </w:rPr>
        <w:t>L</w:t>
      </w:r>
      <w:r>
        <w:rPr>
          <w:rFonts w:ascii="Arial" w:hAnsi="Arial" w:cs="Arial"/>
          <w:color w:val="000000"/>
          <w:kern w:val="0"/>
          <w:sz w:val="21"/>
          <w:szCs w:val="21"/>
        </w:rPr>
        <w:t>a dinamica de</w:t>
      </w:r>
      <w:r w:rsidRPr="000E726B">
        <w:rPr>
          <w:rFonts w:ascii="Arial" w:hAnsi="Arial" w:cs="Arial"/>
          <w:color w:val="000000"/>
          <w:kern w:val="0"/>
          <w:sz w:val="21"/>
          <w:szCs w:val="21"/>
        </w:rPr>
        <w:t xml:space="preserve">i prezzi degli Energetici non regolamentati è dovuta </w:t>
      </w:r>
      <w:r>
        <w:rPr>
          <w:rFonts w:ascii="Arial" w:hAnsi="Arial" w:cs="Arial"/>
          <w:sz w:val="21"/>
          <w:szCs w:val="21"/>
        </w:rPr>
        <w:t xml:space="preserve">principalmente </w:t>
      </w:r>
      <w:r>
        <w:rPr>
          <w:rFonts w:ascii="Arial" w:hAnsi="Arial" w:cs="Arial"/>
          <w:color w:val="000000"/>
          <w:kern w:val="0"/>
          <w:sz w:val="21"/>
          <w:szCs w:val="21"/>
        </w:rPr>
        <w:t>al</w:t>
      </w:r>
      <w:r>
        <w:rPr>
          <w:rFonts w:ascii="Arial" w:hAnsi="Arial" w:cs="Arial"/>
          <w:sz w:val="21"/>
          <w:szCs w:val="21"/>
        </w:rPr>
        <w:t xml:space="preserve"> rallentamento dei prezzi della Benzina la cui crescita passa da +8,8% di agosto a +3,3% (-4,8% il congiunturale), mentre accelerano i prezzi </w:t>
      </w:r>
      <w:r w:rsidRPr="000E726B">
        <w:rPr>
          <w:rFonts w:ascii="Arial" w:hAnsi="Arial" w:cs="Arial"/>
          <w:color w:val="000000"/>
          <w:kern w:val="0"/>
          <w:sz w:val="21"/>
          <w:szCs w:val="21"/>
        </w:rPr>
        <w:t>del Gasolio per mezzi di trasporto (da +</w:t>
      </w:r>
      <w:r>
        <w:rPr>
          <w:rFonts w:ascii="Arial" w:hAnsi="Arial" w:cs="Arial"/>
          <w:color w:val="000000"/>
          <w:kern w:val="0"/>
          <w:sz w:val="21"/>
          <w:szCs w:val="21"/>
        </w:rPr>
        <w:t>18,2</w:t>
      </w:r>
      <w:r w:rsidRPr="000E726B">
        <w:rPr>
          <w:rFonts w:ascii="Arial" w:hAnsi="Arial" w:cs="Arial"/>
          <w:color w:val="000000"/>
          <w:kern w:val="0"/>
          <w:sz w:val="21"/>
          <w:szCs w:val="21"/>
        </w:rPr>
        <w:t>% a +</w:t>
      </w:r>
      <w:r>
        <w:rPr>
          <w:rFonts w:ascii="Arial" w:hAnsi="Arial" w:cs="Arial"/>
          <w:color w:val="000000"/>
          <w:kern w:val="0"/>
          <w:sz w:val="21"/>
          <w:szCs w:val="21"/>
        </w:rPr>
        <w:t>19,8%; +1,3</w:t>
      </w:r>
      <w:r w:rsidRPr="000E726B">
        <w:rPr>
          <w:rFonts w:ascii="Arial" w:hAnsi="Arial" w:cs="Arial"/>
          <w:color w:val="000000"/>
          <w:kern w:val="0"/>
          <w:sz w:val="21"/>
          <w:szCs w:val="21"/>
        </w:rPr>
        <w:t xml:space="preserve">% </w:t>
      </w:r>
      <w:r>
        <w:rPr>
          <w:rFonts w:ascii="Arial" w:hAnsi="Arial" w:cs="Arial"/>
          <w:color w:val="000000"/>
          <w:kern w:val="0"/>
          <w:sz w:val="21"/>
          <w:szCs w:val="21"/>
        </w:rPr>
        <w:t>su base mensile</w:t>
      </w:r>
      <w:r w:rsidRPr="000E726B">
        <w:rPr>
          <w:rFonts w:ascii="Arial" w:hAnsi="Arial" w:cs="Arial"/>
          <w:color w:val="000000"/>
          <w:kern w:val="0"/>
          <w:sz w:val="21"/>
          <w:szCs w:val="21"/>
        </w:rPr>
        <w:t>), de</w:t>
      </w:r>
      <w:r>
        <w:rPr>
          <w:rFonts w:ascii="Arial" w:hAnsi="Arial" w:cs="Arial"/>
          <w:color w:val="000000"/>
          <w:kern w:val="0"/>
          <w:sz w:val="21"/>
          <w:szCs w:val="21"/>
        </w:rPr>
        <w:t>i Combustibili solidi</w:t>
      </w:r>
      <w:r w:rsidRPr="000E726B">
        <w:rPr>
          <w:rFonts w:ascii="Arial" w:hAnsi="Arial" w:cs="Arial"/>
          <w:color w:val="000000"/>
          <w:kern w:val="0"/>
          <w:sz w:val="21"/>
          <w:szCs w:val="21"/>
        </w:rPr>
        <w:t xml:space="preserve"> (da +</w:t>
      </w:r>
      <w:r>
        <w:rPr>
          <w:rFonts w:ascii="Arial" w:hAnsi="Arial" w:cs="Arial"/>
          <w:color w:val="000000"/>
          <w:kern w:val="0"/>
          <w:sz w:val="21"/>
          <w:szCs w:val="21"/>
        </w:rPr>
        <w:t>10,1</w:t>
      </w:r>
      <w:r w:rsidRPr="000E726B">
        <w:rPr>
          <w:rFonts w:ascii="Arial" w:hAnsi="Arial" w:cs="Arial"/>
          <w:color w:val="000000"/>
          <w:kern w:val="0"/>
          <w:sz w:val="21"/>
          <w:szCs w:val="21"/>
        </w:rPr>
        <w:t>% a +</w:t>
      </w:r>
      <w:r>
        <w:rPr>
          <w:rFonts w:ascii="Arial" w:hAnsi="Arial" w:cs="Arial"/>
          <w:color w:val="000000"/>
          <w:kern w:val="0"/>
          <w:sz w:val="21"/>
          <w:szCs w:val="21"/>
        </w:rPr>
        <w:t>16,3</w:t>
      </w:r>
      <w:r w:rsidRPr="000E726B">
        <w:rPr>
          <w:rFonts w:ascii="Arial" w:hAnsi="Arial" w:cs="Arial"/>
          <w:color w:val="000000"/>
          <w:kern w:val="0"/>
          <w:sz w:val="21"/>
          <w:szCs w:val="21"/>
        </w:rPr>
        <w:t xml:space="preserve">%; </w:t>
      </w:r>
      <w:r>
        <w:rPr>
          <w:rFonts w:ascii="Arial" w:hAnsi="Arial" w:cs="Arial"/>
          <w:color w:val="000000"/>
          <w:kern w:val="0"/>
          <w:sz w:val="21"/>
          <w:szCs w:val="21"/>
        </w:rPr>
        <w:t>+5,8</w:t>
      </w:r>
      <w:r w:rsidRPr="000E726B">
        <w:rPr>
          <w:rFonts w:ascii="Arial" w:hAnsi="Arial" w:cs="Arial"/>
          <w:color w:val="000000"/>
          <w:kern w:val="0"/>
          <w:sz w:val="21"/>
          <w:szCs w:val="21"/>
        </w:rPr>
        <w:t>% da</w:t>
      </w:r>
      <w:r>
        <w:rPr>
          <w:rFonts w:ascii="Arial" w:hAnsi="Arial" w:cs="Arial"/>
          <w:color w:val="000000"/>
          <w:kern w:val="0"/>
          <w:sz w:val="21"/>
          <w:szCs w:val="21"/>
        </w:rPr>
        <w:t>l</w:t>
      </w:r>
      <w:r w:rsidRPr="000E726B">
        <w:rPr>
          <w:rFonts w:ascii="Arial" w:hAnsi="Arial" w:cs="Arial"/>
          <w:color w:val="000000"/>
          <w:kern w:val="0"/>
          <w:sz w:val="21"/>
          <w:szCs w:val="21"/>
        </w:rPr>
        <w:t xml:space="preserve"> </w:t>
      </w:r>
      <w:r>
        <w:rPr>
          <w:rFonts w:ascii="Arial" w:hAnsi="Arial" w:cs="Arial"/>
          <w:color w:val="000000"/>
          <w:kern w:val="0"/>
          <w:sz w:val="21"/>
          <w:szCs w:val="21"/>
        </w:rPr>
        <w:t xml:space="preserve">mese precedente) e </w:t>
      </w:r>
      <w:r w:rsidRPr="000E726B">
        <w:rPr>
          <w:rFonts w:ascii="Arial" w:hAnsi="Arial" w:cs="Arial"/>
          <w:color w:val="000000"/>
          <w:kern w:val="0"/>
          <w:sz w:val="21"/>
          <w:szCs w:val="21"/>
        </w:rPr>
        <w:t>dell’Energia elettrica mercato libero (da +135,9% a +</w:t>
      </w:r>
      <w:r>
        <w:rPr>
          <w:rFonts w:ascii="Arial" w:hAnsi="Arial" w:cs="Arial"/>
          <w:color w:val="000000"/>
          <w:kern w:val="0"/>
          <w:sz w:val="21"/>
          <w:szCs w:val="21"/>
        </w:rPr>
        <w:t>136,7</w:t>
      </w:r>
      <w:r w:rsidRPr="000E726B">
        <w:rPr>
          <w:rFonts w:ascii="Arial" w:hAnsi="Arial" w:cs="Arial"/>
          <w:color w:val="000000"/>
          <w:kern w:val="0"/>
          <w:sz w:val="21"/>
          <w:szCs w:val="21"/>
        </w:rPr>
        <w:t>%; +</w:t>
      </w:r>
      <w:r>
        <w:rPr>
          <w:rFonts w:ascii="Arial" w:hAnsi="Arial" w:cs="Arial"/>
          <w:color w:val="000000"/>
          <w:kern w:val="0"/>
          <w:sz w:val="21"/>
          <w:szCs w:val="21"/>
        </w:rPr>
        <w:t>0,3</w:t>
      </w:r>
      <w:r w:rsidRPr="000E726B">
        <w:rPr>
          <w:rFonts w:ascii="Arial" w:hAnsi="Arial" w:cs="Arial"/>
          <w:color w:val="000000"/>
          <w:kern w:val="0"/>
          <w:sz w:val="21"/>
          <w:szCs w:val="21"/>
        </w:rPr>
        <w:t xml:space="preserve">% </w:t>
      </w:r>
      <w:r>
        <w:rPr>
          <w:rFonts w:ascii="Arial" w:hAnsi="Arial" w:cs="Arial"/>
          <w:color w:val="000000"/>
          <w:kern w:val="0"/>
          <w:sz w:val="21"/>
          <w:szCs w:val="21"/>
        </w:rPr>
        <w:t>la variazione congiunturale</w:t>
      </w:r>
      <w:r w:rsidRPr="000E726B">
        <w:rPr>
          <w:rFonts w:ascii="Arial" w:hAnsi="Arial" w:cs="Arial"/>
          <w:color w:val="000000"/>
          <w:kern w:val="0"/>
          <w:sz w:val="21"/>
          <w:szCs w:val="21"/>
        </w:rPr>
        <w:t>)</w:t>
      </w:r>
      <w:r>
        <w:rPr>
          <w:rFonts w:ascii="Arial" w:hAnsi="Arial" w:cs="Arial"/>
          <w:color w:val="000000"/>
          <w:kern w:val="0"/>
          <w:sz w:val="21"/>
          <w:szCs w:val="21"/>
        </w:rPr>
        <w:t xml:space="preserve">; da segnalare un aumento su base mensile dei prezzi </w:t>
      </w:r>
      <w:r w:rsidRPr="000E726B">
        <w:rPr>
          <w:rFonts w:ascii="Arial" w:hAnsi="Arial" w:cs="Arial"/>
          <w:color w:val="000000"/>
          <w:kern w:val="0"/>
          <w:sz w:val="21"/>
          <w:szCs w:val="21"/>
        </w:rPr>
        <w:t xml:space="preserve">del Gas di città e gas naturale mercato libero </w:t>
      </w:r>
      <w:r>
        <w:rPr>
          <w:rFonts w:ascii="Arial" w:hAnsi="Arial" w:cs="Arial"/>
          <w:color w:val="000000"/>
          <w:kern w:val="0"/>
          <w:sz w:val="21"/>
          <w:szCs w:val="21"/>
        </w:rPr>
        <w:t>pari a +1,2%.</w:t>
      </w:r>
    </w:p>
    <w:p w:rsidR="009B6ACA" w:rsidRPr="00B6384F" w:rsidRDefault="009B6ACA" w:rsidP="009B6ACA">
      <w:pPr>
        <w:spacing w:before="0" w:after="120"/>
        <w:jc w:val="both"/>
        <w:rPr>
          <w:rFonts w:ascii="Arial" w:hAnsi="Arial" w:cs="Arial"/>
          <w:sz w:val="21"/>
          <w:szCs w:val="21"/>
        </w:rPr>
      </w:pPr>
      <w:r>
        <w:rPr>
          <w:rFonts w:ascii="Arial" w:hAnsi="Arial" w:cs="Arial"/>
          <w:sz w:val="21"/>
          <w:szCs w:val="21"/>
        </w:rPr>
        <w:t>La crescita dei prezzi dei servizi risulta sostanzialmente stabile (da</w:t>
      </w:r>
      <w:r w:rsidRPr="00B6384F">
        <w:rPr>
          <w:rFonts w:ascii="Arial" w:hAnsi="Arial" w:cs="Arial"/>
          <w:sz w:val="21"/>
          <w:szCs w:val="21"/>
        </w:rPr>
        <w:t xml:space="preserve"> +3,</w:t>
      </w:r>
      <w:r>
        <w:rPr>
          <w:rFonts w:ascii="Arial" w:hAnsi="Arial" w:cs="Arial"/>
          <w:sz w:val="21"/>
          <w:szCs w:val="21"/>
        </w:rPr>
        <w:t>8</w:t>
      </w:r>
      <w:r w:rsidRPr="00B6384F">
        <w:rPr>
          <w:rFonts w:ascii="Arial" w:hAnsi="Arial" w:cs="Arial"/>
          <w:sz w:val="21"/>
          <w:szCs w:val="21"/>
        </w:rPr>
        <w:t xml:space="preserve">% </w:t>
      </w:r>
      <w:r>
        <w:rPr>
          <w:rFonts w:ascii="Arial" w:hAnsi="Arial" w:cs="Arial"/>
          <w:sz w:val="21"/>
          <w:szCs w:val="21"/>
        </w:rPr>
        <w:t xml:space="preserve">di agosto </w:t>
      </w:r>
      <w:r w:rsidRPr="00B6384F">
        <w:rPr>
          <w:rFonts w:ascii="Arial" w:hAnsi="Arial" w:cs="Arial"/>
          <w:sz w:val="21"/>
          <w:szCs w:val="21"/>
        </w:rPr>
        <w:t>a +3,</w:t>
      </w:r>
      <w:r>
        <w:rPr>
          <w:rFonts w:ascii="Arial" w:hAnsi="Arial" w:cs="Arial"/>
          <w:sz w:val="21"/>
          <w:szCs w:val="21"/>
        </w:rPr>
        <w:t>9</w:t>
      </w:r>
      <w:r w:rsidRPr="00B6384F">
        <w:rPr>
          <w:rFonts w:ascii="Arial" w:hAnsi="Arial" w:cs="Arial"/>
          <w:sz w:val="21"/>
          <w:szCs w:val="21"/>
        </w:rPr>
        <w:t>%</w:t>
      </w:r>
      <w:r>
        <w:rPr>
          <w:rFonts w:ascii="Arial" w:hAnsi="Arial" w:cs="Arial"/>
          <w:sz w:val="21"/>
          <w:szCs w:val="21"/>
        </w:rPr>
        <w:t>; -</w:t>
      </w:r>
      <w:r w:rsidRPr="00B6384F">
        <w:rPr>
          <w:rFonts w:ascii="Arial" w:hAnsi="Arial" w:cs="Arial"/>
          <w:sz w:val="21"/>
          <w:szCs w:val="21"/>
        </w:rPr>
        <w:t>0,</w:t>
      </w:r>
      <w:r>
        <w:rPr>
          <w:rFonts w:ascii="Arial" w:hAnsi="Arial" w:cs="Arial"/>
          <w:sz w:val="21"/>
          <w:szCs w:val="21"/>
        </w:rPr>
        <w:t>5</w:t>
      </w:r>
      <w:r w:rsidRPr="00B6384F">
        <w:rPr>
          <w:rFonts w:ascii="Arial" w:hAnsi="Arial" w:cs="Arial"/>
          <w:sz w:val="21"/>
          <w:szCs w:val="21"/>
        </w:rPr>
        <w:t xml:space="preserve">% </w:t>
      </w:r>
      <w:r>
        <w:rPr>
          <w:rFonts w:ascii="Arial" w:hAnsi="Arial" w:cs="Arial"/>
          <w:sz w:val="21"/>
          <w:szCs w:val="21"/>
        </w:rPr>
        <w:t>su base mensile</w:t>
      </w:r>
      <w:r w:rsidRPr="00B6384F">
        <w:rPr>
          <w:rFonts w:ascii="Arial" w:hAnsi="Arial" w:cs="Arial"/>
          <w:sz w:val="21"/>
          <w:szCs w:val="21"/>
        </w:rPr>
        <w:t>)</w:t>
      </w:r>
      <w:r>
        <w:rPr>
          <w:rFonts w:ascii="Arial" w:hAnsi="Arial" w:cs="Arial"/>
          <w:sz w:val="21"/>
          <w:szCs w:val="21"/>
        </w:rPr>
        <w:t xml:space="preserve">. Questo andamento è il risultato di spinte contrapposte. Da una parte accelerano i prezzi dei </w:t>
      </w:r>
      <w:r w:rsidRPr="004A3029">
        <w:rPr>
          <w:rFonts w:ascii="Arial" w:hAnsi="Arial" w:cs="Arial"/>
          <w:sz w:val="21"/>
          <w:szCs w:val="21"/>
        </w:rPr>
        <w:t>Servizi ricreativi, culturali e per la cura della persona</w:t>
      </w:r>
      <w:r>
        <w:rPr>
          <w:rFonts w:ascii="Arial" w:hAnsi="Arial" w:cs="Arial"/>
          <w:sz w:val="21"/>
          <w:szCs w:val="21"/>
        </w:rPr>
        <w:t xml:space="preserve"> (da +4,6% a +5,7%; +0,5% su base mensile), a causa dei prezzi dei </w:t>
      </w:r>
      <w:r w:rsidRPr="004A3029">
        <w:rPr>
          <w:rFonts w:ascii="Arial" w:hAnsi="Arial" w:cs="Arial"/>
          <w:sz w:val="21"/>
          <w:szCs w:val="21"/>
        </w:rPr>
        <w:t>Servizi ricreativi e sportivi</w:t>
      </w:r>
      <w:r>
        <w:rPr>
          <w:rFonts w:ascii="Arial" w:hAnsi="Arial" w:cs="Arial"/>
          <w:sz w:val="21"/>
          <w:szCs w:val="21"/>
        </w:rPr>
        <w:t xml:space="preserve"> (da +0,8% a +1,</w:t>
      </w:r>
      <w:r w:rsidR="00A51F45">
        <w:rPr>
          <w:rFonts w:ascii="Arial" w:hAnsi="Arial" w:cs="Arial"/>
          <w:sz w:val="21"/>
          <w:szCs w:val="21"/>
        </w:rPr>
        <w:t>6%; -6,4</w:t>
      </w:r>
      <w:r>
        <w:rPr>
          <w:rFonts w:ascii="Arial" w:hAnsi="Arial" w:cs="Arial"/>
          <w:sz w:val="21"/>
          <w:szCs w:val="21"/>
        </w:rPr>
        <w:t xml:space="preserve">% il congiunturale), dei </w:t>
      </w:r>
      <w:r w:rsidRPr="004A3029">
        <w:rPr>
          <w:rFonts w:ascii="Arial" w:hAnsi="Arial" w:cs="Arial"/>
          <w:sz w:val="21"/>
          <w:szCs w:val="21"/>
        </w:rPr>
        <w:t>Ristoranti, bar e simili</w:t>
      </w:r>
      <w:r>
        <w:rPr>
          <w:rFonts w:ascii="Arial" w:hAnsi="Arial" w:cs="Arial"/>
          <w:sz w:val="21"/>
          <w:szCs w:val="21"/>
        </w:rPr>
        <w:t xml:space="preserve"> (da +5,2% a +6,1%; +0,9% rispetto ad agosto) e dei </w:t>
      </w:r>
      <w:r w:rsidRPr="004A3029">
        <w:rPr>
          <w:rFonts w:ascii="Arial" w:hAnsi="Arial" w:cs="Arial"/>
          <w:sz w:val="21"/>
          <w:szCs w:val="21"/>
        </w:rPr>
        <w:t>Servizi di alloggio</w:t>
      </w:r>
      <w:r>
        <w:rPr>
          <w:rFonts w:ascii="Arial" w:hAnsi="Arial" w:cs="Arial"/>
          <w:sz w:val="21"/>
          <w:szCs w:val="21"/>
        </w:rPr>
        <w:t xml:space="preserve"> (da +12,5% a +16,</w:t>
      </w:r>
      <w:r w:rsidR="00A51F45">
        <w:rPr>
          <w:rFonts w:ascii="Arial" w:hAnsi="Arial" w:cs="Arial"/>
          <w:sz w:val="21"/>
          <w:szCs w:val="21"/>
        </w:rPr>
        <w:t>0%; +3,7</w:t>
      </w:r>
      <w:r>
        <w:rPr>
          <w:rFonts w:ascii="Arial" w:hAnsi="Arial" w:cs="Arial"/>
          <w:sz w:val="21"/>
          <w:szCs w:val="21"/>
        </w:rPr>
        <w:t xml:space="preserve">% rispetto al mese precedente). Dall’altra parte rallentano </w:t>
      </w:r>
      <w:r w:rsidRPr="006059DC">
        <w:rPr>
          <w:rFonts w:ascii="Arial" w:hAnsi="Arial" w:cs="Arial"/>
          <w:color w:val="000000"/>
          <w:kern w:val="0"/>
          <w:sz w:val="21"/>
          <w:szCs w:val="21"/>
        </w:rPr>
        <w:t xml:space="preserve">i </w:t>
      </w:r>
      <w:r>
        <w:rPr>
          <w:rFonts w:ascii="Arial" w:hAnsi="Arial" w:cs="Arial"/>
          <w:color w:val="000000"/>
          <w:kern w:val="0"/>
          <w:sz w:val="21"/>
          <w:szCs w:val="21"/>
        </w:rPr>
        <w:t xml:space="preserve">prezzi dei </w:t>
      </w:r>
      <w:r w:rsidRPr="000F7ADE">
        <w:rPr>
          <w:rFonts w:ascii="Arial" w:hAnsi="Arial" w:cs="Arial"/>
          <w:color w:val="000000"/>
          <w:kern w:val="0"/>
          <w:sz w:val="21"/>
          <w:szCs w:val="21"/>
        </w:rPr>
        <w:t xml:space="preserve">Servizi </w:t>
      </w:r>
      <w:r>
        <w:rPr>
          <w:rFonts w:ascii="Arial" w:hAnsi="Arial" w:cs="Arial"/>
          <w:color w:val="000000"/>
          <w:kern w:val="0"/>
          <w:sz w:val="21"/>
          <w:szCs w:val="21"/>
        </w:rPr>
        <w:t>relativi ai trasporti</w:t>
      </w:r>
      <w:r w:rsidRPr="000F7ADE">
        <w:rPr>
          <w:rFonts w:ascii="Arial" w:hAnsi="Arial" w:cs="Arial"/>
          <w:color w:val="000000"/>
          <w:kern w:val="0"/>
          <w:sz w:val="21"/>
          <w:szCs w:val="21"/>
        </w:rPr>
        <w:t xml:space="preserve"> </w:t>
      </w:r>
      <w:r>
        <w:rPr>
          <w:rFonts w:ascii="Arial" w:hAnsi="Arial" w:cs="Arial"/>
          <w:color w:val="000000"/>
          <w:kern w:val="0"/>
          <w:sz w:val="21"/>
          <w:szCs w:val="21"/>
        </w:rPr>
        <w:t>(da +8,4% a +7,2</w:t>
      </w:r>
      <w:r w:rsidRPr="006059DC">
        <w:rPr>
          <w:rFonts w:ascii="Arial" w:hAnsi="Arial" w:cs="Arial"/>
          <w:color w:val="000000"/>
          <w:kern w:val="0"/>
          <w:sz w:val="21"/>
          <w:szCs w:val="21"/>
        </w:rPr>
        <w:t>%</w:t>
      </w:r>
      <w:r>
        <w:rPr>
          <w:rFonts w:ascii="Arial" w:hAnsi="Arial" w:cs="Arial"/>
          <w:color w:val="000000"/>
          <w:kern w:val="0"/>
          <w:sz w:val="21"/>
          <w:szCs w:val="21"/>
        </w:rPr>
        <w:t xml:space="preserve">, -4,2% il congiunturale per lo più per fattori stagionali), a causa prevalentemente dei prezzi del </w:t>
      </w:r>
      <w:r w:rsidRPr="00F629DF">
        <w:rPr>
          <w:rFonts w:ascii="Arial" w:hAnsi="Arial" w:cs="Arial"/>
          <w:color w:val="000000"/>
          <w:kern w:val="0"/>
          <w:sz w:val="21"/>
          <w:szCs w:val="21"/>
        </w:rPr>
        <w:t>Trasporto aereo passeggeri</w:t>
      </w:r>
      <w:r>
        <w:rPr>
          <w:rFonts w:ascii="Arial" w:hAnsi="Arial" w:cs="Arial"/>
          <w:color w:val="000000"/>
          <w:kern w:val="0"/>
          <w:sz w:val="21"/>
          <w:szCs w:val="21"/>
        </w:rPr>
        <w:t xml:space="preserve"> (che confermano una crescita molto elevata ma decelerano da +85,1% a +82,0%; -30,3% su base mensile) e del </w:t>
      </w:r>
      <w:r w:rsidRPr="00F629DF">
        <w:rPr>
          <w:rFonts w:ascii="Arial" w:hAnsi="Arial" w:cs="Arial"/>
          <w:color w:val="000000"/>
          <w:kern w:val="0"/>
          <w:sz w:val="21"/>
          <w:szCs w:val="21"/>
        </w:rPr>
        <w:t xml:space="preserve">Trasporto passeggeri su rotaia </w:t>
      </w:r>
      <w:r>
        <w:rPr>
          <w:rFonts w:ascii="Arial" w:hAnsi="Arial" w:cs="Arial"/>
          <w:color w:val="000000"/>
          <w:kern w:val="0"/>
          <w:sz w:val="21"/>
          <w:szCs w:val="21"/>
        </w:rPr>
        <w:t>(con una flessione più ampia da -8,3% a -9,1%; -1,6% su agosto).</w:t>
      </w:r>
    </w:p>
    <w:p w:rsidR="00894684" w:rsidRDefault="00894684" w:rsidP="00894684">
      <w:pPr>
        <w:pStyle w:val="Corpotesto"/>
        <w:tabs>
          <w:tab w:val="left" w:pos="6237"/>
        </w:tabs>
        <w:spacing w:after="120" w:line="240" w:lineRule="auto"/>
        <w:jc w:val="both"/>
        <w:rPr>
          <w:rFonts w:ascii="Arial" w:hAnsi="Arial" w:cs="Arial"/>
          <w:iCs/>
          <w:sz w:val="21"/>
          <w:szCs w:val="21"/>
        </w:rPr>
      </w:pPr>
      <w:r w:rsidRPr="00F157E2">
        <w:rPr>
          <w:rFonts w:ascii="Arial" w:hAnsi="Arial" w:cs="Arial"/>
          <w:iCs/>
          <w:sz w:val="21"/>
          <w:szCs w:val="21"/>
        </w:rPr>
        <w:t xml:space="preserve">Il ruolo delle diverse tipologie di prodotto nel determinare l’inflazione del mese di </w:t>
      </w:r>
      <w:r w:rsidR="009B6ACA">
        <w:rPr>
          <w:rFonts w:ascii="Arial" w:hAnsi="Arial" w:cs="Arial"/>
          <w:iCs/>
          <w:sz w:val="21"/>
          <w:szCs w:val="21"/>
        </w:rPr>
        <w:t>settembre</w:t>
      </w:r>
      <w:r w:rsidRPr="00516709">
        <w:rPr>
          <w:rFonts w:ascii="Arial" w:hAnsi="Arial" w:cs="Arial"/>
          <w:iCs/>
          <w:sz w:val="21"/>
          <w:szCs w:val="21"/>
        </w:rPr>
        <w:t xml:space="preserve"> </w:t>
      </w:r>
      <w:r w:rsidRPr="00F157E2">
        <w:rPr>
          <w:rFonts w:ascii="Arial" w:hAnsi="Arial" w:cs="Arial"/>
          <w:iCs/>
          <w:sz w:val="21"/>
          <w:szCs w:val="21"/>
        </w:rPr>
        <w:t>è rappresentato dai contributi alla variazione dell’indice generale dei prezzi al consumo riportati nella figura 4.</w:t>
      </w:r>
    </w:p>
    <w:p w:rsidR="00491FE4" w:rsidRPr="00A51F45" w:rsidRDefault="00491FE4" w:rsidP="00991D0E">
      <w:pPr>
        <w:spacing w:before="0" w:after="120"/>
        <w:jc w:val="both"/>
        <w:rPr>
          <w:rFonts w:ascii="Arial" w:hAnsi="Arial" w:cs="Arial"/>
          <w:color w:val="000000"/>
          <w:kern w:val="0"/>
          <w:sz w:val="12"/>
          <w:szCs w:val="21"/>
        </w:rPr>
      </w:pPr>
    </w:p>
    <w:p w:rsidR="00184B06" w:rsidRPr="00C8504B" w:rsidRDefault="00184B06" w:rsidP="00184B06">
      <w:pPr>
        <w:pStyle w:val="001TitoGra"/>
        <w:spacing w:line="240" w:lineRule="auto"/>
      </w:pPr>
      <w:r w:rsidRPr="00C8504B">
        <w:rPr>
          <w:rFonts w:cs="Calibri"/>
          <w:bCs/>
          <w:color w:val="FF0000"/>
          <w:kern w:val="0"/>
        </w:rPr>
        <w:t xml:space="preserve">FIGURA 3. </w:t>
      </w:r>
      <w:r w:rsidRPr="00C8504B">
        <w:rPr>
          <w:rFonts w:cs="Calibri"/>
          <w:bCs/>
          <w:kern w:val="0"/>
        </w:rPr>
        <w:t>INDICI DEI PREZZI AL CONSU</w:t>
      </w:r>
      <w:r w:rsidR="00C17464" w:rsidRPr="00C8504B">
        <w:rPr>
          <w:rFonts w:cs="Calibri"/>
          <w:bCs/>
          <w:kern w:val="0"/>
        </w:rPr>
        <w:t>MO NIC PER CATEGORIE DI PRODOTTO</w:t>
      </w:r>
    </w:p>
    <w:p w:rsidR="00184B06" w:rsidRDefault="005B7BD6" w:rsidP="007C600E">
      <w:pPr>
        <w:pStyle w:val="001TitoGra"/>
        <w:spacing w:after="120" w:line="240" w:lineRule="auto"/>
        <w:rPr>
          <w:rFonts w:cs="Calibri"/>
          <w:b w:val="0"/>
          <w:kern w:val="0"/>
          <w:sz w:val="20"/>
          <w:szCs w:val="20"/>
        </w:rPr>
      </w:pPr>
      <w:r>
        <w:rPr>
          <w:b w:val="0"/>
          <w:sz w:val="20"/>
          <w:szCs w:val="20"/>
        </w:rPr>
        <w:t>Gennaio 2017</w:t>
      </w:r>
      <w:r w:rsidR="00141DAE" w:rsidRPr="00141DAE">
        <w:rPr>
          <w:b w:val="0"/>
          <w:sz w:val="20"/>
          <w:szCs w:val="20"/>
        </w:rPr>
        <w:t xml:space="preserve"> </w:t>
      </w:r>
      <w:r w:rsidR="00FF7AE4">
        <w:rPr>
          <w:b w:val="0"/>
          <w:sz w:val="20"/>
          <w:szCs w:val="20"/>
        </w:rPr>
        <w:t>–</w:t>
      </w:r>
      <w:r w:rsidR="00141DAE" w:rsidRPr="00141DAE">
        <w:rPr>
          <w:b w:val="0"/>
          <w:sz w:val="20"/>
          <w:szCs w:val="20"/>
        </w:rPr>
        <w:t xml:space="preserve"> </w:t>
      </w:r>
      <w:r w:rsidR="009B6ACA">
        <w:rPr>
          <w:b w:val="0"/>
          <w:sz w:val="20"/>
          <w:szCs w:val="20"/>
        </w:rPr>
        <w:t>settembre</w:t>
      </w:r>
      <w:r w:rsidR="009A20F3" w:rsidRPr="00F36E1D">
        <w:rPr>
          <w:b w:val="0"/>
          <w:sz w:val="20"/>
          <w:szCs w:val="20"/>
        </w:rPr>
        <w:t xml:space="preserve"> </w:t>
      </w:r>
      <w:r w:rsidRPr="005B7BD6">
        <w:rPr>
          <w:b w:val="0"/>
          <w:sz w:val="20"/>
          <w:szCs w:val="20"/>
        </w:rPr>
        <w:t>2022</w:t>
      </w:r>
      <w:r w:rsidR="00184B06" w:rsidRPr="000D11A3">
        <w:rPr>
          <w:rFonts w:cs="Calibri"/>
          <w:b w:val="0"/>
          <w:kern w:val="0"/>
          <w:sz w:val="20"/>
          <w:szCs w:val="20"/>
        </w:rPr>
        <w:t>, variazioni percentuali tendenziali (base 2015=100)</w:t>
      </w:r>
      <w:r w:rsidR="00D456A7" w:rsidRPr="000D11A3">
        <w:rPr>
          <w:rFonts w:cs="Calibri"/>
          <w:b w:val="0"/>
          <w:kern w:val="0"/>
          <w:sz w:val="20"/>
          <w:szCs w:val="20"/>
        </w:rPr>
        <w:t xml:space="preserve"> </w:t>
      </w:r>
    </w:p>
    <w:p w:rsidR="00F84108" w:rsidRPr="0015726A" w:rsidRDefault="00FB77C8" w:rsidP="00F84108">
      <w:pPr>
        <w:spacing w:before="0" w:after="120"/>
        <w:jc w:val="both"/>
        <w:rPr>
          <w:rFonts w:ascii="Arial" w:hAnsi="Arial" w:cs="Arial"/>
          <w:color w:val="000000"/>
          <w:kern w:val="0"/>
          <w:sz w:val="21"/>
          <w:szCs w:val="21"/>
        </w:rPr>
      </w:pPr>
      <w:r>
        <w:rPr>
          <w:rFonts w:ascii="Arial" w:hAnsi="Arial" w:cs="Arial"/>
          <w:noProof/>
          <w:color w:val="000000"/>
          <w:kern w:val="0"/>
          <w:sz w:val="21"/>
          <w:szCs w:val="21"/>
        </w:rPr>
        <w:drawing>
          <wp:inline distT="0" distB="0" distL="0" distR="0" wp14:anchorId="1957664C">
            <wp:extent cx="6663690" cy="2158365"/>
            <wp:effectExtent l="0" t="0" r="381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3690" cy="2158365"/>
                    </a:xfrm>
                    <a:prstGeom prst="rect">
                      <a:avLst/>
                    </a:prstGeom>
                    <a:noFill/>
                  </pic:spPr>
                </pic:pic>
              </a:graphicData>
            </a:graphic>
          </wp:inline>
        </w:drawing>
      </w:r>
    </w:p>
    <w:p w:rsidR="00491FE4" w:rsidRPr="00A51F45" w:rsidRDefault="00491FE4" w:rsidP="00491FE4">
      <w:pPr>
        <w:spacing w:before="0" w:after="120"/>
        <w:jc w:val="both"/>
        <w:rPr>
          <w:rFonts w:ascii="Arial" w:hAnsi="Arial" w:cs="Arial"/>
          <w:color w:val="000000"/>
          <w:kern w:val="0"/>
          <w:sz w:val="2"/>
          <w:szCs w:val="21"/>
        </w:rPr>
      </w:pPr>
    </w:p>
    <w:p w:rsidR="00A93E6A" w:rsidRDefault="00AE4283" w:rsidP="00427417">
      <w:pPr>
        <w:pStyle w:val="001SottotitoloGra"/>
        <w:spacing w:line="240" w:lineRule="auto"/>
        <w:jc w:val="both"/>
        <w:rPr>
          <w:rFonts w:cs="Calibri"/>
          <w:b/>
          <w:bCs/>
          <w:kern w:val="0"/>
          <w:sz w:val="22"/>
          <w:szCs w:val="22"/>
        </w:rPr>
      </w:pPr>
      <w:r w:rsidRPr="00415074">
        <w:rPr>
          <w:b/>
          <w:color w:val="E42618"/>
          <w:sz w:val="22"/>
          <w:szCs w:val="22"/>
        </w:rPr>
        <w:t>FIGURA 4</w:t>
      </w:r>
      <w:r w:rsidRPr="00415074">
        <w:rPr>
          <w:b/>
          <w:color w:val="E42618"/>
        </w:rPr>
        <w:t>.</w:t>
      </w:r>
      <w:r w:rsidRPr="00415074">
        <w:rPr>
          <w:b/>
        </w:rPr>
        <w:t xml:space="preserve"> </w:t>
      </w:r>
      <w:r w:rsidR="00DA7A68" w:rsidRPr="00415074">
        <w:rPr>
          <w:rFonts w:cs="Calibri"/>
          <w:b/>
          <w:bCs/>
          <w:kern w:val="0"/>
          <w:sz w:val="22"/>
          <w:szCs w:val="22"/>
        </w:rPr>
        <w:t>INDICE</w:t>
      </w:r>
      <w:r w:rsidRPr="00415074">
        <w:rPr>
          <w:rFonts w:cs="Calibri"/>
          <w:b/>
          <w:bCs/>
          <w:kern w:val="0"/>
          <w:sz w:val="22"/>
          <w:szCs w:val="22"/>
        </w:rPr>
        <w:t xml:space="preserve"> DEI PREZZI AL CONSUMO </w:t>
      </w:r>
      <w:r w:rsidR="00DA7A68" w:rsidRPr="00415074">
        <w:rPr>
          <w:rFonts w:cs="Calibri"/>
          <w:b/>
          <w:bCs/>
          <w:kern w:val="0"/>
          <w:sz w:val="22"/>
          <w:szCs w:val="22"/>
        </w:rPr>
        <w:t>NIC, CONTRIBUTI ALLA VARIAZIONE PERCENTUALE TENDENZIALE PER TIPOLOGIA DI</w:t>
      </w:r>
      <w:r w:rsidR="00DA7A68" w:rsidRPr="00CE4786">
        <w:rPr>
          <w:rFonts w:cs="Calibri"/>
          <w:b/>
          <w:bCs/>
          <w:kern w:val="0"/>
          <w:sz w:val="22"/>
          <w:szCs w:val="22"/>
        </w:rPr>
        <w:t xml:space="preserve"> PRODOTTO</w:t>
      </w:r>
      <w:r w:rsidR="00441608" w:rsidRPr="00C8504B">
        <w:rPr>
          <w:b/>
          <w:sz w:val="22"/>
          <w:szCs w:val="22"/>
        </w:rPr>
        <w:br/>
      </w:r>
      <w:r w:rsidR="009B6ACA">
        <w:t>Settembre</w:t>
      </w:r>
      <w:r w:rsidR="009A20F3" w:rsidRPr="009A20F3">
        <w:t xml:space="preserve"> </w:t>
      </w:r>
      <w:r w:rsidR="005B7BD6" w:rsidRPr="005B7BD6">
        <w:t>2022</w:t>
      </w:r>
      <w:r w:rsidR="00C85C69" w:rsidRPr="00CE4786">
        <w:t>, punti percentuali</w:t>
      </w:r>
    </w:p>
    <w:p w:rsidR="00A1287A" w:rsidRDefault="00C8411E" w:rsidP="0091023A">
      <w:pPr>
        <w:pStyle w:val="001SottotitoloGra"/>
        <w:spacing w:line="240" w:lineRule="auto"/>
        <w:jc w:val="both"/>
      </w:pPr>
      <w:r>
        <w:rPr>
          <w:noProof/>
        </w:rPr>
        <w:drawing>
          <wp:inline distT="0" distB="0" distL="0" distR="0" wp14:anchorId="140D2F7C">
            <wp:extent cx="6600825" cy="2145665"/>
            <wp:effectExtent l="0" t="0" r="9525" b="698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00825" cy="2145665"/>
                    </a:xfrm>
                    <a:prstGeom prst="rect">
                      <a:avLst/>
                    </a:prstGeom>
                    <a:noFill/>
                  </pic:spPr>
                </pic:pic>
              </a:graphicData>
            </a:graphic>
          </wp:inline>
        </w:drawing>
      </w:r>
    </w:p>
    <w:p w:rsidR="00300368" w:rsidRDefault="00300368" w:rsidP="00300368">
      <w:pPr>
        <w:spacing w:before="0" w:after="120"/>
        <w:rPr>
          <w:szCs w:val="26"/>
        </w:rPr>
      </w:pPr>
    </w:p>
    <w:p w:rsidR="00B32C69" w:rsidRPr="00C8504B" w:rsidRDefault="00B32C69" w:rsidP="00BD0487">
      <w:pPr>
        <w:pStyle w:val="001TitoloBolocco"/>
        <w:spacing w:after="120" w:line="240" w:lineRule="auto"/>
        <w:rPr>
          <w:szCs w:val="26"/>
        </w:rPr>
      </w:pPr>
      <w:r w:rsidRPr="00C8504B">
        <w:rPr>
          <w:szCs w:val="26"/>
        </w:rPr>
        <w:t>I BENI E I SERVIZI REGOLAMENTATI</w:t>
      </w:r>
    </w:p>
    <w:p w:rsidR="00B87271" w:rsidRPr="00491FE4" w:rsidRDefault="00B87271" w:rsidP="00566441">
      <w:pPr>
        <w:spacing w:before="0" w:after="120"/>
        <w:rPr>
          <w:sz w:val="14"/>
          <w:szCs w:val="26"/>
        </w:rPr>
      </w:pPr>
    </w:p>
    <w:p w:rsidR="00045623" w:rsidRPr="00C8504B" w:rsidRDefault="00EE2474" w:rsidP="00045623">
      <w:pPr>
        <w:widowControl/>
        <w:tabs>
          <w:tab w:val="left" w:pos="2041"/>
        </w:tabs>
        <w:overflowPunct/>
        <w:autoSpaceDE/>
        <w:autoSpaceDN/>
        <w:adjustRightInd/>
        <w:spacing w:before="0" w:after="120"/>
        <w:jc w:val="both"/>
        <w:rPr>
          <w:rFonts w:ascii="Arial Narrow" w:hAnsi="Arial Narrow" w:cs="Arial"/>
          <w:color w:val="5F5F5F"/>
        </w:rPr>
      </w:pPr>
      <w:r w:rsidRPr="00C8504B">
        <w:rPr>
          <w:rFonts w:ascii="Arial Narrow" w:hAnsi="Arial Narrow" w:cs="Arial"/>
          <w:b/>
          <w:color w:val="E42618"/>
          <w:sz w:val="22"/>
          <w:szCs w:val="22"/>
        </w:rPr>
        <w:t xml:space="preserve">PROSPETTO </w:t>
      </w:r>
      <w:r w:rsidR="00E74721" w:rsidRPr="00C8504B">
        <w:rPr>
          <w:rFonts w:ascii="Arial Narrow" w:hAnsi="Arial Narrow" w:cs="Arial"/>
          <w:b/>
          <w:color w:val="E42618"/>
          <w:sz w:val="22"/>
          <w:szCs w:val="22"/>
        </w:rPr>
        <w:t>4</w:t>
      </w:r>
      <w:r w:rsidRPr="00C8504B">
        <w:rPr>
          <w:rFonts w:ascii="Arial Narrow" w:hAnsi="Arial Narrow" w:cs="Arial"/>
          <w:b/>
          <w:color w:val="E42618"/>
          <w:sz w:val="22"/>
          <w:szCs w:val="22"/>
        </w:rPr>
        <w:t>.</w:t>
      </w:r>
      <w:r w:rsidRPr="00C8504B">
        <w:rPr>
          <w:rFonts w:ascii="Arial Narrow" w:hAnsi="Arial Narrow" w:cs="Arial"/>
          <w:b/>
          <w:color w:val="5F5F5F"/>
        </w:rPr>
        <w:t xml:space="preserve"> </w:t>
      </w:r>
      <w:r w:rsidRPr="000345F9">
        <w:rPr>
          <w:rFonts w:ascii="Arial Narrow" w:hAnsi="Arial Narrow" w:cs="Calibri"/>
          <w:b/>
          <w:bCs/>
          <w:color w:val="5F5F5F"/>
          <w:kern w:val="0"/>
          <w:sz w:val="22"/>
          <w:szCs w:val="22"/>
        </w:rPr>
        <w:t>I</w:t>
      </w:r>
      <w:r w:rsidR="00C55B4B" w:rsidRPr="000345F9">
        <w:rPr>
          <w:rFonts w:ascii="Arial Narrow" w:hAnsi="Arial Narrow" w:cs="Calibri"/>
          <w:b/>
          <w:bCs/>
          <w:color w:val="5F5F5F"/>
          <w:kern w:val="0"/>
          <w:sz w:val="22"/>
          <w:szCs w:val="22"/>
        </w:rPr>
        <w:t>NDICI DEI PREZZI AL CONSUMO NIC</w:t>
      </w:r>
      <w:r w:rsidRPr="000345F9">
        <w:rPr>
          <w:rFonts w:ascii="Arial Narrow" w:hAnsi="Arial Narrow" w:cs="Calibri"/>
          <w:b/>
          <w:bCs/>
          <w:color w:val="5F5F5F"/>
          <w:kern w:val="0"/>
          <w:sz w:val="22"/>
          <w:szCs w:val="22"/>
        </w:rPr>
        <w:t xml:space="preserve"> PER BENI E SERVIZI REGOLAMENTATI E NON REGOLAMENTATI</w:t>
      </w:r>
      <w:r w:rsidR="00625F9C" w:rsidRPr="00C8504B">
        <w:rPr>
          <w:rFonts w:ascii="Arial Narrow" w:hAnsi="Arial Narrow" w:cs="Arial"/>
          <w:b/>
          <w:color w:val="5F5F5F"/>
          <w:sz w:val="22"/>
          <w:szCs w:val="22"/>
        </w:rPr>
        <w:br/>
      </w:r>
      <w:r w:rsidR="009B6ACA">
        <w:rPr>
          <w:rFonts w:ascii="Arial Narrow" w:hAnsi="Arial Narrow" w:cs="Arial"/>
          <w:color w:val="5F5F5F"/>
        </w:rPr>
        <w:t>Settembre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Pr="00C8504B">
        <w:rPr>
          <w:rFonts w:ascii="Arial Narrow" w:hAnsi="Arial Narrow" w:cs="Arial"/>
          <w:color w:val="5F5F5F"/>
        </w:rPr>
        <w:t xml:space="preserve">, pesi, variazioni </w:t>
      </w:r>
      <w:r w:rsidR="00625F9C" w:rsidRPr="00C8504B">
        <w:rPr>
          <w:rFonts w:ascii="Arial Narrow" w:hAnsi="Arial Narrow" w:cs="Arial"/>
          <w:color w:val="5F5F5F"/>
        </w:rPr>
        <w:t xml:space="preserve">percentuali congiunturali e tendenziali </w:t>
      </w:r>
      <w:r w:rsidRPr="00C8504B">
        <w:rPr>
          <w:rFonts w:ascii="Arial Narrow" w:hAnsi="Arial Narrow" w:cs="Arial"/>
          <w:color w:val="5F5F5F"/>
        </w:rPr>
        <w:t xml:space="preserve">e contributi alla variazione tendenziale dell’indice generale (base 2015=100) </w:t>
      </w:r>
    </w:p>
    <w:tbl>
      <w:tblPr>
        <w:tblW w:w="10278" w:type="dxa"/>
        <w:tblInd w:w="70" w:type="dxa"/>
        <w:tblBorders>
          <w:top w:val="single" w:sz="4" w:space="0" w:color="auto"/>
          <w:bottom w:val="single" w:sz="4" w:space="0" w:color="auto"/>
          <w:insideH w:val="single" w:sz="4" w:space="0" w:color="auto"/>
        </w:tblBorders>
        <w:tblLayout w:type="fixed"/>
        <w:tblCellMar>
          <w:left w:w="70" w:type="dxa"/>
          <w:right w:w="0" w:type="dxa"/>
        </w:tblCellMar>
        <w:tblLook w:val="0000" w:firstRow="0" w:lastRow="0" w:firstColumn="0" w:lastColumn="0" w:noHBand="0" w:noVBand="0"/>
      </w:tblPr>
      <w:tblGrid>
        <w:gridCol w:w="2698"/>
        <w:gridCol w:w="988"/>
        <w:gridCol w:w="1064"/>
        <w:gridCol w:w="992"/>
        <w:gridCol w:w="993"/>
        <w:gridCol w:w="966"/>
        <w:gridCol w:w="1585"/>
        <w:gridCol w:w="992"/>
      </w:tblGrid>
      <w:tr w:rsidR="00B33C41" w:rsidRPr="00C8504B" w:rsidTr="002D71E2">
        <w:trPr>
          <w:trHeight w:val="347"/>
        </w:trPr>
        <w:tc>
          <w:tcPr>
            <w:tcW w:w="2698" w:type="dxa"/>
            <w:vMerge w:val="restart"/>
            <w:vAlign w:val="center"/>
          </w:tcPr>
          <w:p w:rsidR="00B33C41" w:rsidRPr="00C8504B" w:rsidRDefault="00B33C41" w:rsidP="00B33C41">
            <w:pPr>
              <w:spacing w:before="40" w:after="20"/>
              <w:ind w:left="-57"/>
              <w:rPr>
                <w:rFonts w:ascii="Arial Narrow" w:hAnsi="Arial Narrow" w:cs="Arial"/>
                <w:b/>
                <w:bCs/>
                <w:sz w:val="18"/>
                <w:szCs w:val="18"/>
              </w:rPr>
            </w:pPr>
            <w:r w:rsidRPr="00C8504B">
              <w:rPr>
                <w:rFonts w:ascii="Arial Narrow" w:hAnsi="Arial Narrow" w:cs="Arial"/>
                <w:b/>
                <w:bCs/>
                <w:sz w:val="18"/>
                <w:szCs w:val="18"/>
              </w:rPr>
              <w:t>TIPOLOGIE DI PRODOTTO</w:t>
            </w:r>
          </w:p>
        </w:tc>
        <w:tc>
          <w:tcPr>
            <w:tcW w:w="988" w:type="dxa"/>
            <w:vMerge w:val="restart"/>
            <w:shd w:val="clear" w:color="auto" w:fill="D9D9D9"/>
            <w:vAlign w:val="center"/>
          </w:tcPr>
          <w:p w:rsidR="00B33C41" w:rsidRPr="00C8504B" w:rsidRDefault="00B33C41" w:rsidP="00B33C41">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Pesi</w:t>
            </w:r>
          </w:p>
        </w:tc>
        <w:tc>
          <w:tcPr>
            <w:tcW w:w="2056" w:type="dxa"/>
            <w:gridSpan w:val="2"/>
            <w:shd w:val="clear" w:color="auto" w:fill="auto"/>
            <w:vAlign w:val="center"/>
          </w:tcPr>
          <w:p w:rsidR="00B33C41" w:rsidRPr="00C8504B" w:rsidRDefault="00B33C41" w:rsidP="00B33C41">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Variazioni congiunturali</w:t>
            </w:r>
          </w:p>
        </w:tc>
        <w:tc>
          <w:tcPr>
            <w:tcW w:w="1959" w:type="dxa"/>
            <w:gridSpan w:val="2"/>
            <w:shd w:val="clear" w:color="auto" w:fill="D9D9D9"/>
            <w:vAlign w:val="center"/>
          </w:tcPr>
          <w:p w:rsidR="00B33C41" w:rsidRPr="00C8504B" w:rsidRDefault="00B33C41" w:rsidP="00B33C41">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Variazioni tendenziali</w:t>
            </w:r>
          </w:p>
        </w:tc>
        <w:tc>
          <w:tcPr>
            <w:tcW w:w="1585" w:type="dxa"/>
            <w:vMerge w:val="restart"/>
            <w:shd w:val="clear" w:color="auto" w:fill="auto"/>
            <w:vAlign w:val="center"/>
          </w:tcPr>
          <w:p w:rsidR="00B33C41" w:rsidRPr="00CF0807" w:rsidRDefault="00B33C41" w:rsidP="00B33C41">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Contributo alla variazione tendenziale dell’indice generale</w:t>
            </w:r>
          </w:p>
        </w:tc>
        <w:tc>
          <w:tcPr>
            <w:tcW w:w="992" w:type="dxa"/>
            <w:vMerge w:val="restart"/>
            <w:shd w:val="clear" w:color="auto" w:fill="D9D9D9"/>
            <w:vAlign w:val="center"/>
          </w:tcPr>
          <w:p w:rsidR="00B33C41" w:rsidRPr="00C8504B" w:rsidRDefault="00B33C41" w:rsidP="00A51F45">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Pr>
                <w:rFonts w:ascii="Arial Narrow" w:hAnsi="Arial Narrow" w:cs="Arial"/>
                <w:b/>
                <w:bCs/>
                <w:kern w:val="0"/>
                <w:sz w:val="18"/>
                <w:szCs w:val="18"/>
              </w:rPr>
              <w:t xml:space="preserve"> a </w:t>
            </w:r>
            <w:r w:rsidR="009B6ACA">
              <w:rPr>
                <w:rFonts w:ascii="Arial Narrow" w:hAnsi="Arial Narrow" w:cs="Arial"/>
                <w:b/>
                <w:bCs/>
                <w:kern w:val="0"/>
                <w:sz w:val="18"/>
                <w:szCs w:val="18"/>
              </w:rPr>
              <w:t>settembre</w:t>
            </w:r>
          </w:p>
        </w:tc>
      </w:tr>
      <w:tr w:rsidR="00932AA7" w:rsidRPr="00C8504B" w:rsidTr="002D71E2">
        <w:trPr>
          <w:trHeight w:val="346"/>
        </w:trPr>
        <w:tc>
          <w:tcPr>
            <w:tcW w:w="2698" w:type="dxa"/>
            <w:vMerge/>
            <w:vAlign w:val="center"/>
          </w:tcPr>
          <w:p w:rsidR="00932AA7" w:rsidRPr="00C8504B" w:rsidRDefault="00932AA7" w:rsidP="00932AA7">
            <w:pPr>
              <w:spacing w:before="40" w:after="20"/>
              <w:ind w:left="-57"/>
              <w:rPr>
                <w:rFonts w:ascii="Arial Narrow" w:hAnsi="Arial Narrow" w:cs="Arial"/>
                <w:b/>
                <w:bCs/>
                <w:sz w:val="18"/>
                <w:szCs w:val="18"/>
              </w:rPr>
            </w:pPr>
          </w:p>
        </w:tc>
        <w:tc>
          <w:tcPr>
            <w:tcW w:w="988" w:type="dxa"/>
            <w:vMerge/>
            <w:shd w:val="clear" w:color="auto" w:fill="D9D9D9"/>
            <w:vAlign w:val="center"/>
          </w:tcPr>
          <w:p w:rsidR="00932AA7" w:rsidRPr="00C8504B" w:rsidRDefault="00932AA7" w:rsidP="00932AA7">
            <w:pPr>
              <w:spacing w:before="40" w:after="20"/>
              <w:ind w:left="-57" w:right="57"/>
              <w:jc w:val="right"/>
              <w:rPr>
                <w:rFonts w:ascii="Arial Narrow" w:hAnsi="Arial Narrow" w:cs="Arial"/>
                <w:b/>
                <w:bCs/>
                <w:sz w:val="18"/>
                <w:szCs w:val="18"/>
              </w:rPr>
            </w:pPr>
          </w:p>
        </w:tc>
        <w:tc>
          <w:tcPr>
            <w:tcW w:w="1064" w:type="dxa"/>
            <w:shd w:val="clear" w:color="auto" w:fill="auto"/>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932AA7" w:rsidRPr="00E03E58" w:rsidRDefault="00932AA7" w:rsidP="00932AA7">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ago-22</w:t>
            </w:r>
          </w:p>
        </w:tc>
        <w:tc>
          <w:tcPr>
            <w:tcW w:w="992" w:type="dxa"/>
            <w:shd w:val="clear" w:color="auto" w:fill="auto"/>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set-21</w:t>
            </w:r>
          </w:p>
          <w:p w:rsidR="00932AA7" w:rsidRPr="008814F3"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ago-21</w:t>
            </w:r>
          </w:p>
        </w:tc>
        <w:tc>
          <w:tcPr>
            <w:tcW w:w="993" w:type="dxa"/>
            <w:shd w:val="clear" w:color="auto" w:fill="auto"/>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932AA7" w:rsidRPr="008814F3"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set-21</w:t>
            </w:r>
          </w:p>
        </w:tc>
        <w:tc>
          <w:tcPr>
            <w:tcW w:w="966" w:type="dxa"/>
            <w:shd w:val="clear" w:color="auto" w:fill="auto"/>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ago-22</w:t>
            </w:r>
          </w:p>
          <w:p w:rsidR="00932AA7" w:rsidRPr="008814F3"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ago-21</w:t>
            </w:r>
          </w:p>
        </w:tc>
        <w:tc>
          <w:tcPr>
            <w:tcW w:w="1585" w:type="dxa"/>
            <w:vMerge/>
            <w:shd w:val="clear" w:color="auto" w:fill="auto"/>
            <w:vAlign w:val="center"/>
          </w:tcPr>
          <w:p w:rsidR="00932AA7" w:rsidRPr="00CF0807" w:rsidRDefault="00932AA7" w:rsidP="00932AA7">
            <w:pPr>
              <w:spacing w:before="40" w:after="20"/>
              <w:ind w:left="-57" w:right="57"/>
              <w:jc w:val="right"/>
              <w:rPr>
                <w:rFonts w:ascii="Arial Narrow" w:hAnsi="Arial Narrow" w:cs="Arial"/>
                <w:b/>
                <w:bCs/>
                <w:sz w:val="18"/>
                <w:szCs w:val="18"/>
              </w:rPr>
            </w:pPr>
          </w:p>
        </w:tc>
        <w:tc>
          <w:tcPr>
            <w:tcW w:w="992" w:type="dxa"/>
            <w:vMerge/>
            <w:shd w:val="clear" w:color="auto" w:fill="D9D9D9"/>
            <w:vAlign w:val="center"/>
          </w:tcPr>
          <w:p w:rsidR="00932AA7" w:rsidRPr="00CF0807" w:rsidRDefault="00932AA7" w:rsidP="00932AA7">
            <w:pPr>
              <w:spacing w:before="40" w:after="20"/>
              <w:ind w:left="-57" w:right="57"/>
              <w:jc w:val="right"/>
              <w:rPr>
                <w:rFonts w:ascii="Arial Narrow" w:hAnsi="Arial Narrow" w:cs="Arial"/>
                <w:b/>
                <w:bCs/>
                <w:sz w:val="18"/>
                <w:szCs w:val="18"/>
              </w:rPr>
            </w:pPr>
          </w:p>
        </w:tc>
      </w:tr>
      <w:tr w:rsidR="00BC17DF" w:rsidRPr="00C8504B" w:rsidTr="00ED70FA">
        <w:tblPrEx>
          <w:tblCellMar>
            <w:right w:w="70" w:type="dxa"/>
          </w:tblCellMar>
        </w:tblPrEx>
        <w:trPr>
          <w:trHeight w:val="255"/>
        </w:trPr>
        <w:tc>
          <w:tcPr>
            <w:tcW w:w="2698" w:type="dxa"/>
            <w:vAlign w:val="center"/>
          </w:tcPr>
          <w:p w:rsidR="00BC17DF" w:rsidRPr="00C8504B" w:rsidRDefault="00BC17DF" w:rsidP="00BC17DF">
            <w:pPr>
              <w:spacing w:before="40" w:after="20"/>
              <w:ind w:left="-57"/>
              <w:rPr>
                <w:rFonts w:ascii="Arial Narrow" w:hAnsi="Arial Narrow" w:cs="Arial"/>
                <w:sz w:val="18"/>
                <w:szCs w:val="18"/>
              </w:rPr>
            </w:pPr>
            <w:r w:rsidRPr="00C8504B">
              <w:rPr>
                <w:rFonts w:ascii="Arial Narrow" w:hAnsi="Arial Narrow" w:cs="Arial"/>
                <w:sz w:val="18"/>
                <w:szCs w:val="18"/>
              </w:rPr>
              <w:t>Beni non regolamentati</w:t>
            </w:r>
          </w:p>
        </w:tc>
        <w:tc>
          <w:tcPr>
            <w:tcW w:w="988" w:type="dxa"/>
            <w:shd w:val="clear" w:color="auto" w:fill="D9D9D9"/>
            <w:vAlign w:val="center"/>
          </w:tcPr>
          <w:p w:rsidR="00BC17DF" w:rsidRPr="00B65833" w:rsidRDefault="00BC17DF" w:rsidP="00BC17DF">
            <w:pPr>
              <w:spacing w:before="40" w:after="20"/>
              <w:ind w:left="-57"/>
              <w:jc w:val="right"/>
              <w:rPr>
                <w:rFonts w:ascii="Arial Narrow" w:hAnsi="Arial Narrow" w:cs="Arial"/>
                <w:sz w:val="18"/>
                <w:szCs w:val="18"/>
              </w:rPr>
            </w:pPr>
            <w:r w:rsidRPr="00B65833">
              <w:rPr>
                <w:rFonts w:ascii="Arial Narrow" w:hAnsi="Arial Narrow" w:cs="Arial"/>
                <w:sz w:val="18"/>
                <w:szCs w:val="18"/>
              </w:rPr>
              <w:t>538.587</w:t>
            </w:r>
          </w:p>
        </w:tc>
        <w:tc>
          <w:tcPr>
            <w:tcW w:w="1064" w:type="dxa"/>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+0,8</w:t>
            </w:r>
          </w:p>
        </w:tc>
        <w:tc>
          <w:tcPr>
            <w:tcW w:w="992" w:type="dxa"/>
            <w:shd w:val="clear" w:color="auto" w:fill="D9D9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+0,1</w:t>
            </w:r>
          </w:p>
        </w:tc>
        <w:tc>
          <w:tcPr>
            <w:tcW w:w="993" w:type="dxa"/>
            <w:shd w:val="clear" w:color="auto" w:fill="auto"/>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+11,4</w:t>
            </w:r>
          </w:p>
        </w:tc>
        <w:tc>
          <w:tcPr>
            <w:tcW w:w="966" w:type="dxa"/>
            <w:shd w:val="clear" w:color="auto" w:fill="D9D9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+10,7</w:t>
            </w:r>
          </w:p>
        </w:tc>
        <w:tc>
          <w:tcPr>
            <w:tcW w:w="1585" w:type="dxa"/>
            <w:shd w:val="clear" w:color="auto" w:fill="auto"/>
            <w:vAlign w:val="bottom"/>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6,094</w:t>
            </w:r>
          </w:p>
        </w:tc>
        <w:tc>
          <w:tcPr>
            <w:tcW w:w="992" w:type="dxa"/>
            <w:shd w:val="clear" w:color="auto" w:fill="D9D9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+8,6</w:t>
            </w:r>
          </w:p>
        </w:tc>
      </w:tr>
      <w:tr w:rsidR="00BC17DF" w:rsidRPr="00C8504B" w:rsidTr="00ED70FA">
        <w:tblPrEx>
          <w:tblCellMar>
            <w:right w:w="70" w:type="dxa"/>
          </w:tblCellMar>
        </w:tblPrEx>
        <w:trPr>
          <w:trHeight w:val="255"/>
        </w:trPr>
        <w:tc>
          <w:tcPr>
            <w:tcW w:w="2698" w:type="dxa"/>
            <w:vAlign w:val="center"/>
          </w:tcPr>
          <w:p w:rsidR="00BC17DF" w:rsidRPr="00C8504B" w:rsidRDefault="00BC17DF" w:rsidP="00BC17DF">
            <w:pPr>
              <w:spacing w:before="40" w:after="20"/>
              <w:ind w:left="-57"/>
              <w:rPr>
                <w:rFonts w:ascii="Arial Narrow" w:hAnsi="Arial Narrow" w:cs="Arial"/>
                <w:sz w:val="18"/>
                <w:szCs w:val="18"/>
              </w:rPr>
            </w:pPr>
            <w:r w:rsidRPr="00C8504B">
              <w:rPr>
                <w:rFonts w:ascii="Arial Narrow" w:hAnsi="Arial Narrow" w:cs="Arial"/>
                <w:sz w:val="18"/>
                <w:szCs w:val="18"/>
              </w:rPr>
              <w:t>Beni regolamentati, di cui:</w:t>
            </w:r>
          </w:p>
        </w:tc>
        <w:tc>
          <w:tcPr>
            <w:tcW w:w="988" w:type="dxa"/>
            <w:shd w:val="clear" w:color="auto" w:fill="D9D9D9"/>
            <w:vAlign w:val="center"/>
          </w:tcPr>
          <w:p w:rsidR="00BC17DF" w:rsidRPr="00B65833" w:rsidRDefault="00BC17DF" w:rsidP="00BC17DF">
            <w:pPr>
              <w:spacing w:before="40" w:after="20"/>
              <w:ind w:left="-57"/>
              <w:jc w:val="right"/>
              <w:rPr>
                <w:rFonts w:ascii="Arial Narrow" w:hAnsi="Arial Narrow" w:cs="Arial"/>
                <w:sz w:val="18"/>
                <w:szCs w:val="18"/>
              </w:rPr>
            </w:pPr>
            <w:r w:rsidRPr="00B65833">
              <w:rPr>
                <w:rFonts w:ascii="Arial Narrow" w:hAnsi="Arial Narrow" w:cs="Arial"/>
                <w:sz w:val="18"/>
                <w:szCs w:val="18"/>
              </w:rPr>
              <w:t>42.599</w:t>
            </w:r>
          </w:p>
        </w:tc>
        <w:tc>
          <w:tcPr>
            <w:tcW w:w="1064" w:type="dxa"/>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0,0</w:t>
            </w:r>
          </w:p>
        </w:tc>
        <w:tc>
          <w:tcPr>
            <w:tcW w:w="992" w:type="dxa"/>
            <w:shd w:val="clear" w:color="auto" w:fill="D9D9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+0,1</w:t>
            </w:r>
          </w:p>
        </w:tc>
        <w:tc>
          <w:tcPr>
            <w:tcW w:w="993" w:type="dxa"/>
            <w:shd w:val="clear" w:color="auto" w:fill="auto"/>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+22,1</w:t>
            </w:r>
          </w:p>
        </w:tc>
        <w:tc>
          <w:tcPr>
            <w:tcW w:w="966" w:type="dxa"/>
            <w:shd w:val="clear" w:color="auto" w:fill="D9D9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+22,2</w:t>
            </w:r>
          </w:p>
        </w:tc>
        <w:tc>
          <w:tcPr>
            <w:tcW w:w="1585" w:type="dxa"/>
            <w:shd w:val="clear" w:color="auto" w:fill="auto"/>
            <w:vAlign w:val="bottom"/>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1,087</w:t>
            </w:r>
          </w:p>
        </w:tc>
        <w:tc>
          <w:tcPr>
            <w:tcW w:w="992" w:type="dxa"/>
            <w:shd w:val="clear" w:color="auto" w:fill="D9D9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+25,1</w:t>
            </w:r>
          </w:p>
        </w:tc>
      </w:tr>
      <w:tr w:rsidR="00BC17DF" w:rsidRPr="00E92779" w:rsidTr="00ED70FA">
        <w:tblPrEx>
          <w:tblCellMar>
            <w:right w:w="70" w:type="dxa"/>
          </w:tblCellMar>
        </w:tblPrEx>
        <w:trPr>
          <w:trHeight w:val="255"/>
        </w:trPr>
        <w:tc>
          <w:tcPr>
            <w:tcW w:w="2698" w:type="dxa"/>
          </w:tcPr>
          <w:p w:rsidR="00BC17DF" w:rsidRPr="00E92779" w:rsidRDefault="00BC17DF" w:rsidP="00BC17DF">
            <w:pPr>
              <w:spacing w:before="40" w:after="20"/>
              <w:ind w:left="-57"/>
              <w:rPr>
                <w:rFonts w:ascii="Arial Narrow" w:hAnsi="Arial Narrow" w:cs="Arial"/>
                <w:sz w:val="18"/>
                <w:szCs w:val="18"/>
              </w:rPr>
            </w:pPr>
            <w:r w:rsidRPr="00E92779">
              <w:rPr>
                <w:rFonts w:ascii="Arial Narrow" w:hAnsi="Arial Narrow" w:cs="Arial"/>
                <w:sz w:val="18"/>
                <w:szCs w:val="18"/>
              </w:rPr>
              <w:t xml:space="preserve">   Energetici regolamentati </w:t>
            </w:r>
          </w:p>
        </w:tc>
        <w:tc>
          <w:tcPr>
            <w:tcW w:w="988" w:type="dxa"/>
            <w:shd w:val="clear" w:color="auto" w:fill="D9D9D9"/>
            <w:vAlign w:val="center"/>
          </w:tcPr>
          <w:p w:rsidR="00BC17DF" w:rsidRPr="00B65833" w:rsidRDefault="00BC17DF" w:rsidP="00BC17DF">
            <w:pPr>
              <w:spacing w:before="40" w:after="20"/>
              <w:ind w:left="-57"/>
              <w:jc w:val="right"/>
              <w:rPr>
                <w:rFonts w:ascii="Arial Narrow" w:hAnsi="Arial Narrow" w:cs="Arial"/>
                <w:sz w:val="18"/>
                <w:szCs w:val="18"/>
              </w:rPr>
            </w:pPr>
            <w:r w:rsidRPr="00B65833">
              <w:rPr>
                <w:rFonts w:ascii="Arial Narrow" w:hAnsi="Arial Narrow" w:cs="Arial"/>
                <w:sz w:val="18"/>
                <w:szCs w:val="18"/>
              </w:rPr>
              <w:t>17.411</w:t>
            </w:r>
          </w:p>
        </w:tc>
        <w:tc>
          <w:tcPr>
            <w:tcW w:w="1064" w:type="dxa"/>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0,0</w:t>
            </w:r>
          </w:p>
        </w:tc>
        <w:tc>
          <w:tcPr>
            <w:tcW w:w="992" w:type="dxa"/>
            <w:shd w:val="clear" w:color="auto" w:fill="D9D9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+0,1</w:t>
            </w:r>
          </w:p>
        </w:tc>
        <w:tc>
          <w:tcPr>
            <w:tcW w:w="993" w:type="dxa"/>
            <w:shd w:val="clear" w:color="auto" w:fill="auto"/>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+47,7</w:t>
            </w:r>
          </w:p>
        </w:tc>
        <w:tc>
          <w:tcPr>
            <w:tcW w:w="966" w:type="dxa"/>
            <w:shd w:val="clear" w:color="auto" w:fill="D9D9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+47,9</w:t>
            </w:r>
          </w:p>
        </w:tc>
        <w:tc>
          <w:tcPr>
            <w:tcW w:w="1585" w:type="dxa"/>
            <w:shd w:val="clear" w:color="auto" w:fill="auto"/>
            <w:vAlign w:val="bottom"/>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1,074</w:t>
            </w:r>
          </w:p>
        </w:tc>
        <w:tc>
          <w:tcPr>
            <w:tcW w:w="992" w:type="dxa"/>
            <w:shd w:val="clear" w:color="auto" w:fill="D9D9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+55,5</w:t>
            </w:r>
          </w:p>
        </w:tc>
      </w:tr>
      <w:tr w:rsidR="00BC17DF" w:rsidRPr="00E92779" w:rsidTr="00ED70FA">
        <w:tblPrEx>
          <w:tblCellMar>
            <w:right w:w="70" w:type="dxa"/>
          </w:tblCellMar>
        </w:tblPrEx>
        <w:trPr>
          <w:trHeight w:val="255"/>
        </w:trPr>
        <w:tc>
          <w:tcPr>
            <w:tcW w:w="2698" w:type="dxa"/>
          </w:tcPr>
          <w:p w:rsidR="00BC17DF" w:rsidRPr="00E92779" w:rsidRDefault="00BC17DF" w:rsidP="00BC17DF">
            <w:pPr>
              <w:spacing w:before="40" w:after="20"/>
              <w:ind w:left="-57"/>
              <w:rPr>
                <w:rFonts w:ascii="Arial Narrow" w:hAnsi="Arial Narrow" w:cs="Arial"/>
                <w:sz w:val="18"/>
                <w:szCs w:val="18"/>
              </w:rPr>
            </w:pPr>
            <w:r w:rsidRPr="00E92779">
              <w:rPr>
                <w:rFonts w:ascii="Arial Narrow" w:hAnsi="Arial Narrow" w:cs="Arial"/>
                <w:sz w:val="18"/>
                <w:szCs w:val="18"/>
              </w:rPr>
              <w:t xml:space="preserve">   Altri beni regolamentati</w:t>
            </w:r>
          </w:p>
        </w:tc>
        <w:tc>
          <w:tcPr>
            <w:tcW w:w="988" w:type="dxa"/>
            <w:shd w:val="clear" w:color="auto" w:fill="D9D9D9"/>
            <w:vAlign w:val="center"/>
          </w:tcPr>
          <w:p w:rsidR="00BC17DF" w:rsidRPr="00B65833" w:rsidRDefault="00BC17DF" w:rsidP="00BC17DF">
            <w:pPr>
              <w:spacing w:before="40" w:after="20"/>
              <w:ind w:left="-57"/>
              <w:jc w:val="right"/>
              <w:rPr>
                <w:rFonts w:ascii="Arial Narrow" w:hAnsi="Arial Narrow" w:cs="Arial"/>
                <w:sz w:val="18"/>
                <w:szCs w:val="18"/>
              </w:rPr>
            </w:pPr>
            <w:r w:rsidRPr="00B65833">
              <w:rPr>
                <w:rFonts w:ascii="Arial Narrow" w:hAnsi="Arial Narrow" w:cs="Arial"/>
                <w:sz w:val="18"/>
                <w:szCs w:val="18"/>
              </w:rPr>
              <w:t>25.188</w:t>
            </w:r>
          </w:p>
        </w:tc>
        <w:tc>
          <w:tcPr>
            <w:tcW w:w="1064" w:type="dxa"/>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+0,1</w:t>
            </w:r>
          </w:p>
        </w:tc>
        <w:tc>
          <w:tcPr>
            <w:tcW w:w="992" w:type="dxa"/>
            <w:shd w:val="clear" w:color="auto" w:fill="D9D9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0,0</w:t>
            </w:r>
          </w:p>
        </w:tc>
        <w:tc>
          <w:tcPr>
            <w:tcW w:w="993" w:type="dxa"/>
            <w:shd w:val="clear" w:color="auto" w:fill="auto"/>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+0,6</w:t>
            </w:r>
          </w:p>
        </w:tc>
        <w:tc>
          <w:tcPr>
            <w:tcW w:w="966" w:type="dxa"/>
            <w:shd w:val="clear" w:color="auto" w:fill="D9D9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+0,5</w:t>
            </w:r>
          </w:p>
        </w:tc>
        <w:tc>
          <w:tcPr>
            <w:tcW w:w="1585" w:type="dxa"/>
            <w:shd w:val="clear" w:color="auto" w:fill="auto"/>
            <w:vAlign w:val="bottom"/>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0,013</w:t>
            </w:r>
          </w:p>
        </w:tc>
        <w:tc>
          <w:tcPr>
            <w:tcW w:w="992" w:type="dxa"/>
            <w:shd w:val="clear" w:color="auto" w:fill="D9D9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+0,3</w:t>
            </w:r>
          </w:p>
        </w:tc>
      </w:tr>
      <w:tr w:rsidR="00BC17DF" w:rsidRPr="00AC07E2" w:rsidTr="00ED70FA">
        <w:tblPrEx>
          <w:tblCellMar>
            <w:right w:w="70" w:type="dxa"/>
          </w:tblCellMar>
        </w:tblPrEx>
        <w:trPr>
          <w:trHeight w:val="255"/>
        </w:trPr>
        <w:tc>
          <w:tcPr>
            <w:tcW w:w="2698" w:type="dxa"/>
            <w:shd w:val="clear" w:color="auto" w:fill="808080" w:themeFill="background1" w:themeFillShade="80"/>
          </w:tcPr>
          <w:p w:rsidR="00BC17DF" w:rsidRPr="00E92779" w:rsidRDefault="00BC17DF" w:rsidP="00BC17DF">
            <w:pPr>
              <w:spacing w:before="40" w:after="20"/>
              <w:rPr>
                <w:rFonts w:ascii="Arial Narrow" w:hAnsi="Arial Narrow" w:cs="Arial"/>
                <w:b/>
                <w:bCs/>
                <w:color w:val="FFFFFF"/>
                <w:sz w:val="18"/>
                <w:szCs w:val="18"/>
              </w:rPr>
            </w:pPr>
            <w:r w:rsidRPr="00E92779">
              <w:rPr>
                <w:rFonts w:ascii="Arial Narrow" w:hAnsi="Arial Narrow" w:cs="Arial"/>
                <w:b/>
                <w:bCs/>
                <w:color w:val="FFFFFF"/>
                <w:sz w:val="18"/>
                <w:szCs w:val="18"/>
              </w:rPr>
              <w:t>Beni</w:t>
            </w:r>
          </w:p>
        </w:tc>
        <w:tc>
          <w:tcPr>
            <w:tcW w:w="988" w:type="dxa"/>
            <w:shd w:val="clear" w:color="auto" w:fill="808080" w:themeFill="background1" w:themeFillShade="80"/>
            <w:vAlign w:val="center"/>
          </w:tcPr>
          <w:p w:rsidR="00BC17DF" w:rsidRPr="00B65833" w:rsidRDefault="00BC17DF" w:rsidP="00BC17DF">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581.186</w:t>
            </w:r>
          </w:p>
        </w:tc>
        <w:tc>
          <w:tcPr>
            <w:tcW w:w="1064" w:type="dxa"/>
            <w:shd w:val="clear" w:color="auto" w:fill="808080" w:themeFill="background1" w:themeFillShade="80"/>
            <w:vAlign w:val="center"/>
          </w:tcPr>
          <w:p w:rsidR="00BC17DF" w:rsidRPr="00BC17DF" w:rsidRDefault="00BC17DF" w:rsidP="00BC17DF">
            <w:pPr>
              <w:spacing w:before="40" w:after="20"/>
              <w:ind w:lef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+0,7</w:t>
            </w:r>
          </w:p>
        </w:tc>
        <w:tc>
          <w:tcPr>
            <w:tcW w:w="992" w:type="dxa"/>
            <w:shd w:val="clear" w:color="auto" w:fill="808080" w:themeFill="background1" w:themeFillShade="80"/>
            <w:vAlign w:val="center"/>
          </w:tcPr>
          <w:p w:rsidR="00BC17DF" w:rsidRPr="00BC17DF" w:rsidRDefault="00BC17DF" w:rsidP="00BC17DF">
            <w:pPr>
              <w:spacing w:before="40" w:after="20"/>
              <w:ind w:lef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+0,1</w:t>
            </w:r>
          </w:p>
        </w:tc>
        <w:tc>
          <w:tcPr>
            <w:tcW w:w="993" w:type="dxa"/>
            <w:shd w:val="clear" w:color="auto" w:fill="808080" w:themeFill="background1" w:themeFillShade="80"/>
            <w:vAlign w:val="center"/>
          </w:tcPr>
          <w:p w:rsidR="00BC17DF" w:rsidRPr="00BC17DF" w:rsidRDefault="00BC17DF" w:rsidP="00BC17DF">
            <w:pPr>
              <w:spacing w:before="40" w:after="20"/>
              <w:ind w:lef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+12,5</w:t>
            </w:r>
          </w:p>
        </w:tc>
        <w:tc>
          <w:tcPr>
            <w:tcW w:w="966" w:type="dxa"/>
            <w:shd w:val="clear" w:color="auto" w:fill="808080" w:themeFill="background1" w:themeFillShade="80"/>
            <w:vAlign w:val="center"/>
          </w:tcPr>
          <w:p w:rsidR="00BC17DF" w:rsidRPr="00BC17DF" w:rsidRDefault="00BC17DF" w:rsidP="00BC17DF">
            <w:pPr>
              <w:spacing w:before="40" w:after="20"/>
              <w:ind w:lef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+11,8</w:t>
            </w:r>
          </w:p>
        </w:tc>
        <w:tc>
          <w:tcPr>
            <w:tcW w:w="1585" w:type="dxa"/>
            <w:shd w:val="clear" w:color="auto" w:fill="808080" w:themeFill="background1" w:themeFillShade="80"/>
            <w:vAlign w:val="bottom"/>
          </w:tcPr>
          <w:p w:rsidR="00BC17DF" w:rsidRPr="00BC17DF" w:rsidRDefault="00BC17DF" w:rsidP="00BC17DF">
            <w:pPr>
              <w:spacing w:before="40" w:after="20"/>
              <w:ind w:lef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7,181</w:t>
            </w:r>
          </w:p>
        </w:tc>
        <w:tc>
          <w:tcPr>
            <w:tcW w:w="992" w:type="dxa"/>
            <w:shd w:val="clear" w:color="auto" w:fill="808080" w:themeFill="background1" w:themeFillShade="80"/>
            <w:vAlign w:val="center"/>
          </w:tcPr>
          <w:p w:rsidR="00BC17DF" w:rsidRPr="00BC17DF" w:rsidRDefault="00BC17DF" w:rsidP="00BC17DF">
            <w:pPr>
              <w:spacing w:before="40" w:after="20"/>
              <w:ind w:lef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+10,1</w:t>
            </w:r>
          </w:p>
        </w:tc>
      </w:tr>
      <w:tr w:rsidR="00BC17DF" w:rsidRPr="00524BE4" w:rsidTr="00ED70FA">
        <w:tblPrEx>
          <w:tblCellMar>
            <w:right w:w="70" w:type="dxa"/>
          </w:tblCellMar>
        </w:tblPrEx>
        <w:trPr>
          <w:trHeight w:val="255"/>
        </w:trPr>
        <w:tc>
          <w:tcPr>
            <w:tcW w:w="2698" w:type="dxa"/>
            <w:shd w:val="clear" w:color="auto" w:fill="auto"/>
            <w:vAlign w:val="center"/>
          </w:tcPr>
          <w:p w:rsidR="00BC17DF" w:rsidRPr="00C8504B" w:rsidRDefault="00BC17DF" w:rsidP="00BC17DF">
            <w:pPr>
              <w:spacing w:before="40" w:after="20"/>
              <w:ind w:left="-57"/>
              <w:rPr>
                <w:rFonts w:ascii="Arial Narrow" w:hAnsi="Arial Narrow" w:cs="Arial"/>
                <w:sz w:val="18"/>
                <w:szCs w:val="18"/>
              </w:rPr>
            </w:pPr>
            <w:r w:rsidRPr="00C8504B">
              <w:rPr>
                <w:rFonts w:ascii="Arial Narrow" w:hAnsi="Arial Narrow" w:cs="Arial"/>
                <w:sz w:val="18"/>
                <w:szCs w:val="18"/>
              </w:rPr>
              <w:t>Servizi non regolamentati</w:t>
            </w:r>
          </w:p>
        </w:tc>
        <w:tc>
          <w:tcPr>
            <w:tcW w:w="988" w:type="dxa"/>
            <w:shd w:val="clear" w:color="auto" w:fill="D9D9D9" w:themeFill="background1" w:themeFillShade="D9"/>
            <w:vAlign w:val="center"/>
          </w:tcPr>
          <w:p w:rsidR="00BC17DF" w:rsidRPr="00B65833" w:rsidRDefault="00BC17DF" w:rsidP="00BC17DF">
            <w:pPr>
              <w:spacing w:before="40" w:after="20"/>
              <w:ind w:left="-57"/>
              <w:jc w:val="right"/>
              <w:rPr>
                <w:rFonts w:ascii="Arial Narrow" w:hAnsi="Arial Narrow" w:cs="Arial"/>
                <w:sz w:val="18"/>
                <w:szCs w:val="18"/>
              </w:rPr>
            </w:pPr>
            <w:r w:rsidRPr="00B65833">
              <w:rPr>
                <w:rFonts w:ascii="Arial Narrow" w:hAnsi="Arial Narrow" w:cs="Arial"/>
                <w:sz w:val="18"/>
                <w:szCs w:val="18"/>
              </w:rPr>
              <w:t>363.774</w:t>
            </w:r>
          </w:p>
        </w:tc>
        <w:tc>
          <w:tcPr>
            <w:tcW w:w="1064" w:type="dxa"/>
            <w:shd w:val="clear" w:color="auto" w:fill="auto"/>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-0,5</w:t>
            </w:r>
          </w:p>
        </w:tc>
        <w:tc>
          <w:tcPr>
            <w:tcW w:w="992" w:type="dxa"/>
            <w:shd w:val="clear" w:color="auto" w:fill="D9D9D9" w:themeFill="background1" w:themeFillShade="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-0,8</w:t>
            </w:r>
          </w:p>
        </w:tc>
        <w:tc>
          <w:tcPr>
            <w:tcW w:w="993" w:type="dxa"/>
            <w:shd w:val="clear" w:color="auto" w:fill="auto"/>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+4,2</w:t>
            </w:r>
          </w:p>
        </w:tc>
        <w:tc>
          <w:tcPr>
            <w:tcW w:w="966" w:type="dxa"/>
            <w:shd w:val="clear" w:color="auto" w:fill="D9D9D9" w:themeFill="background1" w:themeFillShade="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+4,0</w:t>
            </w:r>
          </w:p>
        </w:tc>
        <w:tc>
          <w:tcPr>
            <w:tcW w:w="1585" w:type="dxa"/>
            <w:shd w:val="clear" w:color="auto" w:fill="auto"/>
            <w:vAlign w:val="bottom"/>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1,556</w:t>
            </w:r>
          </w:p>
        </w:tc>
        <w:tc>
          <w:tcPr>
            <w:tcW w:w="992" w:type="dxa"/>
            <w:shd w:val="clear" w:color="auto" w:fill="D9D9D9" w:themeFill="background1" w:themeFillShade="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+3,3</w:t>
            </w:r>
          </w:p>
        </w:tc>
      </w:tr>
      <w:tr w:rsidR="00BC17DF" w:rsidRPr="00524BE4" w:rsidTr="00ED70FA">
        <w:tblPrEx>
          <w:tblCellMar>
            <w:right w:w="70" w:type="dxa"/>
          </w:tblCellMar>
        </w:tblPrEx>
        <w:trPr>
          <w:trHeight w:val="255"/>
        </w:trPr>
        <w:tc>
          <w:tcPr>
            <w:tcW w:w="2698" w:type="dxa"/>
            <w:shd w:val="clear" w:color="auto" w:fill="auto"/>
            <w:vAlign w:val="center"/>
          </w:tcPr>
          <w:p w:rsidR="00BC17DF" w:rsidRPr="00C8504B" w:rsidRDefault="00BC17DF" w:rsidP="00BC17DF">
            <w:pPr>
              <w:spacing w:before="40" w:after="20"/>
              <w:ind w:left="-57"/>
              <w:rPr>
                <w:rFonts w:ascii="Arial Narrow" w:hAnsi="Arial Narrow" w:cs="Arial"/>
                <w:sz w:val="18"/>
                <w:szCs w:val="18"/>
              </w:rPr>
            </w:pPr>
            <w:r w:rsidRPr="00C8504B">
              <w:rPr>
                <w:rFonts w:ascii="Arial Narrow" w:hAnsi="Arial Narrow" w:cs="Arial"/>
                <w:sz w:val="18"/>
                <w:szCs w:val="18"/>
              </w:rPr>
              <w:t>Servizi regolamentati</w:t>
            </w:r>
          </w:p>
        </w:tc>
        <w:tc>
          <w:tcPr>
            <w:tcW w:w="988" w:type="dxa"/>
            <w:shd w:val="clear" w:color="auto" w:fill="D9D9D9" w:themeFill="background1" w:themeFillShade="D9"/>
            <w:vAlign w:val="center"/>
          </w:tcPr>
          <w:p w:rsidR="00BC17DF" w:rsidRPr="00B65833" w:rsidRDefault="00BC17DF" w:rsidP="00BC17DF">
            <w:pPr>
              <w:spacing w:before="40" w:after="20"/>
              <w:ind w:left="-57"/>
              <w:jc w:val="right"/>
              <w:rPr>
                <w:rFonts w:ascii="Arial Narrow" w:hAnsi="Arial Narrow" w:cs="Arial"/>
                <w:sz w:val="18"/>
                <w:szCs w:val="18"/>
              </w:rPr>
            </w:pPr>
            <w:r w:rsidRPr="00B65833">
              <w:rPr>
                <w:rFonts w:ascii="Arial Narrow" w:hAnsi="Arial Narrow" w:cs="Arial"/>
                <w:sz w:val="18"/>
                <w:szCs w:val="18"/>
              </w:rPr>
              <w:t>55.040</w:t>
            </w:r>
          </w:p>
        </w:tc>
        <w:tc>
          <w:tcPr>
            <w:tcW w:w="1064" w:type="dxa"/>
            <w:shd w:val="clear" w:color="auto" w:fill="auto"/>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+0,3</w:t>
            </w:r>
          </w:p>
        </w:tc>
        <w:tc>
          <w:tcPr>
            <w:tcW w:w="992" w:type="dxa"/>
            <w:shd w:val="clear" w:color="auto" w:fill="D9D9D9" w:themeFill="background1" w:themeFillShade="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+0,1</w:t>
            </w:r>
          </w:p>
        </w:tc>
        <w:tc>
          <w:tcPr>
            <w:tcW w:w="993" w:type="dxa"/>
            <w:shd w:val="clear" w:color="auto" w:fill="auto"/>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+2,0</w:t>
            </w:r>
          </w:p>
        </w:tc>
        <w:tc>
          <w:tcPr>
            <w:tcW w:w="966" w:type="dxa"/>
            <w:shd w:val="clear" w:color="auto" w:fill="D9D9D9" w:themeFill="background1" w:themeFillShade="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+1,8</w:t>
            </w:r>
          </w:p>
        </w:tc>
        <w:tc>
          <w:tcPr>
            <w:tcW w:w="1585" w:type="dxa"/>
            <w:shd w:val="clear" w:color="auto" w:fill="auto"/>
            <w:vAlign w:val="bottom"/>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0,102</w:t>
            </w:r>
          </w:p>
        </w:tc>
        <w:tc>
          <w:tcPr>
            <w:tcW w:w="992" w:type="dxa"/>
            <w:shd w:val="clear" w:color="auto" w:fill="D9D9D9" w:themeFill="background1" w:themeFillShade="D9"/>
            <w:vAlign w:val="center"/>
          </w:tcPr>
          <w:p w:rsidR="00BC17DF" w:rsidRPr="00BC17DF" w:rsidRDefault="00BC17DF" w:rsidP="00BC17DF">
            <w:pPr>
              <w:spacing w:before="40" w:after="20"/>
              <w:ind w:left="-57"/>
              <w:jc w:val="right"/>
              <w:rPr>
                <w:rFonts w:ascii="Arial Narrow" w:hAnsi="Arial Narrow" w:cs="Arial"/>
                <w:sz w:val="18"/>
                <w:szCs w:val="18"/>
              </w:rPr>
            </w:pPr>
            <w:r w:rsidRPr="00BC17DF">
              <w:rPr>
                <w:rFonts w:ascii="Arial Narrow" w:hAnsi="Arial Narrow" w:cs="Arial"/>
                <w:sz w:val="18"/>
                <w:szCs w:val="18"/>
              </w:rPr>
              <w:t>+1,6</w:t>
            </w:r>
          </w:p>
        </w:tc>
      </w:tr>
      <w:tr w:rsidR="00BC17DF" w:rsidRPr="00CF6371" w:rsidTr="00ED70FA">
        <w:tblPrEx>
          <w:tblCellMar>
            <w:right w:w="70" w:type="dxa"/>
          </w:tblCellMar>
        </w:tblPrEx>
        <w:trPr>
          <w:trHeight w:val="255"/>
        </w:trPr>
        <w:tc>
          <w:tcPr>
            <w:tcW w:w="2698" w:type="dxa"/>
            <w:shd w:val="clear" w:color="auto" w:fill="808080"/>
            <w:vAlign w:val="center"/>
          </w:tcPr>
          <w:p w:rsidR="00BC17DF" w:rsidRPr="00C8504B" w:rsidRDefault="00BC17DF" w:rsidP="00BC17DF">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Servizi</w:t>
            </w:r>
          </w:p>
        </w:tc>
        <w:tc>
          <w:tcPr>
            <w:tcW w:w="988" w:type="dxa"/>
            <w:shd w:val="clear" w:color="auto" w:fill="808080"/>
            <w:vAlign w:val="center"/>
          </w:tcPr>
          <w:p w:rsidR="00BC17DF" w:rsidRPr="00B65833" w:rsidRDefault="00BC17DF" w:rsidP="00BC17DF">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418.814</w:t>
            </w:r>
          </w:p>
        </w:tc>
        <w:tc>
          <w:tcPr>
            <w:tcW w:w="1064" w:type="dxa"/>
            <w:shd w:val="clear" w:color="auto" w:fill="808080"/>
            <w:vAlign w:val="center"/>
          </w:tcPr>
          <w:p w:rsidR="00BC17DF" w:rsidRPr="00BC17DF" w:rsidRDefault="00A51F45" w:rsidP="00BC17DF">
            <w:pPr>
              <w:spacing w:before="40" w:after="20"/>
              <w:ind w:left="-57"/>
              <w:jc w:val="right"/>
              <w:rPr>
                <w:rFonts w:ascii="Arial Narrow" w:hAnsi="Arial Narrow" w:cs="Arial"/>
                <w:b/>
                <w:color w:val="FFFFFF" w:themeColor="background1"/>
                <w:sz w:val="18"/>
                <w:szCs w:val="18"/>
              </w:rPr>
            </w:pPr>
            <w:r>
              <w:rPr>
                <w:rFonts w:ascii="Arial Narrow" w:hAnsi="Arial Narrow" w:cs="Arial"/>
                <w:b/>
                <w:color w:val="FFFFFF" w:themeColor="background1"/>
                <w:sz w:val="18"/>
                <w:szCs w:val="18"/>
              </w:rPr>
              <w:t>-0,5</w:t>
            </w:r>
          </w:p>
        </w:tc>
        <w:tc>
          <w:tcPr>
            <w:tcW w:w="992" w:type="dxa"/>
            <w:shd w:val="clear" w:color="auto" w:fill="808080"/>
            <w:vAlign w:val="center"/>
          </w:tcPr>
          <w:p w:rsidR="00BC17DF" w:rsidRPr="00BC17DF" w:rsidRDefault="00BC17DF" w:rsidP="00BC17DF">
            <w:pPr>
              <w:spacing w:before="40" w:after="20"/>
              <w:ind w:lef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-0,6</w:t>
            </w:r>
          </w:p>
        </w:tc>
        <w:tc>
          <w:tcPr>
            <w:tcW w:w="993" w:type="dxa"/>
            <w:shd w:val="clear" w:color="auto" w:fill="808080"/>
            <w:vAlign w:val="center"/>
          </w:tcPr>
          <w:p w:rsidR="00BC17DF" w:rsidRPr="00BC17DF" w:rsidRDefault="00BC17DF" w:rsidP="00BC17DF">
            <w:pPr>
              <w:spacing w:before="40" w:after="20"/>
              <w:ind w:lef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+3,9</w:t>
            </w:r>
          </w:p>
        </w:tc>
        <w:tc>
          <w:tcPr>
            <w:tcW w:w="966" w:type="dxa"/>
            <w:shd w:val="clear" w:color="auto" w:fill="808080"/>
            <w:vAlign w:val="center"/>
          </w:tcPr>
          <w:p w:rsidR="00BC17DF" w:rsidRPr="00BC17DF" w:rsidRDefault="00BC17DF" w:rsidP="00BC17DF">
            <w:pPr>
              <w:spacing w:before="40" w:after="20"/>
              <w:ind w:lef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+3,8</w:t>
            </w:r>
          </w:p>
        </w:tc>
        <w:tc>
          <w:tcPr>
            <w:tcW w:w="1585" w:type="dxa"/>
            <w:shd w:val="clear" w:color="auto" w:fill="808080"/>
            <w:vAlign w:val="bottom"/>
          </w:tcPr>
          <w:p w:rsidR="00BC17DF" w:rsidRPr="00BC17DF" w:rsidRDefault="00BC17DF" w:rsidP="00BC17DF">
            <w:pPr>
              <w:spacing w:before="40" w:after="20"/>
              <w:ind w:lef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1,658</w:t>
            </w:r>
          </w:p>
        </w:tc>
        <w:tc>
          <w:tcPr>
            <w:tcW w:w="992" w:type="dxa"/>
            <w:shd w:val="clear" w:color="auto" w:fill="808080"/>
            <w:vAlign w:val="center"/>
          </w:tcPr>
          <w:p w:rsidR="00BC17DF" w:rsidRPr="00BC17DF" w:rsidRDefault="00BC17DF" w:rsidP="00BC17DF">
            <w:pPr>
              <w:spacing w:before="40" w:after="20"/>
              <w:ind w:lef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+3,0</w:t>
            </w:r>
          </w:p>
        </w:tc>
      </w:tr>
      <w:tr w:rsidR="00BC17DF" w:rsidRPr="00CF6371" w:rsidTr="00ED70FA">
        <w:tblPrEx>
          <w:tblCellMar>
            <w:right w:w="70" w:type="dxa"/>
          </w:tblCellMar>
        </w:tblPrEx>
        <w:trPr>
          <w:trHeight w:val="255"/>
        </w:trPr>
        <w:tc>
          <w:tcPr>
            <w:tcW w:w="2698" w:type="dxa"/>
            <w:shd w:val="clear" w:color="auto" w:fill="E42618"/>
            <w:vAlign w:val="center"/>
          </w:tcPr>
          <w:p w:rsidR="00BC17DF" w:rsidRPr="00C8504B" w:rsidRDefault="00BC17DF" w:rsidP="00BC17DF">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988" w:type="dxa"/>
            <w:shd w:val="clear" w:color="auto" w:fill="E42618"/>
            <w:vAlign w:val="center"/>
          </w:tcPr>
          <w:p w:rsidR="00BC17DF" w:rsidRPr="00B65833" w:rsidRDefault="00BC17DF" w:rsidP="00BC17DF">
            <w:pPr>
              <w:spacing w:before="40" w:after="20"/>
              <w:ind w:left="-57"/>
              <w:jc w:val="right"/>
              <w:rPr>
                <w:rFonts w:ascii="Arial Narrow" w:hAnsi="Arial Narrow" w:cs="Arial"/>
                <w:b/>
                <w:color w:val="FFFFFF" w:themeColor="background1"/>
                <w:sz w:val="18"/>
                <w:szCs w:val="18"/>
              </w:rPr>
            </w:pPr>
            <w:r w:rsidRPr="00B65833">
              <w:rPr>
                <w:rFonts w:ascii="Arial Narrow" w:hAnsi="Arial Narrow" w:cs="Arial"/>
                <w:b/>
                <w:color w:val="FFFFFF" w:themeColor="background1"/>
                <w:sz w:val="18"/>
                <w:szCs w:val="18"/>
              </w:rPr>
              <w:t>1.000.000</w:t>
            </w:r>
          </w:p>
        </w:tc>
        <w:tc>
          <w:tcPr>
            <w:tcW w:w="1064" w:type="dxa"/>
            <w:shd w:val="clear" w:color="auto" w:fill="E42618"/>
            <w:vAlign w:val="center"/>
          </w:tcPr>
          <w:p w:rsidR="00BC17DF" w:rsidRPr="00BC17DF" w:rsidRDefault="00BC17DF" w:rsidP="00BC17DF">
            <w:pPr>
              <w:spacing w:before="40" w:after="20"/>
              <w:ind w:lef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+0,3</w:t>
            </w:r>
          </w:p>
        </w:tc>
        <w:tc>
          <w:tcPr>
            <w:tcW w:w="992" w:type="dxa"/>
            <w:shd w:val="clear" w:color="auto" w:fill="E42618"/>
            <w:vAlign w:val="center"/>
          </w:tcPr>
          <w:p w:rsidR="00BC17DF" w:rsidRPr="00BC17DF" w:rsidRDefault="00BC17DF" w:rsidP="00BC17DF">
            <w:pPr>
              <w:spacing w:before="40" w:after="20"/>
              <w:ind w:lef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-0,2</w:t>
            </w:r>
          </w:p>
        </w:tc>
        <w:tc>
          <w:tcPr>
            <w:tcW w:w="993" w:type="dxa"/>
            <w:shd w:val="clear" w:color="auto" w:fill="E42618"/>
            <w:vAlign w:val="center"/>
          </w:tcPr>
          <w:p w:rsidR="00BC17DF" w:rsidRPr="00BC17DF" w:rsidRDefault="00BC17DF" w:rsidP="00BC17DF">
            <w:pPr>
              <w:spacing w:before="40" w:after="20"/>
              <w:ind w:lef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+8,9</w:t>
            </w:r>
          </w:p>
        </w:tc>
        <w:tc>
          <w:tcPr>
            <w:tcW w:w="966" w:type="dxa"/>
            <w:shd w:val="clear" w:color="auto" w:fill="E42618"/>
            <w:vAlign w:val="center"/>
          </w:tcPr>
          <w:p w:rsidR="00BC17DF" w:rsidRPr="00BC17DF" w:rsidRDefault="00BC17DF" w:rsidP="00BC17DF">
            <w:pPr>
              <w:spacing w:before="40" w:after="20"/>
              <w:ind w:lef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+8,4</w:t>
            </w:r>
          </w:p>
        </w:tc>
        <w:tc>
          <w:tcPr>
            <w:tcW w:w="1585" w:type="dxa"/>
            <w:shd w:val="clear" w:color="auto" w:fill="E42618"/>
            <w:vAlign w:val="bottom"/>
          </w:tcPr>
          <w:p w:rsidR="00BC17DF" w:rsidRPr="00BC17DF" w:rsidRDefault="00BC17DF" w:rsidP="00BC17DF">
            <w:pPr>
              <w:spacing w:before="40" w:after="20"/>
              <w:ind w:left="-57"/>
              <w:jc w:val="right"/>
              <w:rPr>
                <w:rFonts w:ascii="Arial Narrow" w:hAnsi="Arial Narrow" w:cs="Arial"/>
                <w:b/>
                <w:color w:val="FFFFFF" w:themeColor="background1"/>
                <w:sz w:val="18"/>
                <w:szCs w:val="18"/>
              </w:rPr>
            </w:pPr>
          </w:p>
        </w:tc>
        <w:tc>
          <w:tcPr>
            <w:tcW w:w="992" w:type="dxa"/>
            <w:shd w:val="clear" w:color="auto" w:fill="E42618"/>
            <w:vAlign w:val="center"/>
          </w:tcPr>
          <w:p w:rsidR="00BC17DF" w:rsidRPr="00BC17DF" w:rsidRDefault="00BC17DF" w:rsidP="00BC17DF">
            <w:pPr>
              <w:spacing w:before="40" w:after="20"/>
              <w:ind w:left="-57"/>
              <w:jc w:val="right"/>
              <w:rPr>
                <w:rFonts w:ascii="Arial Narrow" w:hAnsi="Arial Narrow" w:cs="Arial"/>
                <w:b/>
                <w:color w:val="FFFFFF" w:themeColor="background1"/>
                <w:sz w:val="18"/>
                <w:szCs w:val="18"/>
              </w:rPr>
            </w:pPr>
            <w:r w:rsidRPr="00BC17DF">
              <w:rPr>
                <w:rFonts w:ascii="Arial Narrow" w:hAnsi="Arial Narrow" w:cs="Arial"/>
                <w:b/>
                <w:color w:val="FFFFFF" w:themeColor="background1"/>
                <w:sz w:val="18"/>
                <w:szCs w:val="18"/>
              </w:rPr>
              <w:t>+7,1</w:t>
            </w:r>
          </w:p>
        </w:tc>
      </w:tr>
    </w:tbl>
    <w:p w:rsidR="003232CA" w:rsidRDefault="003232CA" w:rsidP="003232CA">
      <w:pPr>
        <w:spacing w:before="60" w:after="120"/>
        <w:rPr>
          <w:szCs w:val="26"/>
        </w:rPr>
      </w:pPr>
    </w:p>
    <w:p w:rsidR="00F24676" w:rsidRPr="00C8504B" w:rsidRDefault="00F24676" w:rsidP="00F24676">
      <w:pPr>
        <w:pStyle w:val="001TitoloBolocco"/>
        <w:spacing w:after="120" w:line="240" w:lineRule="auto"/>
        <w:rPr>
          <w:szCs w:val="26"/>
        </w:rPr>
      </w:pPr>
      <w:r w:rsidRPr="00C8504B">
        <w:rPr>
          <w:szCs w:val="26"/>
        </w:rPr>
        <w:t>I prodotti per frequenza di acquisto</w:t>
      </w:r>
    </w:p>
    <w:p w:rsidR="00B87271" w:rsidRPr="00491FE4" w:rsidRDefault="00B87271" w:rsidP="00566441">
      <w:pPr>
        <w:spacing w:before="0" w:after="120"/>
        <w:rPr>
          <w:sz w:val="16"/>
          <w:szCs w:val="26"/>
        </w:rPr>
      </w:pPr>
    </w:p>
    <w:p w:rsidR="00A6652B" w:rsidRPr="00C8504B" w:rsidRDefault="00A6652B" w:rsidP="00A6652B">
      <w:pPr>
        <w:pStyle w:val="Corpotesto"/>
        <w:spacing w:after="120" w:line="240" w:lineRule="auto"/>
        <w:jc w:val="both"/>
        <w:rPr>
          <w:rFonts w:ascii="Arial Narrow" w:hAnsi="Arial Narrow" w:cs="Arial"/>
          <w:color w:val="5F5F5F"/>
        </w:rPr>
      </w:pPr>
      <w:r w:rsidRPr="00C8504B">
        <w:rPr>
          <w:rFonts w:ascii="Arial Narrow" w:hAnsi="Arial Narrow" w:cs="Arial"/>
          <w:b/>
          <w:color w:val="E42618"/>
          <w:kern w:val="0"/>
          <w:sz w:val="22"/>
          <w:szCs w:val="22"/>
        </w:rPr>
        <w:t xml:space="preserve">PROSPETTO </w:t>
      </w:r>
      <w:r w:rsidR="00E74721" w:rsidRPr="00C8504B">
        <w:rPr>
          <w:rFonts w:ascii="Arial Narrow" w:hAnsi="Arial Narrow" w:cs="Arial"/>
          <w:b/>
          <w:color w:val="E42618"/>
          <w:kern w:val="0"/>
          <w:sz w:val="22"/>
          <w:szCs w:val="22"/>
        </w:rPr>
        <w:t>5</w:t>
      </w:r>
      <w:r w:rsidRPr="00C8504B">
        <w:rPr>
          <w:rFonts w:ascii="Arial Narrow" w:hAnsi="Arial Narrow" w:cs="Arial"/>
          <w:b/>
          <w:color w:val="E42618"/>
          <w:kern w:val="0"/>
          <w:sz w:val="22"/>
          <w:szCs w:val="22"/>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 xml:space="preserve">INDICI DEI </w:t>
      </w:r>
      <w:r w:rsidRPr="00752767">
        <w:rPr>
          <w:rFonts w:ascii="Arial Narrow" w:hAnsi="Arial Narrow" w:cs="Calibri"/>
          <w:b/>
          <w:bCs/>
          <w:color w:val="5F5F5F"/>
          <w:kern w:val="0"/>
          <w:sz w:val="22"/>
          <w:szCs w:val="22"/>
        </w:rPr>
        <w:t>PREZZI AL CONSUMO NIC PER PRODOTTI</w:t>
      </w:r>
      <w:r w:rsidRPr="00C8504B">
        <w:rPr>
          <w:rFonts w:ascii="Arial Narrow" w:hAnsi="Arial Narrow" w:cs="Calibri"/>
          <w:b/>
          <w:bCs/>
          <w:color w:val="5F5F5F"/>
          <w:kern w:val="0"/>
          <w:sz w:val="22"/>
          <w:szCs w:val="22"/>
        </w:rPr>
        <w:t xml:space="preserve"> A DIVERSA FREQUENZA DI ACQUISTO</w:t>
      </w:r>
      <w:r w:rsidRPr="00C8504B">
        <w:rPr>
          <w:rFonts w:ascii="Arial Narrow" w:hAnsi="Arial Narrow" w:cs="Arial"/>
          <w:b/>
          <w:color w:val="5F5F5F"/>
          <w:sz w:val="22"/>
          <w:szCs w:val="22"/>
        </w:rPr>
        <w:br/>
      </w:r>
      <w:r w:rsidR="009B6ACA">
        <w:rPr>
          <w:rFonts w:ascii="Arial Narrow" w:hAnsi="Arial Narrow" w:cs="Arial"/>
          <w:color w:val="5F5F5F"/>
        </w:rPr>
        <w:t>Settembre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Pr="00C8504B">
        <w:rPr>
          <w:rFonts w:ascii="Arial Narrow" w:hAnsi="Arial Narrow" w:cs="Arial"/>
          <w:color w:val="5F5F5F"/>
        </w:rPr>
        <w:t xml:space="preserve">, pesi, variazioni percentuali </w:t>
      </w:r>
      <w:r w:rsidR="009E7068" w:rsidRPr="00C8504B">
        <w:rPr>
          <w:rFonts w:ascii="Arial Narrow" w:hAnsi="Arial Narrow" w:cs="Arial"/>
          <w:color w:val="5F5F5F"/>
        </w:rPr>
        <w:t>congiunturali</w:t>
      </w:r>
      <w:r w:rsidR="00625F9C" w:rsidRPr="00C8504B">
        <w:rPr>
          <w:rFonts w:ascii="Arial Narrow" w:hAnsi="Arial Narrow" w:cs="Arial"/>
          <w:color w:val="5F5F5F"/>
        </w:rPr>
        <w:t xml:space="preserve"> e tendenziali </w:t>
      </w:r>
      <w:r w:rsidRPr="00C8504B">
        <w:rPr>
          <w:rFonts w:ascii="Arial Narrow" w:hAnsi="Arial Narrow" w:cs="Arial"/>
          <w:color w:val="5F5F5F"/>
        </w:rPr>
        <w:t>e contributi alla variazione tendenziale dell’</w:t>
      </w:r>
      <w:r w:rsidR="007758FD" w:rsidRPr="00C8504B">
        <w:rPr>
          <w:rFonts w:ascii="Arial Narrow" w:hAnsi="Arial Narrow" w:cs="Arial"/>
          <w:color w:val="5F5F5F"/>
        </w:rPr>
        <w:t>indice generale (base 2015=100)</w:t>
      </w:r>
    </w:p>
    <w:tbl>
      <w:tblPr>
        <w:tblW w:w="10086" w:type="dxa"/>
        <w:jc w:val="center"/>
        <w:tblBorders>
          <w:top w:val="single" w:sz="4" w:space="0" w:color="auto"/>
          <w:bottom w:val="single" w:sz="4" w:space="0" w:color="auto"/>
          <w:insideH w:val="single" w:sz="4" w:space="0" w:color="auto"/>
        </w:tblBorders>
        <w:tblCellMar>
          <w:left w:w="70" w:type="dxa"/>
          <w:right w:w="0" w:type="dxa"/>
        </w:tblCellMar>
        <w:tblLook w:val="0000" w:firstRow="0" w:lastRow="0" w:firstColumn="0" w:lastColumn="0" w:noHBand="0" w:noVBand="0"/>
      </w:tblPr>
      <w:tblGrid>
        <w:gridCol w:w="1882"/>
        <w:gridCol w:w="1189"/>
        <w:gridCol w:w="1118"/>
        <w:gridCol w:w="1117"/>
        <w:gridCol w:w="1014"/>
        <w:gridCol w:w="1094"/>
        <w:gridCol w:w="40"/>
        <w:gridCol w:w="1577"/>
        <w:gridCol w:w="1055"/>
      </w:tblGrid>
      <w:tr w:rsidR="00B33C41" w:rsidRPr="00C8504B" w:rsidTr="00631826">
        <w:trPr>
          <w:trHeight w:val="347"/>
          <w:jc w:val="center"/>
        </w:trPr>
        <w:tc>
          <w:tcPr>
            <w:tcW w:w="1882" w:type="dxa"/>
            <w:vMerge w:val="restart"/>
            <w:vAlign w:val="center"/>
          </w:tcPr>
          <w:p w:rsidR="00B33C41" w:rsidRPr="00C8504B" w:rsidRDefault="00B33C41" w:rsidP="00B33C41">
            <w:pPr>
              <w:spacing w:before="40" w:after="20"/>
              <w:ind w:left="-57"/>
              <w:rPr>
                <w:rFonts w:ascii="Arial Narrow" w:hAnsi="Arial Narrow" w:cs="Arial"/>
                <w:sz w:val="18"/>
                <w:szCs w:val="18"/>
              </w:rPr>
            </w:pPr>
            <w:r w:rsidRPr="00C8504B">
              <w:rPr>
                <w:rFonts w:ascii="Arial Narrow" w:hAnsi="Arial Narrow" w:cs="Arial"/>
                <w:b/>
                <w:bCs/>
                <w:sz w:val="18"/>
                <w:szCs w:val="18"/>
              </w:rPr>
              <w:t>TIPOLOGIE DI PRODOTTO</w:t>
            </w:r>
          </w:p>
        </w:tc>
        <w:tc>
          <w:tcPr>
            <w:tcW w:w="1189" w:type="dxa"/>
            <w:vMerge w:val="restart"/>
            <w:shd w:val="clear" w:color="auto" w:fill="D9D9D9" w:themeFill="background1" w:themeFillShade="D9"/>
            <w:vAlign w:val="center"/>
          </w:tcPr>
          <w:p w:rsidR="00B33C41" w:rsidRPr="00C8504B" w:rsidRDefault="00B33C41" w:rsidP="00B33C41">
            <w:pPr>
              <w:spacing w:before="40" w:after="20"/>
              <w:ind w:right="57"/>
              <w:jc w:val="right"/>
              <w:rPr>
                <w:rFonts w:ascii="Arial Narrow" w:hAnsi="Arial Narrow" w:cs="Arial"/>
                <w:sz w:val="18"/>
                <w:szCs w:val="18"/>
              </w:rPr>
            </w:pPr>
            <w:r w:rsidRPr="00C8504B">
              <w:rPr>
                <w:rFonts w:ascii="Arial Narrow" w:hAnsi="Arial Narrow" w:cs="Arial"/>
                <w:b/>
                <w:bCs/>
                <w:sz w:val="18"/>
                <w:szCs w:val="18"/>
              </w:rPr>
              <w:t>Pesi</w:t>
            </w:r>
          </w:p>
        </w:tc>
        <w:tc>
          <w:tcPr>
            <w:tcW w:w="2235" w:type="dxa"/>
            <w:gridSpan w:val="2"/>
            <w:vAlign w:val="center"/>
          </w:tcPr>
          <w:p w:rsidR="00B33C41" w:rsidRPr="00C8504B" w:rsidRDefault="00B33C41" w:rsidP="00B33C41">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2108" w:type="dxa"/>
            <w:gridSpan w:val="2"/>
            <w:shd w:val="clear" w:color="auto" w:fill="D9D9D9"/>
            <w:vAlign w:val="center"/>
          </w:tcPr>
          <w:p w:rsidR="00B33C41" w:rsidRPr="00C8504B" w:rsidRDefault="00B33C41" w:rsidP="00B33C41">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tendenziali</w:t>
            </w:r>
          </w:p>
        </w:tc>
        <w:tc>
          <w:tcPr>
            <w:tcW w:w="1617" w:type="dxa"/>
            <w:gridSpan w:val="2"/>
            <w:vMerge w:val="restart"/>
            <w:shd w:val="clear" w:color="auto" w:fill="auto"/>
            <w:vAlign w:val="center"/>
          </w:tcPr>
          <w:p w:rsidR="00B33C41" w:rsidRPr="00C8504B" w:rsidRDefault="00B33C41" w:rsidP="00B33C41">
            <w:pPr>
              <w:spacing w:before="40" w:after="20"/>
              <w:ind w:left="-46" w:right="57"/>
              <w:jc w:val="right"/>
              <w:rPr>
                <w:rFonts w:ascii="Arial Narrow" w:hAnsi="Arial Narrow" w:cs="Arial"/>
                <w:sz w:val="18"/>
                <w:szCs w:val="18"/>
                <w:highlight w:val="yellow"/>
              </w:rPr>
            </w:pPr>
            <w:r w:rsidRPr="00C8504B">
              <w:rPr>
                <w:rFonts w:ascii="Arial Narrow" w:hAnsi="Arial Narrow" w:cs="Arial"/>
                <w:b/>
                <w:bCs/>
                <w:sz w:val="18"/>
                <w:szCs w:val="18"/>
              </w:rPr>
              <w:t>Contributo alla variazione tendenziale dell’indice generale</w:t>
            </w:r>
          </w:p>
        </w:tc>
        <w:tc>
          <w:tcPr>
            <w:tcW w:w="1055" w:type="dxa"/>
            <w:vMerge w:val="restart"/>
            <w:shd w:val="clear" w:color="auto" w:fill="D9D9D9"/>
            <w:vAlign w:val="center"/>
          </w:tcPr>
          <w:p w:rsidR="00B33C41" w:rsidRPr="00C8504B" w:rsidRDefault="00B33C41" w:rsidP="00777203">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Pr>
                <w:rFonts w:ascii="Arial Narrow" w:hAnsi="Arial Narrow" w:cs="Arial"/>
                <w:b/>
                <w:bCs/>
                <w:kern w:val="0"/>
                <w:sz w:val="18"/>
                <w:szCs w:val="18"/>
              </w:rPr>
              <w:t xml:space="preserve"> a </w:t>
            </w:r>
            <w:r w:rsidR="009B6ACA">
              <w:rPr>
                <w:rFonts w:ascii="Arial Narrow" w:hAnsi="Arial Narrow" w:cs="Arial"/>
                <w:b/>
                <w:bCs/>
                <w:kern w:val="0"/>
                <w:sz w:val="18"/>
                <w:szCs w:val="18"/>
              </w:rPr>
              <w:t>settembre</w:t>
            </w:r>
          </w:p>
        </w:tc>
      </w:tr>
      <w:tr w:rsidR="00932AA7" w:rsidRPr="00AF7AF5" w:rsidTr="00476619">
        <w:trPr>
          <w:trHeight w:val="346"/>
          <w:jc w:val="center"/>
        </w:trPr>
        <w:tc>
          <w:tcPr>
            <w:tcW w:w="1882" w:type="dxa"/>
            <w:vMerge/>
            <w:vAlign w:val="center"/>
          </w:tcPr>
          <w:p w:rsidR="00932AA7" w:rsidRPr="00C8504B" w:rsidRDefault="00932AA7" w:rsidP="00932AA7">
            <w:pPr>
              <w:spacing w:before="40" w:after="20"/>
              <w:ind w:left="-57"/>
              <w:rPr>
                <w:rFonts w:ascii="Arial Narrow" w:hAnsi="Arial Narrow" w:cs="Arial"/>
                <w:b/>
                <w:bCs/>
                <w:sz w:val="18"/>
                <w:szCs w:val="18"/>
              </w:rPr>
            </w:pPr>
          </w:p>
        </w:tc>
        <w:tc>
          <w:tcPr>
            <w:tcW w:w="1189" w:type="dxa"/>
            <w:vMerge/>
            <w:shd w:val="clear" w:color="auto" w:fill="D9D9D9" w:themeFill="background1" w:themeFillShade="D9"/>
            <w:vAlign w:val="center"/>
          </w:tcPr>
          <w:p w:rsidR="00932AA7" w:rsidRPr="00C8504B" w:rsidRDefault="00932AA7" w:rsidP="00932AA7">
            <w:pPr>
              <w:spacing w:before="40" w:after="20"/>
              <w:ind w:right="57"/>
              <w:jc w:val="right"/>
              <w:rPr>
                <w:rFonts w:ascii="Arial Narrow" w:hAnsi="Arial Narrow" w:cs="Arial"/>
                <w:b/>
                <w:bCs/>
                <w:sz w:val="18"/>
                <w:szCs w:val="18"/>
              </w:rPr>
            </w:pPr>
          </w:p>
        </w:tc>
        <w:tc>
          <w:tcPr>
            <w:tcW w:w="1118" w:type="dxa"/>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932AA7" w:rsidRPr="00E03E58" w:rsidRDefault="00932AA7" w:rsidP="00932AA7">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ago-22</w:t>
            </w:r>
          </w:p>
        </w:tc>
        <w:tc>
          <w:tcPr>
            <w:tcW w:w="1117" w:type="dxa"/>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set-21</w:t>
            </w:r>
          </w:p>
          <w:p w:rsidR="00932AA7" w:rsidRPr="008814F3"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ago-21</w:t>
            </w:r>
          </w:p>
        </w:tc>
        <w:tc>
          <w:tcPr>
            <w:tcW w:w="1014" w:type="dxa"/>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932AA7" w:rsidRPr="008814F3"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set-21</w:t>
            </w:r>
          </w:p>
        </w:tc>
        <w:tc>
          <w:tcPr>
            <w:tcW w:w="1094" w:type="dxa"/>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ago-22</w:t>
            </w:r>
          </w:p>
          <w:p w:rsidR="00932AA7" w:rsidRPr="008814F3"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ago-21</w:t>
            </w:r>
          </w:p>
        </w:tc>
        <w:tc>
          <w:tcPr>
            <w:tcW w:w="1617" w:type="dxa"/>
            <w:gridSpan w:val="2"/>
            <w:vMerge/>
            <w:shd w:val="clear" w:color="auto" w:fill="auto"/>
            <w:vAlign w:val="center"/>
          </w:tcPr>
          <w:p w:rsidR="00932AA7" w:rsidRPr="00C8504B" w:rsidRDefault="00932AA7" w:rsidP="00932AA7">
            <w:pPr>
              <w:spacing w:before="40" w:after="20"/>
              <w:ind w:left="-46" w:right="57"/>
              <w:jc w:val="right"/>
              <w:rPr>
                <w:rFonts w:ascii="Arial Narrow" w:hAnsi="Arial Narrow" w:cs="Arial"/>
                <w:b/>
                <w:bCs/>
                <w:snapToGrid w:val="0"/>
                <w:sz w:val="18"/>
                <w:szCs w:val="18"/>
              </w:rPr>
            </w:pPr>
          </w:p>
        </w:tc>
        <w:tc>
          <w:tcPr>
            <w:tcW w:w="1055" w:type="dxa"/>
            <w:vMerge/>
            <w:shd w:val="clear" w:color="auto" w:fill="D9D9D9"/>
            <w:vAlign w:val="center"/>
          </w:tcPr>
          <w:p w:rsidR="00932AA7" w:rsidRPr="00C8504B" w:rsidRDefault="00932AA7" w:rsidP="00932AA7">
            <w:pPr>
              <w:spacing w:before="40" w:after="20"/>
              <w:ind w:right="57"/>
              <w:jc w:val="right"/>
              <w:rPr>
                <w:rFonts w:ascii="Arial Narrow" w:hAnsi="Arial Narrow" w:cs="Arial"/>
                <w:b/>
                <w:bCs/>
                <w:snapToGrid w:val="0"/>
                <w:sz w:val="18"/>
                <w:szCs w:val="18"/>
              </w:rPr>
            </w:pPr>
          </w:p>
        </w:tc>
      </w:tr>
      <w:tr w:rsidR="006E555C" w:rsidRPr="00C8504B" w:rsidTr="00ED70FA">
        <w:trPr>
          <w:trHeight w:val="134"/>
          <w:jc w:val="center"/>
        </w:trPr>
        <w:tc>
          <w:tcPr>
            <w:tcW w:w="1882" w:type="dxa"/>
            <w:vAlign w:val="center"/>
          </w:tcPr>
          <w:p w:rsidR="006E555C" w:rsidRPr="00C8504B" w:rsidRDefault="006E555C" w:rsidP="006E555C">
            <w:pPr>
              <w:spacing w:before="40" w:after="20"/>
              <w:ind w:left="-57"/>
              <w:rPr>
                <w:rFonts w:ascii="Arial Narrow" w:hAnsi="Arial Narrow" w:cs="Arial"/>
                <w:sz w:val="18"/>
                <w:szCs w:val="18"/>
              </w:rPr>
            </w:pPr>
            <w:r w:rsidRPr="00C8504B">
              <w:rPr>
                <w:rFonts w:ascii="Arial Narrow" w:hAnsi="Arial Narrow" w:cs="Arial"/>
                <w:sz w:val="18"/>
                <w:szCs w:val="18"/>
              </w:rPr>
              <w:t>Alta frequenza</w:t>
            </w:r>
          </w:p>
        </w:tc>
        <w:tc>
          <w:tcPr>
            <w:tcW w:w="1189" w:type="dxa"/>
            <w:shd w:val="clear" w:color="auto" w:fill="D9D9D9"/>
            <w:vAlign w:val="center"/>
          </w:tcPr>
          <w:p w:rsidR="006E555C" w:rsidRPr="00622A93" w:rsidRDefault="006E555C" w:rsidP="006E555C">
            <w:pPr>
              <w:spacing w:before="40" w:after="20"/>
              <w:ind w:left="-57" w:right="57"/>
              <w:jc w:val="right"/>
              <w:rPr>
                <w:rFonts w:ascii="Arial Narrow" w:hAnsi="Arial Narrow" w:cs="Arial"/>
                <w:sz w:val="18"/>
                <w:szCs w:val="18"/>
              </w:rPr>
            </w:pPr>
            <w:r w:rsidRPr="00622A93">
              <w:rPr>
                <w:rFonts w:ascii="Arial Narrow" w:hAnsi="Arial Narrow" w:cs="Arial"/>
                <w:sz w:val="18"/>
                <w:szCs w:val="18"/>
              </w:rPr>
              <w:t>414.890</w:t>
            </w:r>
          </w:p>
        </w:tc>
        <w:tc>
          <w:tcPr>
            <w:tcW w:w="1118" w:type="dxa"/>
            <w:vAlign w:val="center"/>
          </w:tcPr>
          <w:p w:rsidR="006E555C" w:rsidRPr="006E555C" w:rsidRDefault="006E555C" w:rsidP="00332306">
            <w:pPr>
              <w:spacing w:before="40" w:after="20"/>
              <w:ind w:left="-57" w:right="57"/>
              <w:jc w:val="right"/>
              <w:rPr>
                <w:rFonts w:ascii="Arial Narrow" w:hAnsi="Arial Narrow" w:cs="Arial"/>
                <w:sz w:val="18"/>
                <w:szCs w:val="18"/>
              </w:rPr>
            </w:pPr>
            <w:r w:rsidRPr="006E555C">
              <w:rPr>
                <w:rFonts w:ascii="Arial Narrow" w:hAnsi="Arial Narrow" w:cs="Arial"/>
                <w:sz w:val="18"/>
                <w:szCs w:val="18"/>
              </w:rPr>
              <w:t>+0,7</w:t>
            </w:r>
          </w:p>
        </w:tc>
        <w:tc>
          <w:tcPr>
            <w:tcW w:w="1117" w:type="dxa"/>
            <w:shd w:val="clear" w:color="auto" w:fill="D9D9D9"/>
            <w:vAlign w:val="center"/>
          </w:tcPr>
          <w:p w:rsidR="006E555C" w:rsidRPr="006E555C" w:rsidRDefault="006E555C" w:rsidP="00332306">
            <w:pPr>
              <w:spacing w:before="40" w:after="20"/>
              <w:ind w:left="-57" w:right="57"/>
              <w:jc w:val="right"/>
              <w:rPr>
                <w:rFonts w:ascii="Arial Narrow" w:hAnsi="Arial Narrow" w:cs="Arial"/>
                <w:sz w:val="18"/>
                <w:szCs w:val="18"/>
              </w:rPr>
            </w:pPr>
            <w:r w:rsidRPr="006E555C">
              <w:rPr>
                <w:rFonts w:ascii="Arial Narrow" w:hAnsi="Arial Narrow" w:cs="Arial"/>
                <w:sz w:val="18"/>
                <w:szCs w:val="18"/>
              </w:rPr>
              <w:t>0,0</w:t>
            </w:r>
          </w:p>
        </w:tc>
        <w:tc>
          <w:tcPr>
            <w:tcW w:w="1014" w:type="dxa"/>
            <w:vAlign w:val="center"/>
          </w:tcPr>
          <w:p w:rsidR="006E555C" w:rsidRPr="006E555C" w:rsidRDefault="006E555C" w:rsidP="00332306">
            <w:pPr>
              <w:spacing w:before="40" w:after="20"/>
              <w:ind w:left="-57" w:right="57"/>
              <w:jc w:val="right"/>
              <w:rPr>
                <w:rFonts w:ascii="Arial Narrow" w:hAnsi="Arial Narrow" w:cs="Arial"/>
                <w:sz w:val="18"/>
                <w:szCs w:val="18"/>
              </w:rPr>
            </w:pPr>
            <w:r w:rsidRPr="006E555C">
              <w:rPr>
                <w:rFonts w:ascii="Arial Narrow" w:hAnsi="Arial Narrow" w:cs="Arial"/>
                <w:sz w:val="18"/>
                <w:szCs w:val="18"/>
              </w:rPr>
              <w:t>+8,4</w:t>
            </w:r>
          </w:p>
        </w:tc>
        <w:tc>
          <w:tcPr>
            <w:tcW w:w="1134" w:type="dxa"/>
            <w:gridSpan w:val="2"/>
            <w:shd w:val="clear" w:color="auto" w:fill="D9D9D9"/>
            <w:vAlign w:val="center"/>
          </w:tcPr>
          <w:p w:rsidR="006E555C" w:rsidRPr="006E555C" w:rsidRDefault="006E555C" w:rsidP="00332306">
            <w:pPr>
              <w:spacing w:before="40" w:after="20"/>
              <w:ind w:left="-57" w:right="57"/>
              <w:jc w:val="right"/>
              <w:rPr>
                <w:rFonts w:ascii="Arial Narrow" w:hAnsi="Arial Narrow" w:cs="Arial"/>
                <w:sz w:val="18"/>
                <w:szCs w:val="18"/>
              </w:rPr>
            </w:pPr>
            <w:r w:rsidRPr="006E555C">
              <w:rPr>
                <w:rFonts w:ascii="Arial Narrow" w:hAnsi="Arial Narrow" w:cs="Arial"/>
                <w:sz w:val="18"/>
                <w:szCs w:val="18"/>
              </w:rPr>
              <w:t>+7,7</w:t>
            </w:r>
          </w:p>
        </w:tc>
        <w:tc>
          <w:tcPr>
            <w:tcW w:w="1577" w:type="dxa"/>
            <w:shd w:val="clear" w:color="auto" w:fill="auto"/>
            <w:vAlign w:val="bottom"/>
          </w:tcPr>
          <w:p w:rsidR="006E555C" w:rsidRPr="006E555C" w:rsidRDefault="006E555C" w:rsidP="00332306">
            <w:pPr>
              <w:spacing w:before="40" w:after="20"/>
              <w:ind w:left="-57" w:right="57"/>
              <w:jc w:val="right"/>
              <w:rPr>
                <w:rFonts w:ascii="Arial Narrow" w:hAnsi="Arial Narrow" w:cs="Arial"/>
                <w:sz w:val="18"/>
                <w:szCs w:val="18"/>
              </w:rPr>
            </w:pPr>
            <w:r w:rsidRPr="006E555C">
              <w:rPr>
                <w:rFonts w:ascii="Arial Narrow" w:hAnsi="Arial Narrow" w:cs="Arial"/>
                <w:sz w:val="18"/>
                <w:szCs w:val="18"/>
              </w:rPr>
              <w:t>3,484</w:t>
            </w:r>
          </w:p>
        </w:tc>
        <w:tc>
          <w:tcPr>
            <w:tcW w:w="1055" w:type="dxa"/>
            <w:shd w:val="clear" w:color="auto" w:fill="D9D9D9"/>
            <w:tcMar>
              <w:right w:w="57" w:type="dxa"/>
            </w:tcMar>
            <w:vAlign w:val="center"/>
          </w:tcPr>
          <w:p w:rsidR="006E555C" w:rsidRPr="006E555C" w:rsidRDefault="006E555C" w:rsidP="006E555C">
            <w:pPr>
              <w:spacing w:before="40" w:after="20"/>
              <w:ind w:left="-57"/>
              <w:jc w:val="right"/>
              <w:rPr>
                <w:rFonts w:ascii="Arial Narrow" w:hAnsi="Arial Narrow" w:cs="Arial"/>
                <w:sz w:val="18"/>
                <w:szCs w:val="18"/>
              </w:rPr>
            </w:pPr>
            <w:r w:rsidRPr="006E555C">
              <w:rPr>
                <w:rFonts w:ascii="Arial Narrow" w:hAnsi="Arial Narrow" w:cs="Arial"/>
                <w:sz w:val="18"/>
                <w:szCs w:val="18"/>
              </w:rPr>
              <w:t>+7,0</w:t>
            </w:r>
          </w:p>
        </w:tc>
      </w:tr>
      <w:tr w:rsidR="006E555C" w:rsidRPr="00C8504B" w:rsidTr="00ED70FA">
        <w:trPr>
          <w:trHeight w:val="255"/>
          <w:jc w:val="center"/>
        </w:trPr>
        <w:tc>
          <w:tcPr>
            <w:tcW w:w="1882" w:type="dxa"/>
            <w:vAlign w:val="center"/>
          </w:tcPr>
          <w:p w:rsidR="006E555C" w:rsidRPr="00C8504B" w:rsidRDefault="006E555C" w:rsidP="006E555C">
            <w:pPr>
              <w:spacing w:before="40" w:after="20"/>
              <w:ind w:left="-57"/>
              <w:rPr>
                <w:rFonts w:ascii="Arial Narrow" w:hAnsi="Arial Narrow" w:cs="Arial"/>
                <w:sz w:val="18"/>
                <w:szCs w:val="18"/>
              </w:rPr>
            </w:pPr>
            <w:r w:rsidRPr="00C8504B">
              <w:rPr>
                <w:rFonts w:ascii="Arial Narrow" w:hAnsi="Arial Narrow" w:cs="Arial"/>
                <w:sz w:val="18"/>
                <w:szCs w:val="18"/>
              </w:rPr>
              <w:t xml:space="preserve">Media frequenza </w:t>
            </w:r>
          </w:p>
        </w:tc>
        <w:tc>
          <w:tcPr>
            <w:tcW w:w="1189" w:type="dxa"/>
            <w:shd w:val="clear" w:color="auto" w:fill="D9D9D9"/>
            <w:vAlign w:val="center"/>
          </w:tcPr>
          <w:p w:rsidR="006E555C" w:rsidRPr="00622A93" w:rsidRDefault="006E555C" w:rsidP="006E555C">
            <w:pPr>
              <w:spacing w:before="40" w:after="20"/>
              <w:ind w:left="-57" w:right="57"/>
              <w:jc w:val="right"/>
              <w:rPr>
                <w:rFonts w:ascii="Arial Narrow" w:hAnsi="Arial Narrow" w:cs="Arial"/>
                <w:sz w:val="18"/>
                <w:szCs w:val="18"/>
              </w:rPr>
            </w:pPr>
            <w:r w:rsidRPr="00622A93">
              <w:rPr>
                <w:rFonts w:ascii="Arial Narrow" w:hAnsi="Arial Narrow" w:cs="Arial"/>
                <w:sz w:val="18"/>
                <w:szCs w:val="18"/>
              </w:rPr>
              <w:t>387.426</w:t>
            </w:r>
          </w:p>
        </w:tc>
        <w:tc>
          <w:tcPr>
            <w:tcW w:w="1118" w:type="dxa"/>
            <w:vAlign w:val="center"/>
          </w:tcPr>
          <w:p w:rsidR="006E555C" w:rsidRPr="006E555C" w:rsidRDefault="006E555C" w:rsidP="00332306">
            <w:pPr>
              <w:spacing w:before="40" w:after="20"/>
              <w:ind w:left="-57" w:right="57"/>
              <w:jc w:val="right"/>
              <w:rPr>
                <w:rFonts w:ascii="Arial Narrow" w:hAnsi="Arial Narrow" w:cs="Arial"/>
                <w:sz w:val="18"/>
                <w:szCs w:val="18"/>
              </w:rPr>
            </w:pPr>
            <w:r w:rsidRPr="006E555C">
              <w:rPr>
                <w:rFonts w:ascii="Arial Narrow" w:hAnsi="Arial Narrow" w:cs="Arial"/>
                <w:sz w:val="18"/>
                <w:szCs w:val="18"/>
              </w:rPr>
              <w:t>-0,3</w:t>
            </w:r>
          </w:p>
        </w:tc>
        <w:tc>
          <w:tcPr>
            <w:tcW w:w="1117" w:type="dxa"/>
            <w:shd w:val="clear" w:color="auto" w:fill="D9D9D9"/>
            <w:vAlign w:val="center"/>
          </w:tcPr>
          <w:p w:rsidR="006E555C" w:rsidRPr="006E555C" w:rsidRDefault="006E555C" w:rsidP="00332306">
            <w:pPr>
              <w:spacing w:before="40" w:after="20"/>
              <w:ind w:left="-57" w:right="57"/>
              <w:jc w:val="right"/>
              <w:rPr>
                <w:rFonts w:ascii="Arial Narrow" w:hAnsi="Arial Narrow" w:cs="Arial"/>
                <w:sz w:val="18"/>
                <w:szCs w:val="18"/>
              </w:rPr>
            </w:pPr>
            <w:r w:rsidRPr="006E555C">
              <w:rPr>
                <w:rFonts w:ascii="Arial Narrow" w:hAnsi="Arial Narrow" w:cs="Arial"/>
                <w:sz w:val="18"/>
                <w:szCs w:val="18"/>
              </w:rPr>
              <w:t>-0,7</w:t>
            </w:r>
          </w:p>
        </w:tc>
        <w:tc>
          <w:tcPr>
            <w:tcW w:w="1014" w:type="dxa"/>
            <w:vAlign w:val="center"/>
          </w:tcPr>
          <w:p w:rsidR="006E555C" w:rsidRPr="006E555C" w:rsidRDefault="006E555C" w:rsidP="00332306">
            <w:pPr>
              <w:spacing w:before="40" w:after="20"/>
              <w:ind w:left="-57" w:right="57"/>
              <w:jc w:val="right"/>
              <w:rPr>
                <w:rFonts w:ascii="Arial Narrow" w:hAnsi="Arial Narrow" w:cs="Arial"/>
                <w:sz w:val="18"/>
                <w:szCs w:val="18"/>
              </w:rPr>
            </w:pPr>
            <w:r w:rsidRPr="006E555C">
              <w:rPr>
                <w:rFonts w:ascii="Arial Narrow" w:hAnsi="Arial Narrow" w:cs="Arial"/>
                <w:sz w:val="18"/>
                <w:szCs w:val="18"/>
              </w:rPr>
              <w:t>+11,9</w:t>
            </w:r>
          </w:p>
        </w:tc>
        <w:tc>
          <w:tcPr>
            <w:tcW w:w="1134" w:type="dxa"/>
            <w:gridSpan w:val="2"/>
            <w:shd w:val="clear" w:color="auto" w:fill="D9D9D9"/>
            <w:vAlign w:val="center"/>
          </w:tcPr>
          <w:p w:rsidR="006E555C" w:rsidRPr="006E555C" w:rsidRDefault="006E555C" w:rsidP="00332306">
            <w:pPr>
              <w:spacing w:before="40" w:after="20"/>
              <w:ind w:left="-57" w:right="57"/>
              <w:jc w:val="right"/>
              <w:rPr>
                <w:rFonts w:ascii="Arial Narrow" w:hAnsi="Arial Narrow" w:cs="Arial"/>
                <w:sz w:val="18"/>
                <w:szCs w:val="18"/>
              </w:rPr>
            </w:pPr>
            <w:r w:rsidRPr="006E555C">
              <w:rPr>
                <w:rFonts w:ascii="Arial Narrow" w:hAnsi="Arial Narrow" w:cs="Arial"/>
                <w:sz w:val="18"/>
                <w:szCs w:val="18"/>
              </w:rPr>
              <w:t>+11,5</w:t>
            </w:r>
          </w:p>
        </w:tc>
        <w:tc>
          <w:tcPr>
            <w:tcW w:w="1577" w:type="dxa"/>
            <w:shd w:val="clear" w:color="auto" w:fill="auto"/>
            <w:vAlign w:val="bottom"/>
          </w:tcPr>
          <w:p w:rsidR="006E555C" w:rsidRPr="006E555C" w:rsidRDefault="006E555C" w:rsidP="00332306">
            <w:pPr>
              <w:spacing w:before="40" w:after="20"/>
              <w:ind w:left="-57" w:right="57"/>
              <w:jc w:val="right"/>
              <w:rPr>
                <w:rFonts w:ascii="Arial Narrow" w:hAnsi="Arial Narrow" w:cs="Arial"/>
                <w:sz w:val="18"/>
                <w:szCs w:val="18"/>
              </w:rPr>
            </w:pPr>
            <w:r w:rsidRPr="006E555C">
              <w:rPr>
                <w:rFonts w:ascii="Arial Narrow" w:hAnsi="Arial Narrow" w:cs="Arial"/>
                <w:sz w:val="18"/>
                <w:szCs w:val="18"/>
              </w:rPr>
              <w:t>4,576</w:t>
            </w:r>
          </w:p>
        </w:tc>
        <w:tc>
          <w:tcPr>
            <w:tcW w:w="1055" w:type="dxa"/>
            <w:shd w:val="clear" w:color="auto" w:fill="D9D9D9"/>
            <w:tcMar>
              <w:right w:w="57" w:type="dxa"/>
            </w:tcMar>
            <w:vAlign w:val="center"/>
          </w:tcPr>
          <w:p w:rsidR="006E555C" w:rsidRPr="006E555C" w:rsidRDefault="006E555C" w:rsidP="006E555C">
            <w:pPr>
              <w:spacing w:before="40" w:after="20"/>
              <w:ind w:left="-57"/>
              <w:jc w:val="right"/>
              <w:rPr>
                <w:rFonts w:ascii="Arial Narrow" w:hAnsi="Arial Narrow" w:cs="Arial"/>
                <w:sz w:val="18"/>
                <w:szCs w:val="18"/>
              </w:rPr>
            </w:pPr>
            <w:r w:rsidRPr="006E555C">
              <w:rPr>
                <w:rFonts w:ascii="Arial Narrow" w:hAnsi="Arial Narrow" w:cs="Arial"/>
                <w:sz w:val="18"/>
                <w:szCs w:val="18"/>
              </w:rPr>
              <w:t>+9,6</w:t>
            </w:r>
          </w:p>
        </w:tc>
      </w:tr>
      <w:tr w:rsidR="006E555C" w:rsidRPr="00C8504B" w:rsidTr="00ED70FA">
        <w:trPr>
          <w:trHeight w:val="255"/>
          <w:jc w:val="center"/>
        </w:trPr>
        <w:tc>
          <w:tcPr>
            <w:tcW w:w="1882" w:type="dxa"/>
            <w:vAlign w:val="center"/>
          </w:tcPr>
          <w:p w:rsidR="006E555C" w:rsidRPr="00C8504B" w:rsidRDefault="006E555C" w:rsidP="006E555C">
            <w:pPr>
              <w:spacing w:before="40" w:after="20"/>
              <w:ind w:left="-57"/>
              <w:rPr>
                <w:rFonts w:ascii="Arial Narrow" w:hAnsi="Arial Narrow" w:cs="Arial"/>
                <w:sz w:val="18"/>
                <w:szCs w:val="18"/>
              </w:rPr>
            </w:pPr>
            <w:r w:rsidRPr="00C8504B">
              <w:rPr>
                <w:rFonts w:ascii="Arial Narrow" w:hAnsi="Arial Narrow" w:cs="Arial"/>
                <w:sz w:val="18"/>
                <w:szCs w:val="18"/>
              </w:rPr>
              <w:t xml:space="preserve">Bassa frequenza </w:t>
            </w:r>
          </w:p>
        </w:tc>
        <w:tc>
          <w:tcPr>
            <w:tcW w:w="1189" w:type="dxa"/>
            <w:shd w:val="clear" w:color="auto" w:fill="D9D9D9"/>
            <w:vAlign w:val="center"/>
          </w:tcPr>
          <w:p w:rsidR="006E555C" w:rsidRPr="00622A93" w:rsidRDefault="006E555C" w:rsidP="006E555C">
            <w:pPr>
              <w:spacing w:before="40" w:after="20"/>
              <w:ind w:left="-57" w:right="57"/>
              <w:jc w:val="right"/>
              <w:rPr>
                <w:rFonts w:ascii="Arial Narrow" w:hAnsi="Arial Narrow" w:cs="Arial"/>
                <w:sz w:val="18"/>
                <w:szCs w:val="18"/>
              </w:rPr>
            </w:pPr>
            <w:r w:rsidRPr="00622A93">
              <w:rPr>
                <w:rFonts w:ascii="Arial Narrow" w:hAnsi="Arial Narrow" w:cs="Arial"/>
                <w:sz w:val="18"/>
                <w:szCs w:val="18"/>
              </w:rPr>
              <w:t>197.684</w:t>
            </w:r>
          </w:p>
        </w:tc>
        <w:tc>
          <w:tcPr>
            <w:tcW w:w="1118" w:type="dxa"/>
            <w:vAlign w:val="center"/>
          </w:tcPr>
          <w:p w:rsidR="006E555C" w:rsidRPr="006E555C" w:rsidRDefault="006E555C" w:rsidP="00332306">
            <w:pPr>
              <w:spacing w:before="40" w:after="20"/>
              <w:ind w:left="-57" w:right="57"/>
              <w:jc w:val="right"/>
              <w:rPr>
                <w:rFonts w:ascii="Arial Narrow" w:hAnsi="Arial Narrow" w:cs="Arial"/>
                <w:sz w:val="18"/>
                <w:szCs w:val="18"/>
              </w:rPr>
            </w:pPr>
            <w:r w:rsidRPr="006E555C">
              <w:rPr>
                <w:rFonts w:ascii="Arial Narrow" w:hAnsi="Arial Narrow" w:cs="Arial"/>
                <w:sz w:val="18"/>
                <w:szCs w:val="18"/>
              </w:rPr>
              <w:t>+0,6</w:t>
            </w:r>
          </w:p>
        </w:tc>
        <w:tc>
          <w:tcPr>
            <w:tcW w:w="1117" w:type="dxa"/>
            <w:shd w:val="clear" w:color="auto" w:fill="D9D9D9"/>
            <w:vAlign w:val="center"/>
          </w:tcPr>
          <w:p w:rsidR="006E555C" w:rsidRPr="006E555C" w:rsidRDefault="006E555C" w:rsidP="00332306">
            <w:pPr>
              <w:spacing w:before="40" w:after="20"/>
              <w:ind w:left="-57" w:right="57"/>
              <w:jc w:val="right"/>
              <w:rPr>
                <w:rFonts w:ascii="Arial Narrow" w:hAnsi="Arial Narrow" w:cs="Arial"/>
                <w:sz w:val="18"/>
                <w:szCs w:val="18"/>
              </w:rPr>
            </w:pPr>
            <w:r w:rsidRPr="006E555C">
              <w:rPr>
                <w:rFonts w:ascii="Arial Narrow" w:hAnsi="Arial Narrow" w:cs="Arial"/>
                <w:sz w:val="18"/>
                <w:szCs w:val="18"/>
              </w:rPr>
              <w:t>+0,3</w:t>
            </w:r>
          </w:p>
        </w:tc>
        <w:tc>
          <w:tcPr>
            <w:tcW w:w="1014" w:type="dxa"/>
            <w:vAlign w:val="center"/>
          </w:tcPr>
          <w:p w:rsidR="006E555C" w:rsidRPr="006E555C" w:rsidRDefault="006E555C" w:rsidP="00332306">
            <w:pPr>
              <w:spacing w:before="40" w:after="20"/>
              <w:ind w:left="-57" w:right="57"/>
              <w:jc w:val="right"/>
              <w:rPr>
                <w:rFonts w:ascii="Arial Narrow" w:hAnsi="Arial Narrow" w:cs="Arial"/>
                <w:sz w:val="18"/>
                <w:szCs w:val="18"/>
              </w:rPr>
            </w:pPr>
            <w:r w:rsidRPr="006E555C">
              <w:rPr>
                <w:rFonts w:ascii="Arial Narrow" w:hAnsi="Arial Narrow" w:cs="Arial"/>
                <w:sz w:val="18"/>
                <w:szCs w:val="18"/>
              </w:rPr>
              <w:t>+3,9</w:t>
            </w:r>
          </w:p>
        </w:tc>
        <w:tc>
          <w:tcPr>
            <w:tcW w:w="1134" w:type="dxa"/>
            <w:gridSpan w:val="2"/>
            <w:shd w:val="clear" w:color="auto" w:fill="D9D9D9"/>
            <w:vAlign w:val="center"/>
          </w:tcPr>
          <w:p w:rsidR="006E555C" w:rsidRPr="006E555C" w:rsidRDefault="006E555C" w:rsidP="00332306">
            <w:pPr>
              <w:spacing w:before="40" w:after="20"/>
              <w:ind w:left="-57" w:right="57"/>
              <w:jc w:val="right"/>
              <w:rPr>
                <w:rFonts w:ascii="Arial Narrow" w:hAnsi="Arial Narrow" w:cs="Arial"/>
                <w:sz w:val="18"/>
                <w:szCs w:val="18"/>
              </w:rPr>
            </w:pPr>
            <w:r w:rsidRPr="006E555C">
              <w:rPr>
                <w:rFonts w:ascii="Arial Narrow" w:hAnsi="Arial Narrow" w:cs="Arial"/>
                <w:sz w:val="18"/>
                <w:szCs w:val="18"/>
              </w:rPr>
              <w:t>+3,6</w:t>
            </w:r>
          </w:p>
        </w:tc>
        <w:tc>
          <w:tcPr>
            <w:tcW w:w="1577" w:type="dxa"/>
            <w:shd w:val="clear" w:color="auto" w:fill="auto"/>
            <w:vAlign w:val="bottom"/>
          </w:tcPr>
          <w:p w:rsidR="006E555C" w:rsidRPr="006E555C" w:rsidRDefault="006E555C" w:rsidP="00332306">
            <w:pPr>
              <w:spacing w:before="40" w:after="20"/>
              <w:ind w:left="-57" w:right="57"/>
              <w:jc w:val="right"/>
              <w:rPr>
                <w:rFonts w:ascii="Arial Narrow" w:hAnsi="Arial Narrow" w:cs="Arial"/>
                <w:sz w:val="18"/>
                <w:szCs w:val="18"/>
              </w:rPr>
            </w:pPr>
            <w:r w:rsidRPr="006E555C">
              <w:rPr>
                <w:rFonts w:ascii="Arial Narrow" w:hAnsi="Arial Narrow" w:cs="Arial"/>
                <w:sz w:val="18"/>
                <w:szCs w:val="18"/>
              </w:rPr>
              <w:t>0,780</w:t>
            </w:r>
          </w:p>
        </w:tc>
        <w:tc>
          <w:tcPr>
            <w:tcW w:w="1055" w:type="dxa"/>
            <w:shd w:val="clear" w:color="auto" w:fill="D9D9D9"/>
            <w:tcMar>
              <w:right w:w="57" w:type="dxa"/>
            </w:tcMar>
            <w:vAlign w:val="center"/>
          </w:tcPr>
          <w:p w:rsidR="006E555C" w:rsidRPr="006E555C" w:rsidRDefault="006E555C" w:rsidP="006E555C">
            <w:pPr>
              <w:spacing w:before="40" w:after="20"/>
              <w:ind w:left="-57"/>
              <w:jc w:val="right"/>
              <w:rPr>
                <w:rFonts w:ascii="Arial Narrow" w:hAnsi="Arial Narrow" w:cs="Arial"/>
                <w:sz w:val="18"/>
                <w:szCs w:val="18"/>
              </w:rPr>
            </w:pPr>
            <w:r w:rsidRPr="006E555C">
              <w:rPr>
                <w:rFonts w:ascii="Arial Narrow" w:hAnsi="Arial Narrow" w:cs="Arial"/>
                <w:sz w:val="18"/>
                <w:szCs w:val="18"/>
              </w:rPr>
              <w:t>+2,8</w:t>
            </w:r>
          </w:p>
        </w:tc>
      </w:tr>
      <w:tr w:rsidR="006E555C" w:rsidRPr="00C8504B" w:rsidTr="00ED70FA">
        <w:trPr>
          <w:trHeight w:val="255"/>
          <w:jc w:val="center"/>
        </w:trPr>
        <w:tc>
          <w:tcPr>
            <w:tcW w:w="1882" w:type="dxa"/>
            <w:shd w:val="clear" w:color="auto" w:fill="E42618"/>
            <w:vAlign w:val="center"/>
          </w:tcPr>
          <w:p w:rsidR="006E555C" w:rsidRPr="00476619" w:rsidRDefault="006E555C" w:rsidP="006E555C">
            <w:pPr>
              <w:spacing w:before="40" w:after="20"/>
              <w:ind w:left="-57"/>
              <w:rPr>
                <w:rFonts w:ascii="Arial Narrow" w:hAnsi="Arial Narrow" w:cs="Arial"/>
                <w:b/>
                <w:color w:val="FFFFFF" w:themeColor="background1"/>
                <w:sz w:val="18"/>
                <w:szCs w:val="18"/>
              </w:rPr>
            </w:pPr>
            <w:r w:rsidRPr="00476619">
              <w:rPr>
                <w:rFonts w:ascii="Arial Narrow" w:hAnsi="Arial Narrow" w:cs="Arial"/>
                <w:b/>
                <w:color w:val="FFFFFF" w:themeColor="background1"/>
                <w:sz w:val="18"/>
                <w:szCs w:val="18"/>
              </w:rPr>
              <w:t>Indice generale</w:t>
            </w:r>
          </w:p>
        </w:tc>
        <w:tc>
          <w:tcPr>
            <w:tcW w:w="1189" w:type="dxa"/>
            <w:shd w:val="clear" w:color="auto" w:fill="E42618"/>
            <w:vAlign w:val="center"/>
          </w:tcPr>
          <w:p w:rsidR="006E555C" w:rsidRPr="00622A93" w:rsidRDefault="006E555C" w:rsidP="006E555C">
            <w:pPr>
              <w:spacing w:before="40" w:after="20"/>
              <w:ind w:left="-57" w:right="57"/>
              <w:jc w:val="right"/>
              <w:rPr>
                <w:rFonts w:ascii="Arial Narrow" w:hAnsi="Arial Narrow" w:cs="Arial"/>
                <w:b/>
                <w:color w:val="FFFFFF" w:themeColor="background1"/>
                <w:sz w:val="18"/>
                <w:szCs w:val="18"/>
              </w:rPr>
            </w:pPr>
            <w:r w:rsidRPr="00622A93">
              <w:rPr>
                <w:rFonts w:ascii="Arial Narrow" w:hAnsi="Arial Narrow" w:cs="Arial"/>
                <w:b/>
                <w:color w:val="FFFFFF" w:themeColor="background1"/>
                <w:sz w:val="18"/>
                <w:szCs w:val="18"/>
              </w:rPr>
              <w:t>1.000.000</w:t>
            </w:r>
          </w:p>
        </w:tc>
        <w:tc>
          <w:tcPr>
            <w:tcW w:w="1118" w:type="dxa"/>
            <w:shd w:val="clear" w:color="auto" w:fill="E42618"/>
            <w:vAlign w:val="center"/>
          </w:tcPr>
          <w:p w:rsidR="006E555C" w:rsidRPr="006E555C" w:rsidRDefault="006E555C" w:rsidP="006E555C">
            <w:pPr>
              <w:spacing w:before="40" w:after="20"/>
              <w:ind w:left="-57" w:right="57"/>
              <w:jc w:val="right"/>
              <w:rPr>
                <w:rFonts w:ascii="Arial Narrow" w:hAnsi="Arial Narrow" w:cs="Arial"/>
                <w:b/>
                <w:color w:val="FFFFFF" w:themeColor="background1"/>
                <w:sz w:val="18"/>
                <w:szCs w:val="18"/>
              </w:rPr>
            </w:pPr>
            <w:r w:rsidRPr="006E555C">
              <w:rPr>
                <w:rFonts w:ascii="Arial Narrow" w:hAnsi="Arial Narrow" w:cs="Arial"/>
                <w:b/>
                <w:color w:val="FFFFFF" w:themeColor="background1"/>
                <w:sz w:val="18"/>
                <w:szCs w:val="18"/>
              </w:rPr>
              <w:t>+0,3</w:t>
            </w:r>
          </w:p>
        </w:tc>
        <w:tc>
          <w:tcPr>
            <w:tcW w:w="1117" w:type="dxa"/>
            <w:shd w:val="clear" w:color="auto" w:fill="E42618"/>
            <w:vAlign w:val="center"/>
          </w:tcPr>
          <w:p w:rsidR="006E555C" w:rsidRPr="006E555C" w:rsidRDefault="006E555C" w:rsidP="006E555C">
            <w:pPr>
              <w:spacing w:before="40" w:after="20"/>
              <w:ind w:left="-57" w:right="57"/>
              <w:jc w:val="right"/>
              <w:rPr>
                <w:rFonts w:ascii="Arial Narrow" w:hAnsi="Arial Narrow" w:cs="Arial"/>
                <w:b/>
                <w:color w:val="FFFFFF" w:themeColor="background1"/>
                <w:sz w:val="18"/>
                <w:szCs w:val="18"/>
              </w:rPr>
            </w:pPr>
            <w:r w:rsidRPr="006E555C">
              <w:rPr>
                <w:rFonts w:ascii="Arial Narrow" w:hAnsi="Arial Narrow" w:cs="Arial"/>
                <w:b/>
                <w:color w:val="FFFFFF" w:themeColor="background1"/>
                <w:sz w:val="18"/>
                <w:szCs w:val="18"/>
              </w:rPr>
              <w:t>-0,2</w:t>
            </w:r>
          </w:p>
        </w:tc>
        <w:tc>
          <w:tcPr>
            <w:tcW w:w="1014" w:type="dxa"/>
            <w:shd w:val="clear" w:color="auto" w:fill="E42618"/>
            <w:vAlign w:val="center"/>
          </w:tcPr>
          <w:p w:rsidR="006E555C" w:rsidRPr="006E555C" w:rsidRDefault="006E555C" w:rsidP="006E555C">
            <w:pPr>
              <w:spacing w:before="40" w:after="20"/>
              <w:ind w:left="-57" w:right="57"/>
              <w:jc w:val="right"/>
              <w:rPr>
                <w:rFonts w:ascii="Arial Narrow" w:hAnsi="Arial Narrow" w:cs="Arial"/>
                <w:b/>
                <w:color w:val="FFFFFF" w:themeColor="background1"/>
                <w:sz w:val="18"/>
                <w:szCs w:val="18"/>
              </w:rPr>
            </w:pPr>
            <w:r w:rsidRPr="006E555C">
              <w:rPr>
                <w:rFonts w:ascii="Arial Narrow" w:hAnsi="Arial Narrow" w:cs="Arial"/>
                <w:b/>
                <w:color w:val="FFFFFF" w:themeColor="background1"/>
                <w:sz w:val="18"/>
                <w:szCs w:val="18"/>
              </w:rPr>
              <w:t>+8,9</w:t>
            </w:r>
          </w:p>
        </w:tc>
        <w:tc>
          <w:tcPr>
            <w:tcW w:w="1134" w:type="dxa"/>
            <w:gridSpan w:val="2"/>
            <w:shd w:val="clear" w:color="auto" w:fill="E42618"/>
            <w:vAlign w:val="center"/>
          </w:tcPr>
          <w:p w:rsidR="006E555C" w:rsidRPr="006E555C" w:rsidRDefault="006E555C" w:rsidP="006E555C">
            <w:pPr>
              <w:spacing w:before="40" w:after="20"/>
              <w:ind w:left="-57" w:right="57"/>
              <w:jc w:val="right"/>
              <w:rPr>
                <w:rFonts w:ascii="Arial Narrow" w:hAnsi="Arial Narrow" w:cs="Arial"/>
                <w:b/>
                <w:color w:val="FFFFFF" w:themeColor="background1"/>
                <w:sz w:val="18"/>
                <w:szCs w:val="18"/>
              </w:rPr>
            </w:pPr>
            <w:r w:rsidRPr="006E555C">
              <w:rPr>
                <w:rFonts w:ascii="Arial Narrow" w:hAnsi="Arial Narrow" w:cs="Arial"/>
                <w:b/>
                <w:color w:val="FFFFFF" w:themeColor="background1"/>
                <w:sz w:val="18"/>
                <w:szCs w:val="18"/>
              </w:rPr>
              <w:t>+8,4</w:t>
            </w:r>
          </w:p>
        </w:tc>
        <w:tc>
          <w:tcPr>
            <w:tcW w:w="1577" w:type="dxa"/>
            <w:shd w:val="clear" w:color="auto" w:fill="E42618"/>
            <w:vAlign w:val="bottom"/>
          </w:tcPr>
          <w:p w:rsidR="006E555C" w:rsidRPr="006E555C" w:rsidRDefault="006E555C" w:rsidP="006E555C">
            <w:pPr>
              <w:spacing w:before="40" w:after="20"/>
              <w:ind w:left="-57" w:right="57"/>
              <w:jc w:val="right"/>
              <w:rPr>
                <w:rFonts w:ascii="Arial Narrow" w:hAnsi="Arial Narrow" w:cs="Arial"/>
                <w:b/>
                <w:color w:val="FFFFFF" w:themeColor="background1"/>
                <w:sz w:val="18"/>
                <w:szCs w:val="18"/>
              </w:rPr>
            </w:pPr>
          </w:p>
        </w:tc>
        <w:tc>
          <w:tcPr>
            <w:tcW w:w="1055" w:type="dxa"/>
            <w:shd w:val="clear" w:color="auto" w:fill="E42618"/>
            <w:tcMar>
              <w:right w:w="57" w:type="dxa"/>
            </w:tcMar>
            <w:vAlign w:val="center"/>
          </w:tcPr>
          <w:p w:rsidR="006E555C" w:rsidRPr="006E555C" w:rsidRDefault="006E555C" w:rsidP="006E555C">
            <w:pPr>
              <w:spacing w:before="40" w:after="20"/>
              <w:ind w:left="-57" w:right="57"/>
              <w:jc w:val="right"/>
              <w:rPr>
                <w:rFonts w:ascii="Arial Narrow" w:hAnsi="Arial Narrow" w:cs="Arial"/>
                <w:b/>
                <w:color w:val="FFFFFF" w:themeColor="background1"/>
                <w:sz w:val="18"/>
                <w:szCs w:val="18"/>
              </w:rPr>
            </w:pPr>
            <w:r w:rsidRPr="006E555C">
              <w:rPr>
                <w:rFonts w:ascii="Arial Narrow" w:hAnsi="Arial Narrow" w:cs="Arial"/>
                <w:b/>
                <w:color w:val="FFFFFF" w:themeColor="background1"/>
                <w:sz w:val="18"/>
                <w:szCs w:val="18"/>
              </w:rPr>
              <w:t>+7,1</w:t>
            </w:r>
          </w:p>
        </w:tc>
      </w:tr>
    </w:tbl>
    <w:p w:rsidR="00E00390" w:rsidRPr="00C8504B" w:rsidRDefault="0047143B" w:rsidP="00A64388">
      <w:pPr>
        <w:pStyle w:val="001TitoloBolocco"/>
        <w:spacing w:after="120" w:line="240" w:lineRule="auto"/>
        <w:rPr>
          <w:sz w:val="20"/>
          <w:szCs w:val="20"/>
        </w:rPr>
      </w:pPr>
      <w:r w:rsidRPr="00C8504B">
        <w:rPr>
          <w:szCs w:val="26"/>
        </w:rPr>
        <w:br w:type="page"/>
      </w:r>
    </w:p>
    <w:p w:rsidR="00C7029E" w:rsidRPr="009A24B3" w:rsidRDefault="00C7029E" w:rsidP="009A24B3">
      <w:pPr>
        <w:tabs>
          <w:tab w:val="left" w:pos="2940"/>
        </w:tabs>
        <w:spacing w:before="0" w:after="120"/>
        <w:jc w:val="both"/>
        <w:rPr>
          <w:rFonts w:ascii="Arial" w:hAnsi="Arial" w:cs="Arial"/>
          <w:iCs/>
          <w:sz w:val="21"/>
          <w:szCs w:val="21"/>
        </w:rPr>
      </w:pPr>
    </w:p>
    <w:p w:rsidR="00A64388" w:rsidRPr="00C8504B" w:rsidRDefault="00A64388" w:rsidP="00BD0487">
      <w:pPr>
        <w:pStyle w:val="001TitoloBolocco"/>
        <w:spacing w:after="120" w:line="240" w:lineRule="auto"/>
        <w:rPr>
          <w:szCs w:val="26"/>
        </w:rPr>
      </w:pPr>
      <w:r w:rsidRPr="00C8504B">
        <w:rPr>
          <w:szCs w:val="26"/>
        </w:rPr>
        <w:t>I dati del territorio</w:t>
      </w:r>
    </w:p>
    <w:p w:rsidR="003C45C2" w:rsidRPr="00182C91" w:rsidRDefault="003C45C2" w:rsidP="003C45C2">
      <w:pPr>
        <w:tabs>
          <w:tab w:val="left" w:pos="2940"/>
        </w:tabs>
        <w:spacing w:before="0" w:after="120"/>
        <w:jc w:val="both"/>
        <w:rPr>
          <w:rFonts w:ascii="Arial" w:hAnsi="Arial" w:cs="Arial"/>
          <w:iCs/>
          <w:sz w:val="21"/>
          <w:szCs w:val="21"/>
        </w:rPr>
      </w:pPr>
      <w:r w:rsidRPr="008148E1">
        <w:rPr>
          <w:rFonts w:ascii="Arial" w:hAnsi="Arial" w:cs="Arial"/>
          <w:iCs/>
          <w:sz w:val="21"/>
          <w:szCs w:val="21"/>
        </w:rPr>
        <w:t>A</w:t>
      </w:r>
      <w:r>
        <w:rPr>
          <w:rFonts w:ascii="Arial" w:hAnsi="Arial" w:cs="Arial"/>
          <w:iCs/>
          <w:sz w:val="21"/>
          <w:szCs w:val="21"/>
        </w:rPr>
        <w:t xml:space="preserve"> settembre </w:t>
      </w:r>
      <w:r w:rsidRPr="007533A4">
        <w:rPr>
          <w:rFonts w:ascii="Arial" w:hAnsi="Arial" w:cs="Arial"/>
          <w:iCs/>
          <w:sz w:val="21"/>
          <w:szCs w:val="21"/>
        </w:rPr>
        <w:t xml:space="preserve">l’inflazione </w:t>
      </w:r>
      <w:r>
        <w:rPr>
          <w:rFonts w:ascii="Arial" w:hAnsi="Arial" w:cs="Arial"/>
          <w:iCs/>
          <w:sz w:val="21"/>
          <w:szCs w:val="21"/>
        </w:rPr>
        <w:t>nel</w:t>
      </w:r>
      <w:r w:rsidRPr="007533A4">
        <w:rPr>
          <w:rFonts w:ascii="Arial" w:hAnsi="Arial" w:cs="Arial"/>
          <w:iCs/>
          <w:sz w:val="21"/>
          <w:szCs w:val="21"/>
        </w:rPr>
        <w:t xml:space="preserve">le </w:t>
      </w:r>
      <w:r>
        <w:rPr>
          <w:rFonts w:ascii="Arial" w:hAnsi="Arial" w:cs="Arial"/>
          <w:iCs/>
          <w:sz w:val="21"/>
          <w:szCs w:val="21"/>
        </w:rPr>
        <w:t xml:space="preserve">diverse </w:t>
      </w:r>
      <w:r w:rsidRPr="007533A4">
        <w:rPr>
          <w:rFonts w:ascii="Arial" w:hAnsi="Arial" w:cs="Arial"/>
          <w:iCs/>
          <w:sz w:val="21"/>
          <w:szCs w:val="21"/>
        </w:rPr>
        <w:t xml:space="preserve">ripartizioni geografiche (Figura 5) </w:t>
      </w:r>
      <w:r>
        <w:rPr>
          <w:rFonts w:ascii="Arial" w:hAnsi="Arial" w:cs="Arial"/>
          <w:iCs/>
          <w:sz w:val="21"/>
          <w:szCs w:val="21"/>
        </w:rPr>
        <w:t xml:space="preserve">è più alta di quella nazionale nelle </w:t>
      </w:r>
      <w:r w:rsidRPr="00182C91">
        <w:rPr>
          <w:rFonts w:ascii="Arial" w:hAnsi="Arial" w:cs="Arial"/>
          <w:iCs/>
          <w:sz w:val="21"/>
          <w:szCs w:val="21"/>
        </w:rPr>
        <w:t>Isole (in accelerazione da +9,</w:t>
      </w:r>
      <w:r>
        <w:rPr>
          <w:rFonts w:ascii="Arial" w:hAnsi="Arial" w:cs="Arial"/>
          <w:iCs/>
          <w:sz w:val="21"/>
          <w:szCs w:val="21"/>
        </w:rPr>
        <w:t>8% a +10,2%</w:t>
      </w:r>
      <w:r w:rsidRPr="00182C91">
        <w:rPr>
          <w:rFonts w:ascii="Arial" w:hAnsi="Arial" w:cs="Arial"/>
          <w:iCs/>
          <w:sz w:val="21"/>
          <w:szCs w:val="21"/>
        </w:rPr>
        <w:t>) e nel Nord-Est (</w:t>
      </w:r>
      <w:r>
        <w:rPr>
          <w:rFonts w:ascii="Arial" w:hAnsi="Arial" w:cs="Arial"/>
          <w:iCs/>
          <w:sz w:val="21"/>
          <w:szCs w:val="21"/>
        </w:rPr>
        <w:t>da</w:t>
      </w:r>
      <w:r w:rsidRPr="00182C91">
        <w:rPr>
          <w:rFonts w:ascii="Arial" w:hAnsi="Arial" w:cs="Arial"/>
          <w:iCs/>
          <w:sz w:val="21"/>
          <w:szCs w:val="21"/>
        </w:rPr>
        <w:t xml:space="preserve"> +</w:t>
      </w:r>
      <w:r>
        <w:rPr>
          <w:rFonts w:ascii="Arial" w:hAnsi="Arial" w:cs="Arial"/>
          <w:iCs/>
          <w:sz w:val="21"/>
          <w:szCs w:val="21"/>
        </w:rPr>
        <w:t>8,9</w:t>
      </w:r>
      <w:r w:rsidRPr="00182C91">
        <w:rPr>
          <w:rFonts w:ascii="Arial" w:hAnsi="Arial" w:cs="Arial"/>
          <w:iCs/>
          <w:sz w:val="21"/>
          <w:szCs w:val="21"/>
        </w:rPr>
        <w:t>%</w:t>
      </w:r>
      <w:r>
        <w:rPr>
          <w:rFonts w:ascii="Arial" w:hAnsi="Arial" w:cs="Arial"/>
          <w:iCs/>
          <w:sz w:val="21"/>
          <w:szCs w:val="21"/>
        </w:rPr>
        <w:t xml:space="preserve"> di agosto a +9,4%</w:t>
      </w:r>
      <w:r w:rsidRPr="00182C91">
        <w:rPr>
          <w:rFonts w:ascii="Arial" w:hAnsi="Arial" w:cs="Arial"/>
          <w:iCs/>
          <w:sz w:val="21"/>
          <w:szCs w:val="21"/>
        </w:rPr>
        <w:t>), mentre si posiziona al di sotto nel Sud (da +</w:t>
      </w:r>
      <w:r>
        <w:rPr>
          <w:rFonts w:ascii="Arial" w:hAnsi="Arial" w:cs="Arial"/>
          <w:iCs/>
          <w:sz w:val="21"/>
          <w:szCs w:val="21"/>
        </w:rPr>
        <w:t>8,3</w:t>
      </w:r>
      <w:r w:rsidRPr="00182C91">
        <w:rPr>
          <w:rFonts w:ascii="Arial" w:hAnsi="Arial" w:cs="Arial"/>
          <w:iCs/>
          <w:sz w:val="21"/>
          <w:szCs w:val="21"/>
        </w:rPr>
        <w:t>% a +</w:t>
      </w:r>
      <w:r>
        <w:rPr>
          <w:rFonts w:ascii="Arial" w:hAnsi="Arial" w:cs="Arial"/>
          <w:iCs/>
          <w:sz w:val="21"/>
          <w:szCs w:val="21"/>
        </w:rPr>
        <w:t>8,8</w:t>
      </w:r>
      <w:r w:rsidRPr="00182C91">
        <w:rPr>
          <w:rFonts w:ascii="Arial" w:hAnsi="Arial" w:cs="Arial"/>
          <w:iCs/>
          <w:sz w:val="21"/>
          <w:szCs w:val="21"/>
        </w:rPr>
        <w:t>%)</w:t>
      </w:r>
      <w:r>
        <w:rPr>
          <w:rFonts w:ascii="Arial" w:hAnsi="Arial" w:cs="Arial"/>
          <w:iCs/>
          <w:sz w:val="21"/>
          <w:szCs w:val="21"/>
        </w:rPr>
        <w:t>,</w:t>
      </w:r>
      <w:r w:rsidRPr="00182C91">
        <w:rPr>
          <w:rFonts w:ascii="Arial" w:hAnsi="Arial" w:cs="Arial"/>
          <w:iCs/>
          <w:sz w:val="21"/>
          <w:szCs w:val="21"/>
        </w:rPr>
        <w:t xml:space="preserve"> nel Centro (da +</w:t>
      </w:r>
      <w:r>
        <w:rPr>
          <w:rFonts w:ascii="Arial" w:hAnsi="Arial" w:cs="Arial"/>
          <w:iCs/>
          <w:sz w:val="21"/>
          <w:szCs w:val="21"/>
        </w:rPr>
        <w:t>8,1</w:t>
      </w:r>
      <w:r w:rsidRPr="00182C91">
        <w:rPr>
          <w:rFonts w:ascii="Arial" w:hAnsi="Arial" w:cs="Arial"/>
          <w:iCs/>
          <w:sz w:val="21"/>
          <w:szCs w:val="21"/>
        </w:rPr>
        <w:t>% a +</w:t>
      </w:r>
      <w:r>
        <w:rPr>
          <w:rFonts w:ascii="Arial" w:hAnsi="Arial" w:cs="Arial"/>
          <w:iCs/>
          <w:sz w:val="21"/>
          <w:szCs w:val="21"/>
        </w:rPr>
        <w:t>8,6</w:t>
      </w:r>
      <w:r w:rsidRPr="00182C91">
        <w:rPr>
          <w:rFonts w:ascii="Arial" w:hAnsi="Arial" w:cs="Arial"/>
          <w:iCs/>
          <w:sz w:val="21"/>
          <w:szCs w:val="21"/>
        </w:rPr>
        <w:t>%) e nel Nord-Ovest (</w:t>
      </w:r>
      <w:r>
        <w:rPr>
          <w:rFonts w:ascii="Arial" w:hAnsi="Arial" w:cs="Arial"/>
          <w:iCs/>
          <w:sz w:val="21"/>
          <w:szCs w:val="21"/>
        </w:rPr>
        <w:t>da +</w:t>
      </w:r>
      <w:r w:rsidRPr="00182C91">
        <w:rPr>
          <w:rFonts w:ascii="Arial" w:hAnsi="Arial" w:cs="Arial"/>
          <w:iCs/>
          <w:sz w:val="21"/>
          <w:szCs w:val="21"/>
        </w:rPr>
        <w:t>7,</w:t>
      </w:r>
      <w:r>
        <w:rPr>
          <w:rFonts w:ascii="Arial" w:hAnsi="Arial" w:cs="Arial"/>
          <w:iCs/>
          <w:sz w:val="21"/>
          <w:szCs w:val="21"/>
        </w:rPr>
        <w:t xml:space="preserve">7% </w:t>
      </w:r>
      <w:r w:rsidRPr="00182C91">
        <w:rPr>
          <w:rFonts w:ascii="Arial" w:hAnsi="Arial" w:cs="Arial"/>
          <w:iCs/>
          <w:sz w:val="21"/>
          <w:szCs w:val="21"/>
        </w:rPr>
        <w:t>a +</w:t>
      </w:r>
      <w:r>
        <w:rPr>
          <w:rFonts w:ascii="Arial" w:hAnsi="Arial" w:cs="Arial"/>
          <w:iCs/>
          <w:sz w:val="21"/>
          <w:szCs w:val="21"/>
        </w:rPr>
        <w:t>8,2</w:t>
      </w:r>
      <w:r w:rsidRPr="00182C91">
        <w:rPr>
          <w:rFonts w:ascii="Arial" w:hAnsi="Arial" w:cs="Arial"/>
          <w:iCs/>
          <w:sz w:val="21"/>
          <w:szCs w:val="21"/>
        </w:rPr>
        <w:t>%).</w:t>
      </w:r>
    </w:p>
    <w:p w:rsidR="003C45C2" w:rsidRPr="00A70B4B" w:rsidRDefault="003C45C2" w:rsidP="003C45C2">
      <w:pPr>
        <w:tabs>
          <w:tab w:val="left" w:pos="2940"/>
        </w:tabs>
        <w:spacing w:before="0" w:after="120"/>
        <w:jc w:val="both"/>
        <w:rPr>
          <w:rFonts w:ascii="Arial" w:hAnsi="Arial" w:cs="Arial"/>
          <w:iCs/>
          <w:sz w:val="21"/>
          <w:szCs w:val="21"/>
        </w:rPr>
      </w:pPr>
      <w:r w:rsidRPr="00CD1CF3">
        <w:rPr>
          <w:rFonts w:ascii="Arial" w:hAnsi="Arial" w:cs="Arial"/>
          <w:iCs/>
          <w:sz w:val="21"/>
          <w:szCs w:val="21"/>
        </w:rPr>
        <w:t xml:space="preserve">Nei capoluoghi delle regioni e delle province autonome e nei comuni non capoluoghi di regione con più di 150mila abitanti (Figura 6) l’inflazione più elevata si osserva a </w:t>
      </w:r>
      <w:r>
        <w:rPr>
          <w:rFonts w:ascii="Arial" w:hAnsi="Arial" w:cs="Arial"/>
          <w:iCs/>
          <w:sz w:val="21"/>
          <w:szCs w:val="21"/>
        </w:rPr>
        <w:t>Catania (+11,0%)</w:t>
      </w:r>
      <w:r w:rsidR="00777203">
        <w:rPr>
          <w:rFonts w:ascii="Arial" w:hAnsi="Arial" w:cs="Arial"/>
          <w:iCs/>
          <w:sz w:val="21"/>
          <w:szCs w:val="21"/>
        </w:rPr>
        <w:t>,</w:t>
      </w:r>
      <w:r>
        <w:rPr>
          <w:rFonts w:ascii="Arial" w:hAnsi="Arial" w:cs="Arial"/>
          <w:iCs/>
          <w:sz w:val="21"/>
          <w:szCs w:val="21"/>
        </w:rPr>
        <w:t xml:space="preserve"> </w:t>
      </w:r>
      <w:r w:rsidRPr="00CD1CF3">
        <w:rPr>
          <w:rFonts w:ascii="Arial" w:hAnsi="Arial" w:cs="Arial"/>
          <w:iCs/>
          <w:sz w:val="21"/>
          <w:szCs w:val="21"/>
        </w:rPr>
        <w:t>Bolzano e Palermo (</w:t>
      </w:r>
      <w:r>
        <w:rPr>
          <w:rFonts w:ascii="Arial" w:hAnsi="Arial" w:cs="Arial"/>
          <w:iCs/>
          <w:sz w:val="21"/>
          <w:szCs w:val="21"/>
        </w:rPr>
        <w:t xml:space="preserve">entrambe a </w:t>
      </w:r>
      <w:r w:rsidRPr="00CD1CF3">
        <w:rPr>
          <w:rFonts w:ascii="Arial" w:hAnsi="Arial" w:cs="Arial"/>
          <w:iCs/>
          <w:sz w:val="21"/>
          <w:szCs w:val="21"/>
        </w:rPr>
        <w:t>+10,</w:t>
      </w:r>
      <w:r>
        <w:rPr>
          <w:rFonts w:ascii="Arial" w:hAnsi="Arial" w:cs="Arial"/>
          <w:iCs/>
          <w:sz w:val="21"/>
          <w:szCs w:val="21"/>
        </w:rPr>
        <w:t>8</w:t>
      </w:r>
      <w:r w:rsidRPr="00CD1CF3">
        <w:rPr>
          <w:rFonts w:ascii="Arial" w:hAnsi="Arial" w:cs="Arial"/>
          <w:iCs/>
          <w:sz w:val="21"/>
          <w:szCs w:val="21"/>
        </w:rPr>
        <w:t>%)</w:t>
      </w:r>
      <w:r w:rsidR="00777203">
        <w:rPr>
          <w:rFonts w:ascii="Arial" w:hAnsi="Arial" w:cs="Arial"/>
          <w:iCs/>
          <w:sz w:val="21"/>
          <w:szCs w:val="21"/>
        </w:rPr>
        <w:t>,</w:t>
      </w:r>
      <w:r w:rsidRPr="00CD1CF3">
        <w:rPr>
          <w:rFonts w:ascii="Arial" w:hAnsi="Arial" w:cs="Arial"/>
          <w:iCs/>
          <w:sz w:val="21"/>
          <w:szCs w:val="21"/>
        </w:rPr>
        <w:t xml:space="preserve"> mentre le variazioni tendenziali più contenute si registrano </w:t>
      </w:r>
      <w:r>
        <w:rPr>
          <w:rFonts w:ascii="Arial" w:hAnsi="Arial" w:cs="Arial"/>
          <w:iCs/>
          <w:sz w:val="21"/>
          <w:szCs w:val="21"/>
        </w:rPr>
        <w:t>a</w:t>
      </w:r>
      <w:r w:rsidR="00BC6184">
        <w:rPr>
          <w:rFonts w:ascii="Arial" w:hAnsi="Arial" w:cs="Arial"/>
          <w:iCs/>
          <w:sz w:val="21"/>
          <w:szCs w:val="21"/>
        </w:rPr>
        <w:t>d</w:t>
      </w:r>
      <w:r>
        <w:rPr>
          <w:rFonts w:ascii="Arial" w:hAnsi="Arial" w:cs="Arial"/>
          <w:iCs/>
          <w:sz w:val="21"/>
          <w:szCs w:val="21"/>
        </w:rPr>
        <w:t xml:space="preserve"> Aosta</w:t>
      </w:r>
      <w:r w:rsidRPr="00CD1CF3">
        <w:rPr>
          <w:rFonts w:ascii="Arial" w:hAnsi="Arial" w:cs="Arial"/>
          <w:iCs/>
          <w:sz w:val="21"/>
          <w:szCs w:val="21"/>
        </w:rPr>
        <w:t xml:space="preserve"> </w:t>
      </w:r>
      <w:r>
        <w:rPr>
          <w:rFonts w:ascii="Arial" w:hAnsi="Arial" w:cs="Arial"/>
          <w:iCs/>
          <w:sz w:val="21"/>
          <w:szCs w:val="21"/>
        </w:rPr>
        <w:t>(+7,4%)</w:t>
      </w:r>
      <w:r w:rsidR="00777203">
        <w:rPr>
          <w:rFonts w:ascii="Arial" w:hAnsi="Arial" w:cs="Arial"/>
          <w:iCs/>
          <w:sz w:val="21"/>
          <w:szCs w:val="21"/>
        </w:rPr>
        <w:t xml:space="preserve"> e</w:t>
      </w:r>
      <w:r w:rsidRPr="00CD1CF3">
        <w:rPr>
          <w:rFonts w:ascii="Arial" w:hAnsi="Arial" w:cs="Arial"/>
          <w:iCs/>
          <w:sz w:val="21"/>
          <w:szCs w:val="21"/>
        </w:rPr>
        <w:t xml:space="preserve"> </w:t>
      </w:r>
      <w:r w:rsidR="00965084">
        <w:rPr>
          <w:rFonts w:ascii="Arial" w:hAnsi="Arial" w:cs="Arial"/>
          <w:iCs/>
          <w:sz w:val="21"/>
          <w:szCs w:val="21"/>
        </w:rPr>
        <w:t>Catanzaro (+7,6%)</w:t>
      </w:r>
      <w:r w:rsidRPr="00CD1CF3">
        <w:rPr>
          <w:rFonts w:ascii="Arial" w:hAnsi="Arial" w:cs="Arial"/>
          <w:iCs/>
          <w:sz w:val="21"/>
          <w:szCs w:val="21"/>
        </w:rPr>
        <w:t>.</w:t>
      </w:r>
    </w:p>
    <w:p w:rsidR="002C59AC" w:rsidRDefault="002C59AC" w:rsidP="002C59AC">
      <w:pPr>
        <w:tabs>
          <w:tab w:val="left" w:pos="2940"/>
        </w:tabs>
        <w:spacing w:before="0" w:after="120"/>
        <w:jc w:val="both"/>
        <w:rPr>
          <w:rFonts w:ascii="Arial" w:hAnsi="Arial" w:cs="Arial"/>
          <w:iCs/>
          <w:sz w:val="21"/>
          <w:szCs w:val="21"/>
        </w:rPr>
      </w:pPr>
    </w:p>
    <w:p w:rsidR="00B1023A" w:rsidRDefault="00F53362" w:rsidP="009F6A3F">
      <w:pPr>
        <w:pStyle w:val="Titolo1"/>
        <w:rPr>
          <w:rFonts w:ascii="Arial Narrow" w:hAnsi="Arial Narrow" w:cs="Arial"/>
          <w:b w:val="0"/>
          <w:color w:val="5F5F5F"/>
          <w:kern w:val="28"/>
          <w:sz w:val="20"/>
        </w:rPr>
      </w:pPr>
      <w:r w:rsidRPr="00CC2304">
        <w:rPr>
          <w:rFonts w:ascii="Arial Narrow" w:hAnsi="Arial Narrow" w:cs="Arial"/>
          <w:color w:val="E42618"/>
          <w:kern w:val="0"/>
          <w:sz w:val="22"/>
          <w:szCs w:val="22"/>
        </w:rPr>
        <w:t>FIGURA 5</w:t>
      </w:r>
      <w:r w:rsidR="009F6A3F" w:rsidRPr="00CC2304">
        <w:rPr>
          <w:rFonts w:ascii="Arial Narrow" w:hAnsi="Arial Narrow" w:cs="Arial"/>
          <w:color w:val="E42618"/>
          <w:kern w:val="0"/>
          <w:sz w:val="22"/>
          <w:szCs w:val="22"/>
        </w:rPr>
        <w:t>.</w:t>
      </w:r>
      <w:r w:rsidR="009F6A3F" w:rsidRPr="00CC2304">
        <w:rPr>
          <w:rFonts w:ascii="Arial Narrow" w:hAnsi="Arial Narrow" w:cs="Arial"/>
          <w:color w:val="5F5F5F"/>
          <w:sz w:val="20"/>
        </w:rPr>
        <w:t xml:space="preserve"> </w:t>
      </w:r>
      <w:r w:rsidR="009F6A3F" w:rsidRPr="00CC2304">
        <w:rPr>
          <w:rFonts w:ascii="Arial Narrow" w:hAnsi="Arial Narrow" w:cs="Calibri"/>
          <w:bCs/>
          <w:color w:val="5F5F5F"/>
          <w:kern w:val="0"/>
          <w:sz w:val="22"/>
          <w:szCs w:val="22"/>
        </w:rPr>
        <w:t>INDICI DEI PREZZI AL CONSUMO NIC PER REGIONE E RIPARTIZIONE GEOGRAFICA</w:t>
      </w:r>
      <w:r w:rsidR="009F6A3F" w:rsidRPr="00C8504B">
        <w:rPr>
          <w:rFonts w:ascii="Arial Narrow" w:hAnsi="Arial Narrow" w:cs="Arial"/>
          <w:color w:val="5F5F5F"/>
          <w:sz w:val="20"/>
        </w:rPr>
        <w:br/>
      </w:r>
      <w:r w:rsidR="00DD629D">
        <w:rPr>
          <w:rFonts w:ascii="Arial Narrow" w:hAnsi="Arial Narrow" w:cs="Arial"/>
          <w:b w:val="0"/>
          <w:color w:val="5F5F5F"/>
          <w:kern w:val="28"/>
          <w:sz w:val="20"/>
        </w:rPr>
        <w:t>Agosto</w:t>
      </w:r>
      <w:r w:rsidR="00C22A24">
        <w:rPr>
          <w:rFonts w:ascii="Arial Narrow" w:hAnsi="Arial Narrow" w:cs="Arial"/>
          <w:b w:val="0"/>
          <w:color w:val="5F5F5F"/>
          <w:kern w:val="28"/>
          <w:sz w:val="20"/>
        </w:rPr>
        <w:t xml:space="preserve"> </w:t>
      </w:r>
      <w:r w:rsidR="008E006C">
        <w:rPr>
          <w:rFonts w:ascii="Arial Narrow" w:hAnsi="Arial Narrow" w:cs="Arial"/>
          <w:b w:val="0"/>
          <w:color w:val="5F5F5F"/>
          <w:kern w:val="28"/>
          <w:sz w:val="20"/>
        </w:rPr>
        <w:t>–</w:t>
      </w:r>
      <w:r w:rsidR="007D4534" w:rsidRPr="007A798D">
        <w:rPr>
          <w:rFonts w:ascii="Arial Narrow" w:hAnsi="Arial Narrow" w:cs="Arial"/>
          <w:b w:val="0"/>
          <w:color w:val="5F5F5F"/>
          <w:kern w:val="28"/>
          <w:sz w:val="20"/>
        </w:rPr>
        <w:t xml:space="preserve"> </w:t>
      </w:r>
      <w:r w:rsidR="009B6ACA">
        <w:rPr>
          <w:rFonts w:ascii="Arial Narrow" w:hAnsi="Arial Narrow" w:cs="Arial"/>
          <w:b w:val="0"/>
          <w:color w:val="5F5F5F"/>
          <w:kern w:val="28"/>
          <w:sz w:val="20"/>
        </w:rPr>
        <w:t>settembre</w:t>
      </w:r>
      <w:r w:rsidR="009A20F3" w:rsidRPr="009A20F3">
        <w:rPr>
          <w:rFonts w:ascii="Arial Narrow" w:hAnsi="Arial Narrow" w:cs="Arial"/>
          <w:b w:val="0"/>
          <w:color w:val="5F5F5F"/>
          <w:kern w:val="28"/>
          <w:sz w:val="20"/>
        </w:rPr>
        <w:t xml:space="preserve"> </w:t>
      </w:r>
      <w:r w:rsidR="005B7BD6" w:rsidRPr="005B7BD6">
        <w:rPr>
          <w:rFonts w:ascii="Arial Narrow" w:hAnsi="Arial Narrow" w:cs="Arial"/>
          <w:b w:val="0"/>
          <w:color w:val="5F5F5F"/>
          <w:kern w:val="28"/>
          <w:sz w:val="20"/>
        </w:rPr>
        <w:t>2022</w:t>
      </w:r>
      <w:r w:rsidR="007D4534" w:rsidRPr="007A798D">
        <w:rPr>
          <w:rFonts w:ascii="Arial Narrow" w:hAnsi="Arial Narrow" w:cs="Arial"/>
          <w:b w:val="0"/>
          <w:color w:val="5F5F5F"/>
          <w:kern w:val="28"/>
          <w:sz w:val="20"/>
        </w:rPr>
        <w:t>, variazioni percentuali tendenziali (base 2015=100</w:t>
      </w:r>
      <w:r w:rsidR="007D4534" w:rsidRPr="00C8504B">
        <w:rPr>
          <w:rFonts w:ascii="Arial Narrow" w:hAnsi="Arial Narrow" w:cs="Arial"/>
          <w:b w:val="0"/>
          <w:color w:val="5F5F5F"/>
          <w:kern w:val="28"/>
          <w:sz w:val="20"/>
        </w:rPr>
        <w:t xml:space="preserve">) </w:t>
      </w:r>
    </w:p>
    <w:p w:rsidR="00427417" w:rsidRPr="00427417" w:rsidRDefault="00C8411E" w:rsidP="00427417">
      <w:r>
        <w:rPr>
          <w:noProof/>
        </w:rPr>
        <w:drawing>
          <wp:inline distT="0" distB="0" distL="0" distR="0" wp14:anchorId="6F1425B1">
            <wp:extent cx="6515100" cy="2170430"/>
            <wp:effectExtent l="0" t="0" r="0" b="127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15100" cy="2170430"/>
                    </a:xfrm>
                    <a:prstGeom prst="rect">
                      <a:avLst/>
                    </a:prstGeom>
                    <a:noFill/>
                  </pic:spPr>
                </pic:pic>
              </a:graphicData>
            </a:graphic>
          </wp:inline>
        </w:drawing>
      </w:r>
    </w:p>
    <w:p w:rsidR="008B53F6" w:rsidRPr="00054BF7" w:rsidRDefault="008B53F6" w:rsidP="008B53F6">
      <w:pPr>
        <w:pStyle w:val="00TitoGra1"/>
        <w:spacing w:after="120" w:line="240" w:lineRule="auto"/>
        <w:ind w:left="284"/>
        <w:jc w:val="both"/>
        <w:rPr>
          <w:rFonts w:ascii="Arial" w:hAnsi="Arial"/>
          <w:b w:val="0"/>
          <w:color w:val="auto"/>
          <w:sz w:val="16"/>
          <w:szCs w:val="20"/>
        </w:rPr>
      </w:pPr>
    </w:p>
    <w:p w:rsidR="00525A45" w:rsidRDefault="00ED4CE5" w:rsidP="00C45C2E">
      <w:pPr>
        <w:spacing w:before="0" w:after="0"/>
        <w:jc w:val="both"/>
        <w:rPr>
          <w:rFonts w:ascii="Arial Narrow" w:hAnsi="Arial Narrow" w:cs="Calibri"/>
          <w:b/>
          <w:bCs/>
          <w:color w:val="5F5F5F"/>
          <w:kern w:val="0"/>
          <w:sz w:val="22"/>
          <w:szCs w:val="22"/>
          <w:vertAlign w:val="superscript"/>
        </w:rPr>
      </w:pPr>
      <w:r w:rsidRPr="00CC2304">
        <w:rPr>
          <w:rFonts w:ascii="Arial Narrow" w:hAnsi="Arial Narrow" w:cs="Arial"/>
          <w:b/>
          <w:color w:val="E42618"/>
          <w:kern w:val="0"/>
          <w:sz w:val="22"/>
          <w:szCs w:val="22"/>
        </w:rPr>
        <w:t xml:space="preserve">FIGURA </w:t>
      </w:r>
      <w:r w:rsidR="00F53362" w:rsidRPr="00CC2304">
        <w:rPr>
          <w:rFonts w:ascii="Arial Narrow" w:hAnsi="Arial Narrow" w:cs="Arial"/>
          <w:b/>
          <w:color w:val="E42618"/>
          <w:kern w:val="0"/>
          <w:sz w:val="22"/>
          <w:szCs w:val="22"/>
        </w:rPr>
        <w:t>6</w:t>
      </w:r>
      <w:r w:rsidRPr="00CC2304">
        <w:rPr>
          <w:b/>
          <w:color w:val="E42618"/>
        </w:rPr>
        <w:t>.</w:t>
      </w:r>
      <w:r w:rsidRPr="00CC2304">
        <w:t xml:space="preserve"> </w:t>
      </w:r>
      <w:r w:rsidRPr="00CC2304">
        <w:rPr>
          <w:rFonts w:ascii="Arial Narrow" w:hAnsi="Arial Narrow" w:cs="Calibri"/>
          <w:b/>
          <w:bCs/>
          <w:color w:val="5F5F5F"/>
          <w:kern w:val="0"/>
          <w:sz w:val="22"/>
          <w:szCs w:val="22"/>
        </w:rPr>
        <w:t>I</w:t>
      </w:r>
      <w:r w:rsidR="00DA7A68" w:rsidRPr="00CC2304">
        <w:rPr>
          <w:rFonts w:ascii="Arial Narrow" w:hAnsi="Arial Narrow" w:cs="Calibri"/>
          <w:b/>
          <w:bCs/>
          <w:color w:val="5F5F5F"/>
          <w:kern w:val="0"/>
          <w:sz w:val="22"/>
          <w:szCs w:val="22"/>
        </w:rPr>
        <w:t>NDICI DEI PREZZI AL CONSUMO NIC</w:t>
      </w:r>
      <w:r w:rsidR="0047143B" w:rsidRPr="00CC2304">
        <w:rPr>
          <w:rFonts w:ascii="Arial Narrow" w:hAnsi="Arial Narrow" w:cs="Calibri"/>
          <w:b/>
          <w:bCs/>
          <w:color w:val="5F5F5F"/>
          <w:kern w:val="0"/>
          <w:sz w:val="22"/>
          <w:szCs w:val="22"/>
        </w:rPr>
        <w:t xml:space="preserve"> PER CAPOLUOGO DI REGIONE, </w:t>
      </w:r>
      <w:r w:rsidRPr="00CC2304">
        <w:rPr>
          <w:rFonts w:ascii="Arial Narrow" w:hAnsi="Arial Narrow" w:cs="Calibri"/>
          <w:b/>
          <w:bCs/>
          <w:color w:val="5F5F5F"/>
          <w:kern w:val="0"/>
          <w:sz w:val="22"/>
          <w:szCs w:val="22"/>
        </w:rPr>
        <w:t xml:space="preserve">PROVINCIA AUTONOMA </w:t>
      </w:r>
      <w:r w:rsidR="00DE4758" w:rsidRPr="00CC2304">
        <w:rPr>
          <w:rFonts w:ascii="Arial Narrow" w:hAnsi="Arial Narrow" w:cs="Calibri"/>
          <w:b/>
          <w:bCs/>
          <w:color w:val="5F5F5F"/>
          <w:kern w:val="0"/>
          <w:sz w:val="22"/>
          <w:szCs w:val="22"/>
        </w:rPr>
        <w:t>E</w:t>
      </w:r>
      <w:r w:rsidR="00AD29B6" w:rsidRPr="00CC2304">
        <w:rPr>
          <w:rFonts w:ascii="Arial Narrow" w:hAnsi="Arial Narrow" w:cs="Calibri"/>
          <w:b/>
          <w:bCs/>
          <w:color w:val="5F5F5F"/>
          <w:kern w:val="0"/>
          <w:sz w:val="22"/>
          <w:szCs w:val="22"/>
        </w:rPr>
        <w:t xml:space="preserve"> </w:t>
      </w:r>
      <w:r w:rsidR="00DE4758" w:rsidRPr="00CC2304">
        <w:rPr>
          <w:rFonts w:ascii="Arial Narrow" w:hAnsi="Arial Narrow" w:cs="Calibri"/>
          <w:b/>
          <w:bCs/>
          <w:color w:val="5F5F5F"/>
          <w:kern w:val="0"/>
          <w:sz w:val="22"/>
          <w:szCs w:val="22"/>
        </w:rPr>
        <w:t>GRANDI</w:t>
      </w:r>
      <w:r w:rsidR="00DE4758" w:rsidRPr="00C8504B">
        <w:rPr>
          <w:rFonts w:ascii="Arial Narrow" w:hAnsi="Arial Narrow" w:cs="Calibri"/>
          <w:b/>
          <w:bCs/>
          <w:color w:val="5F5F5F"/>
          <w:kern w:val="0"/>
          <w:sz w:val="22"/>
          <w:szCs w:val="22"/>
        </w:rPr>
        <w:t xml:space="preserve"> </w:t>
      </w:r>
      <w:r w:rsidR="0047143B" w:rsidRPr="00C8504B">
        <w:rPr>
          <w:rFonts w:ascii="Arial Narrow" w:hAnsi="Arial Narrow" w:cs="Calibri"/>
          <w:b/>
          <w:bCs/>
          <w:color w:val="5F5F5F"/>
          <w:kern w:val="0"/>
          <w:sz w:val="22"/>
          <w:szCs w:val="22"/>
        </w:rPr>
        <w:t xml:space="preserve">COMUNI </w:t>
      </w:r>
      <w:r w:rsidR="006464B5">
        <w:rPr>
          <w:rFonts w:ascii="Arial Narrow" w:hAnsi="Arial Narrow" w:cs="Calibri"/>
          <w:b/>
          <w:bCs/>
          <w:color w:val="5F5F5F"/>
          <w:kern w:val="0"/>
          <w:sz w:val="22"/>
          <w:szCs w:val="22"/>
          <w:vertAlign w:val="superscript"/>
        </w:rPr>
        <w:t>(a</w:t>
      </w:r>
      <w:r w:rsidR="009D6407">
        <w:rPr>
          <w:rFonts w:ascii="Arial Narrow" w:hAnsi="Arial Narrow" w:cs="Calibri"/>
          <w:b/>
          <w:bCs/>
          <w:color w:val="5F5F5F"/>
          <w:kern w:val="0"/>
          <w:sz w:val="22"/>
          <w:szCs w:val="22"/>
          <w:vertAlign w:val="superscript"/>
        </w:rPr>
        <w:t>)</w:t>
      </w:r>
    </w:p>
    <w:p w:rsidR="00F24676" w:rsidRPr="00C8504B" w:rsidRDefault="009B6ACA" w:rsidP="00427417">
      <w:pPr>
        <w:spacing w:before="0" w:after="120"/>
        <w:jc w:val="both"/>
        <w:rPr>
          <w:rFonts w:ascii="Arial Narrow" w:hAnsi="Arial Narrow" w:cs="Arial"/>
          <w:color w:val="5F5F5F"/>
        </w:rPr>
      </w:pPr>
      <w:r>
        <w:rPr>
          <w:rFonts w:ascii="Arial Narrow" w:hAnsi="Arial Narrow" w:cs="Arial"/>
          <w:color w:val="5F5F5F"/>
        </w:rPr>
        <w:t>Settembre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00795E10">
        <w:rPr>
          <w:rFonts w:ascii="Arial Narrow" w:hAnsi="Arial Narrow" w:cs="Arial"/>
          <w:color w:val="5F5F5F"/>
        </w:rPr>
        <w:t xml:space="preserve">, </w:t>
      </w:r>
      <w:r w:rsidR="00ED4CE5" w:rsidRPr="00873FB5">
        <w:rPr>
          <w:rFonts w:ascii="Arial Narrow" w:hAnsi="Arial Narrow" w:cs="Arial"/>
          <w:color w:val="5F5F5F"/>
        </w:rPr>
        <w:t>graduatoria delle variazion</w:t>
      </w:r>
      <w:r w:rsidR="0047143B" w:rsidRPr="00873FB5">
        <w:rPr>
          <w:rFonts w:ascii="Arial Narrow" w:hAnsi="Arial Narrow" w:cs="Arial"/>
          <w:color w:val="5F5F5F"/>
        </w:rPr>
        <w:t>i percentuali tendenziali (base 2015=100)</w:t>
      </w:r>
    </w:p>
    <w:p w:rsidR="00617E92" w:rsidRPr="00C8504B" w:rsidRDefault="00C8411E" w:rsidP="00E95076">
      <w:pPr>
        <w:pStyle w:val="00TitoGra1"/>
        <w:spacing w:after="120" w:line="240" w:lineRule="auto"/>
        <w:rPr>
          <w:rFonts w:ascii="Arial" w:hAnsi="Arial"/>
          <w:color w:val="auto"/>
          <w:sz w:val="21"/>
          <w:szCs w:val="21"/>
        </w:rPr>
      </w:pPr>
      <w:r>
        <w:rPr>
          <w:rFonts w:ascii="Arial" w:hAnsi="Arial"/>
          <w:noProof/>
          <w:color w:val="auto"/>
          <w:sz w:val="21"/>
          <w:szCs w:val="21"/>
        </w:rPr>
        <w:drawing>
          <wp:inline distT="0" distB="0" distL="0" distR="0" wp14:anchorId="4B35AB6C">
            <wp:extent cx="6600825" cy="2231390"/>
            <wp:effectExtent l="0" t="0" r="9525"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00825" cy="2231390"/>
                    </a:xfrm>
                    <a:prstGeom prst="rect">
                      <a:avLst/>
                    </a:prstGeom>
                    <a:noFill/>
                  </pic:spPr>
                </pic:pic>
              </a:graphicData>
            </a:graphic>
          </wp:inline>
        </w:drawing>
      </w:r>
    </w:p>
    <w:p w:rsidR="00A96B46" w:rsidRPr="00401AC1" w:rsidRDefault="00E24384" w:rsidP="00A73D96">
      <w:pPr>
        <w:pStyle w:val="00TitoGra1"/>
        <w:spacing w:after="120" w:line="240" w:lineRule="auto"/>
        <w:ind w:left="284" w:hanging="284"/>
        <w:jc w:val="both"/>
        <w:rPr>
          <w:rFonts w:ascii="Arial" w:hAnsi="Arial"/>
          <w:b w:val="0"/>
          <w:color w:val="auto"/>
          <w:sz w:val="16"/>
          <w:szCs w:val="20"/>
        </w:rPr>
      </w:pPr>
      <w:r w:rsidRPr="005F6AFE">
        <w:rPr>
          <w:rFonts w:ascii="Arial" w:hAnsi="Arial"/>
          <w:b w:val="0"/>
          <w:color w:val="auto"/>
          <w:sz w:val="16"/>
          <w:szCs w:val="20"/>
        </w:rPr>
        <w:t>(</w:t>
      </w:r>
      <w:r w:rsidR="009D6407">
        <w:rPr>
          <w:rFonts w:ascii="Arial" w:hAnsi="Arial"/>
          <w:b w:val="0"/>
          <w:color w:val="auto"/>
          <w:sz w:val="16"/>
          <w:szCs w:val="20"/>
        </w:rPr>
        <w:t>a</w:t>
      </w:r>
      <w:r w:rsidRPr="005F6AFE">
        <w:rPr>
          <w:rFonts w:ascii="Arial" w:hAnsi="Arial"/>
          <w:b w:val="0"/>
          <w:color w:val="auto"/>
          <w:sz w:val="16"/>
          <w:szCs w:val="20"/>
        </w:rPr>
        <w:t>)</w:t>
      </w:r>
      <w:r w:rsidR="00C45C2E">
        <w:rPr>
          <w:rFonts w:ascii="Arial" w:hAnsi="Arial"/>
          <w:b w:val="0"/>
          <w:color w:val="auto"/>
          <w:sz w:val="16"/>
          <w:szCs w:val="20"/>
        </w:rPr>
        <w:t xml:space="preserve"> </w:t>
      </w:r>
      <w:r w:rsidR="00B32E96">
        <w:rPr>
          <w:rFonts w:ascii="Arial" w:hAnsi="Arial"/>
          <w:b w:val="0"/>
          <w:color w:val="auto"/>
          <w:sz w:val="16"/>
          <w:szCs w:val="20"/>
        </w:rPr>
        <w:t xml:space="preserve"> </w:t>
      </w:r>
      <w:r w:rsidR="0006292D" w:rsidRPr="005F6AFE">
        <w:rPr>
          <w:rFonts w:ascii="Arial" w:hAnsi="Arial"/>
          <w:b w:val="0"/>
          <w:color w:val="auto"/>
          <w:sz w:val="16"/>
          <w:szCs w:val="20"/>
        </w:rPr>
        <w:t>I grandi c</w:t>
      </w:r>
      <w:r w:rsidR="00CC0849" w:rsidRPr="005F6AFE">
        <w:rPr>
          <w:rFonts w:ascii="Arial" w:hAnsi="Arial"/>
          <w:b w:val="0"/>
          <w:color w:val="auto"/>
          <w:sz w:val="16"/>
          <w:szCs w:val="20"/>
        </w:rPr>
        <w:t xml:space="preserve">omuni </w:t>
      </w:r>
      <w:r w:rsidR="001F142B" w:rsidRPr="005F6AFE">
        <w:rPr>
          <w:rFonts w:ascii="Arial" w:hAnsi="Arial"/>
          <w:b w:val="0"/>
          <w:color w:val="auto"/>
          <w:sz w:val="16"/>
          <w:szCs w:val="20"/>
        </w:rPr>
        <w:t xml:space="preserve">presenti nel grafico </w:t>
      </w:r>
      <w:r w:rsidR="00CC0849" w:rsidRPr="005F6AFE">
        <w:rPr>
          <w:rFonts w:ascii="Arial" w:hAnsi="Arial"/>
          <w:b w:val="0"/>
          <w:color w:val="auto"/>
          <w:sz w:val="16"/>
          <w:szCs w:val="20"/>
        </w:rPr>
        <w:t xml:space="preserve">sono </w:t>
      </w:r>
      <w:r w:rsidR="001F142B" w:rsidRPr="005F6AFE">
        <w:rPr>
          <w:rFonts w:ascii="Arial" w:hAnsi="Arial"/>
          <w:b w:val="0"/>
          <w:color w:val="auto"/>
          <w:sz w:val="16"/>
          <w:szCs w:val="20"/>
        </w:rPr>
        <w:t xml:space="preserve">i comuni capoluogo di provincia </w:t>
      </w:r>
      <w:r w:rsidR="00CC0849" w:rsidRPr="005F6AFE">
        <w:rPr>
          <w:rFonts w:ascii="Arial" w:hAnsi="Arial"/>
          <w:b w:val="0"/>
          <w:color w:val="auto"/>
          <w:sz w:val="16"/>
          <w:szCs w:val="20"/>
        </w:rPr>
        <w:t>con più di 150.000 abitanti.</w:t>
      </w:r>
      <w:r w:rsidR="00B87271" w:rsidRPr="00C8504B">
        <w:rPr>
          <w:rFonts w:ascii="Arial" w:hAnsi="Arial"/>
          <w:sz w:val="21"/>
          <w:szCs w:val="21"/>
        </w:rPr>
        <w:br w:type="page"/>
      </w:r>
    </w:p>
    <w:p w:rsidR="00817C60" w:rsidRPr="00F93CBE" w:rsidRDefault="00817C60" w:rsidP="00817C60">
      <w:pPr>
        <w:spacing w:before="0" w:after="120"/>
        <w:jc w:val="both"/>
        <w:rPr>
          <w:rFonts w:ascii="Arial" w:hAnsi="Arial" w:cs="Arial"/>
          <w:color w:val="000000"/>
          <w:kern w:val="0"/>
          <w:sz w:val="18"/>
          <w:szCs w:val="21"/>
        </w:rPr>
      </w:pPr>
    </w:p>
    <w:p w:rsidR="00007E47" w:rsidRPr="00C8504B" w:rsidRDefault="00007E47" w:rsidP="000362B0">
      <w:pPr>
        <w:pStyle w:val="00TitoGra1"/>
        <w:spacing w:line="240" w:lineRule="auto"/>
        <w:rPr>
          <w:color w:val="E42618"/>
          <w:szCs w:val="36"/>
        </w:rPr>
      </w:pPr>
      <w:r w:rsidRPr="00C8504B">
        <w:rPr>
          <w:color w:val="E42618"/>
          <w:szCs w:val="36"/>
        </w:rPr>
        <w:t>Indice armonizzato dei prezzi al consumo (IPCA)</w:t>
      </w:r>
    </w:p>
    <w:p w:rsidR="002674D4" w:rsidRPr="00F93CBE" w:rsidRDefault="002674D4" w:rsidP="002674D4">
      <w:pPr>
        <w:spacing w:before="0" w:after="120"/>
        <w:jc w:val="both"/>
        <w:rPr>
          <w:rFonts w:ascii="Arial" w:hAnsi="Arial" w:cs="Arial"/>
          <w:color w:val="000000"/>
          <w:kern w:val="0"/>
          <w:sz w:val="18"/>
          <w:szCs w:val="21"/>
        </w:rPr>
      </w:pPr>
    </w:p>
    <w:p w:rsidR="00373F6B" w:rsidRPr="00C8504B" w:rsidRDefault="00373F6B" w:rsidP="00BD0487">
      <w:pPr>
        <w:pStyle w:val="001TitoloBolocco"/>
        <w:spacing w:after="120" w:line="240" w:lineRule="auto"/>
        <w:rPr>
          <w:szCs w:val="26"/>
        </w:rPr>
      </w:pPr>
      <w:r w:rsidRPr="00C8504B">
        <w:rPr>
          <w:szCs w:val="26"/>
        </w:rPr>
        <w:t>Le divisioni di spesa</w:t>
      </w:r>
    </w:p>
    <w:p w:rsidR="002F10E9" w:rsidRDefault="002F10E9" w:rsidP="002F10E9">
      <w:pPr>
        <w:spacing w:before="0" w:after="120"/>
        <w:jc w:val="both"/>
        <w:rPr>
          <w:rFonts w:ascii="Arial" w:hAnsi="Arial" w:cs="Arial"/>
          <w:color w:val="000000"/>
          <w:kern w:val="0"/>
          <w:sz w:val="21"/>
          <w:szCs w:val="21"/>
        </w:rPr>
      </w:pPr>
      <w:r>
        <w:rPr>
          <w:rFonts w:ascii="Arial" w:hAnsi="Arial" w:cs="Arial"/>
          <w:color w:val="000000"/>
          <w:kern w:val="0"/>
          <w:sz w:val="21"/>
          <w:szCs w:val="21"/>
        </w:rPr>
        <w:t xml:space="preserve">A </w:t>
      </w:r>
      <w:r w:rsidR="009B6ACA">
        <w:rPr>
          <w:rFonts w:ascii="Arial" w:hAnsi="Arial" w:cs="Arial"/>
          <w:color w:val="000000"/>
          <w:kern w:val="0"/>
          <w:sz w:val="21"/>
          <w:szCs w:val="21"/>
        </w:rPr>
        <w:t>settembre</w:t>
      </w:r>
      <w:r w:rsidRPr="007A6C81">
        <w:rPr>
          <w:rFonts w:ascii="Arial" w:hAnsi="Arial" w:cs="Arial"/>
          <w:color w:val="000000"/>
          <w:kern w:val="0"/>
          <w:sz w:val="21"/>
          <w:szCs w:val="21"/>
        </w:rPr>
        <w:t xml:space="preserve">, </w:t>
      </w:r>
      <w:r>
        <w:rPr>
          <w:rFonts w:ascii="Arial" w:hAnsi="Arial" w:cs="Arial"/>
          <w:color w:val="000000"/>
          <w:kern w:val="0"/>
          <w:sz w:val="21"/>
          <w:szCs w:val="21"/>
        </w:rPr>
        <w:t>l’</w:t>
      </w:r>
      <w:r w:rsidRPr="00F12D9A">
        <w:rPr>
          <w:rFonts w:ascii="Arial" w:hAnsi="Arial" w:cs="Arial"/>
          <w:color w:val="000000"/>
          <w:kern w:val="0"/>
          <w:sz w:val="21"/>
          <w:szCs w:val="21"/>
        </w:rPr>
        <w:t>indice armonizzato dei prezzi al consumo (IPCA)</w:t>
      </w:r>
      <w:r>
        <w:rPr>
          <w:rFonts w:ascii="Arial" w:hAnsi="Arial" w:cs="Arial"/>
          <w:color w:val="000000"/>
          <w:kern w:val="0"/>
          <w:sz w:val="21"/>
          <w:szCs w:val="21"/>
        </w:rPr>
        <w:t xml:space="preserve"> </w:t>
      </w:r>
      <w:r w:rsidRPr="007A6C81">
        <w:rPr>
          <w:rFonts w:ascii="Arial" w:hAnsi="Arial" w:cs="Arial"/>
          <w:color w:val="000000"/>
          <w:kern w:val="0"/>
          <w:sz w:val="21"/>
          <w:szCs w:val="21"/>
        </w:rPr>
        <w:t>registra</w:t>
      </w:r>
      <w:r w:rsidRPr="007A6C81">
        <w:rPr>
          <w:rFonts w:ascii="Arial" w:hAnsi="Arial" w:cs="Arial"/>
          <w:sz w:val="21"/>
          <w:szCs w:val="21"/>
        </w:rPr>
        <w:t xml:space="preserve"> </w:t>
      </w:r>
      <w:r>
        <w:rPr>
          <w:rFonts w:ascii="Arial" w:hAnsi="Arial" w:cs="Arial"/>
          <w:sz w:val="21"/>
          <w:szCs w:val="21"/>
        </w:rPr>
        <w:t>un aumento dell’1,</w:t>
      </w:r>
      <w:r w:rsidR="009211E8">
        <w:rPr>
          <w:rFonts w:ascii="Arial" w:hAnsi="Arial" w:cs="Arial"/>
          <w:sz w:val="21"/>
          <w:szCs w:val="21"/>
        </w:rPr>
        <w:t>6</w:t>
      </w:r>
      <w:r>
        <w:rPr>
          <w:rFonts w:ascii="Arial" w:hAnsi="Arial" w:cs="Arial"/>
          <w:sz w:val="21"/>
          <w:szCs w:val="21"/>
        </w:rPr>
        <w:t>%</w:t>
      </w:r>
      <w:r w:rsidRPr="008B15EE">
        <w:rPr>
          <w:rFonts w:ascii="Arial" w:hAnsi="Arial" w:cs="Arial"/>
          <w:sz w:val="21"/>
          <w:szCs w:val="21"/>
        </w:rPr>
        <w:t xml:space="preserve"> su base mensile e </w:t>
      </w:r>
      <w:r w:rsidR="00777203">
        <w:rPr>
          <w:rFonts w:ascii="Arial" w:hAnsi="Arial" w:cs="Arial"/>
          <w:sz w:val="21"/>
          <w:szCs w:val="21"/>
        </w:rPr>
        <w:t xml:space="preserve">del </w:t>
      </w:r>
      <w:r w:rsidR="003C45C2">
        <w:rPr>
          <w:rFonts w:ascii="Arial" w:hAnsi="Arial" w:cs="Arial"/>
          <w:sz w:val="21"/>
          <w:szCs w:val="21"/>
        </w:rPr>
        <w:t>9,</w:t>
      </w:r>
      <w:r w:rsidR="009211E8">
        <w:rPr>
          <w:rFonts w:ascii="Arial" w:hAnsi="Arial" w:cs="Arial"/>
          <w:sz w:val="21"/>
          <w:szCs w:val="21"/>
        </w:rPr>
        <w:t>4</w:t>
      </w:r>
      <w:r>
        <w:rPr>
          <w:rFonts w:ascii="Arial" w:hAnsi="Arial" w:cs="Arial"/>
          <w:sz w:val="21"/>
          <w:szCs w:val="21"/>
        </w:rPr>
        <w:t xml:space="preserve">% </w:t>
      </w:r>
      <w:r w:rsidRPr="008B15EE">
        <w:rPr>
          <w:rFonts w:ascii="Arial" w:hAnsi="Arial" w:cs="Arial"/>
          <w:sz w:val="21"/>
          <w:szCs w:val="21"/>
        </w:rPr>
        <w:t>su bas</w:t>
      </w:r>
      <w:r>
        <w:rPr>
          <w:rFonts w:ascii="Arial" w:hAnsi="Arial" w:cs="Arial"/>
          <w:sz w:val="21"/>
          <w:szCs w:val="21"/>
        </w:rPr>
        <w:t>e annua, da +</w:t>
      </w:r>
      <w:r w:rsidR="003C45C2">
        <w:rPr>
          <w:rFonts w:ascii="Arial" w:hAnsi="Arial" w:cs="Arial"/>
          <w:sz w:val="21"/>
          <w:szCs w:val="21"/>
        </w:rPr>
        <w:t>9,1</w:t>
      </w:r>
      <w:r w:rsidRPr="008B15EE">
        <w:rPr>
          <w:rFonts w:ascii="Arial" w:hAnsi="Arial" w:cs="Arial"/>
          <w:sz w:val="21"/>
          <w:szCs w:val="21"/>
        </w:rPr>
        <w:t>% di</w:t>
      </w:r>
      <w:r>
        <w:rPr>
          <w:rFonts w:ascii="Arial" w:hAnsi="Arial" w:cs="Arial"/>
          <w:sz w:val="21"/>
          <w:szCs w:val="21"/>
        </w:rPr>
        <w:t xml:space="preserve"> </w:t>
      </w:r>
      <w:r w:rsidR="003C45C2">
        <w:rPr>
          <w:rFonts w:ascii="Arial" w:hAnsi="Arial" w:cs="Arial"/>
          <w:sz w:val="21"/>
          <w:szCs w:val="21"/>
        </w:rPr>
        <w:t>agosto</w:t>
      </w:r>
      <w:r>
        <w:rPr>
          <w:rFonts w:ascii="Arial" w:hAnsi="Arial" w:cs="Arial"/>
          <w:color w:val="000000"/>
          <w:kern w:val="0"/>
          <w:sz w:val="21"/>
          <w:szCs w:val="21"/>
        </w:rPr>
        <w:t xml:space="preserve"> (Prospetto 6).</w:t>
      </w:r>
    </w:p>
    <w:p w:rsidR="003643F1" w:rsidRDefault="003643F1" w:rsidP="003643F1">
      <w:pPr>
        <w:spacing w:before="0" w:after="120"/>
        <w:jc w:val="both"/>
        <w:rPr>
          <w:rFonts w:ascii="Arial" w:hAnsi="Arial" w:cs="Arial"/>
          <w:color w:val="000000"/>
          <w:kern w:val="0"/>
          <w:sz w:val="21"/>
          <w:szCs w:val="21"/>
        </w:rPr>
      </w:pPr>
      <w:r>
        <w:rPr>
          <w:rFonts w:ascii="Arial" w:hAnsi="Arial" w:cs="Arial"/>
          <w:color w:val="000000"/>
          <w:kern w:val="0"/>
          <w:sz w:val="21"/>
          <w:szCs w:val="21"/>
        </w:rPr>
        <w:t>L’</w:t>
      </w:r>
      <w:r w:rsidRPr="00931743">
        <w:rPr>
          <w:rFonts w:ascii="Arial" w:hAnsi="Arial" w:cs="Arial"/>
          <w:color w:val="000000"/>
          <w:kern w:val="0"/>
          <w:sz w:val="21"/>
          <w:szCs w:val="21"/>
        </w:rPr>
        <w:t>a</w:t>
      </w:r>
      <w:r>
        <w:rPr>
          <w:rFonts w:ascii="Arial" w:hAnsi="Arial" w:cs="Arial"/>
          <w:color w:val="000000"/>
          <w:kern w:val="0"/>
          <w:sz w:val="21"/>
          <w:szCs w:val="21"/>
        </w:rPr>
        <w:t xml:space="preserve">ccelerazione </w:t>
      </w:r>
      <w:r w:rsidRPr="00931743">
        <w:rPr>
          <w:rFonts w:ascii="Arial" w:hAnsi="Arial" w:cs="Arial"/>
          <w:color w:val="000000"/>
          <w:kern w:val="0"/>
          <w:sz w:val="21"/>
          <w:szCs w:val="21"/>
        </w:rPr>
        <w:t xml:space="preserve">dell’IPCA </w:t>
      </w:r>
      <w:r>
        <w:rPr>
          <w:rFonts w:ascii="Arial" w:hAnsi="Arial" w:cs="Arial"/>
          <w:color w:val="000000"/>
          <w:kern w:val="0"/>
          <w:sz w:val="21"/>
          <w:szCs w:val="21"/>
        </w:rPr>
        <w:t>è spiegata prevalentemente, come per il NIC, da una parte d</w:t>
      </w:r>
      <w:r w:rsidRPr="0065501C">
        <w:rPr>
          <w:rFonts w:ascii="Arial" w:hAnsi="Arial" w:cs="Arial"/>
          <w:color w:val="000000"/>
          <w:kern w:val="0"/>
          <w:sz w:val="21"/>
          <w:szCs w:val="21"/>
        </w:rPr>
        <w:t xml:space="preserve">ai prezzi </w:t>
      </w:r>
      <w:r>
        <w:rPr>
          <w:rFonts w:ascii="Arial" w:hAnsi="Arial" w:cs="Arial"/>
          <w:color w:val="000000"/>
          <w:kern w:val="0"/>
          <w:sz w:val="21"/>
          <w:szCs w:val="21"/>
        </w:rPr>
        <w:t xml:space="preserve">dei Prodotti </w:t>
      </w:r>
      <w:r w:rsidRPr="00664CF1">
        <w:rPr>
          <w:rFonts w:ascii="Arial" w:hAnsi="Arial" w:cs="Arial"/>
          <w:color w:val="000000"/>
          <w:kern w:val="0"/>
          <w:sz w:val="21"/>
          <w:szCs w:val="21"/>
        </w:rPr>
        <w:t>alimentari e beva</w:t>
      </w:r>
      <w:r>
        <w:rPr>
          <w:rFonts w:ascii="Arial" w:hAnsi="Arial" w:cs="Arial"/>
          <w:color w:val="000000"/>
          <w:kern w:val="0"/>
          <w:sz w:val="21"/>
          <w:szCs w:val="21"/>
        </w:rPr>
        <w:t xml:space="preserve">nde analcoliche (da +10,7% a +11,8%) e dall’altra dai prezzi dei Servizi ricettivi e di ristorazione (da +6,6% a +7,9%); accelerano anche i prezzi di Mobili, articoli e servizi </w:t>
      </w:r>
      <w:r w:rsidR="00B879DC">
        <w:rPr>
          <w:rFonts w:ascii="Arial" w:hAnsi="Arial" w:cs="Arial"/>
          <w:color w:val="000000"/>
          <w:kern w:val="0"/>
          <w:sz w:val="21"/>
          <w:szCs w:val="21"/>
        </w:rPr>
        <w:t>per la casa (da +5,7% a +6,5%),</w:t>
      </w:r>
      <w:r>
        <w:rPr>
          <w:rFonts w:ascii="Arial" w:hAnsi="Arial" w:cs="Arial"/>
          <w:color w:val="000000"/>
          <w:kern w:val="0"/>
          <w:sz w:val="21"/>
          <w:szCs w:val="21"/>
        </w:rPr>
        <w:t xml:space="preserve"> di Abitazione, acqua, elettricità e combustibili (da +31,6% a +32,2%) e registrano una flessione meno ampia (da -3,6% a -3,0%) i prezzi delle Comunicazioni. Rallentano invece i prezzi de</w:t>
      </w:r>
      <w:r w:rsidR="00192064">
        <w:rPr>
          <w:rFonts w:ascii="Arial" w:hAnsi="Arial" w:cs="Arial"/>
          <w:color w:val="000000"/>
          <w:kern w:val="0"/>
          <w:sz w:val="21"/>
          <w:szCs w:val="21"/>
        </w:rPr>
        <w:t>i Trasporti (da +10,3% a +9,5%)</w:t>
      </w:r>
      <w:r>
        <w:rPr>
          <w:rFonts w:ascii="Arial" w:hAnsi="Arial" w:cs="Arial"/>
          <w:color w:val="000000"/>
          <w:kern w:val="0"/>
          <w:sz w:val="21"/>
          <w:szCs w:val="21"/>
        </w:rPr>
        <w:t>.</w:t>
      </w:r>
    </w:p>
    <w:p w:rsidR="004B71DC" w:rsidRDefault="00566989" w:rsidP="004B71DC">
      <w:pPr>
        <w:spacing w:before="0" w:after="120"/>
        <w:jc w:val="both"/>
        <w:rPr>
          <w:rFonts w:ascii="Arial" w:hAnsi="Arial" w:cs="Arial"/>
          <w:color w:val="000000"/>
          <w:kern w:val="0"/>
          <w:sz w:val="21"/>
          <w:szCs w:val="21"/>
        </w:rPr>
      </w:pPr>
      <w:r>
        <w:rPr>
          <w:rFonts w:ascii="Arial" w:hAnsi="Arial" w:cs="Arial"/>
          <w:color w:val="000000"/>
          <w:kern w:val="0"/>
          <w:sz w:val="21"/>
          <w:szCs w:val="21"/>
        </w:rPr>
        <w:t xml:space="preserve">In assenza degli interventi di natura fiscale adottati dal governo per contrastare i rincari dei prodotti energetici (riduzione dell’IVA sul gas a ottobre 2021 e delle accise sui carburanti a partire dal 22 marzo 2022), l’inflazione misurata dall’IPCA a tassazione constante (IPCA-TC) a </w:t>
      </w:r>
      <w:r w:rsidR="009B6ACA">
        <w:rPr>
          <w:rFonts w:ascii="Arial" w:hAnsi="Arial" w:cs="Arial"/>
          <w:color w:val="000000"/>
          <w:kern w:val="0"/>
          <w:sz w:val="21"/>
          <w:szCs w:val="21"/>
        </w:rPr>
        <w:t>settembre</w:t>
      </w:r>
      <w:r>
        <w:rPr>
          <w:rFonts w:ascii="Arial" w:hAnsi="Arial" w:cs="Arial"/>
          <w:color w:val="000000"/>
          <w:kern w:val="0"/>
          <w:sz w:val="21"/>
          <w:szCs w:val="21"/>
        </w:rPr>
        <w:t xml:space="preserve"> sarebbe stata pari a +</w:t>
      </w:r>
      <w:r w:rsidR="005C5284">
        <w:rPr>
          <w:rFonts w:ascii="Arial" w:hAnsi="Arial" w:cs="Arial"/>
          <w:color w:val="000000"/>
          <w:kern w:val="0"/>
          <w:sz w:val="21"/>
          <w:szCs w:val="21"/>
        </w:rPr>
        <w:t>10,6</w:t>
      </w:r>
      <w:r>
        <w:rPr>
          <w:rFonts w:ascii="Arial" w:hAnsi="Arial" w:cs="Arial"/>
          <w:color w:val="000000"/>
          <w:kern w:val="0"/>
          <w:sz w:val="21"/>
          <w:szCs w:val="21"/>
        </w:rPr>
        <w:t>% (da +</w:t>
      </w:r>
      <w:r w:rsidR="005C5284">
        <w:rPr>
          <w:rFonts w:ascii="Arial" w:hAnsi="Arial" w:cs="Arial"/>
          <w:color w:val="000000"/>
          <w:kern w:val="0"/>
          <w:sz w:val="21"/>
          <w:szCs w:val="21"/>
        </w:rPr>
        <w:t>10,3</w:t>
      </w:r>
      <w:r>
        <w:rPr>
          <w:rFonts w:ascii="Arial" w:hAnsi="Arial" w:cs="Arial"/>
          <w:color w:val="000000"/>
          <w:kern w:val="0"/>
          <w:sz w:val="21"/>
          <w:szCs w:val="21"/>
        </w:rPr>
        <w:t xml:space="preserve">% di </w:t>
      </w:r>
      <w:r w:rsidR="00E74B11">
        <w:rPr>
          <w:rFonts w:ascii="Arial" w:hAnsi="Arial" w:cs="Arial"/>
          <w:color w:val="000000"/>
          <w:kern w:val="0"/>
          <w:sz w:val="21"/>
          <w:szCs w:val="21"/>
        </w:rPr>
        <w:t>agosto</w:t>
      </w:r>
      <w:r>
        <w:rPr>
          <w:rFonts w:ascii="Arial" w:hAnsi="Arial" w:cs="Arial"/>
          <w:color w:val="000000"/>
          <w:kern w:val="0"/>
          <w:sz w:val="21"/>
          <w:szCs w:val="21"/>
        </w:rPr>
        <w:t xml:space="preserve">). </w:t>
      </w:r>
    </w:p>
    <w:p w:rsidR="00BF5066" w:rsidRPr="0071037E" w:rsidRDefault="00BF5066" w:rsidP="0027680C">
      <w:pPr>
        <w:spacing w:before="0" w:after="120"/>
        <w:jc w:val="both"/>
        <w:rPr>
          <w:rFonts w:ascii="Arial" w:hAnsi="Arial" w:cs="Arial"/>
          <w:color w:val="000000"/>
          <w:kern w:val="0"/>
          <w:sz w:val="18"/>
          <w:szCs w:val="21"/>
        </w:rPr>
      </w:pPr>
    </w:p>
    <w:p w:rsidR="00373F6B" w:rsidRPr="00C8504B" w:rsidRDefault="00373F6B" w:rsidP="0027680C">
      <w:pPr>
        <w:spacing w:before="0" w:after="120"/>
        <w:jc w:val="both"/>
        <w:rPr>
          <w:rFonts w:ascii="Arial Narrow" w:hAnsi="Arial Narrow" w:cs="Arial"/>
          <w:color w:val="5F5F5F"/>
          <w:sz w:val="22"/>
          <w:szCs w:val="22"/>
        </w:rPr>
      </w:pPr>
      <w:r w:rsidRPr="00C8504B">
        <w:rPr>
          <w:rFonts w:ascii="Arial Narrow" w:hAnsi="Arial Narrow" w:cs="Arial"/>
          <w:b/>
          <w:color w:val="E42618"/>
          <w:kern w:val="0"/>
          <w:sz w:val="22"/>
          <w:szCs w:val="22"/>
        </w:rPr>
        <w:t>PROSPETTO</w:t>
      </w:r>
      <w:r w:rsidR="00E74721" w:rsidRPr="00C8504B">
        <w:rPr>
          <w:rFonts w:ascii="Arial Narrow" w:hAnsi="Arial Narrow" w:cs="Arial"/>
          <w:b/>
          <w:color w:val="E42618"/>
          <w:kern w:val="0"/>
          <w:sz w:val="22"/>
          <w:szCs w:val="22"/>
        </w:rPr>
        <w:t xml:space="preserve"> 6</w:t>
      </w:r>
      <w:r w:rsidRPr="00C8504B">
        <w:rPr>
          <w:rFonts w:ascii="Arial Narrow" w:hAnsi="Arial Narrow" w:cs="Arial"/>
          <w:b/>
          <w:color w:val="E42618"/>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INDICI DEI PREZZI AL CONSUMO IPCA PER DIVISIONE DI SPESA</w:t>
      </w:r>
      <w:r w:rsidR="00AB4D53" w:rsidRPr="00C8504B">
        <w:rPr>
          <w:rFonts w:ascii="Arial Narrow" w:hAnsi="Arial Narrow" w:cs="Arial"/>
          <w:b/>
          <w:color w:val="5F5F5F"/>
        </w:rPr>
        <w:br/>
      </w:r>
      <w:r w:rsidR="009B6ACA">
        <w:rPr>
          <w:rFonts w:ascii="Arial Narrow" w:hAnsi="Arial Narrow" w:cs="Arial"/>
          <w:color w:val="5F5F5F"/>
        </w:rPr>
        <w:t>Settembre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Pr="00C8504B">
        <w:rPr>
          <w:rFonts w:ascii="Arial Narrow" w:hAnsi="Arial Narrow" w:cs="Arial"/>
          <w:color w:val="5F5F5F"/>
        </w:rPr>
        <w:t>, pesi e variazioni percentuali</w:t>
      </w:r>
      <w:r w:rsidR="00625F9C" w:rsidRPr="00C8504B">
        <w:rPr>
          <w:rFonts w:ascii="Arial Narrow" w:hAnsi="Arial Narrow" w:cs="Arial"/>
          <w:color w:val="5F5F5F"/>
        </w:rPr>
        <w:t xml:space="preserve"> </w:t>
      </w:r>
      <w:r w:rsidR="00AD29B6" w:rsidRPr="00C8504B">
        <w:rPr>
          <w:rFonts w:ascii="Arial Narrow" w:hAnsi="Arial Narrow" w:cs="Arial"/>
          <w:color w:val="5F5F5F"/>
        </w:rPr>
        <w:t>congiunturali</w:t>
      </w:r>
      <w:r w:rsidR="00625F9C" w:rsidRPr="00C8504B">
        <w:rPr>
          <w:rFonts w:ascii="Arial Narrow" w:hAnsi="Arial Narrow" w:cs="Arial"/>
          <w:color w:val="5F5F5F"/>
        </w:rPr>
        <w:t xml:space="preserve"> e tendenziali</w:t>
      </w:r>
      <w:r w:rsidRPr="00C8504B">
        <w:rPr>
          <w:rFonts w:ascii="Arial Narrow" w:hAnsi="Arial Narrow" w:cs="Arial"/>
          <w:color w:val="5F5F5F"/>
        </w:rPr>
        <w:t xml:space="preserve"> (base 2015=100</w:t>
      </w:r>
      <w:r w:rsidRPr="00C8504B">
        <w:rPr>
          <w:rFonts w:ascii="Arial Narrow" w:hAnsi="Arial Narrow" w:cs="Arial"/>
          <w:color w:val="5F5F5F"/>
          <w:sz w:val="22"/>
          <w:szCs w:val="22"/>
        </w:rPr>
        <w:t xml:space="preserve">) </w:t>
      </w:r>
    </w:p>
    <w:tbl>
      <w:tblPr>
        <w:tblW w:w="10250" w:type="dxa"/>
        <w:jc w:val="center"/>
        <w:tblBorders>
          <w:top w:val="single" w:sz="4" w:space="0" w:color="080808"/>
          <w:bottom w:val="single" w:sz="4" w:space="0" w:color="080808"/>
          <w:insideH w:val="single" w:sz="4" w:space="0" w:color="080808"/>
        </w:tblBorders>
        <w:tblCellMar>
          <w:left w:w="70" w:type="dxa"/>
          <w:right w:w="0" w:type="dxa"/>
        </w:tblCellMar>
        <w:tblLook w:val="0000" w:firstRow="0" w:lastRow="0" w:firstColumn="0" w:lastColumn="0" w:noHBand="0" w:noVBand="0"/>
      </w:tblPr>
      <w:tblGrid>
        <w:gridCol w:w="3593"/>
        <w:gridCol w:w="1294"/>
        <w:gridCol w:w="1080"/>
        <w:gridCol w:w="69"/>
        <w:gridCol w:w="1005"/>
        <w:gridCol w:w="62"/>
        <w:gridCol w:w="1087"/>
        <w:gridCol w:w="62"/>
        <w:gridCol w:w="934"/>
        <w:gridCol w:w="1051"/>
        <w:gridCol w:w="13"/>
      </w:tblGrid>
      <w:tr w:rsidR="00B33C41" w:rsidRPr="00C8504B" w:rsidTr="00C70BCF">
        <w:trPr>
          <w:gridAfter w:val="1"/>
          <w:wAfter w:w="13" w:type="dxa"/>
          <w:trHeight w:val="347"/>
          <w:jc w:val="center"/>
        </w:trPr>
        <w:tc>
          <w:tcPr>
            <w:tcW w:w="3593" w:type="dxa"/>
            <w:vMerge w:val="restart"/>
            <w:vAlign w:val="center"/>
          </w:tcPr>
          <w:p w:rsidR="00B33C41" w:rsidRPr="00C8504B" w:rsidRDefault="00B33C41" w:rsidP="00B33C41">
            <w:pPr>
              <w:spacing w:before="40" w:after="20"/>
              <w:ind w:left="-57"/>
              <w:rPr>
                <w:rFonts w:ascii="Arial Narrow" w:hAnsi="Arial Narrow" w:cs="Arial"/>
                <w:bCs/>
                <w:sz w:val="18"/>
                <w:szCs w:val="18"/>
              </w:rPr>
            </w:pPr>
            <w:r w:rsidRPr="00C8504B">
              <w:rPr>
                <w:rFonts w:ascii="Arial Narrow" w:hAnsi="Arial Narrow" w:cs="Arial"/>
                <w:b/>
                <w:bCs/>
                <w:sz w:val="18"/>
                <w:szCs w:val="18"/>
              </w:rPr>
              <w:t>DIVISIONI DI SPESA</w:t>
            </w:r>
          </w:p>
        </w:tc>
        <w:tc>
          <w:tcPr>
            <w:tcW w:w="1294" w:type="dxa"/>
            <w:vMerge w:val="restart"/>
            <w:shd w:val="clear" w:color="auto" w:fill="D9D9D9"/>
            <w:vAlign w:val="center"/>
          </w:tcPr>
          <w:p w:rsidR="00B33C41" w:rsidRPr="00C8504B" w:rsidRDefault="00B33C41" w:rsidP="00B33C41">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2154" w:type="dxa"/>
            <w:gridSpan w:val="3"/>
            <w:vAlign w:val="center"/>
          </w:tcPr>
          <w:p w:rsidR="00B33C41" w:rsidRPr="00C8504B" w:rsidRDefault="00B33C41" w:rsidP="00B33C41">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Variazioni congiunturali</w:t>
            </w:r>
          </w:p>
        </w:tc>
        <w:tc>
          <w:tcPr>
            <w:tcW w:w="2145" w:type="dxa"/>
            <w:gridSpan w:val="4"/>
            <w:shd w:val="clear" w:color="auto" w:fill="D9D9D9"/>
            <w:vAlign w:val="center"/>
          </w:tcPr>
          <w:p w:rsidR="00B33C41" w:rsidRPr="00C8504B" w:rsidRDefault="00B33C41" w:rsidP="00B33C41">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Variazioni tendenziali</w:t>
            </w:r>
          </w:p>
        </w:tc>
        <w:tc>
          <w:tcPr>
            <w:tcW w:w="1051" w:type="dxa"/>
            <w:vMerge w:val="restart"/>
            <w:shd w:val="clear" w:color="auto" w:fill="auto"/>
            <w:vAlign w:val="center"/>
          </w:tcPr>
          <w:p w:rsidR="00B33C41" w:rsidRPr="00C8504B" w:rsidRDefault="00B33C41" w:rsidP="00777203">
            <w:pPr>
              <w:spacing w:before="40" w:after="20"/>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Pr>
                <w:rFonts w:ascii="Arial Narrow" w:hAnsi="Arial Narrow" w:cs="Arial"/>
                <w:b/>
                <w:bCs/>
                <w:kern w:val="0"/>
                <w:sz w:val="18"/>
                <w:szCs w:val="18"/>
              </w:rPr>
              <w:t xml:space="preserve"> a </w:t>
            </w:r>
            <w:r w:rsidR="009B6ACA">
              <w:rPr>
                <w:rFonts w:ascii="Arial Narrow" w:hAnsi="Arial Narrow" w:cs="Arial"/>
                <w:b/>
                <w:bCs/>
                <w:kern w:val="0"/>
                <w:sz w:val="18"/>
                <w:szCs w:val="18"/>
              </w:rPr>
              <w:t>settembre</w:t>
            </w:r>
          </w:p>
        </w:tc>
      </w:tr>
      <w:tr w:rsidR="00932AA7" w:rsidRPr="00C8504B" w:rsidTr="00C70BCF">
        <w:trPr>
          <w:gridAfter w:val="1"/>
          <w:wAfter w:w="13" w:type="dxa"/>
          <w:trHeight w:val="346"/>
          <w:jc w:val="center"/>
        </w:trPr>
        <w:tc>
          <w:tcPr>
            <w:tcW w:w="3593" w:type="dxa"/>
            <w:vMerge/>
            <w:vAlign w:val="center"/>
          </w:tcPr>
          <w:p w:rsidR="00932AA7" w:rsidRPr="00C8504B" w:rsidRDefault="00932AA7" w:rsidP="00932AA7">
            <w:pPr>
              <w:spacing w:before="40" w:after="20"/>
              <w:ind w:left="-57"/>
              <w:rPr>
                <w:rFonts w:ascii="Arial Narrow" w:hAnsi="Arial Narrow" w:cs="Arial"/>
                <w:b/>
                <w:bCs/>
                <w:sz w:val="18"/>
                <w:szCs w:val="18"/>
              </w:rPr>
            </w:pPr>
          </w:p>
        </w:tc>
        <w:tc>
          <w:tcPr>
            <w:tcW w:w="1294" w:type="dxa"/>
            <w:vMerge/>
            <w:shd w:val="clear" w:color="auto" w:fill="D9D9D9"/>
            <w:vAlign w:val="center"/>
          </w:tcPr>
          <w:p w:rsidR="00932AA7" w:rsidRPr="00C8504B" w:rsidRDefault="00932AA7" w:rsidP="00932AA7">
            <w:pPr>
              <w:spacing w:before="40" w:after="20"/>
              <w:ind w:right="57"/>
              <w:jc w:val="right"/>
              <w:rPr>
                <w:rFonts w:ascii="Arial Narrow" w:hAnsi="Arial Narrow" w:cs="Arial"/>
                <w:b/>
                <w:bCs/>
                <w:sz w:val="18"/>
                <w:szCs w:val="18"/>
              </w:rPr>
            </w:pPr>
          </w:p>
        </w:tc>
        <w:tc>
          <w:tcPr>
            <w:tcW w:w="1149" w:type="dxa"/>
            <w:gridSpan w:val="2"/>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932AA7" w:rsidRPr="00E03E58" w:rsidRDefault="00932AA7" w:rsidP="00932AA7">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ago-22</w:t>
            </w:r>
          </w:p>
        </w:tc>
        <w:tc>
          <w:tcPr>
            <w:tcW w:w="1005" w:type="dxa"/>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set-21</w:t>
            </w:r>
          </w:p>
          <w:p w:rsidR="00932AA7" w:rsidRPr="008814F3"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ago-21</w:t>
            </w:r>
          </w:p>
        </w:tc>
        <w:tc>
          <w:tcPr>
            <w:tcW w:w="1149" w:type="dxa"/>
            <w:gridSpan w:val="2"/>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932AA7" w:rsidRPr="008814F3"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set-21</w:t>
            </w:r>
          </w:p>
        </w:tc>
        <w:tc>
          <w:tcPr>
            <w:tcW w:w="996" w:type="dxa"/>
            <w:gridSpan w:val="2"/>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ago-22</w:t>
            </w:r>
          </w:p>
          <w:p w:rsidR="00932AA7" w:rsidRPr="008814F3"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ago-21</w:t>
            </w:r>
          </w:p>
        </w:tc>
        <w:tc>
          <w:tcPr>
            <w:tcW w:w="1051" w:type="dxa"/>
            <w:vMerge/>
            <w:shd w:val="clear" w:color="auto" w:fill="auto"/>
            <w:vAlign w:val="center"/>
          </w:tcPr>
          <w:p w:rsidR="00932AA7" w:rsidRPr="00F86CA5" w:rsidRDefault="00932AA7" w:rsidP="00932AA7">
            <w:pPr>
              <w:spacing w:before="40" w:after="20"/>
              <w:jc w:val="right"/>
              <w:rPr>
                <w:rFonts w:ascii="Arial Narrow" w:hAnsi="Arial Narrow" w:cs="Arial"/>
                <w:b/>
                <w:bCs/>
                <w:sz w:val="18"/>
                <w:szCs w:val="18"/>
              </w:rPr>
            </w:pPr>
          </w:p>
        </w:tc>
      </w:tr>
      <w:tr w:rsidR="006E555C" w:rsidRPr="00C8504B" w:rsidTr="0011319E">
        <w:trPr>
          <w:trHeight w:val="255"/>
          <w:jc w:val="center"/>
        </w:trPr>
        <w:tc>
          <w:tcPr>
            <w:tcW w:w="3593" w:type="dxa"/>
            <w:vAlign w:val="center"/>
          </w:tcPr>
          <w:p w:rsidR="006E555C" w:rsidRPr="00C8504B" w:rsidRDefault="006E555C" w:rsidP="006E555C">
            <w:pPr>
              <w:spacing w:before="40" w:after="20"/>
              <w:ind w:left="-57"/>
              <w:rPr>
                <w:rFonts w:ascii="Arial Narrow" w:hAnsi="Arial Narrow" w:cs="Arial"/>
                <w:sz w:val="18"/>
                <w:szCs w:val="18"/>
              </w:rPr>
            </w:pPr>
            <w:r w:rsidRPr="00C8504B">
              <w:rPr>
                <w:rFonts w:ascii="Arial Narrow" w:hAnsi="Arial Narrow" w:cs="Arial"/>
                <w:sz w:val="18"/>
                <w:szCs w:val="18"/>
              </w:rPr>
              <w:t>Prodotti alimentari e bevande analcoliche</w:t>
            </w:r>
          </w:p>
        </w:tc>
        <w:tc>
          <w:tcPr>
            <w:tcW w:w="1294" w:type="dxa"/>
            <w:shd w:val="clear" w:color="auto" w:fill="D9D9D9"/>
            <w:vAlign w:val="center"/>
          </w:tcPr>
          <w:p w:rsidR="006E555C" w:rsidRPr="00393591" w:rsidRDefault="006E555C" w:rsidP="006E555C">
            <w:pPr>
              <w:spacing w:before="40" w:after="20"/>
              <w:ind w:left="-57" w:right="57"/>
              <w:jc w:val="right"/>
              <w:rPr>
                <w:rFonts w:ascii="Arial Narrow" w:hAnsi="Arial Narrow" w:cs="Arial"/>
                <w:sz w:val="18"/>
                <w:szCs w:val="18"/>
              </w:rPr>
            </w:pPr>
            <w:r w:rsidRPr="00393591">
              <w:rPr>
                <w:rFonts w:ascii="Arial Narrow" w:hAnsi="Arial Narrow" w:cs="Arial"/>
                <w:sz w:val="18"/>
                <w:szCs w:val="18"/>
              </w:rPr>
              <w:t>194.554</w:t>
            </w:r>
          </w:p>
        </w:tc>
        <w:tc>
          <w:tcPr>
            <w:tcW w:w="1080" w:type="dxa"/>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+1,1</w:t>
            </w:r>
          </w:p>
        </w:tc>
        <w:tc>
          <w:tcPr>
            <w:tcW w:w="1136" w:type="dxa"/>
            <w:gridSpan w:val="3"/>
            <w:shd w:val="clear" w:color="auto" w:fill="D9D9D9"/>
            <w:tcMar>
              <w:left w:w="28" w:type="dxa"/>
              <w:right w:w="85" w:type="dxa"/>
            </w:tcMar>
            <w:vAlign w:val="center"/>
          </w:tcPr>
          <w:p w:rsidR="006E555C" w:rsidRPr="007575C0" w:rsidRDefault="006E555C" w:rsidP="00777203">
            <w:pPr>
              <w:spacing w:before="40" w:after="20"/>
              <w:ind w:left="-57"/>
              <w:jc w:val="right"/>
              <w:rPr>
                <w:rFonts w:ascii="Arial Narrow" w:hAnsi="Arial Narrow" w:cs="Arial"/>
                <w:sz w:val="18"/>
                <w:szCs w:val="18"/>
              </w:rPr>
            </w:pPr>
            <w:r w:rsidRPr="007575C0">
              <w:rPr>
                <w:rFonts w:ascii="Arial Narrow" w:hAnsi="Arial Narrow" w:cs="Arial"/>
                <w:sz w:val="18"/>
                <w:szCs w:val="18"/>
              </w:rPr>
              <w:t>+0,1</w:t>
            </w:r>
          </w:p>
        </w:tc>
        <w:tc>
          <w:tcPr>
            <w:tcW w:w="1149" w:type="dxa"/>
            <w:gridSpan w:val="2"/>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+11,8</w:t>
            </w:r>
          </w:p>
        </w:tc>
        <w:tc>
          <w:tcPr>
            <w:tcW w:w="934" w:type="dxa"/>
            <w:shd w:val="clear" w:color="auto" w:fill="D9D9D9"/>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+10,7</w:t>
            </w:r>
          </w:p>
        </w:tc>
        <w:tc>
          <w:tcPr>
            <w:tcW w:w="1064" w:type="dxa"/>
            <w:gridSpan w:val="2"/>
            <w:shd w:val="clear" w:color="auto" w:fill="auto"/>
            <w:tcMar>
              <w:right w:w="68" w:type="dxa"/>
            </w:tcMar>
            <w:vAlign w:val="center"/>
          </w:tcPr>
          <w:p w:rsidR="006E555C" w:rsidRPr="007575C0" w:rsidRDefault="006E555C" w:rsidP="007575C0">
            <w:pPr>
              <w:spacing w:before="40" w:after="20"/>
              <w:ind w:left="-57"/>
              <w:jc w:val="right"/>
              <w:rPr>
                <w:rFonts w:ascii="Arial Narrow" w:hAnsi="Arial Narrow" w:cs="Arial"/>
                <w:sz w:val="18"/>
                <w:szCs w:val="18"/>
              </w:rPr>
            </w:pPr>
            <w:r w:rsidRPr="007575C0">
              <w:rPr>
                <w:rFonts w:ascii="Arial Narrow" w:hAnsi="Arial Narrow" w:cs="Arial"/>
                <w:sz w:val="18"/>
                <w:szCs w:val="18"/>
              </w:rPr>
              <w:t>+8,5</w:t>
            </w:r>
          </w:p>
        </w:tc>
      </w:tr>
      <w:tr w:rsidR="006E555C" w:rsidRPr="00C8504B" w:rsidTr="0011319E">
        <w:trPr>
          <w:trHeight w:val="255"/>
          <w:jc w:val="center"/>
        </w:trPr>
        <w:tc>
          <w:tcPr>
            <w:tcW w:w="3593" w:type="dxa"/>
            <w:vAlign w:val="center"/>
          </w:tcPr>
          <w:p w:rsidR="006E555C" w:rsidRPr="00C8504B" w:rsidRDefault="006E555C" w:rsidP="006E555C">
            <w:pPr>
              <w:spacing w:before="40" w:after="20"/>
              <w:ind w:left="-57"/>
              <w:rPr>
                <w:rFonts w:ascii="Arial Narrow" w:hAnsi="Arial Narrow" w:cs="Arial"/>
                <w:sz w:val="18"/>
                <w:szCs w:val="18"/>
              </w:rPr>
            </w:pPr>
            <w:r w:rsidRPr="00C8504B">
              <w:rPr>
                <w:rFonts w:ascii="Arial Narrow" w:hAnsi="Arial Narrow" w:cs="Arial"/>
                <w:sz w:val="18"/>
                <w:szCs w:val="18"/>
              </w:rPr>
              <w:t>Bevande alcoliche e tabacchi</w:t>
            </w:r>
          </w:p>
        </w:tc>
        <w:tc>
          <w:tcPr>
            <w:tcW w:w="1294" w:type="dxa"/>
            <w:shd w:val="clear" w:color="auto" w:fill="D9D9D9"/>
            <w:vAlign w:val="center"/>
          </w:tcPr>
          <w:p w:rsidR="006E555C" w:rsidRPr="00393591" w:rsidRDefault="006E555C" w:rsidP="006E555C">
            <w:pPr>
              <w:spacing w:before="40" w:after="20"/>
              <w:ind w:left="-57" w:right="57"/>
              <w:jc w:val="right"/>
              <w:rPr>
                <w:rFonts w:ascii="Arial Narrow" w:hAnsi="Arial Narrow" w:cs="Arial"/>
                <w:sz w:val="18"/>
                <w:szCs w:val="18"/>
              </w:rPr>
            </w:pPr>
            <w:r w:rsidRPr="00393591">
              <w:rPr>
                <w:rFonts w:ascii="Arial Narrow" w:hAnsi="Arial Narrow" w:cs="Arial"/>
                <w:sz w:val="18"/>
                <w:szCs w:val="18"/>
              </w:rPr>
              <w:t>36.056</w:t>
            </w:r>
          </w:p>
        </w:tc>
        <w:tc>
          <w:tcPr>
            <w:tcW w:w="1080" w:type="dxa"/>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+0,3</w:t>
            </w:r>
          </w:p>
        </w:tc>
        <w:tc>
          <w:tcPr>
            <w:tcW w:w="1136" w:type="dxa"/>
            <w:gridSpan w:val="3"/>
            <w:shd w:val="clear" w:color="auto" w:fill="D9D9D9"/>
            <w:tcMar>
              <w:left w:w="28" w:type="dxa"/>
              <w:right w:w="85" w:type="dxa"/>
            </w:tcMar>
            <w:vAlign w:val="center"/>
          </w:tcPr>
          <w:p w:rsidR="006E555C" w:rsidRPr="007575C0" w:rsidRDefault="006E555C" w:rsidP="00777203">
            <w:pPr>
              <w:spacing w:before="40" w:after="20"/>
              <w:ind w:left="-57"/>
              <w:jc w:val="right"/>
              <w:rPr>
                <w:rFonts w:ascii="Arial Narrow" w:hAnsi="Arial Narrow" w:cs="Arial"/>
                <w:sz w:val="18"/>
                <w:szCs w:val="18"/>
              </w:rPr>
            </w:pPr>
            <w:r w:rsidRPr="007575C0">
              <w:rPr>
                <w:rFonts w:ascii="Arial Narrow" w:hAnsi="Arial Narrow" w:cs="Arial"/>
                <w:sz w:val="18"/>
                <w:szCs w:val="18"/>
              </w:rPr>
              <w:t>-0,1</w:t>
            </w:r>
          </w:p>
        </w:tc>
        <w:tc>
          <w:tcPr>
            <w:tcW w:w="1149" w:type="dxa"/>
            <w:gridSpan w:val="2"/>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+2,0</w:t>
            </w:r>
          </w:p>
        </w:tc>
        <w:tc>
          <w:tcPr>
            <w:tcW w:w="934" w:type="dxa"/>
            <w:shd w:val="clear" w:color="auto" w:fill="D9D9D9"/>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+1,6</w:t>
            </w:r>
          </w:p>
        </w:tc>
        <w:tc>
          <w:tcPr>
            <w:tcW w:w="1064" w:type="dxa"/>
            <w:gridSpan w:val="2"/>
            <w:shd w:val="clear" w:color="auto" w:fill="auto"/>
            <w:tcMar>
              <w:right w:w="68" w:type="dxa"/>
            </w:tcMar>
            <w:vAlign w:val="center"/>
          </w:tcPr>
          <w:p w:rsidR="006E555C" w:rsidRPr="007575C0" w:rsidRDefault="006E555C" w:rsidP="007575C0">
            <w:pPr>
              <w:spacing w:before="40" w:after="20"/>
              <w:ind w:left="-57"/>
              <w:jc w:val="right"/>
              <w:rPr>
                <w:rFonts w:ascii="Arial Narrow" w:hAnsi="Arial Narrow" w:cs="Arial"/>
                <w:sz w:val="18"/>
                <w:szCs w:val="18"/>
              </w:rPr>
            </w:pPr>
            <w:r w:rsidRPr="007575C0">
              <w:rPr>
                <w:rFonts w:ascii="Arial Narrow" w:hAnsi="Arial Narrow" w:cs="Arial"/>
                <w:sz w:val="18"/>
                <w:szCs w:val="18"/>
              </w:rPr>
              <w:t>+1,3</w:t>
            </w:r>
          </w:p>
        </w:tc>
      </w:tr>
      <w:tr w:rsidR="006E555C" w:rsidRPr="00C8504B" w:rsidTr="0011319E">
        <w:trPr>
          <w:trHeight w:val="255"/>
          <w:jc w:val="center"/>
        </w:trPr>
        <w:tc>
          <w:tcPr>
            <w:tcW w:w="3593" w:type="dxa"/>
            <w:vAlign w:val="center"/>
          </w:tcPr>
          <w:p w:rsidR="006E555C" w:rsidRPr="00C8504B" w:rsidRDefault="006E555C" w:rsidP="006E555C">
            <w:pPr>
              <w:spacing w:before="40" w:after="20"/>
              <w:ind w:left="-57"/>
              <w:rPr>
                <w:rFonts w:ascii="Arial Narrow" w:hAnsi="Arial Narrow" w:cs="Arial"/>
                <w:sz w:val="18"/>
                <w:szCs w:val="18"/>
              </w:rPr>
            </w:pPr>
            <w:r w:rsidRPr="00C8504B">
              <w:rPr>
                <w:rFonts w:ascii="Arial Narrow" w:hAnsi="Arial Narrow" w:cs="Arial"/>
                <w:sz w:val="18"/>
                <w:szCs w:val="18"/>
              </w:rPr>
              <w:t>Abbigliamento e calzature</w:t>
            </w:r>
          </w:p>
        </w:tc>
        <w:tc>
          <w:tcPr>
            <w:tcW w:w="1294" w:type="dxa"/>
            <w:shd w:val="clear" w:color="auto" w:fill="D9D9D9"/>
            <w:vAlign w:val="center"/>
          </w:tcPr>
          <w:p w:rsidR="006E555C" w:rsidRPr="00393591" w:rsidRDefault="006E555C" w:rsidP="006E555C">
            <w:pPr>
              <w:spacing w:before="40" w:after="20"/>
              <w:ind w:left="-57" w:right="57"/>
              <w:jc w:val="right"/>
              <w:rPr>
                <w:rFonts w:ascii="Arial Narrow" w:hAnsi="Arial Narrow" w:cs="Arial"/>
                <w:sz w:val="18"/>
                <w:szCs w:val="18"/>
              </w:rPr>
            </w:pPr>
            <w:r w:rsidRPr="00393591">
              <w:rPr>
                <w:rFonts w:ascii="Arial Narrow" w:hAnsi="Arial Narrow" w:cs="Arial"/>
                <w:sz w:val="18"/>
                <w:szCs w:val="18"/>
              </w:rPr>
              <w:t>73.176</w:t>
            </w:r>
          </w:p>
        </w:tc>
        <w:tc>
          <w:tcPr>
            <w:tcW w:w="1080" w:type="dxa"/>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+26,3</w:t>
            </w:r>
          </w:p>
        </w:tc>
        <w:tc>
          <w:tcPr>
            <w:tcW w:w="1136" w:type="dxa"/>
            <w:gridSpan w:val="3"/>
            <w:shd w:val="clear" w:color="auto" w:fill="D9D9D9"/>
            <w:tcMar>
              <w:left w:w="28" w:type="dxa"/>
              <w:right w:w="85" w:type="dxa"/>
            </w:tcMar>
            <w:vAlign w:val="center"/>
          </w:tcPr>
          <w:p w:rsidR="006E555C" w:rsidRPr="007575C0" w:rsidRDefault="006E555C" w:rsidP="00777203">
            <w:pPr>
              <w:spacing w:before="40" w:after="20"/>
              <w:ind w:left="-57"/>
              <w:jc w:val="right"/>
              <w:rPr>
                <w:rFonts w:ascii="Arial Narrow" w:hAnsi="Arial Narrow" w:cs="Arial"/>
                <w:sz w:val="18"/>
                <w:szCs w:val="18"/>
              </w:rPr>
            </w:pPr>
            <w:r w:rsidRPr="007575C0">
              <w:rPr>
                <w:rFonts w:ascii="Arial Narrow" w:hAnsi="Arial Narrow" w:cs="Arial"/>
                <w:sz w:val="18"/>
                <w:szCs w:val="18"/>
              </w:rPr>
              <w:t>+26,1</w:t>
            </w:r>
          </w:p>
        </w:tc>
        <w:tc>
          <w:tcPr>
            <w:tcW w:w="1149" w:type="dxa"/>
            <w:gridSpan w:val="2"/>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+2,8</w:t>
            </w:r>
          </w:p>
        </w:tc>
        <w:tc>
          <w:tcPr>
            <w:tcW w:w="934" w:type="dxa"/>
            <w:shd w:val="clear" w:color="auto" w:fill="D9D9D9"/>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+2,7</w:t>
            </w:r>
          </w:p>
        </w:tc>
        <w:tc>
          <w:tcPr>
            <w:tcW w:w="1064" w:type="dxa"/>
            <w:gridSpan w:val="2"/>
            <w:shd w:val="clear" w:color="auto" w:fill="auto"/>
            <w:tcMar>
              <w:right w:w="68" w:type="dxa"/>
            </w:tcMar>
            <w:vAlign w:val="center"/>
          </w:tcPr>
          <w:p w:rsidR="006E555C" w:rsidRPr="007575C0" w:rsidRDefault="006E555C" w:rsidP="007575C0">
            <w:pPr>
              <w:spacing w:before="40" w:after="20"/>
              <w:ind w:left="-57"/>
              <w:jc w:val="right"/>
              <w:rPr>
                <w:rFonts w:ascii="Arial Narrow" w:hAnsi="Arial Narrow" w:cs="Arial"/>
                <w:sz w:val="18"/>
                <w:szCs w:val="18"/>
              </w:rPr>
            </w:pPr>
            <w:r w:rsidRPr="007575C0">
              <w:rPr>
                <w:rFonts w:ascii="Arial Narrow" w:hAnsi="Arial Narrow" w:cs="Arial"/>
                <w:sz w:val="18"/>
                <w:szCs w:val="18"/>
              </w:rPr>
              <w:t>+0,6</w:t>
            </w:r>
          </w:p>
        </w:tc>
      </w:tr>
      <w:tr w:rsidR="006E555C" w:rsidRPr="00C8504B" w:rsidTr="0011319E">
        <w:trPr>
          <w:trHeight w:val="255"/>
          <w:jc w:val="center"/>
        </w:trPr>
        <w:tc>
          <w:tcPr>
            <w:tcW w:w="3593" w:type="dxa"/>
            <w:vAlign w:val="center"/>
          </w:tcPr>
          <w:p w:rsidR="006E555C" w:rsidRPr="00C8504B" w:rsidRDefault="006E555C" w:rsidP="006E555C">
            <w:pPr>
              <w:spacing w:before="40" w:after="20"/>
              <w:ind w:left="-57"/>
              <w:rPr>
                <w:rFonts w:ascii="Arial Narrow" w:hAnsi="Arial Narrow" w:cs="Arial"/>
                <w:sz w:val="18"/>
                <w:szCs w:val="18"/>
              </w:rPr>
            </w:pPr>
            <w:r w:rsidRPr="00C8504B">
              <w:rPr>
                <w:rFonts w:ascii="Arial Narrow" w:hAnsi="Arial Narrow" w:cs="Arial"/>
                <w:sz w:val="18"/>
                <w:szCs w:val="18"/>
              </w:rPr>
              <w:t>Abitazione, acqua, elettricità e combustibili</w:t>
            </w:r>
          </w:p>
        </w:tc>
        <w:tc>
          <w:tcPr>
            <w:tcW w:w="1294" w:type="dxa"/>
            <w:shd w:val="clear" w:color="auto" w:fill="D9D9D9"/>
            <w:vAlign w:val="center"/>
          </w:tcPr>
          <w:p w:rsidR="006E555C" w:rsidRPr="00393591" w:rsidRDefault="006E555C" w:rsidP="006E555C">
            <w:pPr>
              <w:spacing w:before="40" w:after="20"/>
              <w:ind w:left="-57" w:right="57"/>
              <w:jc w:val="right"/>
              <w:rPr>
                <w:rFonts w:ascii="Arial Narrow" w:hAnsi="Arial Narrow" w:cs="Arial"/>
                <w:sz w:val="18"/>
                <w:szCs w:val="18"/>
              </w:rPr>
            </w:pPr>
            <w:r w:rsidRPr="00393591">
              <w:rPr>
                <w:rFonts w:ascii="Arial Narrow" w:hAnsi="Arial Narrow" w:cs="Arial"/>
                <w:sz w:val="18"/>
                <w:szCs w:val="18"/>
              </w:rPr>
              <w:t>116.179</w:t>
            </w:r>
          </w:p>
        </w:tc>
        <w:tc>
          <w:tcPr>
            <w:tcW w:w="1080" w:type="dxa"/>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+0,5</w:t>
            </w:r>
          </w:p>
        </w:tc>
        <w:tc>
          <w:tcPr>
            <w:tcW w:w="1136" w:type="dxa"/>
            <w:gridSpan w:val="3"/>
            <w:shd w:val="clear" w:color="auto" w:fill="D9D9D9"/>
            <w:tcMar>
              <w:left w:w="28" w:type="dxa"/>
              <w:right w:w="85" w:type="dxa"/>
            </w:tcMar>
            <w:vAlign w:val="center"/>
          </w:tcPr>
          <w:p w:rsidR="006E555C" w:rsidRPr="007575C0" w:rsidRDefault="006E555C" w:rsidP="00777203">
            <w:pPr>
              <w:spacing w:before="40" w:after="20"/>
              <w:ind w:left="-57"/>
              <w:jc w:val="right"/>
              <w:rPr>
                <w:rFonts w:ascii="Arial Narrow" w:hAnsi="Arial Narrow" w:cs="Arial"/>
                <w:sz w:val="18"/>
                <w:szCs w:val="18"/>
              </w:rPr>
            </w:pPr>
            <w:r w:rsidRPr="007575C0">
              <w:rPr>
                <w:rFonts w:ascii="Arial Narrow" w:hAnsi="Arial Narrow" w:cs="Arial"/>
                <w:sz w:val="18"/>
                <w:szCs w:val="18"/>
              </w:rPr>
              <w:t>+0,1</w:t>
            </w:r>
          </w:p>
        </w:tc>
        <w:tc>
          <w:tcPr>
            <w:tcW w:w="1149" w:type="dxa"/>
            <w:gridSpan w:val="2"/>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+32,2</w:t>
            </w:r>
          </w:p>
        </w:tc>
        <w:tc>
          <w:tcPr>
            <w:tcW w:w="934" w:type="dxa"/>
            <w:shd w:val="clear" w:color="auto" w:fill="D9D9D9"/>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+31,6</w:t>
            </w:r>
          </w:p>
        </w:tc>
        <w:tc>
          <w:tcPr>
            <w:tcW w:w="1064" w:type="dxa"/>
            <w:gridSpan w:val="2"/>
            <w:shd w:val="clear" w:color="auto" w:fill="auto"/>
            <w:tcMar>
              <w:right w:w="68" w:type="dxa"/>
            </w:tcMar>
            <w:vAlign w:val="center"/>
          </w:tcPr>
          <w:p w:rsidR="006E555C" w:rsidRPr="007575C0" w:rsidRDefault="006E555C" w:rsidP="007575C0">
            <w:pPr>
              <w:spacing w:before="40" w:after="20"/>
              <w:ind w:left="-57"/>
              <w:jc w:val="right"/>
              <w:rPr>
                <w:rFonts w:ascii="Arial Narrow" w:hAnsi="Arial Narrow" w:cs="Arial"/>
                <w:sz w:val="18"/>
                <w:szCs w:val="18"/>
              </w:rPr>
            </w:pPr>
            <w:r w:rsidRPr="007575C0">
              <w:rPr>
                <w:rFonts w:ascii="Arial Narrow" w:hAnsi="Arial Narrow" w:cs="Arial"/>
                <w:sz w:val="18"/>
                <w:szCs w:val="18"/>
              </w:rPr>
              <w:t>+26,5</w:t>
            </w:r>
          </w:p>
        </w:tc>
      </w:tr>
      <w:tr w:rsidR="006E555C" w:rsidRPr="00C8504B" w:rsidTr="0011319E">
        <w:trPr>
          <w:trHeight w:val="255"/>
          <w:jc w:val="center"/>
        </w:trPr>
        <w:tc>
          <w:tcPr>
            <w:tcW w:w="3593" w:type="dxa"/>
            <w:vAlign w:val="center"/>
          </w:tcPr>
          <w:p w:rsidR="006E555C" w:rsidRPr="00C8504B" w:rsidRDefault="006E555C" w:rsidP="006E555C">
            <w:pPr>
              <w:spacing w:before="40" w:after="20"/>
              <w:ind w:left="-57"/>
              <w:rPr>
                <w:rFonts w:ascii="Arial Narrow" w:hAnsi="Arial Narrow" w:cs="Arial"/>
                <w:sz w:val="18"/>
                <w:szCs w:val="18"/>
              </w:rPr>
            </w:pPr>
            <w:r w:rsidRPr="00C8504B">
              <w:rPr>
                <w:rFonts w:ascii="Arial Narrow" w:hAnsi="Arial Narrow" w:cs="Arial"/>
                <w:sz w:val="18"/>
                <w:szCs w:val="18"/>
              </w:rPr>
              <w:t>Mobili, articoli e servizi per la casa</w:t>
            </w:r>
          </w:p>
        </w:tc>
        <w:tc>
          <w:tcPr>
            <w:tcW w:w="1294" w:type="dxa"/>
            <w:shd w:val="clear" w:color="auto" w:fill="D9D9D9"/>
            <w:vAlign w:val="center"/>
          </w:tcPr>
          <w:p w:rsidR="006E555C" w:rsidRPr="00393591" w:rsidRDefault="006E555C" w:rsidP="006E555C">
            <w:pPr>
              <w:spacing w:before="40" w:after="20"/>
              <w:ind w:left="-57" w:right="57"/>
              <w:jc w:val="right"/>
              <w:rPr>
                <w:rFonts w:ascii="Arial Narrow" w:hAnsi="Arial Narrow" w:cs="Arial"/>
                <w:sz w:val="18"/>
                <w:szCs w:val="18"/>
              </w:rPr>
            </w:pPr>
            <w:r w:rsidRPr="00393591">
              <w:rPr>
                <w:rFonts w:ascii="Arial Narrow" w:hAnsi="Arial Narrow" w:cs="Arial"/>
                <w:sz w:val="18"/>
                <w:szCs w:val="18"/>
              </w:rPr>
              <w:t>84.989</w:t>
            </w:r>
          </w:p>
        </w:tc>
        <w:tc>
          <w:tcPr>
            <w:tcW w:w="1080" w:type="dxa"/>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+0,9</w:t>
            </w:r>
          </w:p>
        </w:tc>
        <w:tc>
          <w:tcPr>
            <w:tcW w:w="1136" w:type="dxa"/>
            <w:gridSpan w:val="3"/>
            <w:shd w:val="clear" w:color="auto" w:fill="D9D9D9"/>
            <w:tcMar>
              <w:left w:w="28" w:type="dxa"/>
              <w:right w:w="85" w:type="dxa"/>
            </w:tcMar>
            <w:vAlign w:val="center"/>
          </w:tcPr>
          <w:p w:rsidR="006E555C" w:rsidRPr="007575C0" w:rsidRDefault="006E555C" w:rsidP="00777203">
            <w:pPr>
              <w:spacing w:before="40" w:after="20"/>
              <w:ind w:left="-57"/>
              <w:jc w:val="right"/>
              <w:rPr>
                <w:rFonts w:ascii="Arial Narrow" w:hAnsi="Arial Narrow" w:cs="Arial"/>
                <w:sz w:val="18"/>
                <w:szCs w:val="18"/>
              </w:rPr>
            </w:pPr>
            <w:r w:rsidRPr="007575C0">
              <w:rPr>
                <w:rFonts w:ascii="Arial Narrow" w:hAnsi="Arial Narrow" w:cs="Arial"/>
                <w:sz w:val="18"/>
                <w:szCs w:val="18"/>
              </w:rPr>
              <w:t>+0,2</w:t>
            </w:r>
          </w:p>
        </w:tc>
        <w:tc>
          <w:tcPr>
            <w:tcW w:w="1149" w:type="dxa"/>
            <w:gridSpan w:val="2"/>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+6,5</w:t>
            </w:r>
          </w:p>
        </w:tc>
        <w:tc>
          <w:tcPr>
            <w:tcW w:w="934" w:type="dxa"/>
            <w:shd w:val="clear" w:color="auto" w:fill="D9D9D9"/>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+5,7</w:t>
            </w:r>
          </w:p>
        </w:tc>
        <w:tc>
          <w:tcPr>
            <w:tcW w:w="1064" w:type="dxa"/>
            <w:gridSpan w:val="2"/>
            <w:shd w:val="clear" w:color="auto" w:fill="auto"/>
            <w:tcMar>
              <w:right w:w="68" w:type="dxa"/>
            </w:tcMar>
            <w:vAlign w:val="center"/>
          </w:tcPr>
          <w:p w:rsidR="006E555C" w:rsidRPr="007575C0" w:rsidRDefault="006E555C" w:rsidP="007575C0">
            <w:pPr>
              <w:spacing w:before="40" w:after="20"/>
              <w:ind w:left="-57"/>
              <w:jc w:val="right"/>
              <w:rPr>
                <w:rFonts w:ascii="Arial Narrow" w:hAnsi="Arial Narrow" w:cs="Arial"/>
                <w:sz w:val="18"/>
                <w:szCs w:val="18"/>
              </w:rPr>
            </w:pPr>
            <w:r w:rsidRPr="007575C0">
              <w:rPr>
                <w:rFonts w:ascii="Arial Narrow" w:hAnsi="Arial Narrow" w:cs="Arial"/>
                <w:sz w:val="18"/>
                <w:szCs w:val="18"/>
              </w:rPr>
              <w:t>+4,7</w:t>
            </w:r>
          </w:p>
        </w:tc>
      </w:tr>
      <w:tr w:rsidR="006E555C" w:rsidRPr="00C8504B" w:rsidTr="0011319E">
        <w:trPr>
          <w:trHeight w:val="255"/>
          <w:jc w:val="center"/>
        </w:trPr>
        <w:tc>
          <w:tcPr>
            <w:tcW w:w="3593" w:type="dxa"/>
            <w:vAlign w:val="center"/>
          </w:tcPr>
          <w:p w:rsidR="006E555C" w:rsidRPr="00C8504B" w:rsidRDefault="006E555C" w:rsidP="006E555C">
            <w:pPr>
              <w:spacing w:before="40" w:after="20"/>
              <w:ind w:left="-57"/>
              <w:rPr>
                <w:rFonts w:ascii="Arial Narrow" w:hAnsi="Arial Narrow" w:cs="Arial"/>
                <w:sz w:val="18"/>
                <w:szCs w:val="18"/>
              </w:rPr>
            </w:pPr>
            <w:r w:rsidRPr="00C8504B">
              <w:rPr>
                <w:rFonts w:ascii="Arial Narrow" w:hAnsi="Arial Narrow" w:cs="Arial"/>
                <w:sz w:val="18"/>
                <w:szCs w:val="18"/>
              </w:rPr>
              <w:t>Servizi sanitari e spese per la salute</w:t>
            </w:r>
          </w:p>
        </w:tc>
        <w:tc>
          <w:tcPr>
            <w:tcW w:w="1294" w:type="dxa"/>
            <w:shd w:val="clear" w:color="auto" w:fill="D9D9D9"/>
            <w:vAlign w:val="center"/>
          </w:tcPr>
          <w:p w:rsidR="006E555C" w:rsidRPr="00393591" w:rsidRDefault="006E555C" w:rsidP="006E555C">
            <w:pPr>
              <w:spacing w:before="40" w:after="20"/>
              <w:ind w:left="-57" w:right="57"/>
              <w:jc w:val="right"/>
              <w:rPr>
                <w:rFonts w:ascii="Arial Narrow" w:hAnsi="Arial Narrow" w:cs="Arial"/>
                <w:sz w:val="18"/>
                <w:szCs w:val="18"/>
              </w:rPr>
            </w:pPr>
            <w:r w:rsidRPr="00393591">
              <w:rPr>
                <w:rFonts w:ascii="Arial Narrow" w:hAnsi="Arial Narrow" w:cs="Arial"/>
                <w:sz w:val="18"/>
                <w:szCs w:val="18"/>
              </w:rPr>
              <w:t>46.145</w:t>
            </w:r>
          </w:p>
        </w:tc>
        <w:tc>
          <w:tcPr>
            <w:tcW w:w="1080" w:type="dxa"/>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+0,1</w:t>
            </w:r>
          </w:p>
        </w:tc>
        <w:tc>
          <w:tcPr>
            <w:tcW w:w="1136" w:type="dxa"/>
            <w:gridSpan w:val="3"/>
            <w:shd w:val="clear" w:color="auto" w:fill="D9D9D9"/>
            <w:tcMar>
              <w:left w:w="28" w:type="dxa"/>
              <w:right w:w="85" w:type="dxa"/>
            </w:tcMar>
            <w:vAlign w:val="center"/>
          </w:tcPr>
          <w:p w:rsidR="006E555C" w:rsidRPr="007575C0" w:rsidRDefault="006E555C" w:rsidP="00777203">
            <w:pPr>
              <w:spacing w:before="40" w:after="20"/>
              <w:ind w:left="-57"/>
              <w:jc w:val="right"/>
              <w:rPr>
                <w:rFonts w:ascii="Arial Narrow" w:hAnsi="Arial Narrow" w:cs="Arial"/>
                <w:sz w:val="18"/>
                <w:szCs w:val="18"/>
              </w:rPr>
            </w:pPr>
            <w:r w:rsidRPr="007575C0">
              <w:rPr>
                <w:rFonts w:ascii="Arial Narrow" w:hAnsi="Arial Narrow" w:cs="Arial"/>
                <w:sz w:val="18"/>
                <w:szCs w:val="18"/>
              </w:rPr>
              <w:t>+0,1</w:t>
            </w:r>
          </w:p>
        </w:tc>
        <w:tc>
          <w:tcPr>
            <w:tcW w:w="1149" w:type="dxa"/>
            <w:gridSpan w:val="2"/>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+1,1</w:t>
            </w:r>
          </w:p>
        </w:tc>
        <w:tc>
          <w:tcPr>
            <w:tcW w:w="934" w:type="dxa"/>
            <w:shd w:val="clear" w:color="auto" w:fill="D9D9D9"/>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+1,1</w:t>
            </w:r>
          </w:p>
        </w:tc>
        <w:tc>
          <w:tcPr>
            <w:tcW w:w="1064" w:type="dxa"/>
            <w:gridSpan w:val="2"/>
            <w:shd w:val="clear" w:color="auto" w:fill="auto"/>
            <w:tcMar>
              <w:right w:w="68" w:type="dxa"/>
            </w:tcMar>
            <w:vAlign w:val="center"/>
          </w:tcPr>
          <w:p w:rsidR="006E555C" w:rsidRPr="007575C0" w:rsidRDefault="006E555C" w:rsidP="007575C0">
            <w:pPr>
              <w:spacing w:before="40" w:after="20"/>
              <w:ind w:left="-57"/>
              <w:jc w:val="right"/>
              <w:rPr>
                <w:rFonts w:ascii="Arial Narrow" w:hAnsi="Arial Narrow" w:cs="Arial"/>
                <w:sz w:val="18"/>
                <w:szCs w:val="18"/>
              </w:rPr>
            </w:pPr>
            <w:r w:rsidRPr="007575C0">
              <w:rPr>
                <w:rFonts w:ascii="Arial Narrow" w:hAnsi="Arial Narrow" w:cs="Arial"/>
                <w:sz w:val="18"/>
                <w:szCs w:val="18"/>
              </w:rPr>
              <w:t>+0,9</w:t>
            </w:r>
          </w:p>
        </w:tc>
      </w:tr>
      <w:tr w:rsidR="006E555C" w:rsidRPr="00C8504B" w:rsidTr="0011319E">
        <w:trPr>
          <w:trHeight w:val="255"/>
          <w:jc w:val="center"/>
        </w:trPr>
        <w:tc>
          <w:tcPr>
            <w:tcW w:w="3593" w:type="dxa"/>
            <w:vAlign w:val="center"/>
          </w:tcPr>
          <w:p w:rsidR="006E555C" w:rsidRPr="00C8504B" w:rsidRDefault="006E555C" w:rsidP="006E555C">
            <w:pPr>
              <w:spacing w:before="40" w:after="20"/>
              <w:ind w:left="-57"/>
              <w:rPr>
                <w:rFonts w:ascii="Arial Narrow" w:hAnsi="Arial Narrow" w:cs="Arial"/>
                <w:sz w:val="18"/>
                <w:szCs w:val="18"/>
              </w:rPr>
            </w:pPr>
            <w:r w:rsidRPr="00C8504B">
              <w:rPr>
                <w:rFonts w:ascii="Arial Narrow" w:hAnsi="Arial Narrow" w:cs="Arial"/>
                <w:sz w:val="18"/>
                <w:szCs w:val="18"/>
              </w:rPr>
              <w:t>Trasporti</w:t>
            </w:r>
          </w:p>
        </w:tc>
        <w:tc>
          <w:tcPr>
            <w:tcW w:w="1294" w:type="dxa"/>
            <w:shd w:val="clear" w:color="auto" w:fill="D9D9D9"/>
            <w:vAlign w:val="center"/>
          </w:tcPr>
          <w:p w:rsidR="006E555C" w:rsidRPr="00393591" w:rsidRDefault="006E555C" w:rsidP="006E555C">
            <w:pPr>
              <w:spacing w:before="40" w:after="20"/>
              <w:ind w:left="-57" w:right="57"/>
              <w:jc w:val="right"/>
              <w:rPr>
                <w:rFonts w:ascii="Arial Narrow" w:hAnsi="Arial Narrow" w:cs="Arial"/>
                <w:sz w:val="18"/>
                <w:szCs w:val="18"/>
              </w:rPr>
            </w:pPr>
            <w:r w:rsidRPr="00393591">
              <w:rPr>
                <w:rFonts w:ascii="Arial Narrow" w:hAnsi="Arial Narrow" w:cs="Arial"/>
                <w:sz w:val="18"/>
                <w:szCs w:val="18"/>
              </w:rPr>
              <w:t>153.242</w:t>
            </w:r>
          </w:p>
        </w:tc>
        <w:tc>
          <w:tcPr>
            <w:tcW w:w="1080" w:type="dxa"/>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-2,1</w:t>
            </w:r>
          </w:p>
        </w:tc>
        <w:tc>
          <w:tcPr>
            <w:tcW w:w="1136" w:type="dxa"/>
            <w:gridSpan w:val="3"/>
            <w:shd w:val="clear" w:color="auto" w:fill="D9D9D9"/>
            <w:tcMar>
              <w:left w:w="28" w:type="dxa"/>
              <w:right w:w="85" w:type="dxa"/>
            </w:tcMar>
            <w:vAlign w:val="center"/>
          </w:tcPr>
          <w:p w:rsidR="006E555C" w:rsidRPr="007575C0" w:rsidRDefault="006E555C" w:rsidP="00777203">
            <w:pPr>
              <w:spacing w:before="40" w:after="20"/>
              <w:ind w:left="-57"/>
              <w:jc w:val="right"/>
              <w:rPr>
                <w:rFonts w:ascii="Arial Narrow" w:hAnsi="Arial Narrow" w:cs="Arial"/>
                <w:sz w:val="18"/>
                <w:szCs w:val="18"/>
              </w:rPr>
            </w:pPr>
            <w:r w:rsidRPr="007575C0">
              <w:rPr>
                <w:rFonts w:ascii="Arial Narrow" w:hAnsi="Arial Narrow" w:cs="Arial"/>
                <w:sz w:val="18"/>
                <w:szCs w:val="18"/>
              </w:rPr>
              <w:t>-1,4</w:t>
            </w:r>
          </w:p>
        </w:tc>
        <w:tc>
          <w:tcPr>
            <w:tcW w:w="1149" w:type="dxa"/>
            <w:gridSpan w:val="2"/>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+9,5</w:t>
            </w:r>
          </w:p>
        </w:tc>
        <w:tc>
          <w:tcPr>
            <w:tcW w:w="934" w:type="dxa"/>
            <w:shd w:val="clear" w:color="auto" w:fill="D9D9D9"/>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+10,3</w:t>
            </w:r>
          </w:p>
        </w:tc>
        <w:tc>
          <w:tcPr>
            <w:tcW w:w="1064" w:type="dxa"/>
            <w:gridSpan w:val="2"/>
            <w:shd w:val="clear" w:color="auto" w:fill="auto"/>
            <w:tcMar>
              <w:right w:w="68" w:type="dxa"/>
            </w:tcMar>
            <w:vAlign w:val="center"/>
          </w:tcPr>
          <w:p w:rsidR="006E555C" w:rsidRPr="007575C0" w:rsidRDefault="006E555C" w:rsidP="007575C0">
            <w:pPr>
              <w:spacing w:before="40" w:after="20"/>
              <w:ind w:left="-57"/>
              <w:jc w:val="right"/>
              <w:rPr>
                <w:rFonts w:ascii="Arial Narrow" w:hAnsi="Arial Narrow" w:cs="Arial"/>
                <w:sz w:val="18"/>
                <w:szCs w:val="18"/>
              </w:rPr>
            </w:pPr>
            <w:r w:rsidRPr="007575C0">
              <w:rPr>
                <w:rFonts w:ascii="Arial Narrow" w:hAnsi="Arial Narrow" w:cs="Arial"/>
                <w:sz w:val="18"/>
                <w:szCs w:val="18"/>
              </w:rPr>
              <w:t>+9,8</w:t>
            </w:r>
          </w:p>
        </w:tc>
      </w:tr>
      <w:tr w:rsidR="006E555C" w:rsidRPr="00C8504B" w:rsidTr="0011319E">
        <w:trPr>
          <w:trHeight w:val="255"/>
          <w:jc w:val="center"/>
        </w:trPr>
        <w:tc>
          <w:tcPr>
            <w:tcW w:w="3593" w:type="dxa"/>
            <w:vAlign w:val="center"/>
          </w:tcPr>
          <w:p w:rsidR="006E555C" w:rsidRPr="00C8504B" w:rsidRDefault="006E555C" w:rsidP="006E555C">
            <w:pPr>
              <w:spacing w:before="40" w:after="20"/>
              <w:ind w:left="-57"/>
              <w:rPr>
                <w:rFonts w:ascii="Arial Narrow" w:hAnsi="Arial Narrow" w:cs="Arial"/>
                <w:sz w:val="18"/>
                <w:szCs w:val="18"/>
              </w:rPr>
            </w:pPr>
            <w:r w:rsidRPr="00C8504B">
              <w:rPr>
                <w:rFonts w:ascii="Arial Narrow" w:hAnsi="Arial Narrow" w:cs="Arial"/>
                <w:sz w:val="18"/>
                <w:szCs w:val="18"/>
              </w:rPr>
              <w:t>Comunicazioni</w:t>
            </w:r>
          </w:p>
        </w:tc>
        <w:tc>
          <w:tcPr>
            <w:tcW w:w="1294" w:type="dxa"/>
            <w:shd w:val="clear" w:color="auto" w:fill="D9D9D9"/>
            <w:vAlign w:val="center"/>
          </w:tcPr>
          <w:p w:rsidR="006E555C" w:rsidRPr="00393591" w:rsidRDefault="006E555C" w:rsidP="006E555C">
            <w:pPr>
              <w:spacing w:before="40" w:after="20"/>
              <w:ind w:left="-57" w:right="57"/>
              <w:jc w:val="right"/>
              <w:rPr>
                <w:rFonts w:ascii="Arial Narrow" w:hAnsi="Arial Narrow" w:cs="Arial"/>
                <w:sz w:val="18"/>
                <w:szCs w:val="18"/>
              </w:rPr>
            </w:pPr>
            <w:r w:rsidRPr="00393591">
              <w:rPr>
                <w:rFonts w:ascii="Arial Narrow" w:hAnsi="Arial Narrow" w:cs="Arial"/>
                <w:sz w:val="18"/>
                <w:szCs w:val="18"/>
              </w:rPr>
              <w:t>27.265</w:t>
            </w:r>
          </w:p>
        </w:tc>
        <w:tc>
          <w:tcPr>
            <w:tcW w:w="1080" w:type="dxa"/>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+0,9</w:t>
            </w:r>
          </w:p>
        </w:tc>
        <w:tc>
          <w:tcPr>
            <w:tcW w:w="1136" w:type="dxa"/>
            <w:gridSpan w:val="3"/>
            <w:shd w:val="clear" w:color="auto" w:fill="D9D9D9"/>
            <w:tcMar>
              <w:left w:w="28" w:type="dxa"/>
              <w:right w:w="85" w:type="dxa"/>
            </w:tcMar>
            <w:vAlign w:val="center"/>
          </w:tcPr>
          <w:p w:rsidR="006E555C" w:rsidRPr="007575C0" w:rsidRDefault="006E555C" w:rsidP="00777203">
            <w:pPr>
              <w:spacing w:before="40" w:after="20"/>
              <w:ind w:left="-57"/>
              <w:jc w:val="right"/>
              <w:rPr>
                <w:rFonts w:ascii="Arial Narrow" w:hAnsi="Arial Narrow" w:cs="Arial"/>
                <w:sz w:val="18"/>
                <w:szCs w:val="18"/>
              </w:rPr>
            </w:pPr>
            <w:r w:rsidRPr="007575C0">
              <w:rPr>
                <w:rFonts w:ascii="Arial Narrow" w:hAnsi="Arial Narrow" w:cs="Arial"/>
                <w:sz w:val="18"/>
                <w:szCs w:val="18"/>
              </w:rPr>
              <w:t>+0,2</w:t>
            </w:r>
          </w:p>
        </w:tc>
        <w:tc>
          <w:tcPr>
            <w:tcW w:w="1149" w:type="dxa"/>
            <w:gridSpan w:val="2"/>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-3,0</w:t>
            </w:r>
          </w:p>
        </w:tc>
        <w:tc>
          <w:tcPr>
            <w:tcW w:w="934" w:type="dxa"/>
            <w:shd w:val="clear" w:color="auto" w:fill="D9D9D9"/>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-3,6</w:t>
            </w:r>
          </w:p>
        </w:tc>
        <w:tc>
          <w:tcPr>
            <w:tcW w:w="1064" w:type="dxa"/>
            <w:gridSpan w:val="2"/>
            <w:shd w:val="clear" w:color="auto" w:fill="auto"/>
            <w:tcMar>
              <w:right w:w="68" w:type="dxa"/>
            </w:tcMar>
            <w:vAlign w:val="center"/>
          </w:tcPr>
          <w:p w:rsidR="006E555C" w:rsidRPr="007575C0" w:rsidRDefault="006E555C" w:rsidP="007575C0">
            <w:pPr>
              <w:spacing w:before="40" w:after="20"/>
              <w:ind w:left="-57"/>
              <w:jc w:val="right"/>
              <w:rPr>
                <w:rFonts w:ascii="Arial Narrow" w:hAnsi="Arial Narrow" w:cs="Arial"/>
                <w:sz w:val="18"/>
                <w:szCs w:val="18"/>
              </w:rPr>
            </w:pPr>
            <w:r w:rsidRPr="007575C0">
              <w:rPr>
                <w:rFonts w:ascii="Arial Narrow" w:hAnsi="Arial Narrow" w:cs="Arial"/>
                <w:sz w:val="18"/>
                <w:szCs w:val="18"/>
              </w:rPr>
              <w:t>-2,9</w:t>
            </w:r>
          </w:p>
        </w:tc>
      </w:tr>
      <w:tr w:rsidR="006E555C" w:rsidRPr="00C8504B" w:rsidTr="0011319E">
        <w:trPr>
          <w:trHeight w:val="255"/>
          <w:jc w:val="center"/>
        </w:trPr>
        <w:tc>
          <w:tcPr>
            <w:tcW w:w="3593" w:type="dxa"/>
            <w:vAlign w:val="center"/>
          </w:tcPr>
          <w:p w:rsidR="006E555C" w:rsidRPr="00C8504B" w:rsidRDefault="006E555C" w:rsidP="006E555C">
            <w:pPr>
              <w:spacing w:before="40" w:after="20"/>
              <w:ind w:left="-57"/>
              <w:rPr>
                <w:rFonts w:ascii="Arial Narrow" w:hAnsi="Arial Narrow" w:cs="Arial"/>
                <w:sz w:val="18"/>
                <w:szCs w:val="18"/>
              </w:rPr>
            </w:pPr>
            <w:r w:rsidRPr="00C8504B">
              <w:rPr>
                <w:rFonts w:ascii="Arial Narrow" w:hAnsi="Arial Narrow" w:cs="Arial"/>
                <w:sz w:val="18"/>
                <w:szCs w:val="18"/>
              </w:rPr>
              <w:t>Ricreazione, spettacoli e cultura</w:t>
            </w:r>
          </w:p>
        </w:tc>
        <w:tc>
          <w:tcPr>
            <w:tcW w:w="1294" w:type="dxa"/>
            <w:shd w:val="clear" w:color="auto" w:fill="D9D9D9"/>
            <w:vAlign w:val="center"/>
          </w:tcPr>
          <w:p w:rsidR="006E555C" w:rsidRPr="00393591" w:rsidRDefault="006E555C" w:rsidP="006E555C">
            <w:pPr>
              <w:spacing w:before="40" w:after="20"/>
              <w:ind w:left="-57" w:right="57"/>
              <w:jc w:val="right"/>
              <w:rPr>
                <w:rFonts w:ascii="Arial Narrow" w:hAnsi="Arial Narrow" w:cs="Arial"/>
                <w:sz w:val="18"/>
                <w:szCs w:val="18"/>
              </w:rPr>
            </w:pPr>
            <w:r w:rsidRPr="00393591">
              <w:rPr>
                <w:rFonts w:ascii="Arial Narrow" w:hAnsi="Arial Narrow" w:cs="Arial"/>
                <w:sz w:val="18"/>
                <w:szCs w:val="18"/>
              </w:rPr>
              <w:t>57.663</w:t>
            </w:r>
          </w:p>
        </w:tc>
        <w:tc>
          <w:tcPr>
            <w:tcW w:w="1080" w:type="dxa"/>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-1,2</w:t>
            </w:r>
          </w:p>
        </w:tc>
        <w:tc>
          <w:tcPr>
            <w:tcW w:w="1136" w:type="dxa"/>
            <w:gridSpan w:val="3"/>
            <w:shd w:val="clear" w:color="auto" w:fill="D9D9D9"/>
            <w:tcMar>
              <w:left w:w="28" w:type="dxa"/>
              <w:right w:w="85" w:type="dxa"/>
            </w:tcMar>
            <w:vAlign w:val="center"/>
          </w:tcPr>
          <w:p w:rsidR="006E555C" w:rsidRPr="007575C0" w:rsidRDefault="006E555C" w:rsidP="00777203">
            <w:pPr>
              <w:spacing w:before="40" w:after="20"/>
              <w:ind w:left="-57"/>
              <w:jc w:val="right"/>
              <w:rPr>
                <w:rFonts w:ascii="Arial Narrow" w:hAnsi="Arial Narrow" w:cs="Arial"/>
                <w:sz w:val="18"/>
                <w:szCs w:val="18"/>
              </w:rPr>
            </w:pPr>
            <w:r w:rsidRPr="007575C0">
              <w:rPr>
                <w:rFonts w:ascii="Arial Narrow" w:hAnsi="Arial Narrow" w:cs="Arial"/>
                <w:sz w:val="18"/>
                <w:szCs w:val="18"/>
              </w:rPr>
              <w:t>-1,1</w:t>
            </w:r>
          </w:p>
        </w:tc>
        <w:tc>
          <w:tcPr>
            <w:tcW w:w="1149" w:type="dxa"/>
            <w:gridSpan w:val="2"/>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+2,4</w:t>
            </w:r>
          </w:p>
        </w:tc>
        <w:tc>
          <w:tcPr>
            <w:tcW w:w="934" w:type="dxa"/>
            <w:shd w:val="clear" w:color="auto" w:fill="D9D9D9"/>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+2,5</w:t>
            </w:r>
          </w:p>
        </w:tc>
        <w:tc>
          <w:tcPr>
            <w:tcW w:w="1064" w:type="dxa"/>
            <w:gridSpan w:val="2"/>
            <w:shd w:val="clear" w:color="auto" w:fill="auto"/>
            <w:tcMar>
              <w:right w:w="68" w:type="dxa"/>
            </w:tcMar>
            <w:vAlign w:val="center"/>
          </w:tcPr>
          <w:p w:rsidR="006E555C" w:rsidRPr="007575C0" w:rsidRDefault="006E555C" w:rsidP="007575C0">
            <w:pPr>
              <w:spacing w:before="40" w:after="20"/>
              <w:ind w:left="-57"/>
              <w:jc w:val="right"/>
              <w:rPr>
                <w:rFonts w:ascii="Arial Narrow" w:hAnsi="Arial Narrow" w:cs="Arial"/>
                <w:sz w:val="18"/>
                <w:szCs w:val="18"/>
              </w:rPr>
            </w:pPr>
            <w:r w:rsidRPr="007575C0">
              <w:rPr>
                <w:rFonts w:ascii="Arial Narrow" w:hAnsi="Arial Narrow" w:cs="Arial"/>
                <w:sz w:val="18"/>
                <w:szCs w:val="18"/>
              </w:rPr>
              <w:t>+1,4</w:t>
            </w:r>
          </w:p>
        </w:tc>
      </w:tr>
      <w:tr w:rsidR="006E555C" w:rsidRPr="00C8504B" w:rsidTr="0011319E">
        <w:trPr>
          <w:trHeight w:val="255"/>
          <w:jc w:val="center"/>
        </w:trPr>
        <w:tc>
          <w:tcPr>
            <w:tcW w:w="3593" w:type="dxa"/>
            <w:vAlign w:val="center"/>
          </w:tcPr>
          <w:p w:rsidR="006E555C" w:rsidRPr="00C8504B" w:rsidRDefault="006E555C" w:rsidP="006E555C">
            <w:pPr>
              <w:spacing w:before="40" w:after="20"/>
              <w:ind w:left="-57"/>
              <w:rPr>
                <w:rFonts w:ascii="Arial Narrow" w:hAnsi="Arial Narrow" w:cs="Arial"/>
                <w:sz w:val="18"/>
                <w:szCs w:val="18"/>
              </w:rPr>
            </w:pPr>
            <w:r w:rsidRPr="00C8504B">
              <w:rPr>
                <w:rFonts w:ascii="Arial Narrow" w:hAnsi="Arial Narrow" w:cs="Arial"/>
                <w:sz w:val="18"/>
                <w:szCs w:val="18"/>
              </w:rPr>
              <w:t>Istruzione</w:t>
            </w:r>
          </w:p>
        </w:tc>
        <w:tc>
          <w:tcPr>
            <w:tcW w:w="1294" w:type="dxa"/>
            <w:shd w:val="clear" w:color="auto" w:fill="D9D9D9"/>
            <w:vAlign w:val="center"/>
          </w:tcPr>
          <w:p w:rsidR="006E555C" w:rsidRPr="00393591" w:rsidRDefault="006E555C" w:rsidP="006E555C">
            <w:pPr>
              <w:spacing w:before="40" w:after="20"/>
              <w:ind w:left="-57" w:right="57"/>
              <w:jc w:val="right"/>
              <w:rPr>
                <w:rFonts w:ascii="Arial Narrow" w:hAnsi="Arial Narrow" w:cs="Arial"/>
                <w:sz w:val="18"/>
                <w:szCs w:val="18"/>
              </w:rPr>
            </w:pPr>
            <w:r w:rsidRPr="00393591">
              <w:rPr>
                <w:rFonts w:ascii="Arial Narrow" w:hAnsi="Arial Narrow" w:cs="Arial"/>
                <w:sz w:val="18"/>
                <w:szCs w:val="18"/>
              </w:rPr>
              <w:t>11.474</w:t>
            </w:r>
          </w:p>
        </w:tc>
        <w:tc>
          <w:tcPr>
            <w:tcW w:w="1080" w:type="dxa"/>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+0,7</w:t>
            </w:r>
          </w:p>
        </w:tc>
        <w:tc>
          <w:tcPr>
            <w:tcW w:w="1136" w:type="dxa"/>
            <w:gridSpan w:val="3"/>
            <w:shd w:val="clear" w:color="auto" w:fill="D9D9D9"/>
            <w:tcMar>
              <w:left w:w="28" w:type="dxa"/>
              <w:right w:w="85" w:type="dxa"/>
            </w:tcMar>
            <w:vAlign w:val="center"/>
          </w:tcPr>
          <w:p w:rsidR="006E555C" w:rsidRPr="007575C0" w:rsidRDefault="006E555C" w:rsidP="00777203">
            <w:pPr>
              <w:spacing w:before="40" w:after="20"/>
              <w:ind w:left="-57"/>
              <w:jc w:val="right"/>
              <w:rPr>
                <w:rFonts w:ascii="Arial Narrow" w:hAnsi="Arial Narrow" w:cs="Arial"/>
                <w:sz w:val="18"/>
                <w:szCs w:val="18"/>
              </w:rPr>
            </w:pPr>
            <w:r w:rsidRPr="007575C0">
              <w:rPr>
                <w:rFonts w:ascii="Arial Narrow" w:hAnsi="Arial Narrow" w:cs="Arial"/>
                <w:sz w:val="18"/>
                <w:szCs w:val="18"/>
              </w:rPr>
              <w:t>+0,2</w:t>
            </w:r>
          </w:p>
        </w:tc>
        <w:tc>
          <w:tcPr>
            <w:tcW w:w="1149" w:type="dxa"/>
            <w:gridSpan w:val="2"/>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0,0</w:t>
            </w:r>
          </w:p>
        </w:tc>
        <w:tc>
          <w:tcPr>
            <w:tcW w:w="934" w:type="dxa"/>
            <w:shd w:val="clear" w:color="auto" w:fill="D9D9D9"/>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-0,5</w:t>
            </w:r>
          </w:p>
        </w:tc>
        <w:tc>
          <w:tcPr>
            <w:tcW w:w="1064" w:type="dxa"/>
            <w:gridSpan w:val="2"/>
            <w:shd w:val="clear" w:color="auto" w:fill="auto"/>
            <w:tcMar>
              <w:right w:w="68" w:type="dxa"/>
            </w:tcMar>
            <w:vAlign w:val="center"/>
          </w:tcPr>
          <w:p w:rsidR="006E555C" w:rsidRPr="007575C0" w:rsidRDefault="006E555C" w:rsidP="007575C0">
            <w:pPr>
              <w:spacing w:before="40" w:after="20"/>
              <w:ind w:left="-57"/>
              <w:jc w:val="right"/>
              <w:rPr>
                <w:rFonts w:ascii="Arial Narrow" w:hAnsi="Arial Narrow" w:cs="Arial"/>
                <w:sz w:val="18"/>
                <w:szCs w:val="18"/>
              </w:rPr>
            </w:pPr>
            <w:r w:rsidRPr="007575C0">
              <w:rPr>
                <w:rFonts w:ascii="Arial Narrow" w:hAnsi="Arial Narrow" w:cs="Arial"/>
                <w:sz w:val="18"/>
                <w:szCs w:val="18"/>
              </w:rPr>
              <w:t>-0,1</w:t>
            </w:r>
          </w:p>
        </w:tc>
      </w:tr>
      <w:tr w:rsidR="006E555C" w:rsidRPr="00C8504B" w:rsidTr="0011319E">
        <w:trPr>
          <w:trHeight w:val="255"/>
          <w:jc w:val="center"/>
        </w:trPr>
        <w:tc>
          <w:tcPr>
            <w:tcW w:w="3593" w:type="dxa"/>
            <w:vAlign w:val="center"/>
          </w:tcPr>
          <w:p w:rsidR="006E555C" w:rsidRPr="00C8504B" w:rsidRDefault="006E555C" w:rsidP="006E555C">
            <w:pPr>
              <w:spacing w:before="40" w:after="20"/>
              <w:ind w:left="-57"/>
              <w:rPr>
                <w:rFonts w:ascii="Arial Narrow" w:hAnsi="Arial Narrow" w:cs="Arial"/>
                <w:sz w:val="18"/>
                <w:szCs w:val="18"/>
              </w:rPr>
            </w:pPr>
            <w:r w:rsidRPr="00C8504B">
              <w:rPr>
                <w:rFonts w:ascii="Arial Narrow" w:hAnsi="Arial Narrow" w:cs="Arial"/>
                <w:sz w:val="18"/>
                <w:szCs w:val="18"/>
              </w:rPr>
              <w:t>Servizi ricettivi e di ristorazione</w:t>
            </w:r>
          </w:p>
        </w:tc>
        <w:tc>
          <w:tcPr>
            <w:tcW w:w="1294" w:type="dxa"/>
            <w:shd w:val="clear" w:color="auto" w:fill="D9D9D9"/>
            <w:vAlign w:val="center"/>
          </w:tcPr>
          <w:p w:rsidR="006E555C" w:rsidRPr="00393591" w:rsidRDefault="006E555C" w:rsidP="006E555C">
            <w:pPr>
              <w:spacing w:before="40" w:after="20"/>
              <w:ind w:left="-57" w:right="57"/>
              <w:jc w:val="right"/>
              <w:rPr>
                <w:rFonts w:ascii="Arial Narrow" w:hAnsi="Arial Narrow" w:cs="Arial"/>
                <w:sz w:val="18"/>
                <w:szCs w:val="18"/>
              </w:rPr>
            </w:pPr>
            <w:r w:rsidRPr="00393591">
              <w:rPr>
                <w:rFonts w:ascii="Arial Narrow" w:hAnsi="Arial Narrow" w:cs="Arial"/>
                <w:sz w:val="18"/>
                <w:szCs w:val="18"/>
              </w:rPr>
              <w:t>99.319</w:t>
            </w:r>
          </w:p>
        </w:tc>
        <w:tc>
          <w:tcPr>
            <w:tcW w:w="1080" w:type="dxa"/>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+1,5</w:t>
            </w:r>
          </w:p>
        </w:tc>
        <w:tc>
          <w:tcPr>
            <w:tcW w:w="1136" w:type="dxa"/>
            <w:gridSpan w:val="3"/>
            <w:shd w:val="clear" w:color="auto" w:fill="D9D9D9"/>
            <w:tcMar>
              <w:left w:w="28" w:type="dxa"/>
              <w:right w:w="85" w:type="dxa"/>
            </w:tcMar>
            <w:vAlign w:val="center"/>
          </w:tcPr>
          <w:p w:rsidR="006E555C" w:rsidRPr="007575C0" w:rsidRDefault="006E555C" w:rsidP="00777203">
            <w:pPr>
              <w:spacing w:before="40" w:after="20"/>
              <w:ind w:left="-57"/>
              <w:jc w:val="right"/>
              <w:rPr>
                <w:rFonts w:ascii="Arial Narrow" w:hAnsi="Arial Narrow" w:cs="Arial"/>
                <w:sz w:val="18"/>
                <w:szCs w:val="18"/>
              </w:rPr>
            </w:pPr>
            <w:r w:rsidRPr="007575C0">
              <w:rPr>
                <w:rFonts w:ascii="Arial Narrow" w:hAnsi="Arial Narrow" w:cs="Arial"/>
                <w:sz w:val="18"/>
                <w:szCs w:val="18"/>
              </w:rPr>
              <w:t>+0,3</w:t>
            </w:r>
          </w:p>
        </w:tc>
        <w:tc>
          <w:tcPr>
            <w:tcW w:w="1149" w:type="dxa"/>
            <w:gridSpan w:val="2"/>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+7,9</w:t>
            </w:r>
          </w:p>
        </w:tc>
        <w:tc>
          <w:tcPr>
            <w:tcW w:w="934" w:type="dxa"/>
            <w:shd w:val="clear" w:color="auto" w:fill="D9D9D9"/>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+6,6</w:t>
            </w:r>
          </w:p>
        </w:tc>
        <w:tc>
          <w:tcPr>
            <w:tcW w:w="1064" w:type="dxa"/>
            <w:gridSpan w:val="2"/>
            <w:shd w:val="clear" w:color="auto" w:fill="auto"/>
            <w:tcMar>
              <w:right w:w="68" w:type="dxa"/>
            </w:tcMar>
            <w:vAlign w:val="center"/>
          </w:tcPr>
          <w:p w:rsidR="006E555C" w:rsidRPr="007575C0" w:rsidRDefault="006E555C" w:rsidP="007575C0">
            <w:pPr>
              <w:spacing w:before="40" w:after="20"/>
              <w:ind w:left="-57"/>
              <w:jc w:val="right"/>
              <w:rPr>
                <w:rFonts w:ascii="Arial Narrow" w:hAnsi="Arial Narrow" w:cs="Arial"/>
                <w:sz w:val="18"/>
                <w:szCs w:val="18"/>
              </w:rPr>
            </w:pPr>
            <w:r w:rsidRPr="007575C0">
              <w:rPr>
                <w:rFonts w:ascii="Arial Narrow" w:hAnsi="Arial Narrow" w:cs="Arial"/>
                <w:sz w:val="18"/>
                <w:szCs w:val="18"/>
              </w:rPr>
              <w:t>+6,5</w:t>
            </w:r>
          </w:p>
        </w:tc>
      </w:tr>
      <w:tr w:rsidR="006E555C" w:rsidRPr="00C8504B" w:rsidTr="0011319E">
        <w:trPr>
          <w:trHeight w:val="255"/>
          <w:jc w:val="center"/>
        </w:trPr>
        <w:tc>
          <w:tcPr>
            <w:tcW w:w="3593" w:type="dxa"/>
            <w:vAlign w:val="center"/>
          </w:tcPr>
          <w:p w:rsidR="006E555C" w:rsidRPr="00C8504B" w:rsidRDefault="006E555C" w:rsidP="006E555C">
            <w:pPr>
              <w:spacing w:before="40" w:after="20"/>
              <w:ind w:left="-57"/>
              <w:rPr>
                <w:rFonts w:ascii="Arial Narrow" w:hAnsi="Arial Narrow" w:cs="Arial"/>
                <w:sz w:val="18"/>
                <w:szCs w:val="18"/>
              </w:rPr>
            </w:pPr>
            <w:r w:rsidRPr="00C8504B">
              <w:rPr>
                <w:rFonts w:ascii="Arial Narrow" w:hAnsi="Arial Narrow" w:cs="Arial"/>
                <w:sz w:val="18"/>
                <w:szCs w:val="18"/>
              </w:rPr>
              <w:t>Altri beni e servizi</w:t>
            </w:r>
          </w:p>
        </w:tc>
        <w:tc>
          <w:tcPr>
            <w:tcW w:w="1294" w:type="dxa"/>
            <w:shd w:val="clear" w:color="auto" w:fill="D9D9D9"/>
            <w:vAlign w:val="center"/>
          </w:tcPr>
          <w:p w:rsidR="006E555C" w:rsidRPr="00393591" w:rsidRDefault="006E555C" w:rsidP="006E555C">
            <w:pPr>
              <w:spacing w:before="40" w:after="20"/>
              <w:ind w:left="-57" w:right="57"/>
              <w:jc w:val="right"/>
              <w:rPr>
                <w:rFonts w:ascii="Arial Narrow" w:hAnsi="Arial Narrow" w:cs="Arial"/>
                <w:sz w:val="18"/>
                <w:szCs w:val="18"/>
              </w:rPr>
            </w:pPr>
            <w:r w:rsidRPr="00393591">
              <w:rPr>
                <w:rFonts w:ascii="Arial Narrow" w:hAnsi="Arial Narrow" w:cs="Arial"/>
                <w:sz w:val="18"/>
                <w:szCs w:val="18"/>
              </w:rPr>
              <w:t>99.938</w:t>
            </w:r>
          </w:p>
        </w:tc>
        <w:tc>
          <w:tcPr>
            <w:tcW w:w="1080" w:type="dxa"/>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+0,5</w:t>
            </w:r>
          </w:p>
        </w:tc>
        <w:tc>
          <w:tcPr>
            <w:tcW w:w="1136" w:type="dxa"/>
            <w:gridSpan w:val="3"/>
            <w:shd w:val="clear" w:color="auto" w:fill="D9D9D9"/>
            <w:tcMar>
              <w:left w:w="28" w:type="dxa"/>
              <w:right w:w="85" w:type="dxa"/>
            </w:tcMar>
            <w:vAlign w:val="center"/>
          </w:tcPr>
          <w:p w:rsidR="006E555C" w:rsidRPr="007575C0" w:rsidRDefault="006E555C" w:rsidP="00777203">
            <w:pPr>
              <w:spacing w:before="40" w:after="20"/>
              <w:ind w:left="-57"/>
              <w:jc w:val="right"/>
              <w:rPr>
                <w:rFonts w:ascii="Arial Narrow" w:hAnsi="Arial Narrow" w:cs="Arial"/>
                <w:sz w:val="18"/>
                <w:szCs w:val="18"/>
              </w:rPr>
            </w:pPr>
            <w:r w:rsidRPr="007575C0">
              <w:rPr>
                <w:rFonts w:ascii="Arial Narrow" w:hAnsi="Arial Narrow" w:cs="Arial"/>
                <w:sz w:val="18"/>
                <w:szCs w:val="18"/>
              </w:rPr>
              <w:t>+0,4</w:t>
            </w:r>
          </w:p>
        </w:tc>
        <w:tc>
          <w:tcPr>
            <w:tcW w:w="1149" w:type="dxa"/>
            <w:gridSpan w:val="2"/>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+2,8</w:t>
            </w:r>
          </w:p>
        </w:tc>
        <w:tc>
          <w:tcPr>
            <w:tcW w:w="934" w:type="dxa"/>
            <w:shd w:val="clear" w:color="auto" w:fill="D9D9D9"/>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+2,7</w:t>
            </w:r>
          </w:p>
        </w:tc>
        <w:tc>
          <w:tcPr>
            <w:tcW w:w="1064" w:type="dxa"/>
            <w:gridSpan w:val="2"/>
            <w:shd w:val="clear" w:color="auto" w:fill="auto"/>
            <w:tcMar>
              <w:right w:w="68" w:type="dxa"/>
            </w:tcMar>
            <w:vAlign w:val="center"/>
          </w:tcPr>
          <w:p w:rsidR="006E555C" w:rsidRPr="007575C0" w:rsidRDefault="006E555C" w:rsidP="007575C0">
            <w:pPr>
              <w:spacing w:before="40" w:after="20"/>
              <w:ind w:left="-57"/>
              <w:jc w:val="right"/>
              <w:rPr>
                <w:rFonts w:ascii="Arial Narrow" w:hAnsi="Arial Narrow" w:cs="Arial"/>
                <w:sz w:val="18"/>
                <w:szCs w:val="18"/>
              </w:rPr>
            </w:pPr>
            <w:r w:rsidRPr="007575C0">
              <w:rPr>
                <w:rFonts w:ascii="Arial Narrow" w:hAnsi="Arial Narrow" w:cs="Arial"/>
                <w:sz w:val="18"/>
                <w:szCs w:val="18"/>
              </w:rPr>
              <w:t>+1,9</w:t>
            </w:r>
          </w:p>
        </w:tc>
      </w:tr>
      <w:tr w:rsidR="006E555C" w:rsidRPr="005F1D37" w:rsidTr="0011319E">
        <w:trPr>
          <w:trHeight w:val="255"/>
          <w:jc w:val="center"/>
        </w:trPr>
        <w:tc>
          <w:tcPr>
            <w:tcW w:w="3593" w:type="dxa"/>
            <w:shd w:val="clear" w:color="auto" w:fill="E42618"/>
            <w:vAlign w:val="center"/>
          </w:tcPr>
          <w:p w:rsidR="006E555C" w:rsidRPr="00C8504B" w:rsidRDefault="006E555C" w:rsidP="006E555C">
            <w:pPr>
              <w:spacing w:before="40" w:after="20"/>
              <w:ind w:left="-69"/>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1294" w:type="dxa"/>
            <w:shd w:val="clear" w:color="auto" w:fill="E42618"/>
            <w:vAlign w:val="center"/>
          </w:tcPr>
          <w:p w:rsidR="006E555C" w:rsidRPr="00B9429C" w:rsidRDefault="006E555C" w:rsidP="006E555C">
            <w:pPr>
              <w:spacing w:before="40" w:after="20"/>
              <w:ind w:left="-57" w:right="57"/>
              <w:jc w:val="right"/>
              <w:rPr>
                <w:rFonts w:ascii="Arial Narrow" w:hAnsi="Arial Narrow" w:cs="Arial"/>
                <w:b/>
                <w:color w:val="FFFFFF" w:themeColor="background1"/>
                <w:sz w:val="18"/>
                <w:szCs w:val="18"/>
              </w:rPr>
            </w:pPr>
            <w:r w:rsidRPr="00B9429C">
              <w:rPr>
                <w:rFonts w:ascii="Arial Narrow" w:hAnsi="Arial Narrow" w:cs="Arial"/>
                <w:b/>
                <w:color w:val="FFFFFF" w:themeColor="background1"/>
                <w:sz w:val="18"/>
                <w:szCs w:val="18"/>
              </w:rPr>
              <w:t>1.000.000</w:t>
            </w:r>
          </w:p>
        </w:tc>
        <w:tc>
          <w:tcPr>
            <w:tcW w:w="1080" w:type="dxa"/>
            <w:shd w:val="clear" w:color="auto" w:fill="E42618"/>
            <w:vAlign w:val="center"/>
          </w:tcPr>
          <w:p w:rsidR="006E555C" w:rsidRPr="00297E6D" w:rsidRDefault="006E555C" w:rsidP="00777203">
            <w:pPr>
              <w:spacing w:before="40" w:after="20"/>
              <w:ind w:left="-57"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+1,6</w:t>
            </w:r>
          </w:p>
        </w:tc>
        <w:tc>
          <w:tcPr>
            <w:tcW w:w="1136" w:type="dxa"/>
            <w:gridSpan w:val="3"/>
            <w:shd w:val="clear" w:color="auto" w:fill="E42618"/>
            <w:tcMar>
              <w:left w:w="57" w:type="dxa"/>
              <w:right w:w="113" w:type="dxa"/>
            </w:tcMar>
            <w:vAlign w:val="center"/>
          </w:tcPr>
          <w:p w:rsidR="006E555C" w:rsidRPr="00297E6D" w:rsidRDefault="006E555C" w:rsidP="00777203">
            <w:pPr>
              <w:spacing w:before="40" w:after="20"/>
              <w:ind w:lef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+1,3</w:t>
            </w:r>
          </w:p>
        </w:tc>
        <w:tc>
          <w:tcPr>
            <w:tcW w:w="1149" w:type="dxa"/>
            <w:gridSpan w:val="2"/>
            <w:shd w:val="clear" w:color="auto" w:fill="E42618"/>
            <w:vAlign w:val="center"/>
          </w:tcPr>
          <w:p w:rsidR="006E555C" w:rsidRPr="00297E6D" w:rsidRDefault="006E555C" w:rsidP="00777203">
            <w:pPr>
              <w:spacing w:before="40" w:after="20"/>
              <w:ind w:left="-57"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+9,4</w:t>
            </w:r>
          </w:p>
        </w:tc>
        <w:tc>
          <w:tcPr>
            <w:tcW w:w="934" w:type="dxa"/>
            <w:shd w:val="clear" w:color="auto" w:fill="E42618"/>
            <w:vAlign w:val="center"/>
          </w:tcPr>
          <w:p w:rsidR="006E555C" w:rsidRPr="00297E6D" w:rsidRDefault="006E555C" w:rsidP="00777203">
            <w:pPr>
              <w:spacing w:before="40" w:after="20"/>
              <w:ind w:left="-57"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+9,1</w:t>
            </w:r>
          </w:p>
        </w:tc>
        <w:tc>
          <w:tcPr>
            <w:tcW w:w="1064" w:type="dxa"/>
            <w:gridSpan w:val="2"/>
            <w:shd w:val="clear" w:color="auto" w:fill="E42618"/>
            <w:tcMar>
              <w:right w:w="68" w:type="dxa"/>
            </w:tcMar>
            <w:vAlign w:val="center"/>
          </w:tcPr>
          <w:p w:rsidR="006E555C" w:rsidRPr="00297E6D" w:rsidRDefault="006E555C" w:rsidP="00297E6D">
            <w:pPr>
              <w:spacing w:before="40" w:after="20"/>
              <w:ind w:left="-57"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+7,5</w:t>
            </w:r>
          </w:p>
        </w:tc>
      </w:tr>
      <w:tr w:rsidR="006E555C" w:rsidRPr="00440749" w:rsidTr="0011319E">
        <w:trPr>
          <w:trHeight w:val="255"/>
          <w:jc w:val="center"/>
        </w:trPr>
        <w:tc>
          <w:tcPr>
            <w:tcW w:w="3593" w:type="dxa"/>
            <w:vAlign w:val="center"/>
          </w:tcPr>
          <w:p w:rsidR="006E555C" w:rsidRPr="00530AB1" w:rsidRDefault="006E555C" w:rsidP="006E555C">
            <w:pPr>
              <w:spacing w:before="40" w:after="20"/>
              <w:ind w:left="-57"/>
              <w:rPr>
                <w:rFonts w:ascii="Arial Narrow" w:hAnsi="Arial Narrow" w:cs="Arial"/>
                <w:sz w:val="18"/>
                <w:szCs w:val="18"/>
                <w:vertAlign w:val="superscript"/>
              </w:rPr>
            </w:pPr>
            <w:r w:rsidRPr="00B10311">
              <w:rPr>
                <w:rFonts w:ascii="Arial Narrow" w:hAnsi="Arial Narrow" w:cs="Arial"/>
                <w:sz w:val="18"/>
                <w:szCs w:val="18"/>
              </w:rPr>
              <w:t>Indice generale a tassazione costante</w:t>
            </w:r>
          </w:p>
        </w:tc>
        <w:tc>
          <w:tcPr>
            <w:tcW w:w="1294" w:type="dxa"/>
            <w:shd w:val="clear" w:color="auto" w:fill="D9D9D9"/>
            <w:vAlign w:val="center"/>
          </w:tcPr>
          <w:p w:rsidR="006E555C" w:rsidRPr="00393591" w:rsidRDefault="006E555C" w:rsidP="006E555C">
            <w:pPr>
              <w:spacing w:before="40" w:after="20"/>
              <w:ind w:left="-57" w:right="57"/>
              <w:jc w:val="right"/>
              <w:rPr>
                <w:rFonts w:ascii="Arial Narrow" w:hAnsi="Arial Narrow" w:cs="Arial"/>
                <w:sz w:val="18"/>
                <w:szCs w:val="18"/>
              </w:rPr>
            </w:pPr>
            <w:r w:rsidRPr="00393591">
              <w:rPr>
                <w:rFonts w:ascii="Arial Narrow" w:hAnsi="Arial Narrow" w:cs="Arial"/>
                <w:sz w:val="18"/>
                <w:szCs w:val="18"/>
              </w:rPr>
              <w:t>1.000.000</w:t>
            </w:r>
          </w:p>
        </w:tc>
        <w:tc>
          <w:tcPr>
            <w:tcW w:w="1080" w:type="dxa"/>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+1,7</w:t>
            </w:r>
          </w:p>
        </w:tc>
        <w:tc>
          <w:tcPr>
            <w:tcW w:w="1136" w:type="dxa"/>
            <w:gridSpan w:val="3"/>
            <w:shd w:val="clear" w:color="auto" w:fill="D9D9D9"/>
            <w:tcMar>
              <w:left w:w="28" w:type="dxa"/>
              <w:right w:w="85" w:type="dxa"/>
            </w:tcMar>
            <w:vAlign w:val="center"/>
          </w:tcPr>
          <w:p w:rsidR="006E555C" w:rsidRPr="007575C0" w:rsidRDefault="006E555C" w:rsidP="00777203">
            <w:pPr>
              <w:spacing w:before="40" w:after="20"/>
              <w:ind w:left="-57"/>
              <w:jc w:val="right"/>
              <w:rPr>
                <w:rFonts w:ascii="Arial Narrow" w:hAnsi="Arial Narrow" w:cs="Arial"/>
                <w:sz w:val="18"/>
                <w:szCs w:val="18"/>
              </w:rPr>
            </w:pPr>
            <w:r w:rsidRPr="007575C0">
              <w:rPr>
                <w:rFonts w:ascii="Arial Narrow" w:hAnsi="Arial Narrow" w:cs="Arial"/>
                <w:sz w:val="18"/>
                <w:szCs w:val="18"/>
              </w:rPr>
              <w:t>+1,3</w:t>
            </w:r>
          </w:p>
        </w:tc>
        <w:tc>
          <w:tcPr>
            <w:tcW w:w="1149" w:type="dxa"/>
            <w:gridSpan w:val="2"/>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+10,6</w:t>
            </w:r>
          </w:p>
        </w:tc>
        <w:tc>
          <w:tcPr>
            <w:tcW w:w="934" w:type="dxa"/>
            <w:shd w:val="clear" w:color="auto" w:fill="D9D9D9"/>
            <w:vAlign w:val="center"/>
          </w:tcPr>
          <w:p w:rsidR="006E555C" w:rsidRPr="007575C0" w:rsidRDefault="006E555C" w:rsidP="00777203">
            <w:pPr>
              <w:spacing w:before="40" w:after="20"/>
              <w:ind w:left="-57" w:right="57"/>
              <w:jc w:val="right"/>
              <w:rPr>
                <w:rFonts w:ascii="Arial Narrow" w:hAnsi="Arial Narrow" w:cs="Arial"/>
                <w:sz w:val="18"/>
                <w:szCs w:val="18"/>
              </w:rPr>
            </w:pPr>
            <w:r w:rsidRPr="007575C0">
              <w:rPr>
                <w:rFonts w:ascii="Arial Narrow" w:hAnsi="Arial Narrow" w:cs="Arial"/>
                <w:sz w:val="18"/>
                <w:szCs w:val="18"/>
              </w:rPr>
              <w:t>+10,3</w:t>
            </w:r>
          </w:p>
        </w:tc>
        <w:tc>
          <w:tcPr>
            <w:tcW w:w="1064" w:type="dxa"/>
            <w:gridSpan w:val="2"/>
            <w:shd w:val="clear" w:color="auto" w:fill="auto"/>
            <w:tcMar>
              <w:right w:w="68" w:type="dxa"/>
            </w:tcMar>
            <w:vAlign w:val="center"/>
          </w:tcPr>
          <w:p w:rsidR="006E555C" w:rsidRPr="007575C0" w:rsidRDefault="00297E6D" w:rsidP="007575C0">
            <w:pPr>
              <w:spacing w:before="40" w:after="20"/>
              <w:ind w:left="-57"/>
              <w:jc w:val="right"/>
              <w:rPr>
                <w:rFonts w:ascii="Arial Narrow" w:hAnsi="Arial Narrow" w:cs="Arial"/>
                <w:sz w:val="18"/>
                <w:szCs w:val="18"/>
              </w:rPr>
            </w:pPr>
            <w:r>
              <w:rPr>
                <w:rFonts w:ascii="Arial Narrow" w:hAnsi="Arial Narrow" w:cs="Arial"/>
                <w:sz w:val="18"/>
                <w:szCs w:val="18"/>
              </w:rPr>
              <w:t>+8,5</w:t>
            </w:r>
          </w:p>
        </w:tc>
      </w:tr>
    </w:tbl>
    <w:p w:rsidR="002674D4" w:rsidRPr="00F93CBE" w:rsidRDefault="002674D4" w:rsidP="002674D4">
      <w:pPr>
        <w:spacing w:before="120" w:after="120"/>
        <w:jc w:val="both"/>
        <w:rPr>
          <w:rFonts w:ascii="Arial" w:hAnsi="Arial" w:cs="Arial"/>
          <w:color w:val="000000"/>
          <w:kern w:val="0"/>
          <w:szCs w:val="21"/>
        </w:rPr>
      </w:pPr>
    </w:p>
    <w:p w:rsidR="00676743" w:rsidRPr="00E25060" w:rsidRDefault="00676743" w:rsidP="00BD0487">
      <w:pPr>
        <w:pStyle w:val="001TitoloBolocco"/>
        <w:spacing w:after="120" w:line="240" w:lineRule="auto"/>
        <w:rPr>
          <w:szCs w:val="26"/>
        </w:rPr>
      </w:pPr>
      <w:r w:rsidRPr="00E25060">
        <w:rPr>
          <w:szCs w:val="26"/>
        </w:rPr>
        <w:t>gli aggregati speciali</w:t>
      </w:r>
    </w:p>
    <w:p w:rsidR="00A11302" w:rsidRDefault="002F10E9" w:rsidP="00A11302">
      <w:pPr>
        <w:spacing w:before="0" w:after="120"/>
        <w:jc w:val="both"/>
        <w:rPr>
          <w:rFonts w:ascii="Arial" w:hAnsi="Arial" w:cs="Arial"/>
          <w:sz w:val="21"/>
          <w:szCs w:val="21"/>
        </w:rPr>
      </w:pPr>
      <w:r w:rsidRPr="00B9429C">
        <w:rPr>
          <w:rFonts w:ascii="Arial" w:hAnsi="Arial" w:cs="Arial"/>
          <w:sz w:val="21"/>
          <w:szCs w:val="21"/>
        </w:rPr>
        <w:t xml:space="preserve">Con riferimento agli aggregati speciali dell’IPCA, </w:t>
      </w:r>
      <w:r>
        <w:rPr>
          <w:rFonts w:ascii="Arial" w:hAnsi="Arial" w:cs="Arial"/>
          <w:sz w:val="21"/>
          <w:szCs w:val="21"/>
        </w:rPr>
        <w:t>accelerano</w:t>
      </w:r>
      <w:r w:rsidRPr="00B9429C">
        <w:rPr>
          <w:rFonts w:ascii="Arial" w:hAnsi="Arial" w:cs="Arial"/>
          <w:sz w:val="21"/>
          <w:szCs w:val="21"/>
        </w:rPr>
        <w:t xml:space="preserve"> i prezzi dei beni (da +</w:t>
      </w:r>
      <w:r w:rsidR="00E74B11">
        <w:rPr>
          <w:rFonts w:ascii="Arial" w:hAnsi="Arial" w:cs="Arial"/>
          <w:sz w:val="21"/>
          <w:szCs w:val="21"/>
        </w:rPr>
        <w:t>12,2</w:t>
      </w:r>
      <w:r w:rsidRPr="00B9429C">
        <w:rPr>
          <w:rFonts w:ascii="Arial" w:hAnsi="Arial" w:cs="Arial"/>
          <w:sz w:val="21"/>
          <w:szCs w:val="21"/>
        </w:rPr>
        <w:t>% a +</w:t>
      </w:r>
      <w:r w:rsidR="00E74B11">
        <w:rPr>
          <w:rFonts w:ascii="Arial" w:hAnsi="Arial" w:cs="Arial"/>
          <w:sz w:val="21"/>
          <w:szCs w:val="21"/>
        </w:rPr>
        <w:t>12,</w:t>
      </w:r>
      <w:r w:rsidR="00BA7B60">
        <w:rPr>
          <w:rFonts w:ascii="Arial" w:hAnsi="Arial" w:cs="Arial"/>
          <w:sz w:val="21"/>
          <w:szCs w:val="21"/>
        </w:rPr>
        <w:t>7</w:t>
      </w:r>
      <w:r w:rsidRPr="00B9429C">
        <w:rPr>
          <w:rFonts w:ascii="Arial" w:hAnsi="Arial" w:cs="Arial"/>
          <w:sz w:val="21"/>
          <w:szCs w:val="21"/>
        </w:rPr>
        <w:t xml:space="preserve">%; </w:t>
      </w:r>
      <w:r>
        <w:rPr>
          <w:rFonts w:ascii="Arial" w:hAnsi="Arial" w:cs="Arial"/>
          <w:sz w:val="21"/>
          <w:szCs w:val="21"/>
        </w:rPr>
        <w:t>+</w:t>
      </w:r>
      <w:r w:rsidR="00E74B11">
        <w:rPr>
          <w:rFonts w:ascii="Arial" w:hAnsi="Arial" w:cs="Arial"/>
          <w:sz w:val="21"/>
          <w:szCs w:val="21"/>
        </w:rPr>
        <w:t>3,</w:t>
      </w:r>
      <w:r w:rsidR="00BA7B60">
        <w:rPr>
          <w:rFonts w:ascii="Arial" w:hAnsi="Arial" w:cs="Arial"/>
          <w:sz w:val="21"/>
          <w:szCs w:val="21"/>
        </w:rPr>
        <w:t>0</w:t>
      </w:r>
      <w:r w:rsidRPr="00B9429C">
        <w:rPr>
          <w:rFonts w:ascii="Arial" w:hAnsi="Arial" w:cs="Arial"/>
          <w:sz w:val="21"/>
          <w:szCs w:val="21"/>
        </w:rPr>
        <w:t xml:space="preserve">% rispetto a </w:t>
      </w:r>
      <w:r w:rsidR="00E74B11">
        <w:rPr>
          <w:rFonts w:ascii="Arial" w:hAnsi="Arial" w:cs="Arial"/>
          <w:sz w:val="21"/>
          <w:szCs w:val="21"/>
        </w:rPr>
        <w:t>agosto</w:t>
      </w:r>
      <w:r w:rsidR="001431FB">
        <w:rPr>
          <w:rFonts w:ascii="Arial" w:hAnsi="Arial" w:cs="Arial"/>
          <w:sz w:val="21"/>
          <w:szCs w:val="21"/>
        </w:rPr>
        <w:t>)</w:t>
      </w:r>
      <w:r w:rsidRPr="00B9429C">
        <w:rPr>
          <w:rFonts w:ascii="Arial" w:hAnsi="Arial" w:cs="Arial"/>
          <w:sz w:val="21"/>
          <w:szCs w:val="21"/>
        </w:rPr>
        <w:t xml:space="preserve"> a causa </w:t>
      </w:r>
      <w:r w:rsidR="001431FB">
        <w:rPr>
          <w:rFonts w:ascii="Arial" w:hAnsi="Arial" w:cs="Arial"/>
          <w:sz w:val="21"/>
          <w:szCs w:val="21"/>
        </w:rPr>
        <w:t xml:space="preserve">dei prezzi dei </w:t>
      </w:r>
      <w:r w:rsidR="008F3DD1" w:rsidRPr="008F3DD1">
        <w:rPr>
          <w:rFonts w:ascii="Arial" w:hAnsi="Arial" w:cs="Arial"/>
          <w:sz w:val="21"/>
          <w:szCs w:val="21"/>
        </w:rPr>
        <w:t>Beni alimentari (incluse bevande alcoliche) e tabacchi</w:t>
      </w:r>
      <w:r w:rsidR="008F3DD1">
        <w:rPr>
          <w:rFonts w:ascii="Arial" w:hAnsi="Arial" w:cs="Arial"/>
          <w:sz w:val="21"/>
          <w:szCs w:val="21"/>
        </w:rPr>
        <w:t xml:space="preserve"> </w:t>
      </w:r>
      <w:r w:rsidR="001431FB">
        <w:rPr>
          <w:rFonts w:ascii="Arial" w:hAnsi="Arial" w:cs="Arial"/>
          <w:sz w:val="21"/>
          <w:szCs w:val="21"/>
        </w:rPr>
        <w:t>(da +9,2</w:t>
      </w:r>
      <w:r w:rsidR="00652A7D">
        <w:rPr>
          <w:rFonts w:ascii="Arial" w:hAnsi="Arial" w:cs="Arial"/>
          <w:sz w:val="21"/>
          <w:szCs w:val="21"/>
        </w:rPr>
        <w:t>%</w:t>
      </w:r>
      <w:r w:rsidR="001431FB">
        <w:rPr>
          <w:rFonts w:ascii="Arial" w:hAnsi="Arial" w:cs="Arial"/>
          <w:sz w:val="21"/>
          <w:szCs w:val="21"/>
        </w:rPr>
        <w:t xml:space="preserve"> +10,</w:t>
      </w:r>
      <w:r w:rsidR="00AA498D">
        <w:rPr>
          <w:rFonts w:ascii="Arial" w:hAnsi="Arial" w:cs="Arial"/>
          <w:sz w:val="21"/>
          <w:szCs w:val="21"/>
        </w:rPr>
        <w:t>2</w:t>
      </w:r>
      <w:r w:rsidR="001431FB">
        <w:rPr>
          <w:rFonts w:ascii="Arial" w:hAnsi="Arial" w:cs="Arial"/>
          <w:sz w:val="21"/>
          <w:szCs w:val="21"/>
        </w:rPr>
        <w:t>%; +1,</w:t>
      </w:r>
      <w:r w:rsidR="00AA498D">
        <w:rPr>
          <w:rFonts w:ascii="Arial" w:hAnsi="Arial" w:cs="Arial"/>
          <w:sz w:val="21"/>
          <w:szCs w:val="21"/>
        </w:rPr>
        <w:t>0</w:t>
      </w:r>
      <w:r w:rsidR="00652A7D">
        <w:rPr>
          <w:rFonts w:ascii="Arial" w:hAnsi="Arial" w:cs="Arial"/>
          <w:sz w:val="21"/>
          <w:szCs w:val="21"/>
        </w:rPr>
        <w:t>%</w:t>
      </w:r>
      <w:r w:rsidR="001431FB">
        <w:rPr>
          <w:rFonts w:ascii="Arial" w:hAnsi="Arial" w:cs="Arial"/>
          <w:sz w:val="21"/>
          <w:szCs w:val="21"/>
        </w:rPr>
        <w:t xml:space="preserve"> il congiunturale), sia</w:t>
      </w:r>
      <w:r>
        <w:rPr>
          <w:rFonts w:ascii="Arial" w:hAnsi="Arial" w:cs="Arial"/>
          <w:sz w:val="21"/>
          <w:szCs w:val="21"/>
        </w:rPr>
        <w:t xml:space="preserve"> </w:t>
      </w:r>
      <w:r w:rsidR="008F3DD1">
        <w:rPr>
          <w:rFonts w:ascii="Arial" w:hAnsi="Arial" w:cs="Arial"/>
          <w:sz w:val="21"/>
          <w:szCs w:val="21"/>
        </w:rPr>
        <w:t xml:space="preserve">di </w:t>
      </w:r>
      <w:r w:rsidR="001431FB">
        <w:rPr>
          <w:rFonts w:ascii="Arial" w:hAnsi="Arial" w:cs="Arial"/>
          <w:sz w:val="21"/>
          <w:szCs w:val="21"/>
        </w:rPr>
        <w:t xml:space="preserve">quelli </w:t>
      </w:r>
      <w:r w:rsidR="008F3DD1">
        <w:rPr>
          <w:rFonts w:ascii="Arial" w:hAnsi="Arial" w:cs="Arial"/>
          <w:sz w:val="21"/>
          <w:szCs w:val="21"/>
        </w:rPr>
        <w:t>lavorati</w:t>
      </w:r>
      <w:r w:rsidR="00AC6C64">
        <w:rPr>
          <w:rFonts w:ascii="Arial" w:hAnsi="Arial" w:cs="Arial"/>
          <w:sz w:val="21"/>
          <w:szCs w:val="21"/>
        </w:rPr>
        <w:t xml:space="preserve"> </w:t>
      </w:r>
      <w:r w:rsidR="00AC6C64" w:rsidRPr="00AC6C64">
        <w:rPr>
          <w:rFonts w:ascii="Arial" w:hAnsi="Arial" w:cs="Arial"/>
          <w:sz w:val="21"/>
          <w:szCs w:val="21"/>
        </w:rPr>
        <w:t>(incluse bevande alcoliche) e tabacchi</w:t>
      </w:r>
      <w:r w:rsidR="001431FB">
        <w:rPr>
          <w:rFonts w:ascii="Arial" w:hAnsi="Arial" w:cs="Arial"/>
          <w:sz w:val="21"/>
          <w:szCs w:val="21"/>
        </w:rPr>
        <w:t xml:space="preserve"> (da +8,8% a +</w:t>
      </w:r>
      <w:r w:rsidR="00AA498D">
        <w:rPr>
          <w:rFonts w:ascii="Arial" w:hAnsi="Arial" w:cs="Arial"/>
          <w:sz w:val="21"/>
          <w:szCs w:val="21"/>
        </w:rPr>
        <w:t>9,8</w:t>
      </w:r>
      <w:r w:rsidR="001431FB">
        <w:rPr>
          <w:rFonts w:ascii="Arial" w:hAnsi="Arial" w:cs="Arial"/>
          <w:sz w:val="21"/>
          <w:szCs w:val="21"/>
        </w:rPr>
        <w:t>%, +0,</w:t>
      </w:r>
      <w:r w:rsidR="00AA498D">
        <w:rPr>
          <w:rFonts w:ascii="Arial" w:hAnsi="Arial" w:cs="Arial"/>
          <w:sz w:val="21"/>
          <w:szCs w:val="21"/>
        </w:rPr>
        <w:t>5%</w:t>
      </w:r>
      <w:r w:rsidR="001431FB">
        <w:rPr>
          <w:rFonts w:ascii="Arial" w:hAnsi="Arial" w:cs="Arial"/>
          <w:sz w:val="21"/>
          <w:szCs w:val="21"/>
        </w:rPr>
        <w:t xml:space="preserve"> su</w:t>
      </w:r>
      <w:r w:rsidR="00C87256">
        <w:rPr>
          <w:rFonts w:ascii="Arial" w:hAnsi="Arial" w:cs="Arial"/>
          <w:sz w:val="21"/>
          <w:szCs w:val="21"/>
        </w:rPr>
        <w:t>l</w:t>
      </w:r>
      <w:r w:rsidR="001431FB">
        <w:rPr>
          <w:rFonts w:ascii="Arial" w:hAnsi="Arial" w:cs="Arial"/>
          <w:sz w:val="21"/>
          <w:szCs w:val="21"/>
        </w:rPr>
        <w:t xml:space="preserve"> mese precedente)</w:t>
      </w:r>
      <w:r w:rsidR="00DD58C8">
        <w:rPr>
          <w:rFonts w:ascii="Arial" w:hAnsi="Arial" w:cs="Arial"/>
          <w:sz w:val="21"/>
          <w:szCs w:val="21"/>
        </w:rPr>
        <w:t xml:space="preserve"> sia di quelli</w:t>
      </w:r>
      <w:r w:rsidR="00DD58C8" w:rsidRPr="00B9429C">
        <w:rPr>
          <w:rFonts w:ascii="Arial" w:hAnsi="Arial" w:cs="Arial"/>
          <w:sz w:val="21"/>
          <w:szCs w:val="21"/>
        </w:rPr>
        <w:t xml:space="preserve"> </w:t>
      </w:r>
      <w:r w:rsidR="00DD58C8" w:rsidRPr="001431FB">
        <w:rPr>
          <w:rFonts w:ascii="Arial" w:hAnsi="Arial" w:cs="Arial"/>
          <w:sz w:val="21"/>
          <w:szCs w:val="21"/>
        </w:rPr>
        <w:t xml:space="preserve">non </w:t>
      </w:r>
      <w:r w:rsidR="00DD58C8">
        <w:rPr>
          <w:rFonts w:ascii="Arial" w:hAnsi="Arial" w:cs="Arial"/>
          <w:sz w:val="21"/>
          <w:szCs w:val="21"/>
        </w:rPr>
        <w:t>lavorati</w:t>
      </w:r>
      <w:r w:rsidR="00DD58C8" w:rsidRPr="00B9429C">
        <w:rPr>
          <w:rFonts w:ascii="Arial" w:hAnsi="Arial" w:cs="Arial"/>
          <w:sz w:val="21"/>
          <w:szCs w:val="21"/>
        </w:rPr>
        <w:t xml:space="preserve"> (da +</w:t>
      </w:r>
      <w:r w:rsidR="00DD58C8">
        <w:rPr>
          <w:rFonts w:ascii="Arial" w:hAnsi="Arial" w:cs="Arial"/>
          <w:sz w:val="21"/>
          <w:szCs w:val="21"/>
        </w:rPr>
        <w:t>10,1</w:t>
      </w:r>
      <w:r w:rsidR="00DD58C8" w:rsidRPr="00B9429C">
        <w:rPr>
          <w:rFonts w:ascii="Arial" w:hAnsi="Arial" w:cs="Arial"/>
          <w:sz w:val="21"/>
          <w:szCs w:val="21"/>
        </w:rPr>
        <w:t>% a +</w:t>
      </w:r>
      <w:r w:rsidR="00DD58C8">
        <w:rPr>
          <w:rFonts w:ascii="Arial" w:hAnsi="Arial" w:cs="Arial"/>
          <w:sz w:val="21"/>
          <w:szCs w:val="21"/>
        </w:rPr>
        <w:t>11,4%;</w:t>
      </w:r>
      <w:r w:rsidR="00DD58C8" w:rsidRPr="00B9429C">
        <w:rPr>
          <w:rFonts w:ascii="Arial" w:hAnsi="Arial" w:cs="Arial"/>
          <w:sz w:val="21"/>
          <w:szCs w:val="21"/>
        </w:rPr>
        <w:t xml:space="preserve"> </w:t>
      </w:r>
      <w:r w:rsidR="00DD58C8">
        <w:rPr>
          <w:rFonts w:ascii="Arial" w:hAnsi="Arial" w:cs="Arial"/>
          <w:sz w:val="21"/>
          <w:szCs w:val="21"/>
        </w:rPr>
        <w:t>+2,1</w:t>
      </w:r>
      <w:r w:rsidR="00DD58C8" w:rsidRPr="00B9429C">
        <w:rPr>
          <w:rFonts w:ascii="Arial" w:hAnsi="Arial" w:cs="Arial"/>
          <w:sz w:val="21"/>
          <w:szCs w:val="21"/>
        </w:rPr>
        <w:t xml:space="preserve">% </w:t>
      </w:r>
      <w:r w:rsidR="00C87256">
        <w:rPr>
          <w:rFonts w:ascii="Arial" w:hAnsi="Arial" w:cs="Arial"/>
          <w:sz w:val="21"/>
          <w:szCs w:val="21"/>
        </w:rPr>
        <w:t>la variazione congiunturale</w:t>
      </w:r>
      <w:r w:rsidR="00DD58C8" w:rsidRPr="00B9429C">
        <w:rPr>
          <w:rFonts w:ascii="Arial" w:hAnsi="Arial" w:cs="Arial"/>
          <w:sz w:val="21"/>
          <w:szCs w:val="21"/>
        </w:rPr>
        <w:t>)</w:t>
      </w:r>
      <w:r w:rsidR="001431FB">
        <w:rPr>
          <w:rFonts w:ascii="Arial" w:hAnsi="Arial" w:cs="Arial"/>
          <w:sz w:val="21"/>
          <w:szCs w:val="21"/>
        </w:rPr>
        <w:t xml:space="preserve">, ma anche a causa dei </w:t>
      </w:r>
      <w:r w:rsidR="001431FB" w:rsidRPr="001431FB">
        <w:rPr>
          <w:rFonts w:ascii="Arial" w:hAnsi="Arial" w:cs="Arial"/>
          <w:sz w:val="21"/>
          <w:szCs w:val="21"/>
        </w:rPr>
        <w:t>Beni industriali non energetici</w:t>
      </w:r>
      <w:r w:rsidR="001431FB">
        <w:rPr>
          <w:rFonts w:ascii="Arial" w:hAnsi="Arial" w:cs="Arial"/>
          <w:sz w:val="21"/>
          <w:szCs w:val="21"/>
        </w:rPr>
        <w:t xml:space="preserve"> (da +4,1% a +4,4%; +6,2% rispetto ad agosto)</w:t>
      </w:r>
      <w:r>
        <w:rPr>
          <w:rFonts w:ascii="Arial" w:hAnsi="Arial" w:cs="Arial"/>
          <w:sz w:val="21"/>
          <w:szCs w:val="21"/>
        </w:rPr>
        <w:t xml:space="preserve"> e in particolare di </w:t>
      </w:r>
      <w:r w:rsidRPr="00B9429C">
        <w:rPr>
          <w:rFonts w:ascii="Arial" w:hAnsi="Arial" w:cs="Arial"/>
          <w:sz w:val="21"/>
          <w:szCs w:val="21"/>
        </w:rPr>
        <w:t xml:space="preserve">quelli </w:t>
      </w:r>
      <w:r w:rsidR="001431FB">
        <w:rPr>
          <w:rFonts w:ascii="Arial" w:hAnsi="Arial" w:cs="Arial"/>
          <w:sz w:val="21"/>
          <w:szCs w:val="21"/>
        </w:rPr>
        <w:t>non durevoli</w:t>
      </w:r>
      <w:r>
        <w:rPr>
          <w:rFonts w:ascii="Arial" w:hAnsi="Arial" w:cs="Arial"/>
          <w:sz w:val="21"/>
          <w:szCs w:val="21"/>
        </w:rPr>
        <w:t xml:space="preserve"> (da +</w:t>
      </w:r>
      <w:r w:rsidR="001431FB">
        <w:rPr>
          <w:rFonts w:ascii="Arial" w:hAnsi="Arial" w:cs="Arial"/>
          <w:sz w:val="21"/>
          <w:szCs w:val="21"/>
        </w:rPr>
        <w:t>5,0</w:t>
      </w:r>
      <w:r w:rsidRPr="00B9429C">
        <w:rPr>
          <w:rFonts w:ascii="Arial" w:hAnsi="Arial" w:cs="Arial"/>
          <w:sz w:val="21"/>
          <w:szCs w:val="21"/>
        </w:rPr>
        <w:t>% a +</w:t>
      </w:r>
      <w:r w:rsidR="00AA498D">
        <w:rPr>
          <w:rFonts w:ascii="Arial" w:hAnsi="Arial" w:cs="Arial"/>
          <w:sz w:val="21"/>
          <w:szCs w:val="21"/>
        </w:rPr>
        <w:t>5,</w:t>
      </w:r>
      <w:r w:rsidR="00DD58C8">
        <w:rPr>
          <w:rFonts w:ascii="Arial" w:hAnsi="Arial" w:cs="Arial"/>
          <w:sz w:val="21"/>
          <w:szCs w:val="21"/>
        </w:rPr>
        <w:t>9</w:t>
      </w:r>
      <w:r w:rsidRPr="00B9429C">
        <w:rPr>
          <w:rFonts w:ascii="Arial" w:hAnsi="Arial" w:cs="Arial"/>
          <w:sz w:val="21"/>
          <w:szCs w:val="21"/>
        </w:rPr>
        <w:t xml:space="preserve">%; </w:t>
      </w:r>
      <w:r>
        <w:rPr>
          <w:rFonts w:ascii="Arial" w:hAnsi="Arial" w:cs="Arial"/>
          <w:sz w:val="21"/>
          <w:szCs w:val="21"/>
        </w:rPr>
        <w:t>+</w:t>
      </w:r>
      <w:r w:rsidR="001431FB">
        <w:rPr>
          <w:rFonts w:ascii="Arial" w:hAnsi="Arial" w:cs="Arial"/>
          <w:sz w:val="21"/>
          <w:szCs w:val="21"/>
        </w:rPr>
        <w:t>0,</w:t>
      </w:r>
      <w:r w:rsidR="00AA498D">
        <w:rPr>
          <w:rFonts w:ascii="Arial" w:hAnsi="Arial" w:cs="Arial"/>
          <w:sz w:val="21"/>
          <w:szCs w:val="21"/>
        </w:rPr>
        <w:t>5</w:t>
      </w:r>
      <w:r>
        <w:rPr>
          <w:rFonts w:ascii="Arial" w:hAnsi="Arial" w:cs="Arial"/>
          <w:sz w:val="21"/>
          <w:szCs w:val="21"/>
        </w:rPr>
        <w:t>%</w:t>
      </w:r>
      <w:r w:rsidRPr="006D01A7">
        <w:rPr>
          <w:rFonts w:ascii="Arial" w:hAnsi="Arial" w:cs="Arial"/>
          <w:sz w:val="21"/>
          <w:szCs w:val="21"/>
        </w:rPr>
        <w:t xml:space="preserve"> </w:t>
      </w:r>
      <w:r w:rsidR="00C87256">
        <w:rPr>
          <w:rFonts w:ascii="Arial" w:hAnsi="Arial" w:cs="Arial"/>
          <w:sz w:val="21"/>
          <w:szCs w:val="21"/>
        </w:rPr>
        <w:t>su base mensile</w:t>
      </w:r>
      <w:r w:rsidRPr="00B9429C">
        <w:rPr>
          <w:rFonts w:ascii="Arial" w:hAnsi="Arial" w:cs="Arial"/>
          <w:sz w:val="21"/>
          <w:szCs w:val="21"/>
        </w:rPr>
        <w:t>)</w:t>
      </w:r>
      <w:r w:rsidR="001431FB">
        <w:rPr>
          <w:rFonts w:ascii="Arial" w:hAnsi="Arial" w:cs="Arial"/>
          <w:sz w:val="21"/>
          <w:szCs w:val="21"/>
        </w:rPr>
        <w:t xml:space="preserve">. </w:t>
      </w:r>
      <w:r w:rsidR="00A11302">
        <w:rPr>
          <w:rFonts w:ascii="Arial" w:hAnsi="Arial" w:cs="Arial"/>
          <w:sz w:val="21"/>
          <w:szCs w:val="21"/>
        </w:rPr>
        <w:t xml:space="preserve">Decelerano di poco, invece, i prezzi dell’Energia (da +45,4% a +45,0%; -0,2% il congiunturale) a causa del rallentamento dei prezzi dei </w:t>
      </w:r>
      <w:r w:rsidR="00A11302" w:rsidRPr="008F3DD1">
        <w:rPr>
          <w:rFonts w:ascii="Arial" w:hAnsi="Arial" w:cs="Arial"/>
          <w:sz w:val="21"/>
          <w:szCs w:val="21"/>
        </w:rPr>
        <w:t xml:space="preserve">Combustibili liquidi, carburanti e lubrificanti </w:t>
      </w:r>
      <w:r w:rsidR="00A11302">
        <w:rPr>
          <w:rFonts w:ascii="Arial" w:hAnsi="Arial" w:cs="Arial"/>
          <w:sz w:val="21"/>
          <w:szCs w:val="21"/>
        </w:rPr>
        <w:t>(da +14,8% a +13,2%; -1,3% sul mese precedente) solo parzialmente compensato dall’accelerazione dei prezzi di Elettricità, gas e combustibili solidi</w:t>
      </w:r>
      <w:r w:rsidR="00A11302" w:rsidRPr="008F3DD1">
        <w:rPr>
          <w:rFonts w:ascii="Arial" w:hAnsi="Arial" w:cs="Arial"/>
          <w:sz w:val="21"/>
          <w:szCs w:val="21"/>
        </w:rPr>
        <w:t xml:space="preserve"> </w:t>
      </w:r>
      <w:r w:rsidR="00A11302">
        <w:rPr>
          <w:rFonts w:ascii="Arial" w:hAnsi="Arial" w:cs="Arial"/>
          <w:sz w:val="21"/>
          <w:szCs w:val="21"/>
        </w:rPr>
        <w:t xml:space="preserve">(da +76,9% a 77,9%; +0,6 rispetto ad agosto). </w:t>
      </w:r>
    </w:p>
    <w:p w:rsidR="00814990" w:rsidRDefault="002F10E9" w:rsidP="008F3DD1">
      <w:pPr>
        <w:spacing w:before="0" w:after="120"/>
        <w:jc w:val="both"/>
        <w:rPr>
          <w:rFonts w:ascii="Arial" w:hAnsi="Arial" w:cs="Arial"/>
          <w:iCs/>
          <w:sz w:val="21"/>
          <w:szCs w:val="21"/>
        </w:rPr>
      </w:pPr>
      <w:r>
        <w:rPr>
          <w:rFonts w:ascii="Arial" w:hAnsi="Arial" w:cs="Arial"/>
          <w:sz w:val="21"/>
          <w:szCs w:val="21"/>
        </w:rPr>
        <w:lastRenderedPageBreak/>
        <w:t xml:space="preserve">L’accelerazione </w:t>
      </w:r>
      <w:r w:rsidRPr="00B9429C">
        <w:rPr>
          <w:rFonts w:ascii="Arial" w:hAnsi="Arial" w:cs="Arial"/>
          <w:sz w:val="21"/>
          <w:szCs w:val="21"/>
        </w:rPr>
        <w:t xml:space="preserve">dei prezzi </w:t>
      </w:r>
      <w:r>
        <w:rPr>
          <w:rFonts w:ascii="Arial" w:hAnsi="Arial" w:cs="Arial"/>
          <w:sz w:val="21"/>
          <w:szCs w:val="21"/>
        </w:rPr>
        <w:t>dei servizi (la cui crescita passa da +</w:t>
      </w:r>
      <w:r w:rsidR="008F3DD1">
        <w:rPr>
          <w:rFonts w:ascii="Arial" w:hAnsi="Arial" w:cs="Arial"/>
          <w:sz w:val="21"/>
          <w:szCs w:val="21"/>
        </w:rPr>
        <w:t>4,0</w:t>
      </w:r>
      <w:r w:rsidRPr="00B9429C">
        <w:rPr>
          <w:rFonts w:ascii="Arial" w:hAnsi="Arial" w:cs="Arial"/>
          <w:sz w:val="21"/>
          <w:szCs w:val="21"/>
        </w:rPr>
        <w:t>% a +</w:t>
      </w:r>
      <w:r w:rsidR="008F3DD1">
        <w:rPr>
          <w:rFonts w:ascii="Arial" w:hAnsi="Arial" w:cs="Arial"/>
          <w:sz w:val="21"/>
          <w:szCs w:val="21"/>
        </w:rPr>
        <w:t>4,4</w:t>
      </w:r>
      <w:r w:rsidRPr="00B9429C">
        <w:rPr>
          <w:rFonts w:ascii="Arial" w:hAnsi="Arial" w:cs="Arial"/>
          <w:sz w:val="21"/>
          <w:szCs w:val="21"/>
        </w:rPr>
        <w:t>%</w:t>
      </w:r>
      <w:r>
        <w:rPr>
          <w:rFonts w:ascii="Arial" w:hAnsi="Arial" w:cs="Arial"/>
          <w:sz w:val="21"/>
          <w:szCs w:val="21"/>
        </w:rPr>
        <w:t xml:space="preserve">; </w:t>
      </w:r>
      <w:r w:rsidR="008F3DD1">
        <w:rPr>
          <w:rFonts w:ascii="Arial" w:hAnsi="Arial" w:cs="Arial"/>
          <w:sz w:val="21"/>
          <w:szCs w:val="21"/>
        </w:rPr>
        <w:t>-0,5</w:t>
      </w:r>
      <w:r>
        <w:rPr>
          <w:rFonts w:ascii="Arial" w:hAnsi="Arial" w:cs="Arial"/>
          <w:sz w:val="21"/>
          <w:szCs w:val="21"/>
        </w:rPr>
        <w:t xml:space="preserve">% </w:t>
      </w:r>
      <w:r w:rsidR="00817C60" w:rsidRPr="00B9429C">
        <w:rPr>
          <w:rFonts w:ascii="Arial" w:hAnsi="Arial" w:cs="Arial"/>
          <w:sz w:val="21"/>
          <w:szCs w:val="21"/>
        </w:rPr>
        <w:t>rispetto a</w:t>
      </w:r>
      <w:r w:rsidR="00DD629D">
        <w:rPr>
          <w:rFonts w:ascii="Arial" w:hAnsi="Arial" w:cs="Arial"/>
          <w:sz w:val="21"/>
          <w:szCs w:val="21"/>
        </w:rPr>
        <w:t xml:space="preserve"> agosto</w:t>
      </w:r>
      <w:r w:rsidRPr="00B9429C">
        <w:rPr>
          <w:rFonts w:ascii="Arial" w:hAnsi="Arial" w:cs="Arial"/>
          <w:sz w:val="21"/>
          <w:szCs w:val="21"/>
        </w:rPr>
        <w:t xml:space="preserve">) </w:t>
      </w:r>
      <w:r>
        <w:rPr>
          <w:rFonts w:ascii="Arial" w:hAnsi="Arial" w:cs="Arial"/>
          <w:sz w:val="21"/>
          <w:szCs w:val="21"/>
        </w:rPr>
        <w:t>si deve</w:t>
      </w:r>
      <w:r w:rsidRPr="00B9429C">
        <w:rPr>
          <w:rFonts w:ascii="Arial" w:hAnsi="Arial" w:cs="Arial"/>
          <w:sz w:val="21"/>
          <w:szCs w:val="21"/>
        </w:rPr>
        <w:t xml:space="preserve"> essenzialmente </w:t>
      </w:r>
      <w:r>
        <w:rPr>
          <w:rFonts w:ascii="Arial" w:hAnsi="Arial" w:cs="Arial"/>
          <w:sz w:val="21"/>
          <w:szCs w:val="21"/>
        </w:rPr>
        <w:t>a</w:t>
      </w:r>
      <w:r w:rsidRPr="00B9429C">
        <w:rPr>
          <w:rFonts w:ascii="Arial" w:hAnsi="Arial" w:cs="Arial"/>
          <w:color w:val="000000"/>
          <w:kern w:val="0"/>
          <w:sz w:val="21"/>
          <w:szCs w:val="21"/>
        </w:rPr>
        <w:t xml:space="preserve"> quelli dei </w:t>
      </w:r>
      <w:r w:rsidR="008F3DD1" w:rsidRPr="003565F0">
        <w:rPr>
          <w:rFonts w:ascii="Arial" w:hAnsi="Arial" w:cs="Arial"/>
          <w:sz w:val="21"/>
          <w:szCs w:val="21"/>
        </w:rPr>
        <w:t xml:space="preserve">Servizi ricreativi, culturali e per la cura della persona </w:t>
      </w:r>
      <w:r w:rsidR="008F3DD1" w:rsidRPr="00B9429C">
        <w:rPr>
          <w:rFonts w:ascii="Arial" w:hAnsi="Arial" w:cs="Arial"/>
          <w:color w:val="000000"/>
          <w:kern w:val="0"/>
          <w:sz w:val="21"/>
          <w:szCs w:val="21"/>
        </w:rPr>
        <w:t>(da +</w:t>
      </w:r>
      <w:r w:rsidR="008F3DD1">
        <w:rPr>
          <w:rFonts w:ascii="Arial" w:hAnsi="Arial" w:cs="Arial"/>
          <w:color w:val="000000"/>
          <w:kern w:val="0"/>
          <w:sz w:val="21"/>
          <w:szCs w:val="21"/>
        </w:rPr>
        <w:t>5,3</w:t>
      </w:r>
      <w:r w:rsidR="008F3DD1" w:rsidRPr="00B9429C">
        <w:rPr>
          <w:rFonts w:ascii="Arial" w:hAnsi="Arial" w:cs="Arial"/>
          <w:color w:val="000000"/>
          <w:kern w:val="0"/>
          <w:sz w:val="21"/>
          <w:szCs w:val="21"/>
        </w:rPr>
        <w:t>% a +</w:t>
      </w:r>
      <w:r w:rsidR="008F3DD1">
        <w:rPr>
          <w:rFonts w:ascii="Arial" w:hAnsi="Arial" w:cs="Arial"/>
          <w:color w:val="000000"/>
          <w:kern w:val="0"/>
          <w:sz w:val="21"/>
          <w:szCs w:val="21"/>
        </w:rPr>
        <w:t>6,4</w:t>
      </w:r>
      <w:r w:rsidR="008F3DD1" w:rsidRPr="00B9429C">
        <w:rPr>
          <w:rFonts w:ascii="Arial" w:hAnsi="Arial" w:cs="Arial"/>
          <w:color w:val="000000"/>
          <w:kern w:val="0"/>
          <w:sz w:val="21"/>
          <w:szCs w:val="21"/>
        </w:rPr>
        <w:t xml:space="preserve">%; </w:t>
      </w:r>
      <w:r w:rsidR="008F3DD1">
        <w:rPr>
          <w:rFonts w:ascii="Arial" w:hAnsi="Arial" w:cs="Arial"/>
          <w:color w:val="000000"/>
          <w:kern w:val="0"/>
          <w:sz w:val="21"/>
          <w:szCs w:val="21"/>
        </w:rPr>
        <w:t>+0,5</w:t>
      </w:r>
      <w:r w:rsidR="008F3DD1" w:rsidRPr="00B9429C">
        <w:rPr>
          <w:rFonts w:ascii="Arial" w:hAnsi="Arial" w:cs="Arial"/>
          <w:color w:val="000000"/>
          <w:kern w:val="0"/>
          <w:sz w:val="21"/>
          <w:szCs w:val="21"/>
        </w:rPr>
        <w:t xml:space="preserve">% </w:t>
      </w:r>
      <w:r w:rsidR="00C87256">
        <w:rPr>
          <w:rFonts w:ascii="Arial" w:hAnsi="Arial" w:cs="Arial"/>
          <w:color w:val="000000"/>
          <w:kern w:val="0"/>
          <w:sz w:val="21"/>
          <w:szCs w:val="21"/>
        </w:rPr>
        <w:t>sul mese</w:t>
      </w:r>
      <w:r w:rsidR="008F3DD1" w:rsidRPr="00B9429C">
        <w:rPr>
          <w:rFonts w:ascii="Arial" w:hAnsi="Arial" w:cs="Arial"/>
          <w:color w:val="000000"/>
          <w:kern w:val="0"/>
          <w:sz w:val="21"/>
          <w:szCs w:val="21"/>
        </w:rPr>
        <w:t>)</w:t>
      </w:r>
      <w:r w:rsidR="008F3DD1">
        <w:rPr>
          <w:rFonts w:ascii="Arial" w:hAnsi="Arial" w:cs="Arial"/>
          <w:color w:val="000000"/>
          <w:kern w:val="0"/>
          <w:sz w:val="21"/>
          <w:szCs w:val="21"/>
        </w:rPr>
        <w:t xml:space="preserve"> e in misura minore ai prezzi dei Servizi relativi </w:t>
      </w:r>
      <w:r w:rsidR="00AC6C64">
        <w:rPr>
          <w:rFonts w:ascii="Arial" w:hAnsi="Arial" w:cs="Arial"/>
          <w:color w:val="000000"/>
          <w:kern w:val="0"/>
          <w:sz w:val="21"/>
          <w:szCs w:val="21"/>
        </w:rPr>
        <w:t>all’abitazione</w:t>
      </w:r>
      <w:r w:rsidR="008F3DD1">
        <w:rPr>
          <w:rFonts w:ascii="Arial" w:hAnsi="Arial" w:cs="Arial"/>
          <w:color w:val="000000"/>
          <w:kern w:val="0"/>
          <w:sz w:val="21"/>
          <w:szCs w:val="21"/>
        </w:rPr>
        <w:t xml:space="preserve"> (da +1,4% a +1,7%; +0,4</w:t>
      </w:r>
      <w:r w:rsidR="00C87256">
        <w:rPr>
          <w:rFonts w:ascii="Arial" w:hAnsi="Arial" w:cs="Arial"/>
          <w:color w:val="000000"/>
          <w:kern w:val="0"/>
          <w:sz w:val="21"/>
          <w:szCs w:val="21"/>
        </w:rPr>
        <w:t>%</w:t>
      </w:r>
      <w:r w:rsidR="008F3DD1">
        <w:rPr>
          <w:rFonts w:ascii="Arial" w:hAnsi="Arial" w:cs="Arial"/>
          <w:color w:val="000000"/>
          <w:kern w:val="0"/>
          <w:sz w:val="21"/>
          <w:szCs w:val="21"/>
        </w:rPr>
        <w:t xml:space="preserve"> il congiunturale); rallentano invece i prezzi dei </w:t>
      </w:r>
      <w:r>
        <w:rPr>
          <w:rFonts w:ascii="Arial" w:hAnsi="Arial" w:cs="Arial"/>
          <w:color w:val="000000"/>
          <w:kern w:val="0"/>
          <w:sz w:val="21"/>
          <w:szCs w:val="21"/>
        </w:rPr>
        <w:t>Servizi relativi ai trasporti (da +</w:t>
      </w:r>
      <w:r w:rsidR="008F3DD1">
        <w:rPr>
          <w:rFonts w:ascii="Arial" w:hAnsi="Arial" w:cs="Arial"/>
          <w:color w:val="000000"/>
          <w:kern w:val="0"/>
          <w:sz w:val="21"/>
          <w:szCs w:val="21"/>
        </w:rPr>
        <w:t>8,4</w:t>
      </w:r>
      <w:r>
        <w:rPr>
          <w:rFonts w:ascii="Arial" w:hAnsi="Arial" w:cs="Arial"/>
          <w:color w:val="000000"/>
          <w:kern w:val="0"/>
          <w:sz w:val="21"/>
          <w:szCs w:val="21"/>
        </w:rPr>
        <w:t>% a +7,</w:t>
      </w:r>
      <w:r w:rsidR="008F3DD1">
        <w:rPr>
          <w:rFonts w:ascii="Arial" w:hAnsi="Arial" w:cs="Arial"/>
          <w:color w:val="000000"/>
          <w:kern w:val="0"/>
          <w:sz w:val="21"/>
          <w:szCs w:val="21"/>
        </w:rPr>
        <w:t>2</w:t>
      </w:r>
      <w:r>
        <w:rPr>
          <w:rFonts w:ascii="Arial" w:hAnsi="Arial" w:cs="Arial"/>
          <w:color w:val="000000"/>
          <w:kern w:val="0"/>
          <w:sz w:val="21"/>
          <w:szCs w:val="21"/>
        </w:rPr>
        <w:t xml:space="preserve">%; </w:t>
      </w:r>
      <w:r w:rsidR="008F3DD1">
        <w:rPr>
          <w:rFonts w:ascii="Arial" w:hAnsi="Arial" w:cs="Arial"/>
          <w:color w:val="000000"/>
          <w:kern w:val="0"/>
          <w:sz w:val="21"/>
          <w:szCs w:val="21"/>
        </w:rPr>
        <w:t>-4,2</w:t>
      </w:r>
      <w:r>
        <w:rPr>
          <w:rFonts w:ascii="Arial" w:hAnsi="Arial" w:cs="Arial"/>
          <w:color w:val="000000"/>
          <w:kern w:val="0"/>
          <w:sz w:val="21"/>
          <w:szCs w:val="21"/>
        </w:rPr>
        <w:t xml:space="preserve">% </w:t>
      </w:r>
      <w:r w:rsidR="00817C60">
        <w:rPr>
          <w:rFonts w:ascii="Arial" w:hAnsi="Arial" w:cs="Arial"/>
          <w:color w:val="000000"/>
          <w:kern w:val="0"/>
          <w:sz w:val="21"/>
          <w:szCs w:val="21"/>
        </w:rPr>
        <w:t>su base mensile</w:t>
      </w:r>
      <w:r w:rsidR="008F3DD1">
        <w:rPr>
          <w:rFonts w:ascii="Arial" w:hAnsi="Arial" w:cs="Arial"/>
          <w:color w:val="000000"/>
          <w:kern w:val="0"/>
          <w:sz w:val="21"/>
          <w:szCs w:val="21"/>
        </w:rPr>
        <w:t>)</w:t>
      </w:r>
      <w:r>
        <w:rPr>
          <w:rFonts w:ascii="Arial" w:hAnsi="Arial" w:cs="Arial"/>
          <w:color w:val="000000"/>
          <w:kern w:val="0"/>
          <w:sz w:val="21"/>
          <w:szCs w:val="21"/>
        </w:rPr>
        <w:t>.</w:t>
      </w:r>
    </w:p>
    <w:p w:rsidR="002F10E9" w:rsidRDefault="002F10E9" w:rsidP="002F10E9">
      <w:pPr>
        <w:widowControl/>
        <w:overflowPunct/>
        <w:autoSpaceDE/>
        <w:autoSpaceDN/>
        <w:adjustRightInd/>
        <w:spacing w:before="0" w:after="120"/>
        <w:jc w:val="both"/>
        <w:rPr>
          <w:rFonts w:ascii="Arial" w:hAnsi="Arial" w:cs="Arial"/>
          <w:iCs/>
          <w:sz w:val="21"/>
          <w:szCs w:val="21"/>
        </w:rPr>
      </w:pPr>
      <w:r>
        <w:rPr>
          <w:rFonts w:ascii="Arial" w:hAnsi="Arial" w:cs="Arial"/>
          <w:iCs/>
          <w:sz w:val="21"/>
          <w:szCs w:val="21"/>
        </w:rPr>
        <w:t>In accelerazione sia l’inflazione della componente di fondo</w:t>
      </w:r>
      <w:r w:rsidRPr="00E25060">
        <w:rPr>
          <w:rFonts w:ascii="Arial" w:hAnsi="Arial" w:cs="Arial"/>
          <w:iCs/>
          <w:sz w:val="21"/>
          <w:szCs w:val="21"/>
        </w:rPr>
        <w:t xml:space="preserve"> calcolata al netto </w:t>
      </w:r>
      <w:r>
        <w:rPr>
          <w:rFonts w:ascii="Arial" w:hAnsi="Arial" w:cs="Arial"/>
          <w:iCs/>
          <w:sz w:val="21"/>
          <w:szCs w:val="21"/>
        </w:rPr>
        <w:t>di energia e alimentari freschi (da +</w:t>
      </w:r>
      <w:r w:rsidR="00F64197">
        <w:rPr>
          <w:rFonts w:ascii="Arial" w:hAnsi="Arial" w:cs="Arial"/>
          <w:iCs/>
          <w:sz w:val="21"/>
          <w:szCs w:val="21"/>
        </w:rPr>
        <w:t>4,9</w:t>
      </w:r>
      <w:r>
        <w:rPr>
          <w:rFonts w:ascii="Arial" w:hAnsi="Arial" w:cs="Arial"/>
          <w:iCs/>
          <w:sz w:val="21"/>
          <w:szCs w:val="21"/>
        </w:rPr>
        <w:t>% a +</w:t>
      </w:r>
      <w:r w:rsidR="00F64197">
        <w:rPr>
          <w:rFonts w:ascii="Arial" w:hAnsi="Arial" w:cs="Arial"/>
          <w:iCs/>
          <w:sz w:val="21"/>
          <w:szCs w:val="21"/>
        </w:rPr>
        <w:t>5,3</w:t>
      </w:r>
      <w:r>
        <w:rPr>
          <w:rFonts w:ascii="Arial" w:hAnsi="Arial" w:cs="Arial"/>
          <w:iCs/>
          <w:sz w:val="21"/>
          <w:szCs w:val="21"/>
        </w:rPr>
        <w:t>%) sia quella</w:t>
      </w:r>
      <w:r w:rsidRPr="00A15DBF">
        <w:rPr>
          <w:rFonts w:ascii="Arial" w:hAnsi="Arial" w:cs="Arial"/>
          <w:iCs/>
          <w:sz w:val="21"/>
          <w:szCs w:val="21"/>
        </w:rPr>
        <w:t xml:space="preserve"> </w:t>
      </w:r>
      <w:r w:rsidRPr="00DF5BF6">
        <w:rPr>
          <w:rFonts w:ascii="Arial" w:hAnsi="Arial" w:cs="Arial"/>
          <w:iCs/>
          <w:sz w:val="21"/>
          <w:szCs w:val="21"/>
        </w:rPr>
        <w:t>al netto dell’energia,</w:t>
      </w:r>
      <w:r w:rsidRPr="00E33F44">
        <w:rPr>
          <w:rFonts w:ascii="Arial" w:hAnsi="Arial" w:cs="Arial"/>
          <w:iCs/>
          <w:sz w:val="21"/>
          <w:szCs w:val="21"/>
        </w:rPr>
        <w:t xml:space="preserve"> </w:t>
      </w:r>
      <w:r w:rsidRPr="00DF5BF6">
        <w:rPr>
          <w:rFonts w:ascii="Arial" w:hAnsi="Arial" w:cs="Arial"/>
          <w:iCs/>
          <w:sz w:val="21"/>
          <w:szCs w:val="21"/>
        </w:rPr>
        <w:t>degli alimentari (incluse bevande alcoliche) e tabacchi</w:t>
      </w:r>
      <w:r>
        <w:rPr>
          <w:rFonts w:ascii="Arial" w:hAnsi="Arial" w:cs="Arial"/>
          <w:iCs/>
          <w:sz w:val="21"/>
          <w:szCs w:val="21"/>
        </w:rPr>
        <w:t xml:space="preserve"> (da +</w:t>
      </w:r>
      <w:r w:rsidR="00F64197">
        <w:rPr>
          <w:rFonts w:ascii="Arial" w:hAnsi="Arial" w:cs="Arial"/>
          <w:iCs/>
          <w:sz w:val="21"/>
          <w:szCs w:val="21"/>
        </w:rPr>
        <w:t>4,1</w:t>
      </w:r>
      <w:r>
        <w:rPr>
          <w:rFonts w:ascii="Arial" w:hAnsi="Arial" w:cs="Arial"/>
          <w:iCs/>
          <w:sz w:val="21"/>
          <w:szCs w:val="21"/>
        </w:rPr>
        <w:t>% a +</w:t>
      </w:r>
      <w:r w:rsidR="00F64197">
        <w:rPr>
          <w:rFonts w:ascii="Arial" w:hAnsi="Arial" w:cs="Arial"/>
          <w:iCs/>
          <w:sz w:val="21"/>
          <w:szCs w:val="21"/>
        </w:rPr>
        <w:t>4,4</w:t>
      </w:r>
      <w:r>
        <w:rPr>
          <w:rFonts w:ascii="Arial" w:hAnsi="Arial" w:cs="Arial"/>
          <w:iCs/>
          <w:sz w:val="21"/>
          <w:szCs w:val="21"/>
        </w:rPr>
        <w:t xml:space="preserve">%) sia quella </w:t>
      </w:r>
      <w:r w:rsidRPr="00A15DBF">
        <w:rPr>
          <w:rFonts w:ascii="Arial" w:hAnsi="Arial" w:cs="Arial"/>
          <w:iCs/>
          <w:sz w:val="21"/>
          <w:szCs w:val="21"/>
        </w:rPr>
        <w:t>al netto dei so</w:t>
      </w:r>
      <w:r>
        <w:rPr>
          <w:rFonts w:ascii="Arial" w:hAnsi="Arial" w:cs="Arial"/>
          <w:iCs/>
          <w:sz w:val="21"/>
          <w:szCs w:val="21"/>
        </w:rPr>
        <w:t>li beni energetici (da +</w:t>
      </w:r>
      <w:r w:rsidR="00F64197">
        <w:rPr>
          <w:rFonts w:ascii="Arial" w:hAnsi="Arial" w:cs="Arial"/>
          <w:iCs/>
          <w:sz w:val="21"/>
          <w:szCs w:val="21"/>
        </w:rPr>
        <w:t>5,4</w:t>
      </w:r>
      <w:r>
        <w:rPr>
          <w:rFonts w:ascii="Arial" w:hAnsi="Arial" w:cs="Arial"/>
          <w:iCs/>
          <w:sz w:val="21"/>
          <w:szCs w:val="21"/>
        </w:rPr>
        <w:t>% a +</w:t>
      </w:r>
      <w:r w:rsidR="00F64197">
        <w:rPr>
          <w:rFonts w:ascii="Arial" w:hAnsi="Arial" w:cs="Arial"/>
          <w:iCs/>
          <w:sz w:val="21"/>
          <w:szCs w:val="21"/>
        </w:rPr>
        <w:t>5,8</w:t>
      </w:r>
      <w:r>
        <w:rPr>
          <w:rFonts w:ascii="Arial" w:hAnsi="Arial" w:cs="Arial"/>
          <w:iCs/>
          <w:sz w:val="21"/>
          <w:szCs w:val="21"/>
        </w:rPr>
        <w:t>%).</w:t>
      </w:r>
    </w:p>
    <w:p w:rsidR="00B546B5" w:rsidRPr="00DD629D" w:rsidRDefault="00B546B5" w:rsidP="00931034">
      <w:pPr>
        <w:widowControl/>
        <w:overflowPunct/>
        <w:autoSpaceDE/>
        <w:autoSpaceDN/>
        <w:adjustRightInd/>
        <w:spacing w:before="0" w:after="120"/>
        <w:jc w:val="both"/>
        <w:rPr>
          <w:rFonts w:ascii="Arial" w:hAnsi="Arial" w:cs="Arial"/>
          <w:iCs/>
          <w:sz w:val="8"/>
          <w:szCs w:val="8"/>
        </w:rPr>
      </w:pPr>
    </w:p>
    <w:p w:rsidR="00C24A59" w:rsidRPr="00C8504B" w:rsidRDefault="00C24A59" w:rsidP="00606B17">
      <w:pPr>
        <w:spacing w:before="0" w:after="60" w:line="216" w:lineRule="auto"/>
        <w:rPr>
          <w:rFonts w:ascii="Arial Narrow" w:hAnsi="Arial Narrow" w:cs="Arial"/>
          <w:color w:val="5F5F5F"/>
        </w:rPr>
      </w:pPr>
      <w:r w:rsidRPr="00C8504B">
        <w:rPr>
          <w:rFonts w:ascii="Arial Narrow" w:hAnsi="Arial Narrow" w:cs="Arial"/>
          <w:b/>
          <w:color w:val="E42618"/>
          <w:kern w:val="0"/>
          <w:sz w:val="22"/>
          <w:szCs w:val="22"/>
        </w:rPr>
        <w:t xml:space="preserve">PROSPETTO </w:t>
      </w:r>
      <w:r w:rsidR="00E74721" w:rsidRPr="00C8504B">
        <w:rPr>
          <w:rFonts w:ascii="Arial Narrow" w:hAnsi="Arial Narrow" w:cs="Arial"/>
          <w:b/>
          <w:color w:val="E42618"/>
          <w:kern w:val="0"/>
          <w:sz w:val="22"/>
          <w:szCs w:val="22"/>
        </w:rPr>
        <w:t>7</w:t>
      </w:r>
      <w:r w:rsidRPr="00C8504B">
        <w:rPr>
          <w:rFonts w:ascii="Arial Narrow" w:hAnsi="Arial Narrow" w:cs="Arial"/>
          <w:b/>
          <w:color w:val="E42618"/>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INDICI DEI PREZZI AL CONSUMO IPCA PER AGGREGATI SPECIALI</w:t>
      </w:r>
      <w:r w:rsidR="008A791D">
        <w:rPr>
          <w:rFonts w:ascii="Arial Narrow" w:hAnsi="Arial Narrow" w:cs="Calibri"/>
          <w:b/>
          <w:bCs/>
          <w:color w:val="5F5F5F"/>
          <w:kern w:val="0"/>
          <w:sz w:val="22"/>
          <w:szCs w:val="22"/>
          <w:vertAlign w:val="superscript"/>
        </w:rPr>
        <w:t>(*)</w:t>
      </w:r>
      <w:r w:rsidRPr="00C8504B">
        <w:rPr>
          <w:rFonts w:ascii="Arial Narrow" w:hAnsi="Arial Narrow" w:cs="Arial"/>
          <w:b/>
          <w:color w:val="5F5F5F"/>
        </w:rPr>
        <w:br/>
      </w:r>
      <w:r w:rsidR="009B6ACA">
        <w:rPr>
          <w:rFonts w:ascii="Arial Narrow" w:hAnsi="Arial Narrow" w:cs="Arial"/>
          <w:color w:val="5F5F5F"/>
        </w:rPr>
        <w:t>Settembre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Pr="00C8504B">
        <w:rPr>
          <w:rFonts w:ascii="Arial Narrow" w:hAnsi="Arial Narrow" w:cs="Arial"/>
          <w:color w:val="5F5F5F"/>
        </w:rPr>
        <w:t xml:space="preserve">, pesi e variazioni percentuali </w:t>
      </w:r>
      <w:r w:rsidR="00312166" w:rsidRPr="00C8504B">
        <w:rPr>
          <w:rFonts w:ascii="Arial Narrow" w:hAnsi="Arial Narrow" w:cs="Arial"/>
          <w:color w:val="5F5F5F"/>
        </w:rPr>
        <w:t>congiunturali</w:t>
      </w:r>
      <w:r w:rsidR="00625F9C" w:rsidRPr="00C8504B">
        <w:rPr>
          <w:rFonts w:ascii="Arial Narrow" w:hAnsi="Arial Narrow" w:cs="Arial"/>
          <w:color w:val="5F5F5F"/>
        </w:rPr>
        <w:t xml:space="preserve"> e tendenziali </w:t>
      </w:r>
      <w:r w:rsidRPr="00C8504B">
        <w:rPr>
          <w:rFonts w:ascii="Arial Narrow" w:hAnsi="Arial Narrow" w:cs="Arial"/>
          <w:color w:val="5F5F5F"/>
        </w:rPr>
        <w:t>(base 2015=100)</w:t>
      </w:r>
    </w:p>
    <w:tbl>
      <w:tblPr>
        <w:tblW w:w="10206" w:type="dxa"/>
        <w:jc w:val="center"/>
        <w:tblBorders>
          <w:top w:val="single" w:sz="4" w:space="0" w:color="000000"/>
          <w:bottom w:val="single" w:sz="4" w:space="0" w:color="000000"/>
          <w:insideH w:val="single" w:sz="4" w:space="0" w:color="000000"/>
        </w:tblBorders>
        <w:tblLayout w:type="fixed"/>
        <w:tblCellMar>
          <w:left w:w="70" w:type="dxa"/>
          <w:right w:w="0" w:type="dxa"/>
        </w:tblCellMar>
        <w:tblLook w:val="0000" w:firstRow="0" w:lastRow="0" w:firstColumn="0" w:lastColumn="0" w:noHBand="0" w:noVBand="0"/>
      </w:tblPr>
      <w:tblGrid>
        <w:gridCol w:w="4253"/>
        <w:gridCol w:w="1027"/>
        <w:gridCol w:w="974"/>
        <w:gridCol w:w="976"/>
        <w:gridCol w:w="1113"/>
        <w:gridCol w:w="793"/>
        <w:gridCol w:w="1070"/>
      </w:tblGrid>
      <w:tr w:rsidR="00FD0188" w:rsidRPr="00C8504B" w:rsidTr="009A110B">
        <w:trPr>
          <w:trHeight w:val="200"/>
          <w:jc w:val="center"/>
        </w:trPr>
        <w:tc>
          <w:tcPr>
            <w:tcW w:w="4253" w:type="dxa"/>
            <w:vMerge w:val="restart"/>
            <w:vAlign w:val="center"/>
          </w:tcPr>
          <w:p w:rsidR="00FD0188" w:rsidRPr="00C8504B" w:rsidRDefault="00FD0188" w:rsidP="00FD0188">
            <w:pPr>
              <w:spacing w:before="40" w:after="20"/>
              <w:ind w:left="-68"/>
              <w:rPr>
                <w:rFonts w:ascii="Arial Narrow" w:hAnsi="Arial Narrow" w:cs="Arial"/>
                <w:b/>
                <w:bCs/>
                <w:sz w:val="18"/>
                <w:szCs w:val="18"/>
              </w:rPr>
            </w:pPr>
            <w:r w:rsidRPr="00C8504B">
              <w:rPr>
                <w:rFonts w:ascii="Arial Narrow" w:hAnsi="Arial Narrow" w:cs="Arial"/>
                <w:b/>
                <w:bCs/>
                <w:sz w:val="18"/>
                <w:szCs w:val="18"/>
              </w:rPr>
              <w:t>AGGREGATI SPECIALI</w:t>
            </w:r>
          </w:p>
        </w:tc>
        <w:tc>
          <w:tcPr>
            <w:tcW w:w="1027" w:type="dxa"/>
            <w:vMerge w:val="restart"/>
            <w:shd w:val="clear" w:color="auto" w:fill="D9D9D9" w:themeFill="background1" w:themeFillShade="D9"/>
            <w:vAlign w:val="center"/>
          </w:tcPr>
          <w:p w:rsidR="00FD0188" w:rsidRPr="00C8504B" w:rsidRDefault="00FD0188" w:rsidP="00FD0188">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1950" w:type="dxa"/>
            <w:gridSpan w:val="2"/>
            <w:vAlign w:val="center"/>
          </w:tcPr>
          <w:p w:rsidR="00FD0188" w:rsidRPr="00C8504B" w:rsidRDefault="00FD0188" w:rsidP="00FD0188">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Variazioni congiunturali</w:t>
            </w:r>
          </w:p>
        </w:tc>
        <w:tc>
          <w:tcPr>
            <w:tcW w:w="1906" w:type="dxa"/>
            <w:gridSpan w:val="2"/>
            <w:shd w:val="clear" w:color="auto" w:fill="D9D9D9"/>
            <w:vAlign w:val="center"/>
          </w:tcPr>
          <w:p w:rsidR="00FD0188" w:rsidRPr="00C8504B" w:rsidRDefault="00FD0188" w:rsidP="00FD0188">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Variazioni tendenziali</w:t>
            </w:r>
          </w:p>
        </w:tc>
        <w:tc>
          <w:tcPr>
            <w:tcW w:w="1070" w:type="dxa"/>
            <w:vMerge w:val="restart"/>
            <w:shd w:val="clear" w:color="auto" w:fill="auto"/>
            <w:vAlign w:val="center"/>
          </w:tcPr>
          <w:p w:rsidR="00FD0188" w:rsidRPr="00C8504B" w:rsidRDefault="000830DA" w:rsidP="003D11ED">
            <w:pPr>
              <w:spacing w:before="40" w:after="20"/>
              <w:ind w:right="57"/>
              <w:jc w:val="right"/>
              <w:rPr>
                <w:rFonts w:ascii="Arial Narrow" w:hAnsi="Arial Narrow" w:cs="Arial"/>
                <w:b/>
                <w:bCs/>
                <w:sz w:val="18"/>
                <w:szCs w:val="18"/>
              </w:rPr>
            </w:pPr>
            <w:r w:rsidRPr="008814F3">
              <w:rPr>
                <w:rFonts w:ascii="Arial Narrow" w:hAnsi="Arial Narrow" w:cs="Arial"/>
                <w:b/>
                <w:bCs/>
                <w:kern w:val="0"/>
                <w:sz w:val="18"/>
                <w:szCs w:val="18"/>
              </w:rPr>
              <w:t>Inflazione</w:t>
            </w:r>
            <w:r>
              <w:rPr>
                <w:rFonts w:ascii="Arial Narrow" w:hAnsi="Arial Narrow" w:cs="Arial"/>
                <w:b/>
                <w:bCs/>
                <w:kern w:val="0"/>
                <w:sz w:val="18"/>
                <w:szCs w:val="18"/>
              </w:rPr>
              <w:t xml:space="preserve"> </w:t>
            </w:r>
            <w:r w:rsidRPr="008814F3">
              <w:rPr>
                <w:rFonts w:ascii="Arial Narrow" w:hAnsi="Arial Narrow" w:cs="Arial"/>
                <w:b/>
                <w:bCs/>
                <w:kern w:val="0"/>
                <w:sz w:val="18"/>
                <w:szCs w:val="18"/>
              </w:rPr>
              <w:t>acquisita</w:t>
            </w:r>
            <w:r w:rsidR="00873EA2">
              <w:rPr>
                <w:rFonts w:ascii="Arial Narrow" w:hAnsi="Arial Narrow" w:cs="Arial"/>
                <w:b/>
                <w:bCs/>
                <w:kern w:val="0"/>
                <w:sz w:val="18"/>
                <w:szCs w:val="18"/>
              </w:rPr>
              <w:t xml:space="preserve"> a </w:t>
            </w:r>
            <w:r w:rsidR="009B6ACA">
              <w:rPr>
                <w:rFonts w:ascii="Arial Narrow" w:hAnsi="Arial Narrow" w:cs="Arial"/>
                <w:b/>
                <w:bCs/>
                <w:kern w:val="0"/>
                <w:sz w:val="18"/>
                <w:szCs w:val="18"/>
              </w:rPr>
              <w:t>settembre</w:t>
            </w:r>
          </w:p>
        </w:tc>
      </w:tr>
      <w:tr w:rsidR="00932AA7" w:rsidRPr="00C8504B" w:rsidTr="00193989">
        <w:trPr>
          <w:trHeight w:val="346"/>
          <w:jc w:val="center"/>
        </w:trPr>
        <w:tc>
          <w:tcPr>
            <w:tcW w:w="4253" w:type="dxa"/>
            <w:vMerge/>
            <w:vAlign w:val="center"/>
          </w:tcPr>
          <w:p w:rsidR="00932AA7" w:rsidRPr="00C8504B" w:rsidRDefault="00932AA7" w:rsidP="00932AA7">
            <w:pPr>
              <w:spacing w:before="40" w:after="20"/>
              <w:ind w:left="-68"/>
              <w:rPr>
                <w:rFonts w:ascii="Arial Narrow" w:hAnsi="Arial Narrow" w:cs="Arial"/>
                <w:b/>
                <w:bCs/>
                <w:sz w:val="18"/>
                <w:szCs w:val="18"/>
              </w:rPr>
            </w:pPr>
          </w:p>
        </w:tc>
        <w:tc>
          <w:tcPr>
            <w:tcW w:w="1027" w:type="dxa"/>
            <w:vMerge/>
            <w:shd w:val="clear" w:color="auto" w:fill="D9D9D9" w:themeFill="background1" w:themeFillShade="D9"/>
            <w:vAlign w:val="center"/>
          </w:tcPr>
          <w:p w:rsidR="00932AA7" w:rsidRPr="00C8504B" w:rsidRDefault="00932AA7" w:rsidP="00932AA7">
            <w:pPr>
              <w:spacing w:before="40" w:after="20"/>
              <w:jc w:val="center"/>
              <w:rPr>
                <w:rFonts w:ascii="Arial Narrow" w:hAnsi="Arial Narrow" w:cs="Arial"/>
                <w:b/>
                <w:bCs/>
                <w:sz w:val="18"/>
                <w:szCs w:val="18"/>
              </w:rPr>
            </w:pPr>
          </w:p>
        </w:tc>
        <w:tc>
          <w:tcPr>
            <w:tcW w:w="974" w:type="dxa"/>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932AA7" w:rsidRPr="00E03E58" w:rsidRDefault="00932AA7" w:rsidP="00932AA7">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ago-22</w:t>
            </w:r>
          </w:p>
        </w:tc>
        <w:tc>
          <w:tcPr>
            <w:tcW w:w="976" w:type="dxa"/>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set-21</w:t>
            </w:r>
          </w:p>
          <w:p w:rsidR="00932AA7" w:rsidRPr="008814F3"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ago-21</w:t>
            </w:r>
          </w:p>
        </w:tc>
        <w:tc>
          <w:tcPr>
            <w:tcW w:w="1113" w:type="dxa"/>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932AA7" w:rsidRPr="008814F3"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set-21</w:t>
            </w:r>
          </w:p>
        </w:tc>
        <w:tc>
          <w:tcPr>
            <w:tcW w:w="793" w:type="dxa"/>
            <w:vAlign w:val="center"/>
          </w:tcPr>
          <w:p w:rsidR="00932AA7"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ago-22</w:t>
            </w:r>
          </w:p>
          <w:p w:rsidR="00932AA7" w:rsidRPr="008814F3" w:rsidRDefault="00932AA7" w:rsidP="00932AA7">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ago-21</w:t>
            </w:r>
          </w:p>
        </w:tc>
        <w:tc>
          <w:tcPr>
            <w:tcW w:w="1070" w:type="dxa"/>
            <w:vMerge/>
            <w:shd w:val="clear" w:color="auto" w:fill="auto"/>
            <w:vAlign w:val="center"/>
          </w:tcPr>
          <w:p w:rsidR="00932AA7" w:rsidRPr="00502CE8" w:rsidRDefault="00932AA7" w:rsidP="00932AA7">
            <w:pPr>
              <w:spacing w:before="40" w:after="20"/>
              <w:contextualSpacing/>
              <w:jc w:val="center"/>
              <w:rPr>
                <w:rFonts w:ascii="Arial Narrow" w:hAnsi="Arial Narrow" w:cs="Arial"/>
                <w:b/>
                <w:bCs/>
                <w:sz w:val="18"/>
                <w:szCs w:val="18"/>
              </w:rPr>
            </w:pP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68"/>
              <w:rPr>
                <w:rFonts w:ascii="Arial Narrow" w:hAnsi="Arial Narrow" w:cs="Arial"/>
                <w:sz w:val="18"/>
                <w:szCs w:val="18"/>
              </w:rPr>
            </w:pPr>
            <w:r w:rsidRPr="00C8504B">
              <w:rPr>
                <w:rFonts w:ascii="Arial Narrow" w:hAnsi="Arial Narrow" w:cs="Arial"/>
                <w:sz w:val="18"/>
                <w:szCs w:val="18"/>
              </w:rPr>
              <w:t>Beni alimentari (incluse bevande alcoliche) e tabacchi, di cui:</w:t>
            </w:r>
          </w:p>
        </w:tc>
        <w:tc>
          <w:tcPr>
            <w:tcW w:w="1027" w:type="dxa"/>
            <w:shd w:val="clear" w:color="auto" w:fill="D9D9D9" w:themeFill="background1" w:themeFillShade="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230.610</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+1,0</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+0,1</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+10,2</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+9,2</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+7,4</w:t>
            </w: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247"/>
              <w:rPr>
                <w:rFonts w:ascii="Arial Narrow" w:hAnsi="Arial Narrow" w:cs="Arial"/>
                <w:sz w:val="18"/>
                <w:szCs w:val="18"/>
              </w:rPr>
            </w:pPr>
            <w:r w:rsidRPr="00C8504B">
              <w:rPr>
                <w:rFonts w:ascii="Arial Narrow" w:hAnsi="Arial Narrow" w:cs="Arial"/>
                <w:sz w:val="18"/>
                <w:szCs w:val="18"/>
              </w:rPr>
              <w:t>Alimentari lavorati (incluse bevande alcoliche) e tabacchi</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159.028</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+0,5</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-0,4</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+9,8</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+8,8</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+6,7</w:t>
            </w: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247"/>
              <w:rPr>
                <w:rFonts w:ascii="Arial Narrow" w:hAnsi="Arial Narrow" w:cs="Arial"/>
                <w:sz w:val="18"/>
                <w:szCs w:val="18"/>
              </w:rPr>
            </w:pPr>
            <w:r w:rsidRPr="00C8504B">
              <w:rPr>
                <w:rFonts w:ascii="Arial Narrow" w:hAnsi="Arial Narrow" w:cs="Arial"/>
                <w:sz w:val="18"/>
                <w:szCs w:val="18"/>
              </w:rPr>
              <w:t>Alimentari non lavorati</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71.582</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+2,1</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+0,9</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+11,4</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+10,1</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+9,1</w:t>
            </w: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68"/>
              <w:rPr>
                <w:rFonts w:ascii="Arial Narrow" w:hAnsi="Arial Narrow" w:cs="Arial"/>
                <w:sz w:val="18"/>
                <w:szCs w:val="18"/>
              </w:rPr>
            </w:pPr>
            <w:r w:rsidRPr="00C8504B">
              <w:rPr>
                <w:rFonts w:ascii="Arial Narrow" w:hAnsi="Arial Narrow" w:cs="Arial"/>
                <w:sz w:val="18"/>
                <w:szCs w:val="18"/>
              </w:rPr>
              <w:t>Energia, di cui:</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97.164</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-0,2</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+0,1</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+45,0</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+45,4</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+41,0</w:t>
            </w: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247"/>
              <w:rPr>
                <w:rFonts w:ascii="Arial Narrow" w:hAnsi="Arial Narrow" w:cs="Arial"/>
                <w:sz w:val="18"/>
                <w:szCs w:val="18"/>
              </w:rPr>
            </w:pPr>
            <w:r w:rsidRPr="00C8504B">
              <w:rPr>
                <w:rFonts w:ascii="Arial Narrow" w:hAnsi="Arial Narrow" w:cs="Arial"/>
                <w:sz w:val="18"/>
                <w:szCs w:val="18"/>
              </w:rPr>
              <w:t>Elettricità, gas e combustibili solidi</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48.838</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+0,6</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+0,1</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+77,9</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+76,9</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+64,1</w:t>
            </w: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247"/>
              <w:rPr>
                <w:rFonts w:ascii="Arial Narrow" w:hAnsi="Arial Narrow" w:cs="Arial"/>
                <w:sz w:val="18"/>
                <w:szCs w:val="18"/>
              </w:rPr>
            </w:pPr>
            <w:r w:rsidRPr="00C8504B">
              <w:rPr>
                <w:rFonts w:ascii="Arial Narrow" w:hAnsi="Arial Narrow" w:cs="Arial"/>
                <w:sz w:val="18"/>
                <w:szCs w:val="18"/>
              </w:rPr>
              <w:t>Combustibili liquidi, carburanti e lubrificanti</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48.326</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-1,3</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+0,1</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+13,2</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+14,8</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+18,1</w:t>
            </w: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68"/>
              <w:rPr>
                <w:rFonts w:ascii="Arial Narrow" w:hAnsi="Arial Narrow" w:cs="Arial"/>
                <w:sz w:val="18"/>
                <w:szCs w:val="18"/>
              </w:rPr>
            </w:pPr>
            <w:r w:rsidRPr="00C8504B">
              <w:rPr>
                <w:rFonts w:ascii="Arial Narrow" w:hAnsi="Arial Narrow" w:cs="Arial"/>
                <w:sz w:val="18"/>
                <w:szCs w:val="18"/>
              </w:rPr>
              <w:t>Beni industriali non energetici, di cui:</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284.285</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+6,2</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+5,9</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+4,4</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+4,1</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+2,7</w:t>
            </w: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247"/>
              <w:rPr>
                <w:rFonts w:ascii="Arial Narrow" w:hAnsi="Arial Narrow" w:cs="Arial"/>
                <w:sz w:val="18"/>
                <w:szCs w:val="18"/>
              </w:rPr>
            </w:pPr>
            <w:r w:rsidRPr="00C8504B">
              <w:rPr>
                <w:rFonts w:ascii="Arial Narrow" w:hAnsi="Arial Narrow" w:cs="Arial"/>
                <w:sz w:val="18"/>
                <w:szCs w:val="18"/>
              </w:rPr>
              <w:t>Beni durevoli</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110.163</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+0,9</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+0,4</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+4,7</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+4,2</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+3,2</w:t>
            </w: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247"/>
              <w:rPr>
                <w:rFonts w:ascii="Arial Narrow" w:hAnsi="Arial Narrow" w:cs="Arial"/>
                <w:sz w:val="18"/>
                <w:szCs w:val="18"/>
              </w:rPr>
            </w:pPr>
            <w:r w:rsidRPr="00C8504B">
              <w:rPr>
                <w:rFonts w:ascii="Arial Narrow" w:hAnsi="Arial Narrow" w:cs="Arial"/>
                <w:sz w:val="18"/>
                <w:szCs w:val="18"/>
              </w:rPr>
              <w:t>Beni non durevoli</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64.441</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+0,5</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-0,3</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+5,9</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+5,0</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+3,8</w:t>
            </w: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247"/>
              <w:rPr>
                <w:rFonts w:ascii="Arial Narrow" w:hAnsi="Arial Narrow" w:cs="Arial"/>
                <w:sz w:val="18"/>
                <w:szCs w:val="18"/>
              </w:rPr>
            </w:pPr>
            <w:r w:rsidRPr="00C8504B">
              <w:rPr>
                <w:rFonts w:ascii="Arial Narrow" w:hAnsi="Arial Narrow" w:cs="Arial"/>
                <w:sz w:val="18"/>
                <w:szCs w:val="18"/>
              </w:rPr>
              <w:t>Beni semidurevoli</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109.681</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+16,7</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+16,5</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+2,9</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+2,7</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+1,2</w:t>
            </w:r>
          </w:p>
        </w:tc>
      </w:tr>
      <w:tr w:rsidR="00297E6D" w:rsidRPr="00502CE8" w:rsidTr="009431DE">
        <w:trPr>
          <w:trHeight w:val="255"/>
          <w:jc w:val="center"/>
        </w:trPr>
        <w:tc>
          <w:tcPr>
            <w:tcW w:w="4253" w:type="dxa"/>
            <w:shd w:val="clear" w:color="auto" w:fill="808080"/>
            <w:vAlign w:val="center"/>
          </w:tcPr>
          <w:p w:rsidR="00297E6D" w:rsidRPr="00C8504B" w:rsidRDefault="00297E6D" w:rsidP="00297E6D">
            <w:pPr>
              <w:spacing w:before="40" w:after="20"/>
              <w:rPr>
                <w:rFonts w:ascii="Arial Narrow" w:hAnsi="Arial Narrow" w:cs="Arial"/>
                <w:b/>
                <w:bCs/>
                <w:color w:val="FFFFFF"/>
                <w:sz w:val="18"/>
                <w:szCs w:val="18"/>
              </w:rPr>
            </w:pPr>
            <w:r w:rsidRPr="00C8504B">
              <w:rPr>
                <w:rFonts w:ascii="Arial Narrow" w:hAnsi="Arial Narrow" w:cs="Arial"/>
                <w:b/>
                <w:color w:val="FFFFFF"/>
                <w:sz w:val="18"/>
                <w:szCs w:val="18"/>
              </w:rPr>
              <w:t>Beni</w:t>
            </w:r>
          </w:p>
        </w:tc>
        <w:tc>
          <w:tcPr>
            <w:tcW w:w="1027" w:type="dxa"/>
            <w:shd w:val="clear" w:color="auto" w:fill="808080"/>
            <w:vAlign w:val="center"/>
          </w:tcPr>
          <w:p w:rsidR="00297E6D" w:rsidRPr="00EF1C6D" w:rsidRDefault="00297E6D" w:rsidP="00297E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612.059</w:t>
            </w:r>
          </w:p>
        </w:tc>
        <w:tc>
          <w:tcPr>
            <w:tcW w:w="974" w:type="dxa"/>
            <w:shd w:val="clear" w:color="auto" w:fill="808080"/>
            <w:vAlign w:val="center"/>
          </w:tcPr>
          <w:p w:rsidR="00297E6D" w:rsidRPr="00297E6D" w:rsidRDefault="00297E6D" w:rsidP="00297E6D">
            <w:pPr>
              <w:spacing w:before="40" w:after="20"/>
              <w:ind w:left="-68"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+3,0</w:t>
            </w:r>
          </w:p>
        </w:tc>
        <w:tc>
          <w:tcPr>
            <w:tcW w:w="976" w:type="dxa"/>
            <w:shd w:val="clear" w:color="auto" w:fill="808080"/>
            <w:vAlign w:val="center"/>
          </w:tcPr>
          <w:p w:rsidR="00297E6D" w:rsidRPr="00297E6D" w:rsidRDefault="00297E6D" w:rsidP="00297E6D">
            <w:pPr>
              <w:spacing w:before="40" w:after="20"/>
              <w:ind w:left="-68"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+2,6</w:t>
            </w:r>
          </w:p>
        </w:tc>
        <w:tc>
          <w:tcPr>
            <w:tcW w:w="1113" w:type="dxa"/>
            <w:shd w:val="clear" w:color="auto" w:fill="808080"/>
            <w:vAlign w:val="center"/>
          </w:tcPr>
          <w:p w:rsidR="00297E6D" w:rsidRPr="00297E6D" w:rsidRDefault="00297E6D" w:rsidP="00297E6D">
            <w:pPr>
              <w:spacing w:before="40" w:after="20"/>
              <w:ind w:left="-68"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+12,7</w:t>
            </w:r>
          </w:p>
        </w:tc>
        <w:tc>
          <w:tcPr>
            <w:tcW w:w="793" w:type="dxa"/>
            <w:shd w:val="clear" w:color="auto" w:fill="808080"/>
            <w:vAlign w:val="center"/>
          </w:tcPr>
          <w:p w:rsidR="00297E6D" w:rsidRPr="00297E6D" w:rsidRDefault="00297E6D" w:rsidP="00297E6D">
            <w:pPr>
              <w:spacing w:before="40" w:after="20"/>
              <w:ind w:left="-68"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+12,2</w:t>
            </w:r>
          </w:p>
        </w:tc>
        <w:tc>
          <w:tcPr>
            <w:tcW w:w="1070" w:type="dxa"/>
            <w:shd w:val="clear" w:color="auto" w:fill="808080"/>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+10,2</w:t>
            </w: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all'abitazione</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81.415</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+0,4</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+0,1</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+1,7</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+1,4</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+1,4</w:t>
            </w: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alle comunicazioni</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18.908</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0,0</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+0,2</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+0,1</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+0,3</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0,0</w:t>
            </w:r>
          </w:p>
        </w:tc>
      </w:tr>
      <w:tr w:rsidR="00297E6D" w:rsidRPr="00502CE8" w:rsidTr="009431DE">
        <w:trPr>
          <w:trHeight w:val="255"/>
          <w:jc w:val="center"/>
        </w:trPr>
        <w:tc>
          <w:tcPr>
            <w:tcW w:w="4253" w:type="dxa"/>
            <w:vAlign w:val="center"/>
          </w:tcPr>
          <w:p w:rsidR="00297E6D" w:rsidRPr="00C8504B" w:rsidRDefault="00297E6D" w:rsidP="00297E6D">
            <w:pPr>
              <w:tabs>
                <w:tab w:val="left" w:pos="290"/>
              </w:tabs>
              <w:spacing w:before="40" w:after="20"/>
              <w:ind w:left="-68"/>
              <w:rPr>
                <w:rFonts w:ascii="Arial Narrow" w:hAnsi="Arial Narrow" w:cs="Arial"/>
                <w:bCs/>
                <w:sz w:val="18"/>
                <w:szCs w:val="18"/>
              </w:rPr>
            </w:pPr>
            <w:r w:rsidRPr="00C8504B">
              <w:rPr>
                <w:rFonts w:ascii="Arial Narrow" w:hAnsi="Arial Narrow" w:cs="Arial"/>
                <w:bCs/>
                <w:sz w:val="18"/>
                <w:szCs w:val="18"/>
              </w:rPr>
              <w:t>Servizi ricreativi, culturali e per la cura della persona</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134.632</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+0,5</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-0,5</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+6,4</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+5,3</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+5,2</w:t>
            </w: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ai trasporti</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68.097</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-4,2</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-3,2</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+7,2</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+8,4</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+5,7</w:t>
            </w: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68"/>
              <w:rPr>
                <w:rFonts w:ascii="Arial Narrow" w:hAnsi="Arial Narrow" w:cs="Arial"/>
                <w:bCs/>
                <w:sz w:val="18"/>
                <w:szCs w:val="18"/>
              </w:rPr>
            </w:pPr>
            <w:r w:rsidRPr="00C8504B">
              <w:rPr>
                <w:rFonts w:ascii="Arial Narrow" w:hAnsi="Arial Narrow" w:cs="Arial"/>
                <w:bCs/>
                <w:sz w:val="18"/>
                <w:szCs w:val="18"/>
              </w:rPr>
              <w:t>Servizi vari</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84.889</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+0,2</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+0,1</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+1,9</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+1,8</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+1,5</w:t>
            </w:r>
          </w:p>
        </w:tc>
      </w:tr>
      <w:tr w:rsidR="00297E6D" w:rsidRPr="00502CE8" w:rsidTr="009431DE">
        <w:trPr>
          <w:trHeight w:val="255"/>
          <w:jc w:val="center"/>
        </w:trPr>
        <w:tc>
          <w:tcPr>
            <w:tcW w:w="4253" w:type="dxa"/>
            <w:shd w:val="clear" w:color="auto" w:fill="808080"/>
            <w:vAlign w:val="center"/>
          </w:tcPr>
          <w:p w:rsidR="00297E6D" w:rsidRPr="00C8504B" w:rsidRDefault="00297E6D" w:rsidP="00297E6D">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Servizi</w:t>
            </w:r>
          </w:p>
        </w:tc>
        <w:tc>
          <w:tcPr>
            <w:tcW w:w="1027" w:type="dxa"/>
            <w:shd w:val="clear" w:color="auto" w:fill="808080"/>
            <w:vAlign w:val="center"/>
          </w:tcPr>
          <w:p w:rsidR="00297E6D" w:rsidRPr="00EF1C6D" w:rsidRDefault="00297E6D" w:rsidP="00297E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387.941</w:t>
            </w:r>
          </w:p>
        </w:tc>
        <w:tc>
          <w:tcPr>
            <w:tcW w:w="974" w:type="dxa"/>
            <w:shd w:val="clear" w:color="auto" w:fill="808080"/>
            <w:vAlign w:val="center"/>
          </w:tcPr>
          <w:p w:rsidR="00297E6D" w:rsidRPr="00297E6D" w:rsidRDefault="00297E6D" w:rsidP="00297E6D">
            <w:pPr>
              <w:spacing w:before="40" w:after="20"/>
              <w:ind w:left="-68"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-0,5</w:t>
            </w:r>
          </w:p>
        </w:tc>
        <w:tc>
          <w:tcPr>
            <w:tcW w:w="976" w:type="dxa"/>
            <w:shd w:val="clear" w:color="auto" w:fill="808080"/>
            <w:vAlign w:val="center"/>
          </w:tcPr>
          <w:p w:rsidR="00297E6D" w:rsidRPr="00297E6D" w:rsidRDefault="00297E6D" w:rsidP="00297E6D">
            <w:pPr>
              <w:spacing w:before="40" w:after="20"/>
              <w:ind w:left="-68"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-0,8</w:t>
            </w:r>
          </w:p>
        </w:tc>
        <w:tc>
          <w:tcPr>
            <w:tcW w:w="1113" w:type="dxa"/>
            <w:shd w:val="clear" w:color="auto" w:fill="808080"/>
            <w:vAlign w:val="center"/>
          </w:tcPr>
          <w:p w:rsidR="00297E6D" w:rsidRPr="00297E6D" w:rsidRDefault="00297E6D" w:rsidP="00297E6D">
            <w:pPr>
              <w:spacing w:before="40" w:after="20"/>
              <w:ind w:left="-68"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+4,4</w:t>
            </w:r>
          </w:p>
        </w:tc>
        <w:tc>
          <w:tcPr>
            <w:tcW w:w="793" w:type="dxa"/>
            <w:shd w:val="clear" w:color="auto" w:fill="808080"/>
            <w:vAlign w:val="center"/>
          </w:tcPr>
          <w:p w:rsidR="00297E6D" w:rsidRPr="00297E6D" w:rsidRDefault="00297E6D" w:rsidP="00297E6D">
            <w:pPr>
              <w:spacing w:before="40" w:after="20"/>
              <w:ind w:left="-68"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+4,0</w:t>
            </w:r>
          </w:p>
        </w:tc>
        <w:tc>
          <w:tcPr>
            <w:tcW w:w="1070" w:type="dxa"/>
            <w:shd w:val="clear" w:color="auto" w:fill="808080"/>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+3,4</w:t>
            </w:r>
          </w:p>
        </w:tc>
      </w:tr>
      <w:tr w:rsidR="00297E6D" w:rsidRPr="00502CE8" w:rsidTr="009431DE">
        <w:trPr>
          <w:trHeight w:val="255"/>
          <w:jc w:val="center"/>
        </w:trPr>
        <w:tc>
          <w:tcPr>
            <w:tcW w:w="4253" w:type="dxa"/>
            <w:shd w:val="clear" w:color="auto" w:fill="E42618"/>
            <w:vAlign w:val="center"/>
          </w:tcPr>
          <w:p w:rsidR="00297E6D" w:rsidRPr="00C8504B" w:rsidRDefault="00297E6D" w:rsidP="00297E6D">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1027" w:type="dxa"/>
            <w:shd w:val="clear" w:color="auto" w:fill="E42618"/>
            <w:vAlign w:val="center"/>
          </w:tcPr>
          <w:p w:rsidR="00297E6D" w:rsidRPr="00EF1C6D" w:rsidRDefault="00297E6D" w:rsidP="00297E6D">
            <w:pPr>
              <w:spacing w:before="40" w:after="20"/>
              <w:ind w:left="-68" w:right="57"/>
              <w:jc w:val="right"/>
              <w:rPr>
                <w:rFonts w:ascii="Arial Narrow" w:hAnsi="Arial Narrow" w:cs="Arial"/>
                <w:b/>
                <w:color w:val="FFFFFF" w:themeColor="background1"/>
                <w:sz w:val="18"/>
                <w:szCs w:val="18"/>
              </w:rPr>
            </w:pPr>
            <w:r w:rsidRPr="00EF1C6D">
              <w:rPr>
                <w:rFonts w:ascii="Arial Narrow" w:hAnsi="Arial Narrow" w:cs="Arial"/>
                <w:b/>
                <w:color w:val="FFFFFF" w:themeColor="background1"/>
                <w:sz w:val="18"/>
                <w:szCs w:val="18"/>
              </w:rPr>
              <w:t>1.000.000</w:t>
            </w:r>
          </w:p>
        </w:tc>
        <w:tc>
          <w:tcPr>
            <w:tcW w:w="974" w:type="dxa"/>
            <w:shd w:val="clear" w:color="auto" w:fill="E42618"/>
            <w:vAlign w:val="center"/>
          </w:tcPr>
          <w:p w:rsidR="00297E6D" w:rsidRPr="00297E6D" w:rsidRDefault="00297E6D" w:rsidP="00297E6D">
            <w:pPr>
              <w:spacing w:before="40" w:after="20"/>
              <w:ind w:left="-68"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+1,6</w:t>
            </w:r>
          </w:p>
        </w:tc>
        <w:tc>
          <w:tcPr>
            <w:tcW w:w="976" w:type="dxa"/>
            <w:shd w:val="clear" w:color="auto" w:fill="E42618"/>
            <w:vAlign w:val="center"/>
          </w:tcPr>
          <w:p w:rsidR="00297E6D" w:rsidRPr="00297E6D" w:rsidRDefault="00297E6D" w:rsidP="00297E6D">
            <w:pPr>
              <w:spacing w:before="40" w:after="20"/>
              <w:ind w:left="-68"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+1,3</w:t>
            </w:r>
          </w:p>
        </w:tc>
        <w:tc>
          <w:tcPr>
            <w:tcW w:w="1113" w:type="dxa"/>
            <w:shd w:val="clear" w:color="auto" w:fill="E42618"/>
            <w:vAlign w:val="center"/>
          </w:tcPr>
          <w:p w:rsidR="00297E6D" w:rsidRPr="00297E6D" w:rsidRDefault="00297E6D" w:rsidP="00297E6D">
            <w:pPr>
              <w:spacing w:before="40" w:after="20"/>
              <w:ind w:left="-68"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+9,4</w:t>
            </w:r>
          </w:p>
        </w:tc>
        <w:tc>
          <w:tcPr>
            <w:tcW w:w="793" w:type="dxa"/>
            <w:shd w:val="clear" w:color="auto" w:fill="E42618"/>
            <w:vAlign w:val="center"/>
          </w:tcPr>
          <w:p w:rsidR="00297E6D" w:rsidRPr="00297E6D" w:rsidRDefault="00297E6D" w:rsidP="00297E6D">
            <w:pPr>
              <w:spacing w:before="40" w:after="20"/>
              <w:ind w:left="-68"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+9,1</w:t>
            </w:r>
          </w:p>
        </w:tc>
        <w:tc>
          <w:tcPr>
            <w:tcW w:w="1070" w:type="dxa"/>
            <w:shd w:val="clear" w:color="auto" w:fill="E42618"/>
            <w:tcMar>
              <w:left w:w="85" w:type="dxa"/>
              <w:right w:w="28" w:type="dxa"/>
            </w:tcMar>
            <w:vAlign w:val="center"/>
          </w:tcPr>
          <w:p w:rsidR="00297E6D" w:rsidRPr="00297E6D" w:rsidRDefault="007518B5" w:rsidP="00297E6D">
            <w:pPr>
              <w:spacing w:before="40" w:after="20"/>
              <w:ind w:left="-68" w:right="57"/>
              <w:jc w:val="right"/>
              <w:rPr>
                <w:rFonts w:ascii="Arial Narrow" w:hAnsi="Arial Narrow" w:cs="Arial"/>
                <w:b/>
                <w:color w:val="FFFFFF" w:themeColor="background1"/>
                <w:sz w:val="18"/>
                <w:szCs w:val="18"/>
              </w:rPr>
            </w:pPr>
            <w:r w:rsidRPr="00297E6D">
              <w:rPr>
                <w:rFonts w:ascii="Arial Narrow" w:hAnsi="Arial Narrow" w:cs="Arial"/>
                <w:b/>
                <w:color w:val="FFFFFF" w:themeColor="background1"/>
                <w:sz w:val="18"/>
                <w:szCs w:val="18"/>
              </w:rPr>
              <w:t>+7,5</w:t>
            </w: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 e degli alimentari freschi (Componente di fondo)</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831.254</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+1,8</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+1,5</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+5,3</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+4,9</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+3,8</w:t>
            </w: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 degli alimentari (incluse bevande alcoliche) e tabacchi</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672.226</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+2,2</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+1,9</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+4,4</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+4,1</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+3,1</w:t>
            </w:r>
          </w:p>
        </w:tc>
      </w:tr>
      <w:tr w:rsidR="00297E6D" w:rsidRPr="00502CE8" w:rsidTr="009431DE">
        <w:trPr>
          <w:trHeight w:val="255"/>
          <w:jc w:val="center"/>
        </w:trPr>
        <w:tc>
          <w:tcPr>
            <w:tcW w:w="4253" w:type="dxa"/>
            <w:vAlign w:val="center"/>
          </w:tcPr>
          <w:p w:rsidR="00297E6D" w:rsidRPr="00C8504B" w:rsidRDefault="00297E6D" w:rsidP="00297E6D">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w:t>
            </w:r>
          </w:p>
        </w:tc>
        <w:tc>
          <w:tcPr>
            <w:tcW w:w="1027" w:type="dxa"/>
            <w:shd w:val="clear" w:color="auto" w:fill="D9D9D9"/>
            <w:vAlign w:val="center"/>
          </w:tcPr>
          <w:p w:rsidR="00297E6D" w:rsidRPr="00EF1C6D" w:rsidRDefault="00297E6D" w:rsidP="00297E6D">
            <w:pPr>
              <w:spacing w:before="40" w:after="20"/>
              <w:ind w:left="-68" w:right="57"/>
              <w:jc w:val="right"/>
              <w:rPr>
                <w:rFonts w:ascii="Arial Narrow" w:hAnsi="Arial Narrow" w:cs="Arial"/>
                <w:sz w:val="18"/>
                <w:szCs w:val="18"/>
              </w:rPr>
            </w:pPr>
            <w:r w:rsidRPr="00EF1C6D">
              <w:rPr>
                <w:rFonts w:ascii="Arial Narrow" w:hAnsi="Arial Narrow" w:cs="Arial"/>
                <w:sz w:val="18"/>
                <w:szCs w:val="18"/>
              </w:rPr>
              <w:t>902.836</w:t>
            </w:r>
          </w:p>
        </w:tc>
        <w:tc>
          <w:tcPr>
            <w:tcW w:w="974"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+1,8</w:t>
            </w:r>
          </w:p>
        </w:tc>
        <w:tc>
          <w:tcPr>
            <w:tcW w:w="976"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+1,4</w:t>
            </w:r>
          </w:p>
        </w:tc>
        <w:tc>
          <w:tcPr>
            <w:tcW w:w="1113" w:type="dxa"/>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+5,8</w:t>
            </w:r>
          </w:p>
        </w:tc>
        <w:tc>
          <w:tcPr>
            <w:tcW w:w="793" w:type="dxa"/>
            <w:shd w:val="clear" w:color="auto" w:fill="D9D9D9"/>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+5,4</w:t>
            </w:r>
          </w:p>
        </w:tc>
        <w:tc>
          <w:tcPr>
            <w:tcW w:w="1070" w:type="dxa"/>
            <w:shd w:val="clear" w:color="auto" w:fill="auto"/>
            <w:tcMar>
              <w:left w:w="85" w:type="dxa"/>
              <w:right w:w="28" w:type="dxa"/>
            </w:tcMar>
            <w:vAlign w:val="center"/>
          </w:tcPr>
          <w:p w:rsidR="00297E6D" w:rsidRPr="00297E6D" w:rsidRDefault="00297E6D" w:rsidP="00297E6D">
            <w:pPr>
              <w:spacing w:before="40" w:after="20"/>
              <w:ind w:left="-68" w:right="57"/>
              <w:jc w:val="right"/>
              <w:rPr>
                <w:rFonts w:ascii="Arial Narrow" w:hAnsi="Arial Narrow" w:cs="Arial"/>
                <w:sz w:val="18"/>
                <w:szCs w:val="18"/>
              </w:rPr>
            </w:pPr>
            <w:r w:rsidRPr="00297E6D">
              <w:rPr>
                <w:rFonts w:ascii="Arial Narrow" w:hAnsi="Arial Narrow" w:cs="Arial"/>
                <w:sz w:val="18"/>
                <w:szCs w:val="18"/>
              </w:rPr>
              <w:t>+4,2</w:t>
            </w:r>
          </w:p>
        </w:tc>
      </w:tr>
    </w:tbl>
    <w:p w:rsidR="00CF6BC3" w:rsidRPr="00DD629D" w:rsidRDefault="00CF6BC3" w:rsidP="00CF6BC3">
      <w:pPr>
        <w:spacing w:before="0" w:after="120"/>
        <w:jc w:val="both"/>
        <w:rPr>
          <w:rFonts w:ascii="Arial" w:hAnsi="Arial" w:cs="Arial"/>
          <w:sz w:val="8"/>
          <w:szCs w:val="8"/>
        </w:rPr>
      </w:pPr>
    </w:p>
    <w:p w:rsidR="00901999" w:rsidRPr="00C8504B" w:rsidRDefault="00901999" w:rsidP="00C87256">
      <w:pPr>
        <w:widowControl/>
        <w:overflowPunct/>
        <w:autoSpaceDE/>
        <w:autoSpaceDN/>
        <w:adjustRightInd/>
        <w:spacing w:before="0" w:after="0"/>
        <w:jc w:val="both"/>
        <w:rPr>
          <w:rFonts w:ascii="Arial Narrow" w:hAnsi="Arial Narrow" w:cs="Arial"/>
          <w:color w:val="5F5F5F"/>
        </w:rPr>
      </w:pPr>
      <w:r w:rsidRPr="00C8504B">
        <w:rPr>
          <w:rFonts w:ascii="Arial Narrow" w:hAnsi="Arial Narrow" w:cs="Arial"/>
          <w:b/>
          <w:color w:val="E42618"/>
          <w:kern w:val="0"/>
          <w:sz w:val="22"/>
          <w:szCs w:val="22"/>
        </w:rPr>
        <w:t>FIGURA 7</w:t>
      </w:r>
      <w:r w:rsidRPr="00C8504B">
        <w:rPr>
          <w:rFonts w:ascii="Arial Narrow" w:hAnsi="Arial Narrow" w:cs="Arial"/>
          <w:b/>
          <w:color w:val="E42618"/>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INDICI DEI PREZZI AL CONSUMO IPCA, ITALIA E UNIONE ECONOMICA E MONETARIA</w:t>
      </w:r>
      <w:r w:rsidR="00DA78A0">
        <w:rPr>
          <w:rFonts w:ascii="Arial Narrow" w:hAnsi="Arial Narrow" w:cs="Calibri"/>
          <w:b/>
          <w:bCs/>
          <w:color w:val="5F5F5F"/>
          <w:kern w:val="0"/>
          <w:sz w:val="22"/>
          <w:szCs w:val="22"/>
          <w:vertAlign w:val="superscript"/>
        </w:rPr>
        <w:t>1</w:t>
      </w:r>
      <w:r w:rsidRPr="00C8504B">
        <w:rPr>
          <w:rFonts w:ascii="Arial Narrow" w:hAnsi="Arial Narrow"/>
          <w:color w:val="5F5F5F"/>
        </w:rPr>
        <w:br/>
      </w:r>
      <w:r w:rsidRPr="00C8504B">
        <w:rPr>
          <w:rFonts w:ascii="Arial Narrow" w:hAnsi="Arial Narrow" w:cs="Arial"/>
          <w:color w:val="5F5F5F"/>
        </w:rPr>
        <w:t>Gennaio 201</w:t>
      </w:r>
      <w:r w:rsidR="005B7BD6">
        <w:rPr>
          <w:rFonts w:ascii="Arial Narrow" w:hAnsi="Arial Narrow" w:cs="Arial"/>
          <w:color w:val="5F5F5F"/>
        </w:rPr>
        <w:t>7</w:t>
      </w:r>
      <w:r w:rsidRPr="00C8504B">
        <w:rPr>
          <w:rFonts w:ascii="Arial Narrow" w:hAnsi="Arial Narrow" w:cs="Arial"/>
          <w:color w:val="5F5F5F"/>
        </w:rPr>
        <w:t xml:space="preserve"> </w:t>
      </w:r>
      <w:r w:rsidR="008E006C">
        <w:rPr>
          <w:rFonts w:ascii="Arial Narrow" w:hAnsi="Arial Narrow" w:cs="Arial"/>
          <w:color w:val="5F5F5F"/>
        </w:rPr>
        <w:t>–</w:t>
      </w:r>
      <w:r w:rsidRPr="00C8504B">
        <w:rPr>
          <w:rFonts w:ascii="Arial Narrow" w:hAnsi="Arial Narrow" w:cs="Arial"/>
          <w:color w:val="5F5F5F"/>
        </w:rPr>
        <w:t xml:space="preserve"> </w:t>
      </w:r>
      <w:r w:rsidR="009B6ACA">
        <w:rPr>
          <w:rFonts w:ascii="Arial Narrow" w:hAnsi="Arial Narrow" w:cs="Arial"/>
          <w:color w:val="5F5F5F"/>
        </w:rPr>
        <w:t>settembre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Pr="00C8504B">
        <w:rPr>
          <w:rFonts w:ascii="Arial Narrow" w:hAnsi="Arial Narrow" w:cs="Arial"/>
          <w:color w:val="5F5F5F"/>
        </w:rPr>
        <w:t>, variazioni percentuali tendenziali (base 2015=100)</w:t>
      </w:r>
    </w:p>
    <w:p w:rsidR="00427417" w:rsidRDefault="00C87256" w:rsidP="00606B17">
      <w:pPr>
        <w:pStyle w:val="Corpotesto"/>
        <w:spacing w:line="240" w:lineRule="auto"/>
        <w:jc w:val="both"/>
        <w:rPr>
          <w:noProof/>
        </w:rPr>
      </w:pPr>
      <w:r>
        <w:rPr>
          <w:noProof/>
        </w:rPr>
        <w:drawing>
          <wp:inline distT="0" distB="0" distL="0" distR="0" wp14:anchorId="66ABB4CE">
            <wp:extent cx="6657340" cy="215836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7340" cy="2158365"/>
                    </a:xfrm>
                    <a:prstGeom prst="rect">
                      <a:avLst/>
                    </a:prstGeom>
                    <a:noFill/>
                  </pic:spPr>
                </pic:pic>
              </a:graphicData>
            </a:graphic>
          </wp:inline>
        </w:drawing>
      </w:r>
    </w:p>
    <w:p w:rsidR="00CD5998" w:rsidRDefault="00DA78A0" w:rsidP="00606B17">
      <w:pPr>
        <w:pStyle w:val="Corpotesto"/>
        <w:spacing w:line="240" w:lineRule="auto"/>
        <w:jc w:val="both"/>
        <w:rPr>
          <w:rFonts w:ascii="Arial" w:hAnsi="Arial" w:cs="Arial"/>
          <w:sz w:val="16"/>
        </w:rPr>
      </w:pPr>
      <w:r>
        <w:rPr>
          <w:rFonts w:ascii="Arial" w:hAnsi="Arial" w:cs="Arial"/>
          <w:sz w:val="16"/>
          <w:vertAlign w:val="superscript"/>
        </w:rPr>
        <w:t xml:space="preserve">(1) </w:t>
      </w:r>
      <w:r>
        <w:rPr>
          <w:rFonts w:ascii="Arial" w:hAnsi="Arial" w:cs="Arial"/>
          <w:sz w:val="16"/>
        </w:rPr>
        <w:t xml:space="preserve">L’indice IPCA per l’Unione Economica e Monetaria (Uem) </w:t>
      </w:r>
      <w:r w:rsidRPr="003B4962">
        <w:rPr>
          <w:rFonts w:ascii="Arial" w:hAnsi="Arial" w:cs="Arial"/>
          <w:sz w:val="16"/>
        </w:rPr>
        <w:t xml:space="preserve">di </w:t>
      </w:r>
      <w:r w:rsidR="009B6ACA">
        <w:rPr>
          <w:rFonts w:ascii="Arial" w:hAnsi="Arial" w:cs="Arial"/>
          <w:sz w:val="16"/>
        </w:rPr>
        <w:t>settembre</w:t>
      </w:r>
      <w:r w:rsidR="009A20F3" w:rsidRPr="009A20F3">
        <w:rPr>
          <w:rFonts w:ascii="Arial" w:hAnsi="Arial" w:cs="Arial"/>
          <w:sz w:val="16"/>
        </w:rPr>
        <w:t xml:space="preserve"> </w:t>
      </w:r>
      <w:r w:rsidR="00352DA4">
        <w:rPr>
          <w:rFonts w:ascii="Arial" w:hAnsi="Arial" w:cs="Arial"/>
          <w:sz w:val="16"/>
        </w:rPr>
        <w:t>2022</w:t>
      </w:r>
      <w:r w:rsidRPr="003B4962">
        <w:rPr>
          <w:rFonts w:ascii="Arial" w:hAnsi="Arial" w:cs="Arial"/>
          <w:sz w:val="16"/>
        </w:rPr>
        <w:t xml:space="preserve"> è la stima anticipata diffusa da </w:t>
      </w:r>
      <w:r w:rsidRPr="003074B3">
        <w:rPr>
          <w:rFonts w:ascii="Arial" w:hAnsi="Arial" w:cs="Arial"/>
          <w:sz w:val="16"/>
        </w:rPr>
        <w:t xml:space="preserve">Eurostat </w:t>
      </w:r>
      <w:r w:rsidR="00DD629D">
        <w:rPr>
          <w:rFonts w:ascii="Arial" w:hAnsi="Arial" w:cs="Arial"/>
          <w:sz w:val="16"/>
        </w:rPr>
        <w:t>venerdì</w:t>
      </w:r>
      <w:r w:rsidR="00352DA4">
        <w:rPr>
          <w:rFonts w:ascii="Arial" w:hAnsi="Arial" w:cs="Arial"/>
          <w:sz w:val="16"/>
        </w:rPr>
        <w:t xml:space="preserve"> </w:t>
      </w:r>
      <w:r w:rsidR="00DD629D" w:rsidRPr="00DD629D">
        <w:rPr>
          <w:rFonts w:ascii="Arial" w:hAnsi="Arial" w:cs="Arial"/>
          <w:sz w:val="16"/>
        </w:rPr>
        <w:t>30/9/2022</w:t>
      </w:r>
      <w:r w:rsidRPr="003074B3">
        <w:rPr>
          <w:rFonts w:ascii="Arial" w:hAnsi="Arial" w:cs="Arial"/>
          <w:sz w:val="16"/>
        </w:rPr>
        <w:t>.</w:t>
      </w:r>
    </w:p>
    <w:p w:rsidR="00FC4BD2" w:rsidRPr="00C8504B" w:rsidRDefault="00FC4BD2" w:rsidP="00FC4BD2">
      <w:pPr>
        <w:pStyle w:val="Corpotesto"/>
        <w:spacing w:before="120" w:after="60" w:line="240" w:lineRule="auto"/>
        <w:jc w:val="both"/>
        <w:rPr>
          <w:rFonts w:ascii="Arial" w:hAnsi="Arial" w:cs="Arial"/>
          <w:iCs/>
          <w:sz w:val="21"/>
          <w:szCs w:val="21"/>
        </w:rPr>
        <w:sectPr w:rsidR="00FC4BD2" w:rsidRPr="00C8504B" w:rsidSect="000161B7">
          <w:headerReference w:type="default" r:id="rId37"/>
          <w:pgSz w:w="11907" w:h="16840" w:code="9"/>
          <w:pgMar w:top="1537" w:right="851" w:bottom="680" w:left="851" w:header="567" w:footer="567" w:gutter="0"/>
          <w:cols w:space="720"/>
          <w:noEndnote/>
          <w:docGrid w:linePitch="272"/>
        </w:sectPr>
      </w:pPr>
    </w:p>
    <w:p w:rsidR="0068135F" w:rsidRPr="00CE4DD8" w:rsidRDefault="0068135F" w:rsidP="0068135F">
      <w:pPr>
        <w:spacing w:before="0" w:after="120"/>
        <w:jc w:val="both"/>
        <w:rPr>
          <w:rFonts w:ascii="Arial" w:hAnsi="Arial" w:cs="Arial"/>
          <w:color w:val="000000"/>
          <w:kern w:val="0"/>
          <w:sz w:val="21"/>
          <w:szCs w:val="21"/>
        </w:rPr>
      </w:pPr>
    </w:p>
    <w:p w:rsidR="00FC4BD2" w:rsidRPr="00C8504B" w:rsidRDefault="00FC4BD2" w:rsidP="00FC4BD2">
      <w:pPr>
        <w:pStyle w:val="001TitoloBolocco"/>
        <w:spacing w:after="120" w:line="240" w:lineRule="auto"/>
      </w:pPr>
      <w:r w:rsidRPr="006F1916">
        <w:t>La misura dell’inflazione per classi di spesa delle famiglie</w:t>
      </w:r>
      <w:r w:rsidRPr="00C8504B">
        <w:t xml:space="preserve"> </w:t>
      </w:r>
    </w:p>
    <w:p w:rsidR="00CE4DD8" w:rsidRPr="0097639A" w:rsidRDefault="00CE4DD8" w:rsidP="00CE4DD8">
      <w:pPr>
        <w:spacing w:before="0" w:after="120"/>
        <w:jc w:val="both"/>
        <w:rPr>
          <w:rFonts w:ascii="Arial" w:hAnsi="Arial" w:cs="Arial"/>
          <w:color w:val="000000"/>
          <w:kern w:val="0"/>
          <w:sz w:val="21"/>
          <w:szCs w:val="21"/>
        </w:rPr>
      </w:pPr>
      <w:r w:rsidRPr="0097639A">
        <w:rPr>
          <w:rFonts w:ascii="Arial" w:hAnsi="Arial" w:cs="Arial"/>
          <w:color w:val="000000"/>
          <w:kern w:val="0"/>
          <w:sz w:val="21"/>
          <w:szCs w:val="21"/>
        </w:rPr>
        <w:t>Allo scopo di valutare i diversi effetti dell’inflazione, misurata dall’IPCA, sulle famiglie distinte per livelli di consumo, tutte le famiglie sono ordinate in base alla loro spesa equivalente (per tener conto della numerosità di ciascun nucleo familiare e permettere confronti diretti tra i livelli di spesa di famiglie di ampiezza diversa) e quindi suddivise in cinque classi (quinti) di pari numero: nel primo quinto (o gruppo) sono presenti le famiglie con la spesa mensile equivalente più bassa (generalmente le meno abbienti) e nell’ultimo quinto quelle con la spesa mensile più alta.</w:t>
      </w:r>
    </w:p>
    <w:p w:rsidR="00BC6184" w:rsidRDefault="00BC6184" w:rsidP="00BC6184">
      <w:pPr>
        <w:spacing w:before="0" w:after="120"/>
        <w:jc w:val="both"/>
        <w:rPr>
          <w:rFonts w:ascii="Arial" w:hAnsi="Arial" w:cs="Arial"/>
          <w:color w:val="000000"/>
          <w:kern w:val="0"/>
          <w:sz w:val="21"/>
          <w:szCs w:val="21"/>
        </w:rPr>
      </w:pPr>
      <w:r>
        <w:rPr>
          <w:rFonts w:ascii="Arial" w:hAnsi="Arial" w:cs="Arial"/>
          <w:color w:val="000000"/>
          <w:kern w:val="0"/>
          <w:sz w:val="21"/>
          <w:szCs w:val="21"/>
        </w:rPr>
        <w:t>L’inflazione generale nel terzo trimestre del 2022 (+8,9%) continua ad essere in buona parte determinata dai prezzi d</w:t>
      </w:r>
      <w:r w:rsidR="006D4FAC">
        <w:rPr>
          <w:rFonts w:ascii="Arial" w:hAnsi="Arial" w:cs="Arial"/>
          <w:color w:val="000000"/>
          <w:kern w:val="0"/>
          <w:sz w:val="21"/>
          <w:szCs w:val="21"/>
        </w:rPr>
        <w:t>ei B</w:t>
      </w:r>
      <w:r w:rsidR="003643F1">
        <w:rPr>
          <w:rFonts w:ascii="Arial" w:hAnsi="Arial" w:cs="Arial"/>
          <w:color w:val="000000"/>
          <w:kern w:val="0"/>
          <w:sz w:val="21"/>
          <w:szCs w:val="21"/>
        </w:rPr>
        <w:t>eni energetici e</w:t>
      </w:r>
      <w:r>
        <w:rPr>
          <w:rFonts w:ascii="Arial" w:hAnsi="Arial" w:cs="Arial"/>
          <w:color w:val="000000"/>
          <w:kern w:val="0"/>
          <w:sz w:val="21"/>
          <w:szCs w:val="21"/>
        </w:rPr>
        <w:t xml:space="preserve"> accelera rispetto al secondo trimestre (quando era pari a +7,4%) a causa per lo più dei prezzi dei Beni alimentari e, seppure in misura più contenuta, degli stessi Beni energetici e dei servizi.</w:t>
      </w:r>
      <w:r w:rsidRPr="00161CB1">
        <w:rPr>
          <w:rFonts w:ascii="Arial" w:hAnsi="Arial" w:cs="Arial"/>
          <w:color w:val="000000"/>
          <w:kern w:val="0"/>
          <w:sz w:val="21"/>
          <w:szCs w:val="21"/>
        </w:rPr>
        <w:t xml:space="preserve"> </w:t>
      </w:r>
      <w:r>
        <w:rPr>
          <w:rFonts w:ascii="Arial" w:hAnsi="Arial" w:cs="Arial"/>
          <w:color w:val="000000"/>
          <w:kern w:val="0"/>
          <w:sz w:val="21"/>
          <w:szCs w:val="21"/>
        </w:rPr>
        <w:t>Poiché i b</w:t>
      </w:r>
      <w:r w:rsidRPr="00161CB1">
        <w:rPr>
          <w:rFonts w:ascii="Arial" w:hAnsi="Arial" w:cs="Arial"/>
          <w:color w:val="000000"/>
          <w:kern w:val="0"/>
          <w:sz w:val="21"/>
          <w:szCs w:val="21"/>
        </w:rPr>
        <w:t>eni incidono in misura maggiore sulle spese delle famiglie meno abbienti e viceversa i servizi pesano maggiormente sul bilancio di que</w:t>
      </w:r>
      <w:r>
        <w:rPr>
          <w:rFonts w:ascii="Arial" w:hAnsi="Arial" w:cs="Arial"/>
          <w:color w:val="000000"/>
          <w:kern w:val="0"/>
          <w:sz w:val="21"/>
          <w:szCs w:val="21"/>
        </w:rPr>
        <w:t>lle più agiate, l’</w:t>
      </w:r>
      <w:r w:rsidRPr="00161CB1">
        <w:rPr>
          <w:rFonts w:ascii="Arial" w:hAnsi="Arial" w:cs="Arial"/>
          <w:color w:val="000000"/>
          <w:kern w:val="0"/>
          <w:sz w:val="21"/>
          <w:szCs w:val="21"/>
        </w:rPr>
        <w:t>inflazione</w:t>
      </w:r>
      <w:r>
        <w:rPr>
          <w:rFonts w:ascii="Arial" w:hAnsi="Arial" w:cs="Arial"/>
          <w:color w:val="000000"/>
          <w:kern w:val="0"/>
          <w:sz w:val="21"/>
          <w:szCs w:val="21"/>
        </w:rPr>
        <w:t xml:space="preserve"> è</w:t>
      </w:r>
      <w:r w:rsidRPr="00161CB1">
        <w:rPr>
          <w:rFonts w:ascii="Arial" w:hAnsi="Arial" w:cs="Arial"/>
          <w:color w:val="000000"/>
          <w:kern w:val="0"/>
          <w:sz w:val="21"/>
          <w:szCs w:val="21"/>
        </w:rPr>
        <w:t xml:space="preserve"> </w:t>
      </w:r>
      <w:r>
        <w:rPr>
          <w:rFonts w:ascii="Arial" w:hAnsi="Arial" w:cs="Arial"/>
          <w:color w:val="000000"/>
          <w:kern w:val="0"/>
          <w:sz w:val="21"/>
          <w:szCs w:val="21"/>
        </w:rPr>
        <w:t>in accelerazione per</w:t>
      </w:r>
      <w:r w:rsidRPr="00161CB1">
        <w:rPr>
          <w:rFonts w:ascii="Arial" w:hAnsi="Arial" w:cs="Arial"/>
          <w:color w:val="000000"/>
          <w:kern w:val="0"/>
          <w:sz w:val="21"/>
          <w:szCs w:val="21"/>
        </w:rPr>
        <w:t xml:space="preserve"> tutti i gruppi di famiglie</w:t>
      </w:r>
      <w:r>
        <w:rPr>
          <w:rFonts w:ascii="Arial" w:hAnsi="Arial" w:cs="Arial"/>
          <w:color w:val="000000"/>
          <w:kern w:val="0"/>
          <w:sz w:val="21"/>
          <w:szCs w:val="21"/>
        </w:rPr>
        <w:t xml:space="preserve"> ma continua a</w:t>
      </w:r>
      <w:r w:rsidRPr="00161CB1">
        <w:rPr>
          <w:rFonts w:ascii="Arial" w:hAnsi="Arial" w:cs="Arial"/>
          <w:color w:val="000000"/>
          <w:kern w:val="0"/>
          <w:sz w:val="21"/>
          <w:szCs w:val="21"/>
        </w:rPr>
        <w:t xml:space="preserve"> </w:t>
      </w:r>
      <w:r>
        <w:rPr>
          <w:rFonts w:ascii="Arial" w:hAnsi="Arial" w:cs="Arial"/>
          <w:color w:val="000000"/>
          <w:kern w:val="0"/>
          <w:sz w:val="21"/>
          <w:szCs w:val="21"/>
        </w:rPr>
        <w:t xml:space="preserve">registrare </w:t>
      </w:r>
      <w:r w:rsidRPr="00161CB1">
        <w:rPr>
          <w:rFonts w:ascii="Arial" w:hAnsi="Arial" w:cs="Arial"/>
          <w:color w:val="000000"/>
          <w:kern w:val="0"/>
          <w:sz w:val="21"/>
          <w:szCs w:val="21"/>
        </w:rPr>
        <w:t>valori più elevati per le famiglie del primo gruppo rispetto a quell</w:t>
      </w:r>
      <w:r>
        <w:rPr>
          <w:rFonts w:ascii="Arial" w:hAnsi="Arial" w:cs="Arial"/>
          <w:color w:val="000000"/>
          <w:kern w:val="0"/>
          <w:sz w:val="21"/>
          <w:szCs w:val="21"/>
        </w:rPr>
        <w:t>e</w:t>
      </w:r>
      <w:r w:rsidRPr="00161CB1">
        <w:rPr>
          <w:rFonts w:ascii="Arial" w:hAnsi="Arial" w:cs="Arial"/>
          <w:color w:val="000000"/>
          <w:kern w:val="0"/>
          <w:sz w:val="21"/>
          <w:szCs w:val="21"/>
        </w:rPr>
        <w:t xml:space="preserve"> del quinto</w:t>
      </w:r>
      <w:r w:rsidRPr="00E60C50">
        <w:rPr>
          <w:rFonts w:ascii="Arial" w:hAnsi="Arial" w:cs="Arial"/>
          <w:color w:val="000000"/>
          <w:kern w:val="0"/>
          <w:sz w:val="21"/>
          <w:szCs w:val="21"/>
        </w:rPr>
        <w:t>. In particolare, per le famiglie del</w:t>
      </w:r>
      <w:r>
        <w:rPr>
          <w:rFonts w:ascii="Arial" w:hAnsi="Arial" w:cs="Arial"/>
          <w:color w:val="000000"/>
          <w:kern w:val="0"/>
          <w:sz w:val="21"/>
          <w:szCs w:val="21"/>
        </w:rPr>
        <w:t xml:space="preserve"> primo gruppo (con minore capacità di spesa)</w:t>
      </w:r>
      <w:r w:rsidRPr="00E60C50">
        <w:rPr>
          <w:rFonts w:ascii="Arial" w:hAnsi="Arial" w:cs="Arial"/>
          <w:color w:val="000000"/>
          <w:kern w:val="0"/>
          <w:sz w:val="21"/>
          <w:szCs w:val="21"/>
        </w:rPr>
        <w:t xml:space="preserve">, l’inflazione </w:t>
      </w:r>
      <w:r>
        <w:rPr>
          <w:rFonts w:ascii="Arial" w:hAnsi="Arial" w:cs="Arial"/>
          <w:color w:val="000000"/>
          <w:kern w:val="0"/>
          <w:sz w:val="21"/>
          <w:szCs w:val="21"/>
        </w:rPr>
        <w:t>accelera dal</w:t>
      </w:r>
      <w:r w:rsidRPr="00E60C50">
        <w:rPr>
          <w:rFonts w:ascii="Arial" w:hAnsi="Arial" w:cs="Arial"/>
          <w:color w:val="000000"/>
          <w:kern w:val="0"/>
          <w:sz w:val="21"/>
          <w:szCs w:val="21"/>
        </w:rPr>
        <w:t xml:space="preserve"> </w:t>
      </w:r>
      <w:r>
        <w:rPr>
          <w:rFonts w:ascii="Arial" w:hAnsi="Arial" w:cs="Arial"/>
          <w:color w:val="000000"/>
          <w:kern w:val="0"/>
          <w:sz w:val="21"/>
          <w:szCs w:val="21"/>
        </w:rPr>
        <w:t xml:space="preserve">+9,8% del secondo trimestre al </w:t>
      </w:r>
      <w:r w:rsidRPr="00B50F1E">
        <w:rPr>
          <w:rFonts w:ascii="Arial" w:hAnsi="Arial" w:cs="Arial"/>
          <w:color w:val="000000"/>
          <w:kern w:val="0"/>
          <w:sz w:val="21"/>
          <w:szCs w:val="21"/>
        </w:rPr>
        <w:t>+</w:t>
      </w:r>
      <w:r>
        <w:rPr>
          <w:rFonts w:ascii="Arial" w:hAnsi="Arial" w:cs="Arial"/>
          <w:color w:val="000000"/>
          <w:kern w:val="0"/>
          <w:sz w:val="21"/>
          <w:szCs w:val="21"/>
        </w:rPr>
        <w:t>11,6</w:t>
      </w:r>
      <w:r w:rsidRPr="00B50F1E">
        <w:rPr>
          <w:rFonts w:ascii="Arial" w:hAnsi="Arial" w:cs="Arial"/>
          <w:color w:val="000000"/>
          <w:kern w:val="0"/>
          <w:sz w:val="21"/>
          <w:szCs w:val="21"/>
        </w:rPr>
        <w:t xml:space="preserve">% del </w:t>
      </w:r>
      <w:r>
        <w:rPr>
          <w:rFonts w:ascii="Arial" w:hAnsi="Arial" w:cs="Arial"/>
          <w:color w:val="000000"/>
          <w:kern w:val="0"/>
          <w:sz w:val="21"/>
          <w:szCs w:val="21"/>
        </w:rPr>
        <w:t xml:space="preserve">terzo </w:t>
      </w:r>
      <w:r w:rsidRPr="00B50F1E">
        <w:rPr>
          <w:rFonts w:ascii="Arial" w:hAnsi="Arial" w:cs="Arial"/>
          <w:color w:val="000000"/>
          <w:kern w:val="0"/>
          <w:sz w:val="21"/>
          <w:szCs w:val="21"/>
        </w:rPr>
        <w:t>trimestre, mentre per quelle del quinto gruppo</w:t>
      </w:r>
      <w:r>
        <w:rPr>
          <w:rFonts w:ascii="Arial" w:hAnsi="Arial" w:cs="Arial"/>
          <w:color w:val="000000"/>
          <w:kern w:val="0"/>
          <w:sz w:val="21"/>
          <w:szCs w:val="21"/>
        </w:rPr>
        <w:t xml:space="preserve"> (con la capacità di spesa più elevata)</w:t>
      </w:r>
      <w:r w:rsidRPr="00B50F1E">
        <w:rPr>
          <w:rFonts w:ascii="Arial" w:hAnsi="Arial" w:cs="Arial"/>
          <w:color w:val="000000"/>
          <w:kern w:val="0"/>
          <w:sz w:val="21"/>
          <w:szCs w:val="21"/>
        </w:rPr>
        <w:t xml:space="preserve">, </w:t>
      </w:r>
      <w:r>
        <w:rPr>
          <w:rFonts w:ascii="Arial" w:hAnsi="Arial" w:cs="Arial"/>
          <w:color w:val="000000"/>
          <w:kern w:val="0"/>
          <w:sz w:val="21"/>
          <w:szCs w:val="21"/>
        </w:rPr>
        <w:t>passa</w:t>
      </w:r>
      <w:r w:rsidRPr="00B50F1E">
        <w:rPr>
          <w:rFonts w:ascii="Arial" w:hAnsi="Arial" w:cs="Arial"/>
          <w:color w:val="000000"/>
          <w:kern w:val="0"/>
          <w:sz w:val="21"/>
          <w:szCs w:val="21"/>
        </w:rPr>
        <w:t xml:space="preserve"> dal +</w:t>
      </w:r>
      <w:r>
        <w:rPr>
          <w:rFonts w:ascii="Arial" w:hAnsi="Arial" w:cs="Arial"/>
          <w:color w:val="000000"/>
          <w:kern w:val="0"/>
          <w:sz w:val="21"/>
          <w:szCs w:val="21"/>
        </w:rPr>
        <w:t>6,1</w:t>
      </w:r>
      <w:r w:rsidRPr="00B50F1E">
        <w:rPr>
          <w:rFonts w:ascii="Arial" w:hAnsi="Arial" w:cs="Arial"/>
          <w:color w:val="000000"/>
          <w:kern w:val="0"/>
          <w:sz w:val="21"/>
          <w:szCs w:val="21"/>
        </w:rPr>
        <w:t>% del trimestre precedente fino a</w:t>
      </w:r>
      <w:r>
        <w:rPr>
          <w:rFonts w:ascii="Arial" w:hAnsi="Arial" w:cs="Arial"/>
          <w:color w:val="000000"/>
          <w:kern w:val="0"/>
          <w:sz w:val="21"/>
          <w:szCs w:val="21"/>
        </w:rPr>
        <w:t>l</w:t>
      </w:r>
      <w:r w:rsidRPr="00B50F1E">
        <w:rPr>
          <w:rFonts w:ascii="Arial" w:hAnsi="Arial" w:cs="Arial"/>
          <w:color w:val="000000"/>
          <w:kern w:val="0"/>
          <w:sz w:val="21"/>
          <w:szCs w:val="21"/>
        </w:rPr>
        <w:t xml:space="preserve"> +</w:t>
      </w:r>
      <w:r>
        <w:rPr>
          <w:rFonts w:ascii="Arial" w:hAnsi="Arial" w:cs="Arial"/>
          <w:color w:val="000000"/>
          <w:kern w:val="0"/>
          <w:sz w:val="21"/>
          <w:szCs w:val="21"/>
        </w:rPr>
        <w:t>7</w:t>
      </w:r>
      <w:r w:rsidRPr="00B50F1E">
        <w:rPr>
          <w:rFonts w:ascii="Arial" w:hAnsi="Arial" w:cs="Arial"/>
          <w:color w:val="000000"/>
          <w:kern w:val="0"/>
          <w:sz w:val="21"/>
          <w:szCs w:val="21"/>
        </w:rPr>
        <w:t>,</w:t>
      </w:r>
      <w:r>
        <w:rPr>
          <w:rFonts w:ascii="Arial" w:hAnsi="Arial" w:cs="Arial"/>
          <w:color w:val="000000"/>
          <w:kern w:val="0"/>
          <w:sz w:val="21"/>
          <w:szCs w:val="21"/>
        </w:rPr>
        <w:t>6</w:t>
      </w:r>
      <w:r w:rsidRPr="00B50F1E">
        <w:rPr>
          <w:rFonts w:ascii="Arial" w:hAnsi="Arial" w:cs="Arial"/>
          <w:color w:val="000000"/>
          <w:kern w:val="0"/>
          <w:sz w:val="21"/>
          <w:szCs w:val="21"/>
        </w:rPr>
        <w:t>%</w:t>
      </w:r>
      <w:r>
        <w:rPr>
          <w:rFonts w:ascii="Arial" w:hAnsi="Arial" w:cs="Arial"/>
          <w:color w:val="000000"/>
          <w:kern w:val="0"/>
          <w:sz w:val="21"/>
          <w:szCs w:val="21"/>
        </w:rPr>
        <w:t xml:space="preserve"> </w:t>
      </w:r>
      <w:r w:rsidRPr="00E60C50">
        <w:rPr>
          <w:rFonts w:ascii="Arial" w:hAnsi="Arial" w:cs="Arial"/>
          <w:color w:val="000000"/>
          <w:kern w:val="0"/>
          <w:sz w:val="21"/>
          <w:szCs w:val="21"/>
        </w:rPr>
        <w:t xml:space="preserve">(Prospetto </w:t>
      </w:r>
      <w:r>
        <w:rPr>
          <w:rFonts w:ascii="Arial" w:hAnsi="Arial" w:cs="Arial"/>
          <w:color w:val="000000"/>
          <w:kern w:val="0"/>
          <w:sz w:val="21"/>
          <w:szCs w:val="21"/>
        </w:rPr>
        <w:t>8</w:t>
      </w:r>
      <w:r w:rsidRPr="00E60C50">
        <w:rPr>
          <w:rFonts w:ascii="Arial" w:hAnsi="Arial" w:cs="Arial"/>
          <w:color w:val="000000"/>
          <w:kern w:val="0"/>
          <w:sz w:val="21"/>
          <w:szCs w:val="21"/>
        </w:rPr>
        <w:t>). Pertanto, il differenziale inflazionistico tra la prima e la quinta classe</w:t>
      </w:r>
      <w:r>
        <w:rPr>
          <w:rFonts w:ascii="Arial" w:hAnsi="Arial" w:cs="Arial"/>
          <w:color w:val="000000"/>
          <w:kern w:val="0"/>
          <w:sz w:val="21"/>
          <w:szCs w:val="21"/>
        </w:rPr>
        <w:t xml:space="preserve"> si amplia ulteriormente portandosi a 4,0 punti percentuali.</w:t>
      </w:r>
    </w:p>
    <w:p w:rsidR="00CE4DD8" w:rsidRDefault="00CE4DD8" w:rsidP="00CE4DD8">
      <w:pPr>
        <w:spacing w:before="0" w:after="120"/>
        <w:jc w:val="both"/>
        <w:rPr>
          <w:rFonts w:ascii="Arial" w:hAnsi="Arial" w:cs="Arial"/>
          <w:color w:val="000000"/>
          <w:kern w:val="0"/>
          <w:sz w:val="21"/>
          <w:szCs w:val="21"/>
        </w:rPr>
      </w:pPr>
    </w:p>
    <w:p w:rsidR="00CE4DD8" w:rsidRDefault="00CE4DD8" w:rsidP="00CE4DD8">
      <w:pPr>
        <w:spacing w:after="40"/>
        <w:rPr>
          <w:rFonts w:ascii="Arial Narrow" w:hAnsi="Arial Narrow" w:cs="Arial"/>
          <w:color w:val="5F5F5F"/>
        </w:rPr>
      </w:pPr>
      <w:r w:rsidRPr="00AA0C22">
        <w:rPr>
          <w:rFonts w:ascii="Arial Narrow" w:hAnsi="Arial Narrow" w:cs="Arial"/>
          <w:b/>
          <w:color w:val="E42618"/>
          <w:sz w:val="22"/>
          <w:szCs w:val="22"/>
        </w:rPr>
        <w:t xml:space="preserve">PROSPETTO </w:t>
      </w:r>
      <w:r>
        <w:rPr>
          <w:rFonts w:ascii="Arial Narrow" w:hAnsi="Arial Narrow" w:cs="Arial"/>
          <w:b/>
          <w:color w:val="E42618"/>
          <w:sz w:val="22"/>
          <w:szCs w:val="22"/>
        </w:rPr>
        <w:t>8</w:t>
      </w:r>
      <w:r w:rsidRPr="00AA0C22">
        <w:rPr>
          <w:rFonts w:ascii="Arial Narrow" w:hAnsi="Arial Narrow" w:cs="Arial"/>
          <w:b/>
          <w:color w:val="E42618"/>
          <w:sz w:val="22"/>
          <w:szCs w:val="22"/>
        </w:rPr>
        <w:t>.</w:t>
      </w:r>
      <w:r w:rsidRPr="00AA0C22">
        <w:rPr>
          <w:rFonts w:ascii="Arial Narrow" w:hAnsi="Arial Narrow" w:cs="Arial"/>
          <w:b/>
          <w:color w:val="5F5F5F"/>
          <w:sz w:val="22"/>
          <w:szCs w:val="22"/>
        </w:rPr>
        <w:t xml:space="preserve"> </w:t>
      </w:r>
      <w:r w:rsidRPr="00AA0C22">
        <w:rPr>
          <w:rFonts w:ascii="Arial Narrow" w:hAnsi="Arial Narrow" w:cs="Calibri"/>
          <w:b/>
          <w:bCs/>
          <w:color w:val="5F5F5F"/>
          <w:sz w:val="22"/>
          <w:szCs w:val="22"/>
        </w:rPr>
        <w:t>INDICI DEI PREZZI AL CONSUMO IPCA PER CLASSI DI SPESA DELLE FAMIGLIE</w:t>
      </w:r>
      <w:r w:rsidRPr="00AA0C22">
        <w:rPr>
          <w:rFonts w:ascii="Arial Narrow" w:hAnsi="Arial Narrow" w:cs="Arial"/>
          <w:b/>
          <w:color w:val="5F5F5F"/>
          <w:sz w:val="22"/>
          <w:szCs w:val="22"/>
        </w:rPr>
        <w:br/>
      </w:r>
      <w:r>
        <w:rPr>
          <w:rFonts w:ascii="Arial Narrow" w:hAnsi="Arial Narrow" w:cs="Arial"/>
          <w:color w:val="5F5F5F"/>
        </w:rPr>
        <w:t>Anno 2021 – III trimestre 2022</w:t>
      </w:r>
      <w:r w:rsidRPr="00BE02C6">
        <w:rPr>
          <w:rFonts w:ascii="Arial Narrow" w:hAnsi="Arial Narrow" w:cs="Arial"/>
          <w:color w:val="5F5F5F"/>
        </w:rPr>
        <w:t xml:space="preserve"> variazioni percentuali tendenziali (base 2015=100)</w:t>
      </w:r>
    </w:p>
    <w:tbl>
      <w:tblPr>
        <w:tblW w:w="10261" w:type="dxa"/>
        <w:tblCellMar>
          <w:left w:w="70" w:type="dxa"/>
          <w:right w:w="70" w:type="dxa"/>
        </w:tblCellMar>
        <w:tblLook w:val="04A0" w:firstRow="1" w:lastRow="0" w:firstColumn="1" w:lastColumn="0" w:noHBand="0" w:noVBand="1"/>
      </w:tblPr>
      <w:tblGrid>
        <w:gridCol w:w="2753"/>
        <w:gridCol w:w="1095"/>
        <w:gridCol w:w="1603"/>
        <w:gridCol w:w="1603"/>
        <w:gridCol w:w="1604"/>
        <w:gridCol w:w="1603"/>
      </w:tblGrid>
      <w:tr w:rsidR="00CE4DD8" w:rsidRPr="00A7050B" w:rsidTr="00CE4DD8">
        <w:trPr>
          <w:trHeight w:val="308"/>
        </w:trPr>
        <w:tc>
          <w:tcPr>
            <w:tcW w:w="2753" w:type="dxa"/>
            <w:vMerge w:val="restart"/>
            <w:tcBorders>
              <w:top w:val="single" w:sz="4" w:space="0" w:color="auto"/>
              <w:left w:val="nil"/>
              <w:bottom w:val="single" w:sz="4" w:space="0" w:color="000000"/>
              <w:right w:val="nil"/>
            </w:tcBorders>
            <w:shd w:val="clear" w:color="auto" w:fill="auto"/>
            <w:vAlign w:val="center"/>
            <w:hideMark/>
          </w:tcPr>
          <w:p w:rsidR="00CE4DD8" w:rsidRPr="00A7050B" w:rsidRDefault="00CE4DD8" w:rsidP="00CE4DD8">
            <w:pPr>
              <w:widowControl/>
              <w:overflowPunct/>
              <w:autoSpaceDE/>
              <w:autoSpaceDN/>
              <w:adjustRightInd/>
              <w:spacing w:before="0" w:after="0"/>
              <w:rPr>
                <w:rFonts w:ascii="Arial" w:hAnsi="Arial" w:cs="Arial"/>
                <w:b/>
                <w:bCs/>
                <w:kern w:val="0"/>
                <w:sz w:val="18"/>
                <w:szCs w:val="18"/>
              </w:rPr>
            </w:pPr>
            <w:r w:rsidRPr="00A7050B">
              <w:rPr>
                <w:rFonts w:ascii="Arial" w:hAnsi="Arial" w:cs="Arial"/>
                <w:b/>
                <w:bCs/>
                <w:kern w:val="0"/>
                <w:sz w:val="18"/>
                <w:szCs w:val="18"/>
              </w:rPr>
              <w:t>CLASSI DI SPESA</w:t>
            </w:r>
          </w:p>
        </w:tc>
        <w:tc>
          <w:tcPr>
            <w:tcW w:w="1095" w:type="dxa"/>
            <w:tcBorders>
              <w:top w:val="single" w:sz="4" w:space="0" w:color="auto"/>
              <w:left w:val="nil"/>
              <w:bottom w:val="nil"/>
              <w:right w:val="nil"/>
            </w:tcBorders>
            <w:shd w:val="clear" w:color="auto" w:fill="auto"/>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b/>
                <w:bCs/>
                <w:kern w:val="0"/>
              </w:rPr>
            </w:pPr>
            <w:r w:rsidRPr="00A7050B">
              <w:rPr>
                <w:rFonts w:ascii="Arial Narrow" w:hAnsi="Arial Narrow" w:cs="Calibri"/>
                <w:b/>
                <w:bCs/>
                <w:kern w:val="0"/>
              </w:rPr>
              <w:t> </w:t>
            </w:r>
          </w:p>
        </w:tc>
        <w:tc>
          <w:tcPr>
            <w:tcW w:w="1603" w:type="dxa"/>
            <w:tcBorders>
              <w:top w:val="single" w:sz="4" w:space="0" w:color="auto"/>
              <w:left w:val="nil"/>
              <w:bottom w:val="single" w:sz="4" w:space="0" w:color="auto"/>
              <w:right w:val="nil"/>
            </w:tcBorders>
            <w:shd w:val="clear" w:color="auto" w:fill="auto"/>
            <w:vAlign w:val="center"/>
            <w:hideMark/>
          </w:tcPr>
          <w:p w:rsidR="00CE4DD8" w:rsidRPr="00A7050B" w:rsidRDefault="00CE4DD8" w:rsidP="00CE4DD8">
            <w:pPr>
              <w:widowControl/>
              <w:overflowPunct/>
              <w:autoSpaceDE/>
              <w:autoSpaceDN/>
              <w:adjustRightInd/>
              <w:spacing w:before="0" w:after="0"/>
              <w:jc w:val="center"/>
              <w:rPr>
                <w:rFonts w:ascii="Arial Narrow" w:hAnsi="Arial Narrow" w:cs="Calibri"/>
                <w:b/>
                <w:bCs/>
                <w:kern w:val="0"/>
              </w:rPr>
            </w:pPr>
          </w:p>
        </w:tc>
        <w:tc>
          <w:tcPr>
            <w:tcW w:w="3207" w:type="dxa"/>
            <w:gridSpan w:val="2"/>
            <w:tcBorders>
              <w:top w:val="single" w:sz="4" w:space="0" w:color="auto"/>
              <w:left w:val="nil"/>
              <w:bottom w:val="single" w:sz="4" w:space="0" w:color="auto"/>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center"/>
              <w:rPr>
                <w:rFonts w:ascii="Arial Narrow" w:hAnsi="Arial Narrow" w:cs="Calibri"/>
                <w:b/>
                <w:bCs/>
                <w:color w:val="000000"/>
                <w:kern w:val="0"/>
              </w:rPr>
            </w:pPr>
            <w:r w:rsidRPr="00A7050B">
              <w:rPr>
                <w:rFonts w:ascii="Arial Narrow" w:hAnsi="Arial Narrow" w:cs="Calibri"/>
                <w:b/>
                <w:bCs/>
                <w:color w:val="000000"/>
                <w:kern w:val="0"/>
              </w:rPr>
              <w:t>Variazioni tendenziali</w:t>
            </w:r>
          </w:p>
        </w:tc>
        <w:tc>
          <w:tcPr>
            <w:tcW w:w="1603" w:type="dxa"/>
            <w:tcBorders>
              <w:top w:val="single" w:sz="4" w:space="0" w:color="auto"/>
              <w:left w:val="nil"/>
              <w:bottom w:val="single" w:sz="4" w:space="0" w:color="auto"/>
              <w:right w:val="nil"/>
            </w:tcBorders>
            <w:shd w:val="clear" w:color="auto" w:fill="auto"/>
            <w:vAlign w:val="center"/>
            <w:hideMark/>
          </w:tcPr>
          <w:p w:rsidR="00CE4DD8" w:rsidRPr="00A7050B" w:rsidRDefault="00CE4DD8" w:rsidP="00CE4DD8">
            <w:pPr>
              <w:widowControl/>
              <w:overflowPunct/>
              <w:autoSpaceDE/>
              <w:autoSpaceDN/>
              <w:adjustRightInd/>
              <w:spacing w:before="0" w:after="0"/>
              <w:jc w:val="center"/>
              <w:rPr>
                <w:rFonts w:ascii="Arial Narrow" w:hAnsi="Arial Narrow" w:cs="Calibri"/>
                <w:b/>
                <w:bCs/>
                <w:kern w:val="0"/>
              </w:rPr>
            </w:pPr>
          </w:p>
        </w:tc>
      </w:tr>
      <w:tr w:rsidR="00CE4DD8" w:rsidRPr="00A7050B" w:rsidTr="00CE4DD8">
        <w:trPr>
          <w:trHeight w:val="570"/>
        </w:trPr>
        <w:tc>
          <w:tcPr>
            <w:tcW w:w="2753" w:type="dxa"/>
            <w:vMerge/>
            <w:tcBorders>
              <w:top w:val="single" w:sz="4" w:space="0" w:color="auto"/>
              <w:left w:val="nil"/>
              <w:bottom w:val="single" w:sz="4" w:space="0" w:color="000000"/>
              <w:right w:val="nil"/>
            </w:tcBorders>
            <w:vAlign w:val="center"/>
            <w:hideMark/>
          </w:tcPr>
          <w:p w:rsidR="00CE4DD8" w:rsidRPr="00A7050B" w:rsidRDefault="00CE4DD8" w:rsidP="00CE4DD8">
            <w:pPr>
              <w:widowControl/>
              <w:overflowPunct/>
              <w:autoSpaceDE/>
              <w:autoSpaceDN/>
              <w:adjustRightInd/>
              <w:spacing w:before="0" w:after="0"/>
              <w:rPr>
                <w:rFonts w:ascii="Arial" w:hAnsi="Arial" w:cs="Arial"/>
                <w:b/>
                <w:bCs/>
                <w:kern w:val="0"/>
                <w:sz w:val="18"/>
                <w:szCs w:val="18"/>
              </w:rPr>
            </w:pPr>
          </w:p>
        </w:tc>
        <w:tc>
          <w:tcPr>
            <w:tcW w:w="1095" w:type="dxa"/>
            <w:tcBorders>
              <w:top w:val="single" w:sz="4" w:space="0" w:color="auto"/>
              <w:left w:val="nil"/>
              <w:bottom w:val="single" w:sz="4" w:space="0" w:color="auto"/>
              <w:right w:val="nil"/>
            </w:tcBorders>
            <w:shd w:val="clear" w:color="auto" w:fill="auto"/>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b/>
                <w:bCs/>
                <w:kern w:val="0"/>
                <w:u w:val="single"/>
              </w:rPr>
            </w:pPr>
            <w:r w:rsidRPr="00A7050B">
              <w:rPr>
                <w:rFonts w:ascii="Arial Narrow" w:hAnsi="Arial Narrow" w:cs="Calibri"/>
                <w:b/>
                <w:bCs/>
                <w:kern w:val="0"/>
                <w:u w:val="single"/>
              </w:rPr>
              <w:t>2021</w:t>
            </w:r>
            <w:r w:rsidRPr="00A7050B">
              <w:rPr>
                <w:rFonts w:ascii="Arial Narrow" w:hAnsi="Arial Narrow" w:cs="Calibri"/>
                <w:b/>
                <w:bCs/>
                <w:kern w:val="0"/>
                <w:u w:val="single"/>
              </w:rPr>
              <w:br/>
            </w:r>
            <w:r w:rsidRPr="00CE4DD8">
              <w:rPr>
                <w:rFonts w:ascii="Arial Narrow" w:hAnsi="Arial Narrow" w:cs="Calibri"/>
                <w:b/>
                <w:bCs/>
                <w:kern w:val="0"/>
              </w:rPr>
              <w:t>2020</w:t>
            </w:r>
          </w:p>
        </w:tc>
        <w:tc>
          <w:tcPr>
            <w:tcW w:w="1603" w:type="dxa"/>
            <w:tcBorders>
              <w:top w:val="nil"/>
              <w:left w:val="nil"/>
              <w:bottom w:val="single" w:sz="4" w:space="0" w:color="auto"/>
              <w:right w:val="nil"/>
            </w:tcBorders>
            <w:shd w:val="clear" w:color="auto" w:fill="auto"/>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b/>
                <w:bCs/>
                <w:kern w:val="0"/>
                <w:u w:val="single"/>
              </w:rPr>
            </w:pPr>
            <w:r w:rsidRPr="00A7050B">
              <w:rPr>
                <w:rFonts w:ascii="Arial Narrow" w:hAnsi="Arial Narrow" w:cs="Calibri"/>
                <w:b/>
                <w:bCs/>
                <w:kern w:val="0"/>
                <w:u w:val="single"/>
              </w:rPr>
              <w:t>IV trim 2021</w:t>
            </w:r>
            <w:r w:rsidRPr="00A7050B">
              <w:rPr>
                <w:rFonts w:ascii="Arial Narrow" w:hAnsi="Arial Narrow" w:cs="Calibri"/>
                <w:b/>
                <w:bCs/>
                <w:kern w:val="0"/>
                <w:u w:val="single"/>
              </w:rPr>
              <w:br/>
            </w:r>
            <w:r w:rsidRPr="00CE4DD8">
              <w:rPr>
                <w:rFonts w:ascii="Arial Narrow" w:hAnsi="Arial Narrow" w:cs="Calibri"/>
                <w:b/>
                <w:bCs/>
                <w:kern w:val="0"/>
              </w:rPr>
              <w:t>IV trim 2020</w:t>
            </w:r>
          </w:p>
        </w:tc>
        <w:tc>
          <w:tcPr>
            <w:tcW w:w="1603" w:type="dxa"/>
            <w:tcBorders>
              <w:top w:val="nil"/>
              <w:left w:val="nil"/>
              <w:bottom w:val="single" w:sz="4" w:space="0" w:color="auto"/>
              <w:right w:val="nil"/>
            </w:tcBorders>
            <w:shd w:val="clear" w:color="auto" w:fill="auto"/>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b/>
                <w:bCs/>
                <w:kern w:val="0"/>
              </w:rPr>
            </w:pPr>
            <w:r w:rsidRPr="00A7050B">
              <w:rPr>
                <w:rFonts w:ascii="Arial Narrow" w:hAnsi="Arial Narrow" w:cs="Calibri"/>
                <w:b/>
                <w:bCs/>
                <w:kern w:val="0"/>
                <w:u w:val="single"/>
              </w:rPr>
              <w:t>I trim 2022</w:t>
            </w:r>
            <w:r w:rsidRPr="00A7050B">
              <w:rPr>
                <w:rFonts w:ascii="Arial Narrow" w:hAnsi="Arial Narrow" w:cs="Calibri"/>
                <w:b/>
                <w:bCs/>
                <w:kern w:val="0"/>
              </w:rPr>
              <w:br/>
              <w:t>I trim 2021</w:t>
            </w:r>
          </w:p>
        </w:tc>
        <w:tc>
          <w:tcPr>
            <w:tcW w:w="1603" w:type="dxa"/>
            <w:tcBorders>
              <w:top w:val="nil"/>
              <w:left w:val="nil"/>
              <w:bottom w:val="single" w:sz="4" w:space="0" w:color="auto"/>
              <w:right w:val="nil"/>
            </w:tcBorders>
            <w:shd w:val="clear" w:color="auto" w:fill="auto"/>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b/>
                <w:bCs/>
                <w:kern w:val="0"/>
              </w:rPr>
            </w:pPr>
            <w:r w:rsidRPr="00A7050B">
              <w:rPr>
                <w:rFonts w:ascii="Arial Narrow" w:hAnsi="Arial Narrow" w:cs="Calibri"/>
                <w:b/>
                <w:bCs/>
                <w:kern w:val="0"/>
                <w:u w:val="single"/>
              </w:rPr>
              <w:t>II trim 2022</w:t>
            </w:r>
            <w:r w:rsidRPr="00A7050B">
              <w:rPr>
                <w:rFonts w:ascii="Arial Narrow" w:hAnsi="Arial Narrow" w:cs="Calibri"/>
                <w:b/>
                <w:bCs/>
                <w:kern w:val="0"/>
              </w:rPr>
              <w:br/>
              <w:t>II trim 2021</w:t>
            </w:r>
          </w:p>
        </w:tc>
        <w:tc>
          <w:tcPr>
            <w:tcW w:w="1603" w:type="dxa"/>
            <w:tcBorders>
              <w:top w:val="nil"/>
              <w:left w:val="nil"/>
              <w:bottom w:val="single" w:sz="4" w:space="0" w:color="auto"/>
              <w:right w:val="nil"/>
            </w:tcBorders>
            <w:shd w:val="clear" w:color="auto" w:fill="auto"/>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b/>
                <w:bCs/>
                <w:kern w:val="0"/>
              </w:rPr>
            </w:pPr>
            <w:r w:rsidRPr="00A7050B">
              <w:rPr>
                <w:rFonts w:ascii="Arial Narrow" w:hAnsi="Arial Narrow" w:cs="Calibri"/>
                <w:b/>
                <w:bCs/>
                <w:kern w:val="0"/>
                <w:u w:val="single"/>
              </w:rPr>
              <w:t>III trim 2022</w:t>
            </w:r>
            <w:r w:rsidRPr="00A7050B">
              <w:rPr>
                <w:rFonts w:ascii="Arial Narrow" w:hAnsi="Arial Narrow" w:cs="Calibri"/>
                <w:b/>
                <w:bCs/>
                <w:kern w:val="0"/>
              </w:rPr>
              <w:br/>
              <w:t>III trim 2021</w:t>
            </w:r>
          </w:p>
        </w:tc>
      </w:tr>
      <w:tr w:rsidR="00CE4DD8" w:rsidRPr="00A7050B" w:rsidTr="00CE4DD8">
        <w:trPr>
          <w:trHeight w:val="255"/>
        </w:trPr>
        <w:tc>
          <w:tcPr>
            <w:tcW w:w="2753" w:type="dxa"/>
            <w:tcBorders>
              <w:top w:val="single" w:sz="4" w:space="0" w:color="808080"/>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rPr>
                <w:rFonts w:ascii="Arial Narrow" w:hAnsi="Arial Narrow" w:cs="Calibri"/>
                <w:kern w:val="0"/>
                <w:sz w:val="18"/>
                <w:szCs w:val="18"/>
              </w:rPr>
            </w:pPr>
            <w:r w:rsidRPr="00A7050B">
              <w:rPr>
                <w:rFonts w:ascii="Arial Narrow" w:hAnsi="Arial Narrow" w:cs="Calibri"/>
                <w:kern w:val="0"/>
                <w:sz w:val="18"/>
                <w:szCs w:val="18"/>
              </w:rPr>
              <w:t>1°gruppo</w:t>
            </w:r>
          </w:p>
        </w:tc>
        <w:tc>
          <w:tcPr>
            <w:tcW w:w="1095" w:type="dxa"/>
            <w:tcBorders>
              <w:top w:val="single" w:sz="4" w:space="0" w:color="808080"/>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+2,4</w:t>
            </w:r>
          </w:p>
        </w:tc>
        <w:tc>
          <w:tcPr>
            <w:tcW w:w="1603" w:type="dxa"/>
            <w:tcBorders>
              <w:top w:val="single" w:sz="4" w:space="0" w:color="808080"/>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+4,7</w:t>
            </w:r>
          </w:p>
        </w:tc>
        <w:tc>
          <w:tcPr>
            <w:tcW w:w="1603" w:type="dxa"/>
            <w:tcBorders>
              <w:top w:val="single" w:sz="4" w:space="0" w:color="808080"/>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+8,3</w:t>
            </w:r>
          </w:p>
        </w:tc>
        <w:tc>
          <w:tcPr>
            <w:tcW w:w="1603" w:type="dxa"/>
            <w:tcBorders>
              <w:top w:val="single" w:sz="4" w:space="0" w:color="808080"/>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+9,8</w:t>
            </w:r>
          </w:p>
        </w:tc>
        <w:tc>
          <w:tcPr>
            <w:tcW w:w="1603" w:type="dxa"/>
            <w:tcBorders>
              <w:top w:val="single" w:sz="4" w:space="0" w:color="808080"/>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+11,6</w:t>
            </w:r>
          </w:p>
        </w:tc>
      </w:tr>
      <w:tr w:rsidR="00CE4DD8" w:rsidRPr="00A7050B" w:rsidTr="00CE4DD8">
        <w:trPr>
          <w:trHeight w:val="255"/>
        </w:trPr>
        <w:tc>
          <w:tcPr>
            <w:tcW w:w="275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rPr>
                <w:rFonts w:ascii="Arial Narrow" w:hAnsi="Arial Narrow" w:cs="Calibri"/>
                <w:kern w:val="0"/>
                <w:sz w:val="18"/>
                <w:szCs w:val="18"/>
              </w:rPr>
            </w:pPr>
            <w:r w:rsidRPr="00A7050B">
              <w:rPr>
                <w:rFonts w:ascii="Arial Narrow" w:hAnsi="Arial Narrow" w:cs="Calibri"/>
                <w:kern w:val="0"/>
                <w:sz w:val="18"/>
                <w:szCs w:val="18"/>
              </w:rPr>
              <w:t>2°gruppo</w:t>
            </w:r>
          </w:p>
        </w:tc>
        <w:tc>
          <w:tcPr>
            <w:tcW w:w="1095"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+2,3</w:t>
            </w:r>
          </w:p>
        </w:tc>
        <w:tc>
          <w:tcPr>
            <w:tcW w:w="160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+4,5</w:t>
            </w:r>
          </w:p>
        </w:tc>
        <w:tc>
          <w:tcPr>
            <w:tcW w:w="160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+7,3</w:t>
            </w:r>
          </w:p>
        </w:tc>
        <w:tc>
          <w:tcPr>
            <w:tcW w:w="160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+8,8</w:t>
            </w:r>
          </w:p>
        </w:tc>
        <w:tc>
          <w:tcPr>
            <w:tcW w:w="160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+10,4</w:t>
            </w:r>
          </w:p>
        </w:tc>
      </w:tr>
      <w:tr w:rsidR="00CE4DD8" w:rsidRPr="00A7050B" w:rsidTr="00CE4DD8">
        <w:trPr>
          <w:trHeight w:val="255"/>
        </w:trPr>
        <w:tc>
          <w:tcPr>
            <w:tcW w:w="275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rPr>
                <w:rFonts w:ascii="Arial Narrow" w:hAnsi="Arial Narrow" w:cs="Calibri"/>
                <w:kern w:val="0"/>
                <w:sz w:val="18"/>
                <w:szCs w:val="18"/>
              </w:rPr>
            </w:pPr>
            <w:r w:rsidRPr="00A7050B">
              <w:rPr>
                <w:rFonts w:ascii="Arial Narrow" w:hAnsi="Arial Narrow" w:cs="Calibri"/>
                <w:kern w:val="0"/>
                <w:sz w:val="18"/>
                <w:szCs w:val="18"/>
              </w:rPr>
              <w:t>3°gruppo</w:t>
            </w:r>
          </w:p>
        </w:tc>
        <w:tc>
          <w:tcPr>
            <w:tcW w:w="1095"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+2,1</w:t>
            </w:r>
          </w:p>
        </w:tc>
        <w:tc>
          <w:tcPr>
            <w:tcW w:w="160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+4,1</w:t>
            </w:r>
          </w:p>
        </w:tc>
        <w:tc>
          <w:tcPr>
            <w:tcW w:w="160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+6,5</w:t>
            </w:r>
          </w:p>
        </w:tc>
        <w:tc>
          <w:tcPr>
            <w:tcW w:w="160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+8,0</w:t>
            </w:r>
          </w:p>
        </w:tc>
        <w:tc>
          <w:tcPr>
            <w:tcW w:w="160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+9,5</w:t>
            </w:r>
          </w:p>
        </w:tc>
      </w:tr>
      <w:tr w:rsidR="00CE4DD8" w:rsidRPr="00A7050B" w:rsidTr="00CE4DD8">
        <w:trPr>
          <w:trHeight w:val="255"/>
        </w:trPr>
        <w:tc>
          <w:tcPr>
            <w:tcW w:w="275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rPr>
                <w:rFonts w:ascii="Arial Narrow" w:hAnsi="Arial Narrow" w:cs="Calibri"/>
                <w:kern w:val="0"/>
                <w:sz w:val="18"/>
                <w:szCs w:val="18"/>
              </w:rPr>
            </w:pPr>
            <w:r w:rsidRPr="00A7050B">
              <w:rPr>
                <w:rFonts w:ascii="Arial Narrow" w:hAnsi="Arial Narrow" w:cs="Calibri"/>
                <w:kern w:val="0"/>
                <w:sz w:val="18"/>
                <w:szCs w:val="18"/>
              </w:rPr>
              <w:t>4°gruppo</w:t>
            </w:r>
          </w:p>
        </w:tc>
        <w:tc>
          <w:tcPr>
            <w:tcW w:w="1095"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+1,9</w:t>
            </w:r>
          </w:p>
        </w:tc>
        <w:tc>
          <w:tcPr>
            <w:tcW w:w="160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+3,8</w:t>
            </w:r>
          </w:p>
        </w:tc>
        <w:tc>
          <w:tcPr>
            <w:tcW w:w="160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+5,9</w:t>
            </w:r>
          </w:p>
        </w:tc>
        <w:tc>
          <w:tcPr>
            <w:tcW w:w="160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+7,2</w:t>
            </w:r>
          </w:p>
        </w:tc>
        <w:tc>
          <w:tcPr>
            <w:tcW w:w="160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+8,7</w:t>
            </w:r>
          </w:p>
        </w:tc>
      </w:tr>
      <w:tr w:rsidR="00CE4DD8" w:rsidRPr="00A7050B" w:rsidTr="00CE4DD8">
        <w:trPr>
          <w:trHeight w:val="255"/>
        </w:trPr>
        <w:tc>
          <w:tcPr>
            <w:tcW w:w="275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rPr>
                <w:rFonts w:ascii="Arial Narrow" w:hAnsi="Arial Narrow" w:cs="Calibri"/>
                <w:kern w:val="0"/>
                <w:sz w:val="18"/>
                <w:szCs w:val="18"/>
              </w:rPr>
            </w:pPr>
            <w:r w:rsidRPr="00A7050B">
              <w:rPr>
                <w:rFonts w:ascii="Arial Narrow" w:hAnsi="Arial Narrow" w:cs="Calibri"/>
                <w:kern w:val="0"/>
                <w:sz w:val="18"/>
                <w:szCs w:val="18"/>
              </w:rPr>
              <w:t>5°gruppo</w:t>
            </w:r>
          </w:p>
        </w:tc>
        <w:tc>
          <w:tcPr>
            <w:tcW w:w="1095"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+1,6</w:t>
            </w:r>
          </w:p>
        </w:tc>
        <w:tc>
          <w:tcPr>
            <w:tcW w:w="160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+3,1</w:t>
            </w:r>
          </w:p>
        </w:tc>
        <w:tc>
          <w:tcPr>
            <w:tcW w:w="160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+4,9</w:t>
            </w:r>
          </w:p>
        </w:tc>
        <w:tc>
          <w:tcPr>
            <w:tcW w:w="160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+6,1</w:t>
            </w:r>
          </w:p>
        </w:tc>
        <w:tc>
          <w:tcPr>
            <w:tcW w:w="1603" w:type="dxa"/>
            <w:tcBorders>
              <w:top w:val="nil"/>
              <w:left w:val="nil"/>
              <w:bottom w:val="single" w:sz="4" w:space="0" w:color="808080"/>
              <w:right w:val="nil"/>
            </w:tcBorders>
            <w:shd w:val="clear" w:color="auto" w:fill="auto"/>
            <w:noWrap/>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kern w:val="0"/>
                <w:sz w:val="18"/>
                <w:szCs w:val="18"/>
              </w:rPr>
            </w:pPr>
            <w:r w:rsidRPr="00A7050B">
              <w:rPr>
                <w:rFonts w:ascii="Arial Narrow" w:hAnsi="Arial Narrow" w:cs="Calibri"/>
                <w:kern w:val="0"/>
                <w:sz w:val="18"/>
                <w:szCs w:val="18"/>
              </w:rPr>
              <w:t>+7,6</w:t>
            </w:r>
          </w:p>
        </w:tc>
      </w:tr>
      <w:tr w:rsidR="00CE4DD8" w:rsidRPr="00A7050B" w:rsidTr="00CE4DD8">
        <w:trPr>
          <w:trHeight w:val="255"/>
        </w:trPr>
        <w:tc>
          <w:tcPr>
            <w:tcW w:w="2753" w:type="dxa"/>
            <w:tcBorders>
              <w:top w:val="nil"/>
              <w:left w:val="nil"/>
              <w:bottom w:val="single" w:sz="4" w:space="0" w:color="808080"/>
              <w:right w:val="nil"/>
            </w:tcBorders>
            <w:shd w:val="clear" w:color="000000" w:fill="FF0000"/>
            <w:vAlign w:val="center"/>
            <w:hideMark/>
          </w:tcPr>
          <w:p w:rsidR="00CE4DD8" w:rsidRPr="00A7050B" w:rsidRDefault="00CE4DD8" w:rsidP="00CE4DD8">
            <w:pPr>
              <w:widowControl/>
              <w:overflowPunct/>
              <w:autoSpaceDE/>
              <w:autoSpaceDN/>
              <w:adjustRightInd/>
              <w:spacing w:before="0" w:after="0"/>
              <w:rPr>
                <w:rFonts w:ascii="Arial Narrow" w:hAnsi="Arial Narrow" w:cs="Calibri"/>
                <w:b/>
                <w:bCs/>
                <w:color w:val="FFFFFF"/>
                <w:kern w:val="0"/>
                <w:sz w:val="18"/>
                <w:szCs w:val="18"/>
              </w:rPr>
            </w:pPr>
            <w:r w:rsidRPr="00A7050B">
              <w:rPr>
                <w:rFonts w:ascii="Arial Narrow" w:hAnsi="Arial Narrow" w:cs="Calibri"/>
                <w:b/>
                <w:bCs/>
                <w:color w:val="FFFFFF"/>
                <w:kern w:val="0"/>
                <w:sz w:val="18"/>
                <w:szCs w:val="18"/>
              </w:rPr>
              <w:t>IPCA</w:t>
            </w:r>
          </w:p>
        </w:tc>
        <w:tc>
          <w:tcPr>
            <w:tcW w:w="1095" w:type="dxa"/>
            <w:tcBorders>
              <w:top w:val="nil"/>
              <w:left w:val="nil"/>
              <w:bottom w:val="single" w:sz="4" w:space="0" w:color="808080"/>
              <w:right w:val="nil"/>
            </w:tcBorders>
            <w:shd w:val="clear" w:color="000000" w:fill="FF0000"/>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b/>
                <w:bCs/>
                <w:color w:val="FFFFFF"/>
                <w:kern w:val="0"/>
                <w:sz w:val="18"/>
                <w:szCs w:val="18"/>
              </w:rPr>
            </w:pPr>
            <w:r w:rsidRPr="00A7050B">
              <w:rPr>
                <w:rFonts w:ascii="Arial Narrow" w:hAnsi="Arial Narrow" w:cs="Calibri"/>
                <w:b/>
                <w:bCs/>
                <w:color w:val="FFFFFF"/>
                <w:kern w:val="0"/>
                <w:sz w:val="18"/>
                <w:szCs w:val="18"/>
              </w:rPr>
              <w:t>+1,9</w:t>
            </w:r>
          </w:p>
        </w:tc>
        <w:tc>
          <w:tcPr>
            <w:tcW w:w="1603" w:type="dxa"/>
            <w:tcBorders>
              <w:top w:val="nil"/>
              <w:left w:val="nil"/>
              <w:bottom w:val="single" w:sz="4" w:space="0" w:color="808080"/>
              <w:right w:val="nil"/>
            </w:tcBorders>
            <w:shd w:val="clear" w:color="000000" w:fill="FF0000"/>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b/>
                <w:bCs/>
                <w:color w:val="FFFFFF"/>
                <w:kern w:val="0"/>
                <w:sz w:val="18"/>
                <w:szCs w:val="18"/>
              </w:rPr>
            </w:pPr>
            <w:r w:rsidRPr="00A7050B">
              <w:rPr>
                <w:rFonts w:ascii="Arial Narrow" w:hAnsi="Arial Narrow" w:cs="Calibri"/>
                <w:b/>
                <w:bCs/>
                <w:color w:val="FFFFFF"/>
                <w:kern w:val="0"/>
                <w:sz w:val="18"/>
                <w:szCs w:val="18"/>
              </w:rPr>
              <w:t>+3,7</w:t>
            </w:r>
          </w:p>
        </w:tc>
        <w:tc>
          <w:tcPr>
            <w:tcW w:w="1603" w:type="dxa"/>
            <w:tcBorders>
              <w:top w:val="nil"/>
              <w:left w:val="nil"/>
              <w:bottom w:val="single" w:sz="4" w:space="0" w:color="808080"/>
              <w:right w:val="nil"/>
            </w:tcBorders>
            <w:shd w:val="clear" w:color="000000" w:fill="FF0000"/>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b/>
                <w:bCs/>
                <w:color w:val="FFFFFF"/>
                <w:kern w:val="0"/>
                <w:sz w:val="18"/>
                <w:szCs w:val="18"/>
              </w:rPr>
            </w:pPr>
            <w:r w:rsidRPr="00A7050B">
              <w:rPr>
                <w:rFonts w:ascii="Arial Narrow" w:hAnsi="Arial Narrow" w:cs="Calibri"/>
                <w:b/>
                <w:bCs/>
                <w:color w:val="FFFFFF"/>
                <w:kern w:val="0"/>
                <w:sz w:val="18"/>
                <w:szCs w:val="18"/>
              </w:rPr>
              <w:t>+6,0</w:t>
            </w:r>
          </w:p>
        </w:tc>
        <w:tc>
          <w:tcPr>
            <w:tcW w:w="1603" w:type="dxa"/>
            <w:tcBorders>
              <w:top w:val="nil"/>
              <w:left w:val="nil"/>
              <w:bottom w:val="single" w:sz="4" w:space="0" w:color="808080"/>
              <w:right w:val="nil"/>
            </w:tcBorders>
            <w:shd w:val="clear" w:color="000000" w:fill="FF0000"/>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b/>
                <w:bCs/>
                <w:color w:val="FFFFFF"/>
                <w:kern w:val="0"/>
                <w:sz w:val="18"/>
                <w:szCs w:val="18"/>
              </w:rPr>
            </w:pPr>
            <w:r w:rsidRPr="00A7050B">
              <w:rPr>
                <w:rFonts w:ascii="Arial Narrow" w:hAnsi="Arial Narrow" w:cs="Calibri"/>
                <w:b/>
                <w:bCs/>
                <w:color w:val="FFFFFF"/>
                <w:kern w:val="0"/>
                <w:sz w:val="18"/>
                <w:szCs w:val="18"/>
              </w:rPr>
              <w:t>+7,4</w:t>
            </w:r>
          </w:p>
        </w:tc>
        <w:tc>
          <w:tcPr>
            <w:tcW w:w="1603" w:type="dxa"/>
            <w:tcBorders>
              <w:top w:val="nil"/>
              <w:left w:val="nil"/>
              <w:bottom w:val="single" w:sz="4" w:space="0" w:color="808080"/>
              <w:right w:val="nil"/>
            </w:tcBorders>
            <w:shd w:val="clear" w:color="000000" w:fill="FF0000"/>
            <w:vAlign w:val="center"/>
            <w:hideMark/>
          </w:tcPr>
          <w:p w:rsidR="00CE4DD8" w:rsidRPr="00A7050B" w:rsidRDefault="00CE4DD8" w:rsidP="00CE4DD8">
            <w:pPr>
              <w:widowControl/>
              <w:overflowPunct/>
              <w:autoSpaceDE/>
              <w:autoSpaceDN/>
              <w:adjustRightInd/>
              <w:spacing w:before="0" w:after="0"/>
              <w:jc w:val="right"/>
              <w:rPr>
                <w:rFonts w:ascii="Arial Narrow" w:hAnsi="Arial Narrow" w:cs="Calibri"/>
                <w:b/>
                <w:bCs/>
                <w:color w:val="FFFFFF"/>
                <w:kern w:val="0"/>
                <w:sz w:val="18"/>
                <w:szCs w:val="18"/>
              </w:rPr>
            </w:pPr>
            <w:r w:rsidRPr="00A7050B">
              <w:rPr>
                <w:rFonts w:ascii="Arial Narrow" w:hAnsi="Arial Narrow" w:cs="Calibri"/>
                <w:b/>
                <w:bCs/>
                <w:color w:val="FFFFFF"/>
                <w:kern w:val="0"/>
                <w:sz w:val="18"/>
                <w:szCs w:val="18"/>
              </w:rPr>
              <w:t>+8,9</w:t>
            </w:r>
          </w:p>
        </w:tc>
      </w:tr>
    </w:tbl>
    <w:p w:rsidR="00CE4DD8" w:rsidRPr="00611659" w:rsidRDefault="00CE4DD8" w:rsidP="00CE4DD8">
      <w:pPr>
        <w:spacing w:after="120"/>
        <w:rPr>
          <w:rFonts w:ascii="Arial Narrow" w:hAnsi="Arial Narrow" w:cs="Arial"/>
          <w:b/>
          <w:color w:val="E42618"/>
          <w:sz w:val="10"/>
          <w:szCs w:val="16"/>
        </w:rPr>
      </w:pPr>
    </w:p>
    <w:p w:rsidR="00CE4DD8" w:rsidRDefault="00CE4DD8" w:rsidP="00CE4DD8">
      <w:pPr>
        <w:spacing w:after="0"/>
        <w:rPr>
          <w:rFonts w:ascii="Arial Narrow" w:hAnsi="Arial Narrow" w:cs="Arial"/>
          <w:color w:val="5F5F5F"/>
        </w:rPr>
      </w:pPr>
      <w:r>
        <w:rPr>
          <w:rFonts w:ascii="Arial Narrow" w:hAnsi="Arial Narrow" w:cs="Arial"/>
          <w:b/>
          <w:color w:val="E42618"/>
          <w:sz w:val="22"/>
          <w:szCs w:val="22"/>
        </w:rPr>
        <w:t>FIGURA 8</w:t>
      </w:r>
      <w:r w:rsidRPr="00AA0C22">
        <w:rPr>
          <w:rFonts w:ascii="Arial Narrow" w:hAnsi="Arial Narrow" w:cs="Arial"/>
          <w:b/>
          <w:color w:val="E42618"/>
          <w:sz w:val="22"/>
          <w:szCs w:val="22"/>
        </w:rPr>
        <w:t>.</w:t>
      </w:r>
      <w:r w:rsidRPr="00AA0C22">
        <w:rPr>
          <w:rFonts w:ascii="Arial Narrow" w:hAnsi="Arial Narrow" w:cs="Arial"/>
          <w:b/>
          <w:color w:val="5F5F5F"/>
          <w:sz w:val="22"/>
          <w:szCs w:val="22"/>
        </w:rPr>
        <w:t xml:space="preserve"> </w:t>
      </w:r>
      <w:r w:rsidRPr="00AA0C22">
        <w:rPr>
          <w:rFonts w:ascii="Arial Narrow" w:hAnsi="Arial Narrow" w:cs="Calibri"/>
          <w:b/>
          <w:bCs/>
          <w:color w:val="5F5F5F"/>
          <w:sz w:val="22"/>
          <w:szCs w:val="22"/>
        </w:rPr>
        <w:t>INDICI DEI PREZZI AL CONSUMO IPCA PER CLASSI DI SPESA DELLE FAMIGLIE</w:t>
      </w:r>
      <w:r w:rsidRPr="00AA0C22">
        <w:rPr>
          <w:rFonts w:ascii="Arial Narrow" w:hAnsi="Arial Narrow" w:cs="Arial"/>
          <w:b/>
          <w:color w:val="5F5F5F"/>
          <w:sz w:val="22"/>
          <w:szCs w:val="22"/>
        </w:rPr>
        <w:br/>
      </w:r>
      <w:r>
        <w:rPr>
          <w:rFonts w:ascii="Arial Narrow" w:hAnsi="Arial Narrow" w:cs="Arial"/>
          <w:color w:val="5F5F5F"/>
        </w:rPr>
        <w:t>Gennaio 2017 - settembre 2022</w:t>
      </w:r>
      <w:r w:rsidRPr="00B50F1E">
        <w:rPr>
          <w:rFonts w:ascii="Arial Narrow" w:hAnsi="Arial Narrow" w:cs="Arial"/>
          <w:color w:val="5F5F5F"/>
        </w:rPr>
        <w:t>, variazioni percentuali tendenziali (base 2015=100)</w:t>
      </w:r>
    </w:p>
    <w:p w:rsidR="00CE4DD8" w:rsidRDefault="00CE4DD8" w:rsidP="00CE4DD8">
      <w:pPr>
        <w:spacing w:after="0"/>
        <w:rPr>
          <w:rFonts w:ascii="Arial Narrow" w:hAnsi="Arial Narrow" w:cs="Arial"/>
          <w:color w:val="5F5F5F"/>
        </w:rPr>
      </w:pPr>
      <w:r w:rsidRPr="00E72542">
        <w:rPr>
          <w:rFonts w:ascii="Arial Narrow" w:hAnsi="Arial Narrow" w:cs="Arial"/>
          <w:noProof/>
          <w:color w:val="5F5F5F"/>
        </w:rPr>
        <w:drawing>
          <wp:inline distT="0" distB="0" distL="0" distR="0" wp14:anchorId="34D39315" wp14:editId="33BE4CEB">
            <wp:extent cx="6480175" cy="210439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80175" cy="2104390"/>
                    </a:xfrm>
                    <a:prstGeom prst="rect">
                      <a:avLst/>
                    </a:prstGeom>
                  </pic:spPr>
                </pic:pic>
              </a:graphicData>
            </a:graphic>
          </wp:inline>
        </w:drawing>
      </w:r>
    </w:p>
    <w:p w:rsidR="00BC6184" w:rsidRPr="00CE4DD8" w:rsidRDefault="00BC6184" w:rsidP="00BC6184">
      <w:pPr>
        <w:spacing w:before="0" w:after="0"/>
        <w:jc w:val="both"/>
        <w:rPr>
          <w:rFonts w:ascii="Arial" w:hAnsi="Arial" w:cs="Arial"/>
          <w:color w:val="000000"/>
          <w:kern w:val="0"/>
          <w:sz w:val="21"/>
          <w:szCs w:val="21"/>
        </w:rPr>
      </w:pPr>
    </w:p>
    <w:p w:rsidR="00BC6184" w:rsidRPr="0097639A" w:rsidRDefault="00BC6184" w:rsidP="00BC6184">
      <w:pPr>
        <w:spacing w:before="0" w:after="120"/>
        <w:jc w:val="both"/>
        <w:rPr>
          <w:rFonts w:ascii="Arial" w:hAnsi="Arial" w:cs="Arial"/>
          <w:color w:val="000000"/>
          <w:kern w:val="0"/>
          <w:sz w:val="21"/>
          <w:szCs w:val="21"/>
        </w:rPr>
      </w:pPr>
      <w:r w:rsidRPr="0097639A">
        <w:rPr>
          <w:rFonts w:ascii="Arial" w:hAnsi="Arial" w:cs="Arial"/>
          <w:color w:val="000000"/>
          <w:kern w:val="0"/>
          <w:sz w:val="21"/>
          <w:szCs w:val="21"/>
        </w:rPr>
        <w:t xml:space="preserve">Con riferimento al comparto dei beni (Figura 9), nel </w:t>
      </w:r>
      <w:r>
        <w:rPr>
          <w:rFonts w:ascii="Arial" w:hAnsi="Arial" w:cs="Arial"/>
          <w:color w:val="000000"/>
          <w:kern w:val="0"/>
          <w:sz w:val="21"/>
          <w:szCs w:val="21"/>
        </w:rPr>
        <w:t>terzo</w:t>
      </w:r>
      <w:r w:rsidRPr="0097639A">
        <w:rPr>
          <w:rFonts w:ascii="Arial" w:hAnsi="Arial" w:cs="Arial"/>
          <w:color w:val="000000"/>
          <w:kern w:val="0"/>
          <w:sz w:val="21"/>
          <w:szCs w:val="21"/>
        </w:rPr>
        <w:t xml:space="preserve"> trimestre 2022 la </w:t>
      </w:r>
      <w:r>
        <w:rPr>
          <w:rFonts w:ascii="Arial" w:hAnsi="Arial" w:cs="Arial"/>
          <w:color w:val="000000"/>
          <w:kern w:val="0"/>
          <w:sz w:val="21"/>
          <w:szCs w:val="21"/>
        </w:rPr>
        <w:t xml:space="preserve">forte </w:t>
      </w:r>
      <w:r w:rsidRPr="0097639A">
        <w:rPr>
          <w:rFonts w:ascii="Arial" w:hAnsi="Arial" w:cs="Arial"/>
          <w:color w:val="000000"/>
          <w:kern w:val="0"/>
          <w:sz w:val="21"/>
          <w:szCs w:val="21"/>
        </w:rPr>
        <w:t xml:space="preserve">crescita tendenziale dei prezzi riguarda entrambi i gruppi di famiglie risultando però molto più marcata per quelle meno abbienti, per le quali </w:t>
      </w:r>
      <w:r>
        <w:rPr>
          <w:rFonts w:ascii="Arial" w:hAnsi="Arial" w:cs="Arial"/>
          <w:color w:val="000000"/>
          <w:kern w:val="0"/>
          <w:sz w:val="21"/>
          <w:szCs w:val="21"/>
        </w:rPr>
        <w:t>accelera</w:t>
      </w:r>
      <w:r w:rsidRPr="0097639A">
        <w:rPr>
          <w:rFonts w:ascii="Arial" w:hAnsi="Arial" w:cs="Arial"/>
          <w:color w:val="000000"/>
          <w:kern w:val="0"/>
          <w:sz w:val="21"/>
          <w:szCs w:val="21"/>
        </w:rPr>
        <w:t xml:space="preserve"> da </w:t>
      </w:r>
      <w:r>
        <w:rPr>
          <w:rFonts w:ascii="Arial" w:hAnsi="Arial" w:cs="Arial"/>
          <w:color w:val="000000"/>
          <w:kern w:val="0"/>
          <w:sz w:val="21"/>
          <w:szCs w:val="21"/>
        </w:rPr>
        <w:t>+13,8% del secondo trimestre a +16,4</w:t>
      </w:r>
      <w:r w:rsidRPr="0097639A">
        <w:rPr>
          <w:rFonts w:ascii="Arial" w:hAnsi="Arial" w:cs="Arial"/>
          <w:color w:val="000000"/>
          <w:kern w:val="0"/>
          <w:sz w:val="21"/>
          <w:szCs w:val="21"/>
        </w:rPr>
        <w:t>% (+1</w:t>
      </w:r>
      <w:r>
        <w:rPr>
          <w:rFonts w:ascii="Arial" w:hAnsi="Arial" w:cs="Arial"/>
          <w:color w:val="000000"/>
          <w:kern w:val="0"/>
          <w:sz w:val="21"/>
          <w:szCs w:val="21"/>
        </w:rPr>
        <w:t>7,5</w:t>
      </w:r>
      <w:r w:rsidRPr="0097639A">
        <w:rPr>
          <w:rFonts w:ascii="Arial" w:hAnsi="Arial" w:cs="Arial"/>
          <w:color w:val="000000"/>
          <w:kern w:val="0"/>
          <w:sz w:val="21"/>
          <w:szCs w:val="21"/>
        </w:rPr>
        <w:t xml:space="preserve">% nel mese di </w:t>
      </w:r>
      <w:r>
        <w:rPr>
          <w:rFonts w:ascii="Arial" w:hAnsi="Arial" w:cs="Arial"/>
          <w:color w:val="000000"/>
          <w:kern w:val="0"/>
          <w:sz w:val="21"/>
          <w:szCs w:val="21"/>
        </w:rPr>
        <w:t>settembre</w:t>
      </w:r>
      <w:r w:rsidRPr="0097639A">
        <w:rPr>
          <w:rFonts w:ascii="Arial" w:hAnsi="Arial" w:cs="Arial"/>
          <w:color w:val="000000"/>
          <w:kern w:val="0"/>
          <w:sz w:val="21"/>
          <w:szCs w:val="21"/>
        </w:rPr>
        <w:t>)</w:t>
      </w:r>
      <w:r>
        <w:rPr>
          <w:rFonts w:ascii="Arial" w:hAnsi="Arial" w:cs="Arial"/>
          <w:color w:val="000000"/>
          <w:kern w:val="0"/>
          <w:sz w:val="21"/>
          <w:szCs w:val="21"/>
        </w:rPr>
        <w:t>, mentre per</w:t>
      </w:r>
      <w:r w:rsidRPr="0097639A">
        <w:rPr>
          <w:rFonts w:ascii="Arial" w:hAnsi="Arial" w:cs="Arial"/>
          <w:color w:val="000000"/>
          <w:kern w:val="0"/>
          <w:sz w:val="21"/>
          <w:szCs w:val="21"/>
        </w:rPr>
        <w:t xml:space="preserve"> le famiglie con livelli di spesa più elevati si porta </w:t>
      </w:r>
      <w:r>
        <w:rPr>
          <w:rFonts w:ascii="Arial" w:hAnsi="Arial" w:cs="Arial"/>
          <w:color w:val="000000"/>
          <w:kern w:val="0"/>
          <w:sz w:val="21"/>
          <w:szCs w:val="21"/>
        </w:rPr>
        <w:t>da +8,2% nel secondo</w:t>
      </w:r>
      <w:r w:rsidRPr="0097639A">
        <w:rPr>
          <w:rFonts w:ascii="Arial" w:hAnsi="Arial" w:cs="Arial"/>
          <w:color w:val="000000"/>
          <w:kern w:val="0"/>
          <w:sz w:val="21"/>
          <w:szCs w:val="21"/>
        </w:rPr>
        <w:t xml:space="preserve"> trimestre a +</w:t>
      </w:r>
      <w:r>
        <w:rPr>
          <w:rFonts w:ascii="Arial" w:hAnsi="Arial" w:cs="Arial"/>
          <w:color w:val="000000"/>
          <w:kern w:val="0"/>
          <w:sz w:val="21"/>
          <w:szCs w:val="21"/>
        </w:rPr>
        <w:t>9,9</w:t>
      </w:r>
      <w:r w:rsidRPr="0097639A">
        <w:rPr>
          <w:rFonts w:ascii="Arial" w:hAnsi="Arial" w:cs="Arial"/>
          <w:color w:val="000000"/>
          <w:kern w:val="0"/>
          <w:sz w:val="21"/>
          <w:szCs w:val="21"/>
        </w:rPr>
        <w:t xml:space="preserve">% nel </w:t>
      </w:r>
      <w:r>
        <w:rPr>
          <w:rFonts w:ascii="Arial" w:hAnsi="Arial" w:cs="Arial"/>
          <w:color w:val="000000"/>
          <w:kern w:val="0"/>
          <w:sz w:val="21"/>
          <w:szCs w:val="21"/>
        </w:rPr>
        <w:t>terzo</w:t>
      </w:r>
      <w:r w:rsidRPr="0097639A">
        <w:rPr>
          <w:rFonts w:ascii="Arial" w:hAnsi="Arial" w:cs="Arial"/>
          <w:color w:val="000000"/>
          <w:kern w:val="0"/>
          <w:sz w:val="21"/>
          <w:szCs w:val="21"/>
        </w:rPr>
        <w:t xml:space="preserve"> (+</w:t>
      </w:r>
      <w:r>
        <w:rPr>
          <w:rFonts w:ascii="Arial" w:hAnsi="Arial" w:cs="Arial"/>
          <w:color w:val="000000"/>
          <w:kern w:val="0"/>
          <w:sz w:val="21"/>
          <w:szCs w:val="21"/>
        </w:rPr>
        <w:t>10,4</w:t>
      </w:r>
      <w:r w:rsidRPr="0097639A">
        <w:rPr>
          <w:rFonts w:ascii="Arial" w:hAnsi="Arial" w:cs="Arial"/>
          <w:color w:val="000000"/>
          <w:kern w:val="0"/>
          <w:sz w:val="21"/>
          <w:szCs w:val="21"/>
        </w:rPr>
        <w:t xml:space="preserve">% </w:t>
      </w:r>
      <w:r>
        <w:rPr>
          <w:rFonts w:ascii="Arial" w:hAnsi="Arial" w:cs="Arial"/>
          <w:color w:val="000000"/>
          <w:kern w:val="0"/>
          <w:sz w:val="21"/>
          <w:szCs w:val="21"/>
        </w:rPr>
        <w:t>a</w:t>
      </w:r>
      <w:r w:rsidRPr="0097639A">
        <w:rPr>
          <w:rFonts w:ascii="Arial" w:hAnsi="Arial" w:cs="Arial"/>
          <w:color w:val="000000"/>
          <w:kern w:val="0"/>
          <w:sz w:val="21"/>
          <w:szCs w:val="21"/>
        </w:rPr>
        <w:t xml:space="preserve"> </w:t>
      </w:r>
      <w:r>
        <w:rPr>
          <w:rFonts w:ascii="Arial" w:hAnsi="Arial" w:cs="Arial"/>
          <w:color w:val="000000"/>
          <w:kern w:val="0"/>
          <w:sz w:val="21"/>
          <w:szCs w:val="21"/>
        </w:rPr>
        <w:t>settembre</w:t>
      </w:r>
      <w:r w:rsidRPr="0097639A">
        <w:rPr>
          <w:rFonts w:ascii="Arial" w:hAnsi="Arial" w:cs="Arial"/>
          <w:color w:val="000000"/>
          <w:kern w:val="0"/>
          <w:sz w:val="21"/>
          <w:szCs w:val="21"/>
        </w:rPr>
        <w:t>).</w:t>
      </w:r>
    </w:p>
    <w:p w:rsidR="0089229A" w:rsidRDefault="0089229A" w:rsidP="00BC6184">
      <w:pPr>
        <w:spacing w:before="0" w:after="120"/>
        <w:jc w:val="both"/>
        <w:rPr>
          <w:rFonts w:ascii="Arial" w:hAnsi="Arial" w:cs="Arial"/>
          <w:color w:val="000000"/>
          <w:kern w:val="0"/>
          <w:sz w:val="21"/>
          <w:szCs w:val="21"/>
        </w:rPr>
      </w:pPr>
    </w:p>
    <w:p w:rsidR="00BC6184" w:rsidRDefault="00BC6184" w:rsidP="00BC6184">
      <w:pPr>
        <w:spacing w:before="0" w:after="120"/>
        <w:jc w:val="both"/>
        <w:rPr>
          <w:rFonts w:ascii="Arial" w:hAnsi="Arial" w:cs="Arial"/>
          <w:color w:val="000000"/>
          <w:kern w:val="0"/>
          <w:sz w:val="21"/>
          <w:szCs w:val="21"/>
        </w:rPr>
      </w:pPr>
      <w:r>
        <w:rPr>
          <w:rFonts w:ascii="Arial" w:hAnsi="Arial" w:cs="Arial"/>
          <w:color w:val="000000"/>
          <w:kern w:val="0"/>
          <w:sz w:val="21"/>
          <w:szCs w:val="21"/>
        </w:rPr>
        <w:lastRenderedPageBreak/>
        <w:t>L</w:t>
      </w:r>
      <w:r w:rsidRPr="0097639A">
        <w:rPr>
          <w:rFonts w:ascii="Arial" w:hAnsi="Arial" w:cs="Arial"/>
          <w:color w:val="000000"/>
          <w:kern w:val="0"/>
          <w:sz w:val="21"/>
          <w:szCs w:val="21"/>
        </w:rPr>
        <w:t xml:space="preserve">e differenze nel profilo tendenziale dei prezzi dei beni per il primo e per l’ultimo gruppo di famiglie si devono principalmente alla dinamica dei prezzi dell’Energia </w:t>
      </w:r>
      <w:r>
        <w:rPr>
          <w:rFonts w:ascii="Arial" w:hAnsi="Arial" w:cs="Arial"/>
          <w:color w:val="000000"/>
          <w:kern w:val="0"/>
          <w:sz w:val="21"/>
          <w:szCs w:val="21"/>
        </w:rPr>
        <w:t>la cui crescita</w:t>
      </w:r>
      <w:r w:rsidRPr="0097639A">
        <w:rPr>
          <w:rFonts w:ascii="Arial" w:hAnsi="Arial" w:cs="Arial"/>
          <w:color w:val="000000"/>
          <w:kern w:val="0"/>
          <w:sz w:val="21"/>
          <w:szCs w:val="21"/>
        </w:rPr>
        <w:t xml:space="preserve"> </w:t>
      </w:r>
      <w:r>
        <w:rPr>
          <w:rFonts w:ascii="Arial" w:hAnsi="Arial" w:cs="Arial"/>
          <w:color w:val="000000"/>
          <w:kern w:val="0"/>
          <w:sz w:val="21"/>
          <w:szCs w:val="21"/>
        </w:rPr>
        <w:t>conferma ritmi</w:t>
      </w:r>
      <w:r w:rsidRPr="0097639A">
        <w:rPr>
          <w:rFonts w:ascii="Arial" w:hAnsi="Arial" w:cs="Arial"/>
          <w:color w:val="000000"/>
          <w:kern w:val="0"/>
          <w:sz w:val="21"/>
          <w:szCs w:val="21"/>
        </w:rPr>
        <w:t xml:space="preserve"> molto elevati</w:t>
      </w:r>
      <w:r>
        <w:rPr>
          <w:rFonts w:ascii="Arial" w:hAnsi="Arial" w:cs="Arial"/>
          <w:color w:val="000000"/>
          <w:kern w:val="0"/>
          <w:sz w:val="21"/>
          <w:szCs w:val="21"/>
        </w:rPr>
        <w:t xml:space="preserve"> per entrambi i gruppi di famiglie ma che segna un’accelerazione </w:t>
      </w:r>
      <w:r w:rsidRPr="0097639A">
        <w:rPr>
          <w:rFonts w:ascii="Arial" w:hAnsi="Arial" w:cs="Arial"/>
          <w:color w:val="000000"/>
          <w:kern w:val="0"/>
          <w:sz w:val="21"/>
          <w:szCs w:val="21"/>
        </w:rPr>
        <w:t>da +</w:t>
      </w:r>
      <w:r>
        <w:rPr>
          <w:rFonts w:ascii="Arial" w:hAnsi="Arial" w:cs="Arial"/>
          <w:color w:val="000000"/>
          <w:kern w:val="0"/>
          <w:sz w:val="21"/>
          <w:szCs w:val="21"/>
        </w:rPr>
        <w:t>48,9% a +52,0</w:t>
      </w:r>
      <w:r w:rsidRPr="0097639A">
        <w:rPr>
          <w:rFonts w:ascii="Arial" w:hAnsi="Arial" w:cs="Arial"/>
          <w:color w:val="000000"/>
          <w:kern w:val="0"/>
          <w:sz w:val="21"/>
          <w:szCs w:val="21"/>
        </w:rPr>
        <w:t xml:space="preserve">% per la prima classe di spesa e </w:t>
      </w:r>
      <w:r>
        <w:rPr>
          <w:rFonts w:ascii="Arial" w:hAnsi="Arial" w:cs="Arial"/>
          <w:color w:val="000000"/>
          <w:kern w:val="0"/>
          <w:sz w:val="21"/>
          <w:szCs w:val="21"/>
        </w:rPr>
        <w:t xml:space="preserve">un lieve rallentamento </w:t>
      </w:r>
      <w:r w:rsidRPr="0097639A">
        <w:rPr>
          <w:rFonts w:ascii="Arial" w:hAnsi="Arial" w:cs="Arial"/>
          <w:color w:val="000000"/>
          <w:kern w:val="0"/>
          <w:sz w:val="21"/>
          <w:szCs w:val="21"/>
        </w:rPr>
        <w:t>da +4</w:t>
      </w:r>
      <w:r>
        <w:rPr>
          <w:rFonts w:ascii="Arial" w:hAnsi="Arial" w:cs="Arial"/>
          <w:color w:val="000000"/>
          <w:kern w:val="0"/>
          <w:sz w:val="21"/>
          <w:szCs w:val="21"/>
        </w:rPr>
        <w:t>2,0</w:t>
      </w:r>
      <w:r w:rsidRPr="0097639A">
        <w:rPr>
          <w:rFonts w:ascii="Arial" w:hAnsi="Arial" w:cs="Arial"/>
          <w:color w:val="000000"/>
          <w:kern w:val="0"/>
          <w:sz w:val="21"/>
          <w:szCs w:val="21"/>
        </w:rPr>
        <w:t>% a +4</w:t>
      </w:r>
      <w:r>
        <w:rPr>
          <w:rFonts w:ascii="Arial" w:hAnsi="Arial" w:cs="Arial"/>
          <w:color w:val="000000"/>
          <w:kern w:val="0"/>
          <w:sz w:val="21"/>
          <w:szCs w:val="21"/>
        </w:rPr>
        <w:t>1,4% per la quinta classe. I prezzi dei</w:t>
      </w:r>
      <w:r w:rsidRPr="0097639A">
        <w:rPr>
          <w:rFonts w:ascii="Arial" w:hAnsi="Arial" w:cs="Arial"/>
          <w:color w:val="000000"/>
          <w:kern w:val="0"/>
          <w:sz w:val="21"/>
          <w:szCs w:val="21"/>
        </w:rPr>
        <w:t xml:space="preserve"> Beni alimentari</w:t>
      </w:r>
      <w:r>
        <w:rPr>
          <w:rFonts w:ascii="Arial" w:hAnsi="Arial" w:cs="Arial"/>
          <w:color w:val="000000"/>
          <w:kern w:val="0"/>
          <w:sz w:val="21"/>
          <w:szCs w:val="21"/>
        </w:rPr>
        <w:t>, invece,</w:t>
      </w:r>
      <w:r w:rsidRPr="0097639A">
        <w:rPr>
          <w:rFonts w:ascii="Arial" w:hAnsi="Arial" w:cs="Arial"/>
          <w:color w:val="000000"/>
          <w:kern w:val="0"/>
          <w:sz w:val="21"/>
          <w:szCs w:val="21"/>
        </w:rPr>
        <w:t xml:space="preserve"> </w:t>
      </w:r>
      <w:r>
        <w:rPr>
          <w:rFonts w:ascii="Arial" w:hAnsi="Arial" w:cs="Arial"/>
          <w:color w:val="000000"/>
          <w:kern w:val="0"/>
          <w:sz w:val="21"/>
          <w:szCs w:val="21"/>
        </w:rPr>
        <w:t>accelerano per entrambi</w:t>
      </w:r>
      <w:r w:rsidR="006D4FAC">
        <w:rPr>
          <w:rFonts w:ascii="Arial" w:hAnsi="Arial" w:cs="Arial"/>
          <w:color w:val="000000"/>
          <w:kern w:val="0"/>
          <w:sz w:val="21"/>
          <w:szCs w:val="21"/>
        </w:rPr>
        <w:t xml:space="preserve"> i</w:t>
      </w:r>
      <w:r>
        <w:rPr>
          <w:rFonts w:ascii="Arial" w:hAnsi="Arial" w:cs="Arial"/>
          <w:color w:val="000000"/>
          <w:kern w:val="0"/>
          <w:sz w:val="21"/>
          <w:szCs w:val="21"/>
        </w:rPr>
        <w:t xml:space="preserve"> gruppi ma continuano a registrare una crescita più ampia per il primo gruppo di famiglie (+9</w:t>
      </w:r>
      <w:r w:rsidRPr="0097639A">
        <w:rPr>
          <w:rFonts w:ascii="Arial" w:hAnsi="Arial" w:cs="Arial"/>
          <w:color w:val="000000"/>
          <w:kern w:val="0"/>
          <w:sz w:val="21"/>
          <w:szCs w:val="21"/>
        </w:rPr>
        <w:t>,</w:t>
      </w:r>
      <w:r>
        <w:rPr>
          <w:rFonts w:ascii="Arial" w:hAnsi="Arial" w:cs="Arial"/>
          <w:color w:val="000000"/>
          <w:kern w:val="0"/>
          <w:sz w:val="21"/>
          <w:szCs w:val="21"/>
        </w:rPr>
        <w:t>6% gli Alimentari lavorati</w:t>
      </w:r>
      <w:r w:rsidR="006D4FAC">
        <w:rPr>
          <w:rFonts w:ascii="Arial" w:hAnsi="Arial" w:cs="Arial"/>
          <w:color w:val="000000"/>
          <w:kern w:val="0"/>
          <w:sz w:val="21"/>
          <w:szCs w:val="21"/>
        </w:rPr>
        <w:t>,</w:t>
      </w:r>
      <w:r>
        <w:rPr>
          <w:rFonts w:ascii="Arial" w:hAnsi="Arial" w:cs="Arial"/>
          <w:color w:val="000000"/>
          <w:kern w:val="0"/>
          <w:sz w:val="21"/>
          <w:szCs w:val="21"/>
        </w:rPr>
        <w:t xml:space="preserve"> da +6,1% del secondo trimestre</w:t>
      </w:r>
      <w:r w:rsidR="006D4FAC">
        <w:rPr>
          <w:rFonts w:ascii="Arial" w:hAnsi="Arial" w:cs="Arial"/>
          <w:color w:val="000000"/>
          <w:kern w:val="0"/>
          <w:sz w:val="21"/>
          <w:szCs w:val="21"/>
        </w:rPr>
        <w:t>,</w:t>
      </w:r>
      <w:r>
        <w:rPr>
          <w:rFonts w:ascii="Arial" w:hAnsi="Arial" w:cs="Arial"/>
          <w:color w:val="000000"/>
          <w:kern w:val="0"/>
          <w:sz w:val="21"/>
          <w:szCs w:val="21"/>
        </w:rPr>
        <w:t xml:space="preserve"> e +10,7% quelli non lavorati, da +9,2%), rispetto al </w:t>
      </w:r>
      <w:r w:rsidRPr="0097639A">
        <w:rPr>
          <w:rFonts w:ascii="Arial" w:hAnsi="Arial" w:cs="Arial"/>
          <w:color w:val="000000"/>
          <w:kern w:val="0"/>
          <w:sz w:val="21"/>
          <w:szCs w:val="21"/>
        </w:rPr>
        <w:t>quinto gruppo</w:t>
      </w:r>
      <w:r>
        <w:rPr>
          <w:rFonts w:ascii="Arial" w:hAnsi="Arial" w:cs="Arial"/>
          <w:color w:val="000000"/>
          <w:kern w:val="0"/>
          <w:sz w:val="21"/>
          <w:szCs w:val="21"/>
        </w:rPr>
        <w:t xml:space="preserve"> (+8,5% gli Alimentari lavorati</w:t>
      </w:r>
      <w:r w:rsidR="006D4FAC">
        <w:rPr>
          <w:rFonts w:ascii="Arial" w:hAnsi="Arial" w:cs="Arial"/>
          <w:color w:val="000000"/>
          <w:kern w:val="0"/>
          <w:sz w:val="21"/>
          <w:szCs w:val="21"/>
        </w:rPr>
        <w:t>,</w:t>
      </w:r>
      <w:r>
        <w:rPr>
          <w:rFonts w:ascii="Arial" w:hAnsi="Arial" w:cs="Arial"/>
          <w:color w:val="000000"/>
          <w:kern w:val="0"/>
          <w:sz w:val="21"/>
          <w:szCs w:val="21"/>
        </w:rPr>
        <w:t xml:space="preserve"> da +5,3%</w:t>
      </w:r>
      <w:r w:rsidR="006D4FAC">
        <w:rPr>
          <w:rFonts w:ascii="Arial" w:hAnsi="Arial" w:cs="Arial"/>
          <w:color w:val="000000"/>
          <w:kern w:val="0"/>
          <w:sz w:val="21"/>
          <w:szCs w:val="21"/>
        </w:rPr>
        <w:t>,</w:t>
      </w:r>
      <w:r>
        <w:rPr>
          <w:rFonts w:ascii="Arial" w:hAnsi="Arial" w:cs="Arial"/>
          <w:color w:val="000000"/>
          <w:kern w:val="0"/>
          <w:sz w:val="21"/>
          <w:szCs w:val="21"/>
        </w:rPr>
        <w:t xml:space="preserve"> e +10,4% quelli n</w:t>
      </w:r>
      <w:r w:rsidRPr="0097639A">
        <w:rPr>
          <w:rFonts w:ascii="Arial" w:hAnsi="Arial" w:cs="Arial"/>
          <w:color w:val="000000"/>
          <w:kern w:val="0"/>
          <w:sz w:val="21"/>
          <w:szCs w:val="21"/>
        </w:rPr>
        <w:t>on lavorati</w:t>
      </w:r>
      <w:r>
        <w:rPr>
          <w:rFonts w:ascii="Arial" w:hAnsi="Arial" w:cs="Arial"/>
          <w:color w:val="000000"/>
          <w:kern w:val="0"/>
          <w:sz w:val="21"/>
          <w:szCs w:val="21"/>
        </w:rPr>
        <w:t>, da +9,2%).</w:t>
      </w:r>
    </w:p>
    <w:p w:rsidR="00BC6184" w:rsidRDefault="00BC6184" w:rsidP="00BC6184">
      <w:pPr>
        <w:spacing w:before="0" w:after="120"/>
        <w:jc w:val="both"/>
        <w:rPr>
          <w:rFonts w:ascii="Arial" w:hAnsi="Arial" w:cs="Arial"/>
          <w:iCs/>
          <w:sz w:val="21"/>
          <w:szCs w:val="21"/>
        </w:rPr>
      </w:pPr>
      <w:r w:rsidRPr="0097639A">
        <w:rPr>
          <w:rFonts w:ascii="Arial" w:hAnsi="Arial" w:cs="Arial"/>
          <w:color w:val="000000"/>
          <w:kern w:val="0"/>
          <w:sz w:val="21"/>
          <w:szCs w:val="21"/>
        </w:rPr>
        <w:t>L’impatto inflazionistico di quest</w:t>
      </w:r>
      <w:r>
        <w:rPr>
          <w:rFonts w:ascii="Arial" w:hAnsi="Arial" w:cs="Arial"/>
          <w:color w:val="000000"/>
          <w:kern w:val="0"/>
          <w:sz w:val="21"/>
          <w:szCs w:val="21"/>
        </w:rPr>
        <w:t>e</w:t>
      </w:r>
      <w:r w:rsidRPr="0097639A">
        <w:rPr>
          <w:rFonts w:ascii="Arial" w:hAnsi="Arial" w:cs="Arial"/>
          <w:color w:val="000000"/>
          <w:kern w:val="0"/>
          <w:sz w:val="21"/>
          <w:szCs w:val="21"/>
        </w:rPr>
        <w:t xml:space="preserve"> </w:t>
      </w:r>
      <w:r>
        <w:rPr>
          <w:rFonts w:ascii="Arial" w:hAnsi="Arial" w:cs="Arial"/>
          <w:color w:val="000000"/>
          <w:kern w:val="0"/>
          <w:sz w:val="21"/>
          <w:szCs w:val="21"/>
        </w:rPr>
        <w:t xml:space="preserve">dinamiche risulta </w:t>
      </w:r>
      <w:r w:rsidRPr="0097639A">
        <w:rPr>
          <w:rFonts w:ascii="Arial" w:hAnsi="Arial" w:cs="Arial"/>
          <w:color w:val="000000"/>
          <w:kern w:val="0"/>
          <w:sz w:val="21"/>
          <w:szCs w:val="21"/>
        </w:rPr>
        <w:t xml:space="preserve">più ampio per le famiglie con più bassi livelli di spesa che </w:t>
      </w:r>
      <w:r>
        <w:rPr>
          <w:rFonts w:ascii="Arial" w:hAnsi="Arial" w:cs="Arial"/>
          <w:color w:val="000000"/>
          <w:kern w:val="0"/>
          <w:sz w:val="21"/>
          <w:szCs w:val="21"/>
        </w:rPr>
        <w:t>destinano</w:t>
      </w:r>
      <w:r w:rsidRPr="0097639A">
        <w:rPr>
          <w:rFonts w:ascii="Arial" w:hAnsi="Arial" w:cs="Arial"/>
          <w:color w:val="000000"/>
          <w:kern w:val="0"/>
          <w:sz w:val="21"/>
          <w:szCs w:val="21"/>
        </w:rPr>
        <w:t xml:space="preserve"> all’acquisto di </w:t>
      </w:r>
      <w:r>
        <w:rPr>
          <w:rFonts w:ascii="Arial" w:hAnsi="Arial" w:cs="Arial"/>
          <w:color w:val="000000"/>
          <w:kern w:val="0"/>
          <w:sz w:val="21"/>
          <w:szCs w:val="21"/>
        </w:rPr>
        <w:t>questi</w:t>
      </w:r>
      <w:r w:rsidRPr="0097639A">
        <w:rPr>
          <w:rFonts w:ascii="Arial" w:hAnsi="Arial" w:cs="Arial"/>
          <w:color w:val="000000"/>
          <w:kern w:val="0"/>
          <w:sz w:val="21"/>
          <w:szCs w:val="21"/>
        </w:rPr>
        <w:t xml:space="preserve"> prodotti una quota maggiore del loro bilancio rispetto alle famiglie </w:t>
      </w:r>
      <w:r>
        <w:rPr>
          <w:rFonts w:ascii="Arial" w:hAnsi="Arial" w:cs="Arial"/>
          <w:color w:val="000000"/>
          <w:kern w:val="0"/>
          <w:sz w:val="21"/>
          <w:szCs w:val="21"/>
        </w:rPr>
        <w:t>con maggiore capacità di spesa (</w:t>
      </w:r>
      <w:r>
        <w:rPr>
          <w:rFonts w:ascii="Arial" w:hAnsi="Arial" w:cs="Arial"/>
          <w:iCs/>
          <w:sz w:val="21"/>
          <w:szCs w:val="21"/>
        </w:rPr>
        <w:t>per l’energia rispettivamente il 14,6% le prime il 6,7% le seconde, per i Beni alimentari lavorati rispettivamente il 21,9% e l’11,5%, per i Beni alimentari non lavorati l’11,3% e il 4,9%).</w:t>
      </w:r>
    </w:p>
    <w:p w:rsidR="00CE4DD8" w:rsidRPr="00CE4DD8" w:rsidRDefault="00CE4DD8" w:rsidP="00CE4DD8">
      <w:pPr>
        <w:spacing w:before="0" w:after="120"/>
        <w:jc w:val="both"/>
        <w:rPr>
          <w:rFonts w:ascii="Arial" w:hAnsi="Arial" w:cs="Arial"/>
          <w:iCs/>
          <w:sz w:val="16"/>
          <w:szCs w:val="21"/>
        </w:rPr>
      </w:pPr>
    </w:p>
    <w:p w:rsidR="00CE4DD8" w:rsidRDefault="00CE4DD8" w:rsidP="0089229A">
      <w:pPr>
        <w:spacing w:before="0" w:after="0"/>
        <w:rPr>
          <w:rFonts w:ascii="Arial Narrow" w:hAnsi="Arial Narrow" w:cs="Arial"/>
          <w:color w:val="5F5F5F"/>
        </w:rPr>
      </w:pPr>
      <w:r w:rsidRPr="00AA0C22">
        <w:rPr>
          <w:rFonts w:ascii="Arial Narrow" w:hAnsi="Arial Narrow" w:cs="Arial"/>
          <w:b/>
          <w:color w:val="E42618"/>
          <w:sz w:val="22"/>
          <w:szCs w:val="22"/>
        </w:rPr>
        <w:t xml:space="preserve">FIGURA </w:t>
      </w:r>
      <w:r>
        <w:rPr>
          <w:rFonts w:ascii="Arial Narrow" w:hAnsi="Arial Narrow" w:cs="Arial"/>
          <w:b/>
          <w:color w:val="E42618"/>
          <w:sz w:val="22"/>
          <w:szCs w:val="22"/>
        </w:rPr>
        <w:t>9</w:t>
      </w:r>
      <w:r w:rsidRPr="00AA0C22">
        <w:rPr>
          <w:rFonts w:ascii="Arial Narrow" w:hAnsi="Arial Narrow" w:cs="Arial"/>
          <w:b/>
          <w:color w:val="E42618"/>
          <w:sz w:val="22"/>
          <w:szCs w:val="22"/>
        </w:rPr>
        <w:t>.</w:t>
      </w:r>
      <w:r w:rsidRPr="00AA0C22">
        <w:rPr>
          <w:rFonts w:ascii="Arial Narrow" w:hAnsi="Arial Narrow" w:cs="Arial"/>
          <w:b/>
          <w:color w:val="5F5F5F"/>
          <w:sz w:val="22"/>
          <w:szCs w:val="22"/>
        </w:rPr>
        <w:t xml:space="preserve"> </w:t>
      </w:r>
      <w:r w:rsidRPr="00AA0C22">
        <w:rPr>
          <w:rFonts w:ascii="Arial Narrow" w:hAnsi="Arial Narrow" w:cs="Calibri"/>
          <w:b/>
          <w:bCs/>
          <w:color w:val="5F5F5F"/>
          <w:sz w:val="22"/>
          <w:szCs w:val="22"/>
        </w:rPr>
        <w:t>INDICI DEI PREZZI AL CONSUMO IPCA PER CLASSI DI SPESA DELLE FAMIGLIE</w:t>
      </w:r>
      <w:r>
        <w:rPr>
          <w:rFonts w:ascii="Arial Narrow" w:hAnsi="Arial Narrow" w:cs="Calibri"/>
          <w:b/>
          <w:bCs/>
          <w:color w:val="5F5F5F"/>
          <w:sz w:val="22"/>
          <w:szCs w:val="22"/>
        </w:rPr>
        <w:t xml:space="preserve"> </w:t>
      </w:r>
      <w:r w:rsidRPr="008635FC">
        <w:rPr>
          <w:rFonts w:ascii="Arial Narrow" w:hAnsi="Arial Narrow" w:cs="Calibri"/>
          <w:b/>
          <w:bCs/>
          <w:color w:val="5F5F5F"/>
          <w:sz w:val="22"/>
          <w:szCs w:val="22"/>
        </w:rPr>
        <w:t>- BENI</w:t>
      </w:r>
      <w:r w:rsidRPr="00AA0C22">
        <w:rPr>
          <w:rFonts w:ascii="Arial Narrow" w:hAnsi="Arial Narrow" w:cs="Arial"/>
          <w:b/>
          <w:color w:val="5F5F5F"/>
          <w:sz w:val="22"/>
          <w:szCs w:val="22"/>
        </w:rPr>
        <w:br/>
      </w:r>
      <w:r w:rsidRPr="00544F28">
        <w:rPr>
          <w:rFonts w:ascii="Arial Narrow" w:hAnsi="Arial Narrow" w:cs="Arial"/>
          <w:color w:val="5F5F5F"/>
        </w:rPr>
        <w:t>Gennaio 201</w:t>
      </w:r>
      <w:r>
        <w:rPr>
          <w:rFonts w:ascii="Arial Narrow" w:hAnsi="Arial Narrow" w:cs="Arial"/>
          <w:color w:val="5F5F5F"/>
        </w:rPr>
        <w:t>7</w:t>
      </w:r>
      <w:r w:rsidRPr="00544F28">
        <w:rPr>
          <w:rFonts w:ascii="Arial Narrow" w:hAnsi="Arial Narrow" w:cs="Arial"/>
          <w:color w:val="5F5F5F"/>
        </w:rPr>
        <w:t xml:space="preserve"> - </w:t>
      </w:r>
      <w:r>
        <w:rPr>
          <w:rFonts w:ascii="Arial Narrow" w:hAnsi="Arial Narrow" w:cs="Arial"/>
          <w:color w:val="5F5F5F"/>
        </w:rPr>
        <w:t>settembre 2022</w:t>
      </w:r>
      <w:r w:rsidRPr="00544F28">
        <w:rPr>
          <w:rFonts w:ascii="Arial Narrow" w:hAnsi="Arial Narrow" w:cs="Arial"/>
          <w:color w:val="5F5F5F"/>
        </w:rPr>
        <w:t>, variazioni percentuali tendenziali (base 2015=100)</w:t>
      </w:r>
      <w:r>
        <w:rPr>
          <w:rFonts w:ascii="Arial Narrow" w:hAnsi="Arial Narrow" w:cs="Arial"/>
          <w:color w:val="5F5F5F"/>
        </w:rPr>
        <w:t xml:space="preserve"> </w:t>
      </w:r>
    </w:p>
    <w:p w:rsidR="00CE4DD8" w:rsidRDefault="00CE4DD8" w:rsidP="00CE4DD8">
      <w:pPr>
        <w:spacing w:after="120"/>
        <w:rPr>
          <w:rFonts w:ascii="Arial Narrow" w:hAnsi="Arial Narrow" w:cs="Arial"/>
          <w:color w:val="5F5F5F"/>
        </w:rPr>
      </w:pPr>
      <w:r w:rsidRPr="00E72542">
        <w:rPr>
          <w:rFonts w:ascii="Arial Narrow" w:hAnsi="Arial Narrow" w:cs="Arial"/>
          <w:noProof/>
          <w:color w:val="5F5F5F"/>
        </w:rPr>
        <w:drawing>
          <wp:inline distT="0" distB="0" distL="0" distR="0" wp14:anchorId="2699A75E" wp14:editId="6FB68C60">
            <wp:extent cx="6480175" cy="2124710"/>
            <wp:effectExtent l="0" t="0" r="0" b="88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80175" cy="2124710"/>
                    </a:xfrm>
                    <a:prstGeom prst="rect">
                      <a:avLst/>
                    </a:prstGeom>
                  </pic:spPr>
                </pic:pic>
              </a:graphicData>
            </a:graphic>
          </wp:inline>
        </w:drawing>
      </w:r>
    </w:p>
    <w:p w:rsidR="00CE4DD8" w:rsidRPr="0097639A" w:rsidRDefault="00CE4DD8" w:rsidP="00CE4DD8">
      <w:pPr>
        <w:spacing w:before="0" w:after="120"/>
        <w:jc w:val="both"/>
        <w:rPr>
          <w:rFonts w:ascii="Arial" w:hAnsi="Arial" w:cs="Arial"/>
          <w:color w:val="000000"/>
          <w:kern w:val="0"/>
          <w:sz w:val="21"/>
          <w:szCs w:val="21"/>
        </w:rPr>
      </w:pPr>
      <w:r w:rsidRPr="0097639A">
        <w:rPr>
          <w:rFonts w:ascii="Arial" w:hAnsi="Arial" w:cs="Arial"/>
          <w:color w:val="000000"/>
          <w:kern w:val="0"/>
          <w:sz w:val="21"/>
          <w:szCs w:val="21"/>
        </w:rPr>
        <w:t xml:space="preserve">Il settore dei servizi (Figura 10), nel </w:t>
      </w:r>
      <w:r>
        <w:rPr>
          <w:rFonts w:ascii="Arial" w:hAnsi="Arial" w:cs="Arial"/>
          <w:color w:val="000000"/>
          <w:kern w:val="0"/>
          <w:sz w:val="21"/>
          <w:szCs w:val="21"/>
        </w:rPr>
        <w:t>terzo</w:t>
      </w:r>
      <w:r w:rsidRPr="0097639A">
        <w:rPr>
          <w:rFonts w:ascii="Arial" w:hAnsi="Arial" w:cs="Arial"/>
          <w:color w:val="000000"/>
          <w:kern w:val="0"/>
          <w:sz w:val="21"/>
          <w:szCs w:val="21"/>
        </w:rPr>
        <w:t xml:space="preserve"> trimestre del 2022, registra un’accelerazione dei prezzi sia per le famiglie meno abbienti (da +</w:t>
      </w:r>
      <w:r>
        <w:rPr>
          <w:rFonts w:ascii="Arial" w:hAnsi="Arial" w:cs="Arial"/>
          <w:color w:val="000000"/>
          <w:kern w:val="0"/>
          <w:sz w:val="21"/>
          <w:szCs w:val="21"/>
        </w:rPr>
        <w:t>2</w:t>
      </w:r>
      <w:r w:rsidRPr="0097639A">
        <w:rPr>
          <w:rFonts w:ascii="Arial" w:hAnsi="Arial" w:cs="Arial"/>
          <w:color w:val="000000"/>
          <w:kern w:val="0"/>
          <w:sz w:val="21"/>
          <w:szCs w:val="21"/>
        </w:rPr>
        <w:t xml:space="preserve">,1% nel </w:t>
      </w:r>
      <w:r>
        <w:rPr>
          <w:rFonts w:ascii="Arial" w:hAnsi="Arial" w:cs="Arial"/>
          <w:color w:val="000000"/>
          <w:kern w:val="0"/>
          <w:sz w:val="21"/>
          <w:szCs w:val="21"/>
        </w:rPr>
        <w:t>secondo trimestre a +2,7</w:t>
      </w:r>
      <w:r w:rsidRPr="0097639A">
        <w:rPr>
          <w:rFonts w:ascii="Arial" w:hAnsi="Arial" w:cs="Arial"/>
          <w:color w:val="000000"/>
          <w:kern w:val="0"/>
          <w:sz w:val="21"/>
          <w:szCs w:val="21"/>
        </w:rPr>
        <w:t xml:space="preserve">%) </w:t>
      </w:r>
      <w:r>
        <w:rPr>
          <w:rFonts w:ascii="Arial" w:hAnsi="Arial" w:cs="Arial"/>
          <w:color w:val="000000"/>
          <w:kern w:val="0"/>
          <w:sz w:val="21"/>
          <w:szCs w:val="21"/>
        </w:rPr>
        <w:t>sia per quelle più agiate (da +3,4% a +4</w:t>
      </w:r>
      <w:r w:rsidRPr="0097639A">
        <w:rPr>
          <w:rFonts w:ascii="Arial" w:hAnsi="Arial" w:cs="Arial"/>
          <w:color w:val="000000"/>
          <w:kern w:val="0"/>
          <w:sz w:val="21"/>
          <w:szCs w:val="21"/>
        </w:rPr>
        <w:t>,</w:t>
      </w:r>
      <w:r>
        <w:rPr>
          <w:rFonts w:ascii="Arial" w:hAnsi="Arial" w:cs="Arial"/>
          <w:color w:val="000000"/>
          <w:kern w:val="0"/>
          <w:sz w:val="21"/>
          <w:szCs w:val="21"/>
        </w:rPr>
        <w:t>5</w:t>
      </w:r>
      <w:r w:rsidRPr="0097639A">
        <w:rPr>
          <w:rFonts w:ascii="Arial" w:hAnsi="Arial" w:cs="Arial"/>
          <w:color w:val="000000"/>
          <w:kern w:val="0"/>
          <w:sz w:val="21"/>
          <w:szCs w:val="21"/>
        </w:rPr>
        <w:t xml:space="preserve">%). </w:t>
      </w:r>
    </w:p>
    <w:p w:rsidR="00BC6184" w:rsidRDefault="00BC6184" w:rsidP="00BC6184">
      <w:pPr>
        <w:spacing w:before="0" w:after="120"/>
        <w:jc w:val="both"/>
        <w:rPr>
          <w:rFonts w:ascii="Arial" w:hAnsi="Arial" w:cs="Arial"/>
          <w:color w:val="000000"/>
          <w:kern w:val="0"/>
          <w:sz w:val="21"/>
          <w:szCs w:val="21"/>
        </w:rPr>
      </w:pPr>
      <w:r>
        <w:rPr>
          <w:rFonts w:ascii="Arial" w:hAnsi="Arial" w:cs="Arial"/>
          <w:color w:val="000000"/>
          <w:kern w:val="0"/>
          <w:sz w:val="21"/>
          <w:szCs w:val="21"/>
        </w:rPr>
        <w:t xml:space="preserve">Questa dinamica è </w:t>
      </w:r>
      <w:r w:rsidRPr="00DA78A0">
        <w:rPr>
          <w:rFonts w:ascii="Arial" w:hAnsi="Arial" w:cs="Arial"/>
          <w:color w:val="000000"/>
          <w:kern w:val="0"/>
          <w:sz w:val="21"/>
          <w:szCs w:val="21"/>
        </w:rPr>
        <w:t>in larga parte il risultato dell’andamento dei prezzi dei Servizi ricreativi, culturali e per la cura della persona e de</w:t>
      </w:r>
      <w:r>
        <w:rPr>
          <w:rFonts w:ascii="Arial" w:hAnsi="Arial" w:cs="Arial"/>
          <w:color w:val="000000"/>
          <w:kern w:val="0"/>
          <w:sz w:val="21"/>
          <w:szCs w:val="21"/>
        </w:rPr>
        <w:t>i Servizi relativi ai trasporti e del diverso peso che ha la spesa per questi aggregati nei bilanci delle famiglie dei due gruppi.</w:t>
      </w:r>
      <w:r w:rsidRPr="00DA78A0">
        <w:rPr>
          <w:rFonts w:ascii="Arial" w:hAnsi="Arial" w:cs="Arial"/>
          <w:color w:val="000000"/>
          <w:kern w:val="0"/>
          <w:sz w:val="21"/>
          <w:szCs w:val="21"/>
        </w:rPr>
        <w:t xml:space="preserve"> In particolare,</w:t>
      </w:r>
      <w:r>
        <w:rPr>
          <w:rFonts w:ascii="Arial" w:hAnsi="Arial" w:cs="Arial"/>
          <w:color w:val="000000"/>
          <w:kern w:val="0"/>
          <w:sz w:val="21"/>
          <w:szCs w:val="21"/>
        </w:rPr>
        <w:t xml:space="preserve"> la crescita</w:t>
      </w:r>
      <w:r w:rsidRPr="00DA78A0">
        <w:rPr>
          <w:rFonts w:ascii="Arial" w:hAnsi="Arial" w:cs="Arial"/>
          <w:color w:val="000000"/>
          <w:kern w:val="0"/>
          <w:sz w:val="21"/>
          <w:szCs w:val="21"/>
        </w:rPr>
        <w:t xml:space="preserve"> </w:t>
      </w:r>
      <w:r>
        <w:rPr>
          <w:rFonts w:ascii="Arial" w:hAnsi="Arial" w:cs="Arial"/>
          <w:color w:val="000000"/>
          <w:kern w:val="0"/>
          <w:sz w:val="21"/>
          <w:szCs w:val="21"/>
        </w:rPr>
        <w:t>de</w:t>
      </w:r>
      <w:r w:rsidRPr="00DA78A0">
        <w:rPr>
          <w:rFonts w:ascii="Arial" w:hAnsi="Arial" w:cs="Arial"/>
          <w:color w:val="000000"/>
          <w:kern w:val="0"/>
          <w:sz w:val="21"/>
          <w:szCs w:val="21"/>
        </w:rPr>
        <w:t xml:space="preserve">i prezzi dei Servizi ricreativi, culturali e per la cura della persona – le cui spese incidono sul bilancio delle famiglie </w:t>
      </w:r>
      <w:r>
        <w:rPr>
          <w:rFonts w:ascii="Arial" w:hAnsi="Arial" w:cs="Arial"/>
          <w:color w:val="000000"/>
          <w:kern w:val="0"/>
          <w:sz w:val="21"/>
          <w:szCs w:val="21"/>
        </w:rPr>
        <w:t xml:space="preserve">meno abbienti </w:t>
      </w:r>
      <w:r w:rsidRPr="00DA78A0">
        <w:rPr>
          <w:rFonts w:ascii="Arial" w:hAnsi="Arial" w:cs="Arial"/>
          <w:color w:val="000000"/>
          <w:kern w:val="0"/>
          <w:sz w:val="21"/>
          <w:szCs w:val="21"/>
        </w:rPr>
        <w:t>in misura molto più contenuta (</w:t>
      </w:r>
      <w:r>
        <w:rPr>
          <w:rFonts w:ascii="Arial" w:hAnsi="Arial" w:cs="Arial"/>
          <w:color w:val="000000"/>
          <w:kern w:val="0"/>
          <w:sz w:val="21"/>
          <w:szCs w:val="21"/>
        </w:rPr>
        <w:t>5,7</w:t>
      </w:r>
      <w:r w:rsidRPr="00DA78A0">
        <w:rPr>
          <w:rFonts w:ascii="Arial" w:hAnsi="Arial" w:cs="Arial"/>
          <w:color w:val="000000"/>
          <w:kern w:val="0"/>
          <w:sz w:val="21"/>
          <w:szCs w:val="21"/>
        </w:rPr>
        <w:t>%) rispetto a quelle del</w:t>
      </w:r>
      <w:r>
        <w:rPr>
          <w:rFonts w:ascii="Arial" w:hAnsi="Arial" w:cs="Arial"/>
          <w:color w:val="000000"/>
          <w:kern w:val="0"/>
          <w:sz w:val="21"/>
          <w:szCs w:val="21"/>
        </w:rPr>
        <w:t>le famiglie più agiate</w:t>
      </w:r>
      <w:r w:rsidRPr="00DA78A0">
        <w:rPr>
          <w:rFonts w:ascii="Arial" w:hAnsi="Arial" w:cs="Arial"/>
          <w:color w:val="000000"/>
          <w:kern w:val="0"/>
          <w:sz w:val="21"/>
          <w:szCs w:val="21"/>
        </w:rPr>
        <w:t xml:space="preserve"> (</w:t>
      </w:r>
      <w:r>
        <w:rPr>
          <w:rFonts w:ascii="Arial" w:hAnsi="Arial" w:cs="Arial"/>
          <w:color w:val="000000"/>
          <w:kern w:val="0"/>
          <w:sz w:val="21"/>
          <w:szCs w:val="21"/>
        </w:rPr>
        <w:t xml:space="preserve">16,2%) – </w:t>
      </w:r>
      <w:r w:rsidRPr="003910FA">
        <w:rPr>
          <w:rFonts w:ascii="Arial" w:hAnsi="Arial" w:cs="Arial"/>
          <w:color w:val="000000"/>
          <w:kern w:val="0"/>
          <w:sz w:val="21"/>
          <w:szCs w:val="21"/>
        </w:rPr>
        <w:t xml:space="preserve">nel </w:t>
      </w:r>
      <w:r>
        <w:rPr>
          <w:rFonts w:ascii="Arial" w:hAnsi="Arial" w:cs="Arial"/>
          <w:color w:val="000000"/>
          <w:kern w:val="0"/>
          <w:sz w:val="21"/>
          <w:szCs w:val="21"/>
        </w:rPr>
        <w:t>terzo</w:t>
      </w:r>
      <w:r w:rsidRPr="003910FA">
        <w:rPr>
          <w:rFonts w:ascii="Arial" w:hAnsi="Arial" w:cs="Arial"/>
          <w:color w:val="000000"/>
          <w:kern w:val="0"/>
          <w:sz w:val="21"/>
          <w:szCs w:val="21"/>
        </w:rPr>
        <w:t xml:space="preserve"> trimestre </w:t>
      </w:r>
      <w:r>
        <w:rPr>
          <w:rFonts w:ascii="Arial" w:hAnsi="Arial" w:cs="Arial"/>
          <w:color w:val="000000"/>
          <w:kern w:val="0"/>
          <w:sz w:val="21"/>
          <w:szCs w:val="21"/>
        </w:rPr>
        <w:t xml:space="preserve">2022 </w:t>
      </w:r>
      <w:r w:rsidRPr="003910FA">
        <w:rPr>
          <w:rFonts w:ascii="Arial" w:hAnsi="Arial" w:cs="Arial"/>
          <w:color w:val="000000"/>
          <w:kern w:val="0"/>
          <w:sz w:val="21"/>
          <w:szCs w:val="21"/>
        </w:rPr>
        <w:t>accelera per entrambi i gruppi di famiglie</w:t>
      </w:r>
      <w:r>
        <w:rPr>
          <w:rFonts w:ascii="Arial" w:hAnsi="Arial" w:cs="Arial"/>
          <w:color w:val="000000"/>
          <w:kern w:val="0"/>
          <w:sz w:val="21"/>
          <w:szCs w:val="21"/>
        </w:rPr>
        <w:t>,</w:t>
      </w:r>
      <w:r w:rsidRPr="003910FA">
        <w:rPr>
          <w:rFonts w:ascii="Arial" w:hAnsi="Arial" w:cs="Arial"/>
          <w:color w:val="000000"/>
          <w:kern w:val="0"/>
          <w:sz w:val="21"/>
          <w:szCs w:val="21"/>
        </w:rPr>
        <w:t xml:space="preserve"> </w:t>
      </w:r>
      <w:r>
        <w:rPr>
          <w:rFonts w:ascii="Arial" w:hAnsi="Arial" w:cs="Arial"/>
          <w:color w:val="000000"/>
          <w:kern w:val="0"/>
          <w:sz w:val="21"/>
          <w:szCs w:val="21"/>
        </w:rPr>
        <w:t xml:space="preserve">portandosi a +4,8% (da +4,1% del secondo) </w:t>
      </w:r>
      <w:r w:rsidRPr="003910FA">
        <w:rPr>
          <w:rFonts w:ascii="Arial" w:hAnsi="Arial" w:cs="Arial"/>
          <w:color w:val="000000"/>
          <w:kern w:val="0"/>
          <w:sz w:val="21"/>
          <w:szCs w:val="21"/>
        </w:rPr>
        <w:t xml:space="preserve">per le famiglie meno abbienti </w:t>
      </w:r>
      <w:r>
        <w:rPr>
          <w:rFonts w:ascii="Arial" w:hAnsi="Arial" w:cs="Arial"/>
          <w:color w:val="000000"/>
          <w:kern w:val="0"/>
          <w:sz w:val="21"/>
          <w:szCs w:val="21"/>
        </w:rPr>
        <w:t>e a +5,8% (da +4,4%) per quelle più agiate</w:t>
      </w:r>
      <w:r w:rsidRPr="007F110B">
        <w:rPr>
          <w:rFonts w:ascii="Arial" w:hAnsi="Arial" w:cs="Arial"/>
          <w:color w:val="000000"/>
          <w:kern w:val="0"/>
          <w:sz w:val="21"/>
          <w:szCs w:val="21"/>
        </w:rPr>
        <w:t xml:space="preserve">. </w:t>
      </w:r>
      <w:r>
        <w:rPr>
          <w:rFonts w:ascii="Arial" w:hAnsi="Arial" w:cs="Arial"/>
          <w:color w:val="000000"/>
          <w:kern w:val="0"/>
          <w:sz w:val="21"/>
          <w:szCs w:val="21"/>
        </w:rPr>
        <w:t xml:space="preserve">Anche i prezzi dei </w:t>
      </w:r>
      <w:r w:rsidRPr="007F110B">
        <w:rPr>
          <w:rFonts w:ascii="Arial" w:hAnsi="Arial" w:cs="Arial"/>
          <w:color w:val="000000"/>
          <w:kern w:val="0"/>
          <w:sz w:val="21"/>
          <w:szCs w:val="21"/>
        </w:rPr>
        <w:t xml:space="preserve">Servizi relativi ai trasporti, che gravano per il 4,7% sul bilancio del primo gruppo di famiglie e per il 7,6% </w:t>
      </w:r>
      <w:r>
        <w:rPr>
          <w:rFonts w:ascii="Arial" w:hAnsi="Arial" w:cs="Arial"/>
          <w:color w:val="000000"/>
          <w:kern w:val="0"/>
          <w:sz w:val="21"/>
          <w:szCs w:val="21"/>
        </w:rPr>
        <w:t>sul quinto</w:t>
      </w:r>
      <w:r w:rsidRPr="007F110B">
        <w:rPr>
          <w:rFonts w:ascii="Arial" w:hAnsi="Arial" w:cs="Arial"/>
          <w:color w:val="000000"/>
          <w:kern w:val="0"/>
          <w:sz w:val="21"/>
          <w:szCs w:val="21"/>
        </w:rPr>
        <w:t xml:space="preserve"> gruppo, </w:t>
      </w:r>
      <w:r w:rsidRPr="005561DE">
        <w:rPr>
          <w:rFonts w:ascii="Arial" w:hAnsi="Arial" w:cs="Arial"/>
          <w:color w:val="000000"/>
          <w:kern w:val="0"/>
          <w:sz w:val="21"/>
          <w:szCs w:val="21"/>
        </w:rPr>
        <w:t>registra</w:t>
      </w:r>
      <w:r>
        <w:rPr>
          <w:rFonts w:ascii="Arial" w:hAnsi="Arial" w:cs="Arial"/>
          <w:color w:val="000000"/>
          <w:kern w:val="0"/>
          <w:sz w:val="21"/>
          <w:szCs w:val="21"/>
        </w:rPr>
        <w:t>no</w:t>
      </w:r>
      <w:r w:rsidRPr="005561DE">
        <w:rPr>
          <w:rFonts w:ascii="Arial" w:hAnsi="Arial" w:cs="Arial"/>
          <w:color w:val="000000"/>
          <w:kern w:val="0"/>
          <w:sz w:val="21"/>
          <w:szCs w:val="21"/>
        </w:rPr>
        <w:t xml:space="preserve"> un</w:t>
      </w:r>
      <w:r>
        <w:rPr>
          <w:rFonts w:ascii="Arial" w:hAnsi="Arial" w:cs="Arial"/>
          <w:color w:val="000000"/>
          <w:kern w:val="0"/>
          <w:sz w:val="21"/>
          <w:szCs w:val="21"/>
        </w:rPr>
        <w:t xml:space="preserve">’accelerazione della crescita </w:t>
      </w:r>
      <w:r w:rsidRPr="005561DE">
        <w:rPr>
          <w:rFonts w:ascii="Arial" w:hAnsi="Arial" w:cs="Arial"/>
          <w:color w:val="000000"/>
          <w:kern w:val="0"/>
          <w:sz w:val="21"/>
          <w:szCs w:val="21"/>
        </w:rPr>
        <w:t>per entrambi i gruppi di famiglie</w:t>
      </w:r>
      <w:r>
        <w:rPr>
          <w:rFonts w:ascii="Arial" w:hAnsi="Arial" w:cs="Arial"/>
          <w:color w:val="000000"/>
          <w:kern w:val="0"/>
          <w:sz w:val="21"/>
          <w:szCs w:val="21"/>
        </w:rPr>
        <w:t xml:space="preserve"> (rispettivamente da +5,3% a </w:t>
      </w:r>
      <w:r w:rsidRPr="005561DE">
        <w:rPr>
          <w:rFonts w:ascii="Arial" w:hAnsi="Arial" w:cs="Arial"/>
          <w:color w:val="000000"/>
          <w:kern w:val="0"/>
          <w:sz w:val="21"/>
          <w:szCs w:val="21"/>
        </w:rPr>
        <w:t>+</w:t>
      </w:r>
      <w:r>
        <w:rPr>
          <w:rFonts w:ascii="Arial" w:hAnsi="Arial" w:cs="Arial"/>
          <w:color w:val="000000"/>
          <w:kern w:val="0"/>
          <w:sz w:val="21"/>
          <w:szCs w:val="21"/>
        </w:rPr>
        <w:t>6,7</w:t>
      </w:r>
      <w:r w:rsidRPr="00544F28">
        <w:rPr>
          <w:rFonts w:ascii="Arial" w:hAnsi="Arial" w:cs="Arial"/>
          <w:color w:val="000000"/>
          <w:kern w:val="0"/>
          <w:sz w:val="21"/>
          <w:szCs w:val="21"/>
        </w:rPr>
        <w:t>%</w:t>
      </w:r>
      <w:r>
        <w:rPr>
          <w:rFonts w:ascii="Arial" w:hAnsi="Arial" w:cs="Arial"/>
          <w:color w:val="000000"/>
          <w:kern w:val="0"/>
          <w:sz w:val="21"/>
          <w:szCs w:val="21"/>
        </w:rPr>
        <w:t xml:space="preserve"> per il primo e da +6,5% a </w:t>
      </w:r>
      <w:r w:rsidRPr="00544F28">
        <w:rPr>
          <w:rFonts w:ascii="Arial" w:hAnsi="Arial" w:cs="Arial"/>
          <w:color w:val="000000"/>
          <w:kern w:val="0"/>
          <w:sz w:val="21"/>
          <w:szCs w:val="21"/>
        </w:rPr>
        <w:t>+</w:t>
      </w:r>
      <w:r>
        <w:rPr>
          <w:rFonts w:ascii="Arial" w:hAnsi="Arial" w:cs="Arial"/>
          <w:color w:val="000000"/>
          <w:kern w:val="0"/>
          <w:sz w:val="21"/>
          <w:szCs w:val="21"/>
        </w:rPr>
        <w:t>9,1</w:t>
      </w:r>
      <w:r w:rsidRPr="00544F28">
        <w:rPr>
          <w:rFonts w:ascii="Arial" w:hAnsi="Arial" w:cs="Arial"/>
          <w:color w:val="000000"/>
          <w:kern w:val="0"/>
          <w:sz w:val="21"/>
          <w:szCs w:val="21"/>
        </w:rPr>
        <w:t>%</w:t>
      </w:r>
      <w:r>
        <w:rPr>
          <w:rFonts w:ascii="Arial" w:hAnsi="Arial" w:cs="Arial"/>
          <w:color w:val="000000"/>
          <w:kern w:val="0"/>
          <w:sz w:val="21"/>
          <w:szCs w:val="21"/>
        </w:rPr>
        <w:t xml:space="preserve"> per il quinto</w:t>
      </w:r>
      <w:r w:rsidRPr="00544F28">
        <w:rPr>
          <w:rFonts w:ascii="Arial" w:hAnsi="Arial" w:cs="Arial"/>
          <w:color w:val="000000"/>
          <w:kern w:val="0"/>
          <w:sz w:val="21"/>
          <w:szCs w:val="21"/>
        </w:rPr>
        <w:t>).</w:t>
      </w:r>
      <w:r w:rsidRPr="00DA78A0">
        <w:rPr>
          <w:rFonts w:ascii="Arial" w:hAnsi="Arial" w:cs="Arial"/>
          <w:color w:val="000000"/>
          <w:kern w:val="0"/>
          <w:sz w:val="21"/>
          <w:szCs w:val="21"/>
        </w:rPr>
        <w:t xml:space="preserve"> </w:t>
      </w:r>
    </w:p>
    <w:p w:rsidR="00CE4DD8" w:rsidRDefault="00CE4DD8" w:rsidP="0089229A">
      <w:pPr>
        <w:spacing w:after="0"/>
        <w:rPr>
          <w:rFonts w:ascii="Arial Narrow" w:hAnsi="Arial Narrow" w:cs="Arial"/>
          <w:color w:val="5F5F5F"/>
        </w:rPr>
      </w:pPr>
      <w:r w:rsidRPr="00AA0C22">
        <w:rPr>
          <w:rFonts w:ascii="Arial Narrow" w:hAnsi="Arial Narrow" w:cs="Arial"/>
          <w:b/>
          <w:color w:val="E42618"/>
          <w:sz w:val="22"/>
          <w:szCs w:val="22"/>
        </w:rPr>
        <w:t xml:space="preserve">FIGURA </w:t>
      </w:r>
      <w:r>
        <w:rPr>
          <w:rFonts w:ascii="Arial Narrow" w:hAnsi="Arial Narrow" w:cs="Arial"/>
          <w:b/>
          <w:color w:val="E42618"/>
          <w:sz w:val="22"/>
          <w:szCs w:val="22"/>
        </w:rPr>
        <w:t>10</w:t>
      </w:r>
      <w:r w:rsidRPr="00AA0C22">
        <w:rPr>
          <w:rFonts w:ascii="Arial Narrow" w:hAnsi="Arial Narrow" w:cs="Arial"/>
          <w:b/>
          <w:color w:val="E42618"/>
          <w:sz w:val="22"/>
          <w:szCs w:val="22"/>
        </w:rPr>
        <w:t>.</w:t>
      </w:r>
      <w:r w:rsidRPr="00AA0C22">
        <w:rPr>
          <w:rFonts w:ascii="Arial Narrow" w:hAnsi="Arial Narrow" w:cs="Arial"/>
          <w:b/>
          <w:color w:val="5F5F5F"/>
          <w:sz w:val="22"/>
          <w:szCs w:val="22"/>
        </w:rPr>
        <w:t xml:space="preserve"> </w:t>
      </w:r>
      <w:r w:rsidRPr="00AA0C22">
        <w:rPr>
          <w:rFonts w:ascii="Arial Narrow" w:hAnsi="Arial Narrow" w:cs="Calibri"/>
          <w:b/>
          <w:bCs/>
          <w:color w:val="5F5F5F"/>
          <w:sz w:val="22"/>
          <w:szCs w:val="22"/>
        </w:rPr>
        <w:t>INDICI DEI PREZZI AL CONSUMO IPCA PER CLASSI DI SPESA DELLE FAMIGLIE</w:t>
      </w:r>
      <w:r>
        <w:rPr>
          <w:rFonts w:ascii="Arial Narrow" w:hAnsi="Arial Narrow" w:cs="Calibri"/>
          <w:b/>
          <w:bCs/>
          <w:color w:val="5F5F5F"/>
          <w:sz w:val="22"/>
          <w:szCs w:val="22"/>
        </w:rPr>
        <w:t xml:space="preserve"> </w:t>
      </w:r>
      <w:r w:rsidRPr="008635FC">
        <w:rPr>
          <w:rFonts w:ascii="Arial Narrow" w:hAnsi="Arial Narrow" w:cs="Calibri"/>
          <w:b/>
          <w:bCs/>
          <w:color w:val="5F5F5F"/>
          <w:sz w:val="22"/>
          <w:szCs w:val="22"/>
        </w:rPr>
        <w:t xml:space="preserve">- </w:t>
      </w:r>
      <w:r w:rsidRPr="008F386B">
        <w:rPr>
          <w:rFonts w:ascii="Arial Narrow" w:hAnsi="Arial Narrow" w:cs="Calibri"/>
          <w:b/>
          <w:bCs/>
          <w:color w:val="5F5F5F"/>
          <w:sz w:val="22"/>
          <w:szCs w:val="22"/>
        </w:rPr>
        <w:t>SERVIZI</w:t>
      </w:r>
      <w:r w:rsidRPr="002627D2">
        <w:rPr>
          <w:rFonts w:ascii="Arial Narrow" w:hAnsi="Arial Narrow" w:cs="Calibri"/>
          <w:b/>
          <w:bCs/>
          <w:color w:val="5F5F5F"/>
          <w:sz w:val="22"/>
          <w:szCs w:val="22"/>
        </w:rPr>
        <w:br/>
      </w:r>
      <w:r w:rsidRPr="00AA0C22">
        <w:rPr>
          <w:rFonts w:ascii="Arial Narrow" w:hAnsi="Arial Narrow" w:cs="Arial"/>
          <w:color w:val="5F5F5F"/>
        </w:rPr>
        <w:t>Gennaio 201</w:t>
      </w:r>
      <w:r>
        <w:rPr>
          <w:rFonts w:ascii="Arial Narrow" w:hAnsi="Arial Narrow" w:cs="Arial"/>
          <w:color w:val="5F5F5F"/>
        </w:rPr>
        <w:t>7 - settembre 2022</w:t>
      </w:r>
      <w:r w:rsidRPr="00AA0C22">
        <w:rPr>
          <w:rFonts w:ascii="Arial Narrow" w:hAnsi="Arial Narrow" w:cs="Arial"/>
          <w:color w:val="5F5F5F"/>
        </w:rPr>
        <w:t>, variazioni percentuali tendenziali (base 2015=100</w:t>
      </w:r>
      <w:r>
        <w:rPr>
          <w:rFonts w:ascii="Arial Narrow" w:hAnsi="Arial Narrow" w:cs="Arial"/>
          <w:color w:val="5F5F5F"/>
        </w:rPr>
        <w:t>)</w:t>
      </w:r>
    </w:p>
    <w:p w:rsidR="00CE4DD8" w:rsidRDefault="00CE4DD8" w:rsidP="00CE4DD8">
      <w:pPr>
        <w:spacing w:after="120"/>
        <w:rPr>
          <w:rFonts w:ascii="Arial Narrow" w:hAnsi="Arial Narrow" w:cs="Arial"/>
          <w:color w:val="5F5F5F"/>
        </w:rPr>
      </w:pPr>
      <w:r w:rsidRPr="00E72542">
        <w:rPr>
          <w:rFonts w:ascii="Arial Narrow" w:hAnsi="Arial Narrow" w:cs="Arial"/>
          <w:noProof/>
          <w:color w:val="5F5F5F"/>
        </w:rPr>
        <w:drawing>
          <wp:inline distT="0" distB="0" distL="0" distR="0" wp14:anchorId="493426CD" wp14:editId="70C15DE9">
            <wp:extent cx="6480175" cy="2165985"/>
            <wp:effectExtent l="0" t="0" r="0" b="571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0175" cy="2165985"/>
                    </a:xfrm>
                    <a:prstGeom prst="rect">
                      <a:avLst/>
                    </a:prstGeom>
                  </pic:spPr>
                </pic:pic>
              </a:graphicData>
            </a:graphic>
          </wp:inline>
        </w:drawing>
      </w:r>
    </w:p>
    <w:p w:rsidR="00CE4DD8" w:rsidRPr="002A640F" w:rsidRDefault="00CE4DD8" w:rsidP="00CE4DD8">
      <w:pPr>
        <w:spacing w:after="120"/>
        <w:rPr>
          <w:rFonts w:ascii="Arial" w:hAnsi="Arial" w:cs="Arial"/>
          <w:color w:val="000000"/>
          <w:kern w:val="0"/>
          <w:sz w:val="21"/>
          <w:szCs w:val="21"/>
        </w:rPr>
      </w:pPr>
    </w:p>
    <w:p w:rsidR="00CE4DD8" w:rsidRDefault="00CE4DD8" w:rsidP="00CE4DD8">
      <w:pPr>
        <w:spacing w:before="0" w:after="120"/>
        <w:jc w:val="both"/>
        <w:rPr>
          <w:rFonts w:ascii="Arial" w:hAnsi="Arial" w:cs="Arial"/>
          <w:color w:val="000000"/>
          <w:kern w:val="0"/>
          <w:sz w:val="21"/>
          <w:szCs w:val="21"/>
        </w:rPr>
      </w:pPr>
      <w:r w:rsidRPr="006A4F4A">
        <w:rPr>
          <w:rFonts w:ascii="Arial" w:hAnsi="Arial" w:cs="Arial"/>
          <w:color w:val="000000"/>
          <w:kern w:val="0"/>
          <w:sz w:val="21"/>
          <w:szCs w:val="21"/>
        </w:rPr>
        <w:t xml:space="preserve">Pertanto, con riferimento al </w:t>
      </w:r>
      <w:r>
        <w:rPr>
          <w:rFonts w:ascii="Arial" w:hAnsi="Arial" w:cs="Arial"/>
          <w:color w:val="000000"/>
          <w:kern w:val="0"/>
          <w:sz w:val="21"/>
          <w:szCs w:val="21"/>
        </w:rPr>
        <w:t>terzo</w:t>
      </w:r>
      <w:r w:rsidRPr="006A4F4A">
        <w:rPr>
          <w:rFonts w:ascii="Arial" w:hAnsi="Arial" w:cs="Arial"/>
          <w:color w:val="000000"/>
          <w:kern w:val="0"/>
          <w:sz w:val="21"/>
          <w:szCs w:val="21"/>
        </w:rPr>
        <w:t xml:space="preserve"> trimestre 2022 (Figura 11), il contributo dei prezzi dei beni alla variazione dell’indice generale dei prezzi al consumo, sebbene </w:t>
      </w:r>
      <w:r>
        <w:rPr>
          <w:rFonts w:ascii="Arial" w:hAnsi="Arial" w:cs="Arial"/>
          <w:color w:val="000000"/>
          <w:kern w:val="0"/>
          <w:sz w:val="21"/>
          <w:szCs w:val="21"/>
        </w:rPr>
        <w:t>con</w:t>
      </w:r>
      <w:r w:rsidRPr="006A4F4A">
        <w:rPr>
          <w:rFonts w:ascii="Arial" w:hAnsi="Arial" w:cs="Arial"/>
          <w:color w:val="000000"/>
          <w:kern w:val="0"/>
          <w:sz w:val="21"/>
          <w:szCs w:val="21"/>
        </w:rPr>
        <w:t xml:space="preserve"> ampiezza diversa, risulta molto elevato e positivo per entrambi i gruppi di famiglie considerati. In particolare è pari a </w:t>
      </w:r>
      <w:r>
        <w:rPr>
          <w:rFonts w:ascii="Arial" w:hAnsi="Arial" w:cs="Arial"/>
          <w:color w:val="000000"/>
          <w:kern w:val="0"/>
          <w:sz w:val="21"/>
          <w:szCs w:val="21"/>
        </w:rPr>
        <w:t>10</w:t>
      </w:r>
      <w:r w:rsidRPr="006A4F4A">
        <w:rPr>
          <w:rFonts w:ascii="Arial" w:hAnsi="Arial" w:cs="Arial"/>
          <w:color w:val="000000"/>
          <w:kern w:val="0"/>
          <w:sz w:val="21"/>
          <w:szCs w:val="21"/>
        </w:rPr>
        <w:t>,</w:t>
      </w:r>
      <w:r>
        <w:rPr>
          <w:rFonts w:ascii="Arial" w:hAnsi="Arial" w:cs="Arial"/>
          <w:color w:val="000000"/>
          <w:kern w:val="0"/>
          <w:sz w:val="21"/>
          <w:szCs w:val="21"/>
        </w:rPr>
        <w:t>728</w:t>
      </w:r>
      <w:r w:rsidRPr="006A4F4A">
        <w:rPr>
          <w:rFonts w:ascii="Arial" w:hAnsi="Arial" w:cs="Arial"/>
          <w:color w:val="000000"/>
          <w:kern w:val="0"/>
          <w:sz w:val="21"/>
          <w:szCs w:val="21"/>
        </w:rPr>
        <w:t xml:space="preserve"> punti percentuali (cui l’Energia contribuisce per </w:t>
      </w:r>
      <w:r>
        <w:rPr>
          <w:rFonts w:ascii="Arial" w:hAnsi="Arial" w:cs="Arial"/>
          <w:color w:val="000000"/>
          <w:kern w:val="0"/>
          <w:sz w:val="21"/>
          <w:szCs w:val="21"/>
        </w:rPr>
        <w:t>7</w:t>
      </w:r>
      <w:r w:rsidRPr="006A4F4A">
        <w:rPr>
          <w:rFonts w:ascii="Arial" w:hAnsi="Arial" w:cs="Arial"/>
          <w:color w:val="000000"/>
          <w:kern w:val="0"/>
          <w:sz w:val="21"/>
          <w:szCs w:val="21"/>
        </w:rPr>
        <w:t>,</w:t>
      </w:r>
      <w:r>
        <w:rPr>
          <w:rFonts w:ascii="Arial" w:hAnsi="Arial" w:cs="Arial"/>
          <w:color w:val="000000"/>
          <w:kern w:val="0"/>
          <w:sz w:val="21"/>
          <w:szCs w:val="21"/>
        </w:rPr>
        <w:t xml:space="preserve">041 </w:t>
      </w:r>
      <w:r w:rsidRPr="006A4F4A">
        <w:rPr>
          <w:rFonts w:ascii="Arial" w:hAnsi="Arial" w:cs="Arial"/>
          <w:color w:val="000000"/>
          <w:kern w:val="0"/>
          <w:sz w:val="21"/>
          <w:szCs w:val="21"/>
        </w:rPr>
        <w:t xml:space="preserve">punti percentuali) per quelle con minore capacità di spesa e a </w:t>
      </w:r>
      <w:r>
        <w:rPr>
          <w:rFonts w:ascii="Arial" w:hAnsi="Arial" w:cs="Arial"/>
          <w:color w:val="000000"/>
          <w:kern w:val="0"/>
          <w:sz w:val="21"/>
          <w:szCs w:val="21"/>
        </w:rPr>
        <w:t>5</w:t>
      </w:r>
      <w:r w:rsidRPr="006A4F4A">
        <w:rPr>
          <w:rFonts w:ascii="Arial" w:hAnsi="Arial" w:cs="Arial"/>
          <w:color w:val="000000"/>
          <w:kern w:val="0"/>
          <w:sz w:val="21"/>
          <w:szCs w:val="21"/>
        </w:rPr>
        <w:t>,6</w:t>
      </w:r>
      <w:r>
        <w:rPr>
          <w:rFonts w:ascii="Arial" w:hAnsi="Arial" w:cs="Arial"/>
          <w:color w:val="000000"/>
          <w:kern w:val="0"/>
          <w:sz w:val="21"/>
          <w:szCs w:val="21"/>
        </w:rPr>
        <w:t>46</w:t>
      </w:r>
      <w:r w:rsidRPr="006A4F4A">
        <w:rPr>
          <w:rFonts w:ascii="Arial" w:hAnsi="Arial" w:cs="Arial"/>
          <w:color w:val="000000"/>
          <w:kern w:val="0"/>
          <w:sz w:val="21"/>
          <w:szCs w:val="21"/>
        </w:rPr>
        <w:t xml:space="preserve"> punti percentuali (cui l’Energia contribuisce per 2,</w:t>
      </w:r>
      <w:r>
        <w:rPr>
          <w:rFonts w:ascii="Arial" w:hAnsi="Arial" w:cs="Arial"/>
          <w:color w:val="000000"/>
          <w:kern w:val="0"/>
          <w:sz w:val="21"/>
          <w:szCs w:val="21"/>
        </w:rPr>
        <w:t>634</w:t>
      </w:r>
      <w:r w:rsidRPr="006A4F4A">
        <w:rPr>
          <w:rFonts w:ascii="Arial" w:hAnsi="Arial" w:cs="Arial"/>
          <w:color w:val="000000"/>
          <w:kern w:val="0"/>
          <w:sz w:val="21"/>
          <w:szCs w:val="21"/>
        </w:rPr>
        <w:t xml:space="preserve"> punti percentuali) per quelle con maggiori capacità di spesa. Anche il contributo dei </w:t>
      </w:r>
      <w:r w:rsidR="00BC6184">
        <w:rPr>
          <w:rFonts w:ascii="Arial" w:hAnsi="Arial" w:cs="Arial"/>
          <w:color w:val="000000"/>
          <w:kern w:val="0"/>
          <w:sz w:val="21"/>
          <w:szCs w:val="21"/>
        </w:rPr>
        <w:t xml:space="preserve">prezzi dei </w:t>
      </w:r>
      <w:r w:rsidRPr="006A4F4A">
        <w:rPr>
          <w:rFonts w:ascii="Arial" w:hAnsi="Arial" w:cs="Arial"/>
          <w:color w:val="000000"/>
          <w:kern w:val="0"/>
          <w:sz w:val="21"/>
          <w:szCs w:val="21"/>
        </w:rPr>
        <w:t>servizi è positivo per entrambi i gruppi di famiglie, anche se con valori molto più contenuti rispetto a quello dei beni, e ammonta a 0,</w:t>
      </w:r>
      <w:r>
        <w:rPr>
          <w:rFonts w:ascii="Arial" w:hAnsi="Arial" w:cs="Arial"/>
          <w:color w:val="000000"/>
          <w:kern w:val="0"/>
          <w:sz w:val="21"/>
          <w:szCs w:val="21"/>
        </w:rPr>
        <w:t>949</w:t>
      </w:r>
      <w:r w:rsidRPr="006A4F4A">
        <w:rPr>
          <w:rFonts w:ascii="Arial" w:hAnsi="Arial" w:cs="Arial"/>
          <w:color w:val="000000"/>
          <w:kern w:val="0"/>
          <w:sz w:val="21"/>
          <w:szCs w:val="21"/>
        </w:rPr>
        <w:t xml:space="preserve"> punti percentuali per le famiglie meno abbienti e a 1,</w:t>
      </w:r>
      <w:r>
        <w:rPr>
          <w:rFonts w:ascii="Arial" w:hAnsi="Arial" w:cs="Arial"/>
          <w:color w:val="000000"/>
          <w:kern w:val="0"/>
          <w:sz w:val="21"/>
          <w:szCs w:val="21"/>
        </w:rPr>
        <w:t>989</w:t>
      </w:r>
      <w:r w:rsidRPr="006A4F4A">
        <w:rPr>
          <w:rFonts w:ascii="Arial" w:hAnsi="Arial" w:cs="Arial"/>
          <w:color w:val="000000"/>
          <w:kern w:val="0"/>
          <w:sz w:val="21"/>
          <w:szCs w:val="21"/>
        </w:rPr>
        <w:t xml:space="preserve"> punti percentuali per quelle più agiate.</w:t>
      </w:r>
    </w:p>
    <w:p w:rsidR="00CE4DD8" w:rsidRDefault="00CE4DD8" w:rsidP="00CE4DD8">
      <w:pPr>
        <w:spacing w:after="120"/>
        <w:rPr>
          <w:rFonts w:ascii="Arial Narrow" w:hAnsi="Arial Narrow" w:cs="Arial"/>
          <w:b/>
          <w:color w:val="E42618"/>
          <w:sz w:val="22"/>
          <w:szCs w:val="22"/>
        </w:rPr>
      </w:pPr>
    </w:p>
    <w:p w:rsidR="00CE4DD8" w:rsidRDefault="00CE4DD8" w:rsidP="00CE4DD8">
      <w:pPr>
        <w:spacing w:after="120"/>
        <w:rPr>
          <w:rFonts w:ascii="Arial Narrow" w:hAnsi="Arial Narrow" w:cs="Arial"/>
          <w:color w:val="5F5F5F"/>
        </w:rPr>
      </w:pPr>
      <w:r w:rsidRPr="00E30258">
        <w:rPr>
          <w:rFonts w:ascii="Arial Narrow" w:hAnsi="Arial Narrow" w:cs="Arial"/>
          <w:b/>
          <w:color w:val="E42618"/>
          <w:sz w:val="22"/>
          <w:szCs w:val="22"/>
        </w:rPr>
        <w:t>FIGURA 11.</w:t>
      </w:r>
      <w:r w:rsidRPr="00E30258">
        <w:rPr>
          <w:rFonts w:ascii="Arial Narrow" w:hAnsi="Arial Narrow" w:cs="Arial"/>
          <w:b/>
          <w:color w:val="5F5F5F"/>
          <w:sz w:val="22"/>
          <w:szCs w:val="22"/>
        </w:rPr>
        <w:t xml:space="preserve"> </w:t>
      </w:r>
      <w:r w:rsidRPr="00E30258">
        <w:rPr>
          <w:rFonts w:ascii="Arial Narrow" w:hAnsi="Arial Narrow" w:cs="Calibri"/>
          <w:b/>
          <w:bCs/>
          <w:color w:val="5F5F5F"/>
          <w:sz w:val="22"/>
          <w:szCs w:val="22"/>
        </w:rPr>
        <w:t>INDICE DEI PREZZI AL CONSUMO IPCA, CONTRIBUTI ALLA VARIAZIONE PERCENTUALE TENDENZIALE DEGLI AGGREGATI SPECIALI DELLA 1</w:t>
      </w:r>
      <w:r w:rsidRPr="00E30258">
        <w:rPr>
          <w:rFonts w:ascii="Arial Narrow" w:hAnsi="Arial Narrow" w:cs="Calibri"/>
          <w:b/>
          <w:bCs/>
          <w:color w:val="5F5F5F"/>
          <w:sz w:val="22"/>
          <w:szCs w:val="22"/>
          <w:vertAlign w:val="superscript"/>
        </w:rPr>
        <w:t xml:space="preserve">a </w:t>
      </w:r>
      <w:r w:rsidRPr="00E30258">
        <w:rPr>
          <w:rFonts w:ascii="Arial Narrow" w:hAnsi="Arial Narrow" w:cs="Calibri"/>
          <w:b/>
          <w:bCs/>
          <w:color w:val="5F5F5F"/>
          <w:sz w:val="22"/>
          <w:szCs w:val="22"/>
        </w:rPr>
        <w:t xml:space="preserve">E DELLA 5 </w:t>
      </w:r>
      <w:r w:rsidRPr="00E30258">
        <w:rPr>
          <w:rFonts w:ascii="Arial Narrow" w:hAnsi="Arial Narrow" w:cs="Calibri"/>
          <w:b/>
          <w:bCs/>
          <w:color w:val="5F5F5F"/>
          <w:sz w:val="22"/>
          <w:szCs w:val="22"/>
          <w:vertAlign w:val="superscript"/>
        </w:rPr>
        <w:t>a</w:t>
      </w:r>
      <w:r w:rsidRPr="00E30258">
        <w:rPr>
          <w:rFonts w:ascii="Arial Narrow" w:hAnsi="Arial Narrow" w:cs="Calibri"/>
          <w:b/>
          <w:bCs/>
          <w:color w:val="5F5F5F"/>
          <w:sz w:val="22"/>
          <w:szCs w:val="22"/>
        </w:rPr>
        <w:t xml:space="preserve"> CLASSE DI SPESA</w:t>
      </w:r>
      <w:r w:rsidRPr="00E30258">
        <w:rPr>
          <w:rFonts w:ascii="Arial Narrow" w:hAnsi="Arial Narrow" w:cs="Arial"/>
          <w:b/>
          <w:color w:val="5F5F5F"/>
          <w:sz w:val="22"/>
          <w:szCs w:val="22"/>
        </w:rPr>
        <w:br/>
      </w:r>
      <w:r>
        <w:rPr>
          <w:rFonts w:ascii="Arial Narrow" w:hAnsi="Arial Narrow" w:cs="Arial"/>
          <w:color w:val="5F5F5F"/>
        </w:rPr>
        <w:t>3</w:t>
      </w:r>
      <w:r w:rsidRPr="00E30258">
        <w:rPr>
          <w:rFonts w:ascii="Arial Narrow" w:hAnsi="Arial Narrow" w:cs="Arial"/>
          <w:color w:val="5F5F5F"/>
        </w:rPr>
        <w:t>° trimestre 2022, punti percentuali</w:t>
      </w:r>
    </w:p>
    <w:p w:rsidR="00CE4DD8" w:rsidRDefault="00CE4DD8" w:rsidP="00CE4DD8">
      <w:pPr>
        <w:spacing w:after="120"/>
        <w:rPr>
          <w:rFonts w:ascii="Arial Narrow" w:hAnsi="Arial Narrow" w:cs="Arial"/>
          <w:color w:val="5F5F5F"/>
        </w:rPr>
      </w:pPr>
      <w:r>
        <w:rPr>
          <w:rFonts w:ascii="Arial Narrow" w:hAnsi="Arial Narrow" w:cs="Arial"/>
          <w:noProof/>
          <w:color w:val="5F5F5F"/>
        </w:rPr>
        <w:drawing>
          <wp:inline distT="0" distB="0" distL="0" distR="0" wp14:anchorId="453CB2DF" wp14:editId="44A6FF56">
            <wp:extent cx="6663690" cy="2651760"/>
            <wp:effectExtent l="0" t="0" r="381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3690" cy="2651760"/>
                    </a:xfrm>
                    <a:prstGeom prst="rect">
                      <a:avLst/>
                    </a:prstGeom>
                    <a:noFill/>
                  </pic:spPr>
                </pic:pic>
              </a:graphicData>
            </a:graphic>
          </wp:inline>
        </w:drawing>
      </w:r>
    </w:p>
    <w:p w:rsidR="00CE4DD8" w:rsidRDefault="00CE4DD8" w:rsidP="00CE4DD8">
      <w:pPr>
        <w:spacing w:after="120"/>
        <w:rPr>
          <w:rFonts w:ascii="Arial Narrow" w:hAnsi="Arial Narrow" w:cs="Arial"/>
          <w:color w:val="5F5F5F"/>
        </w:rPr>
      </w:pPr>
    </w:p>
    <w:p w:rsidR="00CE4DD8" w:rsidRDefault="00CE4DD8" w:rsidP="00CE4DD8">
      <w:pPr>
        <w:spacing w:after="120"/>
        <w:rPr>
          <w:rFonts w:ascii="Arial Narrow" w:hAnsi="Arial Narrow" w:cs="Arial"/>
          <w:noProof/>
          <w:color w:val="5F5F5F"/>
        </w:rPr>
      </w:pPr>
    </w:p>
    <w:p w:rsidR="002A640F" w:rsidRDefault="002A640F" w:rsidP="002A640F">
      <w:pPr>
        <w:spacing w:after="120"/>
        <w:rPr>
          <w:rFonts w:ascii="Arial Narrow" w:hAnsi="Arial Narrow" w:cs="Arial"/>
          <w:color w:val="5F5F5F"/>
        </w:rPr>
      </w:pPr>
    </w:p>
    <w:p w:rsidR="00FC4BD2" w:rsidRDefault="00FC4BD2" w:rsidP="00901999">
      <w:pPr>
        <w:pStyle w:val="Corpotesto"/>
        <w:spacing w:before="120" w:after="60" w:line="240" w:lineRule="auto"/>
        <w:jc w:val="both"/>
        <w:rPr>
          <w:rFonts w:ascii="Arial" w:hAnsi="Arial" w:cs="Arial"/>
          <w:iCs/>
          <w:sz w:val="21"/>
          <w:szCs w:val="21"/>
        </w:rPr>
      </w:pPr>
    </w:p>
    <w:p w:rsidR="00FC4BD2" w:rsidRDefault="00FC4BD2" w:rsidP="00901999">
      <w:pPr>
        <w:pStyle w:val="Corpotesto"/>
        <w:spacing w:before="120" w:after="60" w:line="240" w:lineRule="auto"/>
        <w:jc w:val="both"/>
        <w:rPr>
          <w:rFonts w:ascii="Arial" w:hAnsi="Arial" w:cs="Arial"/>
          <w:iCs/>
          <w:sz w:val="21"/>
          <w:szCs w:val="21"/>
        </w:rPr>
        <w:sectPr w:rsidR="00FC4BD2" w:rsidSect="001969C1">
          <w:headerReference w:type="default" r:id="rId42"/>
          <w:pgSz w:w="11907" w:h="16840" w:code="9"/>
          <w:pgMar w:top="1537" w:right="851" w:bottom="680" w:left="851" w:header="567" w:footer="567" w:gutter="0"/>
          <w:cols w:space="720"/>
          <w:noEndnote/>
          <w:docGrid w:linePitch="272"/>
        </w:sectPr>
      </w:pPr>
    </w:p>
    <w:p w:rsidR="00901999" w:rsidRPr="00C8504B" w:rsidRDefault="00901999" w:rsidP="00901999">
      <w:pPr>
        <w:pStyle w:val="Corpotesto"/>
        <w:spacing w:before="120" w:after="60" w:line="240" w:lineRule="auto"/>
        <w:jc w:val="both"/>
        <w:rPr>
          <w:rFonts w:ascii="Arial" w:hAnsi="Arial" w:cs="Arial"/>
          <w:iCs/>
          <w:sz w:val="21"/>
          <w:szCs w:val="21"/>
        </w:rPr>
      </w:pPr>
    </w:p>
    <w:p w:rsidR="005D2A67" w:rsidRPr="00301136" w:rsidRDefault="005D2A67" w:rsidP="00014AF9">
      <w:pPr>
        <w:pStyle w:val="Corpotesto"/>
        <w:spacing w:after="120" w:line="240" w:lineRule="auto"/>
        <w:jc w:val="both"/>
        <w:rPr>
          <w:rFonts w:ascii="Arial" w:hAnsi="Arial" w:cs="Arial"/>
          <w:iCs/>
          <w:sz w:val="21"/>
          <w:szCs w:val="21"/>
        </w:rPr>
      </w:pPr>
      <w:r w:rsidRPr="00C8504B">
        <w:rPr>
          <w:rFonts w:ascii="Arial" w:hAnsi="Arial" w:cs="Arial"/>
          <w:iCs/>
          <w:sz w:val="21"/>
          <w:szCs w:val="21"/>
        </w:rPr>
        <w:t xml:space="preserve">Le stime preliminari e definitive delle variazioni congiunturali e tendenziali degli indici generali NIC e IPCA relative al mese di </w:t>
      </w:r>
      <w:r w:rsidR="009B6ACA">
        <w:rPr>
          <w:rFonts w:ascii="Arial" w:hAnsi="Arial" w:cs="Arial"/>
          <w:iCs/>
          <w:sz w:val="21"/>
          <w:szCs w:val="21"/>
        </w:rPr>
        <w:t>settembre</w:t>
      </w:r>
      <w:r w:rsidR="009A20F3" w:rsidRPr="009A20F3">
        <w:rPr>
          <w:rFonts w:ascii="Arial" w:hAnsi="Arial" w:cs="Arial"/>
          <w:iCs/>
          <w:sz w:val="21"/>
          <w:szCs w:val="21"/>
        </w:rPr>
        <w:t xml:space="preserve"> </w:t>
      </w:r>
      <w:r w:rsidR="00E24113">
        <w:rPr>
          <w:rFonts w:ascii="Arial" w:hAnsi="Arial" w:cs="Arial"/>
          <w:iCs/>
          <w:sz w:val="21"/>
          <w:szCs w:val="21"/>
        </w:rPr>
        <w:t>2022</w:t>
      </w:r>
      <w:r w:rsidRPr="00C8504B">
        <w:rPr>
          <w:rFonts w:ascii="Arial" w:hAnsi="Arial" w:cs="Arial"/>
          <w:iCs/>
          <w:sz w:val="21"/>
          <w:szCs w:val="21"/>
        </w:rPr>
        <w:t xml:space="preserve"> sono messe a confronto per valutare l’eventuale revisione intercorsa e</w:t>
      </w:r>
      <w:r w:rsidR="00A42B04">
        <w:rPr>
          <w:rFonts w:ascii="Arial" w:hAnsi="Arial" w:cs="Arial"/>
          <w:iCs/>
          <w:sz w:val="21"/>
          <w:szCs w:val="21"/>
        </w:rPr>
        <w:t>,</w:t>
      </w:r>
      <w:r w:rsidRPr="00C8504B">
        <w:rPr>
          <w:rFonts w:ascii="Arial" w:hAnsi="Arial" w:cs="Arial"/>
          <w:iCs/>
          <w:sz w:val="21"/>
          <w:szCs w:val="21"/>
        </w:rPr>
        <w:t xml:space="preserve"> quindi</w:t>
      </w:r>
      <w:r w:rsidR="00A42B04">
        <w:rPr>
          <w:rFonts w:ascii="Arial" w:hAnsi="Arial" w:cs="Arial"/>
          <w:iCs/>
          <w:sz w:val="21"/>
          <w:szCs w:val="21"/>
        </w:rPr>
        <w:t>,</w:t>
      </w:r>
      <w:r w:rsidRPr="00C8504B">
        <w:rPr>
          <w:rFonts w:ascii="Arial" w:hAnsi="Arial" w:cs="Arial"/>
          <w:iCs/>
          <w:sz w:val="21"/>
          <w:szCs w:val="21"/>
        </w:rPr>
        <w:t xml:space="preserve"> l’accuratezza della s</w:t>
      </w:r>
      <w:r w:rsidR="00B0446F" w:rsidRPr="00C8504B">
        <w:rPr>
          <w:rFonts w:ascii="Arial" w:hAnsi="Arial" w:cs="Arial"/>
          <w:iCs/>
          <w:sz w:val="21"/>
          <w:szCs w:val="21"/>
        </w:rPr>
        <w:t xml:space="preserve">tima </w:t>
      </w:r>
      <w:r w:rsidR="00B0446F" w:rsidRPr="00301136">
        <w:rPr>
          <w:rFonts w:ascii="Arial" w:hAnsi="Arial" w:cs="Arial"/>
          <w:iCs/>
          <w:sz w:val="21"/>
          <w:szCs w:val="21"/>
        </w:rPr>
        <w:t xml:space="preserve">preliminare (Prospetto </w:t>
      </w:r>
      <w:r w:rsidR="00301136" w:rsidRPr="00301136">
        <w:rPr>
          <w:rFonts w:ascii="Arial" w:hAnsi="Arial" w:cs="Arial"/>
          <w:iCs/>
          <w:sz w:val="21"/>
          <w:szCs w:val="21"/>
        </w:rPr>
        <w:t>9</w:t>
      </w:r>
      <w:r w:rsidR="00B0446F" w:rsidRPr="00301136">
        <w:rPr>
          <w:rFonts w:ascii="Arial" w:hAnsi="Arial" w:cs="Arial"/>
          <w:iCs/>
          <w:sz w:val="21"/>
          <w:szCs w:val="21"/>
        </w:rPr>
        <w:t>).</w:t>
      </w:r>
    </w:p>
    <w:p w:rsidR="005D2A67" w:rsidRPr="00DA78A0" w:rsidRDefault="005D2A67" w:rsidP="00014AF9">
      <w:pPr>
        <w:pStyle w:val="Corpotesto"/>
        <w:spacing w:after="120" w:line="240" w:lineRule="auto"/>
        <w:jc w:val="both"/>
        <w:rPr>
          <w:rFonts w:ascii="Arial" w:hAnsi="Arial" w:cs="Arial"/>
          <w:iCs/>
          <w:sz w:val="21"/>
          <w:szCs w:val="21"/>
        </w:rPr>
      </w:pPr>
      <w:r w:rsidRPr="00301136">
        <w:rPr>
          <w:rFonts w:ascii="Arial" w:hAnsi="Arial" w:cs="Arial"/>
          <w:iCs/>
          <w:sz w:val="21"/>
          <w:szCs w:val="21"/>
        </w:rPr>
        <w:t>Per un’analisi più ampia dell’accuratezza e una descrizione della</w:t>
      </w:r>
      <w:r w:rsidRPr="00DA78A0">
        <w:rPr>
          <w:rFonts w:ascii="Arial" w:hAnsi="Arial" w:cs="Arial"/>
          <w:iCs/>
          <w:sz w:val="21"/>
          <w:szCs w:val="21"/>
        </w:rPr>
        <w:t xml:space="preserve"> metodologia della st</w:t>
      </w:r>
      <w:r w:rsidR="00A42B04" w:rsidRPr="00DA78A0">
        <w:rPr>
          <w:rFonts w:ascii="Arial" w:hAnsi="Arial" w:cs="Arial"/>
          <w:iCs/>
          <w:sz w:val="21"/>
          <w:szCs w:val="21"/>
        </w:rPr>
        <w:t>ima provvisoria dell’inflazione</w:t>
      </w:r>
      <w:r w:rsidRPr="00DA78A0">
        <w:rPr>
          <w:rFonts w:ascii="Arial" w:hAnsi="Arial" w:cs="Arial"/>
          <w:iCs/>
          <w:sz w:val="21"/>
          <w:szCs w:val="21"/>
        </w:rPr>
        <w:t xml:space="preserve"> si rimanda alla nota metodologica allegata al comunicato.</w:t>
      </w:r>
    </w:p>
    <w:p w:rsidR="00EA102B" w:rsidRPr="00DA78A0" w:rsidRDefault="00EA102B" w:rsidP="00D77C5C">
      <w:pPr>
        <w:pStyle w:val="Corpodeltesto2"/>
        <w:tabs>
          <w:tab w:val="left" w:pos="0"/>
          <w:tab w:val="left" w:pos="6300"/>
        </w:tabs>
        <w:spacing w:line="240" w:lineRule="auto"/>
        <w:jc w:val="both"/>
        <w:rPr>
          <w:rFonts w:ascii="Arial" w:hAnsi="Arial" w:cs="Arial"/>
          <w:iCs/>
          <w:kern w:val="28"/>
          <w:sz w:val="21"/>
          <w:szCs w:val="21"/>
        </w:rPr>
      </w:pPr>
    </w:p>
    <w:p w:rsidR="005D2A67" w:rsidRPr="00C8504B" w:rsidRDefault="005D2A67" w:rsidP="005D2A67">
      <w:pPr>
        <w:pStyle w:val="Corpotesto"/>
        <w:spacing w:after="120" w:line="240" w:lineRule="auto"/>
        <w:jc w:val="both"/>
        <w:rPr>
          <w:rFonts w:ascii="Arial Narrow" w:hAnsi="Arial Narrow" w:cs="Arial"/>
          <w:sz w:val="19"/>
          <w:szCs w:val="19"/>
        </w:rPr>
      </w:pPr>
      <w:r w:rsidRPr="00DA78A0">
        <w:rPr>
          <w:rFonts w:ascii="Arial Narrow" w:hAnsi="Arial Narrow" w:cs="Arial"/>
          <w:b/>
          <w:color w:val="E42618"/>
          <w:kern w:val="0"/>
          <w:sz w:val="22"/>
          <w:szCs w:val="22"/>
        </w:rPr>
        <w:t xml:space="preserve">PROSPETTO </w:t>
      </w:r>
      <w:r w:rsidR="00301136">
        <w:rPr>
          <w:rFonts w:ascii="Arial Narrow" w:hAnsi="Arial Narrow" w:cs="Arial"/>
          <w:b/>
          <w:color w:val="E42618"/>
          <w:kern w:val="0"/>
          <w:sz w:val="22"/>
          <w:szCs w:val="22"/>
        </w:rPr>
        <w:t>9</w:t>
      </w:r>
      <w:r w:rsidRPr="00DA78A0">
        <w:rPr>
          <w:rFonts w:ascii="Arial Narrow" w:hAnsi="Arial Narrow" w:cs="Arial"/>
          <w:b/>
          <w:color w:val="E42618"/>
          <w:kern w:val="0"/>
          <w:sz w:val="22"/>
          <w:szCs w:val="22"/>
        </w:rPr>
        <w:t>.</w:t>
      </w:r>
      <w:r w:rsidRPr="00DA78A0">
        <w:rPr>
          <w:rFonts w:ascii="Arial Narrow" w:hAnsi="Arial Narrow" w:cs="Arial"/>
          <w:b/>
          <w:color w:val="5F5F5F"/>
          <w:kern w:val="0"/>
          <w:sz w:val="22"/>
          <w:szCs w:val="22"/>
        </w:rPr>
        <w:t xml:space="preserve"> </w:t>
      </w:r>
      <w:r w:rsidRPr="00DA78A0">
        <w:rPr>
          <w:rFonts w:ascii="Arial Narrow" w:hAnsi="Arial Narrow" w:cs="Calibri"/>
          <w:b/>
          <w:bCs/>
          <w:color w:val="5F5F5F"/>
          <w:kern w:val="0"/>
          <w:sz w:val="22"/>
          <w:szCs w:val="22"/>
        </w:rPr>
        <w:t>REVISIONI DEGLI INDICI DEI PREZZI AL CONSUMO</w:t>
      </w:r>
      <w:r w:rsidRPr="00C8504B">
        <w:rPr>
          <w:rFonts w:ascii="Arial Narrow" w:hAnsi="Arial Narrow" w:cs="Arial"/>
          <w:b/>
          <w:color w:val="5F5F5F"/>
        </w:rPr>
        <w:t xml:space="preserve"> </w:t>
      </w:r>
      <w:r w:rsidRPr="00C8504B">
        <w:rPr>
          <w:rFonts w:ascii="Arial Narrow" w:hAnsi="Arial Narrow" w:cs="Arial"/>
          <w:b/>
          <w:color w:val="5F5F5F"/>
        </w:rPr>
        <w:br/>
      </w:r>
      <w:r w:rsidR="009B6ACA">
        <w:rPr>
          <w:rFonts w:ascii="Arial Narrow" w:hAnsi="Arial Narrow" w:cs="Arial"/>
          <w:color w:val="5F5F5F"/>
        </w:rPr>
        <w:t>Settembre</w:t>
      </w:r>
      <w:r w:rsidR="009A20F3" w:rsidRPr="009A20F3">
        <w:rPr>
          <w:rFonts w:ascii="Arial Narrow" w:hAnsi="Arial Narrow" w:cs="Arial"/>
          <w:color w:val="5F5F5F"/>
        </w:rPr>
        <w:t xml:space="preserve"> </w:t>
      </w:r>
      <w:r w:rsidR="005B7BD6" w:rsidRPr="005B7BD6">
        <w:rPr>
          <w:rFonts w:ascii="Arial Narrow" w:hAnsi="Arial Narrow" w:cs="Arial"/>
          <w:color w:val="5F5F5F"/>
        </w:rPr>
        <w:t>2022</w:t>
      </w:r>
      <w:r w:rsidRPr="00C8504B">
        <w:rPr>
          <w:rFonts w:ascii="Arial Narrow" w:hAnsi="Arial Narrow" w:cs="Arial"/>
          <w:color w:val="5F5F5F"/>
        </w:rPr>
        <w:t>, indici e variazioni percentuali</w:t>
      </w:r>
      <w:r w:rsidR="00625F9C" w:rsidRPr="00C8504B">
        <w:rPr>
          <w:rFonts w:ascii="Arial Narrow" w:hAnsi="Arial Narrow" w:cs="Arial"/>
          <w:color w:val="5F5F5F"/>
        </w:rPr>
        <w:t xml:space="preserve"> congiunturali e tendenziali</w:t>
      </w:r>
      <w:r w:rsidRPr="00C8504B">
        <w:rPr>
          <w:rFonts w:ascii="Arial Narrow" w:hAnsi="Arial Narrow" w:cs="Arial"/>
          <w:color w:val="5F5F5F"/>
        </w:rPr>
        <w:t xml:space="preserve"> (base 2015=100)</w:t>
      </w:r>
    </w:p>
    <w:tbl>
      <w:tblPr>
        <w:tblW w:w="10206" w:type="dxa"/>
        <w:tblInd w:w="108" w:type="dxa"/>
        <w:tblLayout w:type="fixed"/>
        <w:tblLook w:val="04A0" w:firstRow="1" w:lastRow="0" w:firstColumn="1" w:lastColumn="0" w:noHBand="0" w:noVBand="1"/>
      </w:tblPr>
      <w:tblGrid>
        <w:gridCol w:w="3100"/>
        <w:gridCol w:w="1134"/>
        <w:gridCol w:w="1134"/>
        <w:gridCol w:w="71"/>
        <w:gridCol w:w="1205"/>
        <w:gridCol w:w="1153"/>
        <w:gridCol w:w="1290"/>
        <w:gridCol w:w="1119"/>
      </w:tblGrid>
      <w:tr w:rsidR="00E95076" w:rsidRPr="00C8504B" w:rsidTr="00E1200F">
        <w:trPr>
          <w:trHeight w:val="255"/>
        </w:trPr>
        <w:tc>
          <w:tcPr>
            <w:tcW w:w="3100" w:type="dxa"/>
            <w:vMerge w:val="restart"/>
            <w:tcBorders>
              <w:top w:val="single" w:sz="4" w:space="0" w:color="auto"/>
              <w:left w:val="nil"/>
              <w:right w:val="nil"/>
            </w:tcBorders>
            <w:shd w:val="clear" w:color="000000" w:fill="FFFFFF"/>
            <w:vAlign w:val="center"/>
            <w:hideMark/>
          </w:tcPr>
          <w:p w:rsidR="00E95076" w:rsidRPr="00C8504B" w:rsidRDefault="00E95076" w:rsidP="00E95076">
            <w:pPr>
              <w:widowControl/>
              <w:overflowPunct/>
              <w:autoSpaceDE/>
              <w:autoSpaceDN/>
              <w:adjustRightInd/>
              <w:spacing w:before="40" w:after="20"/>
              <w:rPr>
                <w:rFonts w:ascii="Arial Narrow" w:hAnsi="Arial Narrow"/>
                <w:color w:val="000000"/>
                <w:kern w:val="0"/>
                <w:sz w:val="18"/>
                <w:szCs w:val="18"/>
                <w:lang w:eastAsia="en-GB"/>
              </w:rPr>
            </w:pPr>
          </w:p>
        </w:tc>
        <w:tc>
          <w:tcPr>
            <w:tcW w:w="3544" w:type="dxa"/>
            <w:gridSpan w:val="4"/>
            <w:tcBorders>
              <w:top w:val="single" w:sz="4" w:space="0" w:color="auto"/>
              <w:left w:val="nil"/>
              <w:bottom w:val="single" w:sz="4" w:space="0" w:color="auto"/>
              <w:right w:val="nil"/>
            </w:tcBorders>
            <w:shd w:val="clear" w:color="auto" w:fill="D9D9D9"/>
            <w:vAlign w:val="center"/>
            <w:hideMark/>
          </w:tcPr>
          <w:p w:rsidR="00E95076" w:rsidRPr="00C8504B" w:rsidRDefault="00834B5B" w:rsidP="005D2A67">
            <w:pPr>
              <w:widowControl/>
              <w:overflowPunct/>
              <w:autoSpaceDE/>
              <w:autoSpaceDN/>
              <w:adjustRightInd/>
              <w:spacing w:before="40" w:after="20"/>
              <w:jc w:val="center"/>
              <w:rPr>
                <w:rFonts w:ascii="Arial Narrow" w:hAnsi="Arial Narrow"/>
                <w:b/>
                <w:bCs/>
                <w:color w:val="000000"/>
                <w:kern w:val="0"/>
                <w:sz w:val="18"/>
                <w:szCs w:val="18"/>
                <w:lang w:eastAsia="en-GB"/>
              </w:rPr>
            </w:pPr>
            <w:r w:rsidRPr="00C8504B">
              <w:rPr>
                <w:rFonts w:ascii="Arial Narrow" w:hAnsi="Arial Narrow"/>
                <w:b/>
                <w:bCs/>
                <w:color w:val="000000"/>
                <w:kern w:val="0"/>
                <w:sz w:val="18"/>
                <w:szCs w:val="18"/>
                <w:lang w:eastAsia="en-GB"/>
              </w:rPr>
              <w:t>DATI PROVVISORI</w:t>
            </w:r>
          </w:p>
        </w:tc>
        <w:tc>
          <w:tcPr>
            <w:tcW w:w="3562" w:type="dxa"/>
            <w:gridSpan w:val="3"/>
            <w:tcBorders>
              <w:top w:val="single" w:sz="4" w:space="0" w:color="auto"/>
              <w:left w:val="nil"/>
              <w:bottom w:val="single" w:sz="4" w:space="0" w:color="auto"/>
              <w:right w:val="nil"/>
            </w:tcBorders>
            <w:shd w:val="clear" w:color="000000" w:fill="FFFFFF"/>
            <w:noWrap/>
            <w:vAlign w:val="center"/>
            <w:hideMark/>
          </w:tcPr>
          <w:p w:rsidR="00E95076" w:rsidRPr="00C8504B" w:rsidRDefault="00834B5B" w:rsidP="005D2A67">
            <w:pPr>
              <w:widowControl/>
              <w:overflowPunct/>
              <w:autoSpaceDE/>
              <w:autoSpaceDN/>
              <w:adjustRightInd/>
              <w:spacing w:before="40" w:after="20"/>
              <w:jc w:val="center"/>
              <w:rPr>
                <w:rFonts w:ascii="Arial Narrow" w:hAnsi="Arial Narrow"/>
                <w:b/>
                <w:bCs/>
                <w:color w:val="000000"/>
                <w:kern w:val="0"/>
                <w:sz w:val="18"/>
                <w:szCs w:val="18"/>
                <w:lang w:eastAsia="en-GB"/>
              </w:rPr>
            </w:pPr>
            <w:r w:rsidRPr="00C8504B">
              <w:rPr>
                <w:rFonts w:ascii="Arial Narrow" w:hAnsi="Arial Narrow"/>
                <w:b/>
                <w:bCs/>
                <w:color w:val="000000"/>
                <w:kern w:val="0"/>
                <w:sz w:val="18"/>
                <w:szCs w:val="18"/>
                <w:lang w:eastAsia="en-GB"/>
              </w:rPr>
              <w:t>DATI DEFINITIVI</w:t>
            </w:r>
          </w:p>
        </w:tc>
      </w:tr>
      <w:tr w:rsidR="00834B5B" w:rsidRPr="00C8504B" w:rsidTr="004213C5">
        <w:trPr>
          <w:trHeight w:val="255"/>
        </w:trPr>
        <w:tc>
          <w:tcPr>
            <w:tcW w:w="3100" w:type="dxa"/>
            <w:vMerge/>
            <w:tcBorders>
              <w:left w:val="nil"/>
              <w:right w:val="nil"/>
            </w:tcBorders>
            <w:shd w:val="clear" w:color="000000" w:fill="FFFFFF"/>
            <w:vAlign w:val="center"/>
            <w:hideMark/>
          </w:tcPr>
          <w:p w:rsidR="00834B5B" w:rsidRPr="00C8504B" w:rsidRDefault="00834B5B" w:rsidP="005D2A67">
            <w:pPr>
              <w:spacing w:before="40" w:after="20"/>
              <w:rPr>
                <w:rFonts w:ascii="Arial Narrow" w:hAnsi="Arial Narrow"/>
                <w:color w:val="000000"/>
                <w:kern w:val="0"/>
                <w:sz w:val="18"/>
                <w:szCs w:val="18"/>
                <w:lang w:eastAsia="en-GB"/>
              </w:rPr>
            </w:pPr>
          </w:p>
        </w:tc>
        <w:tc>
          <w:tcPr>
            <w:tcW w:w="1134" w:type="dxa"/>
            <w:tcBorders>
              <w:top w:val="nil"/>
              <w:left w:val="nil"/>
              <w:bottom w:val="single" w:sz="4" w:space="0" w:color="auto"/>
              <w:right w:val="nil"/>
            </w:tcBorders>
            <w:shd w:val="clear" w:color="auto" w:fill="D9D9D9"/>
            <w:vAlign w:val="center"/>
            <w:hideMark/>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highlight w:val="yellow"/>
                <w:lang w:eastAsia="en-GB"/>
              </w:rPr>
            </w:pPr>
            <w:r w:rsidRPr="00C8504B">
              <w:rPr>
                <w:rFonts w:ascii="Arial Narrow" w:hAnsi="Arial Narrow" w:cs="Arial"/>
                <w:b/>
                <w:bCs/>
                <w:color w:val="000000"/>
                <w:kern w:val="0"/>
                <w:sz w:val="18"/>
                <w:szCs w:val="18"/>
                <w:lang w:eastAsia="en-GB"/>
              </w:rPr>
              <w:t>indici</w:t>
            </w:r>
          </w:p>
        </w:tc>
        <w:tc>
          <w:tcPr>
            <w:tcW w:w="1205" w:type="dxa"/>
            <w:gridSpan w:val="2"/>
            <w:tcBorders>
              <w:top w:val="nil"/>
              <w:left w:val="nil"/>
              <w:bottom w:val="single" w:sz="4" w:space="0" w:color="auto"/>
              <w:right w:val="nil"/>
            </w:tcBorders>
            <w:shd w:val="clear" w:color="auto" w:fill="FFFFFF"/>
            <w:vAlign w:val="center"/>
            <w:hideMark/>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highlight w:val="yellow"/>
                <w:lang w:eastAsia="en-GB"/>
              </w:rPr>
            </w:pPr>
            <w:r w:rsidRPr="00C8504B">
              <w:rPr>
                <w:rFonts w:ascii="Arial Narrow" w:hAnsi="Arial Narrow"/>
                <w:b/>
                <w:bCs/>
                <w:color w:val="000000"/>
                <w:kern w:val="0"/>
                <w:sz w:val="18"/>
                <w:szCs w:val="18"/>
                <w:lang w:eastAsia="en-GB"/>
              </w:rPr>
              <w:t>variazioni congiunturali</w:t>
            </w:r>
          </w:p>
        </w:tc>
        <w:tc>
          <w:tcPr>
            <w:tcW w:w="1205" w:type="dxa"/>
            <w:tcBorders>
              <w:top w:val="nil"/>
              <w:left w:val="nil"/>
              <w:bottom w:val="single" w:sz="4" w:space="0" w:color="auto"/>
              <w:right w:val="nil"/>
            </w:tcBorders>
            <w:shd w:val="clear" w:color="auto" w:fill="D9D9D9"/>
            <w:vAlign w:val="center"/>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lang w:eastAsia="en-GB"/>
              </w:rPr>
            </w:pPr>
            <w:r w:rsidRPr="00C8504B">
              <w:rPr>
                <w:rFonts w:ascii="Arial Narrow" w:hAnsi="Arial Narrow"/>
                <w:b/>
                <w:bCs/>
                <w:color w:val="000000"/>
                <w:kern w:val="0"/>
                <w:sz w:val="18"/>
                <w:szCs w:val="18"/>
                <w:lang w:eastAsia="en-GB"/>
              </w:rPr>
              <w:t>variazioni tendenziali</w:t>
            </w:r>
          </w:p>
        </w:tc>
        <w:tc>
          <w:tcPr>
            <w:tcW w:w="1153" w:type="dxa"/>
            <w:tcBorders>
              <w:top w:val="nil"/>
              <w:left w:val="nil"/>
              <w:bottom w:val="single" w:sz="4" w:space="0" w:color="auto"/>
              <w:right w:val="nil"/>
            </w:tcBorders>
            <w:shd w:val="clear" w:color="auto" w:fill="FFFFFF"/>
            <w:noWrap/>
            <w:vAlign w:val="center"/>
            <w:hideMark/>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lang w:eastAsia="en-GB"/>
              </w:rPr>
            </w:pPr>
            <w:r w:rsidRPr="00C8504B">
              <w:rPr>
                <w:rFonts w:ascii="Arial Narrow" w:hAnsi="Arial Narrow" w:cs="Arial"/>
                <w:b/>
                <w:bCs/>
                <w:color w:val="000000"/>
                <w:kern w:val="0"/>
                <w:sz w:val="18"/>
                <w:szCs w:val="18"/>
                <w:lang w:eastAsia="en-GB"/>
              </w:rPr>
              <w:t>indici</w:t>
            </w:r>
          </w:p>
        </w:tc>
        <w:tc>
          <w:tcPr>
            <w:tcW w:w="1290" w:type="dxa"/>
            <w:tcBorders>
              <w:top w:val="nil"/>
              <w:left w:val="nil"/>
              <w:bottom w:val="single" w:sz="4" w:space="0" w:color="auto"/>
              <w:right w:val="nil"/>
            </w:tcBorders>
            <w:shd w:val="clear" w:color="auto" w:fill="D9D9D9"/>
            <w:noWrap/>
            <w:vAlign w:val="center"/>
            <w:hideMark/>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highlight w:val="yellow"/>
                <w:lang w:eastAsia="en-GB"/>
              </w:rPr>
            </w:pPr>
            <w:r w:rsidRPr="00C8504B">
              <w:rPr>
                <w:rFonts w:ascii="Arial Narrow" w:hAnsi="Arial Narrow"/>
                <w:b/>
                <w:bCs/>
                <w:color w:val="000000"/>
                <w:kern w:val="0"/>
                <w:sz w:val="18"/>
                <w:szCs w:val="18"/>
                <w:lang w:eastAsia="en-GB"/>
              </w:rPr>
              <w:t>variazioni congiunturali</w:t>
            </w:r>
          </w:p>
        </w:tc>
        <w:tc>
          <w:tcPr>
            <w:tcW w:w="1119" w:type="dxa"/>
            <w:tcBorders>
              <w:top w:val="nil"/>
              <w:left w:val="nil"/>
              <w:bottom w:val="single" w:sz="4" w:space="0" w:color="auto"/>
              <w:right w:val="nil"/>
            </w:tcBorders>
            <w:shd w:val="clear" w:color="auto" w:fill="FFFFFF"/>
            <w:vAlign w:val="center"/>
          </w:tcPr>
          <w:p w:rsidR="00834B5B" w:rsidRPr="00C8504B" w:rsidRDefault="00834B5B" w:rsidP="00C17464">
            <w:pPr>
              <w:widowControl/>
              <w:overflowPunct/>
              <w:autoSpaceDE/>
              <w:autoSpaceDN/>
              <w:adjustRightInd/>
              <w:spacing w:before="40" w:after="20"/>
              <w:jc w:val="right"/>
              <w:rPr>
                <w:rFonts w:ascii="Arial Narrow" w:hAnsi="Arial Narrow"/>
                <w:b/>
                <w:bCs/>
                <w:color w:val="000000"/>
                <w:kern w:val="0"/>
                <w:sz w:val="18"/>
                <w:szCs w:val="18"/>
                <w:highlight w:val="yellow"/>
                <w:lang w:eastAsia="en-GB"/>
              </w:rPr>
            </w:pPr>
            <w:r w:rsidRPr="00C8504B">
              <w:rPr>
                <w:rFonts w:ascii="Arial Narrow" w:hAnsi="Arial Narrow"/>
                <w:b/>
                <w:bCs/>
                <w:color w:val="000000"/>
                <w:kern w:val="0"/>
                <w:sz w:val="18"/>
                <w:szCs w:val="18"/>
                <w:lang w:eastAsia="en-GB"/>
              </w:rPr>
              <w:t>variazioni tendenziali</w:t>
            </w:r>
          </w:p>
        </w:tc>
      </w:tr>
      <w:tr w:rsidR="00932AA7" w:rsidRPr="00C8504B" w:rsidTr="000830DA">
        <w:trPr>
          <w:trHeight w:val="553"/>
        </w:trPr>
        <w:tc>
          <w:tcPr>
            <w:tcW w:w="3100" w:type="dxa"/>
            <w:vMerge/>
            <w:tcBorders>
              <w:left w:val="nil"/>
              <w:bottom w:val="single" w:sz="4" w:space="0" w:color="auto"/>
              <w:right w:val="nil"/>
            </w:tcBorders>
            <w:shd w:val="clear" w:color="000000" w:fill="FFFFFF"/>
            <w:vAlign w:val="center"/>
            <w:hideMark/>
          </w:tcPr>
          <w:p w:rsidR="00932AA7" w:rsidRPr="00C8504B" w:rsidRDefault="00932AA7" w:rsidP="00932AA7">
            <w:pPr>
              <w:spacing w:before="40" w:after="20"/>
              <w:rPr>
                <w:color w:val="000000"/>
                <w:kern w:val="0"/>
                <w:sz w:val="18"/>
                <w:szCs w:val="18"/>
                <w:lang w:eastAsia="en-GB"/>
              </w:rPr>
            </w:pPr>
          </w:p>
        </w:tc>
        <w:tc>
          <w:tcPr>
            <w:tcW w:w="1134" w:type="dxa"/>
            <w:tcBorders>
              <w:top w:val="nil"/>
              <w:left w:val="nil"/>
              <w:bottom w:val="single" w:sz="4" w:space="0" w:color="auto"/>
              <w:right w:val="nil"/>
            </w:tcBorders>
            <w:shd w:val="clear" w:color="auto" w:fill="auto"/>
            <w:vAlign w:val="center"/>
          </w:tcPr>
          <w:p w:rsidR="00932AA7" w:rsidRDefault="00932AA7" w:rsidP="00932AA7">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settembre</w:t>
            </w:r>
            <w:r w:rsidRPr="009A20F3">
              <w:rPr>
                <w:rFonts w:ascii="Arial Narrow" w:hAnsi="Arial Narrow" w:cs="Arial"/>
                <w:bCs/>
                <w:sz w:val="18"/>
                <w:szCs w:val="18"/>
              </w:rPr>
              <w:t xml:space="preserve"> </w:t>
            </w:r>
          </w:p>
          <w:p w:rsidR="00932AA7" w:rsidRPr="00C8504B" w:rsidRDefault="00932AA7" w:rsidP="00932AA7">
            <w:pPr>
              <w:tabs>
                <w:tab w:val="left" w:pos="5093"/>
              </w:tabs>
              <w:spacing w:before="40" w:after="20"/>
              <w:jc w:val="right"/>
              <w:rPr>
                <w:rFonts w:ascii="Arial Narrow" w:hAnsi="Arial Narrow" w:cs="Arial"/>
                <w:bCs/>
                <w:sz w:val="18"/>
                <w:szCs w:val="18"/>
              </w:rPr>
            </w:pPr>
            <w:r>
              <w:rPr>
                <w:rFonts w:ascii="Arial Narrow" w:hAnsi="Arial Narrow" w:cs="Arial"/>
                <w:bCs/>
                <w:snapToGrid w:val="0"/>
                <w:sz w:val="18"/>
                <w:szCs w:val="18"/>
              </w:rPr>
              <w:t>2022</w:t>
            </w:r>
          </w:p>
        </w:tc>
        <w:tc>
          <w:tcPr>
            <w:tcW w:w="1134" w:type="dxa"/>
            <w:tcBorders>
              <w:top w:val="nil"/>
              <w:left w:val="nil"/>
              <w:bottom w:val="single" w:sz="4" w:space="0" w:color="auto"/>
              <w:right w:val="nil"/>
            </w:tcBorders>
            <w:shd w:val="clear" w:color="auto" w:fill="auto"/>
            <w:vAlign w:val="center"/>
          </w:tcPr>
          <w:p w:rsidR="00932AA7" w:rsidRDefault="00932AA7" w:rsidP="00932AA7">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932AA7" w:rsidRPr="00E03E58" w:rsidRDefault="00932AA7" w:rsidP="00932AA7">
            <w:pPr>
              <w:widowControl/>
              <w:overflowPunct/>
              <w:autoSpaceDE/>
              <w:autoSpaceDN/>
              <w:adjustRightInd/>
              <w:spacing w:before="40" w:after="20"/>
              <w:jc w:val="right"/>
              <w:rPr>
                <w:rFonts w:ascii="Arial Narrow" w:hAnsi="Arial Narrow" w:cs="Arial"/>
                <w:kern w:val="0"/>
                <w:sz w:val="18"/>
                <w:szCs w:val="18"/>
              </w:rPr>
            </w:pPr>
            <w:r>
              <w:rPr>
                <w:rFonts w:ascii="Arial Narrow" w:hAnsi="Arial Narrow" w:cs="Arial"/>
                <w:kern w:val="0"/>
                <w:sz w:val="18"/>
                <w:szCs w:val="18"/>
              </w:rPr>
              <w:t>ago-22</w:t>
            </w:r>
          </w:p>
        </w:tc>
        <w:tc>
          <w:tcPr>
            <w:tcW w:w="1276" w:type="dxa"/>
            <w:gridSpan w:val="2"/>
            <w:tcBorders>
              <w:top w:val="nil"/>
              <w:left w:val="nil"/>
              <w:bottom w:val="single" w:sz="4" w:space="0" w:color="auto"/>
              <w:right w:val="nil"/>
            </w:tcBorders>
            <w:shd w:val="clear" w:color="auto" w:fill="auto"/>
            <w:vAlign w:val="center"/>
          </w:tcPr>
          <w:p w:rsidR="00932AA7" w:rsidRDefault="00932AA7" w:rsidP="00932AA7">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932AA7" w:rsidRPr="00EF00E1" w:rsidRDefault="00932AA7" w:rsidP="00932AA7">
            <w:pPr>
              <w:tabs>
                <w:tab w:val="left" w:pos="5093"/>
              </w:tabs>
              <w:spacing w:before="40" w:after="20"/>
              <w:jc w:val="right"/>
              <w:rPr>
                <w:rFonts w:ascii="Arial Narrow" w:hAnsi="Arial Narrow" w:cs="Arial"/>
                <w:bCs/>
                <w:sz w:val="18"/>
                <w:szCs w:val="18"/>
              </w:rPr>
            </w:pPr>
            <w:r>
              <w:rPr>
                <w:rFonts w:ascii="Arial Narrow" w:hAnsi="Arial Narrow" w:cs="Arial"/>
                <w:kern w:val="0"/>
                <w:sz w:val="18"/>
                <w:szCs w:val="18"/>
              </w:rPr>
              <w:t>set-21</w:t>
            </w:r>
          </w:p>
        </w:tc>
        <w:tc>
          <w:tcPr>
            <w:tcW w:w="1153" w:type="dxa"/>
            <w:tcBorders>
              <w:top w:val="nil"/>
              <w:left w:val="nil"/>
              <w:bottom w:val="single" w:sz="4" w:space="0" w:color="auto"/>
              <w:right w:val="nil"/>
            </w:tcBorders>
            <w:shd w:val="clear" w:color="auto" w:fill="auto"/>
            <w:noWrap/>
            <w:vAlign w:val="center"/>
            <w:hideMark/>
          </w:tcPr>
          <w:p w:rsidR="00932AA7" w:rsidRDefault="00932AA7" w:rsidP="00932AA7">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settembre</w:t>
            </w:r>
            <w:r w:rsidRPr="009A20F3">
              <w:rPr>
                <w:rFonts w:ascii="Arial Narrow" w:hAnsi="Arial Narrow" w:cs="Arial"/>
                <w:bCs/>
                <w:sz w:val="18"/>
                <w:szCs w:val="18"/>
              </w:rPr>
              <w:t xml:space="preserve"> </w:t>
            </w:r>
          </w:p>
          <w:p w:rsidR="00932AA7" w:rsidRPr="00C8504B" w:rsidRDefault="00932AA7" w:rsidP="00932AA7">
            <w:pPr>
              <w:tabs>
                <w:tab w:val="left" w:pos="5093"/>
              </w:tabs>
              <w:spacing w:before="40" w:after="20"/>
              <w:jc w:val="right"/>
              <w:rPr>
                <w:rFonts w:ascii="Arial Narrow" w:hAnsi="Arial Narrow" w:cs="Arial"/>
                <w:bCs/>
                <w:sz w:val="18"/>
                <w:szCs w:val="18"/>
              </w:rPr>
            </w:pPr>
            <w:r>
              <w:rPr>
                <w:rFonts w:ascii="Arial Narrow" w:hAnsi="Arial Narrow" w:cs="Arial"/>
                <w:bCs/>
                <w:snapToGrid w:val="0"/>
                <w:sz w:val="18"/>
                <w:szCs w:val="18"/>
              </w:rPr>
              <w:t>2022</w:t>
            </w:r>
          </w:p>
        </w:tc>
        <w:tc>
          <w:tcPr>
            <w:tcW w:w="1290" w:type="dxa"/>
            <w:tcBorders>
              <w:top w:val="nil"/>
              <w:left w:val="nil"/>
              <w:bottom w:val="single" w:sz="4" w:space="0" w:color="auto"/>
              <w:right w:val="nil"/>
            </w:tcBorders>
            <w:shd w:val="clear" w:color="auto" w:fill="auto"/>
            <w:noWrap/>
            <w:vAlign w:val="center"/>
            <w:hideMark/>
          </w:tcPr>
          <w:p w:rsidR="00932AA7" w:rsidRDefault="00932AA7" w:rsidP="00932AA7">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932AA7" w:rsidRPr="00E03E58" w:rsidRDefault="00932AA7" w:rsidP="00932AA7">
            <w:pPr>
              <w:widowControl/>
              <w:overflowPunct/>
              <w:autoSpaceDE/>
              <w:autoSpaceDN/>
              <w:adjustRightInd/>
              <w:spacing w:before="40" w:after="20"/>
              <w:jc w:val="right"/>
              <w:rPr>
                <w:rFonts w:ascii="Arial Narrow" w:hAnsi="Arial Narrow" w:cs="Arial"/>
                <w:kern w:val="0"/>
                <w:sz w:val="18"/>
                <w:szCs w:val="18"/>
              </w:rPr>
            </w:pPr>
            <w:r>
              <w:rPr>
                <w:rFonts w:ascii="Arial Narrow" w:hAnsi="Arial Narrow" w:cs="Arial"/>
                <w:kern w:val="0"/>
                <w:sz w:val="18"/>
                <w:szCs w:val="18"/>
              </w:rPr>
              <w:t>ago-22</w:t>
            </w:r>
          </w:p>
        </w:tc>
        <w:tc>
          <w:tcPr>
            <w:tcW w:w="1119" w:type="dxa"/>
            <w:tcBorders>
              <w:top w:val="nil"/>
              <w:left w:val="nil"/>
              <w:bottom w:val="single" w:sz="4" w:space="0" w:color="auto"/>
              <w:right w:val="nil"/>
            </w:tcBorders>
            <w:shd w:val="clear" w:color="auto" w:fill="auto"/>
            <w:noWrap/>
            <w:vAlign w:val="center"/>
            <w:hideMark/>
          </w:tcPr>
          <w:p w:rsidR="00932AA7" w:rsidRDefault="00932AA7" w:rsidP="00932AA7">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set-22</w:t>
            </w:r>
          </w:p>
          <w:p w:rsidR="00932AA7" w:rsidRPr="00EF00E1" w:rsidRDefault="00932AA7" w:rsidP="00932AA7">
            <w:pPr>
              <w:tabs>
                <w:tab w:val="left" w:pos="5093"/>
              </w:tabs>
              <w:spacing w:before="40" w:after="20"/>
              <w:jc w:val="right"/>
              <w:rPr>
                <w:rFonts w:ascii="Arial Narrow" w:hAnsi="Arial Narrow" w:cs="Arial"/>
                <w:bCs/>
                <w:sz w:val="18"/>
                <w:szCs w:val="18"/>
              </w:rPr>
            </w:pPr>
            <w:r>
              <w:rPr>
                <w:rFonts w:ascii="Arial Narrow" w:hAnsi="Arial Narrow" w:cs="Arial"/>
                <w:kern w:val="0"/>
                <w:sz w:val="18"/>
                <w:szCs w:val="18"/>
              </w:rPr>
              <w:t>set-21</w:t>
            </w:r>
          </w:p>
        </w:tc>
      </w:tr>
      <w:tr w:rsidR="00DD629D" w:rsidRPr="000830DA" w:rsidTr="000F1701">
        <w:trPr>
          <w:trHeight w:val="255"/>
        </w:trPr>
        <w:tc>
          <w:tcPr>
            <w:tcW w:w="3100" w:type="dxa"/>
            <w:tcBorders>
              <w:top w:val="single" w:sz="4" w:space="0" w:color="auto"/>
              <w:left w:val="nil"/>
              <w:bottom w:val="single" w:sz="4" w:space="0" w:color="auto"/>
              <w:right w:val="nil"/>
            </w:tcBorders>
            <w:shd w:val="clear" w:color="auto" w:fill="auto"/>
            <w:vAlign w:val="center"/>
            <w:hideMark/>
          </w:tcPr>
          <w:p w:rsidR="00DD629D" w:rsidRPr="000830DA" w:rsidRDefault="00DD629D" w:rsidP="00DD629D">
            <w:pPr>
              <w:widowControl/>
              <w:overflowPunct/>
              <w:autoSpaceDE/>
              <w:autoSpaceDN/>
              <w:adjustRightInd/>
              <w:spacing w:before="0" w:after="0"/>
              <w:rPr>
                <w:rFonts w:ascii="Arial Narrow" w:hAnsi="Arial Narrow"/>
                <w:color w:val="000000"/>
                <w:kern w:val="0"/>
                <w:sz w:val="18"/>
                <w:szCs w:val="18"/>
                <w:lang w:eastAsia="en-GB"/>
              </w:rPr>
            </w:pPr>
            <w:r w:rsidRPr="00C8504B">
              <w:rPr>
                <w:rFonts w:ascii="Arial Narrow" w:hAnsi="Arial Narrow"/>
                <w:color w:val="000000"/>
                <w:kern w:val="0"/>
                <w:sz w:val="18"/>
                <w:szCs w:val="18"/>
                <w:lang w:eastAsia="en-GB"/>
              </w:rPr>
              <w:t xml:space="preserve">Indice nazionale per l’intera collettività NIC </w:t>
            </w:r>
          </w:p>
        </w:tc>
        <w:tc>
          <w:tcPr>
            <w:tcW w:w="1134" w:type="dxa"/>
            <w:tcBorders>
              <w:top w:val="single" w:sz="4" w:space="0" w:color="auto"/>
              <w:left w:val="nil"/>
              <w:bottom w:val="single" w:sz="4" w:space="0" w:color="auto"/>
              <w:right w:val="nil"/>
            </w:tcBorders>
            <w:shd w:val="clear" w:color="000000" w:fill="D9D9D9"/>
            <w:noWrap/>
          </w:tcPr>
          <w:p w:rsidR="00DD629D" w:rsidRPr="00DD629D" w:rsidRDefault="00DD629D" w:rsidP="00DD629D">
            <w:pPr>
              <w:tabs>
                <w:tab w:val="left" w:pos="5093"/>
              </w:tabs>
              <w:spacing w:before="40" w:after="20"/>
              <w:ind w:left="-57"/>
              <w:jc w:val="right"/>
              <w:rPr>
                <w:rFonts w:ascii="Arial Narrow" w:hAnsi="Arial Narrow" w:cs="Arial"/>
                <w:bCs/>
                <w:snapToGrid w:val="0"/>
                <w:sz w:val="18"/>
                <w:szCs w:val="18"/>
              </w:rPr>
            </w:pPr>
            <w:r w:rsidRPr="00DD629D">
              <w:rPr>
                <w:rFonts w:ascii="Arial Narrow" w:hAnsi="Arial Narrow" w:cs="Arial"/>
                <w:bCs/>
                <w:snapToGrid w:val="0"/>
                <w:sz w:val="18"/>
                <w:szCs w:val="18"/>
              </w:rPr>
              <w:t>114,2</w:t>
            </w:r>
          </w:p>
        </w:tc>
        <w:tc>
          <w:tcPr>
            <w:tcW w:w="1134" w:type="dxa"/>
            <w:tcBorders>
              <w:top w:val="single" w:sz="4" w:space="0" w:color="auto"/>
              <w:left w:val="nil"/>
              <w:bottom w:val="single" w:sz="4" w:space="0" w:color="auto"/>
              <w:right w:val="nil"/>
            </w:tcBorders>
            <w:shd w:val="clear" w:color="000000" w:fill="FFFFFF"/>
            <w:noWrap/>
          </w:tcPr>
          <w:p w:rsidR="00DD629D" w:rsidRPr="00DD629D" w:rsidRDefault="00DD629D" w:rsidP="00DD629D">
            <w:pPr>
              <w:tabs>
                <w:tab w:val="left" w:pos="5093"/>
              </w:tabs>
              <w:spacing w:before="40" w:after="20"/>
              <w:ind w:left="-57"/>
              <w:jc w:val="right"/>
              <w:rPr>
                <w:rFonts w:ascii="Arial Narrow" w:hAnsi="Arial Narrow" w:cs="Arial"/>
                <w:bCs/>
                <w:snapToGrid w:val="0"/>
                <w:sz w:val="18"/>
                <w:szCs w:val="18"/>
              </w:rPr>
            </w:pPr>
            <w:r w:rsidRPr="00DD629D">
              <w:rPr>
                <w:rFonts w:ascii="Arial Narrow" w:hAnsi="Arial Narrow" w:cs="Arial"/>
                <w:bCs/>
                <w:snapToGrid w:val="0"/>
                <w:sz w:val="18"/>
                <w:szCs w:val="18"/>
              </w:rPr>
              <w:t>+0,3</w:t>
            </w:r>
          </w:p>
        </w:tc>
        <w:tc>
          <w:tcPr>
            <w:tcW w:w="1276" w:type="dxa"/>
            <w:gridSpan w:val="2"/>
            <w:tcBorders>
              <w:top w:val="single" w:sz="4" w:space="0" w:color="auto"/>
              <w:left w:val="nil"/>
              <w:bottom w:val="single" w:sz="4" w:space="0" w:color="auto"/>
              <w:right w:val="nil"/>
            </w:tcBorders>
            <w:shd w:val="clear" w:color="auto" w:fill="D9D9D9"/>
            <w:noWrap/>
          </w:tcPr>
          <w:p w:rsidR="00DD629D" w:rsidRPr="00DD629D" w:rsidRDefault="00DD629D" w:rsidP="00DD629D">
            <w:pPr>
              <w:tabs>
                <w:tab w:val="left" w:pos="5093"/>
              </w:tabs>
              <w:spacing w:before="40" w:after="20"/>
              <w:ind w:left="-57"/>
              <w:jc w:val="right"/>
              <w:rPr>
                <w:rFonts w:ascii="Arial Narrow" w:hAnsi="Arial Narrow" w:cs="Arial"/>
                <w:bCs/>
                <w:snapToGrid w:val="0"/>
                <w:sz w:val="18"/>
                <w:szCs w:val="18"/>
              </w:rPr>
            </w:pPr>
            <w:r w:rsidRPr="00DD629D">
              <w:rPr>
                <w:rFonts w:ascii="Arial Narrow" w:hAnsi="Arial Narrow" w:cs="Arial"/>
                <w:bCs/>
                <w:snapToGrid w:val="0"/>
                <w:sz w:val="18"/>
                <w:szCs w:val="18"/>
              </w:rPr>
              <w:t>+8,9</w:t>
            </w:r>
          </w:p>
        </w:tc>
        <w:tc>
          <w:tcPr>
            <w:tcW w:w="1153" w:type="dxa"/>
            <w:tcBorders>
              <w:top w:val="single" w:sz="4" w:space="0" w:color="auto"/>
              <w:left w:val="nil"/>
              <w:bottom w:val="single" w:sz="4" w:space="0" w:color="auto"/>
              <w:right w:val="nil"/>
            </w:tcBorders>
            <w:shd w:val="clear" w:color="auto" w:fill="FFFFFF"/>
            <w:noWrap/>
            <w:vAlign w:val="bottom"/>
          </w:tcPr>
          <w:p w:rsidR="00DD629D" w:rsidRPr="00DD629D" w:rsidRDefault="00DD629D" w:rsidP="00DD629D">
            <w:pPr>
              <w:tabs>
                <w:tab w:val="left" w:pos="5093"/>
              </w:tabs>
              <w:spacing w:before="40" w:after="20"/>
              <w:ind w:left="-57"/>
              <w:jc w:val="right"/>
              <w:rPr>
                <w:rFonts w:ascii="Arial Narrow" w:hAnsi="Arial Narrow" w:cs="Arial"/>
                <w:bCs/>
                <w:snapToGrid w:val="0"/>
                <w:sz w:val="18"/>
                <w:szCs w:val="18"/>
              </w:rPr>
            </w:pPr>
            <w:r w:rsidRPr="00DD629D">
              <w:rPr>
                <w:rFonts w:ascii="Arial Narrow" w:hAnsi="Arial Narrow" w:cs="Arial"/>
                <w:bCs/>
                <w:snapToGrid w:val="0"/>
                <w:sz w:val="18"/>
                <w:szCs w:val="18"/>
              </w:rPr>
              <w:t>114,2</w:t>
            </w:r>
          </w:p>
        </w:tc>
        <w:tc>
          <w:tcPr>
            <w:tcW w:w="1290" w:type="dxa"/>
            <w:tcBorders>
              <w:top w:val="single" w:sz="4" w:space="0" w:color="auto"/>
              <w:left w:val="nil"/>
              <w:bottom w:val="single" w:sz="4" w:space="0" w:color="auto"/>
              <w:right w:val="nil"/>
            </w:tcBorders>
            <w:shd w:val="clear" w:color="auto" w:fill="D9D9D9"/>
            <w:noWrap/>
            <w:vAlign w:val="center"/>
          </w:tcPr>
          <w:p w:rsidR="00DD629D" w:rsidRPr="00DD629D" w:rsidRDefault="00DD629D" w:rsidP="00DD629D">
            <w:pPr>
              <w:tabs>
                <w:tab w:val="left" w:pos="5093"/>
              </w:tabs>
              <w:spacing w:before="40" w:after="20"/>
              <w:ind w:left="-57"/>
              <w:jc w:val="right"/>
              <w:rPr>
                <w:rFonts w:ascii="Arial Narrow" w:hAnsi="Arial Narrow" w:cs="Arial"/>
                <w:bCs/>
                <w:snapToGrid w:val="0"/>
                <w:sz w:val="18"/>
                <w:szCs w:val="18"/>
              </w:rPr>
            </w:pPr>
            <w:r w:rsidRPr="00DD629D">
              <w:rPr>
                <w:rFonts w:ascii="Arial Narrow" w:hAnsi="Arial Narrow" w:cs="Arial"/>
                <w:bCs/>
                <w:snapToGrid w:val="0"/>
                <w:sz w:val="18"/>
                <w:szCs w:val="18"/>
              </w:rPr>
              <w:t>+0,3</w:t>
            </w:r>
          </w:p>
        </w:tc>
        <w:tc>
          <w:tcPr>
            <w:tcW w:w="1119" w:type="dxa"/>
            <w:tcBorders>
              <w:top w:val="single" w:sz="4" w:space="0" w:color="auto"/>
              <w:left w:val="nil"/>
              <w:bottom w:val="single" w:sz="4" w:space="0" w:color="auto"/>
              <w:right w:val="nil"/>
            </w:tcBorders>
            <w:shd w:val="clear" w:color="000000" w:fill="FFFFFF"/>
            <w:noWrap/>
            <w:vAlign w:val="center"/>
          </w:tcPr>
          <w:p w:rsidR="00DD629D" w:rsidRPr="00DD629D" w:rsidRDefault="00DD629D" w:rsidP="00DD629D">
            <w:pPr>
              <w:tabs>
                <w:tab w:val="left" w:pos="5093"/>
              </w:tabs>
              <w:spacing w:before="40" w:after="20"/>
              <w:ind w:left="-57"/>
              <w:jc w:val="right"/>
              <w:rPr>
                <w:rFonts w:ascii="Arial Narrow" w:hAnsi="Arial Narrow" w:cs="Arial"/>
                <w:bCs/>
                <w:snapToGrid w:val="0"/>
                <w:sz w:val="18"/>
                <w:szCs w:val="18"/>
              </w:rPr>
            </w:pPr>
            <w:r w:rsidRPr="00DD629D">
              <w:rPr>
                <w:rFonts w:ascii="Arial Narrow" w:hAnsi="Arial Narrow" w:cs="Arial"/>
                <w:bCs/>
                <w:snapToGrid w:val="0"/>
                <w:sz w:val="18"/>
                <w:szCs w:val="18"/>
              </w:rPr>
              <w:t>+8,9</w:t>
            </w:r>
          </w:p>
        </w:tc>
      </w:tr>
      <w:tr w:rsidR="00DD629D" w:rsidRPr="000830DA" w:rsidTr="000F1701">
        <w:trPr>
          <w:trHeight w:val="255"/>
        </w:trPr>
        <w:tc>
          <w:tcPr>
            <w:tcW w:w="3100" w:type="dxa"/>
            <w:tcBorders>
              <w:top w:val="single" w:sz="4" w:space="0" w:color="auto"/>
              <w:left w:val="nil"/>
              <w:bottom w:val="single" w:sz="4" w:space="0" w:color="auto"/>
              <w:right w:val="nil"/>
            </w:tcBorders>
            <w:shd w:val="clear" w:color="000000" w:fill="FFFFFF"/>
            <w:vAlign w:val="center"/>
            <w:hideMark/>
          </w:tcPr>
          <w:p w:rsidR="00DD629D" w:rsidRPr="000830DA" w:rsidRDefault="00DD629D" w:rsidP="00DD629D">
            <w:pPr>
              <w:widowControl/>
              <w:overflowPunct/>
              <w:autoSpaceDE/>
              <w:autoSpaceDN/>
              <w:adjustRightInd/>
              <w:spacing w:before="0" w:after="0"/>
              <w:rPr>
                <w:rFonts w:ascii="Arial Narrow" w:hAnsi="Arial Narrow"/>
                <w:color w:val="000000"/>
                <w:kern w:val="0"/>
                <w:sz w:val="18"/>
                <w:szCs w:val="18"/>
                <w:lang w:eastAsia="en-GB"/>
              </w:rPr>
            </w:pPr>
            <w:r w:rsidRPr="00C8504B">
              <w:rPr>
                <w:rFonts w:ascii="Arial Narrow" w:hAnsi="Arial Narrow"/>
                <w:color w:val="000000"/>
                <w:kern w:val="0"/>
                <w:sz w:val="18"/>
                <w:szCs w:val="18"/>
                <w:lang w:eastAsia="en-GB"/>
              </w:rPr>
              <w:t xml:space="preserve">Indice armonizzato IPCA </w:t>
            </w:r>
          </w:p>
        </w:tc>
        <w:tc>
          <w:tcPr>
            <w:tcW w:w="1134" w:type="dxa"/>
            <w:tcBorders>
              <w:top w:val="single" w:sz="4" w:space="0" w:color="auto"/>
              <w:left w:val="nil"/>
              <w:bottom w:val="single" w:sz="4" w:space="0" w:color="auto"/>
              <w:right w:val="nil"/>
            </w:tcBorders>
            <w:shd w:val="clear" w:color="000000" w:fill="D9D9D9"/>
          </w:tcPr>
          <w:p w:rsidR="00DD629D" w:rsidRPr="00DD629D" w:rsidRDefault="00DD629D" w:rsidP="00DD629D">
            <w:pPr>
              <w:tabs>
                <w:tab w:val="left" w:pos="5093"/>
              </w:tabs>
              <w:spacing w:before="40" w:after="20"/>
              <w:ind w:left="-57"/>
              <w:jc w:val="right"/>
              <w:rPr>
                <w:rFonts w:ascii="Arial Narrow" w:hAnsi="Arial Narrow" w:cs="Arial"/>
                <w:bCs/>
                <w:snapToGrid w:val="0"/>
                <w:sz w:val="18"/>
                <w:szCs w:val="18"/>
              </w:rPr>
            </w:pPr>
            <w:r w:rsidRPr="00DD629D">
              <w:rPr>
                <w:rFonts w:ascii="Arial Narrow" w:hAnsi="Arial Narrow" w:cs="Arial"/>
                <w:bCs/>
                <w:snapToGrid w:val="0"/>
                <w:sz w:val="18"/>
                <w:szCs w:val="18"/>
              </w:rPr>
              <w:t>115,7</w:t>
            </w:r>
          </w:p>
        </w:tc>
        <w:tc>
          <w:tcPr>
            <w:tcW w:w="1134" w:type="dxa"/>
            <w:tcBorders>
              <w:top w:val="single" w:sz="4" w:space="0" w:color="auto"/>
              <w:left w:val="nil"/>
              <w:bottom w:val="single" w:sz="4" w:space="0" w:color="auto"/>
              <w:right w:val="nil"/>
            </w:tcBorders>
            <w:shd w:val="clear" w:color="000000" w:fill="FFFFFF"/>
          </w:tcPr>
          <w:p w:rsidR="00DD629D" w:rsidRPr="00DD629D" w:rsidRDefault="00DD629D" w:rsidP="00DD629D">
            <w:pPr>
              <w:tabs>
                <w:tab w:val="left" w:pos="5093"/>
              </w:tabs>
              <w:spacing w:before="40" w:after="20"/>
              <w:ind w:left="-57"/>
              <w:jc w:val="right"/>
              <w:rPr>
                <w:rFonts w:ascii="Arial Narrow" w:hAnsi="Arial Narrow" w:cs="Arial"/>
                <w:bCs/>
                <w:snapToGrid w:val="0"/>
                <w:sz w:val="18"/>
                <w:szCs w:val="18"/>
              </w:rPr>
            </w:pPr>
            <w:r w:rsidRPr="00DD629D">
              <w:rPr>
                <w:rFonts w:ascii="Arial Narrow" w:hAnsi="Arial Narrow" w:cs="Arial"/>
                <w:bCs/>
                <w:snapToGrid w:val="0"/>
                <w:sz w:val="18"/>
                <w:szCs w:val="18"/>
              </w:rPr>
              <w:t>+1,7</w:t>
            </w:r>
          </w:p>
        </w:tc>
        <w:tc>
          <w:tcPr>
            <w:tcW w:w="1276" w:type="dxa"/>
            <w:gridSpan w:val="2"/>
            <w:tcBorders>
              <w:top w:val="single" w:sz="4" w:space="0" w:color="auto"/>
              <w:left w:val="nil"/>
              <w:bottom w:val="single" w:sz="4" w:space="0" w:color="auto"/>
              <w:right w:val="nil"/>
            </w:tcBorders>
            <w:shd w:val="clear" w:color="auto" w:fill="D9D9D9"/>
          </w:tcPr>
          <w:p w:rsidR="00DD629D" w:rsidRPr="00DD629D" w:rsidRDefault="00DD629D" w:rsidP="00DD629D">
            <w:pPr>
              <w:tabs>
                <w:tab w:val="left" w:pos="5093"/>
              </w:tabs>
              <w:spacing w:before="40" w:after="20"/>
              <w:ind w:left="-57"/>
              <w:jc w:val="right"/>
              <w:rPr>
                <w:rFonts w:ascii="Arial Narrow" w:hAnsi="Arial Narrow" w:cs="Arial"/>
                <w:bCs/>
                <w:snapToGrid w:val="0"/>
                <w:sz w:val="18"/>
                <w:szCs w:val="18"/>
              </w:rPr>
            </w:pPr>
            <w:r w:rsidRPr="00DD629D">
              <w:rPr>
                <w:rFonts w:ascii="Arial Narrow" w:hAnsi="Arial Narrow" w:cs="Arial"/>
                <w:bCs/>
                <w:snapToGrid w:val="0"/>
                <w:sz w:val="18"/>
                <w:szCs w:val="18"/>
              </w:rPr>
              <w:t>+9,5</w:t>
            </w:r>
          </w:p>
        </w:tc>
        <w:tc>
          <w:tcPr>
            <w:tcW w:w="1153" w:type="dxa"/>
            <w:tcBorders>
              <w:top w:val="single" w:sz="4" w:space="0" w:color="auto"/>
              <w:left w:val="nil"/>
              <w:bottom w:val="single" w:sz="4" w:space="0" w:color="auto"/>
              <w:right w:val="nil"/>
            </w:tcBorders>
            <w:shd w:val="clear" w:color="auto" w:fill="FFFFFF"/>
            <w:noWrap/>
            <w:vAlign w:val="bottom"/>
          </w:tcPr>
          <w:p w:rsidR="00DD629D" w:rsidRPr="00DD629D" w:rsidRDefault="00DD629D" w:rsidP="00DD629D">
            <w:pPr>
              <w:tabs>
                <w:tab w:val="left" w:pos="5093"/>
              </w:tabs>
              <w:spacing w:before="40" w:after="20"/>
              <w:ind w:left="-57"/>
              <w:jc w:val="right"/>
              <w:rPr>
                <w:rFonts w:ascii="Arial Narrow" w:hAnsi="Arial Narrow" w:cs="Arial"/>
                <w:bCs/>
                <w:snapToGrid w:val="0"/>
                <w:sz w:val="18"/>
                <w:szCs w:val="18"/>
              </w:rPr>
            </w:pPr>
            <w:r w:rsidRPr="00DD629D">
              <w:rPr>
                <w:rFonts w:ascii="Arial Narrow" w:hAnsi="Arial Narrow" w:cs="Arial"/>
                <w:bCs/>
                <w:snapToGrid w:val="0"/>
                <w:sz w:val="18"/>
                <w:szCs w:val="18"/>
              </w:rPr>
              <w:t>115,6</w:t>
            </w:r>
          </w:p>
        </w:tc>
        <w:tc>
          <w:tcPr>
            <w:tcW w:w="1290" w:type="dxa"/>
            <w:tcBorders>
              <w:top w:val="single" w:sz="4" w:space="0" w:color="auto"/>
              <w:left w:val="nil"/>
              <w:bottom w:val="single" w:sz="4" w:space="0" w:color="auto"/>
              <w:right w:val="nil"/>
            </w:tcBorders>
            <w:shd w:val="clear" w:color="auto" w:fill="D9D9D9"/>
            <w:noWrap/>
            <w:vAlign w:val="center"/>
          </w:tcPr>
          <w:p w:rsidR="00DD629D" w:rsidRPr="00DD629D" w:rsidRDefault="00DD629D" w:rsidP="00DD629D">
            <w:pPr>
              <w:tabs>
                <w:tab w:val="left" w:pos="5093"/>
              </w:tabs>
              <w:spacing w:before="40" w:after="20"/>
              <w:ind w:left="-57"/>
              <w:jc w:val="right"/>
              <w:rPr>
                <w:rFonts w:ascii="Arial Narrow" w:hAnsi="Arial Narrow" w:cs="Arial"/>
                <w:bCs/>
                <w:snapToGrid w:val="0"/>
                <w:sz w:val="18"/>
                <w:szCs w:val="18"/>
              </w:rPr>
            </w:pPr>
            <w:r w:rsidRPr="00DD629D">
              <w:rPr>
                <w:rFonts w:ascii="Arial Narrow" w:hAnsi="Arial Narrow" w:cs="Arial"/>
                <w:bCs/>
                <w:snapToGrid w:val="0"/>
                <w:sz w:val="18"/>
                <w:szCs w:val="18"/>
              </w:rPr>
              <w:t>+1,6</w:t>
            </w:r>
          </w:p>
        </w:tc>
        <w:tc>
          <w:tcPr>
            <w:tcW w:w="1119" w:type="dxa"/>
            <w:tcBorders>
              <w:top w:val="single" w:sz="4" w:space="0" w:color="auto"/>
              <w:left w:val="nil"/>
              <w:bottom w:val="single" w:sz="4" w:space="0" w:color="auto"/>
              <w:right w:val="nil"/>
            </w:tcBorders>
            <w:shd w:val="clear" w:color="000000" w:fill="FFFFFF"/>
            <w:noWrap/>
            <w:vAlign w:val="center"/>
          </w:tcPr>
          <w:p w:rsidR="00DD629D" w:rsidRPr="00DD629D" w:rsidRDefault="00DD629D" w:rsidP="00DD629D">
            <w:pPr>
              <w:tabs>
                <w:tab w:val="left" w:pos="5093"/>
              </w:tabs>
              <w:spacing w:before="40" w:after="20"/>
              <w:ind w:left="-57"/>
              <w:jc w:val="right"/>
              <w:rPr>
                <w:rFonts w:ascii="Arial Narrow" w:hAnsi="Arial Narrow" w:cs="Arial"/>
                <w:bCs/>
                <w:snapToGrid w:val="0"/>
                <w:sz w:val="18"/>
                <w:szCs w:val="18"/>
              </w:rPr>
            </w:pPr>
            <w:r w:rsidRPr="00DD629D">
              <w:rPr>
                <w:rFonts w:ascii="Arial Narrow" w:hAnsi="Arial Narrow" w:cs="Arial"/>
                <w:bCs/>
                <w:snapToGrid w:val="0"/>
                <w:sz w:val="18"/>
                <w:szCs w:val="18"/>
              </w:rPr>
              <w:t>+9,4</w:t>
            </w:r>
          </w:p>
        </w:tc>
      </w:tr>
    </w:tbl>
    <w:p w:rsidR="00EA102B" w:rsidRPr="000830DA" w:rsidRDefault="00EA102B" w:rsidP="000830DA">
      <w:pPr>
        <w:widowControl/>
        <w:overflowPunct/>
        <w:autoSpaceDE/>
        <w:autoSpaceDN/>
        <w:adjustRightInd/>
        <w:spacing w:before="0" w:after="0"/>
        <w:jc w:val="right"/>
        <w:rPr>
          <w:rFonts w:ascii="Arial Narrow" w:hAnsi="Arial Narrow"/>
          <w:color w:val="000000"/>
          <w:kern w:val="0"/>
          <w:sz w:val="18"/>
          <w:szCs w:val="18"/>
          <w:lang w:eastAsia="en-GB"/>
        </w:rPr>
      </w:pPr>
    </w:p>
    <w:p w:rsidR="00187F03" w:rsidRDefault="00187F03" w:rsidP="00D77C5C">
      <w:pPr>
        <w:pStyle w:val="Corpodeltesto2"/>
        <w:tabs>
          <w:tab w:val="left" w:pos="0"/>
          <w:tab w:val="left" w:pos="6300"/>
        </w:tabs>
        <w:spacing w:line="240" w:lineRule="auto"/>
        <w:jc w:val="both"/>
        <w:rPr>
          <w:rFonts w:ascii="Arial" w:hAnsi="Arial" w:cs="Arial"/>
          <w:iCs/>
          <w:kern w:val="28"/>
          <w:sz w:val="21"/>
          <w:szCs w:val="21"/>
        </w:rPr>
      </w:pPr>
    </w:p>
    <w:p w:rsidR="007C11B8" w:rsidRDefault="007C11B8" w:rsidP="00D77C5C">
      <w:pPr>
        <w:pStyle w:val="Corpodeltesto2"/>
        <w:tabs>
          <w:tab w:val="left" w:pos="0"/>
          <w:tab w:val="left" w:pos="6300"/>
        </w:tabs>
        <w:spacing w:line="240" w:lineRule="auto"/>
        <w:jc w:val="both"/>
        <w:rPr>
          <w:rFonts w:ascii="Arial" w:hAnsi="Arial" w:cs="Arial"/>
          <w:iCs/>
          <w:kern w:val="28"/>
          <w:sz w:val="21"/>
          <w:szCs w:val="21"/>
        </w:rPr>
      </w:pPr>
    </w:p>
    <w:p w:rsidR="007C11B8" w:rsidRDefault="007C11B8" w:rsidP="00D77C5C">
      <w:pPr>
        <w:pStyle w:val="Corpodeltesto2"/>
        <w:tabs>
          <w:tab w:val="left" w:pos="0"/>
          <w:tab w:val="left" w:pos="6300"/>
        </w:tabs>
        <w:spacing w:line="240" w:lineRule="auto"/>
        <w:jc w:val="both"/>
        <w:rPr>
          <w:rFonts w:ascii="Arial" w:hAnsi="Arial" w:cs="Arial"/>
          <w:iCs/>
          <w:kern w:val="28"/>
          <w:sz w:val="21"/>
          <w:szCs w:val="21"/>
        </w:rPr>
      </w:pPr>
    </w:p>
    <w:p w:rsidR="007C11B8" w:rsidRPr="00C8504B" w:rsidRDefault="007C11B8" w:rsidP="00D77C5C">
      <w:pPr>
        <w:pStyle w:val="Corpodeltesto2"/>
        <w:tabs>
          <w:tab w:val="left" w:pos="0"/>
          <w:tab w:val="left" w:pos="6300"/>
        </w:tabs>
        <w:spacing w:line="240" w:lineRule="auto"/>
        <w:jc w:val="both"/>
        <w:rPr>
          <w:rFonts w:ascii="Arial" w:hAnsi="Arial" w:cs="Arial"/>
          <w:iCs/>
          <w:kern w:val="28"/>
          <w:sz w:val="21"/>
          <w:szCs w:val="21"/>
        </w:rPr>
        <w:sectPr w:rsidR="007C11B8" w:rsidRPr="00C8504B" w:rsidSect="000161B7">
          <w:headerReference w:type="default" r:id="rId43"/>
          <w:pgSz w:w="11907" w:h="16840" w:code="9"/>
          <w:pgMar w:top="1537" w:right="851" w:bottom="680" w:left="851" w:header="567" w:footer="567" w:gutter="0"/>
          <w:cols w:space="720"/>
          <w:noEndnote/>
          <w:docGrid w:linePitch="272"/>
        </w:sectPr>
      </w:pPr>
    </w:p>
    <w:p w:rsidR="007D5F5F" w:rsidRDefault="007D5F5F" w:rsidP="007D5F5F">
      <w:pPr>
        <w:spacing w:before="0" w:after="120"/>
        <w:jc w:val="both"/>
        <w:rPr>
          <w:rFonts w:ascii="Arial" w:hAnsi="Arial" w:cs="Arial"/>
          <w:b/>
          <w:bCs/>
        </w:rPr>
      </w:pPr>
    </w:p>
    <w:p w:rsidR="005B7BD6" w:rsidRDefault="005B7BD6" w:rsidP="005B7BD6">
      <w:pPr>
        <w:spacing w:before="0" w:after="120"/>
        <w:jc w:val="both"/>
        <w:rPr>
          <w:rFonts w:ascii="Arial" w:hAnsi="Arial" w:cs="Arial"/>
          <w:b/>
          <w:bCs/>
        </w:rPr>
      </w:pPr>
      <w:r w:rsidRPr="000F531B">
        <w:rPr>
          <w:rFonts w:ascii="Arial" w:hAnsi="Arial" w:cs="Arial"/>
          <w:b/>
          <w:bCs/>
        </w:rPr>
        <w:t>Altri beni</w:t>
      </w:r>
      <w:r w:rsidRPr="000F531B">
        <w:rPr>
          <w:rFonts w:ascii="Arial" w:hAnsi="Arial" w:cs="Arial"/>
          <w:bCs/>
        </w:rPr>
        <w:t>:</w:t>
      </w:r>
      <w:r w:rsidRPr="000F531B">
        <w:rPr>
          <w:rFonts w:ascii="Arial" w:hAnsi="Arial" w:cs="Arial"/>
          <w:b/>
          <w:bCs/>
        </w:rPr>
        <w:t xml:space="preserve"> </w:t>
      </w:r>
      <w:r w:rsidRPr="000F531B">
        <w:rPr>
          <w:rFonts w:ascii="Arial" w:hAnsi="Arial" w:cs="Arial"/>
          <w:bCs/>
        </w:rPr>
        <w:t>comprendono i beni di consumo</w:t>
      </w:r>
    </w:p>
    <w:p w:rsidR="005B7BD6" w:rsidRPr="0052659F" w:rsidRDefault="005B7BD6" w:rsidP="005B7BD6">
      <w:pPr>
        <w:spacing w:before="0" w:after="120"/>
        <w:jc w:val="both"/>
        <w:rPr>
          <w:rFonts w:ascii="Arial" w:hAnsi="Arial" w:cs="Arial"/>
          <w:b/>
          <w:bCs/>
        </w:rPr>
      </w:pPr>
      <w:r w:rsidRPr="0052659F">
        <w:rPr>
          <w:rFonts w:ascii="Arial" w:hAnsi="Arial" w:cs="Arial"/>
          <w:b/>
          <w:bCs/>
        </w:rPr>
        <w:t>Altri beni</w:t>
      </w:r>
      <w:r w:rsidRPr="0052659F">
        <w:rPr>
          <w:rFonts w:ascii="Arial" w:hAnsi="Arial" w:cs="Arial"/>
          <w:bCs/>
        </w:rPr>
        <w:t>:</w:t>
      </w:r>
      <w:r w:rsidRPr="0052659F">
        <w:rPr>
          <w:rFonts w:ascii="Arial" w:hAnsi="Arial" w:cs="Arial"/>
          <w:b/>
          <w:bCs/>
        </w:rPr>
        <w:t xml:space="preserve"> </w:t>
      </w:r>
      <w:r w:rsidRPr="0052659F">
        <w:rPr>
          <w:rFonts w:ascii="Arial" w:hAnsi="Arial" w:cs="Arial"/>
          <w:bCs/>
        </w:rPr>
        <w:t>comprendono i beni di consumo ad esclusione dei beni alimentari, dei beni energetici e dei tabacchi.</w:t>
      </w:r>
    </w:p>
    <w:p w:rsidR="005B7BD6" w:rsidRPr="0052659F" w:rsidRDefault="005B7BD6" w:rsidP="005B7BD6">
      <w:pPr>
        <w:spacing w:before="0" w:after="120"/>
        <w:jc w:val="both"/>
        <w:rPr>
          <w:rFonts w:ascii="Arial" w:hAnsi="Arial" w:cs="Arial"/>
          <w:bCs/>
        </w:rPr>
      </w:pPr>
      <w:r w:rsidRPr="0052659F">
        <w:rPr>
          <w:rFonts w:ascii="Arial" w:hAnsi="Arial" w:cs="Arial"/>
          <w:b/>
          <w:bCs/>
        </w:rPr>
        <w:t>Altri beni regolamentati</w:t>
      </w:r>
      <w:r w:rsidRPr="0052659F">
        <w:rPr>
          <w:rFonts w:ascii="Arial" w:hAnsi="Arial" w:cs="Arial"/>
          <w:bCs/>
        </w:rPr>
        <w:t>: comprendono l’acqua potabile e i medicinali.</w:t>
      </w:r>
    </w:p>
    <w:p w:rsidR="005B7BD6" w:rsidRPr="000F531B" w:rsidRDefault="005B7BD6" w:rsidP="005B7BD6">
      <w:pPr>
        <w:spacing w:before="0" w:after="120"/>
        <w:jc w:val="both"/>
        <w:rPr>
          <w:rFonts w:ascii="Arial" w:hAnsi="Arial" w:cs="Arial"/>
          <w:bCs/>
        </w:rPr>
      </w:pPr>
      <w:r w:rsidRPr="0052659F">
        <w:rPr>
          <w:rFonts w:ascii="Arial" w:hAnsi="Arial" w:cs="Arial"/>
          <w:b/>
          <w:bCs/>
        </w:rPr>
        <w:t>Beni alimentari</w:t>
      </w:r>
      <w:r w:rsidRPr="0052659F">
        <w:rPr>
          <w:rFonts w:ascii="Arial" w:hAnsi="Arial" w:cs="Arial"/>
          <w:bCs/>
        </w:rPr>
        <w:t>: comprendono oltre ai generi alimentari (come, ad esempio, il pane, la carne, i formaggi), le bevande</w:t>
      </w:r>
      <w:r w:rsidRPr="000F531B">
        <w:rPr>
          <w:rFonts w:ascii="Arial" w:hAnsi="Arial" w:cs="Arial"/>
          <w:bCs/>
        </w:rPr>
        <w:t xml:space="preserve"> analcoliche e quelle alcoliche.</w:t>
      </w:r>
    </w:p>
    <w:p w:rsidR="005B7BD6" w:rsidRPr="000F531B" w:rsidRDefault="005B7BD6" w:rsidP="005B7BD6">
      <w:pPr>
        <w:spacing w:before="0" w:after="120"/>
        <w:jc w:val="both"/>
        <w:rPr>
          <w:rFonts w:ascii="Arial" w:hAnsi="Arial" w:cs="Arial"/>
          <w:bCs/>
        </w:rPr>
      </w:pPr>
      <w:r w:rsidRPr="000F531B">
        <w:rPr>
          <w:rFonts w:ascii="Arial" w:hAnsi="Arial" w:cs="Arial"/>
          <w:bCs/>
        </w:rPr>
        <w:t xml:space="preserve">Si definiscono </w:t>
      </w:r>
      <w:r w:rsidRPr="000F531B">
        <w:rPr>
          <w:rFonts w:ascii="Arial" w:hAnsi="Arial" w:cs="Arial"/>
          <w:bCs/>
          <w:i/>
        </w:rPr>
        <w:t>lavorati</w:t>
      </w:r>
      <w:r w:rsidRPr="000F531B">
        <w:rPr>
          <w:rFonts w:ascii="Arial" w:hAnsi="Arial" w:cs="Arial"/>
          <w:bCs/>
        </w:rPr>
        <w:t xml:space="preserve"> i beni alimentari destinati al consumo finale che sono il risultato di un processo di trasformazione industriale (come</w:t>
      </w:r>
      <w:r>
        <w:rPr>
          <w:rFonts w:ascii="Arial" w:hAnsi="Arial" w:cs="Arial"/>
          <w:bCs/>
        </w:rPr>
        <w:t>,</w:t>
      </w:r>
      <w:r w:rsidRPr="000F531B">
        <w:rPr>
          <w:rFonts w:ascii="Arial" w:hAnsi="Arial" w:cs="Arial"/>
          <w:bCs/>
        </w:rPr>
        <w:t xml:space="preserve"> ad esempio</w:t>
      </w:r>
      <w:r>
        <w:rPr>
          <w:rFonts w:ascii="Arial" w:hAnsi="Arial" w:cs="Arial"/>
          <w:bCs/>
        </w:rPr>
        <w:t>,</w:t>
      </w:r>
      <w:r w:rsidRPr="000F531B">
        <w:rPr>
          <w:rFonts w:ascii="Arial" w:hAnsi="Arial" w:cs="Arial"/>
          <w:bCs/>
        </w:rPr>
        <w:t xml:space="preserve"> i succhi di frutta, gli insaccati, i prodotti surgelati). Si dicono </w:t>
      </w:r>
      <w:r w:rsidRPr="000F531B">
        <w:rPr>
          <w:rFonts w:ascii="Arial" w:hAnsi="Arial" w:cs="Arial"/>
          <w:bCs/>
          <w:i/>
        </w:rPr>
        <w:t>non lavorati</w:t>
      </w:r>
      <w:r w:rsidRPr="000F531B">
        <w:rPr>
          <w:rFonts w:ascii="Arial" w:hAnsi="Arial" w:cs="Arial"/>
          <w:bCs/>
        </w:rPr>
        <w:t xml:space="preserve"> i beni alimentari non trasformati (come la carne fresca, il pesce fresco, la frutta e la verdura fresca).</w:t>
      </w:r>
    </w:p>
    <w:p w:rsidR="005B7BD6" w:rsidRPr="000F531B" w:rsidRDefault="005B7BD6" w:rsidP="005B7BD6">
      <w:pPr>
        <w:spacing w:before="0" w:after="120"/>
        <w:jc w:val="both"/>
        <w:rPr>
          <w:rFonts w:ascii="Arial" w:hAnsi="Arial" w:cs="Arial"/>
          <w:bCs/>
        </w:rPr>
      </w:pPr>
      <w:r w:rsidRPr="000F531B">
        <w:rPr>
          <w:rFonts w:ascii="Arial" w:hAnsi="Arial" w:cs="Arial"/>
          <w:b/>
          <w:bCs/>
        </w:rPr>
        <w:t>Beni alimentari, per la cura della casa e della persona</w:t>
      </w:r>
      <w:r w:rsidR="00FC185A">
        <w:rPr>
          <w:rFonts w:ascii="Arial" w:hAnsi="Arial" w:cs="Arial"/>
          <w:b/>
          <w:bCs/>
        </w:rPr>
        <w:t xml:space="preserve"> (</w:t>
      </w:r>
      <w:r w:rsidR="00FC185A" w:rsidRPr="00FC185A">
        <w:rPr>
          <w:rFonts w:ascii="Arial" w:hAnsi="Arial" w:cs="Arial"/>
          <w:b/>
          <w:bCs/>
        </w:rPr>
        <w:t>cos</w:t>
      </w:r>
      <w:r w:rsidR="00FC185A">
        <w:rPr>
          <w:rFonts w:ascii="Arial" w:hAnsi="Arial" w:cs="Arial"/>
          <w:b/>
          <w:bCs/>
        </w:rPr>
        <w:t>i</w:t>
      </w:r>
      <w:r w:rsidR="00FC185A" w:rsidRPr="00FC185A">
        <w:rPr>
          <w:rFonts w:ascii="Arial" w:hAnsi="Arial" w:cs="Arial"/>
          <w:b/>
          <w:bCs/>
        </w:rPr>
        <w:t>ddetto "carrello della spesa"</w:t>
      </w:r>
      <w:r w:rsidR="00FC185A">
        <w:rPr>
          <w:rFonts w:ascii="Arial" w:hAnsi="Arial" w:cs="Arial"/>
          <w:b/>
          <w:bCs/>
        </w:rPr>
        <w:t>)</w:t>
      </w:r>
      <w:r w:rsidRPr="000F531B">
        <w:rPr>
          <w:rFonts w:ascii="Arial" w:hAnsi="Arial" w:cs="Arial"/>
          <w:bCs/>
        </w:rPr>
        <w:t>: includono, oltre ai beni alimentari, i beni per la pulizia e la manutenzione ordinaria della casa e i beni per l’igiene personale e pr</w:t>
      </w:r>
      <w:r>
        <w:rPr>
          <w:rFonts w:ascii="Arial" w:hAnsi="Arial" w:cs="Arial"/>
          <w:bCs/>
        </w:rPr>
        <w:t>odotti di bellezza.</w:t>
      </w:r>
    </w:p>
    <w:p w:rsidR="005B7BD6" w:rsidRPr="000F531B" w:rsidRDefault="005B7BD6" w:rsidP="005B7BD6">
      <w:pPr>
        <w:spacing w:before="0" w:after="120"/>
        <w:jc w:val="both"/>
        <w:rPr>
          <w:rFonts w:ascii="Arial" w:hAnsi="Arial" w:cs="Arial"/>
          <w:b/>
          <w:bCs/>
        </w:rPr>
      </w:pPr>
      <w:r w:rsidRPr="000F531B">
        <w:rPr>
          <w:rFonts w:ascii="Arial" w:hAnsi="Arial" w:cs="Arial"/>
          <w:b/>
          <w:bCs/>
        </w:rPr>
        <w:t>Beni durevoli</w:t>
      </w:r>
      <w:r w:rsidRPr="000F531B">
        <w:rPr>
          <w:rFonts w:ascii="Arial" w:hAnsi="Arial" w:cs="Arial"/>
          <w:bCs/>
        </w:rPr>
        <w:t>: includono le autovetture, gli articoli di arredamento, gli elettrodomestici.</w:t>
      </w:r>
    </w:p>
    <w:p w:rsidR="005B7BD6" w:rsidRPr="000F531B" w:rsidRDefault="005B7BD6" w:rsidP="005B7BD6">
      <w:pPr>
        <w:spacing w:before="0" w:after="120"/>
        <w:jc w:val="both"/>
        <w:rPr>
          <w:rFonts w:ascii="Arial" w:hAnsi="Arial" w:cs="Arial"/>
          <w:b/>
          <w:bCs/>
        </w:rPr>
      </w:pPr>
      <w:r w:rsidRPr="000F531B">
        <w:rPr>
          <w:rFonts w:ascii="Arial" w:hAnsi="Arial" w:cs="Arial"/>
          <w:b/>
          <w:bCs/>
        </w:rPr>
        <w:t>Beni non durevoli</w:t>
      </w:r>
      <w:r w:rsidRPr="000F531B">
        <w:rPr>
          <w:rFonts w:ascii="Arial" w:hAnsi="Arial" w:cs="Arial"/>
          <w:bCs/>
        </w:rPr>
        <w:t>: comprendono i detergenti per la pulizia della casa, i prodotti per la cura della persona, i medicinali.</w:t>
      </w:r>
    </w:p>
    <w:p w:rsidR="005B7BD6" w:rsidRPr="000F531B" w:rsidRDefault="005B7BD6" w:rsidP="005B7BD6">
      <w:pPr>
        <w:spacing w:before="0" w:after="120"/>
        <w:jc w:val="both"/>
        <w:rPr>
          <w:rFonts w:ascii="Arial" w:hAnsi="Arial" w:cs="Arial"/>
          <w:b/>
          <w:bCs/>
        </w:rPr>
      </w:pPr>
      <w:r w:rsidRPr="000F531B">
        <w:rPr>
          <w:rFonts w:ascii="Arial" w:hAnsi="Arial" w:cs="Arial"/>
          <w:b/>
          <w:bCs/>
        </w:rPr>
        <w:t>Beni semidurevoli</w:t>
      </w:r>
      <w:r w:rsidRPr="000F531B">
        <w:rPr>
          <w:rFonts w:ascii="Arial" w:hAnsi="Arial" w:cs="Arial"/>
          <w:bCs/>
        </w:rPr>
        <w:t>: comprendono i capi di abbigliamento, le calzature, i libri.</w:t>
      </w:r>
      <w:r w:rsidRPr="000F531B">
        <w:rPr>
          <w:rFonts w:ascii="Arial" w:hAnsi="Arial" w:cs="Arial"/>
          <w:b/>
          <w:bCs/>
        </w:rPr>
        <w:t xml:space="preserve"> </w:t>
      </w:r>
    </w:p>
    <w:p w:rsidR="005B7BD6" w:rsidRPr="000F531B" w:rsidRDefault="005B7BD6" w:rsidP="005B7BD6">
      <w:pPr>
        <w:spacing w:before="0" w:after="120"/>
        <w:jc w:val="both"/>
        <w:rPr>
          <w:rFonts w:ascii="Arial" w:hAnsi="Arial" w:cs="Arial"/>
          <w:bCs/>
        </w:rPr>
      </w:pPr>
      <w:r w:rsidRPr="000F531B">
        <w:rPr>
          <w:rFonts w:ascii="Arial" w:hAnsi="Arial" w:cs="Arial"/>
          <w:b/>
          <w:bCs/>
        </w:rPr>
        <w:t>Beni energetici regolamentati</w:t>
      </w:r>
      <w:r w:rsidRPr="000F531B">
        <w:rPr>
          <w:rFonts w:ascii="Arial" w:hAnsi="Arial" w:cs="Arial"/>
          <w:bCs/>
        </w:rPr>
        <w:t xml:space="preserve">: includono le tariffe per l’energia elettrica </w:t>
      </w:r>
      <w:r>
        <w:rPr>
          <w:rFonts w:ascii="Arial" w:hAnsi="Arial" w:cs="Arial"/>
          <w:bCs/>
        </w:rPr>
        <w:t xml:space="preserve">mercato tutelato </w:t>
      </w:r>
      <w:r w:rsidRPr="000F531B">
        <w:rPr>
          <w:rFonts w:ascii="Arial" w:hAnsi="Arial" w:cs="Arial"/>
          <w:bCs/>
        </w:rPr>
        <w:t>e il gas di rete per uso domestico.</w:t>
      </w:r>
    </w:p>
    <w:p w:rsidR="005B7BD6" w:rsidRPr="000F531B" w:rsidRDefault="005B7BD6" w:rsidP="005B7BD6">
      <w:pPr>
        <w:spacing w:before="0" w:after="120"/>
        <w:jc w:val="both"/>
        <w:rPr>
          <w:rFonts w:ascii="Arial" w:hAnsi="Arial" w:cs="Arial"/>
          <w:bCs/>
        </w:rPr>
      </w:pPr>
      <w:r w:rsidRPr="000F531B">
        <w:rPr>
          <w:rFonts w:ascii="Arial" w:hAnsi="Arial" w:cs="Arial"/>
          <w:b/>
          <w:bCs/>
        </w:rPr>
        <w:t>Beni energetici non regolamentati</w:t>
      </w:r>
      <w:r w:rsidRPr="000F531B">
        <w:rPr>
          <w:rFonts w:ascii="Arial" w:hAnsi="Arial" w:cs="Arial"/>
          <w:bCs/>
        </w:rPr>
        <w:t>: comprendono i carburanti per g</w:t>
      </w:r>
      <w:r>
        <w:rPr>
          <w:rFonts w:ascii="Arial" w:hAnsi="Arial" w:cs="Arial"/>
          <w:bCs/>
        </w:rPr>
        <w:t>li autoveicoli, i lubrificanti,</w:t>
      </w:r>
      <w:r w:rsidRPr="000F531B">
        <w:rPr>
          <w:rFonts w:ascii="Arial" w:hAnsi="Arial" w:cs="Arial"/>
          <w:bCs/>
        </w:rPr>
        <w:t xml:space="preserve"> i combustibili per u</w:t>
      </w:r>
      <w:r>
        <w:rPr>
          <w:rFonts w:ascii="Arial" w:hAnsi="Arial" w:cs="Arial"/>
          <w:bCs/>
        </w:rPr>
        <w:t xml:space="preserve">so domestico non regolamentati </w:t>
      </w:r>
      <w:r w:rsidRPr="000F531B">
        <w:rPr>
          <w:rFonts w:ascii="Arial" w:hAnsi="Arial" w:cs="Arial"/>
          <w:bCs/>
        </w:rPr>
        <w:t xml:space="preserve">e l’energia elettrica </w:t>
      </w:r>
      <w:r>
        <w:rPr>
          <w:rFonts w:ascii="Arial" w:hAnsi="Arial" w:cs="Arial"/>
          <w:bCs/>
        </w:rPr>
        <w:t>mercato libero.</w:t>
      </w:r>
    </w:p>
    <w:p w:rsidR="005B7BD6" w:rsidRPr="000F531B" w:rsidRDefault="005B7BD6" w:rsidP="005B7BD6">
      <w:pPr>
        <w:spacing w:before="0" w:after="120"/>
        <w:jc w:val="both"/>
        <w:rPr>
          <w:rFonts w:ascii="Arial" w:hAnsi="Arial" w:cs="Arial"/>
          <w:bCs/>
        </w:rPr>
      </w:pPr>
      <w:r w:rsidRPr="000F531B">
        <w:rPr>
          <w:rFonts w:ascii="Arial" w:hAnsi="Arial" w:cs="Arial"/>
          <w:b/>
          <w:bCs/>
        </w:rPr>
        <w:t>Beni regolamentati</w:t>
      </w:r>
      <w:r w:rsidRPr="000F531B">
        <w:rPr>
          <w:rFonts w:ascii="Arial" w:hAnsi="Arial" w:cs="Arial"/>
          <w:bCs/>
        </w:rPr>
        <w:t>: includono i beni energetici regolamentati e gli altri beni regolamentati.</w:t>
      </w:r>
    </w:p>
    <w:p w:rsidR="005B7BD6" w:rsidRPr="000F531B" w:rsidRDefault="005B7BD6" w:rsidP="005B7BD6">
      <w:pPr>
        <w:spacing w:before="0" w:after="120"/>
        <w:jc w:val="both"/>
        <w:rPr>
          <w:rFonts w:ascii="Arial" w:hAnsi="Arial" w:cs="Arial"/>
          <w:bCs/>
        </w:rPr>
      </w:pPr>
      <w:r w:rsidRPr="000F531B">
        <w:rPr>
          <w:rFonts w:ascii="Arial" w:hAnsi="Arial" w:cs="Arial"/>
          <w:b/>
          <w:bCs/>
        </w:rPr>
        <w:t>COICOP</w:t>
      </w:r>
      <w:r w:rsidRPr="000F531B">
        <w:rPr>
          <w:rFonts w:ascii="Arial" w:hAnsi="Arial" w:cs="Arial"/>
          <w:bCs/>
        </w:rPr>
        <w:t>: classificazione dei consumi individuali secondo l’utilizzo finale</w:t>
      </w:r>
      <w:r>
        <w:rPr>
          <w:rFonts w:ascii="Arial" w:hAnsi="Arial" w:cs="Arial"/>
          <w:bCs/>
        </w:rPr>
        <w:t>.</w:t>
      </w:r>
    </w:p>
    <w:p w:rsidR="005B7BD6" w:rsidRPr="000F531B" w:rsidRDefault="005B7BD6" w:rsidP="005B7BD6">
      <w:pPr>
        <w:spacing w:before="0" w:after="120"/>
        <w:jc w:val="both"/>
        <w:rPr>
          <w:rFonts w:ascii="Arial" w:hAnsi="Arial" w:cs="Arial"/>
        </w:rPr>
      </w:pPr>
      <w:r w:rsidRPr="000F531B">
        <w:rPr>
          <w:rFonts w:ascii="Arial" w:hAnsi="Arial" w:cs="Arial"/>
          <w:b/>
        </w:rPr>
        <w:t>Componente di fondo</w:t>
      </w:r>
      <w:r w:rsidRPr="000F531B">
        <w:rPr>
          <w:rFonts w:ascii="Arial" w:hAnsi="Arial" w:cs="Arial"/>
        </w:rPr>
        <w:t xml:space="preserve">: viene calcolata escludendo i beni alimentari non lavorati e i beni energetici. </w:t>
      </w:r>
    </w:p>
    <w:p w:rsidR="005B7BD6" w:rsidRPr="000F531B" w:rsidRDefault="005B7BD6" w:rsidP="005B7BD6">
      <w:pPr>
        <w:spacing w:before="0" w:after="120"/>
        <w:jc w:val="both"/>
        <w:rPr>
          <w:rFonts w:ascii="Arial" w:hAnsi="Arial" w:cs="Arial"/>
          <w:bCs/>
        </w:rPr>
      </w:pPr>
      <w:r w:rsidRPr="000F531B">
        <w:rPr>
          <w:rFonts w:ascii="Arial" w:hAnsi="Arial" w:cs="Arial"/>
          <w:b/>
          <w:bCs/>
        </w:rPr>
        <w:t>Contributo alla variazione tendenziale dell’indice generale</w:t>
      </w:r>
      <w:r w:rsidRPr="000F531B">
        <w:rPr>
          <w:rFonts w:ascii="Arial" w:hAnsi="Arial" w:cs="Arial"/>
          <w:bCs/>
        </w:rPr>
        <w:t>: permette di valutare l’incidenza delle variazioni di prezzo delle singole componenti sull’aumento o sulla diminuzione dell’indice aggregato. A tal fine, il tasso di variazione tendenziale dell’indice generale viene scomposto nella somma degli effetti attribuibili a ciascuna delle variazioni delle sue componenti. Poiché si tratta di un indice concatenato, il contributo della componente i-esima alla variazione dell’indice generale è funzione della dinamica di prezzo di tale componente e della modifica del suo peso relativo nei due anni a confronto. I contributi alla variazione tendenziale dell’indice generale sono calcolati a partire dagli indici elementari di prezzo dei prodotti del paniere di riferimento. Per effetto degli arrotondamenti, la loro somma può differire dalla variazione dell’indice generale.</w:t>
      </w:r>
    </w:p>
    <w:p w:rsidR="005B7BD6" w:rsidRPr="000F531B" w:rsidRDefault="009C5BA6" w:rsidP="005B7BD6">
      <w:pPr>
        <w:spacing w:before="0" w:after="120"/>
        <w:jc w:val="both"/>
        <w:rPr>
          <w:rFonts w:ascii="Arial" w:hAnsi="Arial" w:cs="Arial"/>
          <w:b/>
          <w:bCs/>
        </w:rPr>
      </w:pPr>
      <w:hyperlink r:id="rId44" w:history="1">
        <w:r w:rsidR="005B7BD6" w:rsidRPr="00C55AE4">
          <w:rPr>
            <w:rStyle w:val="Collegamentoipertestuale"/>
            <w:rFonts w:ascii="Arial" w:hAnsi="Arial" w:cs="Arial"/>
            <w:b/>
            <w:bCs/>
          </w:rPr>
          <w:t>ECOICOP</w:t>
        </w:r>
      </w:hyperlink>
      <w:r w:rsidR="005B7BD6">
        <w:rPr>
          <w:rFonts w:ascii="Arial" w:hAnsi="Arial" w:cs="Arial"/>
          <w:bCs/>
        </w:rPr>
        <w:t xml:space="preserve">: </w:t>
      </w:r>
      <w:r w:rsidR="005B7BD6" w:rsidRPr="000F531B">
        <w:rPr>
          <w:rFonts w:ascii="Arial" w:hAnsi="Arial" w:cs="Arial"/>
          <w:bCs/>
        </w:rPr>
        <w:t>classificazione europea dei consumi individuali secondo l’utilizzo finale</w:t>
      </w:r>
      <w:r w:rsidR="005B7BD6" w:rsidRPr="00C55AE4">
        <w:rPr>
          <w:rFonts w:ascii="Arial" w:hAnsi="Arial" w:cs="Arial"/>
          <w:bCs/>
        </w:rPr>
        <w:t>, che prevede un livello di dettaglio (le sottoclassi) maggiore rispetto alla COICOP.</w:t>
      </w:r>
    </w:p>
    <w:p w:rsidR="005B7BD6" w:rsidRDefault="005B7BD6" w:rsidP="005B7BD6">
      <w:pPr>
        <w:spacing w:before="0" w:after="120"/>
        <w:jc w:val="both"/>
        <w:rPr>
          <w:rFonts w:ascii="Arial" w:hAnsi="Arial" w:cs="Arial"/>
          <w:bCs/>
        </w:rPr>
      </w:pPr>
      <w:r w:rsidRPr="000F531B">
        <w:rPr>
          <w:rFonts w:ascii="Arial" w:hAnsi="Arial" w:cs="Arial"/>
          <w:b/>
          <w:bCs/>
        </w:rPr>
        <w:t>FOI</w:t>
      </w:r>
      <w:r w:rsidRPr="000F531B">
        <w:rPr>
          <w:rFonts w:ascii="Arial" w:hAnsi="Arial" w:cs="Arial"/>
          <w:bCs/>
        </w:rPr>
        <w:t>: indice nazionale dei prezzi al consumo per le famiglie di operai e impiegati.</w:t>
      </w:r>
    </w:p>
    <w:p w:rsidR="005B7BD6" w:rsidRDefault="005B7BD6" w:rsidP="005B7BD6">
      <w:pPr>
        <w:spacing w:before="0" w:after="120"/>
        <w:jc w:val="both"/>
        <w:rPr>
          <w:rFonts w:ascii="Arial" w:hAnsi="Arial" w:cs="Arial"/>
          <w:bCs/>
        </w:rPr>
      </w:pPr>
      <w:r w:rsidRPr="00C96343">
        <w:rPr>
          <w:rFonts w:ascii="Arial" w:hAnsi="Arial" w:cs="Arial"/>
          <w:b/>
          <w:bCs/>
        </w:rPr>
        <w:t>Inflazione</w:t>
      </w:r>
      <w:r w:rsidRPr="00C96343">
        <w:rPr>
          <w:rFonts w:ascii="Arial" w:hAnsi="Arial" w:cs="Arial"/>
          <w:bCs/>
        </w:rPr>
        <w:t>: misura le variazioni nel tempo dei prezzi di un insieme di prodotti (paniere) rappresentativo di tutti i beni e servizi destinati al consumo finale delle famiglie, acquistabili sul mercato attraverso transazioni monetarie.</w:t>
      </w:r>
    </w:p>
    <w:p w:rsidR="005B7BD6" w:rsidRPr="000F531B" w:rsidRDefault="005B7BD6" w:rsidP="005B7BD6">
      <w:pPr>
        <w:spacing w:before="0" w:after="120"/>
        <w:jc w:val="both"/>
        <w:rPr>
          <w:rFonts w:ascii="Arial" w:hAnsi="Arial" w:cs="Arial"/>
          <w:bCs/>
        </w:rPr>
      </w:pPr>
      <w:r w:rsidRPr="000F531B">
        <w:rPr>
          <w:rFonts w:ascii="Arial" w:hAnsi="Arial" w:cs="Arial"/>
          <w:b/>
          <w:bCs/>
        </w:rPr>
        <w:t>Inflazione acquisita</w:t>
      </w:r>
      <w:r w:rsidRPr="000F531B">
        <w:rPr>
          <w:rFonts w:ascii="Arial" w:hAnsi="Arial" w:cs="Arial"/>
          <w:bCs/>
        </w:rPr>
        <w:t xml:space="preserve">: rappresenta la variazione media dell’indice nell’anno indicato, che si avrebbe ipotizzando che l’indice stesso rimanga al medesimo livello dell’ultimo dato mensile disponibile nella restante parte dell’anno. </w:t>
      </w:r>
    </w:p>
    <w:p w:rsidR="005B7BD6" w:rsidRPr="000F531B" w:rsidRDefault="005B7BD6" w:rsidP="005B7BD6">
      <w:pPr>
        <w:spacing w:before="0" w:after="120"/>
        <w:jc w:val="both"/>
        <w:rPr>
          <w:rFonts w:ascii="Arial" w:hAnsi="Arial" w:cs="Arial"/>
          <w:bCs/>
        </w:rPr>
      </w:pPr>
      <w:r w:rsidRPr="000F531B">
        <w:rPr>
          <w:rFonts w:ascii="Arial" w:hAnsi="Arial" w:cs="Arial"/>
          <w:b/>
          <w:bCs/>
        </w:rPr>
        <w:t>IPCA</w:t>
      </w:r>
      <w:r w:rsidRPr="000F531B">
        <w:rPr>
          <w:rFonts w:ascii="Arial" w:hAnsi="Arial" w:cs="Arial"/>
          <w:bCs/>
        </w:rPr>
        <w:t>: indice armonizzato dei prezzi al consumo per i Paesi dell’Unione europea.</w:t>
      </w:r>
    </w:p>
    <w:p w:rsidR="005B7BD6" w:rsidRPr="000F531B" w:rsidRDefault="005B7BD6" w:rsidP="005B7BD6">
      <w:pPr>
        <w:spacing w:before="0" w:after="120"/>
        <w:jc w:val="both"/>
        <w:rPr>
          <w:rFonts w:ascii="Arial" w:hAnsi="Arial" w:cs="Arial"/>
          <w:bCs/>
        </w:rPr>
      </w:pPr>
      <w:r w:rsidRPr="000F531B">
        <w:rPr>
          <w:rFonts w:ascii="Arial" w:hAnsi="Arial" w:cs="Arial"/>
          <w:b/>
          <w:bCs/>
        </w:rPr>
        <w:t>IPCA-AS</w:t>
      </w:r>
      <w:r w:rsidRPr="000F531B">
        <w:rPr>
          <w:rFonts w:ascii="Arial" w:hAnsi="Arial" w:cs="Arial"/>
          <w:bCs/>
        </w:rPr>
        <w:t>: indici armonizzati dei prezzi al consumo per aggregati speciali</w:t>
      </w:r>
      <w:r>
        <w:rPr>
          <w:rFonts w:ascii="Arial" w:hAnsi="Arial" w:cs="Arial"/>
          <w:bCs/>
        </w:rPr>
        <w:t xml:space="preserve"> s</w:t>
      </w:r>
      <w:r w:rsidRPr="000F531B">
        <w:rPr>
          <w:rFonts w:ascii="Arial" w:hAnsi="Arial" w:cs="Arial"/>
          <w:bCs/>
        </w:rPr>
        <w:t xml:space="preserve">ono indicatori costruiti secondo uno schema classificatorio </w:t>
      </w:r>
      <w:r>
        <w:rPr>
          <w:rFonts w:ascii="Arial" w:hAnsi="Arial" w:cs="Arial"/>
          <w:bCs/>
        </w:rPr>
        <w:t>diverso</w:t>
      </w:r>
      <w:r w:rsidRPr="000F531B">
        <w:rPr>
          <w:rFonts w:ascii="Arial" w:hAnsi="Arial" w:cs="Arial"/>
          <w:bCs/>
        </w:rPr>
        <w:t xml:space="preserve"> </w:t>
      </w:r>
      <w:r>
        <w:rPr>
          <w:rFonts w:ascii="Arial" w:hAnsi="Arial" w:cs="Arial"/>
          <w:bCs/>
        </w:rPr>
        <w:t>d</w:t>
      </w:r>
      <w:r w:rsidRPr="000F531B">
        <w:rPr>
          <w:rFonts w:ascii="Arial" w:hAnsi="Arial" w:cs="Arial"/>
          <w:bCs/>
        </w:rPr>
        <w:t>alla ECOICOP-IPCA e da quello utilizzato per gli indici NIC per tipologia di prodotto. L</w:t>
      </w:r>
      <w:r>
        <w:rPr>
          <w:rFonts w:ascii="Arial" w:hAnsi="Arial" w:cs="Arial"/>
          <w:bCs/>
        </w:rPr>
        <w:t>a struttura</w:t>
      </w:r>
      <w:r w:rsidRPr="000F531B">
        <w:rPr>
          <w:rFonts w:ascii="Arial" w:hAnsi="Arial" w:cs="Arial"/>
          <w:bCs/>
        </w:rPr>
        <w:t xml:space="preserve"> di classificazione </w:t>
      </w:r>
      <w:r>
        <w:rPr>
          <w:rFonts w:ascii="Arial" w:hAnsi="Arial" w:cs="Arial"/>
          <w:bCs/>
        </w:rPr>
        <w:t>e le procedure</w:t>
      </w:r>
      <w:r w:rsidRPr="000F531B">
        <w:rPr>
          <w:rFonts w:ascii="Arial" w:hAnsi="Arial" w:cs="Arial"/>
          <w:bCs/>
        </w:rPr>
        <w:t xml:space="preserve"> di calcolo sono comuni a quell</w:t>
      </w:r>
      <w:r>
        <w:rPr>
          <w:rFonts w:ascii="Arial" w:hAnsi="Arial" w:cs="Arial"/>
          <w:bCs/>
        </w:rPr>
        <w:t>e</w:t>
      </w:r>
      <w:r w:rsidRPr="000F531B">
        <w:rPr>
          <w:rFonts w:ascii="Arial" w:hAnsi="Arial" w:cs="Arial"/>
          <w:bCs/>
        </w:rPr>
        <w:t xml:space="preserve"> </w:t>
      </w:r>
      <w:r w:rsidRPr="000F531B">
        <w:rPr>
          <w:rFonts w:ascii="Arial" w:hAnsi="Arial" w:cs="Arial"/>
        </w:rPr>
        <w:t>utilizzat</w:t>
      </w:r>
      <w:r>
        <w:rPr>
          <w:rFonts w:ascii="Arial" w:hAnsi="Arial" w:cs="Arial"/>
        </w:rPr>
        <w:t>e</w:t>
      </w:r>
      <w:r w:rsidRPr="000F531B">
        <w:rPr>
          <w:rFonts w:ascii="Arial" w:hAnsi="Arial" w:cs="Arial"/>
        </w:rPr>
        <w:t xml:space="preserve"> da Eurostat</w:t>
      </w:r>
      <w:r>
        <w:rPr>
          <w:rFonts w:ascii="Arial" w:hAnsi="Arial" w:cs="Arial"/>
        </w:rPr>
        <w:t xml:space="preserve"> e ne condividono le innovazioni di carattere metodologico</w:t>
      </w:r>
      <w:r w:rsidRPr="000F531B">
        <w:rPr>
          <w:rFonts w:ascii="Arial" w:hAnsi="Arial" w:cs="Arial"/>
        </w:rPr>
        <w:t>.</w:t>
      </w:r>
      <w:r>
        <w:rPr>
          <w:rFonts w:ascii="Arial" w:hAnsi="Arial" w:cs="Arial"/>
        </w:rPr>
        <w:t xml:space="preserve"> In particolare, dalla diffusione degli indici definitivi di gennaio 2019 cambia il metodo di calcolo degli aggregati speciali dell’IPCA che sono ottenuti aggregando gli indici delle sottoclassi della ECOICOP (in precedenza, per il computo di questi indicatori erano utilizzati gli indici delle classi).</w:t>
      </w:r>
      <w:r w:rsidRPr="000F531B">
        <w:rPr>
          <w:rFonts w:ascii="Arial" w:hAnsi="Arial" w:cs="Arial"/>
          <w:bCs/>
        </w:rPr>
        <w:t xml:space="preserve"> </w:t>
      </w:r>
      <w:r>
        <w:rPr>
          <w:rFonts w:ascii="Arial" w:hAnsi="Arial" w:cs="Arial"/>
          <w:bCs/>
        </w:rPr>
        <w:t>Per una migliore fruibilità dei nuovi indicatori, le serie degli aggregati speciali, secondo il nuovo schema, sono state ricostruite per il periodo gennaio 2017 - dicembre 2018 e sostituiscono, per l’intervallo temporale in questione, quelle precedentemente diffuse, basate sulla vecchia metodologia di calcolo</w:t>
      </w:r>
      <w:r w:rsidRPr="000F531B">
        <w:rPr>
          <w:rFonts w:ascii="Arial" w:hAnsi="Arial" w:cs="Arial"/>
        </w:rPr>
        <w:t>.</w:t>
      </w:r>
      <w:r w:rsidRPr="000F531B">
        <w:rPr>
          <w:rFonts w:ascii="Arial" w:hAnsi="Arial" w:cs="Arial"/>
          <w:bCs/>
        </w:rPr>
        <w:t xml:space="preserve"> </w:t>
      </w:r>
    </w:p>
    <w:p w:rsidR="005B0AE5" w:rsidRDefault="005B0AE5" w:rsidP="005B7BD6">
      <w:pPr>
        <w:spacing w:before="0" w:after="120"/>
        <w:jc w:val="both"/>
        <w:rPr>
          <w:rFonts w:ascii="Arial" w:hAnsi="Arial" w:cs="Arial"/>
          <w:b/>
          <w:bCs/>
        </w:rPr>
      </w:pPr>
    </w:p>
    <w:p w:rsidR="005B0AE5" w:rsidRDefault="005B0AE5" w:rsidP="005B7BD6">
      <w:pPr>
        <w:spacing w:before="0" w:after="120"/>
        <w:jc w:val="both"/>
        <w:rPr>
          <w:rFonts w:ascii="Arial" w:hAnsi="Arial" w:cs="Arial"/>
          <w:b/>
          <w:bCs/>
        </w:rPr>
      </w:pPr>
    </w:p>
    <w:p w:rsidR="005B7BD6" w:rsidRPr="000F531B" w:rsidRDefault="005B7BD6" w:rsidP="005B7BD6">
      <w:pPr>
        <w:spacing w:before="0" w:after="120"/>
        <w:jc w:val="both"/>
        <w:rPr>
          <w:rFonts w:ascii="Arial" w:hAnsi="Arial" w:cs="Arial"/>
          <w:bCs/>
        </w:rPr>
      </w:pPr>
      <w:r w:rsidRPr="000F531B">
        <w:rPr>
          <w:rFonts w:ascii="Arial" w:hAnsi="Arial" w:cs="Arial"/>
          <w:b/>
          <w:bCs/>
        </w:rPr>
        <w:t>IPCA-TC</w:t>
      </w:r>
      <w:r w:rsidRPr="000F531B">
        <w:rPr>
          <w:rFonts w:ascii="Arial" w:hAnsi="Arial" w:cs="Arial"/>
          <w:bCs/>
        </w:rPr>
        <w:t>: indice armonizzato dei prezzi al consumo a tassazione costante per i Paesi dell’Unione europea.</w:t>
      </w:r>
    </w:p>
    <w:p w:rsidR="005B7BD6" w:rsidRPr="000F531B" w:rsidRDefault="005B7BD6" w:rsidP="005B7BD6">
      <w:pPr>
        <w:spacing w:before="0" w:after="120"/>
        <w:jc w:val="both"/>
        <w:rPr>
          <w:rFonts w:ascii="Arial" w:hAnsi="Arial" w:cs="Arial"/>
        </w:rPr>
      </w:pPr>
      <w:r w:rsidRPr="000F531B">
        <w:rPr>
          <w:rFonts w:ascii="Arial" w:hAnsi="Arial" w:cs="Arial"/>
          <w:b/>
        </w:rPr>
        <w:t>NIC</w:t>
      </w:r>
      <w:r w:rsidRPr="000F531B">
        <w:rPr>
          <w:rFonts w:ascii="Arial" w:hAnsi="Arial" w:cs="Arial"/>
        </w:rPr>
        <w:t>: indice nazionale dei prezzi al consumo per l’intera collettività.</w:t>
      </w:r>
    </w:p>
    <w:p w:rsidR="005B7BD6" w:rsidRPr="000F531B" w:rsidRDefault="005B7BD6" w:rsidP="005B7BD6">
      <w:pPr>
        <w:widowControl/>
        <w:overflowPunct/>
        <w:autoSpaceDE/>
        <w:adjustRightInd/>
        <w:spacing w:before="0" w:after="120"/>
        <w:jc w:val="both"/>
        <w:rPr>
          <w:rFonts w:ascii="Arial" w:hAnsi="Arial" w:cs="Arial"/>
        </w:rPr>
      </w:pPr>
      <w:r w:rsidRPr="000F531B">
        <w:rPr>
          <w:rFonts w:ascii="Arial" w:hAnsi="Arial" w:cs="Arial"/>
          <w:b/>
        </w:rPr>
        <w:t>Prodotti ad alta frequenza di acquisto</w:t>
      </w:r>
      <w:r w:rsidRPr="000F531B">
        <w:rPr>
          <w:rFonts w:ascii="Arial" w:hAnsi="Arial" w:cs="Arial"/>
        </w:rPr>
        <w:t>: includono, oltre ai generi alimentari, le bevande alcoliche e analcoliche, i tabacchi, le spese per l’affitto, i beni non durevoli per la casa, i servizi per la pulizia e manutenzione della casa, i carburanti, i trasporti urbani, i giornali e i periodici, i servizi di ristorazione, le spese di assistenza.</w:t>
      </w:r>
    </w:p>
    <w:p w:rsidR="005B7BD6" w:rsidRPr="000F531B" w:rsidRDefault="005B7BD6" w:rsidP="005B7BD6">
      <w:pPr>
        <w:spacing w:before="0" w:after="120"/>
        <w:ind w:right="38"/>
        <w:jc w:val="both"/>
        <w:rPr>
          <w:rFonts w:ascii="Arial" w:hAnsi="Arial" w:cs="Arial"/>
        </w:rPr>
      </w:pPr>
      <w:r w:rsidRPr="000F531B">
        <w:rPr>
          <w:rFonts w:ascii="Arial" w:hAnsi="Arial" w:cs="Arial"/>
          <w:b/>
        </w:rPr>
        <w:t>Prodotti a media frequenza</w:t>
      </w:r>
      <w:r w:rsidRPr="000F531B">
        <w:rPr>
          <w:rFonts w:ascii="Arial" w:hAnsi="Arial" w:cs="Arial"/>
        </w:rPr>
        <w:t xml:space="preserve"> </w:t>
      </w:r>
      <w:r w:rsidRPr="000F531B">
        <w:rPr>
          <w:rFonts w:ascii="Arial" w:hAnsi="Arial" w:cs="Arial"/>
          <w:b/>
        </w:rPr>
        <w:t>di acquisto</w:t>
      </w:r>
      <w:r w:rsidRPr="000F531B">
        <w:rPr>
          <w:rFonts w:ascii="Arial" w:hAnsi="Arial" w:cs="Arial"/>
        </w:rPr>
        <w:t xml:space="preserve">: comprendono, </w:t>
      </w:r>
      <w:r w:rsidRPr="00642DBC">
        <w:rPr>
          <w:rFonts w:ascii="Arial" w:hAnsi="Arial" w:cs="Arial"/>
        </w:rPr>
        <w:t>tra gli altri,</w:t>
      </w:r>
      <w:r w:rsidRPr="000F531B">
        <w:rPr>
          <w:rFonts w:ascii="Arial" w:hAnsi="Arial" w:cs="Arial"/>
        </w:rPr>
        <w:t xml:space="preserve"> le spese di abbigliamento, le tariffe elettriche e quelle relative all’acqua potabile e lo smaltimento dei rifiuti, i medicinali, i servizi medici e quelli dentistici, i trasporti stradali, ferroviari marittimi e aerei, i servizi postali e telefonici, i servizi ricreativi e culturali, i pacchetti vacanze, i libri, gli alberghi e gli altri servizi di alloggio.</w:t>
      </w:r>
    </w:p>
    <w:p w:rsidR="005B7BD6" w:rsidRPr="000F531B" w:rsidRDefault="005B7BD6" w:rsidP="005B7BD6">
      <w:pPr>
        <w:spacing w:before="0" w:after="120"/>
        <w:jc w:val="both"/>
        <w:rPr>
          <w:rFonts w:ascii="Arial" w:hAnsi="Arial" w:cs="Arial"/>
        </w:rPr>
      </w:pPr>
      <w:r w:rsidRPr="000F531B">
        <w:rPr>
          <w:rFonts w:ascii="Arial" w:hAnsi="Arial" w:cs="Arial"/>
          <w:b/>
        </w:rPr>
        <w:t>Prodotti a bassa frequenza di acquisto</w:t>
      </w:r>
      <w:r w:rsidRPr="000F531B">
        <w:rPr>
          <w:rFonts w:ascii="Arial" w:hAnsi="Arial" w:cs="Arial"/>
        </w:rPr>
        <w:t>: comprendono gli elettrodomestici, i servizi ospedalieri, l’acquisto dei mezzi di trasporto, i servizi di trasloco, gli apparecchi audiovisivi, fotografici e informatici, gli articoli sportivi.</w:t>
      </w:r>
    </w:p>
    <w:p w:rsidR="005B7BD6" w:rsidRPr="000F531B" w:rsidRDefault="005B7BD6" w:rsidP="005B7BD6">
      <w:pPr>
        <w:spacing w:before="0" w:after="120"/>
        <w:jc w:val="both"/>
        <w:rPr>
          <w:rFonts w:ascii="Arial" w:hAnsi="Arial" w:cs="Arial"/>
        </w:rPr>
      </w:pPr>
      <w:r w:rsidRPr="000F531B">
        <w:rPr>
          <w:rFonts w:ascii="Arial" w:hAnsi="Arial" w:cs="Arial"/>
          <w:b/>
        </w:rPr>
        <w:t>Servizi regolamentati</w:t>
      </w:r>
      <w:r w:rsidRPr="000F531B">
        <w:rPr>
          <w:rFonts w:ascii="Arial" w:hAnsi="Arial" w:cs="Arial"/>
        </w:rPr>
        <w:t>: tipologie di servizio i cui prezzi sono stabiliti da amministrazioni nazionali o locali e da servizi di pubblica utilità soggetti a regolamentazione da parte di specifiche Agenzie (Authority). Comprendono i certificati anagrafici, il passaporto, la tariffa per i rifiuti solidi, la tariffa per la raccolta di acque reflue, l’istruzione secondaria, le mense scolastiche, i trasporti urbani unimodali e multimodali (biglietti e abbonamenti), il trasporto extra-urbano su bus e quello extra-urbano multimodale, i taxi, i trasporti ferroviari regionali, i pedaggi autostradali, i concorsi pronostici, il canone tv, i servizi di telefonia fissa, la revisione auto, le tasse per il trasferimento della proprietà delle autovetture e dei motoveicoli e alcuni servizi postali.</w:t>
      </w:r>
    </w:p>
    <w:p w:rsidR="005B7BD6" w:rsidRPr="000F531B" w:rsidRDefault="005B7BD6" w:rsidP="005B7BD6">
      <w:pPr>
        <w:spacing w:before="0" w:after="120"/>
        <w:jc w:val="both"/>
        <w:rPr>
          <w:rFonts w:ascii="Arial" w:hAnsi="Arial" w:cs="Arial"/>
        </w:rPr>
      </w:pPr>
      <w:r w:rsidRPr="000F531B">
        <w:rPr>
          <w:rFonts w:ascii="Arial" w:hAnsi="Arial" w:cs="Arial"/>
          <w:b/>
        </w:rPr>
        <w:t>Servizi relativi all’abitazione</w:t>
      </w:r>
      <w:r w:rsidRPr="000F531B">
        <w:rPr>
          <w:rFonts w:ascii="Arial" w:hAnsi="Arial" w:cs="Arial"/>
        </w:rPr>
        <w:t>: comprendono i servizi di riparazione, la pulizia e la manutenzione della casa, la tariffa per i rifiuti solidi, la tariffa per la raccolta acque reflue, il canone d'affitto, le spese condominiali.</w:t>
      </w:r>
    </w:p>
    <w:p w:rsidR="005B7BD6" w:rsidRPr="000F531B" w:rsidRDefault="005B7BD6" w:rsidP="005B7BD6">
      <w:pPr>
        <w:spacing w:before="0" w:after="120"/>
        <w:jc w:val="both"/>
        <w:rPr>
          <w:rFonts w:ascii="Arial" w:hAnsi="Arial" w:cs="Arial"/>
        </w:rPr>
      </w:pPr>
      <w:r w:rsidRPr="000F531B">
        <w:rPr>
          <w:rFonts w:ascii="Arial" w:hAnsi="Arial" w:cs="Arial"/>
          <w:b/>
        </w:rPr>
        <w:t>Servizi relativi alle comunicazioni</w:t>
      </w:r>
      <w:r w:rsidRPr="000F531B">
        <w:rPr>
          <w:rFonts w:ascii="Arial" w:hAnsi="Arial" w:cs="Arial"/>
        </w:rPr>
        <w:t>: comprendono i servizi di telefonia e i servizi postali.</w:t>
      </w:r>
    </w:p>
    <w:p w:rsidR="005B7BD6" w:rsidRPr="000F531B" w:rsidRDefault="005B7BD6" w:rsidP="005B7BD6">
      <w:pPr>
        <w:spacing w:before="0" w:after="120"/>
        <w:jc w:val="both"/>
        <w:rPr>
          <w:rFonts w:ascii="Arial" w:hAnsi="Arial" w:cs="Arial"/>
        </w:rPr>
      </w:pPr>
      <w:r w:rsidRPr="000F531B">
        <w:rPr>
          <w:rFonts w:ascii="Arial" w:hAnsi="Arial" w:cs="Arial"/>
          <w:b/>
        </w:rPr>
        <w:t>Servizi ricreativi, culturali e per la cura della persona</w:t>
      </w:r>
      <w:r w:rsidRPr="000F531B">
        <w:rPr>
          <w:rFonts w:ascii="Arial" w:hAnsi="Arial" w:cs="Arial"/>
        </w:rPr>
        <w:t>: comprendono i pacchetti vacanza, i servizi di alloggio, i ristoranti, bar e simili, le mense, la riparazione di apparecchi audiovisivi, fotografici e informatici, i servizi per l'abbigliamento, i servizi per l</w:t>
      </w:r>
      <w:r>
        <w:rPr>
          <w:rFonts w:ascii="Arial" w:hAnsi="Arial" w:cs="Arial"/>
        </w:rPr>
        <w:t>’</w:t>
      </w:r>
      <w:r w:rsidRPr="000F531B">
        <w:rPr>
          <w:rFonts w:ascii="Arial" w:hAnsi="Arial" w:cs="Arial"/>
        </w:rPr>
        <w:t>igiene personale, i servizi ricreativi e culturali vari, i concorsi e le lotterie.</w:t>
      </w:r>
    </w:p>
    <w:p w:rsidR="005B7BD6" w:rsidRPr="000F531B" w:rsidRDefault="005B7BD6" w:rsidP="005B7BD6">
      <w:pPr>
        <w:spacing w:before="0" w:after="120"/>
        <w:jc w:val="both"/>
        <w:rPr>
          <w:rFonts w:ascii="Arial" w:hAnsi="Arial" w:cs="Arial"/>
        </w:rPr>
      </w:pPr>
      <w:r w:rsidRPr="000F531B">
        <w:rPr>
          <w:rFonts w:ascii="Arial" w:hAnsi="Arial" w:cs="Arial"/>
          <w:b/>
        </w:rPr>
        <w:t>Servizi relativi ai trasporti</w:t>
      </w:r>
      <w:r w:rsidRPr="000F531B">
        <w:rPr>
          <w:rFonts w:ascii="Arial" w:hAnsi="Arial" w:cs="Arial"/>
        </w:rPr>
        <w:t>: comprendono i trasporti aerei, marittimi, ferroviari, e stradali, i servizi di manutenzione e riparazione di mezzi di trasporto, le assicurazioni sui mezzi di trasporto.</w:t>
      </w:r>
    </w:p>
    <w:p w:rsidR="005B7BD6" w:rsidRPr="000F531B" w:rsidRDefault="005B7BD6" w:rsidP="005B7BD6">
      <w:pPr>
        <w:spacing w:before="0" w:after="120"/>
        <w:jc w:val="both"/>
        <w:rPr>
          <w:rFonts w:ascii="Arial" w:hAnsi="Arial" w:cs="Arial"/>
        </w:rPr>
      </w:pPr>
      <w:r w:rsidRPr="000F531B">
        <w:rPr>
          <w:rFonts w:ascii="Arial" w:hAnsi="Arial" w:cs="Arial"/>
          <w:b/>
        </w:rPr>
        <w:t>Servizi vari</w:t>
      </w:r>
      <w:r w:rsidRPr="000F531B">
        <w:rPr>
          <w:rFonts w:ascii="Arial" w:hAnsi="Arial" w:cs="Arial"/>
        </w:rPr>
        <w:t>:</w:t>
      </w:r>
      <w:r w:rsidRPr="000F531B">
        <w:rPr>
          <w:rFonts w:ascii="Arial" w:hAnsi="Arial" w:cs="Arial"/>
          <w:b/>
        </w:rPr>
        <w:t xml:space="preserve"> </w:t>
      </w:r>
      <w:r w:rsidRPr="000F531B">
        <w:rPr>
          <w:rFonts w:ascii="Arial" w:hAnsi="Arial" w:cs="Arial"/>
        </w:rPr>
        <w:t>comprendono l’istruzione, i servizi medici, i servizi per l’assistenza, i servizi finanziari; professioni liberali; servizio funebre; assicurazioni sugli infortuni.</w:t>
      </w:r>
    </w:p>
    <w:p w:rsidR="005B7BD6" w:rsidRPr="000F531B" w:rsidRDefault="005B7BD6" w:rsidP="005B7BD6">
      <w:pPr>
        <w:spacing w:before="0" w:after="120"/>
        <w:jc w:val="both"/>
        <w:rPr>
          <w:rFonts w:ascii="Arial" w:hAnsi="Arial" w:cs="Arial"/>
          <w:bCs/>
        </w:rPr>
      </w:pPr>
      <w:r w:rsidRPr="000F531B">
        <w:rPr>
          <w:rFonts w:ascii="Arial" w:hAnsi="Arial" w:cs="Arial"/>
          <w:b/>
          <w:bCs/>
        </w:rPr>
        <w:t>Variazione congiunturale</w:t>
      </w:r>
      <w:r w:rsidRPr="000F531B">
        <w:rPr>
          <w:rFonts w:ascii="Arial" w:hAnsi="Arial" w:cs="Arial"/>
          <w:bCs/>
        </w:rPr>
        <w:t>: variazione rispetto al periodo precedente.</w:t>
      </w:r>
    </w:p>
    <w:p w:rsidR="007D5F5F" w:rsidRPr="00D8013C" w:rsidRDefault="005B7BD6" w:rsidP="005B7BD6">
      <w:pPr>
        <w:pStyle w:val="Corpotesto"/>
        <w:spacing w:after="120" w:line="240" w:lineRule="auto"/>
        <w:jc w:val="both"/>
        <w:rPr>
          <w:rFonts w:ascii="Arial" w:hAnsi="Arial" w:cs="Arial"/>
          <w:bCs/>
        </w:rPr>
      </w:pPr>
      <w:r w:rsidRPr="000F531B">
        <w:rPr>
          <w:rFonts w:ascii="Arial" w:hAnsi="Arial" w:cs="Arial"/>
          <w:b/>
          <w:bCs/>
        </w:rPr>
        <w:t>Variazione tendenziale</w:t>
      </w:r>
      <w:r w:rsidRPr="000F531B">
        <w:rPr>
          <w:rFonts w:ascii="Arial" w:hAnsi="Arial" w:cs="Arial"/>
          <w:bCs/>
        </w:rPr>
        <w:t>:</w:t>
      </w:r>
      <w:r w:rsidRPr="000F531B">
        <w:rPr>
          <w:rFonts w:ascii="Arial" w:hAnsi="Arial" w:cs="Arial"/>
          <w:b/>
          <w:bCs/>
        </w:rPr>
        <w:t xml:space="preserve"> </w:t>
      </w:r>
      <w:r w:rsidRPr="000F531B">
        <w:rPr>
          <w:rFonts w:ascii="Arial" w:hAnsi="Arial" w:cs="Arial"/>
          <w:bCs/>
        </w:rPr>
        <w:t>variazione rispetto allo stesso periodo dell’anno precedente</w:t>
      </w:r>
      <w:r w:rsidR="003F7131" w:rsidRPr="000F531B">
        <w:rPr>
          <w:rFonts w:ascii="Arial" w:hAnsi="Arial" w:cs="Arial"/>
          <w:bCs/>
        </w:rPr>
        <w:t>.</w:t>
      </w:r>
    </w:p>
    <w:p w:rsidR="00DC7F84" w:rsidRPr="00C8504B" w:rsidRDefault="00DC7F84" w:rsidP="00DC7F84">
      <w:pPr>
        <w:pStyle w:val="Corpotesto"/>
        <w:spacing w:after="120" w:line="240" w:lineRule="auto"/>
        <w:jc w:val="both"/>
        <w:rPr>
          <w:rFonts w:ascii="Arial" w:hAnsi="Arial" w:cs="Arial"/>
          <w:bCs/>
        </w:rPr>
      </w:pPr>
    </w:p>
    <w:p w:rsidR="004868BD" w:rsidRPr="00C8504B" w:rsidRDefault="004868BD" w:rsidP="00080F2D">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jc w:val="both"/>
        <w:rPr>
          <w:rFonts w:ascii="Arial" w:hAnsi="Arial" w:cs="Arial"/>
          <w:b/>
          <w:spacing w:val="-3"/>
        </w:rPr>
      </w:pPr>
    </w:p>
    <w:p w:rsidR="00AA3917" w:rsidRPr="00C8504B" w:rsidRDefault="00AA3917" w:rsidP="00080F2D">
      <w:pPr>
        <w:pStyle w:val="Corpotesto"/>
        <w:spacing w:after="120" w:line="240" w:lineRule="auto"/>
        <w:jc w:val="both"/>
        <w:rPr>
          <w:rFonts w:ascii="Arial" w:hAnsi="Arial" w:cs="Arial"/>
          <w:b/>
          <w:sz w:val="24"/>
          <w:szCs w:val="24"/>
        </w:rPr>
        <w:sectPr w:rsidR="00AA3917" w:rsidRPr="00C8504B" w:rsidSect="000161B7">
          <w:headerReference w:type="default" r:id="rId45"/>
          <w:pgSz w:w="11907" w:h="16840" w:code="9"/>
          <w:pgMar w:top="1537" w:right="851" w:bottom="680" w:left="851" w:header="567" w:footer="567" w:gutter="0"/>
          <w:cols w:space="720"/>
          <w:noEndnote/>
          <w:docGrid w:linePitch="272"/>
        </w:sectPr>
      </w:pPr>
    </w:p>
    <w:p w:rsidR="00FC4BD2" w:rsidRPr="001969C1" w:rsidRDefault="00FC4BD2" w:rsidP="00FC4BD2">
      <w:pPr>
        <w:spacing w:before="0" w:after="120"/>
        <w:jc w:val="both"/>
        <w:rPr>
          <w:rFonts w:ascii="Arial" w:hAnsi="Arial" w:cs="Arial"/>
          <w:b/>
          <w:sz w:val="18"/>
          <w:szCs w:val="22"/>
        </w:rPr>
      </w:pPr>
    </w:p>
    <w:p w:rsidR="00FC4BD2" w:rsidRPr="00C8504B" w:rsidRDefault="00FC4BD2" w:rsidP="00FC4BD2">
      <w:pPr>
        <w:spacing w:before="0" w:after="120"/>
        <w:jc w:val="both"/>
        <w:rPr>
          <w:rFonts w:ascii="Arial" w:hAnsi="Arial" w:cs="Arial"/>
          <w:b/>
          <w:sz w:val="22"/>
          <w:szCs w:val="22"/>
        </w:rPr>
      </w:pPr>
      <w:r w:rsidRPr="00C8504B">
        <w:rPr>
          <w:rFonts w:ascii="Arial" w:hAnsi="Arial" w:cs="Arial"/>
          <w:b/>
          <w:sz w:val="22"/>
          <w:szCs w:val="22"/>
        </w:rPr>
        <w:t>Introduzione e quadro normativo</w:t>
      </w:r>
    </w:p>
    <w:p w:rsidR="00FC4BD2" w:rsidRDefault="00FC4BD2" w:rsidP="00FC4BD2">
      <w:pPr>
        <w:tabs>
          <w:tab w:val="left" w:pos="1843"/>
        </w:tabs>
        <w:spacing w:before="0" w:after="120"/>
        <w:jc w:val="both"/>
        <w:rPr>
          <w:rFonts w:ascii="Arial" w:hAnsi="Arial" w:cs="Arial"/>
          <w:szCs w:val="21"/>
        </w:rPr>
      </w:pPr>
      <w:r>
        <w:rPr>
          <w:rFonts w:ascii="Arial" w:hAnsi="Arial" w:cs="Arial"/>
          <w:szCs w:val="21"/>
        </w:rPr>
        <w:t>Gli indici</w:t>
      </w:r>
      <w:r w:rsidRPr="00784845">
        <w:rPr>
          <w:rFonts w:ascii="Arial" w:hAnsi="Arial" w:cs="Arial"/>
          <w:szCs w:val="21"/>
        </w:rPr>
        <w:t xml:space="preserve"> dei prezzi al consumo misura</w:t>
      </w:r>
      <w:r>
        <w:rPr>
          <w:rFonts w:ascii="Arial" w:hAnsi="Arial" w:cs="Arial"/>
          <w:szCs w:val="21"/>
        </w:rPr>
        <w:t>no</w:t>
      </w:r>
      <w:r w:rsidRPr="00784845">
        <w:rPr>
          <w:rFonts w:ascii="Arial" w:hAnsi="Arial" w:cs="Arial"/>
          <w:szCs w:val="21"/>
        </w:rPr>
        <w:t xml:space="preserve"> le variazioni nel tempo dei prezzi di un insieme di prodotti (paniere) rappresentativo di tutti i beni e servizi destinati al consumo finale delle famiglie, acquistabili sul mercato attraverso transazioni monetarie (sono escluse </w:t>
      </w:r>
      <w:r>
        <w:rPr>
          <w:rFonts w:ascii="Arial" w:hAnsi="Arial" w:cs="Arial"/>
          <w:szCs w:val="21"/>
        </w:rPr>
        <w:t xml:space="preserve">le </w:t>
      </w:r>
      <w:r w:rsidRPr="00784845">
        <w:rPr>
          <w:rFonts w:ascii="Arial" w:hAnsi="Arial" w:cs="Arial"/>
          <w:szCs w:val="21"/>
        </w:rPr>
        <w:t xml:space="preserve">transazioni a titolo gratuito, </w:t>
      </w:r>
      <w:r>
        <w:rPr>
          <w:rFonts w:ascii="Arial" w:hAnsi="Arial" w:cs="Arial"/>
          <w:szCs w:val="21"/>
        </w:rPr>
        <w:t xml:space="preserve">gli </w:t>
      </w:r>
      <w:r w:rsidRPr="00784845">
        <w:rPr>
          <w:rFonts w:ascii="Arial" w:hAnsi="Arial" w:cs="Arial"/>
          <w:szCs w:val="21"/>
        </w:rPr>
        <w:t xml:space="preserve">autoconsumi, </w:t>
      </w:r>
      <w:r>
        <w:rPr>
          <w:rFonts w:ascii="Arial" w:hAnsi="Arial" w:cs="Arial"/>
          <w:szCs w:val="21"/>
        </w:rPr>
        <w:t xml:space="preserve">i </w:t>
      </w:r>
      <w:r w:rsidRPr="00784845">
        <w:rPr>
          <w:rFonts w:ascii="Arial" w:hAnsi="Arial" w:cs="Arial"/>
          <w:szCs w:val="21"/>
        </w:rPr>
        <w:t>fitti figurativi, ecc</w:t>
      </w:r>
      <w:r>
        <w:rPr>
          <w:rFonts w:ascii="Arial" w:hAnsi="Arial" w:cs="Arial"/>
          <w:szCs w:val="21"/>
        </w:rPr>
        <w:t>.).</w:t>
      </w:r>
      <w:r w:rsidRPr="00784845">
        <w:rPr>
          <w:rFonts w:ascii="Arial" w:hAnsi="Arial" w:cs="Arial"/>
          <w:szCs w:val="21"/>
        </w:rPr>
        <w:t xml:space="preserve"> </w:t>
      </w:r>
    </w:p>
    <w:p w:rsidR="00FC4BD2" w:rsidRDefault="00FC4BD2" w:rsidP="00FC4BD2">
      <w:pPr>
        <w:tabs>
          <w:tab w:val="left" w:pos="1843"/>
        </w:tabs>
        <w:spacing w:before="0" w:after="120"/>
        <w:jc w:val="both"/>
        <w:rPr>
          <w:rFonts w:ascii="Arial" w:hAnsi="Arial" w:cs="Arial"/>
          <w:szCs w:val="21"/>
        </w:rPr>
      </w:pPr>
      <w:r>
        <w:rPr>
          <w:rFonts w:ascii="Arial" w:hAnsi="Arial" w:cs="Arial"/>
          <w:szCs w:val="21"/>
        </w:rPr>
        <w:t xml:space="preserve">Il sistema degli indici dei prezzi al consumo è articolato in tre diversi indicatori: </w:t>
      </w:r>
    </w:p>
    <w:p w:rsidR="00FC4BD2" w:rsidRDefault="00FC4BD2" w:rsidP="00FC4BD2">
      <w:pPr>
        <w:numPr>
          <w:ilvl w:val="0"/>
          <w:numId w:val="1"/>
        </w:numPr>
        <w:tabs>
          <w:tab w:val="left" w:pos="284"/>
          <w:tab w:val="left" w:pos="851"/>
          <w:tab w:val="left" w:pos="1843"/>
          <w:tab w:val="left" w:pos="2127"/>
          <w:tab w:val="left" w:pos="2410"/>
        </w:tabs>
        <w:spacing w:before="0" w:after="120"/>
        <w:ind w:left="0" w:firstLine="0"/>
        <w:jc w:val="both"/>
        <w:rPr>
          <w:rFonts w:ascii="Arial" w:hAnsi="Arial" w:cs="Arial"/>
          <w:szCs w:val="21"/>
        </w:rPr>
      </w:pPr>
      <w:r w:rsidRPr="00AC2EF0">
        <w:rPr>
          <w:rFonts w:ascii="Arial" w:hAnsi="Arial" w:cs="Arial"/>
          <w:b/>
          <w:bCs/>
          <w:szCs w:val="21"/>
        </w:rPr>
        <w:t xml:space="preserve">l’indice nazionale dei prezzi al consumo per l’intera collettività (NIC) </w:t>
      </w:r>
      <w:r w:rsidRPr="00AC2EF0">
        <w:rPr>
          <w:rFonts w:ascii="Arial" w:hAnsi="Arial" w:cs="Arial"/>
          <w:szCs w:val="21"/>
        </w:rPr>
        <w:t xml:space="preserve">è utilizzato come misura dell’inflazione per l’intero sistema economico; </w:t>
      </w:r>
    </w:p>
    <w:p w:rsidR="00FC4BD2" w:rsidRPr="00AC2EF0" w:rsidRDefault="00FC4BD2" w:rsidP="00FC4BD2">
      <w:pPr>
        <w:numPr>
          <w:ilvl w:val="0"/>
          <w:numId w:val="1"/>
        </w:numPr>
        <w:tabs>
          <w:tab w:val="left" w:pos="284"/>
          <w:tab w:val="left" w:pos="851"/>
          <w:tab w:val="left" w:pos="1843"/>
          <w:tab w:val="left" w:pos="2127"/>
          <w:tab w:val="left" w:pos="2410"/>
        </w:tabs>
        <w:spacing w:before="0" w:after="120"/>
        <w:ind w:left="0" w:firstLine="0"/>
        <w:jc w:val="both"/>
        <w:rPr>
          <w:rFonts w:ascii="Arial" w:hAnsi="Arial" w:cs="Arial"/>
          <w:szCs w:val="21"/>
        </w:rPr>
      </w:pPr>
      <w:r w:rsidRPr="00AC2EF0">
        <w:rPr>
          <w:rFonts w:ascii="Arial" w:hAnsi="Arial" w:cs="Arial"/>
          <w:b/>
          <w:bCs/>
          <w:szCs w:val="21"/>
        </w:rPr>
        <w:t xml:space="preserve">l’indice dei prezzi al consumo per le famiglie di operai e impiegati (FOI) </w:t>
      </w:r>
      <w:r w:rsidRPr="00AC2EF0">
        <w:rPr>
          <w:rFonts w:ascii="Arial" w:hAnsi="Arial" w:cs="Arial"/>
          <w:szCs w:val="21"/>
        </w:rPr>
        <w:t xml:space="preserve">si riferisce ai consumi dell’insieme delle famiglie che fanno capo ad un lavoratore dipendente; </w:t>
      </w:r>
    </w:p>
    <w:p w:rsidR="00FC4BD2" w:rsidRDefault="00FC4BD2" w:rsidP="00FC4BD2">
      <w:pPr>
        <w:numPr>
          <w:ilvl w:val="0"/>
          <w:numId w:val="2"/>
        </w:numPr>
        <w:tabs>
          <w:tab w:val="left" w:pos="284"/>
          <w:tab w:val="left" w:pos="1843"/>
          <w:tab w:val="left" w:pos="2127"/>
          <w:tab w:val="left" w:pos="2410"/>
        </w:tabs>
        <w:spacing w:before="0" w:after="120"/>
        <w:ind w:left="0" w:firstLine="0"/>
        <w:jc w:val="both"/>
        <w:rPr>
          <w:rFonts w:ascii="Arial" w:hAnsi="Arial" w:cs="Arial"/>
          <w:i/>
          <w:iCs/>
          <w:szCs w:val="21"/>
        </w:rPr>
      </w:pPr>
      <w:r>
        <w:rPr>
          <w:rFonts w:ascii="Arial" w:hAnsi="Arial" w:cs="Arial"/>
          <w:b/>
          <w:bCs/>
          <w:szCs w:val="21"/>
        </w:rPr>
        <w:t xml:space="preserve">l’indice dei prezzi al consumo armonizzato per i paesi dell’Unione europea (IPCA) </w:t>
      </w:r>
      <w:r>
        <w:rPr>
          <w:rFonts w:ascii="Arial" w:hAnsi="Arial" w:cs="Arial"/>
          <w:szCs w:val="21"/>
        </w:rPr>
        <w:t xml:space="preserve">assicura una misura dell’inflazione comparabile tra i diversi paesi europei, attraverso l’adozione di un impianto concettuale, metodologico e tecnico condiviso. </w:t>
      </w:r>
      <w:r w:rsidRPr="00E250D1">
        <w:rPr>
          <w:rFonts w:ascii="Arial" w:hAnsi="Arial" w:cs="Arial"/>
          <w:szCs w:val="21"/>
        </w:rPr>
        <w:t>In</w:t>
      </w:r>
      <w:r>
        <w:rPr>
          <w:rFonts w:ascii="Arial" w:hAnsi="Arial" w:cs="Arial"/>
          <w:szCs w:val="21"/>
        </w:rPr>
        <w:t xml:space="preserve"> ottemperanza alla normativa europea, e coerentemente agli standard previsti dai regolamenti, l’indice IPCA è elaborato anche nella versione “a tassazione costante (IPCA-TC)”.</w:t>
      </w:r>
    </w:p>
    <w:p w:rsidR="00FC4BD2" w:rsidRDefault="00FC4BD2" w:rsidP="00FC4BD2">
      <w:pPr>
        <w:spacing w:before="0" w:after="120"/>
        <w:jc w:val="both"/>
        <w:rPr>
          <w:rFonts w:ascii="Arial" w:hAnsi="Arial" w:cs="Arial"/>
          <w:szCs w:val="21"/>
        </w:rPr>
      </w:pPr>
      <w:r w:rsidRPr="009D6334">
        <w:rPr>
          <w:rFonts w:ascii="Arial" w:hAnsi="Arial" w:cs="Arial"/>
          <w:szCs w:val="21"/>
        </w:rPr>
        <w:t>Le serie degli indici nazionali NIC e FOI hanno base di riferimento 2015=100.</w:t>
      </w:r>
      <w:r>
        <w:rPr>
          <w:rFonts w:ascii="Arial" w:hAnsi="Arial" w:cs="Arial"/>
          <w:szCs w:val="21"/>
        </w:rPr>
        <w:t xml:space="preserve"> </w:t>
      </w:r>
      <w:r w:rsidRPr="009D6334">
        <w:rPr>
          <w:rFonts w:ascii="Arial" w:hAnsi="Arial" w:cs="Arial"/>
          <w:szCs w:val="21"/>
        </w:rPr>
        <w:t xml:space="preserve">Anche l’indice IPCA è calcolato e diffuso con base di riferimento 2015=100, in linea con gli altri Paesi dell’Unione europea e in conformità al </w:t>
      </w:r>
      <w:hyperlink r:id="rId46" w:history="1">
        <w:r w:rsidRPr="00126020">
          <w:rPr>
            <w:rStyle w:val="Collegamentoipertestuale"/>
            <w:rFonts w:ascii="Arial" w:hAnsi="Arial" w:cs="Arial"/>
            <w:b/>
            <w:szCs w:val="21"/>
          </w:rPr>
          <w:t>Regolamento (UE) n. 2016/792</w:t>
        </w:r>
      </w:hyperlink>
      <w:r w:rsidRPr="009D6334">
        <w:rPr>
          <w:rFonts w:ascii="Arial" w:hAnsi="Arial" w:cs="Arial"/>
          <w:szCs w:val="21"/>
        </w:rPr>
        <w:t xml:space="preserve"> </w:t>
      </w:r>
      <w:r w:rsidRPr="00E250D1">
        <w:rPr>
          <w:rFonts w:ascii="Arial" w:hAnsi="Arial" w:cs="Arial"/>
          <w:szCs w:val="21"/>
        </w:rPr>
        <w:t>del Parlamento e del Consiglio</w:t>
      </w:r>
      <w:r w:rsidRPr="00651A91">
        <w:t xml:space="preserve"> </w:t>
      </w:r>
      <w:r w:rsidRPr="00651A91">
        <w:rPr>
          <w:rFonts w:ascii="Arial" w:hAnsi="Arial" w:cs="Arial"/>
          <w:szCs w:val="21"/>
        </w:rPr>
        <w:t xml:space="preserve">e con il </w:t>
      </w:r>
      <w:hyperlink r:id="rId47" w:history="1">
        <w:r w:rsidRPr="00651A91">
          <w:rPr>
            <w:rStyle w:val="Collegamentoipertestuale"/>
            <w:rFonts w:ascii="Arial" w:hAnsi="Arial" w:cs="Arial"/>
            <w:b/>
            <w:szCs w:val="21"/>
          </w:rPr>
          <w:t>Regolamento di Esecuzione (UE) n. 2020/1148</w:t>
        </w:r>
      </w:hyperlink>
      <w:r w:rsidRPr="00651A91">
        <w:rPr>
          <w:rFonts w:ascii="Arial" w:hAnsi="Arial" w:cs="Arial"/>
          <w:szCs w:val="21"/>
        </w:rPr>
        <w:t xml:space="preserve"> della </w:t>
      </w:r>
      <w:r>
        <w:rPr>
          <w:rFonts w:ascii="Arial" w:hAnsi="Arial" w:cs="Arial"/>
          <w:szCs w:val="21"/>
        </w:rPr>
        <w:t>Commissione del 31 luglio 2020.</w:t>
      </w:r>
    </w:p>
    <w:p w:rsidR="00FC4BD2" w:rsidRDefault="00FC4BD2" w:rsidP="00FC4BD2">
      <w:pPr>
        <w:spacing w:before="0" w:after="120"/>
        <w:jc w:val="both"/>
        <w:rPr>
          <w:rFonts w:ascii="Arial" w:hAnsi="Arial" w:cs="Arial"/>
          <w:szCs w:val="21"/>
        </w:rPr>
      </w:pPr>
      <w:r w:rsidRPr="00A32505">
        <w:rPr>
          <w:rFonts w:ascii="Arial" w:hAnsi="Arial" w:cs="Arial"/>
          <w:szCs w:val="21"/>
        </w:rPr>
        <w:t xml:space="preserve">La rilevazione dei prezzi al consumo è </w:t>
      </w:r>
      <w:r>
        <w:rPr>
          <w:rFonts w:ascii="Arial" w:hAnsi="Arial" w:cs="Arial"/>
          <w:szCs w:val="21"/>
        </w:rPr>
        <w:t>disciplinata anche da diverse</w:t>
      </w:r>
      <w:r w:rsidRPr="00A32505">
        <w:rPr>
          <w:rFonts w:ascii="Arial" w:hAnsi="Arial" w:cs="Arial"/>
          <w:szCs w:val="21"/>
        </w:rPr>
        <w:t xml:space="preserve"> leggi e regolamenti</w:t>
      </w:r>
      <w:r>
        <w:rPr>
          <w:rFonts w:ascii="Arial" w:hAnsi="Arial" w:cs="Arial"/>
          <w:szCs w:val="21"/>
        </w:rPr>
        <w:t xml:space="preserve"> che </w:t>
      </w:r>
      <w:r w:rsidRPr="00A32505">
        <w:rPr>
          <w:rFonts w:ascii="Arial" w:hAnsi="Arial" w:cs="Arial"/>
          <w:szCs w:val="21"/>
        </w:rPr>
        <w:t xml:space="preserve">definiscono </w:t>
      </w:r>
      <w:r>
        <w:rPr>
          <w:rFonts w:ascii="Arial" w:hAnsi="Arial" w:cs="Arial"/>
          <w:szCs w:val="21"/>
        </w:rPr>
        <w:t xml:space="preserve">i </w:t>
      </w:r>
      <w:r w:rsidRPr="00A32505">
        <w:rPr>
          <w:rFonts w:ascii="Arial" w:hAnsi="Arial" w:cs="Arial"/>
          <w:szCs w:val="21"/>
        </w:rPr>
        <w:t xml:space="preserve">soggetti </w:t>
      </w:r>
      <w:r>
        <w:rPr>
          <w:rFonts w:ascii="Arial" w:hAnsi="Arial" w:cs="Arial"/>
          <w:szCs w:val="21"/>
        </w:rPr>
        <w:t>coinvolti (l’</w:t>
      </w:r>
      <w:r w:rsidRPr="00A32505">
        <w:rPr>
          <w:rFonts w:ascii="Arial" w:hAnsi="Arial" w:cs="Arial"/>
          <w:szCs w:val="21"/>
        </w:rPr>
        <w:t>Istituto nazionale di statistica e i Comuni</w:t>
      </w:r>
      <w:r>
        <w:rPr>
          <w:rFonts w:ascii="Arial" w:hAnsi="Arial" w:cs="Arial"/>
          <w:szCs w:val="21"/>
        </w:rPr>
        <w:t>)</w:t>
      </w:r>
      <w:r w:rsidRPr="00A32505">
        <w:rPr>
          <w:rFonts w:ascii="Arial" w:hAnsi="Arial" w:cs="Arial"/>
          <w:szCs w:val="21"/>
        </w:rPr>
        <w:t xml:space="preserve"> e </w:t>
      </w:r>
      <w:r>
        <w:rPr>
          <w:rFonts w:ascii="Arial" w:hAnsi="Arial" w:cs="Arial"/>
          <w:szCs w:val="21"/>
        </w:rPr>
        <w:t xml:space="preserve">le relative </w:t>
      </w:r>
      <w:r w:rsidRPr="00E250D1">
        <w:rPr>
          <w:rFonts w:ascii="Arial" w:hAnsi="Arial" w:cs="Arial"/>
          <w:szCs w:val="21"/>
        </w:rPr>
        <w:t>funzioni:</w:t>
      </w:r>
    </w:p>
    <w:p w:rsidR="00FC4BD2" w:rsidRPr="00936CFD" w:rsidRDefault="00FC4BD2" w:rsidP="00FC4BD2">
      <w:pPr>
        <w:numPr>
          <w:ilvl w:val="0"/>
          <w:numId w:val="6"/>
        </w:numPr>
        <w:spacing w:before="0" w:after="0"/>
        <w:ind w:left="426" w:hanging="284"/>
        <w:jc w:val="both"/>
        <w:rPr>
          <w:rFonts w:ascii="Arial" w:hAnsi="Arial" w:cs="Arial"/>
          <w:spacing w:val="-4"/>
          <w:szCs w:val="21"/>
        </w:rPr>
      </w:pPr>
      <w:r w:rsidRPr="00E250D1">
        <w:rPr>
          <w:rFonts w:ascii="Arial" w:hAnsi="Arial" w:cs="Arial"/>
          <w:szCs w:val="21"/>
        </w:rPr>
        <w:t xml:space="preserve">il </w:t>
      </w:r>
      <w:r w:rsidRPr="00E250D1">
        <w:rPr>
          <w:rFonts w:ascii="Arial" w:hAnsi="Arial" w:cs="Arial"/>
          <w:b/>
          <w:szCs w:val="21"/>
        </w:rPr>
        <w:t xml:space="preserve">Regio Decreto Legge </w:t>
      </w:r>
      <w:r w:rsidRPr="00E250D1">
        <w:rPr>
          <w:rFonts w:ascii="Arial" w:hAnsi="Arial" w:cs="Arial"/>
          <w:b/>
          <w:iCs/>
          <w:szCs w:val="21"/>
        </w:rPr>
        <w:t>n. 222/1927</w:t>
      </w:r>
      <w:r w:rsidRPr="00E250D1">
        <w:rPr>
          <w:rFonts w:ascii="Arial" w:hAnsi="Arial" w:cs="Arial"/>
          <w:szCs w:val="21"/>
        </w:rPr>
        <w:t>, che</w:t>
      </w:r>
      <w:r>
        <w:rPr>
          <w:rFonts w:ascii="Arial" w:hAnsi="Arial" w:cs="Arial"/>
          <w:i/>
          <w:iCs/>
          <w:szCs w:val="21"/>
        </w:rPr>
        <w:t xml:space="preserve"> </w:t>
      </w:r>
      <w:r>
        <w:rPr>
          <w:rFonts w:ascii="Arial" w:hAnsi="Arial" w:cs="Arial"/>
          <w:szCs w:val="21"/>
        </w:rPr>
        <w:t>conferisce l’incarico all’Istituto centrale di statistica di promuovere la formazione di indici del costo della vita in tutti i comuni con più di 100.000 abitanti e in altri, preferibilmente scelti tra i capoluoghi di provincia o tra quelli con più di 50.000 abitanti che abbiano uffici di statistica idonei;</w:t>
      </w:r>
    </w:p>
    <w:p w:rsidR="00FC4BD2" w:rsidRPr="00BE18E0" w:rsidRDefault="00FC4BD2" w:rsidP="00FC4BD2">
      <w:pPr>
        <w:numPr>
          <w:ilvl w:val="0"/>
          <w:numId w:val="6"/>
        </w:numPr>
        <w:spacing w:before="0" w:after="0"/>
        <w:ind w:left="426" w:hanging="284"/>
        <w:jc w:val="both"/>
        <w:rPr>
          <w:rFonts w:ascii="Arial" w:hAnsi="Arial" w:cs="Arial"/>
          <w:spacing w:val="-4"/>
          <w:szCs w:val="21"/>
        </w:rPr>
      </w:pPr>
      <w:r w:rsidRPr="00BE18E0">
        <w:rPr>
          <w:rFonts w:ascii="Arial" w:hAnsi="Arial" w:cs="Arial"/>
          <w:color w:val="000000"/>
          <w:szCs w:val="21"/>
        </w:rPr>
        <w:t xml:space="preserve">la </w:t>
      </w:r>
      <w:r w:rsidRPr="00BE18E0">
        <w:rPr>
          <w:rFonts w:ascii="Arial" w:hAnsi="Arial" w:cs="Arial"/>
          <w:b/>
          <w:iCs/>
          <w:szCs w:val="21"/>
        </w:rPr>
        <w:t>Legge n. 621/1975</w:t>
      </w:r>
      <w:r w:rsidRPr="00BE18E0">
        <w:rPr>
          <w:rFonts w:ascii="Arial" w:hAnsi="Arial" w:cs="Arial"/>
          <w:i/>
          <w:iCs/>
          <w:szCs w:val="21"/>
        </w:rPr>
        <w:t xml:space="preserve"> </w:t>
      </w:r>
      <w:r w:rsidRPr="00BE18E0">
        <w:rPr>
          <w:rFonts w:ascii="Arial" w:hAnsi="Arial" w:cs="Arial"/>
          <w:color w:val="000000"/>
          <w:szCs w:val="21"/>
        </w:rPr>
        <w:t>modifica come di seguito il regio decreto relativamente ai comuni cui spetta l’obbligo di condurre l’indagine sui prezzi al consumo: “tra i comuni di cui all’art. 1 … devono intendersi compresi tutti i comuni capoluogo di provincia e quelli con oltre 30.000 abitanti che abbiano un ufficio di statistica idoneo”</w:t>
      </w:r>
      <w:r>
        <w:rPr>
          <w:rFonts w:ascii="Arial" w:hAnsi="Arial" w:cs="Arial"/>
          <w:color w:val="000000"/>
          <w:szCs w:val="21"/>
        </w:rPr>
        <w:t>;</w:t>
      </w:r>
    </w:p>
    <w:p w:rsidR="00FC4BD2" w:rsidRPr="0022162A" w:rsidRDefault="00FC4BD2" w:rsidP="00FC4BD2">
      <w:pPr>
        <w:numPr>
          <w:ilvl w:val="0"/>
          <w:numId w:val="6"/>
        </w:numPr>
        <w:spacing w:before="0" w:after="0"/>
        <w:ind w:left="426" w:hanging="284"/>
        <w:jc w:val="both"/>
        <w:rPr>
          <w:rFonts w:ascii="Arial" w:hAnsi="Arial" w:cs="Arial"/>
          <w:spacing w:val="-4"/>
          <w:szCs w:val="21"/>
        </w:rPr>
      </w:pPr>
      <w:r>
        <w:rPr>
          <w:rFonts w:ascii="Arial" w:hAnsi="Arial" w:cs="Arial"/>
          <w:szCs w:val="21"/>
        </w:rPr>
        <w:t xml:space="preserve">il </w:t>
      </w:r>
      <w:hyperlink r:id="rId48" w:history="1">
        <w:r w:rsidRPr="00126020">
          <w:rPr>
            <w:rStyle w:val="Collegamentoipertestuale"/>
            <w:rFonts w:ascii="Arial" w:hAnsi="Arial" w:cs="Arial"/>
            <w:b/>
            <w:szCs w:val="21"/>
          </w:rPr>
          <w:t>D.lgs n. 322/1989</w:t>
        </w:r>
      </w:hyperlink>
      <w:r w:rsidRPr="00881841">
        <w:rPr>
          <w:rFonts w:ascii="Arial" w:hAnsi="Arial" w:cs="Arial"/>
          <w:color w:val="000000"/>
          <w:szCs w:val="21"/>
        </w:rPr>
        <w:t>,</w:t>
      </w:r>
      <w:r>
        <w:rPr>
          <w:rFonts w:ascii="Arial" w:hAnsi="Arial" w:cs="Arial"/>
          <w:i/>
          <w:iCs/>
          <w:szCs w:val="21"/>
        </w:rPr>
        <w:t xml:space="preserve"> </w:t>
      </w:r>
      <w:r w:rsidRPr="00881841">
        <w:rPr>
          <w:rFonts w:ascii="Arial" w:hAnsi="Arial" w:cs="Arial"/>
          <w:color w:val="000000"/>
          <w:szCs w:val="21"/>
        </w:rPr>
        <w:t xml:space="preserve">che </w:t>
      </w:r>
      <w:r>
        <w:rPr>
          <w:rFonts w:ascii="Arial" w:hAnsi="Arial" w:cs="Arial"/>
          <w:color w:val="000000"/>
          <w:szCs w:val="21"/>
        </w:rPr>
        <w:t>disciplina le attività di rilevazione, elaborazione, analisi e diffusione e archiviazione dei dati statistici svolte dagli enti e organismi pubblici di informazione statistica, al fine di realizzare l’unità di indirizzo, l’omogeneità organizzativa e la razionalizzazione dei flussi a livello centrale e locale.</w:t>
      </w:r>
    </w:p>
    <w:p w:rsidR="00FC4BD2" w:rsidRPr="005F5A44" w:rsidRDefault="00FC4BD2" w:rsidP="00FC4BD2">
      <w:pPr>
        <w:spacing w:before="0" w:after="120"/>
        <w:jc w:val="both"/>
        <w:rPr>
          <w:rFonts w:ascii="Arial" w:hAnsi="Arial" w:cs="Arial"/>
          <w:sz w:val="16"/>
        </w:rPr>
      </w:pPr>
    </w:p>
    <w:p w:rsidR="00FC4BD2" w:rsidRPr="00C8504B" w:rsidRDefault="00FC4BD2" w:rsidP="00FC4BD2">
      <w:pPr>
        <w:spacing w:before="0" w:after="120"/>
        <w:jc w:val="both"/>
        <w:rPr>
          <w:rFonts w:ascii="Arial" w:hAnsi="Arial" w:cs="Arial"/>
          <w:b/>
          <w:sz w:val="22"/>
          <w:szCs w:val="22"/>
        </w:rPr>
      </w:pPr>
      <w:r w:rsidRPr="00C8504B">
        <w:rPr>
          <w:rFonts w:ascii="Arial" w:hAnsi="Arial" w:cs="Arial"/>
          <w:b/>
          <w:sz w:val="22"/>
          <w:szCs w:val="22"/>
        </w:rPr>
        <w:t xml:space="preserve">Copertura dell’indagine e organizzazione della rilevazione </w:t>
      </w:r>
    </w:p>
    <w:p w:rsidR="00FC4BD2" w:rsidRDefault="00FC4BD2" w:rsidP="00FC4BD2">
      <w:pPr>
        <w:spacing w:before="0" w:after="80"/>
        <w:jc w:val="both"/>
        <w:rPr>
          <w:rFonts w:ascii="Arial" w:hAnsi="Arial" w:cs="Arial"/>
          <w:szCs w:val="21"/>
        </w:rPr>
      </w:pPr>
      <w:r>
        <w:rPr>
          <w:rFonts w:ascii="Arial" w:hAnsi="Arial" w:cs="Arial"/>
          <w:szCs w:val="21"/>
        </w:rPr>
        <w:t xml:space="preserve">I dati che concorrono alla costruzione degli indici mensili dei prezzi al consumo sono raccolti attraverso l’utilizzo di una pluralità di fonti: la </w:t>
      </w:r>
      <w:r w:rsidRPr="00161B2D">
        <w:rPr>
          <w:rFonts w:ascii="Arial" w:hAnsi="Arial" w:cs="Arial"/>
          <w:i/>
          <w:szCs w:val="21"/>
        </w:rPr>
        <w:t>rilevazione territoriale</w:t>
      </w:r>
      <w:r>
        <w:rPr>
          <w:rFonts w:ascii="Arial" w:hAnsi="Arial" w:cs="Arial"/>
          <w:szCs w:val="21"/>
        </w:rPr>
        <w:t>, condotta dagli Uffici comunali di statistica (UCS);</w:t>
      </w:r>
      <w:r w:rsidRPr="005B714C">
        <w:rPr>
          <w:rFonts w:ascii="Arial" w:hAnsi="Arial" w:cs="Arial"/>
          <w:szCs w:val="21"/>
        </w:rPr>
        <w:t xml:space="preserve"> </w:t>
      </w:r>
      <w:r w:rsidRPr="00161B2D">
        <w:rPr>
          <w:rFonts w:ascii="Arial" w:hAnsi="Arial" w:cs="Arial"/>
          <w:szCs w:val="21"/>
        </w:rPr>
        <w:t xml:space="preserve">la </w:t>
      </w:r>
      <w:r w:rsidRPr="00161B2D">
        <w:rPr>
          <w:rFonts w:ascii="Arial" w:hAnsi="Arial" w:cs="Arial"/>
          <w:i/>
          <w:szCs w:val="21"/>
        </w:rPr>
        <w:t>rilevazione centralizzata</w:t>
      </w:r>
      <w:r w:rsidRPr="00161B2D">
        <w:rPr>
          <w:rFonts w:ascii="Arial" w:hAnsi="Arial" w:cs="Arial"/>
          <w:szCs w:val="21"/>
        </w:rPr>
        <w:t xml:space="preserve">, </w:t>
      </w:r>
      <w:r>
        <w:rPr>
          <w:rFonts w:ascii="Arial" w:hAnsi="Arial" w:cs="Arial"/>
          <w:szCs w:val="21"/>
        </w:rPr>
        <w:t xml:space="preserve">condotta dall’Istat </w:t>
      </w:r>
      <w:r w:rsidRPr="00161B2D">
        <w:rPr>
          <w:rFonts w:ascii="Arial" w:hAnsi="Arial" w:cs="Arial"/>
          <w:szCs w:val="21"/>
        </w:rPr>
        <w:t xml:space="preserve">direttamente </w:t>
      </w:r>
      <w:r>
        <w:rPr>
          <w:rFonts w:ascii="Arial" w:hAnsi="Arial" w:cs="Arial"/>
          <w:szCs w:val="21"/>
        </w:rPr>
        <w:t xml:space="preserve">o attraverso la collaborazione con grandi fornitori di dati; gli </w:t>
      </w:r>
      <w:r w:rsidRPr="00FA5D30">
        <w:rPr>
          <w:rFonts w:ascii="Arial" w:hAnsi="Arial" w:cs="Arial"/>
          <w:szCs w:val="21"/>
        </w:rPr>
        <w:t>scanner data</w:t>
      </w:r>
      <w:r>
        <w:rPr>
          <w:rFonts w:ascii="Arial" w:hAnsi="Arial" w:cs="Arial"/>
          <w:szCs w:val="21"/>
        </w:rPr>
        <w:t xml:space="preserve"> provenienti dalla Grande Distribuzione Organizzata (GDO); la </w:t>
      </w:r>
      <w:r w:rsidRPr="001F3EF6">
        <w:rPr>
          <w:rFonts w:ascii="Arial" w:hAnsi="Arial" w:cs="Arial"/>
          <w:i/>
          <w:szCs w:val="21"/>
        </w:rPr>
        <w:t>fonte amministrativa</w:t>
      </w:r>
      <w:r>
        <w:rPr>
          <w:rFonts w:ascii="Arial" w:hAnsi="Arial" w:cs="Arial"/>
          <w:szCs w:val="21"/>
        </w:rPr>
        <w:t>.</w:t>
      </w:r>
      <w:r w:rsidRPr="00161B2D">
        <w:rPr>
          <w:rFonts w:ascii="Arial" w:hAnsi="Arial" w:cs="Arial"/>
          <w:szCs w:val="21"/>
        </w:rPr>
        <w:t xml:space="preserve"> </w:t>
      </w:r>
    </w:p>
    <w:p w:rsidR="00FC4BD2" w:rsidRPr="008A6A18" w:rsidRDefault="00FC4BD2" w:rsidP="00FC4BD2">
      <w:pPr>
        <w:jc w:val="both"/>
        <w:rPr>
          <w:rFonts w:ascii="Arial" w:hAnsi="Arial" w:cs="Arial"/>
          <w:szCs w:val="21"/>
        </w:rPr>
      </w:pPr>
      <w:r w:rsidRPr="001E01EB">
        <w:rPr>
          <w:rFonts w:ascii="Arial" w:hAnsi="Arial" w:cs="Arial"/>
          <w:szCs w:val="21"/>
        </w:rPr>
        <w:t>Nel 2022, i prodotti rilevati in modo esclusivo mediante la rilevazione territoriale ammontano, in termini di peso, a circa il 51,</w:t>
      </w:r>
      <w:r>
        <w:rPr>
          <w:rFonts w:ascii="Arial" w:hAnsi="Arial" w:cs="Arial"/>
          <w:szCs w:val="21"/>
        </w:rPr>
        <w:t>7</w:t>
      </w:r>
      <w:r w:rsidRPr="001E01EB">
        <w:rPr>
          <w:rFonts w:ascii="Arial" w:hAnsi="Arial" w:cs="Arial"/>
          <w:szCs w:val="21"/>
        </w:rPr>
        <w:t>% del paniere (dal 56,2% nel 2021), contro il 22,</w:t>
      </w:r>
      <w:r>
        <w:rPr>
          <w:rFonts w:ascii="Arial" w:hAnsi="Arial" w:cs="Arial"/>
          <w:szCs w:val="21"/>
        </w:rPr>
        <w:t>3</w:t>
      </w:r>
      <w:r w:rsidRPr="001E01EB">
        <w:rPr>
          <w:rFonts w:ascii="Arial" w:hAnsi="Arial" w:cs="Arial"/>
          <w:szCs w:val="21"/>
        </w:rPr>
        <w:t xml:space="preserve">% dei beni e servizi a rilevazione esclusivamente centralizzata (dal 22,8% nel 2021). Tramite l’acquisizione dei dati scanner dalla GDO vengono rilevati tutti i prodotti cosiddetti </w:t>
      </w:r>
      <w:r w:rsidRPr="00AD74D1">
        <w:rPr>
          <w:rFonts w:ascii="Arial" w:hAnsi="Arial" w:cs="Arial"/>
          <w:i/>
          <w:szCs w:val="21"/>
        </w:rPr>
        <w:t xml:space="preserve">grocery </w:t>
      </w:r>
      <w:r w:rsidRPr="00AD74D1">
        <w:rPr>
          <w:rFonts w:ascii="Arial" w:hAnsi="Arial" w:cs="Arial"/>
          <w:szCs w:val="21"/>
        </w:rPr>
        <w:t>(</w:t>
      </w:r>
      <w:r>
        <w:rPr>
          <w:rFonts w:ascii="Arial" w:hAnsi="Arial" w:cs="Arial"/>
          <w:szCs w:val="21"/>
        </w:rPr>
        <w:t>beni alimentari confezionati e beni per la cura della casa e della persona)</w:t>
      </w:r>
      <w:r w:rsidRPr="006D152C">
        <w:rPr>
          <w:rFonts w:ascii="Arial" w:hAnsi="Arial" w:cs="Arial"/>
          <w:szCs w:val="21"/>
        </w:rPr>
        <w:t>,</w:t>
      </w:r>
      <w:r w:rsidRPr="001E01EB">
        <w:rPr>
          <w:rFonts w:ascii="Arial" w:hAnsi="Arial" w:cs="Arial"/>
          <w:szCs w:val="21"/>
        </w:rPr>
        <w:t xml:space="preserve"> che rappresentano il </w:t>
      </w:r>
      <w:r>
        <w:rPr>
          <w:rFonts w:ascii="Arial" w:hAnsi="Arial" w:cs="Arial"/>
          <w:szCs w:val="21"/>
        </w:rPr>
        <w:t>12,9</w:t>
      </w:r>
      <w:r w:rsidRPr="001E01EB">
        <w:rPr>
          <w:rFonts w:ascii="Arial" w:hAnsi="Arial" w:cs="Arial"/>
          <w:szCs w:val="21"/>
        </w:rPr>
        <w:t>% in termini di peso. A queste tre modalità si aggiunge l’utilizzo delle fonti amministrative: la base dati</w:t>
      </w:r>
      <w:r>
        <w:rPr>
          <w:rFonts w:ascii="Arial" w:hAnsi="Arial" w:cs="Arial"/>
          <w:szCs w:val="21"/>
        </w:rPr>
        <w:t xml:space="preserve"> MISE dei prezzi dei carburanti,</w:t>
      </w:r>
      <w:r w:rsidRPr="001E01EB">
        <w:rPr>
          <w:rFonts w:ascii="Arial" w:hAnsi="Arial" w:cs="Arial"/>
          <w:szCs w:val="21"/>
        </w:rPr>
        <w:t xml:space="preserve"> che pesa per il 4,5% sul paniere, </w:t>
      </w:r>
      <w:r>
        <w:rPr>
          <w:rFonts w:ascii="Arial" w:hAnsi="Arial" w:cs="Arial"/>
          <w:szCs w:val="21"/>
        </w:rPr>
        <w:t>i dati forniti dall</w:t>
      </w:r>
      <w:r w:rsidRPr="001E01EB">
        <w:rPr>
          <w:rFonts w:ascii="Arial" w:hAnsi="Arial" w:cs="Arial"/>
          <w:szCs w:val="21"/>
        </w:rPr>
        <w:t>’Osservatorio immobiliare dell’Agenzia delle entrate (</w:t>
      </w:r>
      <w:r>
        <w:rPr>
          <w:rFonts w:ascii="Arial" w:hAnsi="Arial" w:cs="Arial"/>
          <w:szCs w:val="21"/>
        </w:rPr>
        <w:t>il cui utilizzo è stato avviato</w:t>
      </w:r>
      <w:r w:rsidRPr="001E01EB">
        <w:rPr>
          <w:rFonts w:ascii="Arial" w:hAnsi="Arial" w:cs="Arial"/>
          <w:szCs w:val="21"/>
        </w:rPr>
        <w:t xml:space="preserve"> quest’anno) per la rilevazione dei prezzi degli Affitti reali per abitazioni di privati che pesa per il 2,7% e l’Agenzia delle dogane e dei monopoli per la rilevazione dei tabacchi che incide sul paniere per il 2,</w:t>
      </w:r>
      <w:r>
        <w:rPr>
          <w:rFonts w:ascii="Arial" w:hAnsi="Arial" w:cs="Arial"/>
          <w:szCs w:val="21"/>
        </w:rPr>
        <w:t>2</w:t>
      </w:r>
      <w:r w:rsidRPr="001E01EB">
        <w:rPr>
          <w:rFonts w:ascii="Arial" w:hAnsi="Arial" w:cs="Arial"/>
          <w:szCs w:val="21"/>
        </w:rPr>
        <w:t>%. Infine per alcuni p</w:t>
      </w:r>
      <w:r>
        <w:rPr>
          <w:rFonts w:ascii="Arial" w:hAnsi="Arial" w:cs="Arial"/>
          <w:szCs w:val="21"/>
        </w:rPr>
        <w:t>rodotti, che incidono per il 3,7</w:t>
      </w:r>
      <w:r w:rsidRPr="001E01EB">
        <w:rPr>
          <w:rFonts w:ascii="Arial" w:hAnsi="Arial" w:cs="Arial"/>
          <w:szCs w:val="21"/>
        </w:rPr>
        <w:t>%, la rilevazione viene effettuata con modalità mista.</w:t>
      </w:r>
    </w:p>
    <w:p w:rsidR="00FC4BD2" w:rsidRDefault="00FC4BD2" w:rsidP="00FC4BD2">
      <w:pPr>
        <w:spacing w:before="0" w:after="120"/>
        <w:jc w:val="both"/>
        <w:rPr>
          <w:rFonts w:ascii="Arial" w:hAnsi="Arial" w:cs="Arial"/>
        </w:rPr>
      </w:pPr>
      <w:r>
        <w:rPr>
          <w:rFonts w:ascii="Arial" w:hAnsi="Arial" w:cs="Arial"/>
          <w:szCs w:val="21"/>
        </w:rPr>
        <w:t>Nel 2022 i comuni che concorrono al calcolo degli indici sono 80 per tutti gli aggregati di prodotto del paniere (di cui 19 capoluoghi di regione, 60 capoluoghi di provincia, 1 comune non capoluogo con più di 30.000 abitanti</w:t>
      </w:r>
      <w:r>
        <w:rPr>
          <w:rStyle w:val="Rimandonotaapidipagina"/>
          <w:rFonts w:ascii="Arial" w:hAnsi="Arial" w:cs="Arial"/>
          <w:szCs w:val="21"/>
        </w:rPr>
        <w:footnoteReference w:id="1"/>
      </w:r>
      <w:r>
        <w:rPr>
          <w:rFonts w:ascii="Arial" w:hAnsi="Arial" w:cs="Arial"/>
          <w:szCs w:val="21"/>
        </w:rPr>
        <w:t>); sono invece 12 i comuni</w:t>
      </w:r>
      <w:r>
        <w:rPr>
          <w:rStyle w:val="Rimandonotaapidipagina"/>
          <w:rFonts w:ascii="Arial" w:hAnsi="Arial"/>
          <w:szCs w:val="21"/>
        </w:rPr>
        <w:footnoteReference w:id="2"/>
      </w:r>
      <w:r>
        <w:rPr>
          <w:rFonts w:ascii="Arial" w:hAnsi="Arial" w:cs="Arial"/>
          <w:szCs w:val="21"/>
        </w:rPr>
        <w:t xml:space="preserve"> che partecipano al calcolo degli indici per un sottoinsieme di prodotti (</w:t>
      </w:r>
      <w:r>
        <w:rPr>
          <w:rFonts w:ascii="Arial" w:hAnsi="Arial" w:cs="Arial"/>
        </w:rPr>
        <w:t>tariffe locali quali fornitura acqua, raccolta rifiuti, raccolta acque reflue, gas di rete per uso domestico, trasporti urbani, taxi, mense scolastiche, nido d’infanzia comunale, e altri servizi come manifestazioni sportive, cinema, spettacoli teatrali, istruzione secondaria superiore, mense universitarie, ecc.).</w:t>
      </w:r>
    </w:p>
    <w:p w:rsidR="00FC4BD2" w:rsidRDefault="00FC4BD2" w:rsidP="00FC4BD2">
      <w:pPr>
        <w:widowControl/>
        <w:overflowPunct/>
        <w:spacing w:before="120" w:after="60"/>
        <w:jc w:val="both"/>
        <w:rPr>
          <w:rFonts w:ascii="Arial" w:hAnsi="Arial" w:cs="Arial"/>
          <w:szCs w:val="21"/>
        </w:rPr>
      </w:pPr>
    </w:p>
    <w:p w:rsidR="00FC4BD2" w:rsidRDefault="00FC4BD2" w:rsidP="00FC4BD2">
      <w:pPr>
        <w:widowControl/>
        <w:overflowPunct/>
        <w:spacing w:before="120" w:after="60"/>
        <w:jc w:val="both"/>
        <w:rPr>
          <w:rFonts w:ascii="Arial" w:hAnsi="Arial" w:cs="Arial"/>
          <w:szCs w:val="21"/>
        </w:rPr>
      </w:pPr>
      <w:r w:rsidRPr="008A6A18">
        <w:rPr>
          <w:rFonts w:ascii="Arial" w:hAnsi="Arial" w:cs="Arial"/>
          <w:szCs w:val="21"/>
        </w:rPr>
        <w:t>Nei 92 comuni (80 per il paniere completo e 12 per un sottoinsieme di prodotti) che partecipano nel 2022 alla rilevazione dei prezzi al consumo si contano 43mila unità di rilevazione (tra punti vendita, imprese e istituzioni) dove gli Uffici comunali di statistica monitorano il prezzo di almeno un prodotto; a queste si aggiungono quasi 2.200 le abitazioni per la rilevazione dei canoni di affitto d</w:t>
      </w:r>
      <w:r>
        <w:rPr>
          <w:rFonts w:ascii="Arial" w:hAnsi="Arial" w:cs="Arial"/>
          <w:szCs w:val="21"/>
        </w:rPr>
        <w:t>i abitazioni di Enti pubblici</w:t>
      </w:r>
      <w:r>
        <w:rPr>
          <w:rStyle w:val="Rimandonotaapidipagina"/>
          <w:rFonts w:ascii="Arial" w:hAnsi="Arial"/>
          <w:szCs w:val="21"/>
        </w:rPr>
        <w:footnoteReference w:id="3"/>
      </w:r>
      <w:r>
        <w:rPr>
          <w:rFonts w:ascii="Arial" w:hAnsi="Arial" w:cs="Arial"/>
          <w:szCs w:val="21"/>
        </w:rPr>
        <w:t xml:space="preserve">. </w:t>
      </w:r>
      <w:r w:rsidRPr="008A6A18">
        <w:rPr>
          <w:rFonts w:ascii="Arial" w:hAnsi="Arial" w:cs="Arial"/>
          <w:szCs w:val="21"/>
        </w:rPr>
        <w:t>Nel complesso sono circa 392mila le quotazioni che contribuiscono al calcolo dell’inflazione, inviate mensilmente all’Istat dagli Uffici comunali di statistica (erano 390mila del 2021). A seguito dell’aggiornamento annuale dei piani di rilevazione comunali sono nuove il 4,9% delle attuali referenze di prodotto (6,7% nel 2021): di queste, il 2,2% sono referenze di prodotti nuovi mentre nel restante 2,7% si tratta di referenze di prodotti già presenti nel paniere dello scorso anno.</w:t>
      </w:r>
    </w:p>
    <w:p w:rsidR="00FC4BD2" w:rsidRDefault="00FC4BD2" w:rsidP="00FC4BD2">
      <w:pPr>
        <w:widowControl/>
        <w:overflowPunct/>
        <w:spacing w:before="120" w:after="60"/>
        <w:jc w:val="both"/>
        <w:rPr>
          <w:rFonts w:ascii="Arial" w:hAnsi="Arial" w:cs="Arial"/>
          <w:kern w:val="0"/>
        </w:rPr>
      </w:pPr>
      <w:r w:rsidRPr="00243145">
        <w:rPr>
          <w:rFonts w:ascii="Arial" w:hAnsi="Arial" w:cs="Arial"/>
        </w:rPr>
        <w:t>Nel 20</w:t>
      </w:r>
      <w:r>
        <w:rPr>
          <w:rFonts w:ascii="Arial" w:hAnsi="Arial" w:cs="Arial"/>
        </w:rPr>
        <w:t>22</w:t>
      </w:r>
      <w:r w:rsidRPr="00243145">
        <w:rPr>
          <w:rFonts w:ascii="Arial" w:hAnsi="Arial" w:cs="Arial"/>
        </w:rPr>
        <w:t xml:space="preserve">, </w:t>
      </w:r>
      <w:r>
        <w:rPr>
          <w:rFonts w:ascii="Arial" w:hAnsi="Arial" w:cs="Arial"/>
        </w:rPr>
        <w:t>oltre</w:t>
      </w:r>
      <w:r w:rsidRPr="00243145">
        <w:rPr>
          <w:rFonts w:ascii="Arial" w:hAnsi="Arial" w:cs="Arial"/>
        </w:rPr>
        <w:t xml:space="preserve"> </w:t>
      </w:r>
      <w:r>
        <w:rPr>
          <w:rFonts w:ascii="Arial" w:hAnsi="Arial" w:cs="Arial"/>
        </w:rPr>
        <w:t>100mila</w:t>
      </w:r>
      <w:r w:rsidRPr="00243145">
        <w:rPr>
          <w:rFonts w:ascii="Arial" w:hAnsi="Arial" w:cs="Arial"/>
        </w:rPr>
        <w:t xml:space="preserve"> quotazioni di prezzo </w:t>
      </w:r>
      <w:r>
        <w:rPr>
          <w:rFonts w:ascii="Arial" w:hAnsi="Arial" w:cs="Arial"/>
        </w:rPr>
        <w:t xml:space="preserve">vengono </w:t>
      </w:r>
      <w:r w:rsidRPr="00243145">
        <w:rPr>
          <w:rFonts w:ascii="Arial" w:hAnsi="Arial" w:cs="Arial"/>
        </w:rPr>
        <w:t>raccolte ogni mese centralmente dall’Istat</w:t>
      </w:r>
      <w:r w:rsidRPr="003A6759">
        <w:rPr>
          <w:rFonts w:ascii="Arial" w:hAnsi="Arial" w:cs="Arial"/>
        </w:rPr>
        <w:t>.</w:t>
      </w:r>
      <w:r w:rsidRPr="00B929DD">
        <w:rPr>
          <w:rFonts w:ascii="Arial" w:hAnsi="Arial" w:cs="Arial"/>
        </w:rPr>
        <w:t xml:space="preserve"> Di queste </w:t>
      </w:r>
      <w:r>
        <w:rPr>
          <w:rFonts w:ascii="Arial" w:hAnsi="Arial" w:cs="Arial"/>
          <w:kern w:val="0"/>
        </w:rPr>
        <w:t>quasi</w:t>
      </w:r>
      <w:r w:rsidRPr="00B929DD">
        <w:rPr>
          <w:rFonts w:ascii="Arial" w:hAnsi="Arial" w:cs="Arial"/>
          <w:kern w:val="0"/>
        </w:rPr>
        <w:t xml:space="preserve"> </w:t>
      </w:r>
      <w:r>
        <w:rPr>
          <w:rFonts w:ascii="Arial" w:hAnsi="Arial" w:cs="Arial"/>
          <w:kern w:val="0"/>
        </w:rPr>
        <w:t>100mila</w:t>
      </w:r>
      <w:r w:rsidRPr="00B929DD">
        <w:rPr>
          <w:rFonts w:ascii="Arial" w:hAnsi="Arial" w:cs="Arial"/>
          <w:kern w:val="0"/>
        </w:rPr>
        <w:t xml:space="preserve"> </w:t>
      </w:r>
      <w:r>
        <w:rPr>
          <w:rFonts w:ascii="Arial" w:hAnsi="Arial" w:cs="Arial"/>
          <w:kern w:val="0"/>
        </w:rPr>
        <w:t xml:space="preserve">sono </w:t>
      </w:r>
      <w:r w:rsidRPr="00B929DD">
        <w:rPr>
          <w:rFonts w:ascii="Arial" w:hAnsi="Arial" w:cs="Arial"/>
          <w:kern w:val="0"/>
        </w:rPr>
        <w:t xml:space="preserve">acquisite tramite web, anche con l’utilizzo di procedure di raccolta automatica dei dati da web (tecniche di </w:t>
      </w:r>
      <w:r w:rsidRPr="00B929DD">
        <w:rPr>
          <w:rFonts w:ascii="Arial" w:hAnsi="Arial" w:cs="Arial"/>
          <w:i/>
          <w:kern w:val="0"/>
        </w:rPr>
        <w:t>web scraping</w:t>
      </w:r>
      <w:r w:rsidRPr="00B929DD">
        <w:rPr>
          <w:rFonts w:ascii="Arial" w:hAnsi="Arial" w:cs="Arial"/>
          <w:kern w:val="0"/>
        </w:rPr>
        <w:t>)</w:t>
      </w:r>
      <w:r>
        <w:rPr>
          <w:rFonts w:ascii="Arial" w:hAnsi="Arial" w:cs="Arial"/>
          <w:kern w:val="0"/>
        </w:rPr>
        <w:t>,</w:t>
      </w:r>
      <w:r w:rsidRPr="00B929DD">
        <w:rPr>
          <w:rFonts w:ascii="Arial" w:hAnsi="Arial" w:cs="Arial"/>
          <w:i/>
          <w:kern w:val="0"/>
        </w:rPr>
        <w:t xml:space="preserve"> </w:t>
      </w:r>
      <w:r w:rsidRPr="00B929DD">
        <w:rPr>
          <w:rFonts w:ascii="Arial" w:hAnsi="Arial" w:cs="Arial"/>
          <w:kern w:val="0"/>
        </w:rPr>
        <w:t>circa 400</w:t>
      </w:r>
      <w:r>
        <w:rPr>
          <w:rFonts w:ascii="Arial" w:hAnsi="Arial" w:cs="Arial"/>
          <w:kern w:val="0"/>
        </w:rPr>
        <w:t xml:space="preserve"> vengono</w:t>
      </w:r>
      <w:r w:rsidRPr="00B929DD">
        <w:rPr>
          <w:rFonts w:ascii="Arial" w:hAnsi="Arial" w:cs="Arial"/>
          <w:kern w:val="0"/>
        </w:rPr>
        <w:t xml:space="preserve"> rilevate mediante indagine diretta presso le imprese di assicurazione per la rilevazione dei prezzi </w:t>
      </w:r>
      <w:r w:rsidRPr="00B929DD">
        <w:rPr>
          <w:rFonts w:ascii="Arial" w:hAnsi="Arial" w:cs="Arial"/>
          <w:szCs w:val="21"/>
        </w:rPr>
        <w:t>dei servizi assicurativi sull’abitazione</w:t>
      </w:r>
      <w:r>
        <w:rPr>
          <w:rFonts w:ascii="Arial" w:hAnsi="Arial" w:cs="Arial"/>
          <w:kern w:val="0"/>
        </w:rPr>
        <w:t xml:space="preserve"> e oltre 7</w:t>
      </w:r>
      <w:r w:rsidRPr="003A6759">
        <w:rPr>
          <w:rFonts w:ascii="Arial" w:hAnsi="Arial" w:cs="Arial"/>
          <w:kern w:val="0"/>
        </w:rPr>
        <w:t xml:space="preserve">00 </w:t>
      </w:r>
      <w:r>
        <w:rPr>
          <w:rFonts w:ascii="Arial" w:hAnsi="Arial" w:cs="Arial"/>
          <w:kern w:val="0"/>
        </w:rPr>
        <w:t xml:space="preserve">sono </w:t>
      </w:r>
      <w:r w:rsidRPr="003A6759">
        <w:rPr>
          <w:rFonts w:ascii="Arial" w:hAnsi="Arial" w:cs="Arial"/>
          <w:kern w:val="0"/>
        </w:rPr>
        <w:t>rilevate da fonti interne.</w:t>
      </w:r>
    </w:p>
    <w:p w:rsidR="00FC4BD2" w:rsidRPr="00841D46" w:rsidRDefault="00FC4BD2" w:rsidP="00FC4BD2">
      <w:pPr>
        <w:widowControl/>
        <w:spacing w:before="0" w:after="120"/>
        <w:jc w:val="both"/>
        <w:rPr>
          <w:rFonts w:ascii="Arial" w:hAnsi="Arial" w:cs="Arial"/>
          <w:szCs w:val="21"/>
        </w:rPr>
      </w:pPr>
      <w:r w:rsidRPr="008A6A18">
        <w:rPr>
          <w:rFonts w:ascii="Arial" w:hAnsi="Arial" w:cs="Arial"/>
          <w:szCs w:val="21"/>
        </w:rPr>
        <w:t>La rilevazione dei prezzi al consumo tramite scanner data interessa cinque tipologie distributive della Grande Distribuzione Organizzata: ipermercati, supermercati, discount, piccole superfici di vendita (note anche come “libero servizio”, punti vendita con superficie compresa tra i 100 e i 400 mq) e specialist drug (specialisti dei prodotti per la cura della casa e della persona). Nel complesso, la rilevazione dei prezzi tramite scanner data interessa 84 aggregati di prodotto, appartenenti a sei divisioni della ECOICOP (Prodotti alimentari e bevande analcoliche, Bevande alcoliche e tabacchi, Mobili articoli e servizi per la casa, Servizi sanitari e spese per la salute, Ricreazione spettacoli e cultura, Altri beni e servizi).</w:t>
      </w:r>
    </w:p>
    <w:p w:rsidR="00FC4BD2" w:rsidRPr="008A6A18" w:rsidRDefault="00FC4BD2" w:rsidP="00FC4BD2">
      <w:pPr>
        <w:widowControl/>
        <w:overflowPunct/>
        <w:spacing w:before="0" w:after="120"/>
        <w:jc w:val="both"/>
        <w:rPr>
          <w:rFonts w:ascii="Arial" w:hAnsi="Arial" w:cs="Arial"/>
          <w:szCs w:val="21"/>
        </w:rPr>
      </w:pPr>
      <w:r w:rsidRPr="008A6A18">
        <w:rPr>
          <w:rFonts w:ascii="Arial" w:hAnsi="Arial" w:cs="Arial"/>
          <w:szCs w:val="21"/>
        </w:rPr>
        <w:t>L’Istat acquisisce i dati settimanali di fatturato e quantità distinti per punto vendita e per GTIN (codice a barre), per singolo punto vendita di 21 grandi gruppi della GDO in Italia per tutte le 107 province del territorio nazionale. Il campione dei punti vendita è rappresentativo di tutto l’universo delle cinque tipologie distributive della GDO e comprende circa 4mila punti vendita distribuiti sull’intero territorio nazionale.</w:t>
      </w:r>
    </w:p>
    <w:p w:rsidR="00FC4BD2" w:rsidRPr="008A6A18" w:rsidRDefault="00FC4BD2" w:rsidP="00FC4BD2">
      <w:pPr>
        <w:widowControl/>
        <w:overflowPunct/>
        <w:spacing w:before="0" w:after="120"/>
        <w:jc w:val="both"/>
        <w:rPr>
          <w:rFonts w:ascii="Arial" w:hAnsi="Arial" w:cs="Arial"/>
          <w:szCs w:val="21"/>
        </w:rPr>
      </w:pPr>
      <w:r w:rsidRPr="008A6A18">
        <w:rPr>
          <w:rFonts w:ascii="Arial" w:hAnsi="Arial" w:cs="Arial"/>
          <w:szCs w:val="21"/>
        </w:rPr>
        <w:t>L’individuazione delle referenze che entrano nel calcolo dell’indice avviene tramite i codici a barre (GTIN), che identificano univocamente i prodotti sull’intero territorio nazionale. Il valore unitario del prezzo per ciascun codice a barre è la media dei prezzi effettivamente pagati dai consumatori per quei prodotti.</w:t>
      </w:r>
      <w:r>
        <w:rPr>
          <w:rFonts w:ascii="Arial" w:hAnsi="Arial" w:cs="Arial"/>
          <w:szCs w:val="21"/>
        </w:rPr>
        <w:t xml:space="preserve"> </w:t>
      </w:r>
      <w:r w:rsidRPr="008A6A18">
        <w:rPr>
          <w:rFonts w:ascii="Arial" w:hAnsi="Arial" w:cs="Arial"/>
          <w:szCs w:val="21"/>
        </w:rPr>
        <w:t>Per la selezione delle referenze, l’Istat utilizza un approccio di tipo dinamico che implica una selezione del campione di referenze in ciascun mese. L’approccio dinamico permette di utilizzare l’informazione proveniente dall’universo dei GTIN venduti in ciascun punto vendita e di seguire l’evoluzione dei prodotti che entrano ed escono dal mercato nei dodici mesi dell’anno.</w:t>
      </w:r>
    </w:p>
    <w:p w:rsidR="00FC4BD2" w:rsidRDefault="00FC4BD2" w:rsidP="00FC4BD2">
      <w:pPr>
        <w:widowControl/>
        <w:overflowPunct/>
        <w:spacing w:before="0" w:after="120"/>
        <w:jc w:val="both"/>
        <w:rPr>
          <w:rFonts w:ascii="Arial" w:hAnsi="Arial" w:cs="Arial"/>
          <w:szCs w:val="21"/>
        </w:rPr>
      </w:pPr>
      <w:r w:rsidRPr="008A6A18">
        <w:rPr>
          <w:rFonts w:ascii="Arial" w:hAnsi="Arial" w:cs="Arial"/>
          <w:szCs w:val="21"/>
        </w:rPr>
        <w:t>Nel complesso, per ciascuna settimana, si utilizzano per il calcolo degli indici oltre 19 milioni di referenze il cui prezzo settimanale viene calcolato sulla base dei dati di fatturato e quantità vendute in ciascun punto vendita e relative a circa 240 mila GTIN distinti. A seguito della selezione dinamica contribuiscono quindi mediamente ogni mese al calcolo degli indici oltre 11 milioni di referenze, per un totale di oltre 30 milioni di quotazioni di prezzo.</w:t>
      </w:r>
    </w:p>
    <w:p w:rsidR="00FC4BD2" w:rsidRPr="002A49A5" w:rsidRDefault="00FC4BD2" w:rsidP="00FC4BD2">
      <w:pPr>
        <w:widowControl/>
        <w:overflowPunct/>
        <w:spacing w:before="0" w:after="120"/>
        <w:jc w:val="both"/>
        <w:rPr>
          <w:rFonts w:ascii="Arial" w:hAnsi="Arial" w:cs="Arial"/>
          <w:kern w:val="0"/>
        </w:rPr>
      </w:pPr>
      <w:r w:rsidRPr="002A49A5">
        <w:rPr>
          <w:rFonts w:ascii="Arial" w:hAnsi="Arial" w:cs="Arial"/>
          <w:kern w:val="0"/>
        </w:rPr>
        <w:t xml:space="preserve">Le rilevazioni di fonte amministrativa per il calcolo dei prezzi al consumo sono diverse. Tra queste rientrano quelle relative ai Tabacchi i cui dati sono forniti dall’Agenzia delle accise, dogane e monopoli (ADM). Gli indici calcolati sono relativi a tre aggregati di prodotto: Sigarette, Sigari e sigaretti e Altri tabacchi (trinciati per sigarette, tabacco da fiuto e da mastico, altri tabacchi da fumo, tabacchi da inalazione). </w:t>
      </w:r>
    </w:p>
    <w:p w:rsidR="00FC4BD2" w:rsidRPr="002A49A5" w:rsidRDefault="00FC4BD2" w:rsidP="00FC4BD2">
      <w:pPr>
        <w:widowControl/>
        <w:overflowPunct/>
        <w:spacing w:before="0" w:after="120"/>
        <w:jc w:val="both"/>
        <w:rPr>
          <w:rFonts w:ascii="Arial" w:hAnsi="Arial" w:cs="Arial"/>
          <w:kern w:val="0"/>
        </w:rPr>
      </w:pPr>
      <w:r w:rsidRPr="002A49A5">
        <w:rPr>
          <w:rFonts w:ascii="Arial" w:hAnsi="Arial" w:cs="Arial"/>
          <w:kern w:val="0"/>
        </w:rPr>
        <w:t xml:space="preserve">Dal 2017 anche per i prezzi al consumo dei carburanti si utilizzano dati di fonte amministrativa, grazie a un accordo siglato con il Ministero dello Sviluppo economico (MISE) che, in ottemperanza alla normativa vigente, raccoglie i dati </w:t>
      </w:r>
      <w:r>
        <w:rPr>
          <w:rFonts w:ascii="Arial" w:hAnsi="Arial" w:cs="Arial"/>
          <w:kern w:val="0"/>
        </w:rPr>
        <w:t xml:space="preserve">sui prezzi di questi prodotti. </w:t>
      </w:r>
      <w:r w:rsidRPr="002A49A5">
        <w:rPr>
          <w:rFonts w:ascii="Arial" w:hAnsi="Arial" w:cs="Arial"/>
          <w:kern w:val="0"/>
        </w:rPr>
        <w:t>Nel 2022 l’indice è calcolato attraverso l’elaborazione di 68mila osservazioni di prezzo al mese, provenienti da oltre 12.800 impianti, pari al 66,8% di quelli attivi e presenti nella banca dati del MISE. La copertura dei distributori di carburanti per area territoriale comprende</w:t>
      </w:r>
      <w:r>
        <w:rPr>
          <w:rFonts w:ascii="Arial" w:hAnsi="Arial" w:cs="Arial"/>
          <w:kern w:val="0"/>
        </w:rPr>
        <w:t xml:space="preserve"> oltre 3.200 impianti nel Nord-Ovest, circa 2.800 nel Nord-E</w:t>
      </w:r>
      <w:r w:rsidRPr="002A49A5">
        <w:rPr>
          <w:rFonts w:ascii="Arial" w:hAnsi="Arial" w:cs="Arial"/>
          <w:kern w:val="0"/>
        </w:rPr>
        <w:t>st, quasi 2.900 nel Centro, oltre 2.800 al Sud e quasi 1.200 nelle Isole.</w:t>
      </w:r>
      <w:r>
        <w:rPr>
          <w:rFonts w:ascii="Arial" w:hAnsi="Arial" w:cs="Arial"/>
          <w:kern w:val="0"/>
        </w:rPr>
        <w:t xml:space="preserve"> </w:t>
      </w:r>
      <w:r w:rsidRPr="002A49A5">
        <w:rPr>
          <w:rFonts w:ascii="Arial" w:hAnsi="Arial" w:cs="Arial"/>
          <w:kern w:val="0"/>
        </w:rPr>
        <w:t>I dati del Ministero dello Sviluppo economico coprono i 4 aggregati di prodotto riferiti ai carburanti per autotrazione che compongono il paniere: Benzina, Gasolio per mezzi di trasporto, Gas GPL e Gas metano per autotrazione.</w:t>
      </w:r>
    </w:p>
    <w:p w:rsidR="00FC4BD2" w:rsidRDefault="00FC4BD2" w:rsidP="00FC4BD2">
      <w:pPr>
        <w:widowControl/>
        <w:overflowPunct/>
        <w:spacing w:before="0" w:after="120"/>
        <w:jc w:val="both"/>
        <w:rPr>
          <w:rFonts w:ascii="Arial" w:hAnsi="Arial" w:cs="Arial"/>
          <w:kern w:val="0"/>
        </w:rPr>
      </w:pPr>
      <w:r w:rsidRPr="002A49A5">
        <w:rPr>
          <w:rFonts w:ascii="Arial" w:hAnsi="Arial" w:cs="Arial"/>
          <w:kern w:val="0"/>
        </w:rPr>
        <w:t>Infine, a partire dal 2022 la rilevazione sui canoni di affitto per le abitazioni di proprietà privata viene effettuata dall’Istat utilizzando la base dati locazioni immobiliari dell’Osservatorio del mercato immobiliare dell’Agenzia delle entrate. L’indice viene elaborato mensilmente utilizzando circa un milione e mezzo di canoni di affitto.</w:t>
      </w:r>
    </w:p>
    <w:p w:rsidR="00FC4BD2" w:rsidRDefault="00FC4BD2" w:rsidP="00FC4BD2">
      <w:pPr>
        <w:widowControl/>
        <w:overflowPunct/>
        <w:spacing w:before="0" w:after="120"/>
        <w:jc w:val="both"/>
        <w:rPr>
          <w:rFonts w:ascii="Arial" w:hAnsi="Arial" w:cs="Arial"/>
          <w:kern w:val="0"/>
        </w:rPr>
      </w:pPr>
    </w:p>
    <w:p w:rsidR="00FC4BD2" w:rsidRDefault="00FC4BD2" w:rsidP="00FC4BD2">
      <w:pPr>
        <w:widowControl/>
        <w:overflowPunct/>
        <w:spacing w:before="0" w:after="120"/>
        <w:jc w:val="both"/>
        <w:rPr>
          <w:rFonts w:ascii="Arial" w:hAnsi="Arial" w:cs="Arial"/>
          <w:kern w:val="0"/>
        </w:rPr>
      </w:pPr>
    </w:p>
    <w:p w:rsidR="00FC4BD2" w:rsidRPr="00B929DD" w:rsidRDefault="00FC4BD2" w:rsidP="00FC4BD2">
      <w:pPr>
        <w:widowControl/>
        <w:overflowPunct/>
        <w:spacing w:before="0" w:after="120"/>
        <w:jc w:val="both"/>
        <w:rPr>
          <w:rFonts w:ascii="Arial" w:hAnsi="Arial" w:cs="Arial"/>
          <w:kern w:val="0"/>
        </w:rPr>
      </w:pPr>
    </w:p>
    <w:p w:rsidR="00FC4BD2" w:rsidRPr="00C8504B" w:rsidRDefault="00FC4BD2" w:rsidP="00FC4BD2">
      <w:pPr>
        <w:spacing w:before="0" w:after="120"/>
        <w:jc w:val="both"/>
        <w:rPr>
          <w:rFonts w:ascii="Arial" w:hAnsi="Arial" w:cs="Arial"/>
          <w:b/>
          <w:sz w:val="6"/>
          <w:szCs w:val="6"/>
        </w:rPr>
      </w:pPr>
      <w:r w:rsidRPr="00C8504B">
        <w:rPr>
          <w:rFonts w:ascii="Arial" w:hAnsi="Arial" w:cs="Arial"/>
          <w:b/>
          <w:sz w:val="22"/>
          <w:szCs w:val="22"/>
        </w:rPr>
        <w:t>Metodologia di calcolo degli indici e delle variazioni</w:t>
      </w:r>
    </w:p>
    <w:p w:rsidR="00FC4BD2" w:rsidRPr="00C8504B" w:rsidRDefault="00FC4BD2" w:rsidP="00FC4BD2">
      <w:pPr>
        <w:spacing w:before="0" w:after="120"/>
        <w:jc w:val="both"/>
        <w:rPr>
          <w:rFonts w:ascii="Arial" w:hAnsi="Arial" w:cs="Arial"/>
          <w:b/>
          <w:sz w:val="18"/>
          <w:szCs w:val="18"/>
        </w:rPr>
      </w:pPr>
      <w:r w:rsidRPr="00C8504B">
        <w:rPr>
          <w:rFonts w:ascii="Arial" w:hAnsi="Arial" w:cs="Arial"/>
          <w:b/>
        </w:rPr>
        <w:t xml:space="preserve">Struttura di ponderazione </w:t>
      </w:r>
    </w:p>
    <w:p w:rsidR="00FC4BD2" w:rsidRDefault="00FC4BD2" w:rsidP="00FC4BD2">
      <w:pPr>
        <w:tabs>
          <w:tab w:val="left" w:pos="10206"/>
        </w:tabs>
        <w:spacing w:before="0" w:after="120"/>
        <w:jc w:val="both"/>
        <w:rPr>
          <w:rFonts w:ascii="Arial" w:hAnsi="Arial" w:cs="Arial"/>
          <w:szCs w:val="21"/>
        </w:rPr>
      </w:pPr>
      <w:r>
        <w:rPr>
          <w:rFonts w:ascii="Arial" w:hAnsi="Arial" w:cs="Arial"/>
          <w:szCs w:val="21"/>
        </w:rPr>
        <w:t>N</w:t>
      </w:r>
      <w:r w:rsidRPr="002A6B23">
        <w:rPr>
          <w:rFonts w:ascii="Arial" w:hAnsi="Arial" w:cs="Arial"/>
          <w:szCs w:val="21"/>
        </w:rPr>
        <w:t xml:space="preserve">on tutti i beni e i servizi che entrano nel paniere hanno la stessa importanza nei consumi della popolazione. </w:t>
      </w:r>
      <w:r>
        <w:rPr>
          <w:rFonts w:ascii="Arial" w:hAnsi="Arial" w:cs="Arial"/>
          <w:szCs w:val="21"/>
        </w:rPr>
        <w:t>Di conseguenza, l</w:t>
      </w:r>
      <w:r w:rsidRPr="002A6B23">
        <w:rPr>
          <w:rFonts w:ascii="Arial" w:hAnsi="Arial" w:cs="Arial"/>
          <w:szCs w:val="21"/>
        </w:rPr>
        <w:t>’esigenza di misurare il livello dei prezzi e la loro dinamica temporale attraverso indicatori di sintesi richiede la definizione di un sistema di ponderazione che consenta di elaborare tali indicatori tenendo conto della diversa rilevanza che i singoli prodotti assumono sulla spesa complessiva per consumi delle famiglie.</w:t>
      </w:r>
    </w:p>
    <w:p w:rsidR="00FC4BD2" w:rsidRPr="007F5CA7" w:rsidRDefault="00FC4BD2" w:rsidP="00FC4BD2">
      <w:pPr>
        <w:tabs>
          <w:tab w:val="left" w:pos="10206"/>
        </w:tabs>
        <w:spacing w:before="0" w:after="120"/>
        <w:jc w:val="both"/>
        <w:rPr>
          <w:rFonts w:ascii="Arial" w:hAnsi="Arial" w:cs="Arial"/>
          <w:szCs w:val="21"/>
        </w:rPr>
      </w:pPr>
      <w:r w:rsidRPr="007F5CA7">
        <w:rPr>
          <w:rFonts w:ascii="Arial" w:hAnsi="Arial" w:cs="Arial"/>
          <w:szCs w:val="21"/>
        </w:rPr>
        <w:t>Ogni anno, i coefficienti di ponderazione degli indici sono aggiornati per tener conto dell’evoluzione dei consumi finali delle famiglie, come risulta dalle stime della Contabilità nazionale dell’Istat e dell’indagine sulle Spese delle famiglie, oltre che dai dati provenienti da altre fonti ausiliarie interne e esterne all’Istituto, tra le quali le basi dati di importanti società di analisi e ricerche di mercato, quali A.C. Nielsen e GfK Italia S.r.l..</w:t>
      </w:r>
    </w:p>
    <w:p w:rsidR="00FC4BD2" w:rsidRDefault="00FC4BD2" w:rsidP="00FC4BD2">
      <w:pPr>
        <w:tabs>
          <w:tab w:val="left" w:pos="10206"/>
        </w:tabs>
        <w:spacing w:before="0" w:after="120"/>
        <w:jc w:val="both"/>
        <w:rPr>
          <w:rFonts w:ascii="Arial" w:hAnsi="Arial" w:cs="Arial"/>
          <w:szCs w:val="21"/>
        </w:rPr>
      </w:pPr>
      <w:r w:rsidRPr="007F5CA7">
        <w:rPr>
          <w:rFonts w:ascii="Arial" w:hAnsi="Arial" w:cs="Arial"/>
          <w:szCs w:val="21"/>
        </w:rPr>
        <w:t xml:space="preserve">Tale operazione garantisce che il sistema dei pesi utilizzato per la stima dell’inflazione mantenga elevato nel tempo il suo grado di rappresentatività delle quote di spesa che i consumatori destinano all’acquisto dei beni e servizi finali. </w:t>
      </w:r>
    </w:p>
    <w:p w:rsidR="00FC4BD2" w:rsidRDefault="00FC4BD2" w:rsidP="00FC4BD2">
      <w:pPr>
        <w:tabs>
          <w:tab w:val="left" w:pos="10206"/>
        </w:tabs>
        <w:spacing w:before="0" w:after="120"/>
        <w:jc w:val="both"/>
        <w:rPr>
          <w:rFonts w:ascii="Arial" w:hAnsi="Arial" w:cs="Arial"/>
          <w:szCs w:val="21"/>
        </w:rPr>
      </w:pPr>
      <w:r w:rsidRPr="003F5B16">
        <w:rPr>
          <w:rFonts w:ascii="Arial" w:hAnsi="Arial" w:cs="Arial"/>
          <w:szCs w:val="21"/>
        </w:rPr>
        <w:t xml:space="preserve">È da rilevare che lo scorso anno, in un quadro di relativa attenuazione dell’emergenza sanitaria dovuta al Covid-19, le spese delle famiglie sono state influenzate in misura minore rispetto al 2020 dagli effetti delle misure di contenimento della pandemia. Pertanto, </w:t>
      </w:r>
      <w:r>
        <w:rPr>
          <w:rFonts w:ascii="Arial" w:hAnsi="Arial" w:cs="Arial"/>
          <w:szCs w:val="21"/>
        </w:rPr>
        <w:t>analogamente a quanto</w:t>
      </w:r>
      <w:r w:rsidRPr="003F5B16">
        <w:rPr>
          <w:rFonts w:ascii="Arial" w:hAnsi="Arial" w:cs="Arial"/>
          <w:szCs w:val="21"/>
        </w:rPr>
        <w:t xml:space="preserve"> fatto per il paniere 2021, al fine di salvaguardare la coerenza tra la struttura di ponderazione degli indici e quella dei bilanci delle famiglie, e nel rispetto delle linee guida Eurostat, anche nel 2022 per la revisione dei pesi sono stati utilizzati i dati delle principali fonti interne più recenti a disposizione: le stime della Contabilità nazionale e le informazioni della indagine sulle Spese del famiglie relative al 2021</w:t>
      </w:r>
      <w:r w:rsidRPr="00B8724C">
        <w:rPr>
          <w:rStyle w:val="Rimandonotaapidipagina"/>
          <w:rFonts w:ascii="Arial" w:hAnsi="Arial" w:cs="Arial"/>
        </w:rPr>
        <w:footnoteReference w:id="4"/>
      </w:r>
      <w:r w:rsidRPr="00B8724C">
        <w:rPr>
          <w:rFonts w:ascii="Arial" w:hAnsi="Arial" w:cs="Arial"/>
          <w:szCs w:val="21"/>
        </w:rPr>
        <w:t>.</w:t>
      </w:r>
      <w:r w:rsidRPr="007F5CA7">
        <w:rPr>
          <w:rFonts w:ascii="Arial" w:hAnsi="Arial" w:cs="Arial"/>
          <w:szCs w:val="21"/>
        </w:rPr>
        <w:t xml:space="preserve"> </w:t>
      </w:r>
    </w:p>
    <w:p w:rsidR="00FC4BD2" w:rsidRPr="003F5B16" w:rsidRDefault="00FC4BD2" w:rsidP="00FC4BD2">
      <w:pPr>
        <w:tabs>
          <w:tab w:val="left" w:pos="10206"/>
        </w:tabs>
        <w:spacing w:before="0" w:after="120"/>
        <w:jc w:val="both"/>
        <w:rPr>
          <w:rFonts w:ascii="Arial" w:hAnsi="Arial" w:cs="Arial"/>
        </w:rPr>
      </w:pPr>
      <w:r w:rsidRPr="003F5B16">
        <w:rPr>
          <w:rFonts w:ascii="Arial" w:hAnsi="Arial" w:cs="Arial"/>
        </w:rPr>
        <w:t xml:space="preserve">Per ragioni di tempestività, il sistema dei pesi usato per la stima preliminare dell’inflazione di gennaio 2022 è stato calcolato sulla base dei dati della Contabilità nazionale disponibili a dicembre scorso, relativi ai primi tre trimestri dell’anno. </w:t>
      </w:r>
    </w:p>
    <w:p w:rsidR="00FC4BD2" w:rsidRPr="007F5CA7" w:rsidRDefault="00FC4BD2" w:rsidP="00FC4BD2">
      <w:pPr>
        <w:tabs>
          <w:tab w:val="left" w:pos="10206"/>
        </w:tabs>
        <w:spacing w:before="0" w:after="120"/>
        <w:jc w:val="both"/>
        <w:rPr>
          <w:rFonts w:ascii="Arial" w:hAnsi="Arial" w:cs="Arial"/>
          <w:szCs w:val="21"/>
        </w:rPr>
      </w:pPr>
      <w:r w:rsidRPr="003F5B16">
        <w:rPr>
          <w:rFonts w:ascii="Arial" w:hAnsi="Arial" w:cs="Arial"/>
        </w:rPr>
        <w:t>L’ampliamento della base informativa, a copertura dell’intero anno solare, ha poi consentito un ulteriore raffinamento delle strutture di ponderazione in occasione del rilascio delle stime definitive.</w:t>
      </w:r>
      <w:r>
        <w:rPr>
          <w:rFonts w:ascii="Arial" w:hAnsi="Arial" w:cs="Arial"/>
        </w:rPr>
        <w:t xml:space="preserve"> </w:t>
      </w:r>
      <w:r w:rsidRPr="00501BF7">
        <w:rPr>
          <w:rFonts w:ascii="Arial" w:hAnsi="Arial" w:cs="Arial"/>
        </w:rPr>
        <w:t>Tuttavia, al fine di misurare le quote di spesa</w:t>
      </w:r>
      <w:r>
        <w:rPr>
          <w:rFonts w:ascii="Arial" w:hAnsi="Arial" w:cs="Arial"/>
        </w:rPr>
        <w:t xml:space="preserve"> con cui ciascun aggregato contribuisce alla stima dell’inflazione,</w:t>
      </w:r>
      <w:r w:rsidRPr="00501BF7">
        <w:rPr>
          <w:rFonts w:ascii="Arial" w:hAnsi="Arial" w:cs="Arial"/>
        </w:rPr>
        <w:t xml:space="preserve"> con riferimento al valore del periodo base di calcolo degli indici (dicembre 2021), i dati sui consumi finali delle famiglie </w:t>
      </w:r>
      <w:r>
        <w:rPr>
          <w:rFonts w:ascii="Arial" w:hAnsi="Arial" w:cs="Arial"/>
        </w:rPr>
        <w:t xml:space="preserve">sono stati aggiornati </w:t>
      </w:r>
      <w:r w:rsidRPr="00501BF7">
        <w:rPr>
          <w:rFonts w:ascii="Arial" w:hAnsi="Arial" w:cs="Arial"/>
        </w:rPr>
        <w:t>utilizzando le variazioni di prezzo misurate tra la media dell'anno 2021 e dicembre 2021</w:t>
      </w:r>
      <w:r>
        <w:rPr>
          <w:rFonts w:ascii="Arial" w:hAnsi="Arial" w:cs="Arial"/>
        </w:rPr>
        <w:t>.</w:t>
      </w:r>
    </w:p>
    <w:p w:rsidR="00FC4BD2" w:rsidRDefault="00FC4BD2" w:rsidP="00FC4BD2">
      <w:pPr>
        <w:tabs>
          <w:tab w:val="left" w:pos="10206"/>
        </w:tabs>
        <w:spacing w:before="0" w:after="120"/>
        <w:jc w:val="both"/>
        <w:rPr>
          <w:rFonts w:ascii="Arial" w:hAnsi="Arial" w:cs="Arial"/>
        </w:rPr>
      </w:pPr>
      <w:r w:rsidRPr="00703E31">
        <w:rPr>
          <w:rFonts w:ascii="Arial" w:hAnsi="Arial" w:cs="Arial"/>
        </w:rPr>
        <w:t xml:space="preserve">Nel Prospetto </w:t>
      </w:r>
      <w:r>
        <w:rPr>
          <w:rFonts w:ascii="Arial" w:hAnsi="Arial" w:cs="Arial"/>
        </w:rPr>
        <w:t>1</w:t>
      </w:r>
      <w:r w:rsidRPr="00703E31">
        <w:rPr>
          <w:rFonts w:ascii="Arial" w:hAnsi="Arial" w:cs="Arial"/>
        </w:rPr>
        <w:t xml:space="preserve"> è </w:t>
      </w:r>
      <w:r>
        <w:rPr>
          <w:rFonts w:ascii="Arial" w:hAnsi="Arial" w:cs="Arial"/>
        </w:rPr>
        <w:t xml:space="preserve">quindi </w:t>
      </w:r>
      <w:r w:rsidRPr="00703E31">
        <w:rPr>
          <w:rFonts w:ascii="Arial" w:hAnsi="Arial" w:cs="Arial"/>
        </w:rPr>
        <w:t xml:space="preserve">riportata la struttura dei pesi </w:t>
      </w:r>
      <w:r>
        <w:rPr>
          <w:rFonts w:ascii="Arial" w:hAnsi="Arial" w:cs="Arial"/>
        </w:rPr>
        <w:t xml:space="preserve">finali </w:t>
      </w:r>
      <w:r w:rsidRPr="00703E31">
        <w:rPr>
          <w:rFonts w:ascii="Arial" w:hAnsi="Arial" w:cs="Arial"/>
        </w:rPr>
        <w:t>per divis</w:t>
      </w:r>
      <w:r>
        <w:rPr>
          <w:rFonts w:ascii="Arial" w:hAnsi="Arial" w:cs="Arial"/>
        </w:rPr>
        <w:t xml:space="preserve">ione di spesa utilizzata per il </w:t>
      </w:r>
      <w:r w:rsidRPr="00703E31">
        <w:rPr>
          <w:rFonts w:ascii="Arial" w:hAnsi="Arial" w:cs="Arial"/>
        </w:rPr>
        <w:t>calcolo dei tre indici dei prezzi al consumo (NIC, IPCA e FOI)</w:t>
      </w:r>
      <w:r>
        <w:rPr>
          <w:rFonts w:ascii="Arial" w:hAnsi="Arial" w:cs="Arial"/>
        </w:rPr>
        <w:t xml:space="preserve"> per la stima preliminare dell’inflazione di gennaio 2022</w:t>
      </w:r>
      <w:r w:rsidRPr="00703E31">
        <w:rPr>
          <w:rFonts w:ascii="Arial" w:hAnsi="Arial" w:cs="Arial"/>
        </w:rPr>
        <w:t>.</w:t>
      </w:r>
    </w:p>
    <w:p w:rsidR="00FC4BD2" w:rsidRDefault="00FC4BD2" w:rsidP="00FC4BD2">
      <w:pPr>
        <w:tabs>
          <w:tab w:val="left" w:pos="10206"/>
        </w:tabs>
        <w:spacing w:before="0" w:after="120"/>
        <w:jc w:val="both"/>
        <w:rPr>
          <w:rFonts w:ascii="Arial" w:hAnsi="Arial" w:cs="Arial"/>
        </w:rPr>
      </w:pPr>
    </w:p>
    <w:p w:rsidR="00FC4BD2" w:rsidRPr="00881841" w:rsidRDefault="00FC4BD2" w:rsidP="00FC4BD2">
      <w:pPr>
        <w:pStyle w:val="001TitoGra"/>
        <w:spacing w:after="120" w:line="240" w:lineRule="auto"/>
        <w:jc w:val="both"/>
        <w:rPr>
          <w:b w:val="0"/>
          <w:sz w:val="20"/>
          <w:szCs w:val="20"/>
        </w:rPr>
      </w:pPr>
      <w:r w:rsidRPr="001611C8">
        <w:rPr>
          <w:rStyle w:val="001TitoGraRed"/>
        </w:rPr>
        <w:t xml:space="preserve">PROSPETTO </w:t>
      </w:r>
      <w:r>
        <w:rPr>
          <w:rStyle w:val="001TitoGraRed"/>
        </w:rPr>
        <w:t>1</w:t>
      </w:r>
      <w:r w:rsidRPr="001611C8">
        <w:rPr>
          <w:rStyle w:val="001TitoGraRed"/>
        </w:rPr>
        <w:t>.</w:t>
      </w:r>
      <w:r w:rsidRPr="00703E31">
        <w:t xml:space="preserve"> PESI UTILIZZATI PER IL CALCOLO DEGLI INDICI NAZIONALI DEI PREZZI AL CONSUMO, PER DIVISIONI DI SPESA</w:t>
      </w:r>
      <w:r>
        <w:t xml:space="preserve">. </w:t>
      </w:r>
      <w:r>
        <w:rPr>
          <w:b w:val="0"/>
          <w:sz w:val="20"/>
          <w:szCs w:val="20"/>
        </w:rPr>
        <w:t>Anno 2022</w:t>
      </w:r>
      <w:r w:rsidRPr="00881841">
        <w:rPr>
          <w:b w:val="0"/>
          <w:sz w:val="20"/>
          <w:szCs w:val="20"/>
        </w:rPr>
        <w:t xml:space="preserve">, valori percentuali </w:t>
      </w:r>
    </w:p>
    <w:tbl>
      <w:tblPr>
        <w:tblW w:w="10206" w:type="dxa"/>
        <w:tblInd w:w="70" w:type="dxa"/>
        <w:tblBorders>
          <w:top w:val="single" w:sz="4" w:space="0" w:color="auto"/>
          <w:bottom w:val="single" w:sz="4" w:space="0" w:color="auto"/>
          <w:insideH w:val="single" w:sz="4" w:space="0" w:color="auto"/>
        </w:tblBorders>
        <w:tblCellMar>
          <w:left w:w="70" w:type="dxa"/>
          <w:right w:w="70" w:type="dxa"/>
        </w:tblCellMar>
        <w:tblLook w:val="00A0" w:firstRow="1" w:lastRow="0" w:firstColumn="1" w:lastColumn="0" w:noHBand="0" w:noVBand="0"/>
      </w:tblPr>
      <w:tblGrid>
        <w:gridCol w:w="4872"/>
        <w:gridCol w:w="1778"/>
        <w:gridCol w:w="1778"/>
        <w:gridCol w:w="1778"/>
      </w:tblGrid>
      <w:tr w:rsidR="00FC4BD2" w:rsidRPr="00881841" w:rsidTr="00BD0687">
        <w:trPr>
          <w:trHeight w:val="255"/>
        </w:trPr>
        <w:tc>
          <w:tcPr>
            <w:tcW w:w="4872" w:type="dxa"/>
            <w:vMerge w:val="restart"/>
            <w:shd w:val="clear" w:color="auto" w:fill="FFFFFF"/>
            <w:vAlign w:val="center"/>
            <w:hideMark/>
          </w:tcPr>
          <w:p w:rsidR="00FC4BD2" w:rsidRPr="0046573B" w:rsidRDefault="00FC4BD2" w:rsidP="00BD0687">
            <w:pPr>
              <w:widowControl/>
              <w:overflowPunct/>
              <w:autoSpaceDE/>
              <w:adjustRightInd/>
              <w:spacing w:before="0" w:after="0"/>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DIVISIONI DI SPESA</w:t>
            </w:r>
          </w:p>
        </w:tc>
        <w:tc>
          <w:tcPr>
            <w:tcW w:w="5334" w:type="dxa"/>
            <w:gridSpan w:val="3"/>
            <w:shd w:val="clear" w:color="auto" w:fill="D9D9D9"/>
            <w:vAlign w:val="center"/>
            <w:hideMark/>
          </w:tcPr>
          <w:p w:rsidR="00FC4BD2" w:rsidRPr="00881841" w:rsidRDefault="00FC4BD2" w:rsidP="00BD0687">
            <w:pPr>
              <w:spacing w:before="0" w:after="0"/>
              <w:jc w:val="center"/>
              <w:rPr>
                <w:rFonts w:ascii="Arial Narrow" w:hAnsi="Arial Narrow" w:cs="Arial"/>
                <w:b/>
                <w:sz w:val="18"/>
                <w:szCs w:val="18"/>
              </w:rPr>
            </w:pPr>
            <w:r w:rsidRPr="0046573B">
              <w:rPr>
                <w:rFonts w:ascii="Arial Narrow" w:hAnsi="Arial Narrow" w:cs="Calibri"/>
                <w:b/>
                <w:bCs/>
                <w:color w:val="000000"/>
                <w:kern w:val="0"/>
                <w:sz w:val="18"/>
                <w:szCs w:val="18"/>
              </w:rPr>
              <w:t>Pesi</w:t>
            </w:r>
          </w:p>
        </w:tc>
      </w:tr>
      <w:tr w:rsidR="00FC4BD2" w:rsidRPr="00881841" w:rsidTr="00BD0687">
        <w:trPr>
          <w:trHeight w:val="255"/>
        </w:trPr>
        <w:tc>
          <w:tcPr>
            <w:tcW w:w="4872" w:type="dxa"/>
            <w:vMerge/>
            <w:vAlign w:val="center"/>
            <w:hideMark/>
          </w:tcPr>
          <w:p w:rsidR="00FC4BD2" w:rsidRPr="0046573B" w:rsidRDefault="00FC4BD2" w:rsidP="00BD0687">
            <w:pPr>
              <w:widowControl/>
              <w:overflowPunct/>
              <w:autoSpaceDE/>
              <w:autoSpaceDN/>
              <w:adjustRightInd/>
              <w:spacing w:before="0" w:after="0"/>
              <w:rPr>
                <w:rFonts w:ascii="Arial Narrow" w:hAnsi="Arial Narrow" w:cs="Calibri"/>
                <w:b/>
                <w:bCs/>
                <w:color w:val="000000"/>
                <w:kern w:val="0"/>
                <w:sz w:val="18"/>
                <w:szCs w:val="18"/>
              </w:rPr>
            </w:pPr>
          </w:p>
        </w:tc>
        <w:tc>
          <w:tcPr>
            <w:tcW w:w="1778" w:type="dxa"/>
            <w:shd w:val="clear" w:color="auto" w:fill="auto"/>
            <w:vAlign w:val="center"/>
            <w:hideMark/>
          </w:tcPr>
          <w:p w:rsidR="00FC4BD2" w:rsidRPr="0046573B" w:rsidRDefault="00FC4BD2" w:rsidP="00BD0687">
            <w:pPr>
              <w:widowControl/>
              <w:overflowPunct/>
              <w:autoSpaceDE/>
              <w:adjustRightInd/>
              <w:spacing w:before="0" w:after="0"/>
              <w:jc w:val="center"/>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NIC</w:t>
            </w:r>
          </w:p>
        </w:tc>
        <w:tc>
          <w:tcPr>
            <w:tcW w:w="1778" w:type="dxa"/>
            <w:shd w:val="clear" w:color="auto" w:fill="auto"/>
            <w:vAlign w:val="center"/>
            <w:hideMark/>
          </w:tcPr>
          <w:p w:rsidR="00FC4BD2" w:rsidRPr="0046573B" w:rsidRDefault="00FC4BD2" w:rsidP="00BD0687">
            <w:pPr>
              <w:widowControl/>
              <w:overflowPunct/>
              <w:autoSpaceDE/>
              <w:adjustRightInd/>
              <w:spacing w:before="0" w:after="0"/>
              <w:jc w:val="center"/>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IPCA</w:t>
            </w:r>
          </w:p>
        </w:tc>
        <w:tc>
          <w:tcPr>
            <w:tcW w:w="1778" w:type="dxa"/>
            <w:shd w:val="clear" w:color="auto" w:fill="auto"/>
            <w:vAlign w:val="center"/>
            <w:hideMark/>
          </w:tcPr>
          <w:p w:rsidR="00FC4BD2" w:rsidRPr="0046573B" w:rsidRDefault="00FC4BD2" w:rsidP="00BD0687">
            <w:pPr>
              <w:widowControl/>
              <w:overflowPunct/>
              <w:autoSpaceDE/>
              <w:adjustRightInd/>
              <w:spacing w:before="0" w:after="0"/>
              <w:jc w:val="center"/>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FOI</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Prodotti alimentari e bevande analcoliche</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18,3676</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19,4554</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17,2515</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Bevande alcoliche e tabacchi</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3,4038</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3,6056</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3,6654</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Abbigliamento e calzature</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6,3855</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7,3176</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7,1436</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Abitazione, acqua, elettricità e combustibili</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10,9684</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11,6179</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11,0001</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Mobili, articoli e servizi per la casa</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7,995</w:t>
            </w:r>
            <w:r>
              <w:rPr>
                <w:rFonts w:ascii="Arial Narrow" w:hAnsi="Arial Narrow" w:cs="Calibri"/>
                <w:color w:val="000000"/>
                <w:kern w:val="0"/>
                <w:sz w:val="18"/>
                <w:szCs w:val="18"/>
              </w:rPr>
              <w:t>0</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8,4989</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6,9834</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Servizi sanitari e spese per la salute</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8,8946</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4,6145</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7,1232</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Trasporti</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14,4843</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15,3242</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15,9564</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Comunicazioni</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2,5749</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2,7265</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2,9772</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Ricreazione, spettacoli e cultura</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7,054</w:t>
            </w:r>
            <w:r>
              <w:rPr>
                <w:rFonts w:ascii="Arial Narrow" w:hAnsi="Arial Narrow" w:cs="Calibri"/>
                <w:color w:val="000000"/>
                <w:kern w:val="0"/>
                <w:sz w:val="18"/>
                <w:szCs w:val="18"/>
              </w:rPr>
              <w:t>0</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5,7663</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7,4398</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Istruzione</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1,0835</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1,1474</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1,2182</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Servizi ricettivi e di ristorazione</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9,3754</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9,9319</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9,9741</w:t>
            </w:r>
          </w:p>
        </w:tc>
      </w:tr>
      <w:tr w:rsidR="00FC4BD2" w:rsidRPr="00881841" w:rsidTr="00BD0687">
        <w:trPr>
          <w:trHeight w:val="255"/>
        </w:trPr>
        <w:tc>
          <w:tcPr>
            <w:tcW w:w="4872" w:type="dxa"/>
            <w:vAlign w:val="center"/>
            <w:hideMark/>
          </w:tcPr>
          <w:p w:rsidR="00FC4BD2" w:rsidRPr="0046573B" w:rsidRDefault="00FC4BD2" w:rsidP="00BD068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 xml:space="preserve">Altri beni e servizi </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9,413</w:t>
            </w:r>
            <w:r>
              <w:rPr>
                <w:rFonts w:ascii="Arial Narrow" w:hAnsi="Arial Narrow" w:cs="Calibri"/>
                <w:color w:val="000000"/>
                <w:kern w:val="0"/>
                <w:sz w:val="18"/>
                <w:szCs w:val="18"/>
              </w:rPr>
              <w:t>0</w:t>
            </w:r>
          </w:p>
        </w:tc>
        <w:tc>
          <w:tcPr>
            <w:tcW w:w="1778" w:type="dxa"/>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9,9938</w:t>
            </w:r>
          </w:p>
        </w:tc>
        <w:tc>
          <w:tcPr>
            <w:tcW w:w="1778" w:type="dxa"/>
            <w:shd w:val="clear" w:color="auto" w:fill="E6E6E6"/>
            <w:vAlign w:val="center"/>
            <w:hideMark/>
          </w:tcPr>
          <w:p w:rsidR="00FC4BD2" w:rsidRPr="005519C4" w:rsidRDefault="00FC4BD2" w:rsidP="00BD0687">
            <w:pPr>
              <w:widowControl/>
              <w:overflowPunct/>
              <w:autoSpaceDE/>
              <w:autoSpaceDN/>
              <w:adjustRightInd/>
              <w:spacing w:before="0" w:after="0"/>
              <w:jc w:val="center"/>
              <w:rPr>
                <w:rFonts w:ascii="Arial Narrow" w:hAnsi="Arial Narrow" w:cs="Calibri"/>
                <w:color w:val="000000"/>
                <w:kern w:val="0"/>
                <w:sz w:val="18"/>
                <w:szCs w:val="18"/>
              </w:rPr>
            </w:pPr>
            <w:r w:rsidRPr="005519C4">
              <w:rPr>
                <w:rFonts w:ascii="Arial Narrow" w:hAnsi="Arial Narrow" w:cs="Calibri"/>
                <w:color w:val="000000"/>
                <w:kern w:val="0"/>
                <w:sz w:val="18"/>
                <w:szCs w:val="18"/>
              </w:rPr>
              <w:t>9,2671</w:t>
            </w:r>
          </w:p>
        </w:tc>
      </w:tr>
      <w:tr w:rsidR="00FC4BD2" w:rsidRPr="00881841" w:rsidTr="00BD0687">
        <w:trPr>
          <w:trHeight w:val="255"/>
        </w:trPr>
        <w:tc>
          <w:tcPr>
            <w:tcW w:w="4872" w:type="dxa"/>
            <w:shd w:val="clear" w:color="auto" w:fill="E31C18"/>
            <w:vAlign w:val="center"/>
            <w:hideMark/>
          </w:tcPr>
          <w:p w:rsidR="00FC4BD2" w:rsidRPr="0046573B" w:rsidRDefault="00FC4BD2" w:rsidP="00BD0687">
            <w:pPr>
              <w:widowControl/>
              <w:overflowPunct/>
              <w:autoSpaceDE/>
              <w:adjustRightInd/>
              <w:spacing w:before="0" w:after="0"/>
              <w:rPr>
                <w:rFonts w:ascii="Arial Narrow" w:hAnsi="Arial Narrow" w:cs="Calibri"/>
                <w:b/>
                <w:bCs/>
                <w:color w:val="FFFFFF"/>
                <w:kern w:val="0"/>
                <w:sz w:val="18"/>
                <w:szCs w:val="18"/>
              </w:rPr>
            </w:pPr>
            <w:r w:rsidRPr="0046573B">
              <w:rPr>
                <w:rFonts w:ascii="Arial Narrow" w:hAnsi="Arial Narrow" w:cs="Calibri"/>
                <w:b/>
                <w:bCs/>
                <w:color w:val="FFFFFF"/>
                <w:kern w:val="0"/>
                <w:sz w:val="18"/>
                <w:szCs w:val="18"/>
              </w:rPr>
              <w:t>Indice generale</w:t>
            </w:r>
          </w:p>
        </w:tc>
        <w:tc>
          <w:tcPr>
            <w:tcW w:w="1778" w:type="dxa"/>
            <w:shd w:val="clear" w:color="auto" w:fill="E31C18"/>
            <w:vAlign w:val="center"/>
            <w:hideMark/>
          </w:tcPr>
          <w:p w:rsidR="00FC4BD2" w:rsidRPr="00074AC4" w:rsidRDefault="00FC4BD2" w:rsidP="00BD0687">
            <w:pPr>
              <w:widowControl/>
              <w:overflowPunct/>
              <w:autoSpaceDE/>
              <w:adjustRightInd/>
              <w:spacing w:before="0" w:after="0"/>
              <w:jc w:val="center"/>
              <w:rPr>
                <w:rFonts w:ascii="Arial Narrow" w:hAnsi="Arial Narrow" w:cs="Calibri"/>
                <w:b/>
                <w:color w:val="FFFFFF" w:themeColor="background1"/>
                <w:kern w:val="0"/>
                <w:sz w:val="18"/>
                <w:szCs w:val="18"/>
              </w:rPr>
            </w:pPr>
            <w:r w:rsidRPr="00074AC4">
              <w:rPr>
                <w:rFonts w:ascii="Arial Narrow" w:hAnsi="Arial Narrow" w:cs="Calibri"/>
                <w:b/>
                <w:color w:val="FFFFFF" w:themeColor="background1"/>
                <w:kern w:val="0"/>
                <w:sz w:val="18"/>
                <w:szCs w:val="18"/>
              </w:rPr>
              <w:t>100,0000</w:t>
            </w:r>
          </w:p>
        </w:tc>
        <w:tc>
          <w:tcPr>
            <w:tcW w:w="1778" w:type="dxa"/>
            <w:shd w:val="clear" w:color="auto" w:fill="E31C18"/>
            <w:vAlign w:val="center"/>
            <w:hideMark/>
          </w:tcPr>
          <w:p w:rsidR="00FC4BD2" w:rsidRPr="00074AC4" w:rsidRDefault="00FC4BD2" w:rsidP="00BD0687">
            <w:pPr>
              <w:widowControl/>
              <w:overflowPunct/>
              <w:autoSpaceDE/>
              <w:adjustRightInd/>
              <w:spacing w:before="0" w:after="0"/>
              <w:jc w:val="center"/>
              <w:rPr>
                <w:rFonts w:ascii="Arial Narrow" w:hAnsi="Arial Narrow" w:cs="Calibri"/>
                <w:b/>
                <w:color w:val="FFFFFF" w:themeColor="background1"/>
                <w:kern w:val="0"/>
                <w:sz w:val="18"/>
                <w:szCs w:val="18"/>
              </w:rPr>
            </w:pPr>
            <w:r w:rsidRPr="00074AC4">
              <w:rPr>
                <w:rFonts w:ascii="Arial Narrow" w:hAnsi="Arial Narrow" w:cs="Calibri"/>
                <w:b/>
                <w:color w:val="FFFFFF" w:themeColor="background1"/>
                <w:kern w:val="0"/>
                <w:sz w:val="18"/>
                <w:szCs w:val="18"/>
              </w:rPr>
              <w:t>100,0000</w:t>
            </w:r>
          </w:p>
        </w:tc>
        <w:tc>
          <w:tcPr>
            <w:tcW w:w="1778" w:type="dxa"/>
            <w:shd w:val="clear" w:color="auto" w:fill="E31C18"/>
            <w:vAlign w:val="center"/>
            <w:hideMark/>
          </w:tcPr>
          <w:p w:rsidR="00FC4BD2" w:rsidRPr="00074AC4" w:rsidRDefault="00FC4BD2" w:rsidP="00BD0687">
            <w:pPr>
              <w:widowControl/>
              <w:overflowPunct/>
              <w:autoSpaceDE/>
              <w:adjustRightInd/>
              <w:spacing w:before="0" w:after="0"/>
              <w:jc w:val="center"/>
              <w:rPr>
                <w:rFonts w:ascii="Arial Narrow" w:hAnsi="Arial Narrow" w:cs="Calibri"/>
                <w:b/>
                <w:color w:val="FFFFFF" w:themeColor="background1"/>
                <w:kern w:val="0"/>
                <w:sz w:val="18"/>
                <w:szCs w:val="18"/>
              </w:rPr>
            </w:pPr>
            <w:r w:rsidRPr="00074AC4">
              <w:rPr>
                <w:rFonts w:ascii="Arial Narrow" w:hAnsi="Arial Narrow" w:cs="Calibri"/>
                <w:b/>
                <w:color w:val="FFFFFF" w:themeColor="background1"/>
                <w:kern w:val="0"/>
                <w:sz w:val="18"/>
                <w:szCs w:val="18"/>
              </w:rPr>
              <w:t>100,0000</w:t>
            </w:r>
          </w:p>
        </w:tc>
      </w:tr>
    </w:tbl>
    <w:p w:rsidR="00FC4BD2" w:rsidRDefault="00FC4BD2" w:rsidP="00FC4BD2">
      <w:pPr>
        <w:tabs>
          <w:tab w:val="left" w:pos="10206"/>
        </w:tabs>
        <w:spacing w:before="0" w:after="120"/>
        <w:jc w:val="both"/>
        <w:rPr>
          <w:rFonts w:ascii="Arial" w:hAnsi="Arial" w:cs="Arial"/>
          <w:szCs w:val="21"/>
        </w:rPr>
      </w:pPr>
    </w:p>
    <w:p w:rsidR="00FC4BD2" w:rsidRPr="00C8504B" w:rsidRDefault="00FC4BD2" w:rsidP="00FC4BD2">
      <w:pPr>
        <w:tabs>
          <w:tab w:val="left" w:pos="-788"/>
          <w:tab w:val="left" w:pos="-567"/>
          <w:tab w:val="left" w:pos="565"/>
          <w:tab w:val="left" w:pos="849"/>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spacing w:before="0" w:after="120"/>
        <w:jc w:val="both"/>
        <w:rPr>
          <w:rFonts w:ascii="Arial" w:hAnsi="Arial" w:cs="Arial"/>
          <w:sz w:val="2"/>
        </w:rPr>
      </w:pPr>
    </w:p>
    <w:p w:rsidR="00FC4BD2" w:rsidRPr="00C8504B" w:rsidRDefault="00FC4BD2" w:rsidP="00FC4BD2">
      <w:pPr>
        <w:pStyle w:val="Titolo4"/>
        <w:spacing w:before="0" w:after="120"/>
        <w:rPr>
          <w:rFonts w:ascii="Arial" w:hAnsi="Arial" w:cs="Arial"/>
          <w:bCs w:val="0"/>
          <w:i w:val="0"/>
          <w:color w:val="auto"/>
          <w:szCs w:val="22"/>
        </w:rPr>
      </w:pPr>
      <w:r w:rsidRPr="00C8504B">
        <w:rPr>
          <w:rFonts w:ascii="Arial" w:hAnsi="Arial" w:cs="Arial"/>
          <w:bCs w:val="0"/>
          <w:i w:val="0"/>
          <w:color w:val="auto"/>
          <w:szCs w:val="22"/>
        </w:rPr>
        <w:t xml:space="preserve">Indici nazionali e territoriali </w:t>
      </w:r>
    </w:p>
    <w:p w:rsidR="00230423" w:rsidRPr="00F07A0F" w:rsidRDefault="00230423" w:rsidP="00230423">
      <w:pPr>
        <w:spacing w:before="0" w:after="120"/>
        <w:jc w:val="both"/>
        <w:rPr>
          <w:rFonts w:ascii="Arial" w:hAnsi="Arial" w:cs="Arial"/>
          <w:szCs w:val="21"/>
        </w:rPr>
      </w:pPr>
      <w:r w:rsidRPr="00F07A0F">
        <w:rPr>
          <w:rFonts w:ascii="Arial" w:hAnsi="Arial" w:cs="Arial"/>
          <w:szCs w:val="21"/>
        </w:rPr>
        <w:t xml:space="preserve">La metodologia di calcolo degli indici dei prezzi al consumo prevede quattro diversi processi di sintesi degli indici di ciascun aggregato di prodotto calcolati per ogni capoluogo di provincia. </w:t>
      </w:r>
    </w:p>
    <w:p w:rsidR="00230423" w:rsidRPr="00C8504B" w:rsidRDefault="00230423" w:rsidP="00230423">
      <w:pPr>
        <w:spacing w:before="0" w:after="120"/>
        <w:ind w:firstLine="567"/>
        <w:jc w:val="both"/>
        <w:rPr>
          <w:rFonts w:ascii="Arial" w:hAnsi="Arial" w:cs="Arial"/>
          <w:szCs w:val="21"/>
        </w:rPr>
      </w:pPr>
      <w:r w:rsidRPr="00F07A0F">
        <w:rPr>
          <w:rFonts w:ascii="Arial" w:hAnsi="Arial" w:cs="Arial"/>
          <w:bCs/>
          <w:szCs w:val="21"/>
        </w:rPr>
        <w:t>L’</w:t>
      </w:r>
      <w:r w:rsidRPr="00F07A0F">
        <w:rPr>
          <w:rFonts w:ascii="Arial" w:hAnsi="Arial" w:cs="Arial"/>
          <w:bCs/>
          <w:i/>
          <w:szCs w:val="21"/>
        </w:rPr>
        <w:t>indice nazionale</w:t>
      </w:r>
      <w:r w:rsidRPr="00F07A0F">
        <w:rPr>
          <w:rFonts w:ascii="Arial" w:hAnsi="Arial" w:cs="Arial"/>
          <w:bCs/>
          <w:szCs w:val="21"/>
        </w:rPr>
        <w:t xml:space="preserve"> si ottiene nel modo seguente</w:t>
      </w:r>
      <w:r w:rsidRPr="00F07A0F">
        <w:rPr>
          <w:rFonts w:ascii="Arial" w:hAnsi="Arial" w:cs="Arial"/>
          <w:szCs w:val="21"/>
        </w:rPr>
        <w:t>:</w:t>
      </w:r>
    </w:p>
    <w:p w:rsidR="00230423" w:rsidRPr="00B629AE" w:rsidRDefault="00230423" w:rsidP="00230423">
      <w:pPr>
        <w:widowControl/>
        <w:numPr>
          <w:ilvl w:val="0"/>
          <w:numId w:val="7"/>
        </w:numPr>
        <w:tabs>
          <w:tab w:val="clear" w:pos="720"/>
          <w:tab w:val="left" w:pos="284"/>
        </w:tabs>
        <w:spacing w:before="0" w:after="120"/>
        <w:ind w:left="0" w:firstLine="0"/>
        <w:jc w:val="both"/>
        <w:rPr>
          <w:rFonts w:ascii="Arial" w:hAnsi="Arial" w:cs="Arial"/>
          <w:szCs w:val="21"/>
        </w:rPr>
      </w:pPr>
      <w:r w:rsidRPr="00B629AE">
        <w:rPr>
          <w:rFonts w:ascii="Arial" w:hAnsi="Arial" w:cs="Arial"/>
          <w:szCs w:val="21"/>
        </w:rPr>
        <w:t>si aggregano tra loro gli indici provinciali di aggregato di prodotto per costruire l’indice regionale di aggregato di prodotto. Per quanto riguarda i beni alimentari (esclusi i prodotti freschi) e per la cura della casa e della persona, gli indici regionali di aggregato di prodotto sono calcolati tenendo distinte le diverse tipologie distributive (ipermercati, supermercati, discount, libero servizio, specialist drug) per i quali si utilizzano le informazioni provenienti dai registratori elettronici di cassa (scanner data). Per un numero limitato di aggregati, l’indice viene calcolato integran</w:t>
      </w:r>
      <w:r>
        <w:rPr>
          <w:rFonts w:ascii="Arial" w:hAnsi="Arial" w:cs="Arial"/>
          <w:szCs w:val="21"/>
        </w:rPr>
        <w:t xml:space="preserve">do le informazioni provenienti </w:t>
      </w:r>
      <w:r w:rsidRPr="00B629AE">
        <w:rPr>
          <w:rFonts w:ascii="Arial" w:hAnsi="Arial" w:cs="Arial"/>
          <w:szCs w:val="21"/>
        </w:rPr>
        <w:t>dagli scanner data con quelle rilevate direttamente dagli Uffici Comunali di Statistica. I coefficienti di ponderazione adoperati per le sintesi degli indici provinciali si basano, in generale, sul peso di ciascun capoluogo di provincia in termini di popolazione residente;</w:t>
      </w:r>
    </w:p>
    <w:p w:rsidR="00230423" w:rsidRDefault="00230423" w:rsidP="00230423">
      <w:pPr>
        <w:widowControl/>
        <w:numPr>
          <w:ilvl w:val="0"/>
          <w:numId w:val="7"/>
        </w:numPr>
        <w:tabs>
          <w:tab w:val="clear" w:pos="720"/>
          <w:tab w:val="left" w:pos="284"/>
        </w:tabs>
        <w:spacing w:before="0" w:after="120"/>
        <w:ind w:left="0" w:firstLine="0"/>
        <w:jc w:val="both"/>
        <w:rPr>
          <w:rFonts w:ascii="Arial" w:hAnsi="Arial" w:cs="Arial"/>
          <w:szCs w:val="21"/>
        </w:rPr>
      </w:pPr>
      <w:r w:rsidRPr="001F5498">
        <w:rPr>
          <w:rFonts w:ascii="Arial" w:hAnsi="Arial" w:cs="Arial"/>
          <w:szCs w:val="21"/>
        </w:rPr>
        <w:t>si aggregano tra loro gli indici regionali di aggregato di prodotto per costruire l’indice nazionale di aggregato di prodotto. I coefficienti di ponderazione utilizzati si basano sul peso di ciascuna regione in termini di consumi delle famiglie;</w:t>
      </w:r>
    </w:p>
    <w:p w:rsidR="00230423" w:rsidRPr="00963ACB" w:rsidRDefault="00230423" w:rsidP="00230423">
      <w:pPr>
        <w:widowControl/>
        <w:numPr>
          <w:ilvl w:val="0"/>
          <w:numId w:val="7"/>
        </w:numPr>
        <w:tabs>
          <w:tab w:val="clear" w:pos="720"/>
          <w:tab w:val="left" w:pos="284"/>
        </w:tabs>
        <w:spacing w:before="0" w:after="120"/>
        <w:ind w:left="0" w:firstLine="0"/>
        <w:jc w:val="both"/>
        <w:rPr>
          <w:rFonts w:ascii="Arial" w:hAnsi="Arial" w:cs="Arial"/>
          <w:szCs w:val="21"/>
        </w:rPr>
      </w:pPr>
      <w:r w:rsidRPr="001F5498">
        <w:rPr>
          <w:rFonts w:ascii="Arial" w:hAnsi="Arial" w:cs="Arial"/>
          <w:szCs w:val="21"/>
        </w:rPr>
        <w:t>l’indice generale nazionale dei prezzi al consumo si ottiene come media ponderata degli indici nazionali di aggregato di prodotto. I coefficienti di ponderazione utilizzati si basano sul peso di ciascun aggregato di prodotto in termini di consumi delle famiglie.</w:t>
      </w:r>
    </w:p>
    <w:p w:rsidR="00230423" w:rsidRPr="00C8504B" w:rsidRDefault="00230423" w:rsidP="00230423">
      <w:pPr>
        <w:tabs>
          <w:tab w:val="left" w:pos="2098"/>
        </w:tabs>
        <w:spacing w:before="0" w:after="120"/>
        <w:ind w:firstLine="567"/>
        <w:jc w:val="both"/>
        <w:rPr>
          <w:rFonts w:ascii="Arial" w:hAnsi="Arial" w:cs="Arial"/>
          <w:szCs w:val="21"/>
        </w:rPr>
      </w:pPr>
      <w:r>
        <w:rPr>
          <w:rFonts w:ascii="Arial" w:hAnsi="Arial" w:cs="Arial"/>
          <w:bCs/>
          <w:szCs w:val="21"/>
        </w:rPr>
        <w:t xml:space="preserve">Gli </w:t>
      </w:r>
      <w:r>
        <w:rPr>
          <w:rFonts w:ascii="Arial" w:hAnsi="Arial" w:cs="Arial"/>
          <w:i/>
          <w:szCs w:val="21"/>
        </w:rPr>
        <w:t xml:space="preserve">indici per </w:t>
      </w:r>
      <w:r w:rsidRPr="00910289">
        <w:rPr>
          <w:rFonts w:ascii="Arial" w:hAnsi="Arial" w:cs="Arial"/>
          <w:bCs/>
          <w:i/>
          <w:szCs w:val="21"/>
        </w:rPr>
        <w:t>capoluogo di provincia</w:t>
      </w:r>
      <w:r>
        <w:rPr>
          <w:rFonts w:ascii="Arial" w:hAnsi="Arial" w:cs="Arial"/>
          <w:bCs/>
          <w:i/>
          <w:szCs w:val="21"/>
        </w:rPr>
        <w:t>, regione e</w:t>
      </w:r>
      <w:r w:rsidRPr="00910289">
        <w:rPr>
          <w:rFonts w:ascii="Arial" w:hAnsi="Arial" w:cs="Arial"/>
          <w:bCs/>
          <w:szCs w:val="21"/>
        </w:rPr>
        <w:t xml:space="preserve"> </w:t>
      </w:r>
      <w:r>
        <w:rPr>
          <w:rFonts w:ascii="Arial" w:hAnsi="Arial" w:cs="Arial"/>
          <w:i/>
          <w:szCs w:val="21"/>
        </w:rPr>
        <w:t>ripartizione geografica</w:t>
      </w:r>
      <w:r>
        <w:rPr>
          <w:rFonts w:ascii="Arial" w:hAnsi="Arial" w:cs="Arial"/>
          <w:szCs w:val="21"/>
        </w:rPr>
        <w:t xml:space="preserve"> si ottengono come segue:</w:t>
      </w:r>
    </w:p>
    <w:p w:rsidR="00230423" w:rsidRPr="00BE0AE9" w:rsidRDefault="00230423" w:rsidP="00230423">
      <w:pPr>
        <w:widowControl/>
        <w:numPr>
          <w:ilvl w:val="0"/>
          <w:numId w:val="3"/>
        </w:numPr>
        <w:tabs>
          <w:tab w:val="clear" w:pos="720"/>
          <w:tab w:val="left" w:pos="284"/>
        </w:tabs>
        <w:spacing w:before="0" w:after="120"/>
        <w:ind w:left="0" w:firstLine="0"/>
        <w:jc w:val="both"/>
        <w:rPr>
          <w:rFonts w:ascii="Arial" w:hAnsi="Arial" w:cs="Arial"/>
          <w:szCs w:val="21"/>
        </w:rPr>
      </w:pPr>
      <w:r w:rsidRPr="00BE0AE9">
        <w:rPr>
          <w:rFonts w:ascii="Arial" w:hAnsi="Arial" w:cs="Arial"/>
          <w:szCs w:val="21"/>
        </w:rPr>
        <w:t xml:space="preserve">l’indice generale per </w:t>
      </w:r>
      <w:r>
        <w:rPr>
          <w:rFonts w:ascii="Arial" w:hAnsi="Arial" w:cs="Arial"/>
          <w:szCs w:val="21"/>
        </w:rPr>
        <w:t xml:space="preserve">regione e per </w:t>
      </w:r>
      <w:r w:rsidRPr="00BE0AE9">
        <w:rPr>
          <w:rFonts w:ascii="Arial" w:hAnsi="Arial" w:cs="Arial"/>
          <w:szCs w:val="21"/>
        </w:rPr>
        <w:t xml:space="preserve">ripartizione geografica dei prezzi </w:t>
      </w:r>
      <w:r>
        <w:rPr>
          <w:rFonts w:ascii="Arial" w:hAnsi="Arial" w:cs="Arial"/>
          <w:szCs w:val="21"/>
        </w:rPr>
        <w:t xml:space="preserve">sono calcolati rispettivamente </w:t>
      </w:r>
      <w:r w:rsidRPr="00BE0AE9">
        <w:rPr>
          <w:rFonts w:ascii="Arial" w:hAnsi="Arial" w:cs="Arial"/>
          <w:szCs w:val="21"/>
        </w:rPr>
        <w:t xml:space="preserve">come media ponderata degli indici </w:t>
      </w:r>
      <w:r>
        <w:rPr>
          <w:rFonts w:ascii="Arial" w:hAnsi="Arial" w:cs="Arial"/>
          <w:szCs w:val="21"/>
        </w:rPr>
        <w:t xml:space="preserve">regionali e </w:t>
      </w:r>
      <w:r w:rsidRPr="00BE0AE9">
        <w:rPr>
          <w:rFonts w:ascii="Arial" w:hAnsi="Arial" w:cs="Arial"/>
          <w:szCs w:val="21"/>
        </w:rPr>
        <w:t>ripartizionali di aggregato di prodotto. I coefficienti di ponderazione utilizzat</w:t>
      </w:r>
      <w:r>
        <w:rPr>
          <w:rFonts w:ascii="Arial" w:hAnsi="Arial" w:cs="Arial"/>
          <w:szCs w:val="21"/>
        </w:rPr>
        <w:t>i si basano sul peso di ciascun</w:t>
      </w:r>
      <w:r w:rsidRPr="00BE0AE9">
        <w:rPr>
          <w:rFonts w:ascii="Arial" w:hAnsi="Arial" w:cs="Arial"/>
          <w:szCs w:val="21"/>
        </w:rPr>
        <w:t xml:space="preserve"> aggregato di prodotto in termini di consumi delle famiglie.</w:t>
      </w:r>
    </w:p>
    <w:p w:rsidR="00230423" w:rsidRDefault="00230423" w:rsidP="00230423">
      <w:pPr>
        <w:widowControl/>
        <w:numPr>
          <w:ilvl w:val="0"/>
          <w:numId w:val="3"/>
        </w:numPr>
        <w:tabs>
          <w:tab w:val="clear" w:pos="720"/>
          <w:tab w:val="left" w:pos="284"/>
        </w:tabs>
        <w:spacing w:before="0" w:after="120"/>
        <w:ind w:left="0" w:firstLine="0"/>
        <w:jc w:val="both"/>
        <w:rPr>
          <w:rFonts w:ascii="Arial" w:hAnsi="Arial" w:cs="Arial"/>
          <w:szCs w:val="21"/>
        </w:rPr>
      </w:pPr>
      <w:r>
        <w:rPr>
          <w:rFonts w:ascii="Arial" w:hAnsi="Arial" w:cs="Arial"/>
          <w:szCs w:val="21"/>
        </w:rPr>
        <w:t xml:space="preserve">l’indice generale provinciale si ottiene come media aritmetica ponderata </w:t>
      </w:r>
      <w:r w:rsidRPr="002C6C87">
        <w:rPr>
          <w:rFonts w:ascii="Arial" w:hAnsi="Arial" w:cs="Arial"/>
          <w:szCs w:val="21"/>
        </w:rPr>
        <w:t xml:space="preserve">degli aggregati di prodotto calcolati a livello di capoluogo di provincia. I coefficienti di ponderazione utilizzati si basano sul peso di ciascun aggregato di prodotto in termini di consumi delle famiglie. La struttura di ponderazione utilizzata è </w:t>
      </w:r>
      <w:r>
        <w:rPr>
          <w:rFonts w:ascii="Arial" w:hAnsi="Arial" w:cs="Arial"/>
          <w:szCs w:val="21"/>
        </w:rPr>
        <w:t xml:space="preserve">quella </w:t>
      </w:r>
      <w:r w:rsidRPr="002C6C87">
        <w:rPr>
          <w:rFonts w:ascii="Arial" w:hAnsi="Arial" w:cs="Arial"/>
          <w:szCs w:val="21"/>
        </w:rPr>
        <w:t>definita a livello regionale.</w:t>
      </w:r>
    </w:p>
    <w:p w:rsidR="00FC4BD2" w:rsidRPr="00963ACB" w:rsidRDefault="00FC4BD2" w:rsidP="00FC4BD2">
      <w:pPr>
        <w:widowControl/>
        <w:tabs>
          <w:tab w:val="left" w:pos="284"/>
        </w:tabs>
        <w:spacing w:before="0" w:after="120"/>
        <w:jc w:val="both"/>
        <w:rPr>
          <w:rFonts w:ascii="Arial" w:hAnsi="Arial" w:cs="Arial"/>
          <w:szCs w:val="21"/>
        </w:rPr>
      </w:pPr>
    </w:p>
    <w:p w:rsidR="00FC4BD2" w:rsidRPr="00833545" w:rsidRDefault="00FC4BD2" w:rsidP="00FC4BD2">
      <w:pPr>
        <w:tabs>
          <w:tab w:val="left" w:pos="10206"/>
        </w:tabs>
        <w:spacing w:before="0" w:after="120"/>
        <w:jc w:val="both"/>
        <w:rPr>
          <w:rFonts w:ascii="Arial" w:hAnsi="Arial" w:cs="Arial"/>
          <w:b/>
          <w:sz w:val="22"/>
          <w:szCs w:val="22"/>
        </w:rPr>
      </w:pPr>
      <w:r w:rsidRPr="00833545">
        <w:rPr>
          <w:rFonts w:ascii="Arial" w:hAnsi="Arial" w:cs="Arial"/>
          <w:b/>
          <w:sz w:val="22"/>
          <w:szCs w:val="22"/>
        </w:rPr>
        <w:t>Classificazione degli indici dei prezzi al consumo</w:t>
      </w:r>
    </w:p>
    <w:p w:rsidR="00230423" w:rsidRDefault="00230423" w:rsidP="00230423">
      <w:pPr>
        <w:widowControl/>
        <w:tabs>
          <w:tab w:val="left" w:pos="10206"/>
        </w:tabs>
        <w:overflowPunct/>
        <w:spacing w:before="0" w:after="120"/>
        <w:jc w:val="both"/>
        <w:rPr>
          <w:rFonts w:ascii="Arial" w:hAnsi="Arial" w:cs="Arial"/>
          <w:szCs w:val="21"/>
        </w:rPr>
      </w:pPr>
      <w:r w:rsidRPr="00320159">
        <w:rPr>
          <w:rFonts w:ascii="Arial" w:hAnsi="Arial" w:cs="Arial"/>
          <w:szCs w:val="21"/>
        </w:rPr>
        <w:t xml:space="preserve">La classificazione adottata per gli indici dei prezzi al consumo è la </w:t>
      </w:r>
      <w:r w:rsidRPr="00320159">
        <w:rPr>
          <w:rFonts w:ascii="Arial" w:hAnsi="Arial" w:cs="Arial"/>
          <w:i/>
          <w:szCs w:val="21"/>
        </w:rPr>
        <w:t xml:space="preserve">European </w:t>
      </w:r>
      <w:r w:rsidRPr="00320159">
        <w:rPr>
          <w:rFonts w:ascii="Arial" w:hAnsi="Arial" w:cs="Arial"/>
          <w:i/>
          <w:iCs/>
          <w:szCs w:val="21"/>
        </w:rPr>
        <w:t>Classification of Individual Consumption by Purpose</w:t>
      </w:r>
      <w:r w:rsidRPr="00320159">
        <w:rPr>
          <w:rFonts w:ascii="Arial" w:hAnsi="Arial" w:cs="Arial"/>
          <w:szCs w:val="21"/>
        </w:rPr>
        <w:t xml:space="preserve"> (ECO</w:t>
      </w:r>
      <w:r>
        <w:rPr>
          <w:rFonts w:ascii="Arial" w:hAnsi="Arial" w:cs="Arial"/>
          <w:szCs w:val="21"/>
        </w:rPr>
        <w:t>I</w:t>
      </w:r>
      <w:r w:rsidRPr="00320159">
        <w:rPr>
          <w:rFonts w:ascii="Arial" w:hAnsi="Arial" w:cs="Arial"/>
          <w:szCs w:val="21"/>
        </w:rPr>
        <w:t>COP), allegata al nuovo Regolamento quadro europeo degli indici dei prezzi al consumo armonizzati e dell’indice dei prezzi delle abitazioni (</w:t>
      </w:r>
      <w:r w:rsidRPr="00320159">
        <w:rPr>
          <w:rFonts w:ascii="Arial" w:hAnsi="Arial" w:cs="Arial"/>
          <w:b/>
          <w:szCs w:val="21"/>
        </w:rPr>
        <w:t>Reg. n. 2016/792</w:t>
      </w:r>
      <w:r w:rsidRPr="00320159">
        <w:rPr>
          <w:rFonts w:ascii="Arial" w:hAnsi="Arial" w:cs="Arial"/>
          <w:szCs w:val="21"/>
        </w:rPr>
        <w:t>). La struttura gerarchica prevista secondo la classificazione ECO</w:t>
      </w:r>
      <w:r>
        <w:rPr>
          <w:rFonts w:ascii="Arial" w:hAnsi="Arial" w:cs="Arial"/>
          <w:szCs w:val="21"/>
        </w:rPr>
        <w:t>I</w:t>
      </w:r>
      <w:r w:rsidRPr="00320159">
        <w:rPr>
          <w:rFonts w:ascii="Arial" w:hAnsi="Arial" w:cs="Arial"/>
          <w:szCs w:val="21"/>
        </w:rPr>
        <w:t>COP presenta quattro livelli di disaggregazione: Divisioni di spesa, Gruppi di prodotto, Classi di prodotto e Sottoclassi di prodotto (in luogo dei primi tre livelli della classificazione COICOP vigente fino a dicembre 2015).</w:t>
      </w:r>
    </w:p>
    <w:p w:rsidR="00230423" w:rsidRPr="00DC0F68" w:rsidRDefault="00230423" w:rsidP="00230423">
      <w:pPr>
        <w:widowControl/>
        <w:tabs>
          <w:tab w:val="left" w:pos="10206"/>
        </w:tabs>
        <w:overflowPunct/>
        <w:spacing w:before="0" w:after="120"/>
        <w:jc w:val="both"/>
        <w:rPr>
          <w:rFonts w:ascii="Arial" w:hAnsi="Arial" w:cs="Arial"/>
          <w:szCs w:val="21"/>
        </w:rPr>
      </w:pPr>
      <w:r>
        <w:rPr>
          <w:rFonts w:ascii="Arial" w:hAnsi="Arial" w:cs="Arial"/>
          <w:szCs w:val="21"/>
        </w:rPr>
        <w:t>Ai fini del calcolo degli indici dei prezzi al consumo, le Sottoclassi di prodotto sono ulteriormente disaggregate in Segmenti di consumo.</w:t>
      </w:r>
    </w:p>
    <w:p w:rsidR="00230423" w:rsidRPr="00E7690A" w:rsidRDefault="00230423" w:rsidP="00230423">
      <w:pPr>
        <w:widowControl/>
        <w:tabs>
          <w:tab w:val="left" w:pos="10206"/>
        </w:tabs>
        <w:overflowPunct/>
        <w:spacing w:before="0" w:after="120"/>
        <w:jc w:val="both"/>
        <w:rPr>
          <w:rFonts w:ascii="Arial" w:hAnsi="Arial" w:cs="Arial"/>
          <w:szCs w:val="21"/>
        </w:rPr>
      </w:pPr>
      <w:r w:rsidRPr="00E7690A">
        <w:rPr>
          <w:rFonts w:ascii="Arial" w:hAnsi="Arial" w:cs="Arial"/>
          <w:szCs w:val="21"/>
        </w:rPr>
        <w:t>In base alla struttura di classificazione degli indici e al dettaglio territoriale, gli indici NIC sono pubblicati fino al livello dei segmenti di consumo se riferiti all’intero territorio nazionale</w:t>
      </w:r>
      <w:r w:rsidRPr="00E7690A">
        <w:rPr>
          <w:rFonts w:ascii="Arial" w:hAnsi="Arial"/>
          <w:szCs w:val="21"/>
          <w:vertAlign w:val="superscript"/>
        </w:rPr>
        <w:footnoteReference w:id="5"/>
      </w:r>
      <w:r w:rsidRPr="00E7690A">
        <w:rPr>
          <w:rFonts w:ascii="Arial" w:hAnsi="Arial" w:cs="Arial"/>
          <w:szCs w:val="21"/>
        </w:rPr>
        <w:t xml:space="preserve">, fino a quello dei gruppi di prodotto se riferiti a ripartizione, regione e provincia. Gli indici FOI sono diffusi a livello nazionale e provinciale fino alle divisioni di spesa. </w:t>
      </w:r>
    </w:p>
    <w:p w:rsidR="00230423" w:rsidRDefault="00230423" w:rsidP="00230423">
      <w:pPr>
        <w:widowControl/>
        <w:overflowPunct/>
        <w:spacing w:before="0" w:after="120"/>
        <w:jc w:val="both"/>
        <w:rPr>
          <w:rFonts w:ascii="Arial" w:hAnsi="Arial" w:cs="Arial"/>
        </w:rPr>
      </w:pPr>
      <w:r>
        <w:rPr>
          <w:rFonts w:ascii="Arial" w:hAnsi="Arial" w:cs="Arial"/>
        </w:rPr>
        <w:t>In aggiunta, sia con riferimento all’indice NIC sia all’IPCA, vengono calcolati indici dei prezzi basati su schemi classificatori alternativi alla classificazione ECOICOP, rispettivamente gli indici per tipologia di prodotto e quelli degli aggregati speciali (IPCA-AS). In particolare,</w:t>
      </w:r>
      <w:r>
        <w:rPr>
          <w:rFonts w:ascii="Arial" w:hAnsi="Arial" w:cs="Arial"/>
          <w:szCs w:val="21"/>
        </w:rPr>
        <w:t xml:space="preserve"> </w:t>
      </w:r>
      <w:r>
        <w:rPr>
          <w:rFonts w:ascii="Arial" w:hAnsi="Arial" w:cs="Arial"/>
        </w:rPr>
        <w:t>g</w:t>
      </w:r>
      <w:r w:rsidRPr="000E4583">
        <w:rPr>
          <w:rFonts w:ascii="Arial" w:hAnsi="Arial" w:cs="Arial"/>
        </w:rPr>
        <w:t>li IPCA-AS sono elaborati adottando lo stesso metodo di calcolo utilizzato</w:t>
      </w:r>
      <w:r>
        <w:rPr>
          <w:rFonts w:ascii="Arial" w:hAnsi="Arial" w:cs="Arial"/>
        </w:rPr>
        <w:t xml:space="preserve"> da Eurostat (diverso</w:t>
      </w:r>
      <w:r w:rsidRPr="000E4583">
        <w:rPr>
          <w:rFonts w:ascii="Arial" w:hAnsi="Arial" w:cs="Arial"/>
        </w:rPr>
        <w:t xml:space="preserve"> da quello </w:t>
      </w:r>
      <w:r>
        <w:rPr>
          <w:rFonts w:ascii="Arial" w:hAnsi="Arial" w:cs="Arial"/>
        </w:rPr>
        <w:t>adottato</w:t>
      </w:r>
      <w:r w:rsidRPr="000E4583">
        <w:rPr>
          <w:rFonts w:ascii="Arial" w:hAnsi="Arial" w:cs="Arial"/>
        </w:rPr>
        <w:t xml:space="preserve"> per le tipologie di prodotto del NIC), al fine di permettere </w:t>
      </w:r>
      <w:r>
        <w:rPr>
          <w:rFonts w:ascii="Arial" w:hAnsi="Arial" w:cs="Arial"/>
        </w:rPr>
        <w:t>l</w:t>
      </w:r>
      <w:r w:rsidRPr="000E4583">
        <w:rPr>
          <w:rFonts w:ascii="Arial" w:hAnsi="Arial" w:cs="Arial"/>
        </w:rPr>
        <w:t>a piena</w:t>
      </w:r>
      <w:r>
        <w:rPr>
          <w:rFonts w:ascii="Arial" w:hAnsi="Arial" w:cs="Arial"/>
        </w:rPr>
        <w:t xml:space="preserve"> </w:t>
      </w:r>
      <w:r w:rsidRPr="000E4583">
        <w:rPr>
          <w:rFonts w:ascii="Arial" w:hAnsi="Arial" w:cs="Arial"/>
        </w:rPr>
        <w:t xml:space="preserve">comparabilità tra gli indici italiani e quelli elaborati da Eurostat per l’Ue, la zona euro e gli altri </w:t>
      </w:r>
      <w:r w:rsidRPr="00FE6E08">
        <w:rPr>
          <w:rFonts w:ascii="Arial" w:hAnsi="Arial" w:cs="Arial"/>
        </w:rPr>
        <w:t>Paesi europei</w:t>
      </w:r>
      <w:r w:rsidRPr="00FE6E08">
        <w:rPr>
          <w:rFonts w:ascii="Arial" w:hAnsi="Arial"/>
          <w:vertAlign w:val="superscript"/>
        </w:rPr>
        <w:footnoteReference w:id="6"/>
      </w:r>
      <w:r w:rsidRPr="00FE6E08">
        <w:rPr>
          <w:rFonts w:ascii="Arial" w:hAnsi="Arial" w:cs="Arial"/>
        </w:rPr>
        <w:t xml:space="preserve">. Gli </w:t>
      </w:r>
      <w:r w:rsidRPr="00FE6E08">
        <w:rPr>
          <w:rFonts w:ascii="Arial" w:hAnsi="Arial" w:cs="Arial"/>
        </w:rPr>
        <w:lastRenderedPageBreak/>
        <w:t>IPCA-AS a partire dai dati definitivi di gennaio 2019 sono calcolati aggregando gli indici delle sottoclassi della ECOICOP (in precedenza, per il computo di questi indicatori erano utilizzati gli indici delle classi). Per una migliore fruibilità dei nuovi indicatori, le serie degli aggregati speciali, secondo il nuovo schema, sono state ricostruite per il periodo gennaio 2017 - dicembre 2018.</w:t>
      </w:r>
    </w:p>
    <w:p w:rsidR="00FC4BD2" w:rsidRPr="008E006C" w:rsidRDefault="00FC4BD2" w:rsidP="00FC4BD2">
      <w:pPr>
        <w:widowControl/>
        <w:tabs>
          <w:tab w:val="left" w:pos="10206"/>
        </w:tabs>
        <w:overflowPunct/>
        <w:spacing w:before="0" w:after="120"/>
        <w:jc w:val="both"/>
        <w:rPr>
          <w:rFonts w:ascii="Arial" w:hAnsi="Arial" w:cs="Arial"/>
          <w:szCs w:val="21"/>
        </w:rPr>
      </w:pPr>
    </w:p>
    <w:p w:rsidR="00FC4BD2" w:rsidRPr="00833545" w:rsidRDefault="00FC4BD2" w:rsidP="00FC4BD2">
      <w:pPr>
        <w:pStyle w:val="Rientrocorpodeltesto"/>
        <w:spacing w:before="0"/>
        <w:ind w:left="0" w:hanging="1"/>
        <w:rPr>
          <w:rFonts w:ascii="Arial" w:hAnsi="Arial" w:cs="Arial"/>
          <w:b/>
          <w:bCs/>
          <w:szCs w:val="22"/>
        </w:rPr>
      </w:pPr>
      <w:r w:rsidRPr="00833545">
        <w:rPr>
          <w:rFonts w:ascii="Arial" w:hAnsi="Arial" w:cs="Arial"/>
          <w:b/>
          <w:bCs/>
          <w:szCs w:val="22"/>
        </w:rPr>
        <w:t>Rilevazione e calcolo degli indici dei prezzi dei prodotti stagionali</w:t>
      </w:r>
    </w:p>
    <w:p w:rsidR="00353727" w:rsidRDefault="00353727" w:rsidP="00353727">
      <w:pPr>
        <w:spacing w:before="0" w:after="120"/>
        <w:jc w:val="both"/>
        <w:rPr>
          <w:rFonts w:ascii="Arial" w:hAnsi="Arial" w:cs="Arial"/>
        </w:rPr>
      </w:pPr>
      <w:r>
        <w:rPr>
          <w:rFonts w:ascii="Arial" w:hAnsi="Arial" w:cs="Arial"/>
        </w:rPr>
        <w:t>Dai dati di gennaio 2011 viene adottata la met</w:t>
      </w:r>
      <w:r w:rsidRPr="00463B41">
        <w:rPr>
          <w:rFonts w:ascii="Arial" w:hAnsi="Arial" w:cs="Arial"/>
        </w:rPr>
        <w:t xml:space="preserve">odologia di rilevazione e calcolo degli indici dei prezzi dei prodotti stagionali, </w:t>
      </w:r>
      <w:r w:rsidRPr="008C214F">
        <w:rPr>
          <w:rFonts w:ascii="Arial" w:hAnsi="Arial" w:cs="Arial"/>
        </w:rPr>
        <w:t xml:space="preserve">conforme alle norme previste </w:t>
      </w:r>
      <w:r>
        <w:rPr>
          <w:rFonts w:ascii="Arial" w:hAnsi="Arial" w:cs="Arial"/>
        </w:rPr>
        <w:t xml:space="preserve">prima dal Regolamento </w:t>
      </w:r>
      <w:r w:rsidRPr="00FC6C36">
        <w:rPr>
          <w:rFonts w:ascii="Arial" w:hAnsi="Arial" w:cs="Arial"/>
        </w:rPr>
        <w:t xml:space="preserve">(CE) n. 330/2009 del 22 aprile 2009 </w:t>
      </w:r>
      <w:r>
        <w:rPr>
          <w:rFonts w:ascii="Arial" w:hAnsi="Arial" w:cs="Arial"/>
        </w:rPr>
        <w:t>e poi dal</w:t>
      </w:r>
      <w:r w:rsidRPr="009927F3">
        <w:rPr>
          <w:rFonts w:ascii="Arial" w:hAnsi="Arial" w:cs="Arial"/>
        </w:rPr>
        <w:t xml:space="preserve"> Regolamento di Esecuzione (UE) n. 2020/1148 della Commissione del 31 luglio 2020</w:t>
      </w:r>
      <w:r>
        <w:rPr>
          <w:rFonts w:ascii="Arial" w:hAnsi="Arial" w:cs="Arial"/>
        </w:rPr>
        <w:t xml:space="preserve"> (che ha abrogato il Regolamento 330/2009)</w:t>
      </w:r>
      <w:r w:rsidRPr="008C214F">
        <w:rPr>
          <w:rFonts w:ascii="Arial" w:hAnsi="Arial" w:cs="Arial"/>
        </w:rPr>
        <w:t xml:space="preserve">, per i prodotti stagionali appartenenti </w:t>
      </w:r>
      <w:r>
        <w:rPr>
          <w:rFonts w:ascii="Arial" w:hAnsi="Arial" w:cs="Arial"/>
        </w:rPr>
        <w:t>ai gruppi e classi di prodotto</w:t>
      </w:r>
      <w:r w:rsidRPr="008C214F">
        <w:rPr>
          <w:rFonts w:ascii="Arial" w:hAnsi="Arial" w:cs="Arial"/>
        </w:rPr>
        <w:t xml:space="preserve"> </w:t>
      </w:r>
      <w:r w:rsidRPr="008C214F">
        <w:rPr>
          <w:rFonts w:ascii="Arial" w:hAnsi="Arial" w:cs="Arial"/>
          <w:i/>
        </w:rPr>
        <w:t>Frutta,</w:t>
      </w:r>
      <w:r w:rsidRPr="008C214F">
        <w:rPr>
          <w:rFonts w:ascii="Arial" w:hAnsi="Arial" w:cs="Arial"/>
        </w:rPr>
        <w:t xml:space="preserve"> </w:t>
      </w:r>
      <w:r w:rsidRPr="008C214F">
        <w:rPr>
          <w:rFonts w:ascii="Arial" w:hAnsi="Arial" w:cs="Arial"/>
          <w:i/>
        </w:rPr>
        <w:t>Vegetali</w:t>
      </w:r>
      <w:r w:rsidRPr="008C214F">
        <w:rPr>
          <w:rFonts w:ascii="Arial" w:hAnsi="Arial" w:cs="Arial"/>
        </w:rPr>
        <w:t xml:space="preserve">, </w:t>
      </w:r>
      <w:r w:rsidRPr="008C214F">
        <w:rPr>
          <w:rFonts w:ascii="Arial" w:hAnsi="Arial" w:cs="Arial"/>
          <w:i/>
        </w:rPr>
        <w:t>Abbigliamento e Calzature</w:t>
      </w:r>
      <w:r w:rsidRPr="008C214F">
        <w:rPr>
          <w:rFonts w:ascii="Arial" w:hAnsi="Arial" w:cs="Arial"/>
        </w:rPr>
        <w:t>.</w:t>
      </w:r>
      <w:r>
        <w:rPr>
          <w:rFonts w:ascii="Arial" w:hAnsi="Arial" w:cs="Arial"/>
        </w:rPr>
        <w:t xml:space="preserve"> La</w:t>
      </w:r>
      <w:r w:rsidRPr="00463B41">
        <w:rPr>
          <w:rFonts w:ascii="Arial" w:hAnsi="Arial" w:cs="Arial"/>
        </w:rPr>
        <w:t xml:space="preserve"> metodologia è </w:t>
      </w:r>
      <w:r>
        <w:rPr>
          <w:rFonts w:ascii="Arial" w:hAnsi="Arial" w:cs="Arial"/>
        </w:rPr>
        <w:t>adottata</w:t>
      </w:r>
      <w:r w:rsidRPr="00463B41">
        <w:rPr>
          <w:rFonts w:ascii="Arial" w:hAnsi="Arial" w:cs="Arial"/>
        </w:rPr>
        <w:t xml:space="preserve"> per</w:t>
      </w:r>
      <w:r>
        <w:rPr>
          <w:rFonts w:ascii="Arial" w:hAnsi="Arial" w:cs="Arial"/>
        </w:rPr>
        <w:t xml:space="preserve"> i tre</w:t>
      </w:r>
      <w:r w:rsidRPr="00463B41">
        <w:rPr>
          <w:rFonts w:ascii="Arial" w:hAnsi="Arial" w:cs="Arial"/>
        </w:rPr>
        <w:t xml:space="preserve"> indici NIC</w:t>
      </w:r>
      <w:r>
        <w:rPr>
          <w:rFonts w:ascii="Arial" w:hAnsi="Arial" w:cs="Arial"/>
        </w:rPr>
        <w:t>,</w:t>
      </w:r>
      <w:r w:rsidRPr="00463B41">
        <w:rPr>
          <w:rFonts w:ascii="Arial" w:hAnsi="Arial" w:cs="Arial"/>
        </w:rPr>
        <w:t xml:space="preserve"> FOI</w:t>
      </w:r>
      <w:r>
        <w:rPr>
          <w:rFonts w:ascii="Arial" w:hAnsi="Arial" w:cs="Arial"/>
        </w:rPr>
        <w:t xml:space="preserve"> e IPCA</w:t>
      </w:r>
      <w:r w:rsidRPr="00463B41">
        <w:rPr>
          <w:rFonts w:ascii="Arial" w:hAnsi="Arial" w:cs="Arial"/>
        </w:rPr>
        <w:t>.</w:t>
      </w:r>
    </w:p>
    <w:p w:rsidR="00353727" w:rsidRPr="00EF5CEA" w:rsidRDefault="00353727" w:rsidP="00353727">
      <w:pPr>
        <w:spacing w:before="0" w:after="120"/>
        <w:jc w:val="both"/>
        <w:rPr>
          <w:rFonts w:ascii="Arial" w:hAnsi="Arial" w:cs="Arial"/>
        </w:rPr>
      </w:pPr>
      <w:r w:rsidRPr="00EF5CEA">
        <w:rPr>
          <w:rFonts w:ascii="Arial" w:hAnsi="Arial" w:cs="Arial"/>
        </w:rPr>
        <w:t xml:space="preserve">Secondo il citato Regolamento si definisce </w:t>
      </w:r>
      <w:r w:rsidRPr="00EF5CEA">
        <w:rPr>
          <w:rFonts w:ascii="Arial" w:hAnsi="Arial" w:cs="Arial"/>
          <w:i/>
        </w:rPr>
        <w:t>prodotto stagionale</w:t>
      </w:r>
      <w:r w:rsidRPr="00EF5CEA">
        <w:rPr>
          <w:rFonts w:ascii="Arial" w:hAnsi="Arial" w:cs="Arial"/>
        </w:rPr>
        <w:t xml:space="preserve"> </w:t>
      </w:r>
      <w:r w:rsidRPr="00BA7814">
        <w:rPr>
          <w:rFonts w:ascii="Arial" w:hAnsi="Arial" w:cs="Arial"/>
        </w:rPr>
        <w:t>un singolo prodotto acquistabile o acquistato in quantità significative solo durante una parte</w:t>
      </w:r>
      <w:r>
        <w:rPr>
          <w:rFonts w:ascii="Arial" w:hAnsi="Arial" w:cs="Arial"/>
        </w:rPr>
        <w:t xml:space="preserve"> </w:t>
      </w:r>
      <w:r w:rsidRPr="00BA7814">
        <w:rPr>
          <w:rFonts w:ascii="Arial" w:hAnsi="Arial" w:cs="Arial"/>
        </w:rPr>
        <w:t>dell’anno secondo uno schema ricorrente</w:t>
      </w:r>
      <w:r w:rsidRPr="00EF5CEA">
        <w:rPr>
          <w:rFonts w:ascii="Arial" w:hAnsi="Arial" w:cs="Arial"/>
        </w:rPr>
        <w:t xml:space="preserve">. </w:t>
      </w:r>
    </w:p>
    <w:p w:rsidR="00353727" w:rsidRDefault="00353727" w:rsidP="00353727">
      <w:pPr>
        <w:pStyle w:val="Default"/>
        <w:spacing w:after="120"/>
        <w:jc w:val="both"/>
        <w:rPr>
          <w:rFonts w:ascii="Arial" w:hAnsi="Arial" w:cs="Arial"/>
          <w:sz w:val="20"/>
          <w:szCs w:val="20"/>
        </w:rPr>
      </w:pPr>
      <w:r w:rsidRPr="00463B41">
        <w:rPr>
          <w:rFonts w:ascii="Arial" w:hAnsi="Arial" w:cs="Arial"/>
          <w:sz w:val="20"/>
          <w:szCs w:val="20"/>
        </w:rPr>
        <w:t>Il Regolamento stabilisce</w:t>
      </w:r>
      <w:r>
        <w:rPr>
          <w:rFonts w:ascii="Arial" w:hAnsi="Arial" w:cs="Arial"/>
          <w:sz w:val="20"/>
          <w:szCs w:val="20"/>
        </w:rPr>
        <w:t>,</w:t>
      </w:r>
      <w:r w:rsidRPr="00463B41">
        <w:rPr>
          <w:rFonts w:ascii="Arial" w:hAnsi="Arial" w:cs="Arial"/>
          <w:sz w:val="20"/>
          <w:szCs w:val="20"/>
        </w:rPr>
        <w:t xml:space="preserve"> inoltre</w:t>
      </w:r>
      <w:r>
        <w:rPr>
          <w:rFonts w:ascii="Arial" w:hAnsi="Arial" w:cs="Arial"/>
          <w:sz w:val="20"/>
          <w:szCs w:val="20"/>
        </w:rPr>
        <w:t>,</w:t>
      </w:r>
      <w:r w:rsidRPr="00463B41">
        <w:rPr>
          <w:rFonts w:ascii="Arial" w:hAnsi="Arial" w:cs="Arial"/>
          <w:sz w:val="20"/>
          <w:szCs w:val="20"/>
        </w:rPr>
        <w:t xml:space="preserve"> che, in un dato mese, i prodotti stagionali </w:t>
      </w:r>
      <w:r>
        <w:rPr>
          <w:rFonts w:ascii="Arial" w:hAnsi="Arial" w:cs="Arial"/>
          <w:sz w:val="20"/>
          <w:szCs w:val="20"/>
        </w:rPr>
        <w:t>siano</w:t>
      </w:r>
      <w:r w:rsidRPr="00463B41">
        <w:rPr>
          <w:rFonts w:ascii="Arial" w:hAnsi="Arial" w:cs="Arial"/>
          <w:sz w:val="20"/>
          <w:szCs w:val="20"/>
        </w:rPr>
        <w:t xml:space="preserve"> considerati “in stagione” o “fuori stagione”. Sulla base di tale norma</w:t>
      </w:r>
      <w:r>
        <w:rPr>
          <w:rFonts w:ascii="Arial" w:hAnsi="Arial" w:cs="Arial"/>
          <w:sz w:val="20"/>
          <w:szCs w:val="20"/>
        </w:rPr>
        <w:t xml:space="preserve">, ogni anno, l’Istat provvede alla definizione del </w:t>
      </w:r>
      <w:r w:rsidRPr="00463B41">
        <w:rPr>
          <w:rFonts w:ascii="Arial" w:hAnsi="Arial" w:cs="Arial"/>
          <w:sz w:val="20"/>
          <w:szCs w:val="20"/>
        </w:rPr>
        <w:t xml:space="preserve">calendario mensile </w:t>
      </w:r>
      <w:r>
        <w:rPr>
          <w:rFonts w:ascii="Arial" w:hAnsi="Arial" w:cs="Arial"/>
          <w:sz w:val="20"/>
          <w:szCs w:val="20"/>
        </w:rPr>
        <w:t xml:space="preserve">valido </w:t>
      </w:r>
      <w:r w:rsidRPr="00463B41">
        <w:rPr>
          <w:rFonts w:ascii="Arial" w:hAnsi="Arial" w:cs="Arial"/>
          <w:sz w:val="20"/>
          <w:szCs w:val="20"/>
        </w:rPr>
        <w:t xml:space="preserve">per tutto </w:t>
      </w:r>
      <w:r>
        <w:rPr>
          <w:rFonts w:ascii="Arial" w:hAnsi="Arial" w:cs="Arial"/>
          <w:sz w:val="20"/>
          <w:szCs w:val="20"/>
        </w:rPr>
        <w:t>l’anno</w:t>
      </w:r>
      <w:r w:rsidRPr="00463B41">
        <w:rPr>
          <w:rFonts w:ascii="Arial" w:hAnsi="Arial" w:cs="Arial"/>
          <w:sz w:val="20"/>
          <w:szCs w:val="20"/>
        </w:rPr>
        <w:t xml:space="preserve">, che stabilisce in un dato mese quando </w:t>
      </w:r>
      <w:r>
        <w:rPr>
          <w:rFonts w:ascii="Arial" w:hAnsi="Arial" w:cs="Arial"/>
          <w:sz w:val="20"/>
          <w:szCs w:val="20"/>
        </w:rPr>
        <w:t>ogni</w:t>
      </w:r>
      <w:r w:rsidRPr="00463B41">
        <w:rPr>
          <w:rFonts w:ascii="Arial" w:hAnsi="Arial" w:cs="Arial"/>
          <w:sz w:val="20"/>
          <w:szCs w:val="20"/>
        </w:rPr>
        <w:t xml:space="preserve"> specifico prodotto, appartenente alle suddette categorie o ai suddetti gruppi, deve essere considerato </w:t>
      </w:r>
      <w:r>
        <w:rPr>
          <w:rFonts w:ascii="Arial" w:hAnsi="Arial" w:cs="Arial"/>
          <w:sz w:val="20"/>
          <w:szCs w:val="20"/>
        </w:rPr>
        <w:t>“</w:t>
      </w:r>
      <w:r w:rsidRPr="00463B41">
        <w:rPr>
          <w:rFonts w:ascii="Arial" w:hAnsi="Arial" w:cs="Arial"/>
          <w:i/>
          <w:sz w:val="20"/>
          <w:szCs w:val="20"/>
        </w:rPr>
        <w:t>in stagione</w:t>
      </w:r>
      <w:r>
        <w:rPr>
          <w:rFonts w:ascii="Arial" w:hAnsi="Arial" w:cs="Arial"/>
          <w:i/>
          <w:sz w:val="20"/>
          <w:szCs w:val="20"/>
        </w:rPr>
        <w:t>”</w:t>
      </w:r>
      <w:r w:rsidRPr="00463B41">
        <w:rPr>
          <w:rFonts w:ascii="Arial" w:hAnsi="Arial" w:cs="Arial"/>
          <w:sz w:val="20"/>
          <w:szCs w:val="20"/>
        </w:rPr>
        <w:t xml:space="preserve"> oppure </w:t>
      </w:r>
      <w:r>
        <w:rPr>
          <w:rFonts w:ascii="Arial" w:hAnsi="Arial" w:cs="Arial"/>
          <w:sz w:val="20"/>
          <w:szCs w:val="20"/>
        </w:rPr>
        <w:t>“</w:t>
      </w:r>
      <w:r w:rsidRPr="00463B41">
        <w:rPr>
          <w:rFonts w:ascii="Arial" w:hAnsi="Arial" w:cs="Arial"/>
          <w:i/>
          <w:sz w:val="20"/>
          <w:szCs w:val="20"/>
        </w:rPr>
        <w:t>fuori stagione</w:t>
      </w:r>
      <w:r>
        <w:rPr>
          <w:rFonts w:ascii="Arial" w:hAnsi="Arial" w:cs="Arial"/>
          <w:i/>
          <w:sz w:val="20"/>
          <w:szCs w:val="20"/>
        </w:rPr>
        <w:t>”</w:t>
      </w:r>
      <w:r w:rsidRPr="00463B41">
        <w:rPr>
          <w:rFonts w:ascii="Arial" w:hAnsi="Arial" w:cs="Arial"/>
          <w:sz w:val="20"/>
          <w:szCs w:val="20"/>
        </w:rPr>
        <w:t>.</w:t>
      </w:r>
      <w:r>
        <w:rPr>
          <w:rFonts w:ascii="Arial" w:hAnsi="Arial" w:cs="Arial"/>
          <w:sz w:val="20"/>
          <w:szCs w:val="20"/>
        </w:rPr>
        <w:t xml:space="preserve"> </w:t>
      </w:r>
      <w:r w:rsidRPr="00463B41">
        <w:rPr>
          <w:rFonts w:ascii="Arial" w:hAnsi="Arial" w:cs="Arial"/>
          <w:sz w:val="20"/>
          <w:szCs w:val="20"/>
        </w:rPr>
        <w:t>L’adozione di un calendar</w:t>
      </w:r>
      <w:r>
        <w:rPr>
          <w:rFonts w:ascii="Arial" w:hAnsi="Arial" w:cs="Arial"/>
          <w:sz w:val="20"/>
          <w:szCs w:val="20"/>
        </w:rPr>
        <w:t xml:space="preserve">io della stagionalità comporta che la </w:t>
      </w:r>
      <w:r w:rsidRPr="00463B41">
        <w:rPr>
          <w:rFonts w:ascii="Arial" w:hAnsi="Arial" w:cs="Arial"/>
          <w:sz w:val="20"/>
          <w:szCs w:val="20"/>
        </w:rPr>
        <w:t>rilevazione territoriale dei prezzi al consumo</w:t>
      </w:r>
      <w:r>
        <w:rPr>
          <w:rFonts w:ascii="Arial" w:hAnsi="Arial" w:cs="Arial"/>
          <w:sz w:val="20"/>
          <w:szCs w:val="20"/>
        </w:rPr>
        <w:t xml:space="preserve"> sia effettuata</w:t>
      </w:r>
      <w:r w:rsidRPr="00463B41">
        <w:rPr>
          <w:rFonts w:ascii="Arial" w:hAnsi="Arial" w:cs="Arial"/>
          <w:sz w:val="20"/>
          <w:szCs w:val="20"/>
        </w:rPr>
        <w:t xml:space="preserve"> solo nei mesi in cui il prodotto in questione è definito “</w:t>
      </w:r>
      <w:r w:rsidRPr="00463B41">
        <w:rPr>
          <w:rFonts w:ascii="Arial" w:hAnsi="Arial" w:cs="Arial"/>
          <w:i/>
          <w:sz w:val="20"/>
          <w:szCs w:val="20"/>
        </w:rPr>
        <w:t>in stagione</w:t>
      </w:r>
      <w:r w:rsidRPr="00463B41">
        <w:rPr>
          <w:rFonts w:ascii="Arial" w:hAnsi="Arial" w:cs="Arial"/>
          <w:sz w:val="20"/>
          <w:szCs w:val="20"/>
        </w:rPr>
        <w:t>”</w:t>
      </w:r>
      <w:r>
        <w:rPr>
          <w:rFonts w:ascii="Arial" w:hAnsi="Arial" w:cs="Arial"/>
          <w:sz w:val="20"/>
          <w:szCs w:val="20"/>
        </w:rPr>
        <w:t>, mentre i</w:t>
      </w:r>
      <w:r w:rsidRPr="00463B41">
        <w:rPr>
          <w:rFonts w:ascii="Arial" w:hAnsi="Arial" w:cs="Arial"/>
          <w:sz w:val="20"/>
          <w:szCs w:val="20"/>
        </w:rPr>
        <w:t xml:space="preserve"> prezzi dei prodotti “</w:t>
      </w:r>
      <w:r w:rsidRPr="00463B41">
        <w:rPr>
          <w:rFonts w:ascii="Arial" w:hAnsi="Arial" w:cs="Arial"/>
          <w:i/>
          <w:sz w:val="20"/>
          <w:szCs w:val="20"/>
        </w:rPr>
        <w:t>fuori stagione</w:t>
      </w:r>
      <w:r w:rsidRPr="00463B41">
        <w:rPr>
          <w:rFonts w:ascii="Arial" w:hAnsi="Arial" w:cs="Arial"/>
          <w:sz w:val="20"/>
          <w:szCs w:val="20"/>
        </w:rPr>
        <w:t>”</w:t>
      </w:r>
      <w:r>
        <w:rPr>
          <w:rFonts w:ascii="Arial" w:hAnsi="Arial" w:cs="Arial"/>
          <w:sz w:val="20"/>
          <w:szCs w:val="20"/>
        </w:rPr>
        <w:t xml:space="preserve"> sono stimati sulla base di una metodologia coerente con le indicazioni contenute nel Regolamento europeo</w:t>
      </w:r>
      <w:r w:rsidRPr="00463B41">
        <w:rPr>
          <w:rFonts w:ascii="Arial" w:hAnsi="Arial" w:cs="Arial"/>
          <w:sz w:val="20"/>
          <w:szCs w:val="20"/>
        </w:rPr>
        <w:t>.</w:t>
      </w:r>
    </w:p>
    <w:p w:rsidR="00FC4BD2" w:rsidRDefault="00FC4BD2" w:rsidP="00FC4BD2">
      <w:pPr>
        <w:pStyle w:val="Default"/>
        <w:spacing w:after="120"/>
        <w:jc w:val="both"/>
        <w:rPr>
          <w:rFonts w:ascii="Arial" w:hAnsi="Arial" w:cs="Arial"/>
          <w:sz w:val="20"/>
          <w:szCs w:val="20"/>
        </w:rPr>
      </w:pPr>
    </w:p>
    <w:p w:rsidR="00FC4BD2" w:rsidRPr="001D642A" w:rsidRDefault="00FC4BD2" w:rsidP="00FC4BD2">
      <w:pPr>
        <w:spacing w:before="0" w:after="120"/>
        <w:jc w:val="both"/>
        <w:rPr>
          <w:rFonts w:ascii="Arial" w:hAnsi="Arial" w:cs="Arial"/>
          <w:b/>
          <w:szCs w:val="22"/>
        </w:rPr>
      </w:pPr>
      <w:r w:rsidRPr="001D642A">
        <w:rPr>
          <w:rFonts w:ascii="Arial" w:hAnsi="Arial" w:cs="Arial"/>
          <w:b/>
          <w:szCs w:val="22"/>
        </w:rPr>
        <w:t>Stim</w:t>
      </w:r>
      <w:r>
        <w:rPr>
          <w:rFonts w:ascii="Arial" w:hAnsi="Arial" w:cs="Arial"/>
          <w:b/>
          <w:szCs w:val="22"/>
        </w:rPr>
        <w:t>a</w:t>
      </w:r>
      <w:r w:rsidRPr="001D642A">
        <w:rPr>
          <w:rFonts w:ascii="Arial" w:hAnsi="Arial" w:cs="Arial"/>
          <w:b/>
          <w:szCs w:val="22"/>
        </w:rPr>
        <w:t xml:space="preserve"> delle </w:t>
      </w:r>
      <w:r>
        <w:rPr>
          <w:rFonts w:ascii="Arial" w:hAnsi="Arial" w:cs="Arial"/>
          <w:b/>
          <w:szCs w:val="22"/>
        </w:rPr>
        <w:t>osservazioni</w:t>
      </w:r>
      <w:r w:rsidRPr="001D642A">
        <w:rPr>
          <w:rFonts w:ascii="Arial" w:hAnsi="Arial" w:cs="Arial"/>
          <w:b/>
          <w:szCs w:val="22"/>
        </w:rPr>
        <w:t xml:space="preserve"> </w:t>
      </w:r>
      <w:r>
        <w:rPr>
          <w:rFonts w:ascii="Arial" w:hAnsi="Arial" w:cs="Arial"/>
          <w:b/>
          <w:szCs w:val="22"/>
        </w:rPr>
        <w:t xml:space="preserve">mancanti </w:t>
      </w:r>
      <w:r w:rsidRPr="001D642A">
        <w:rPr>
          <w:rFonts w:ascii="Arial" w:hAnsi="Arial" w:cs="Arial"/>
          <w:b/>
          <w:szCs w:val="22"/>
        </w:rPr>
        <w:t>negli indici dei prezzi al consumo</w:t>
      </w:r>
    </w:p>
    <w:p w:rsidR="00353727" w:rsidRPr="001D642A"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Le procedure di imputazione delle </w:t>
      </w:r>
      <w:r>
        <w:rPr>
          <w:rFonts w:ascii="Arial" w:hAnsi="Arial" w:cs="Arial"/>
          <w:sz w:val="20"/>
          <w:szCs w:val="20"/>
        </w:rPr>
        <w:t xml:space="preserve">osservazioni mancanti </w:t>
      </w:r>
      <w:r w:rsidRPr="001D642A">
        <w:rPr>
          <w:rFonts w:ascii="Arial" w:hAnsi="Arial" w:cs="Arial"/>
          <w:sz w:val="20"/>
          <w:szCs w:val="20"/>
        </w:rPr>
        <w:t>adottate dall’Istat per la stima dell’inflazione sono coerenti con l’impianto metodologico indicato da Eurostat e condiviso con gli Stati membri dell’Unione europea</w:t>
      </w:r>
      <w:r w:rsidRPr="001D642A">
        <w:rPr>
          <w:rStyle w:val="Rimandonotaapidipagina"/>
          <w:rFonts w:ascii="Arial" w:hAnsi="Arial"/>
          <w:sz w:val="20"/>
          <w:szCs w:val="20"/>
        </w:rPr>
        <w:footnoteReference w:id="7"/>
      </w:r>
      <w:r w:rsidRPr="001D642A">
        <w:rPr>
          <w:rFonts w:ascii="Arial" w:hAnsi="Arial" w:cs="Arial"/>
          <w:sz w:val="20"/>
          <w:szCs w:val="20"/>
        </w:rPr>
        <w:t xml:space="preserve">. </w:t>
      </w:r>
    </w:p>
    <w:p w:rsidR="00353727" w:rsidRPr="001D642A"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Questo impianto, che riguarda tutti e tre gli indici (NIC, FOI e IPCA), si basa su tre principi: </w:t>
      </w:r>
    </w:p>
    <w:p w:rsidR="00353727" w:rsidRPr="001D642A" w:rsidRDefault="00353727" w:rsidP="00353727">
      <w:pPr>
        <w:pStyle w:val="Default"/>
        <w:spacing w:after="120"/>
        <w:ind w:left="284"/>
        <w:jc w:val="both"/>
        <w:rPr>
          <w:rFonts w:ascii="Arial" w:hAnsi="Arial" w:cs="Arial"/>
          <w:sz w:val="20"/>
          <w:szCs w:val="20"/>
        </w:rPr>
      </w:pPr>
      <w:r w:rsidRPr="001D642A">
        <w:rPr>
          <w:rFonts w:ascii="Arial" w:hAnsi="Arial" w:cs="Arial"/>
          <w:sz w:val="20"/>
          <w:szCs w:val="20"/>
        </w:rPr>
        <w:t>1.</w:t>
      </w:r>
      <w:r w:rsidRPr="001D642A">
        <w:rPr>
          <w:rFonts w:ascii="Arial" w:hAnsi="Arial" w:cs="Arial"/>
          <w:sz w:val="20"/>
          <w:szCs w:val="20"/>
        </w:rPr>
        <w:tab/>
        <w:t>stabilità dei pesi degli aggregati di prodotto che compongono il paniere,</w:t>
      </w:r>
    </w:p>
    <w:p w:rsidR="00353727" w:rsidRPr="001D642A" w:rsidRDefault="00353727" w:rsidP="00353727">
      <w:pPr>
        <w:pStyle w:val="Default"/>
        <w:spacing w:after="120"/>
        <w:ind w:left="284"/>
        <w:jc w:val="both"/>
        <w:rPr>
          <w:rFonts w:ascii="Arial" w:hAnsi="Arial" w:cs="Arial"/>
          <w:sz w:val="20"/>
          <w:szCs w:val="20"/>
        </w:rPr>
      </w:pPr>
      <w:r w:rsidRPr="001D642A">
        <w:rPr>
          <w:rFonts w:ascii="Arial" w:hAnsi="Arial" w:cs="Arial"/>
          <w:sz w:val="20"/>
          <w:szCs w:val="20"/>
        </w:rPr>
        <w:t>2.</w:t>
      </w:r>
      <w:r w:rsidRPr="001D642A">
        <w:rPr>
          <w:rFonts w:ascii="Arial" w:hAnsi="Arial" w:cs="Arial"/>
          <w:sz w:val="20"/>
          <w:szCs w:val="20"/>
        </w:rPr>
        <w:tab/>
        <w:t>calcolo degli indici per tutti gli aggregati di prodotto e i diversi livelli di disaggregazione previsti dalla ECOICOP,</w:t>
      </w:r>
    </w:p>
    <w:p w:rsidR="00353727" w:rsidRPr="001D642A" w:rsidRDefault="00353727" w:rsidP="00353727">
      <w:pPr>
        <w:pStyle w:val="Default"/>
        <w:spacing w:after="120"/>
        <w:ind w:left="284"/>
        <w:jc w:val="both"/>
        <w:rPr>
          <w:rFonts w:ascii="Arial" w:hAnsi="Arial" w:cs="Arial"/>
          <w:sz w:val="20"/>
          <w:szCs w:val="20"/>
        </w:rPr>
      </w:pPr>
      <w:r w:rsidRPr="001D642A">
        <w:rPr>
          <w:rFonts w:ascii="Arial" w:hAnsi="Arial" w:cs="Arial"/>
          <w:sz w:val="20"/>
          <w:szCs w:val="20"/>
        </w:rPr>
        <w:t>3.</w:t>
      </w:r>
      <w:r w:rsidRPr="001D642A">
        <w:rPr>
          <w:rFonts w:ascii="Arial" w:hAnsi="Arial" w:cs="Arial"/>
          <w:sz w:val="20"/>
          <w:szCs w:val="20"/>
        </w:rPr>
        <w:tab/>
        <w:t>minimizzazione del numero di prezzi imputati</w:t>
      </w:r>
      <w:r w:rsidRPr="001D642A">
        <w:rPr>
          <w:rStyle w:val="Rimandonotaapidipagina"/>
          <w:rFonts w:ascii="Arial" w:hAnsi="Arial"/>
          <w:sz w:val="20"/>
          <w:szCs w:val="20"/>
        </w:rPr>
        <w:footnoteReference w:id="8"/>
      </w:r>
      <w:r w:rsidRPr="001D642A">
        <w:rPr>
          <w:rFonts w:ascii="Arial" w:hAnsi="Arial" w:cs="Arial"/>
          <w:sz w:val="20"/>
          <w:szCs w:val="20"/>
        </w:rPr>
        <w:t>.</w:t>
      </w:r>
    </w:p>
    <w:p w:rsidR="00353727" w:rsidRPr="001D642A"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Le regole di imputazione si applicano sia ai casi in cui non è possibile rilevare il prezzo di un prodotto, sia ai casi nei quali l’assenza del prezzo deriva dalla sua indisponibilità nel mercato, e comportano l’applicazione di procedure di ricostruzione del prezzo mancante della referenza, basate </w:t>
      </w:r>
      <w:r>
        <w:rPr>
          <w:rFonts w:ascii="Arial" w:hAnsi="Arial" w:cs="Arial"/>
          <w:sz w:val="20"/>
          <w:szCs w:val="20"/>
        </w:rPr>
        <w:t>prevalentemente</w:t>
      </w:r>
      <w:r w:rsidRPr="001D642A">
        <w:rPr>
          <w:rFonts w:ascii="Arial" w:hAnsi="Arial" w:cs="Arial"/>
          <w:sz w:val="20"/>
          <w:szCs w:val="20"/>
        </w:rPr>
        <w:t xml:space="preserve"> sulla variazione del prezzo </w:t>
      </w:r>
      <w:r>
        <w:rPr>
          <w:rFonts w:ascii="Arial" w:hAnsi="Arial" w:cs="Arial"/>
          <w:sz w:val="20"/>
          <w:szCs w:val="20"/>
        </w:rPr>
        <w:t>rispetto al</w:t>
      </w:r>
      <w:r w:rsidRPr="001D642A">
        <w:rPr>
          <w:rFonts w:ascii="Arial" w:hAnsi="Arial" w:cs="Arial"/>
          <w:sz w:val="20"/>
          <w:szCs w:val="20"/>
        </w:rPr>
        <w:t xml:space="preserve"> mese precedente. </w:t>
      </w:r>
    </w:p>
    <w:p w:rsidR="00353727"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L’individuazione della variazione </w:t>
      </w:r>
      <w:r>
        <w:rPr>
          <w:rFonts w:ascii="Arial" w:hAnsi="Arial" w:cs="Arial"/>
          <w:sz w:val="20"/>
          <w:szCs w:val="20"/>
        </w:rPr>
        <w:t xml:space="preserve">congiunturale </w:t>
      </w:r>
      <w:r w:rsidRPr="001D642A">
        <w:rPr>
          <w:rFonts w:ascii="Arial" w:hAnsi="Arial" w:cs="Arial"/>
          <w:sz w:val="20"/>
          <w:szCs w:val="20"/>
        </w:rPr>
        <w:t xml:space="preserve">più idonea per la procedura di imputazione non è univocamente determinata, ma dipende da diversi fattori (tra i quali la quota di mancate rilevazioni per prodotto, la sua posizione nella struttura gerarchica, il suo grado di volatilità mensile e il carattere stagionale della dinamica dei prezzi). </w:t>
      </w:r>
    </w:p>
    <w:p w:rsidR="00353727" w:rsidRPr="001D642A" w:rsidRDefault="00353727" w:rsidP="00353727">
      <w:pPr>
        <w:pStyle w:val="Default"/>
        <w:spacing w:after="120"/>
        <w:jc w:val="both"/>
        <w:rPr>
          <w:rFonts w:ascii="Arial" w:hAnsi="Arial" w:cs="Arial"/>
          <w:sz w:val="20"/>
          <w:szCs w:val="20"/>
        </w:rPr>
      </w:pPr>
      <w:r>
        <w:rPr>
          <w:rFonts w:ascii="Arial" w:hAnsi="Arial" w:cs="Arial"/>
          <w:sz w:val="20"/>
          <w:szCs w:val="20"/>
        </w:rPr>
        <w:t>L</w:t>
      </w:r>
      <w:r w:rsidRPr="001D642A">
        <w:rPr>
          <w:rFonts w:ascii="Arial" w:hAnsi="Arial" w:cs="Arial"/>
          <w:sz w:val="20"/>
          <w:szCs w:val="20"/>
        </w:rPr>
        <w:t>e regole di imputazione delle mancate rilevazioni dei prezzi applicate ai prodotti delle diverse categorie merceologiche, sono di seguito elencate:</w:t>
      </w:r>
    </w:p>
    <w:p w:rsidR="00353727" w:rsidRPr="001D642A" w:rsidRDefault="00353727" w:rsidP="00353727">
      <w:pPr>
        <w:pStyle w:val="Default"/>
        <w:numPr>
          <w:ilvl w:val="0"/>
          <w:numId w:val="17"/>
        </w:numPr>
        <w:ind w:left="567" w:hanging="357"/>
        <w:jc w:val="both"/>
        <w:rPr>
          <w:rFonts w:ascii="Arial" w:hAnsi="Arial" w:cs="Arial"/>
          <w:sz w:val="20"/>
          <w:szCs w:val="20"/>
        </w:rPr>
      </w:pPr>
      <w:r w:rsidRPr="001D642A">
        <w:rPr>
          <w:rFonts w:ascii="Arial" w:hAnsi="Arial" w:cs="Arial"/>
          <w:sz w:val="20"/>
          <w:szCs w:val="20"/>
        </w:rPr>
        <w:t xml:space="preserve">Per i prodotti grocery rilevati tramite scanner data, nell’ambito dell’approccio dinamico utilizzato per il calcolo degli indici e in accordo </w:t>
      </w:r>
      <w:r>
        <w:rPr>
          <w:rFonts w:ascii="Arial" w:hAnsi="Arial" w:cs="Arial"/>
          <w:sz w:val="20"/>
          <w:szCs w:val="20"/>
        </w:rPr>
        <w:t>con le</w:t>
      </w:r>
      <w:r w:rsidRPr="001D642A">
        <w:rPr>
          <w:rFonts w:ascii="Arial" w:hAnsi="Arial" w:cs="Arial"/>
          <w:sz w:val="20"/>
          <w:szCs w:val="20"/>
        </w:rPr>
        <w:t xml:space="preserve"> linee guida dell’Eurostat, i prezzi delle referenze </w:t>
      </w:r>
      <w:r>
        <w:rPr>
          <w:rFonts w:ascii="Arial" w:hAnsi="Arial" w:cs="Arial"/>
          <w:sz w:val="20"/>
          <w:szCs w:val="20"/>
        </w:rPr>
        <w:t xml:space="preserve">(GTIN) </w:t>
      </w:r>
      <w:r w:rsidRPr="001D642A">
        <w:rPr>
          <w:rFonts w:ascii="Arial" w:hAnsi="Arial" w:cs="Arial"/>
          <w:sz w:val="20"/>
          <w:szCs w:val="20"/>
        </w:rPr>
        <w:t>temporaneamente assenti (per cause stagionali o accidentali) vengono imputati per un massimo di 14 mesi consecutivi.</w:t>
      </w:r>
    </w:p>
    <w:p w:rsidR="00353727" w:rsidRDefault="00353727" w:rsidP="00353727">
      <w:pPr>
        <w:pStyle w:val="Default"/>
        <w:spacing w:before="120"/>
        <w:ind w:left="567"/>
        <w:jc w:val="both"/>
        <w:rPr>
          <w:rFonts w:ascii="Arial" w:hAnsi="Arial" w:cs="Arial"/>
          <w:sz w:val="20"/>
          <w:szCs w:val="20"/>
        </w:rPr>
      </w:pPr>
      <w:r w:rsidRPr="001D642A">
        <w:rPr>
          <w:rFonts w:ascii="Arial" w:hAnsi="Arial" w:cs="Arial"/>
          <w:sz w:val="20"/>
          <w:szCs w:val="20"/>
        </w:rPr>
        <w:t>In particolare, qualora i prezzi mensili di alcune referenze di un determinato aggregato di prodotto risultino mancanti (come nel caso di assenza di vendite di un prodotto), essi vengono imputati per variazione, utilizzando il tasso di crescita su base mensile delle altre referenze, tenendo conto delle regole di aggregazione, per step succes</w:t>
      </w:r>
      <w:r>
        <w:rPr>
          <w:rFonts w:ascii="Arial" w:hAnsi="Arial" w:cs="Arial"/>
          <w:sz w:val="20"/>
          <w:szCs w:val="20"/>
        </w:rPr>
        <w:t>s</w:t>
      </w:r>
      <w:r w:rsidRPr="001D642A">
        <w:rPr>
          <w:rFonts w:ascii="Arial" w:hAnsi="Arial" w:cs="Arial"/>
          <w:sz w:val="20"/>
          <w:szCs w:val="20"/>
        </w:rPr>
        <w:t>ivi, adottate per la sintesi degli indici</w:t>
      </w:r>
      <w:r w:rsidRPr="001D642A">
        <w:rPr>
          <w:rStyle w:val="Rimandonotaapidipagina"/>
          <w:rFonts w:ascii="Arial" w:hAnsi="Arial"/>
          <w:sz w:val="20"/>
          <w:szCs w:val="20"/>
        </w:rPr>
        <w:footnoteReference w:id="9"/>
      </w:r>
      <w:r w:rsidRPr="001D642A">
        <w:rPr>
          <w:rFonts w:ascii="Arial" w:hAnsi="Arial" w:cs="Arial"/>
          <w:sz w:val="20"/>
          <w:szCs w:val="20"/>
        </w:rPr>
        <w:t xml:space="preserve">. </w:t>
      </w:r>
    </w:p>
    <w:p w:rsidR="00FC4BD2" w:rsidRPr="001D642A" w:rsidRDefault="00FC4BD2" w:rsidP="00FC4BD2">
      <w:pPr>
        <w:pStyle w:val="Default"/>
        <w:spacing w:before="120"/>
        <w:ind w:left="567"/>
        <w:jc w:val="both"/>
        <w:rPr>
          <w:rFonts w:ascii="Arial" w:hAnsi="Arial" w:cs="Arial"/>
          <w:sz w:val="20"/>
          <w:szCs w:val="20"/>
        </w:rPr>
      </w:pPr>
    </w:p>
    <w:p w:rsidR="00353727" w:rsidRDefault="00353727" w:rsidP="00353727">
      <w:pPr>
        <w:pStyle w:val="Default"/>
        <w:spacing w:before="120"/>
        <w:ind w:left="567"/>
        <w:jc w:val="both"/>
        <w:rPr>
          <w:rFonts w:ascii="Arial" w:hAnsi="Arial" w:cs="Arial"/>
          <w:sz w:val="20"/>
          <w:szCs w:val="20"/>
        </w:rPr>
      </w:pPr>
      <w:r w:rsidRPr="001D642A">
        <w:rPr>
          <w:rFonts w:ascii="Arial" w:hAnsi="Arial" w:cs="Arial"/>
          <w:sz w:val="20"/>
          <w:szCs w:val="20"/>
        </w:rPr>
        <w:t>Più in dettaglio, i prezzi mancanti vengono imputati all’interno di ciascun punto vendita stimando l’evoluzione dei prezzi dei GTIN effettivamente venduti nel mercato ECR cui il GTIN mancante appartiene. Per i GTIN che non trovano donatori all’interno del mercato ECR si considera lo strato cui appartiene il punto vendita e i prezzi mancanti vengono stimati seguendo l’evoluzione dei prezzi dello stesso mercato nello strato</w:t>
      </w:r>
      <w:r>
        <w:rPr>
          <w:rFonts w:ascii="Arial" w:hAnsi="Arial" w:cs="Arial"/>
          <w:sz w:val="20"/>
          <w:szCs w:val="20"/>
        </w:rPr>
        <w:t>.</w:t>
      </w:r>
      <w:r w:rsidRPr="001D642A">
        <w:rPr>
          <w:rFonts w:ascii="Arial" w:hAnsi="Arial" w:cs="Arial"/>
          <w:sz w:val="20"/>
          <w:szCs w:val="20"/>
        </w:rPr>
        <w:t xml:space="preserve"> Qualora non esistano donatori la procedura di stima sale di livello (provincia/aggregato di prodotto) fino ad imputare tutti i prezzi delle referenze mancanti. La metodologia implementata garantisce che la variazione degli aggregati di prodotto tenga conto delle sole informazioni effettivamente disponibili (l’imputazione è neutrale rispetto all’aggregazione).</w:t>
      </w:r>
    </w:p>
    <w:p w:rsidR="00353727" w:rsidRPr="001D642A" w:rsidRDefault="00353727" w:rsidP="00353727">
      <w:pPr>
        <w:pStyle w:val="Default"/>
        <w:spacing w:before="120"/>
        <w:ind w:left="567"/>
        <w:jc w:val="both"/>
        <w:rPr>
          <w:rFonts w:ascii="Arial" w:hAnsi="Arial" w:cs="Arial"/>
          <w:sz w:val="20"/>
          <w:szCs w:val="20"/>
        </w:rPr>
      </w:pPr>
      <w:r w:rsidRPr="001D642A">
        <w:rPr>
          <w:rFonts w:ascii="Arial" w:hAnsi="Arial" w:cs="Arial"/>
          <w:sz w:val="20"/>
          <w:szCs w:val="20"/>
        </w:rPr>
        <w:t>Le stesse regole di imputazione valgono nel caso in cui l’indisponibilità delle informazioni è dovuta alla chiusura del punto vendita. In tal caso vengono imputati i prezzi di tutte le corrispondenti referenze.</w:t>
      </w:r>
    </w:p>
    <w:p w:rsidR="00353727" w:rsidRPr="001D642A" w:rsidRDefault="00353727" w:rsidP="00353727">
      <w:pPr>
        <w:pStyle w:val="Default"/>
        <w:numPr>
          <w:ilvl w:val="0"/>
          <w:numId w:val="17"/>
        </w:numPr>
        <w:spacing w:before="120" w:after="120"/>
        <w:ind w:left="568" w:hanging="284"/>
        <w:jc w:val="both"/>
        <w:rPr>
          <w:rFonts w:ascii="Arial" w:hAnsi="Arial" w:cs="Arial"/>
          <w:sz w:val="20"/>
          <w:szCs w:val="20"/>
        </w:rPr>
      </w:pPr>
      <w:r w:rsidRPr="001D642A">
        <w:rPr>
          <w:rFonts w:ascii="Arial" w:hAnsi="Arial" w:cs="Arial"/>
          <w:sz w:val="20"/>
          <w:szCs w:val="20"/>
        </w:rPr>
        <w:t>Nel settore dell’abbigliamento e calzature e per i prodotti alimentari freschi, quali frutta e vegetali freschi, per i quali è prevista la rilevazione bimensile, nel caso in cui non siano disponibili i prezzi per entrambe le date di rilevazione, le mancate risposte sono imputate per variazione dei prezzi delle referenze che sono state rilevate per lo stesso prodotto nel capoluogo di provincia, oppure nella regione o a livello nazionale, applicando le consuete procedure per la stima dei prezzi dei prodotti stagionali.</w:t>
      </w:r>
    </w:p>
    <w:p w:rsidR="00353727" w:rsidRPr="001D642A" w:rsidRDefault="00353727" w:rsidP="00353727">
      <w:pPr>
        <w:pStyle w:val="Default"/>
        <w:numPr>
          <w:ilvl w:val="0"/>
          <w:numId w:val="17"/>
        </w:numPr>
        <w:spacing w:after="120"/>
        <w:ind w:left="567"/>
        <w:jc w:val="both"/>
        <w:rPr>
          <w:rFonts w:ascii="Arial" w:hAnsi="Arial" w:cs="Arial"/>
          <w:sz w:val="20"/>
          <w:szCs w:val="20"/>
        </w:rPr>
      </w:pPr>
      <w:r w:rsidRPr="001D642A">
        <w:rPr>
          <w:rFonts w:ascii="Arial" w:hAnsi="Arial" w:cs="Arial"/>
          <w:sz w:val="20"/>
          <w:szCs w:val="20"/>
        </w:rPr>
        <w:t>Per la stima dei prezzi dei prodotti alimentari freschi (per i quali è prevista la rilevazione mensile), dei prodotti ittici freschi (per i quali è prevista la rilevazione bimensile, nel caso in cui non siano disponibili i prezzi per entrambe le date di rilevazione), dei farmaci SOP, OTC e degli altri prodotti medicali rilevati mensilmente dagli UCS, le mancate risposte sono imputate per variazione dei prezzi delle referenze rilevate per lo stesso prodotto nel capoluogo di provincia, oppure nella</w:t>
      </w:r>
      <w:r>
        <w:rPr>
          <w:rFonts w:ascii="Arial" w:hAnsi="Arial" w:cs="Arial"/>
          <w:sz w:val="20"/>
          <w:szCs w:val="20"/>
        </w:rPr>
        <w:t xml:space="preserve"> regione o a livello nazionale.</w:t>
      </w:r>
    </w:p>
    <w:p w:rsidR="00353727" w:rsidRPr="001D642A" w:rsidRDefault="00353727" w:rsidP="00353727">
      <w:pPr>
        <w:pStyle w:val="Default"/>
        <w:numPr>
          <w:ilvl w:val="0"/>
          <w:numId w:val="17"/>
        </w:numPr>
        <w:spacing w:after="120"/>
        <w:ind w:left="567" w:hanging="283"/>
        <w:jc w:val="both"/>
        <w:rPr>
          <w:rFonts w:ascii="Arial" w:hAnsi="Arial" w:cs="Arial"/>
          <w:sz w:val="20"/>
          <w:szCs w:val="20"/>
        </w:rPr>
      </w:pPr>
      <w:r>
        <w:rPr>
          <w:rFonts w:ascii="Arial" w:hAnsi="Arial" w:cs="Arial"/>
          <w:sz w:val="20"/>
          <w:szCs w:val="20"/>
        </w:rPr>
        <w:t>P</w:t>
      </w:r>
      <w:r w:rsidRPr="001D642A">
        <w:rPr>
          <w:rFonts w:ascii="Arial" w:hAnsi="Arial" w:cs="Arial"/>
          <w:sz w:val="20"/>
          <w:szCs w:val="20"/>
        </w:rPr>
        <w:t>er i prodotti (definiti in base alla categoria) che compongono l’aggregato camera d’albergo, a partire da gennaio 2022, le mancate risposte imputate utilizzando la variazione congiunturale dei prezzi degli alberghi rilevati nella provincia per la stessa categoria di alberghi, oppure nello stesso aggregato o, se il numero di osservazioni disponibili nel mese di riferimento non lo consente, la variazione congiunturale osservata nella provincia nello stesso mese dell’anno precedente, al fine di preservare la din</w:t>
      </w:r>
      <w:r>
        <w:rPr>
          <w:rFonts w:ascii="Arial" w:hAnsi="Arial" w:cs="Arial"/>
          <w:sz w:val="20"/>
          <w:szCs w:val="20"/>
        </w:rPr>
        <w:t>amica stagionale dell’aggregato.</w:t>
      </w:r>
    </w:p>
    <w:p w:rsidR="00353727" w:rsidRPr="001D642A" w:rsidRDefault="00353727" w:rsidP="00353727">
      <w:pPr>
        <w:pStyle w:val="Default"/>
        <w:numPr>
          <w:ilvl w:val="0"/>
          <w:numId w:val="17"/>
        </w:numPr>
        <w:spacing w:after="120"/>
        <w:ind w:left="567" w:hanging="283"/>
        <w:jc w:val="both"/>
        <w:rPr>
          <w:rFonts w:ascii="Arial" w:hAnsi="Arial" w:cs="Arial"/>
          <w:sz w:val="20"/>
          <w:szCs w:val="20"/>
        </w:rPr>
      </w:pPr>
      <w:r>
        <w:rPr>
          <w:rFonts w:ascii="Arial" w:hAnsi="Arial" w:cs="Arial"/>
          <w:sz w:val="20"/>
          <w:szCs w:val="20"/>
        </w:rPr>
        <w:t>P</w:t>
      </w:r>
      <w:r w:rsidRPr="001D642A">
        <w:rPr>
          <w:rFonts w:ascii="Arial" w:hAnsi="Arial" w:cs="Arial"/>
          <w:sz w:val="20"/>
          <w:szCs w:val="20"/>
        </w:rPr>
        <w:t xml:space="preserve">er i prezzi dei prodotti di arredamento e dei prodotti per la casa si applica il metodo del </w:t>
      </w:r>
      <w:r w:rsidRPr="001D642A">
        <w:rPr>
          <w:rFonts w:ascii="Arial" w:hAnsi="Arial" w:cs="Arial"/>
          <w:i/>
          <w:sz w:val="20"/>
          <w:szCs w:val="20"/>
        </w:rPr>
        <w:t>carry forward</w:t>
      </w:r>
      <w:r w:rsidRPr="001D642A">
        <w:rPr>
          <w:rFonts w:ascii="Arial" w:hAnsi="Arial" w:cs="Arial"/>
          <w:sz w:val="20"/>
          <w:szCs w:val="20"/>
        </w:rPr>
        <w:t xml:space="preserve"> (ripetizione del prezzo del mese precedente), data la limitata variabilità temporale dei prezzi </w:t>
      </w:r>
      <w:r>
        <w:rPr>
          <w:rFonts w:ascii="Arial" w:hAnsi="Arial" w:cs="Arial"/>
          <w:sz w:val="20"/>
          <w:szCs w:val="20"/>
        </w:rPr>
        <w:t>di questa categoria di prodotti.</w:t>
      </w:r>
    </w:p>
    <w:p w:rsidR="00353727" w:rsidRPr="001D642A" w:rsidRDefault="00353727" w:rsidP="00353727">
      <w:pPr>
        <w:pStyle w:val="Default"/>
        <w:numPr>
          <w:ilvl w:val="0"/>
          <w:numId w:val="17"/>
        </w:numPr>
        <w:spacing w:after="120"/>
        <w:ind w:left="567" w:hanging="283"/>
        <w:jc w:val="both"/>
        <w:rPr>
          <w:rFonts w:ascii="Arial" w:hAnsi="Arial" w:cs="Arial"/>
          <w:sz w:val="20"/>
          <w:szCs w:val="20"/>
        </w:rPr>
      </w:pPr>
      <w:r>
        <w:rPr>
          <w:rFonts w:ascii="Arial" w:hAnsi="Arial" w:cs="Arial"/>
          <w:sz w:val="20"/>
          <w:szCs w:val="20"/>
        </w:rPr>
        <w:t>A</w:t>
      </w:r>
      <w:r w:rsidRPr="001D642A">
        <w:rPr>
          <w:rFonts w:ascii="Arial" w:hAnsi="Arial" w:cs="Arial"/>
          <w:sz w:val="20"/>
          <w:szCs w:val="20"/>
        </w:rPr>
        <w:t xml:space="preserve">nalogamente il metodo del </w:t>
      </w:r>
      <w:r w:rsidRPr="001D642A">
        <w:rPr>
          <w:rFonts w:ascii="Arial" w:hAnsi="Arial" w:cs="Arial"/>
          <w:i/>
          <w:sz w:val="20"/>
          <w:szCs w:val="20"/>
        </w:rPr>
        <w:t>carry forward</w:t>
      </w:r>
      <w:r w:rsidRPr="001D642A">
        <w:rPr>
          <w:rFonts w:ascii="Arial" w:hAnsi="Arial" w:cs="Arial"/>
          <w:sz w:val="20"/>
          <w:szCs w:val="20"/>
        </w:rPr>
        <w:t xml:space="preserve"> viene adottato per i prezzi dei servizi di ristorazione e dei servizi culturali e di intrattenimento.</w:t>
      </w:r>
    </w:p>
    <w:p w:rsidR="00353727" w:rsidRDefault="00353727" w:rsidP="00353727">
      <w:pPr>
        <w:pStyle w:val="Default"/>
        <w:numPr>
          <w:ilvl w:val="0"/>
          <w:numId w:val="17"/>
        </w:numPr>
        <w:spacing w:after="120"/>
        <w:ind w:left="567" w:hanging="283"/>
        <w:jc w:val="both"/>
        <w:rPr>
          <w:rFonts w:ascii="Arial" w:hAnsi="Arial" w:cs="Arial"/>
          <w:sz w:val="20"/>
          <w:szCs w:val="20"/>
        </w:rPr>
      </w:pPr>
      <w:r>
        <w:rPr>
          <w:rFonts w:ascii="Arial" w:hAnsi="Arial" w:cs="Arial"/>
          <w:sz w:val="20"/>
          <w:szCs w:val="20"/>
        </w:rPr>
        <w:t>P</w:t>
      </w:r>
      <w:r w:rsidRPr="001D642A">
        <w:rPr>
          <w:rFonts w:ascii="Arial" w:hAnsi="Arial" w:cs="Arial"/>
          <w:sz w:val="20"/>
          <w:szCs w:val="20"/>
        </w:rPr>
        <w:t>er i prodotti rilevati centralmente dall’Istat ogni quotazione mancante viene stimata utilizzando la variazione congiunturale degli indici che appartengono allo stesso strato; qualora i prezzi di uno strato risultino completamente assenti, la procedura di stima è basata sulla variazione degli indici di strato superiori.</w:t>
      </w:r>
    </w:p>
    <w:p w:rsidR="00353727" w:rsidRPr="005B0AE5" w:rsidRDefault="00353727" w:rsidP="00353727">
      <w:pPr>
        <w:pStyle w:val="Default"/>
        <w:numPr>
          <w:ilvl w:val="0"/>
          <w:numId w:val="17"/>
        </w:numPr>
        <w:spacing w:after="120"/>
        <w:ind w:left="567" w:hanging="283"/>
        <w:jc w:val="both"/>
        <w:rPr>
          <w:rFonts w:ascii="Arial" w:hAnsi="Arial" w:cs="Arial"/>
        </w:rPr>
      </w:pPr>
      <w:r>
        <w:rPr>
          <w:rFonts w:ascii="Arial" w:hAnsi="Arial" w:cs="Arial"/>
          <w:sz w:val="20"/>
          <w:szCs w:val="20"/>
        </w:rPr>
        <w:t>P</w:t>
      </w:r>
      <w:r w:rsidRPr="00FF77B1">
        <w:rPr>
          <w:rFonts w:ascii="Arial" w:hAnsi="Arial" w:cs="Arial"/>
          <w:sz w:val="20"/>
          <w:szCs w:val="20"/>
        </w:rPr>
        <w:t xml:space="preserve">er i prodotti indisponibili alla fruizione da parte delle famiglie </w:t>
      </w:r>
      <w:r>
        <w:rPr>
          <w:rFonts w:ascii="Arial" w:hAnsi="Arial" w:cs="Arial"/>
          <w:sz w:val="20"/>
          <w:szCs w:val="20"/>
        </w:rPr>
        <w:t xml:space="preserve">(come accaduto nei periodi di lockdown durante la pandemia causata dal Covid-19) </w:t>
      </w:r>
      <w:r w:rsidRPr="00FF77B1">
        <w:rPr>
          <w:rFonts w:ascii="Arial" w:hAnsi="Arial" w:cs="Arial"/>
          <w:sz w:val="20"/>
          <w:szCs w:val="20"/>
        </w:rPr>
        <w:t xml:space="preserve">e che presentano un chiaro profilo stagionale, </w:t>
      </w:r>
      <w:r>
        <w:rPr>
          <w:rFonts w:ascii="Arial" w:hAnsi="Arial" w:cs="Arial"/>
          <w:sz w:val="20"/>
          <w:szCs w:val="20"/>
        </w:rPr>
        <w:t xml:space="preserve">viene utilizzata </w:t>
      </w:r>
      <w:r w:rsidRPr="00FF77B1">
        <w:rPr>
          <w:rFonts w:ascii="Arial" w:hAnsi="Arial" w:cs="Arial"/>
          <w:sz w:val="20"/>
          <w:szCs w:val="20"/>
        </w:rPr>
        <w:t>la variazione dell’indice generale calcolata al netto di questi stessi prodotti.</w:t>
      </w:r>
    </w:p>
    <w:p w:rsidR="00353727" w:rsidRDefault="00353727" w:rsidP="00353727">
      <w:pPr>
        <w:pStyle w:val="Default"/>
        <w:spacing w:after="120"/>
        <w:jc w:val="both"/>
        <w:rPr>
          <w:rFonts w:ascii="Arial" w:hAnsi="Arial" w:cs="Arial"/>
          <w:sz w:val="20"/>
          <w:szCs w:val="20"/>
        </w:rPr>
      </w:pPr>
      <w:r w:rsidRPr="001D642A">
        <w:rPr>
          <w:rFonts w:ascii="Arial" w:hAnsi="Arial" w:cs="Arial"/>
          <w:sz w:val="20"/>
          <w:szCs w:val="20"/>
        </w:rPr>
        <w:t>Gli indici ai diversi livelli di aggregazione qualora abbiano una quota di imputazioni superiore al 50% (in termini di prezzi mancanti e/o di peso) sono segnalate, sulla base delle indicazioni di Eurostat, mediante l’utilizzo del flag “i” (dato imputato) sia nelle tabelle del Comunicato stampa, sia su I.Stat e nelle altre pubblicazioni. Per quanto riguarda gli indici diffusi su Rivaluta, in occasione del rilascio dei dati definitivi, quelli che presentano una quota di imputazioni superiore al 50% (in termini di prezzi mancanti e/o di peso) non sono resi disponibili.</w:t>
      </w:r>
    </w:p>
    <w:p w:rsidR="00FC4BD2" w:rsidRPr="001D642A" w:rsidRDefault="00FC4BD2" w:rsidP="00FC4BD2">
      <w:pPr>
        <w:pStyle w:val="Default"/>
        <w:spacing w:after="120"/>
        <w:jc w:val="both"/>
        <w:rPr>
          <w:rFonts w:ascii="Arial" w:hAnsi="Arial" w:cs="Arial"/>
          <w:sz w:val="20"/>
          <w:szCs w:val="20"/>
        </w:rPr>
      </w:pPr>
    </w:p>
    <w:p w:rsidR="00FC4BD2" w:rsidRPr="001D642A" w:rsidRDefault="00FC4BD2" w:rsidP="00FC4BD2">
      <w:pPr>
        <w:spacing w:before="0" w:after="120"/>
        <w:jc w:val="both"/>
        <w:rPr>
          <w:rFonts w:ascii="Arial" w:hAnsi="Arial" w:cs="Arial"/>
          <w:b/>
          <w:sz w:val="22"/>
          <w:szCs w:val="22"/>
        </w:rPr>
      </w:pPr>
      <w:r w:rsidRPr="001D642A">
        <w:rPr>
          <w:rFonts w:ascii="Arial" w:hAnsi="Arial" w:cs="Arial"/>
          <w:b/>
          <w:sz w:val="22"/>
          <w:szCs w:val="22"/>
        </w:rPr>
        <w:t>Stima preliminare degli indici dei prezzi al consumo IPCA: accuratezza e metodologia di calcolo</w:t>
      </w:r>
    </w:p>
    <w:p w:rsidR="00353727" w:rsidRPr="001D642A" w:rsidRDefault="00353727" w:rsidP="00353727">
      <w:pPr>
        <w:widowControl/>
        <w:overflowPunct/>
        <w:spacing w:before="0" w:after="120"/>
        <w:jc w:val="both"/>
        <w:rPr>
          <w:rFonts w:ascii="Arial" w:hAnsi="Arial" w:cs="Arial"/>
          <w:kern w:val="0"/>
        </w:rPr>
      </w:pPr>
      <w:r w:rsidRPr="001D642A">
        <w:rPr>
          <w:rFonts w:ascii="Arial" w:hAnsi="Arial" w:cs="Arial"/>
          <w:kern w:val="0"/>
        </w:rPr>
        <w:t xml:space="preserve">La diffusione degli indici dei prezzi al consumo avviene in due successivi istanti temporali secondo una diversa modalità di rilascio dei dati: prima come stima provvisoria, poi come stima definitiva. La diffusione della stima provvisoria degli indici IPCA (e degli indici NIC) avviene alla fine del mese di riferimento nel rispetto del calendario Eurostat di diffusione della stima anticipata dell’inflazione nell’area euro. Il rilascio dei dati definitivi avviene intorno alla metà del mese successivo a quello di riferimento. </w:t>
      </w:r>
    </w:p>
    <w:p w:rsidR="00353727" w:rsidRDefault="00353727" w:rsidP="00353727">
      <w:pPr>
        <w:spacing w:before="0" w:after="120"/>
        <w:jc w:val="both"/>
        <w:rPr>
          <w:rFonts w:ascii="Arial" w:hAnsi="Arial" w:cs="Arial"/>
        </w:rPr>
      </w:pPr>
      <w:r w:rsidRPr="001D642A">
        <w:rPr>
          <w:rFonts w:ascii="Arial" w:hAnsi="Arial" w:cs="Arial"/>
        </w:rPr>
        <w:t>La finalità della diffusione dei dati provvisori, sia dell’indice IPCA sia dall’indice NIC, è quella di fornire informazioni più tempestive sull’andamento dei prezzi al consumo, stimando nel modo più accurato possibile il dato definitivo dell’inflazione rilasciato circa due settimane dopo. In questo contesto, l’analisi delle revisioni delle stime provvisorie dei tassi tendenziali rappresenta un importante strumento per valutare il corretto bilanciamento tra le due dimensioni della qualità dei dati, tempestività e accuratezza.</w:t>
      </w:r>
    </w:p>
    <w:p w:rsidR="00353727" w:rsidRDefault="00353727" w:rsidP="00353727">
      <w:pPr>
        <w:spacing w:before="0" w:after="120"/>
        <w:jc w:val="both"/>
        <w:rPr>
          <w:rFonts w:ascii="Arial" w:hAnsi="Arial" w:cs="Arial"/>
        </w:rPr>
      </w:pPr>
    </w:p>
    <w:p w:rsidR="00353727" w:rsidRPr="001D642A" w:rsidRDefault="00353727" w:rsidP="00353727">
      <w:pPr>
        <w:spacing w:before="0" w:after="120"/>
        <w:jc w:val="both"/>
        <w:rPr>
          <w:rFonts w:ascii="Arial" w:hAnsi="Arial" w:cs="Arial"/>
          <w:szCs w:val="21"/>
        </w:rPr>
      </w:pPr>
      <w:r w:rsidRPr="001D642A">
        <w:rPr>
          <w:rFonts w:ascii="Arial" w:hAnsi="Arial" w:cs="Arial"/>
        </w:rPr>
        <w:t>In linea con la politica di diffusione di Eurostat, che pubblica mensilmente una nota sull’accuratezza della stima anticipata dell’inflazione per l’area euro, questa sezione è dedicata all’</w:t>
      </w:r>
      <w:r w:rsidRPr="001D642A">
        <w:rPr>
          <w:rFonts w:ascii="Arial" w:hAnsi="Arial" w:cs="Arial"/>
          <w:szCs w:val="21"/>
        </w:rPr>
        <w:t>analisi dell’accuratezza e alla metodologia utilizzata per il calcolo della stima preliminare dell’indice IPCA.</w:t>
      </w:r>
    </w:p>
    <w:p w:rsidR="00FC4BD2" w:rsidRPr="001D642A" w:rsidRDefault="00FC4BD2" w:rsidP="00FC4BD2">
      <w:pPr>
        <w:spacing w:before="0" w:after="120"/>
        <w:jc w:val="both"/>
        <w:rPr>
          <w:rFonts w:ascii="Arial" w:hAnsi="Arial" w:cs="Arial"/>
        </w:rPr>
      </w:pPr>
    </w:p>
    <w:p w:rsidR="00FC4BD2" w:rsidRPr="001D642A" w:rsidRDefault="00FC4BD2" w:rsidP="00FC4BD2">
      <w:pPr>
        <w:pStyle w:val="Rientrocorpodeltesto"/>
        <w:spacing w:before="0"/>
        <w:ind w:left="0" w:hanging="1"/>
        <w:rPr>
          <w:rFonts w:ascii="Arial" w:hAnsi="Arial" w:cs="Arial"/>
          <w:b/>
          <w:bCs/>
          <w:szCs w:val="22"/>
        </w:rPr>
      </w:pPr>
      <w:r w:rsidRPr="001D642A">
        <w:rPr>
          <w:rFonts w:ascii="Arial" w:hAnsi="Arial" w:cs="Arial"/>
          <w:b/>
          <w:bCs/>
          <w:szCs w:val="22"/>
        </w:rPr>
        <w:t>Accuratezza delle stime preliminari</w:t>
      </w:r>
    </w:p>
    <w:p w:rsidR="00A11573" w:rsidRPr="001D642A" w:rsidRDefault="00A11573" w:rsidP="00A11573">
      <w:pPr>
        <w:widowControl/>
        <w:overflowPunct/>
        <w:spacing w:before="0" w:after="120"/>
        <w:jc w:val="both"/>
        <w:rPr>
          <w:rFonts w:ascii="Arial" w:hAnsi="Arial" w:cs="Arial"/>
        </w:rPr>
      </w:pPr>
      <w:r w:rsidRPr="001D642A">
        <w:rPr>
          <w:rFonts w:ascii="Arial" w:hAnsi="Arial" w:cs="Arial"/>
        </w:rPr>
        <w:t>Nel Prospetto 2 sono confrontati i tassi di variazione tendenziale definitivi e provvisori dell’indice generale IPCA e dei principali aggregati speciali per gli ultimi tredici mesi. In questo arco temporale, la differenza maggiore tra la stima definitiva e quella provvisoria del tasso tendenziale dell’</w:t>
      </w:r>
      <w:r>
        <w:rPr>
          <w:rFonts w:ascii="Arial" w:hAnsi="Arial" w:cs="Arial"/>
        </w:rPr>
        <w:t>indice generale è stata pari a -0,3</w:t>
      </w:r>
      <w:r w:rsidRPr="001D642A">
        <w:rPr>
          <w:rFonts w:ascii="Arial" w:hAnsi="Arial" w:cs="Arial"/>
        </w:rPr>
        <w:t xml:space="preserve"> punti perce</w:t>
      </w:r>
      <w:r>
        <w:rPr>
          <w:rFonts w:ascii="Arial" w:hAnsi="Arial" w:cs="Arial"/>
        </w:rPr>
        <w:t>ntuali, osservata ad aprile 2022</w:t>
      </w:r>
      <w:r w:rsidRPr="001D642A">
        <w:rPr>
          <w:rFonts w:ascii="Arial" w:hAnsi="Arial" w:cs="Arial"/>
        </w:rPr>
        <w:t xml:space="preserve">. Con riferimento ai principali aggregati speciali, le differenze maggiori tra la stima definitiva e quella provvisoria in termini di tassi tendenziali hanno interessato l’aggregato degli Alimentari lavorati (-0,4 </w:t>
      </w:r>
      <w:r>
        <w:rPr>
          <w:rFonts w:ascii="Arial" w:hAnsi="Arial" w:cs="Arial"/>
        </w:rPr>
        <w:t>punti percentuali ad aprile 2022</w:t>
      </w:r>
      <w:r w:rsidRPr="001D642A">
        <w:rPr>
          <w:rFonts w:ascii="Arial" w:hAnsi="Arial" w:cs="Arial"/>
        </w:rPr>
        <w:t xml:space="preserve">), </w:t>
      </w:r>
      <w:r>
        <w:rPr>
          <w:rFonts w:ascii="Arial" w:hAnsi="Arial" w:cs="Arial"/>
        </w:rPr>
        <w:t xml:space="preserve">quindi quello dei </w:t>
      </w:r>
      <w:r w:rsidRPr="00BB1420">
        <w:rPr>
          <w:rFonts w:ascii="Arial" w:hAnsi="Arial" w:cs="Arial"/>
        </w:rPr>
        <w:t>Beni alimentari (incluse bevande alcoliche) e tabacchi</w:t>
      </w:r>
      <w:r>
        <w:rPr>
          <w:rFonts w:ascii="Arial" w:hAnsi="Arial" w:cs="Arial"/>
        </w:rPr>
        <w:t xml:space="preserve"> (-0,3 ad aprile 2022)</w:t>
      </w:r>
      <w:r w:rsidRPr="00BB1420">
        <w:rPr>
          <w:rFonts w:ascii="Arial" w:hAnsi="Arial" w:cs="Arial"/>
        </w:rPr>
        <w:t xml:space="preserve">, </w:t>
      </w:r>
      <w:r w:rsidRPr="001D642A">
        <w:rPr>
          <w:rFonts w:ascii="Arial" w:hAnsi="Arial" w:cs="Arial"/>
        </w:rPr>
        <w:t>quello dell’Ene</w:t>
      </w:r>
      <w:r>
        <w:rPr>
          <w:rFonts w:ascii="Arial" w:hAnsi="Arial" w:cs="Arial"/>
        </w:rPr>
        <w:t>rgia (</w:t>
      </w:r>
      <w:r w:rsidRPr="001D642A">
        <w:rPr>
          <w:rFonts w:ascii="Arial" w:hAnsi="Arial" w:cs="Arial"/>
        </w:rPr>
        <w:t>+1,9 a ottobre 2021</w:t>
      </w:r>
      <w:r>
        <w:rPr>
          <w:rFonts w:ascii="Arial" w:hAnsi="Arial" w:cs="Arial"/>
        </w:rPr>
        <w:t>, -2,0 a marzo 2022 e -2,8 ad aprile 2022</w:t>
      </w:r>
      <w:r w:rsidRPr="001D642A">
        <w:rPr>
          <w:rFonts w:ascii="Arial" w:hAnsi="Arial" w:cs="Arial"/>
        </w:rPr>
        <w:t>) e quello dei Beni industriali non energetici (-0,8 a gennaio 2022</w:t>
      </w:r>
      <w:r>
        <w:rPr>
          <w:rFonts w:ascii="Arial" w:hAnsi="Arial" w:cs="Arial"/>
        </w:rPr>
        <w:t xml:space="preserve"> e +0,3 ad agosto 2022</w:t>
      </w:r>
      <w:r w:rsidRPr="001D642A">
        <w:rPr>
          <w:rFonts w:ascii="Arial" w:hAnsi="Arial" w:cs="Arial"/>
        </w:rPr>
        <w:t>).</w:t>
      </w:r>
    </w:p>
    <w:p w:rsidR="00BC6184" w:rsidRDefault="00BC6184" w:rsidP="00BC6184">
      <w:pPr>
        <w:widowControl/>
        <w:overflowPunct/>
        <w:spacing w:before="0" w:after="120"/>
        <w:jc w:val="both"/>
        <w:rPr>
          <w:rFonts w:ascii="Arial" w:hAnsi="Arial" w:cs="Arial"/>
        </w:rPr>
      </w:pPr>
      <w:r w:rsidRPr="001D642A">
        <w:rPr>
          <w:rFonts w:ascii="Arial" w:hAnsi="Arial" w:cs="Arial"/>
        </w:rPr>
        <w:t>La più elevata frequenza delle revisioni è osservata negli aggregati dei Beni alimentari lavorati (</w:t>
      </w:r>
      <w:r>
        <w:rPr>
          <w:rFonts w:ascii="Arial" w:hAnsi="Arial" w:cs="Arial"/>
        </w:rPr>
        <w:t>10</w:t>
      </w:r>
      <w:r w:rsidRPr="001D642A">
        <w:rPr>
          <w:rFonts w:ascii="Arial" w:hAnsi="Arial" w:cs="Arial"/>
        </w:rPr>
        <w:t xml:space="preserve"> mesi sui 13 in esame, imputabile in larga parte all’utilizzo, per la stima preliminare, degli scanner data, riferiti ai prezzi dei prodotti grocery provenienti dalla GDO, di una/due settimane rispetto alle tre incluse nell’indice definitivo)</w:t>
      </w:r>
      <w:r>
        <w:rPr>
          <w:rFonts w:ascii="Arial" w:hAnsi="Arial" w:cs="Arial"/>
        </w:rPr>
        <w:t>, di Energia (7 mesi su 13)</w:t>
      </w:r>
      <w:r w:rsidRPr="001D642A">
        <w:rPr>
          <w:rFonts w:ascii="Arial" w:hAnsi="Arial" w:cs="Arial"/>
        </w:rPr>
        <w:t xml:space="preserve"> e dei Beni industriali </w:t>
      </w:r>
      <w:r>
        <w:rPr>
          <w:rFonts w:ascii="Arial" w:hAnsi="Arial" w:cs="Arial"/>
        </w:rPr>
        <w:t>non energetici (7</w:t>
      </w:r>
      <w:r w:rsidRPr="001D642A">
        <w:rPr>
          <w:rFonts w:ascii="Arial" w:hAnsi="Arial" w:cs="Arial"/>
        </w:rPr>
        <w:t xml:space="preserve"> mesi su 13, da ascrivere principalmente alla dinamica dei saldi dell’Abbigliamento e calzature e alla disponibilità per la stima preliminare, con riferimento ad alcune categorie di Beni durevoli,</w:t>
      </w:r>
      <w:r w:rsidRPr="001D642A">
        <w:t xml:space="preserve"> </w:t>
      </w:r>
      <w:r w:rsidRPr="001D642A">
        <w:rPr>
          <w:rFonts w:ascii="Arial" w:hAnsi="Arial" w:cs="Arial"/>
        </w:rPr>
        <w:t>dei dati riferiti a una/due settimane rispetto alle tre incluse nell’indice definitivo); l’incompletezza delle informazioni utilizzate per il calcolo ha un impatto maggiore sulle stime provvisorie di questi aggregati speciali che, di conseguenza, risultano essere meno accurate</w:t>
      </w:r>
      <w:r>
        <w:rPr>
          <w:rFonts w:ascii="Arial" w:hAnsi="Arial" w:cs="Arial"/>
        </w:rPr>
        <w:t>.</w:t>
      </w:r>
    </w:p>
    <w:p w:rsidR="00577B6E" w:rsidRPr="001D642A" w:rsidRDefault="00577B6E" w:rsidP="00577B6E">
      <w:pPr>
        <w:widowControl/>
        <w:overflowPunct/>
        <w:spacing w:before="0" w:after="120"/>
        <w:jc w:val="both"/>
        <w:rPr>
          <w:rFonts w:ascii="Arial" w:hAnsi="Arial" w:cs="Arial"/>
        </w:rPr>
      </w:pPr>
    </w:p>
    <w:p w:rsidR="00577B6E" w:rsidRPr="001D642A" w:rsidRDefault="00577B6E" w:rsidP="00577B6E">
      <w:pPr>
        <w:pStyle w:val="001TitoGra"/>
        <w:spacing w:after="120" w:line="240" w:lineRule="auto"/>
        <w:jc w:val="both"/>
        <w:rPr>
          <w:vertAlign w:val="superscript"/>
        </w:rPr>
      </w:pPr>
      <w:r w:rsidRPr="001D642A">
        <w:rPr>
          <w:rStyle w:val="001TitoGraRed"/>
        </w:rPr>
        <w:t>PROSPETTO 2.</w:t>
      </w:r>
      <w:r w:rsidRPr="001D642A">
        <w:t xml:space="preserve"> STIME PRELIMINARI E DEFINITIVE DEGLI INDICI DEI PREZZI AL CONSUMO IPCA E DEI PRINCIPALI AGGREGATI SPECIALI</w:t>
      </w:r>
      <w:r w:rsidRPr="001D642A">
        <w:rPr>
          <w:b w:val="0"/>
          <w:sz w:val="20"/>
          <w:szCs w:val="20"/>
        </w:rPr>
        <w:t xml:space="preserve">. </w:t>
      </w:r>
      <w:r w:rsidR="009B6ACA">
        <w:rPr>
          <w:b w:val="0"/>
          <w:sz w:val="20"/>
          <w:szCs w:val="20"/>
        </w:rPr>
        <w:t>Settembre</w:t>
      </w:r>
      <w:r w:rsidRPr="001D642A">
        <w:rPr>
          <w:b w:val="0"/>
          <w:sz w:val="20"/>
          <w:szCs w:val="20"/>
        </w:rPr>
        <w:t xml:space="preserve"> 2021 – </w:t>
      </w:r>
      <w:r w:rsidR="009B6ACA">
        <w:rPr>
          <w:b w:val="0"/>
          <w:sz w:val="20"/>
          <w:szCs w:val="20"/>
        </w:rPr>
        <w:t>settembre</w:t>
      </w:r>
      <w:r>
        <w:rPr>
          <w:b w:val="0"/>
          <w:sz w:val="20"/>
          <w:szCs w:val="20"/>
        </w:rPr>
        <w:t xml:space="preserve"> </w:t>
      </w:r>
      <w:r w:rsidRPr="001D642A">
        <w:rPr>
          <w:b w:val="0"/>
          <w:sz w:val="20"/>
          <w:szCs w:val="20"/>
        </w:rPr>
        <w:t>2022, valori percentuali tendenziali (base 2015=100)</w:t>
      </w:r>
    </w:p>
    <w:tbl>
      <w:tblPr>
        <w:tblW w:w="10290" w:type="dxa"/>
        <w:jc w:val="center"/>
        <w:tblCellMar>
          <w:left w:w="70" w:type="dxa"/>
          <w:right w:w="70" w:type="dxa"/>
        </w:tblCellMar>
        <w:tblLook w:val="04A0" w:firstRow="1" w:lastRow="0" w:firstColumn="1" w:lastColumn="0" w:noHBand="0" w:noVBand="1"/>
      </w:tblPr>
      <w:tblGrid>
        <w:gridCol w:w="3261"/>
        <w:gridCol w:w="285"/>
        <w:gridCol w:w="510"/>
        <w:gridCol w:w="510"/>
        <w:gridCol w:w="510"/>
        <w:gridCol w:w="510"/>
        <w:gridCol w:w="510"/>
        <w:gridCol w:w="510"/>
        <w:gridCol w:w="510"/>
        <w:gridCol w:w="510"/>
        <w:gridCol w:w="510"/>
        <w:gridCol w:w="510"/>
        <w:gridCol w:w="510"/>
        <w:gridCol w:w="567"/>
        <w:gridCol w:w="567"/>
      </w:tblGrid>
      <w:tr w:rsidR="00A11573" w:rsidRPr="00363206" w:rsidTr="00253087">
        <w:trPr>
          <w:trHeight w:val="316"/>
          <w:jc w:val="center"/>
        </w:trPr>
        <w:tc>
          <w:tcPr>
            <w:tcW w:w="3261" w:type="dxa"/>
            <w:tcBorders>
              <w:top w:val="single" w:sz="4" w:space="0" w:color="auto"/>
              <w:left w:val="nil"/>
              <w:bottom w:val="single" w:sz="4" w:space="0" w:color="auto"/>
              <w:right w:val="nil"/>
            </w:tcBorders>
            <w:shd w:val="clear" w:color="000000" w:fill="FFFFFF"/>
            <w:noWrap/>
            <w:vAlign w:val="center"/>
            <w:hideMark/>
          </w:tcPr>
          <w:p w:rsidR="00A11573" w:rsidRPr="00363206" w:rsidRDefault="00A11573" w:rsidP="00A11573">
            <w:pPr>
              <w:ind w:right="-13"/>
              <w:rPr>
                <w:rFonts w:ascii="Arial Narrow" w:hAnsi="Arial Narrow"/>
                <w:b/>
                <w:bCs/>
                <w:color w:val="000000"/>
                <w:kern w:val="0"/>
                <w:sz w:val="16"/>
                <w:szCs w:val="18"/>
              </w:rPr>
            </w:pPr>
            <w:r w:rsidRPr="00363206">
              <w:rPr>
                <w:rFonts w:ascii="Arial Narrow" w:hAnsi="Arial Narrow"/>
                <w:b/>
                <w:bCs/>
                <w:color w:val="000000"/>
                <w:kern w:val="0"/>
                <w:sz w:val="16"/>
                <w:szCs w:val="18"/>
              </w:rPr>
              <w:t>Aggregati speciali</w:t>
            </w:r>
          </w:p>
        </w:tc>
        <w:tc>
          <w:tcPr>
            <w:tcW w:w="285" w:type="dxa"/>
            <w:tcBorders>
              <w:top w:val="single" w:sz="4" w:space="0" w:color="auto"/>
              <w:left w:val="nil"/>
              <w:bottom w:val="single" w:sz="4" w:space="0" w:color="auto"/>
              <w:right w:val="nil"/>
            </w:tcBorders>
            <w:shd w:val="clear" w:color="000000" w:fill="FFFFFF"/>
            <w:noWrap/>
            <w:vAlign w:val="center"/>
            <w:hideMark/>
          </w:tcPr>
          <w:p w:rsidR="00A11573" w:rsidRPr="00363206" w:rsidRDefault="00A11573" w:rsidP="00A11573">
            <w:pPr>
              <w:ind w:left="-153" w:right="-13"/>
              <w:jc w:val="right"/>
              <w:rPr>
                <w:rFonts w:ascii="Arial Narrow" w:hAnsi="Arial Narrow"/>
                <w:b/>
                <w:bCs/>
                <w:color w:val="000000"/>
                <w:kern w:val="0"/>
                <w:sz w:val="16"/>
                <w:szCs w:val="18"/>
              </w:rPr>
            </w:pPr>
            <w:r w:rsidRPr="00363206">
              <w:rPr>
                <w:rFonts w:ascii="Arial Narrow" w:hAnsi="Arial Narrow"/>
                <w:b/>
                <w:bCs/>
                <w:color w:val="000000"/>
                <w:kern w:val="0"/>
                <w:sz w:val="16"/>
                <w:szCs w:val="18"/>
              </w:rPr>
              <w:t> </w:t>
            </w:r>
          </w:p>
        </w:tc>
        <w:tc>
          <w:tcPr>
            <w:tcW w:w="510" w:type="dxa"/>
            <w:tcBorders>
              <w:top w:val="single" w:sz="4" w:space="0" w:color="auto"/>
              <w:left w:val="nil"/>
              <w:bottom w:val="single" w:sz="4" w:space="0" w:color="auto"/>
              <w:right w:val="nil"/>
            </w:tcBorders>
            <w:shd w:val="clear" w:color="000000" w:fill="FFFFFF"/>
          </w:tcPr>
          <w:p w:rsidR="00A11573" w:rsidRPr="001D642A" w:rsidRDefault="00A11573" w:rsidP="00A11573">
            <w:pPr>
              <w:ind w:left="-153" w:right="-13"/>
              <w:jc w:val="right"/>
              <w:rPr>
                <w:rFonts w:ascii="Arial Narrow" w:hAnsi="Arial Narrow"/>
                <w:b/>
                <w:bCs/>
                <w:color w:val="000000"/>
                <w:kern w:val="0"/>
                <w:sz w:val="16"/>
                <w:szCs w:val="18"/>
              </w:rPr>
            </w:pPr>
            <w:r w:rsidRPr="001D642A">
              <w:rPr>
                <w:rFonts w:ascii="Arial Narrow" w:hAnsi="Arial Narrow"/>
                <w:b/>
                <w:bCs/>
                <w:color w:val="000000"/>
                <w:kern w:val="0"/>
                <w:sz w:val="16"/>
                <w:szCs w:val="18"/>
              </w:rPr>
              <w:t>set-21</w:t>
            </w:r>
          </w:p>
        </w:tc>
        <w:tc>
          <w:tcPr>
            <w:tcW w:w="510" w:type="dxa"/>
            <w:tcBorders>
              <w:top w:val="single" w:sz="4" w:space="0" w:color="auto"/>
              <w:left w:val="nil"/>
              <w:bottom w:val="single" w:sz="4" w:space="0" w:color="auto"/>
              <w:right w:val="nil"/>
            </w:tcBorders>
            <w:shd w:val="clear" w:color="000000" w:fill="FFFFFF"/>
          </w:tcPr>
          <w:p w:rsidR="00A11573" w:rsidRPr="001D642A" w:rsidRDefault="00A11573" w:rsidP="00A11573">
            <w:pPr>
              <w:ind w:left="-153" w:right="-13"/>
              <w:jc w:val="right"/>
              <w:rPr>
                <w:rFonts w:ascii="Arial Narrow" w:hAnsi="Arial Narrow"/>
                <w:b/>
                <w:bCs/>
                <w:color w:val="000000"/>
                <w:kern w:val="0"/>
                <w:sz w:val="16"/>
                <w:szCs w:val="18"/>
              </w:rPr>
            </w:pPr>
            <w:r w:rsidRPr="001D642A">
              <w:rPr>
                <w:rFonts w:ascii="Arial Narrow" w:hAnsi="Arial Narrow"/>
                <w:b/>
                <w:bCs/>
                <w:color w:val="000000"/>
                <w:kern w:val="0"/>
                <w:sz w:val="16"/>
                <w:szCs w:val="18"/>
              </w:rPr>
              <w:t>ott-21</w:t>
            </w:r>
          </w:p>
        </w:tc>
        <w:tc>
          <w:tcPr>
            <w:tcW w:w="510" w:type="dxa"/>
            <w:tcBorders>
              <w:top w:val="single" w:sz="4" w:space="0" w:color="auto"/>
              <w:left w:val="nil"/>
              <w:bottom w:val="single" w:sz="4" w:space="0" w:color="auto"/>
              <w:right w:val="nil"/>
            </w:tcBorders>
            <w:shd w:val="clear" w:color="000000" w:fill="FFFFFF"/>
            <w:vAlign w:val="center"/>
          </w:tcPr>
          <w:p w:rsidR="00A11573" w:rsidRPr="001D642A" w:rsidRDefault="00A11573" w:rsidP="00A11573">
            <w:pPr>
              <w:ind w:left="-153" w:right="-13"/>
              <w:jc w:val="right"/>
              <w:rPr>
                <w:rFonts w:ascii="Arial Narrow" w:hAnsi="Arial Narrow"/>
                <w:b/>
                <w:bCs/>
                <w:color w:val="000000"/>
                <w:kern w:val="0"/>
                <w:sz w:val="16"/>
                <w:szCs w:val="18"/>
              </w:rPr>
            </w:pPr>
            <w:r w:rsidRPr="001D642A">
              <w:rPr>
                <w:rFonts w:ascii="Arial Narrow" w:hAnsi="Arial Narrow"/>
                <w:b/>
                <w:bCs/>
                <w:color w:val="000000"/>
                <w:kern w:val="0"/>
                <w:sz w:val="16"/>
                <w:szCs w:val="18"/>
              </w:rPr>
              <w:t>nov-21</w:t>
            </w:r>
          </w:p>
        </w:tc>
        <w:tc>
          <w:tcPr>
            <w:tcW w:w="510" w:type="dxa"/>
            <w:tcBorders>
              <w:top w:val="single" w:sz="4" w:space="0" w:color="auto"/>
              <w:left w:val="nil"/>
              <w:bottom w:val="single" w:sz="4" w:space="0" w:color="auto"/>
              <w:right w:val="nil"/>
            </w:tcBorders>
            <w:shd w:val="clear" w:color="000000" w:fill="FFFFFF"/>
          </w:tcPr>
          <w:p w:rsidR="00A11573" w:rsidRPr="001D642A" w:rsidRDefault="00A11573" w:rsidP="00A11573">
            <w:pPr>
              <w:ind w:left="-153" w:right="-13"/>
              <w:jc w:val="right"/>
              <w:rPr>
                <w:rFonts w:ascii="Arial Narrow" w:hAnsi="Arial Narrow"/>
                <w:b/>
                <w:bCs/>
                <w:color w:val="000000"/>
                <w:kern w:val="0"/>
                <w:sz w:val="16"/>
                <w:szCs w:val="18"/>
              </w:rPr>
            </w:pPr>
            <w:r w:rsidRPr="001D642A">
              <w:rPr>
                <w:rFonts w:ascii="Arial Narrow" w:hAnsi="Arial Narrow"/>
                <w:b/>
                <w:bCs/>
                <w:color w:val="000000"/>
                <w:kern w:val="0"/>
                <w:sz w:val="16"/>
                <w:szCs w:val="18"/>
              </w:rPr>
              <w:t>dic-21</w:t>
            </w:r>
          </w:p>
        </w:tc>
        <w:tc>
          <w:tcPr>
            <w:tcW w:w="510" w:type="dxa"/>
            <w:tcBorders>
              <w:top w:val="single" w:sz="4" w:space="0" w:color="auto"/>
              <w:left w:val="nil"/>
              <w:bottom w:val="single" w:sz="4" w:space="0" w:color="auto"/>
              <w:right w:val="nil"/>
            </w:tcBorders>
            <w:shd w:val="clear" w:color="000000" w:fill="FFFFFF"/>
          </w:tcPr>
          <w:p w:rsidR="00A11573" w:rsidRPr="001D642A" w:rsidRDefault="00A11573" w:rsidP="00A11573">
            <w:pPr>
              <w:ind w:left="-153" w:right="-13"/>
              <w:jc w:val="right"/>
              <w:rPr>
                <w:rFonts w:ascii="Arial Narrow" w:hAnsi="Arial Narrow"/>
                <w:b/>
                <w:bCs/>
                <w:color w:val="000000"/>
                <w:kern w:val="0"/>
                <w:sz w:val="16"/>
                <w:szCs w:val="18"/>
              </w:rPr>
            </w:pPr>
            <w:r w:rsidRPr="001D642A">
              <w:rPr>
                <w:rFonts w:ascii="Arial Narrow" w:hAnsi="Arial Narrow"/>
                <w:b/>
                <w:bCs/>
                <w:color w:val="000000"/>
                <w:kern w:val="0"/>
                <w:sz w:val="16"/>
                <w:szCs w:val="18"/>
              </w:rPr>
              <w:t>gen-22</w:t>
            </w:r>
          </w:p>
        </w:tc>
        <w:tc>
          <w:tcPr>
            <w:tcW w:w="510" w:type="dxa"/>
            <w:tcBorders>
              <w:top w:val="single" w:sz="4" w:space="0" w:color="auto"/>
              <w:left w:val="nil"/>
              <w:bottom w:val="single" w:sz="4" w:space="0" w:color="auto"/>
              <w:right w:val="nil"/>
            </w:tcBorders>
            <w:shd w:val="clear" w:color="000000" w:fill="FFFFFF"/>
          </w:tcPr>
          <w:p w:rsidR="00A11573" w:rsidRPr="001D642A" w:rsidRDefault="00A11573" w:rsidP="00A11573">
            <w:pPr>
              <w:ind w:left="-153" w:right="-13"/>
              <w:jc w:val="right"/>
              <w:rPr>
                <w:rFonts w:ascii="Arial Narrow" w:hAnsi="Arial Narrow"/>
                <w:b/>
                <w:bCs/>
                <w:color w:val="000000"/>
                <w:kern w:val="0"/>
                <w:sz w:val="16"/>
                <w:szCs w:val="18"/>
              </w:rPr>
            </w:pPr>
            <w:r w:rsidRPr="001D642A">
              <w:rPr>
                <w:rFonts w:ascii="Arial Narrow" w:hAnsi="Arial Narrow"/>
                <w:b/>
                <w:bCs/>
                <w:color w:val="000000"/>
                <w:kern w:val="0"/>
                <w:sz w:val="16"/>
                <w:szCs w:val="18"/>
              </w:rPr>
              <w:t>feb-22</w:t>
            </w:r>
          </w:p>
        </w:tc>
        <w:tc>
          <w:tcPr>
            <w:tcW w:w="510" w:type="dxa"/>
            <w:tcBorders>
              <w:top w:val="single" w:sz="4" w:space="0" w:color="auto"/>
              <w:left w:val="nil"/>
              <w:bottom w:val="single" w:sz="4" w:space="0" w:color="auto"/>
              <w:right w:val="nil"/>
            </w:tcBorders>
            <w:shd w:val="clear" w:color="000000" w:fill="FFFFFF"/>
            <w:vAlign w:val="center"/>
          </w:tcPr>
          <w:p w:rsidR="00A11573" w:rsidRPr="00363206" w:rsidRDefault="00A11573" w:rsidP="00A11573">
            <w:pPr>
              <w:ind w:left="-153" w:right="-13"/>
              <w:jc w:val="right"/>
              <w:rPr>
                <w:rFonts w:ascii="Arial Narrow" w:hAnsi="Arial Narrow"/>
                <w:b/>
                <w:bCs/>
                <w:color w:val="000000"/>
                <w:kern w:val="0"/>
                <w:sz w:val="16"/>
                <w:szCs w:val="18"/>
              </w:rPr>
            </w:pPr>
            <w:r w:rsidRPr="00363206">
              <w:rPr>
                <w:rFonts w:ascii="Arial Narrow" w:hAnsi="Arial Narrow"/>
                <w:b/>
                <w:bCs/>
                <w:color w:val="000000"/>
                <w:kern w:val="0"/>
                <w:sz w:val="16"/>
                <w:szCs w:val="18"/>
              </w:rPr>
              <w:t>mar-22</w:t>
            </w:r>
          </w:p>
        </w:tc>
        <w:tc>
          <w:tcPr>
            <w:tcW w:w="510" w:type="dxa"/>
            <w:tcBorders>
              <w:top w:val="single" w:sz="4" w:space="0" w:color="auto"/>
              <w:left w:val="nil"/>
              <w:bottom w:val="single" w:sz="4" w:space="0" w:color="auto"/>
              <w:right w:val="nil"/>
            </w:tcBorders>
            <w:shd w:val="clear" w:color="000000" w:fill="FFFFFF"/>
            <w:vAlign w:val="center"/>
          </w:tcPr>
          <w:p w:rsidR="00A11573" w:rsidRPr="00363206" w:rsidRDefault="00A11573" w:rsidP="00A11573">
            <w:pPr>
              <w:ind w:left="-153" w:right="-13"/>
              <w:jc w:val="right"/>
              <w:rPr>
                <w:rFonts w:ascii="Arial Narrow" w:hAnsi="Arial Narrow"/>
                <w:b/>
                <w:bCs/>
                <w:color w:val="000000"/>
                <w:kern w:val="0"/>
                <w:sz w:val="16"/>
                <w:szCs w:val="18"/>
              </w:rPr>
            </w:pPr>
            <w:r w:rsidRPr="00363206">
              <w:rPr>
                <w:rFonts w:ascii="Arial Narrow" w:hAnsi="Arial Narrow"/>
                <w:b/>
                <w:bCs/>
                <w:color w:val="000000"/>
                <w:kern w:val="0"/>
                <w:sz w:val="16"/>
                <w:szCs w:val="18"/>
              </w:rPr>
              <w:t xml:space="preserve">apr-22 </w:t>
            </w:r>
          </w:p>
        </w:tc>
        <w:tc>
          <w:tcPr>
            <w:tcW w:w="510" w:type="dxa"/>
            <w:tcBorders>
              <w:top w:val="single" w:sz="4" w:space="0" w:color="auto"/>
              <w:left w:val="nil"/>
              <w:bottom w:val="single" w:sz="4" w:space="0" w:color="auto"/>
              <w:right w:val="nil"/>
            </w:tcBorders>
            <w:shd w:val="clear" w:color="000000" w:fill="FFFFFF"/>
            <w:vAlign w:val="center"/>
          </w:tcPr>
          <w:p w:rsidR="00A11573" w:rsidRPr="006A00D9" w:rsidRDefault="00A11573" w:rsidP="00A11573">
            <w:pPr>
              <w:ind w:left="-153" w:right="-13"/>
              <w:jc w:val="right"/>
              <w:rPr>
                <w:rFonts w:ascii="Arial Narrow" w:hAnsi="Arial Narrow"/>
                <w:b/>
                <w:bCs/>
                <w:color w:val="000000"/>
                <w:kern w:val="0"/>
                <w:sz w:val="16"/>
                <w:szCs w:val="18"/>
              </w:rPr>
            </w:pPr>
            <w:r w:rsidRPr="006A00D9">
              <w:rPr>
                <w:rFonts w:ascii="Arial Narrow" w:hAnsi="Arial Narrow"/>
                <w:b/>
                <w:bCs/>
                <w:color w:val="000000"/>
                <w:kern w:val="0"/>
                <w:sz w:val="16"/>
                <w:szCs w:val="18"/>
              </w:rPr>
              <w:t>mag-22</w:t>
            </w:r>
          </w:p>
        </w:tc>
        <w:tc>
          <w:tcPr>
            <w:tcW w:w="510" w:type="dxa"/>
            <w:tcBorders>
              <w:top w:val="single" w:sz="4" w:space="0" w:color="auto"/>
              <w:left w:val="nil"/>
              <w:bottom w:val="single" w:sz="4" w:space="0" w:color="auto"/>
              <w:right w:val="nil"/>
            </w:tcBorders>
            <w:shd w:val="clear" w:color="000000" w:fill="FFFFFF"/>
            <w:vAlign w:val="center"/>
          </w:tcPr>
          <w:p w:rsidR="00A11573" w:rsidRDefault="00A11573" w:rsidP="00A11573">
            <w:pPr>
              <w:widowControl/>
              <w:overflowPunct/>
              <w:autoSpaceDE/>
              <w:autoSpaceDN/>
              <w:adjustRightInd/>
              <w:spacing w:before="0" w:after="0"/>
              <w:ind w:left="-132"/>
              <w:jc w:val="right"/>
              <w:rPr>
                <w:rFonts w:ascii="Arial Narrow" w:hAnsi="Arial Narrow"/>
                <w:b/>
                <w:bCs/>
                <w:color w:val="000000"/>
                <w:kern w:val="0"/>
                <w:sz w:val="18"/>
                <w:szCs w:val="18"/>
              </w:rPr>
            </w:pPr>
            <w:r>
              <w:rPr>
                <w:rFonts w:ascii="Arial Narrow" w:hAnsi="Arial Narrow"/>
                <w:b/>
                <w:bCs/>
                <w:color w:val="000000"/>
                <w:sz w:val="18"/>
                <w:szCs w:val="18"/>
              </w:rPr>
              <w:t>giu-22</w:t>
            </w:r>
          </w:p>
        </w:tc>
        <w:tc>
          <w:tcPr>
            <w:tcW w:w="510" w:type="dxa"/>
            <w:tcBorders>
              <w:top w:val="single" w:sz="4" w:space="0" w:color="auto"/>
              <w:left w:val="nil"/>
              <w:bottom w:val="single" w:sz="4" w:space="0" w:color="auto"/>
              <w:right w:val="nil"/>
            </w:tcBorders>
            <w:shd w:val="clear" w:color="000000" w:fill="FFFFFF"/>
          </w:tcPr>
          <w:p w:rsidR="00A11573" w:rsidRPr="001D642A" w:rsidRDefault="00A11573" w:rsidP="00A11573">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lug-22</w:t>
            </w:r>
          </w:p>
        </w:tc>
        <w:tc>
          <w:tcPr>
            <w:tcW w:w="567" w:type="dxa"/>
            <w:tcBorders>
              <w:top w:val="single" w:sz="4" w:space="0" w:color="auto"/>
              <w:left w:val="nil"/>
              <w:bottom w:val="single" w:sz="4" w:space="0" w:color="auto"/>
              <w:right w:val="nil"/>
            </w:tcBorders>
            <w:shd w:val="clear" w:color="000000" w:fill="FFFFFF"/>
            <w:vAlign w:val="center"/>
          </w:tcPr>
          <w:p w:rsidR="00A11573" w:rsidRDefault="00A11573" w:rsidP="00A11573">
            <w:pPr>
              <w:ind w:left="-153" w:right="-13"/>
              <w:jc w:val="right"/>
              <w:rPr>
                <w:rFonts w:ascii="Arial Narrow" w:hAnsi="Arial Narrow"/>
                <w:b/>
                <w:bCs/>
                <w:color w:val="000000"/>
                <w:kern w:val="0"/>
                <w:sz w:val="18"/>
                <w:szCs w:val="18"/>
              </w:rPr>
            </w:pPr>
            <w:r w:rsidRPr="009158DE">
              <w:rPr>
                <w:rFonts w:ascii="Arial Narrow" w:hAnsi="Arial Narrow"/>
                <w:b/>
                <w:bCs/>
                <w:color w:val="000000"/>
                <w:kern w:val="0"/>
                <w:sz w:val="16"/>
                <w:szCs w:val="18"/>
              </w:rPr>
              <w:t>ago-22</w:t>
            </w:r>
          </w:p>
        </w:tc>
        <w:tc>
          <w:tcPr>
            <w:tcW w:w="567" w:type="dxa"/>
            <w:tcBorders>
              <w:top w:val="single" w:sz="4" w:space="0" w:color="auto"/>
              <w:left w:val="nil"/>
              <w:bottom w:val="single" w:sz="4" w:space="0" w:color="auto"/>
              <w:right w:val="nil"/>
            </w:tcBorders>
            <w:shd w:val="clear" w:color="000000" w:fill="FFFFFF"/>
            <w:vAlign w:val="center"/>
          </w:tcPr>
          <w:p w:rsidR="00A11573" w:rsidRDefault="00A11573" w:rsidP="00A11573">
            <w:pPr>
              <w:widowControl/>
              <w:overflowPunct/>
              <w:autoSpaceDE/>
              <w:autoSpaceDN/>
              <w:adjustRightInd/>
              <w:spacing w:before="0" w:after="0"/>
              <w:ind w:left="-132"/>
              <w:jc w:val="right"/>
              <w:rPr>
                <w:rFonts w:ascii="Arial Narrow" w:hAnsi="Arial Narrow"/>
                <w:b/>
                <w:bCs/>
                <w:color w:val="000000"/>
                <w:kern w:val="0"/>
                <w:sz w:val="18"/>
                <w:szCs w:val="18"/>
              </w:rPr>
            </w:pPr>
            <w:r>
              <w:rPr>
                <w:rFonts w:ascii="Arial Narrow" w:hAnsi="Arial Narrow"/>
                <w:b/>
                <w:bCs/>
                <w:color w:val="000000"/>
                <w:sz w:val="18"/>
                <w:szCs w:val="18"/>
              </w:rPr>
              <w:t>set-22</w:t>
            </w:r>
          </w:p>
        </w:tc>
      </w:tr>
      <w:tr w:rsidR="00C8411E" w:rsidRPr="001D642A" w:rsidTr="006966F0">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Beni alimentari (incluse bevande alcoliche) e tabacchi, di cui:</w:t>
            </w: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1,2</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1,1</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2,5</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3,4</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4,3</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5,1</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5,8</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6,5</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8,0</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8,8</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9,3</w:t>
            </w:r>
          </w:p>
        </w:tc>
        <w:tc>
          <w:tcPr>
            <w:tcW w:w="567" w:type="dxa"/>
            <w:tcBorders>
              <w:top w:val="nil"/>
              <w:left w:val="nil"/>
              <w:bottom w:val="single" w:sz="4" w:space="0" w:color="auto"/>
              <w:right w:val="nil"/>
            </w:tcBorders>
            <w:shd w:val="clear" w:color="000000" w:fill="FFFFFF"/>
            <w:vAlign w:val="center"/>
          </w:tcPr>
          <w:p w:rsidR="00C8411E" w:rsidRP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10,4</w:t>
            </w:r>
          </w:p>
        </w:tc>
      </w:tr>
      <w:tr w:rsidR="00C8411E" w:rsidRPr="001D642A" w:rsidTr="006966F0">
        <w:trPr>
          <w:trHeight w:val="255"/>
          <w:jc w:val="center"/>
        </w:trPr>
        <w:tc>
          <w:tcPr>
            <w:tcW w:w="3261" w:type="dxa"/>
            <w:vMerge/>
            <w:tcBorders>
              <w:top w:val="nil"/>
              <w:left w:val="nil"/>
              <w:bottom w:val="single" w:sz="4" w:space="0" w:color="000000"/>
              <w:right w:val="nil"/>
            </w:tcBorders>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1,0</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0,9</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1,2</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2,5</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3,2</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4,2</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5,0</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5,5</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6,4</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7,9</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8,8</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9,2</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10,2</w:t>
            </w:r>
          </w:p>
        </w:tc>
      </w:tr>
      <w:tr w:rsidR="00C8411E" w:rsidRPr="001D642A" w:rsidTr="006966F0">
        <w:trPr>
          <w:trHeight w:val="255"/>
          <w:jc w:val="center"/>
        </w:trPr>
        <w:tc>
          <w:tcPr>
            <w:tcW w:w="3261" w:type="dxa"/>
            <w:vMerge w:val="restart"/>
            <w:tcBorders>
              <w:top w:val="nil"/>
              <w:left w:val="nil"/>
              <w:bottom w:val="nil"/>
              <w:right w:val="nil"/>
            </w:tcBorders>
            <w:shd w:val="clear" w:color="000000" w:fill="FFFFFF"/>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 xml:space="preserve">    Alimentari lavorati</w:t>
            </w: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1,2</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1,7</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2,1</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2,8</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3,4</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4,6</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5,7</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7,0</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8,1</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8,9</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10,0</w:t>
            </w:r>
          </w:p>
        </w:tc>
      </w:tr>
      <w:tr w:rsidR="00C8411E" w:rsidRPr="001D642A" w:rsidTr="006966F0">
        <w:trPr>
          <w:trHeight w:val="255"/>
          <w:jc w:val="center"/>
        </w:trPr>
        <w:tc>
          <w:tcPr>
            <w:tcW w:w="3261" w:type="dxa"/>
            <w:vMerge/>
            <w:tcBorders>
              <w:top w:val="nil"/>
              <w:left w:val="nil"/>
              <w:bottom w:val="nil"/>
              <w:right w:val="nil"/>
            </w:tcBorders>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0,9</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1,0</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1,2</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1,7</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1,9</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2,7</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3,4</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4,2</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5,6</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6,9</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8,1</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8,8</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9,8</w:t>
            </w:r>
          </w:p>
        </w:tc>
      </w:tr>
      <w:tr w:rsidR="00C8411E" w:rsidRPr="001D642A" w:rsidTr="006966F0">
        <w:trPr>
          <w:trHeight w:val="127"/>
          <w:jc w:val="center"/>
        </w:trPr>
        <w:tc>
          <w:tcPr>
            <w:tcW w:w="3261" w:type="dxa"/>
            <w:vMerge w:val="restart"/>
            <w:tcBorders>
              <w:top w:val="single" w:sz="4" w:space="0" w:color="auto"/>
              <w:left w:val="nil"/>
              <w:bottom w:val="single" w:sz="4" w:space="0" w:color="000000"/>
              <w:right w:val="nil"/>
            </w:tcBorders>
            <w:shd w:val="clear" w:color="000000" w:fill="FFFFFF"/>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 xml:space="preserve">    Alimentari non lavorati</w:t>
            </w: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1,2</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0,9</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3,9</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6,1</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7,7</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8,8</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8,7</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8,6</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10,3</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10,1</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10,1</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11,4</w:t>
            </w:r>
          </w:p>
        </w:tc>
      </w:tr>
      <w:tr w:rsidR="00C8411E" w:rsidRPr="001D642A" w:rsidTr="006966F0">
        <w:trPr>
          <w:trHeight w:val="255"/>
          <w:jc w:val="center"/>
        </w:trPr>
        <w:tc>
          <w:tcPr>
            <w:tcW w:w="3261" w:type="dxa"/>
            <w:vMerge/>
            <w:tcBorders>
              <w:top w:val="single" w:sz="4" w:space="0" w:color="auto"/>
              <w:left w:val="nil"/>
              <w:bottom w:val="single" w:sz="4" w:space="0" w:color="000000"/>
              <w:right w:val="nil"/>
            </w:tcBorders>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1,2</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0,9</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4,0</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6,1</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7,8</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8,8</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8,7</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8,6</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10,3</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10,1</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10,1</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11,4</w:t>
            </w:r>
          </w:p>
        </w:tc>
      </w:tr>
      <w:tr w:rsidR="00C8411E" w:rsidRPr="001D642A" w:rsidTr="006966F0">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Energia</w:t>
            </w: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20,5</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23,4</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31,2</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29,6</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39,0</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46,4</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53,5</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42,8</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42,6</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49,1</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43,3</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45,4</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45,0</w:t>
            </w:r>
          </w:p>
        </w:tc>
      </w:tr>
      <w:tr w:rsidR="00C8411E" w:rsidRPr="001D642A" w:rsidTr="006966F0">
        <w:trPr>
          <w:trHeight w:val="255"/>
          <w:jc w:val="center"/>
        </w:trPr>
        <w:tc>
          <w:tcPr>
            <w:tcW w:w="3261" w:type="dxa"/>
            <w:vMerge/>
            <w:tcBorders>
              <w:top w:val="nil"/>
              <w:left w:val="nil"/>
              <w:bottom w:val="single" w:sz="4" w:space="0" w:color="000000"/>
              <w:right w:val="nil"/>
            </w:tcBorders>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20,5</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25,3</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31,2</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29,6</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39,1</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46,5</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51,5</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40,0</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42,9</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49,1</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43,</w:t>
            </w:r>
            <w:r>
              <w:rPr>
                <w:rFonts w:ascii="Arial Narrow" w:hAnsi="Arial Narrow"/>
                <w:color w:val="000000"/>
                <w:sz w:val="18"/>
                <w:szCs w:val="18"/>
              </w:rPr>
              <w:t>4</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45,4</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45,0</w:t>
            </w:r>
          </w:p>
        </w:tc>
      </w:tr>
      <w:tr w:rsidR="00C8411E" w:rsidRPr="001D642A" w:rsidTr="006966F0">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Beni industriali non energetici</w:t>
            </w: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1,7</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0,9</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0,8</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1,1</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1,1</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2,1</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2,6</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3,0</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2,5</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3,8</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4,4</w:t>
            </w:r>
          </w:p>
        </w:tc>
      </w:tr>
      <w:tr w:rsidR="00C8411E" w:rsidRPr="001D642A" w:rsidTr="006966F0">
        <w:trPr>
          <w:trHeight w:val="255"/>
          <w:jc w:val="center"/>
        </w:trPr>
        <w:tc>
          <w:tcPr>
            <w:tcW w:w="3261" w:type="dxa"/>
            <w:vMerge/>
            <w:tcBorders>
              <w:top w:val="nil"/>
              <w:left w:val="nil"/>
              <w:bottom w:val="single" w:sz="4" w:space="0" w:color="000000"/>
              <w:right w:val="nil"/>
            </w:tcBorders>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1,6</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0,8</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0,6</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1,1</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0,3</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2,1</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2,6</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2,9</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2,5</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4,1</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4,4</w:t>
            </w:r>
          </w:p>
        </w:tc>
      </w:tr>
      <w:tr w:rsidR="00C8411E" w:rsidRPr="001D642A" w:rsidTr="006966F0">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Servizi</w:t>
            </w: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1,7</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1,9</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2,0</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1,9</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2,3</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3,3</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3,7</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4,0</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4,0</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4,4</w:t>
            </w:r>
          </w:p>
        </w:tc>
      </w:tr>
      <w:tr w:rsidR="00C8411E" w:rsidRPr="001D642A" w:rsidTr="006966F0">
        <w:trPr>
          <w:trHeight w:val="255"/>
          <w:jc w:val="center"/>
        </w:trPr>
        <w:tc>
          <w:tcPr>
            <w:tcW w:w="3261" w:type="dxa"/>
            <w:vMerge/>
            <w:tcBorders>
              <w:top w:val="nil"/>
              <w:left w:val="nil"/>
              <w:bottom w:val="single" w:sz="4" w:space="0" w:color="000000"/>
              <w:right w:val="nil"/>
            </w:tcBorders>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1,7</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2,0</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1,9</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2,0</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2,4</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3,3</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3,7</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4,0</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4,0</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4,4</w:t>
            </w:r>
          </w:p>
        </w:tc>
      </w:tr>
      <w:tr w:rsidR="00C8411E" w:rsidRPr="001D642A" w:rsidTr="006966F0">
        <w:trPr>
          <w:trHeight w:val="255"/>
          <w:jc w:val="center"/>
        </w:trPr>
        <w:tc>
          <w:tcPr>
            <w:tcW w:w="3261" w:type="dxa"/>
            <w:vMerge w:val="restart"/>
            <w:tcBorders>
              <w:top w:val="nil"/>
              <w:left w:val="nil"/>
              <w:bottom w:val="single" w:sz="4" w:space="0" w:color="000000"/>
              <w:right w:val="nil"/>
            </w:tcBorders>
            <w:shd w:val="clear" w:color="000000" w:fill="FF0000"/>
            <w:vAlign w:val="center"/>
            <w:hideMark/>
          </w:tcPr>
          <w:p w:rsidR="00C8411E" w:rsidRPr="001D642A" w:rsidRDefault="00C8411E" w:rsidP="00C8411E">
            <w:pPr>
              <w:widowControl/>
              <w:overflowPunct/>
              <w:autoSpaceDE/>
              <w:autoSpaceDN/>
              <w:adjustRightInd/>
              <w:spacing w:before="0" w:after="0"/>
              <w:rPr>
                <w:rFonts w:ascii="Arial Narrow" w:hAnsi="Arial Narrow"/>
                <w:b/>
                <w:bCs/>
                <w:color w:val="FFFFFF"/>
                <w:kern w:val="0"/>
                <w:sz w:val="18"/>
                <w:szCs w:val="18"/>
              </w:rPr>
            </w:pPr>
            <w:r w:rsidRPr="001D642A">
              <w:rPr>
                <w:rFonts w:ascii="Arial Narrow" w:hAnsi="Arial Narrow"/>
                <w:b/>
                <w:bCs/>
                <w:color w:val="FFFFFF"/>
                <w:kern w:val="0"/>
                <w:sz w:val="18"/>
                <w:szCs w:val="18"/>
              </w:rPr>
              <w:t>Indice generale</w:t>
            </w: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3,0</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3,1</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4,0</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4,2</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5,3</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6,2</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b/>
                <w:color w:val="000000"/>
                <w:sz w:val="18"/>
                <w:szCs w:val="18"/>
              </w:rPr>
            </w:pPr>
            <w:r w:rsidRPr="00E31451">
              <w:rPr>
                <w:rFonts w:ascii="Arial Narrow" w:hAnsi="Arial Narrow"/>
                <w:b/>
                <w:color w:val="000000"/>
                <w:sz w:val="18"/>
                <w:szCs w:val="18"/>
              </w:rPr>
              <w:t>7,0</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b/>
                <w:color w:val="000000"/>
                <w:sz w:val="18"/>
                <w:szCs w:val="18"/>
              </w:rPr>
            </w:pPr>
            <w:r w:rsidRPr="00BB1420">
              <w:rPr>
                <w:rFonts w:ascii="Arial Narrow" w:hAnsi="Arial Narrow"/>
                <w:b/>
                <w:color w:val="000000"/>
                <w:sz w:val="18"/>
                <w:szCs w:val="18"/>
              </w:rPr>
              <w:t>6,6</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b/>
                <w:color w:val="000000"/>
                <w:sz w:val="18"/>
                <w:szCs w:val="18"/>
              </w:rPr>
            </w:pPr>
            <w:r w:rsidRPr="006A00D9">
              <w:rPr>
                <w:rFonts w:ascii="Arial Narrow" w:hAnsi="Arial Narrow"/>
                <w:b/>
                <w:color w:val="000000"/>
                <w:sz w:val="18"/>
                <w:szCs w:val="18"/>
              </w:rPr>
              <w:t>7,3</w:t>
            </w:r>
          </w:p>
        </w:tc>
        <w:tc>
          <w:tcPr>
            <w:tcW w:w="510" w:type="dxa"/>
            <w:tcBorders>
              <w:top w:val="nil"/>
              <w:left w:val="nil"/>
              <w:bottom w:val="single" w:sz="4" w:space="0" w:color="auto"/>
              <w:right w:val="nil"/>
            </w:tcBorders>
            <w:shd w:val="clear" w:color="000000" w:fill="FFFFFF"/>
            <w:vAlign w:val="center"/>
          </w:tcPr>
          <w:p w:rsidR="00C8411E" w:rsidRPr="00D25BC6" w:rsidRDefault="00C8411E" w:rsidP="00C8411E">
            <w:pPr>
              <w:widowControl/>
              <w:overflowPunct/>
              <w:autoSpaceDE/>
              <w:autoSpaceDN/>
              <w:adjustRightInd/>
              <w:spacing w:before="0" w:after="0"/>
              <w:jc w:val="right"/>
              <w:rPr>
                <w:rFonts w:ascii="Arial Narrow" w:hAnsi="Arial Narrow"/>
                <w:b/>
                <w:color w:val="000000"/>
                <w:sz w:val="18"/>
                <w:szCs w:val="18"/>
              </w:rPr>
            </w:pPr>
            <w:r w:rsidRPr="00D25BC6">
              <w:rPr>
                <w:rFonts w:ascii="Arial Narrow" w:hAnsi="Arial Narrow"/>
                <w:b/>
                <w:color w:val="000000"/>
                <w:sz w:val="18"/>
                <w:szCs w:val="18"/>
              </w:rPr>
              <w:t>8</w:t>
            </w:r>
            <w:r>
              <w:rPr>
                <w:rFonts w:ascii="Arial Narrow" w:hAnsi="Arial Narrow"/>
                <w:b/>
                <w:color w:val="000000"/>
                <w:sz w:val="18"/>
                <w:szCs w:val="18"/>
              </w:rPr>
              <w:t>,</w:t>
            </w:r>
            <w:r w:rsidRPr="00D25BC6">
              <w:rPr>
                <w:rFonts w:ascii="Arial Narrow" w:hAnsi="Arial Narrow"/>
                <w:b/>
                <w:color w:val="000000"/>
                <w:sz w:val="18"/>
                <w:szCs w:val="18"/>
              </w:rPr>
              <w:t>5</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b/>
                <w:color w:val="000000"/>
                <w:sz w:val="18"/>
                <w:szCs w:val="18"/>
              </w:rPr>
            </w:pPr>
            <w:r w:rsidRPr="009A6FDB">
              <w:rPr>
                <w:rFonts w:ascii="Arial Narrow" w:hAnsi="Arial Narrow"/>
                <w:b/>
                <w:color w:val="000000"/>
                <w:sz w:val="18"/>
                <w:szCs w:val="18"/>
              </w:rPr>
              <w:t>8,4</w:t>
            </w:r>
          </w:p>
        </w:tc>
        <w:tc>
          <w:tcPr>
            <w:tcW w:w="567" w:type="dxa"/>
            <w:tcBorders>
              <w:top w:val="nil"/>
              <w:left w:val="nil"/>
              <w:bottom w:val="single" w:sz="4" w:space="0" w:color="auto"/>
              <w:right w:val="nil"/>
            </w:tcBorders>
            <w:shd w:val="clear" w:color="000000" w:fill="FFFFFF"/>
            <w:vAlign w:val="center"/>
          </w:tcPr>
          <w:p w:rsidR="00C8411E" w:rsidRPr="009158DE" w:rsidRDefault="00C8411E" w:rsidP="00C8411E">
            <w:pPr>
              <w:widowControl/>
              <w:overflowPunct/>
              <w:autoSpaceDE/>
              <w:autoSpaceDN/>
              <w:adjustRightInd/>
              <w:spacing w:before="0" w:after="0"/>
              <w:jc w:val="right"/>
              <w:rPr>
                <w:rFonts w:ascii="Arial Narrow" w:hAnsi="Arial Narrow"/>
                <w:b/>
                <w:color w:val="000000"/>
                <w:sz w:val="18"/>
                <w:szCs w:val="18"/>
              </w:rPr>
            </w:pPr>
            <w:r w:rsidRPr="009158DE">
              <w:rPr>
                <w:rFonts w:ascii="Arial Narrow" w:hAnsi="Arial Narrow"/>
                <w:b/>
                <w:color w:val="000000"/>
                <w:sz w:val="18"/>
                <w:szCs w:val="18"/>
              </w:rPr>
              <w:t>9,0</w:t>
            </w:r>
          </w:p>
        </w:tc>
        <w:tc>
          <w:tcPr>
            <w:tcW w:w="567" w:type="dxa"/>
            <w:tcBorders>
              <w:top w:val="nil"/>
              <w:left w:val="nil"/>
              <w:bottom w:val="single" w:sz="4" w:space="0" w:color="auto"/>
              <w:right w:val="nil"/>
            </w:tcBorders>
            <w:shd w:val="clear" w:color="000000" w:fill="FFFFFF"/>
            <w:vAlign w:val="center"/>
          </w:tcPr>
          <w:p w:rsidR="00C8411E" w:rsidRPr="00C8411E" w:rsidRDefault="00C8411E" w:rsidP="00C8411E">
            <w:pPr>
              <w:widowControl/>
              <w:overflowPunct/>
              <w:autoSpaceDE/>
              <w:autoSpaceDN/>
              <w:adjustRightInd/>
              <w:spacing w:before="0" w:after="0"/>
              <w:jc w:val="right"/>
              <w:rPr>
                <w:rFonts w:ascii="Arial Narrow" w:hAnsi="Arial Narrow"/>
                <w:b/>
                <w:color w:val="000000"/>
                <w:sz w:val="18"/>
                <w:szCs w:val="18"/>
              </w:rPr>
            </w:pPr>
            <w:r w:rsidRPr="00C8411E">
              <w:rPr>
                <w:rFonts w:ascii="Arial Narrow" w:hAnsi="Arial Narrow"/>
                <w:b/>
                <w:color w:val="000000"/>
                <w:sz w:val="18"/>
                <w:szCs w:val="18"/>
              </w:rPr>
              <w:t>9,5</w:t>
            </w:r>
          </w:p>
        </w:tc>
      </w:tr>
      <w:tr w:rsidR="00C8411E" w:rsidRPr="001D642A" w:rsidTr="006966F0">
        <w:trPr>
          <w:trHeight w:val="255"/>
          <w:jc w:val="center"/>
        </w:trPr>
        <w:tc>
          <w:tcPr>
            <w:tcW w:w="3261" w:type="dxa"/>
            <w:vMerge/>
            <w:tcBorders>
              <w:top w:val="nil"/>
              <w:left w:val="nil"/>
              <w:bottom w:val="single" w:sz="4" w:space="0" w:color="000000"/>
              <w:right w:val="nil"/>
            </w:tcBorders>
            <w:vAlign w:val="center"/>
            <w:hideMark/>
          </w:tcPr>
          <w:p w:rsidR="00C8411E" w:rsidRPr="001D642A" w:rsidRDefault="00C8411E" w:rsidP="00C8411E">
            <w:pPr>
              <w:widowControl/>
              <w:overflowPunct/>
              <w:autoSpaceDE/>
              <w:autoSpaceDN/>
              <w:adjustRightInd/>
              <w:spacing w:before="0" w:after="0"/>
              <w:rPr>
                <w:rFonts w:ascii="Arial Narrow" w:hAnsi="Arial Narrow"/>
                <w:b/>
                <w:bCs/>
                <w:color w:val="FFFFFF"/>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2,9</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3,2</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3,9</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4,2</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5,1</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b/>
                <w:color w:val="000000"/>
                <w:sz w:val="18"/>
                <w:szCs w:val="18"/>
              </w:rPr>
            </w:pPr>
            <w:r w:rsidRPr="001D642A">
              <w:rPr>
                <w:rFonts w:ascii="Arial Narrow" w:hAnsi="Arial Narrow"/>
                <w:b/>
                <w:color w:val="000000"/>
                <w:sz w:val="18"/>
                <w:szCs w:val="18"/>
              </w:rPr>
              <w:t>6,2</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b/>
                <w:color w:val="000000"/>
                <w:sz w:val="18"/>
                <w:szCs w:val="18"/>
              </w:rPr>
            </w:pPr>
            <w:r w:rsidRPr="00E31451">
              <w:rPr>
                <w:rFonts w:ascii="Arial Narrow" w:hAnsi="Arial Narrow"/>
                <w:b/>
                <w:color w:val="000000"/>
                <w:sz w:val="18"/>
                <w:szCs w:val="18"/>
              </w:rPr>
              <w:t>6,8</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b/>
                <w:color w:val="000000"/>
                <w:sz w:val="18"/>
                <w:szCs w:val="18"/>
              </w:rPr>
            </w:pPr>
            <w:r w:rsidRPr="00BB1420">
              <w:rPr>
                <w:rFonts w:ascii="Arial Narrow" w:hAnsi="Arial Narrow"/>
                <w:b/>
                <w:color w:val="000000"/>
                <w:sz w:val="18"/>
                <w:szCs w:val="18"/>
              </w:rPr>
              <w:t>6,3</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b/>
                <w:color w:val="000000"/>
                <w:sz w:val="18"/>
                <w:szCs w:val="18"/>
              </w:rPr>
            </w:pPr>
            <w:r w:rsidRPr="006A00D9">
              <w:rPr>
                <w:rFonts w:ascii="Arial Narrow" w:hAnsi="Arial Narrow"/>
                <w:b/>
                <w:color w:val="000000"/>
                <w:sz w:val="18"/>
                <w:szCs w:val="18"/>
              </w:rPr>
              <w:t>7,3</w:t>
            </w:r>
          </w:p>
        </w:tc>
        <w:tc>
          <w:tcPr>
            <w:tcW w:w="510" w:type="dxa"/>
            <w:tcBorders>
              <w:top w:val="nil"/>
              <w:left w:val="nil"/>
              <w:bottom w:val="single" w:sz="4" w:space="0" w:color="auto"/>
              <w:right w:val="nil"/>
            </w:tcBorders>
            <w:shd w:val="clear" w:color="000000" w:fill="FFFFFF"/>
            <w:vAlign w:val="center"/>
          </w:tcPr>
          <w:p w:rsidR="00C8411E" w:rsidRPr="00D25BC6" w:rsidRDefault="00C8411E" w:rsidP="00C8411E">
            <w:pPr>
              <w:widowControl/>
              <w:overflowPunct/>
              <w:autoSpaceDE/>
              <w:autoSpaceDN/>
              <w:adjustRightInd/>
              <w:spacing w:before="0" w:after="0"/>
              <w:jc w:val="right"/>
              <w:rPr>
                <w:rFonts w:ascii="Arial Narrow" w:hAnsi="Arial Narrow"/>
                <w:b/>
                <w:color w:val="000000"/>
                <w:sz w:val="18"/>
                <w:szCs w:val="18"/>
              </w:rPr>
            </w:pPr>
            <w:r w:rsidRPr="00D25BC6">
              <w:rPr>
                <w:rFonts w:ascii="Arial Narrow" w:hAnsi="Arial Narrow"/>
                <w:b/>
                <w:color w:val="000000"/>
                <w:sz w:val="18"/>
                <w:szCs w:val="18"/>
              </w:rPr>
              <w:t>8</w:t>
            </w:r>
            <w:r>
              <w:rPr>
                <w:rFonts w:ascii="Arial Narrow" w:hAnsi="Arial Narrow"/>
                <w:b/>
                <w:color w:val="000000"/>
                <w:sz w:val="18"/>
                <w:szCs w:val="18"/>
              </w:rPr>
              <w:t>,</w:t>
            </w:r>
            <w:r w:rsidRPr="00D25BC6">
              <w:rPr>
                <w:rFonts w:ascii="Arial Narrow" w:hAnsi="Arial Narrow"/>
                <w:b/>
                <w:color w:val="000000"/>
                <w:sz w:val="18"/>
                <w:szCs w:val="18"/>
              </w:rPr>
              <w:t>5</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b/>
                <w:color w:val="000000"/>
                <w:sz w:val="18"/>
                <w:szCs w:val="18"/>
              </w:rPr>
            </w:pPr>
            <w:r w:rsidRPr="009A6FDB">
              <w:rPr>
                <w:rFonts w:ascii="Arial Narrow" w:hAnsi="Arial Narrow"/>
                <w:b/>
                <w:color w:val="000000"/>
                <w:sz w:val="18"/>
                <w:szCs w:val="18"/>
              </w:rPr>
              <w:t>8,4</w:t>
            </w:r>
          </w:p>
        </w:tc>
        <w:tc>
          <w:tcPr>
            <w:tcW w:w="567" w:type="dxa"/>
            <w:tcBorders>
              <w:top w:val="nil"/>
              <w:left w:val="nil"/>
              <w:bottom w:val="single" w:sz="4" w:space="0" w:color="auto"/>
              <w:right w:val="nil"/>
            </w:tcBorders>
            <w:shd w:val="clear" w:color="000000" w:fill="FFFFFF"/>
            <w:vAlign w:val="center"/>
          </w:tcPr>
          <w:p w:rsidR="00C8411E" w:rsidRPr="009158DE" w:rsidRDefault="00C8411E" w:rsidP="00C8411E">
            <w:pPr>
              <w:widowControl/>
              <w:overflowPunct/>
              <w:autoSpaceDE/>
              <w:autoSpaceDN/>
              <w:adjustRightInd/>
              <w:spacing w:before="0" w:after="0"/>
              <w:jc w:val="right"/>
              <w:rPr>
                <w:rFonts w:ascii="Arial Narrow" w:hAnsi="Arial Narrow"/>
                <w:b/>
                <w:color w:val="000000"/>
                <w:sz w:val="18"/>
                <w:szCs w:val="18"/>
              </w:rPr>
            </w:pPr>
            <w:r w:rsidRPr="009158DE">
              <w:rPr>
                <w:rFonts w:ascii="Arial Narrow" w:hAnsi="Arial Narrow"/>
                <w:b/>
                <w:color w:val="000000"/>
                <w:sz w:val="18"/>
                <w:szCs w:val="18"/>
              </w:rPr>
              <w:t>9,1</w:t>
            </w:r>
          </w:p>
        </w:tc>
        <w:tc>
          <w:tcPr>
            <w:tcW w:w="567" w:type="dxa"/>
            <w:tcBorders>
              <w:top w:val="nil"/>
              <w:left w:val="nil"/>
              <w:bottom w:val="single" w:sz="4" w:space="0" w:color="auto"/>
              <w:right w:val="nil"/>
            </w:tcBorders>
            <w:shd w:val="clear" w:color="000000" w:fill="FFFFFF"/>
            <w:vAlign w:val="center"/>
          </w:tcPr>
          <w:p w:rsidR="00C8411E" w:rsidRPr="00C8411E" w:rsidRDefault="00C8411E" w:rsidP="00C8411E">
            <w:pPr>
              <w:widowControl/>
              <w:overflowPunct/>
              <w:autoSpaceDE/>
              <w:autoSpaceDN/>
              <w:adjustRightInd/>
              <w:spacing w:before="0" w:after="0"/>
              <w:jc w:val="right"/>
              <w:rPr>
                <w:rFonts w:ascii="Arial Narrow" w:hAnsi="Arial Narrow"/>
                <w:b/>
                <w:color w:val="000000"/>
                <w:sz w:val="18"/>
                <w:szCs w:val="18"/>
              </w:rPr>
            </w:pPr>
            <w:r w:rsidRPr="00C8411E">
              <w:rPr>
                <w:rFonts w:ascii="Arial Narrow" w:hAnsi="Arial Narrow"/>
                <w:b/>
                <w:color w:val="000000"/>
                <w:sz w:val="18"/>
                <w:szCs w:val="18"/>
              </w:rPr>
              <w:t>9,4</w:t>
            </w:r>
          </w:p>
        </w:tc>
      </w:tr>
      <w:tr w:rsidR="00C8411E" w:rsidRPr="001D642A" w:rsidTr="006966F0">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Indice generale al netto dell’energia e degli alimentari freschi (Componente di fondo)</w:t>
            </w: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1,5</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1,5</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1,9</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2,1</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2,7</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3,4</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4,1</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4,3</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4,8</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5,4</w:t>
            </w:r>
          </w:p>
        </w:tc>
      </w:tr>
      <w:tr w:rsidR="00C8411E" w:rsidRPr="001D642A" w:rsidTr="006966F0">
        <w:trPr>
          <w:trHeight w:val="255"/>
          <w:jc w:val="center"/>
        </w:trPr>
        <w:tc>
          <w:tcPr>
            <w:tcW w:w="3261" w:type="dxa"/>
            <w:vMerge/>
            <w:tcBorders>
              <w:top w:val="nil"/>
              <w:left w:val="nil"/>
              <w:bottom w:val="single" w:sz="4" w:space="0" w:color="000000"/>
              <w:right w:val="nil"/>
            </w:tcBorders>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1,2</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1,5</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1,5</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1,9</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2,1</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2,6</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3,4</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4,0</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4,3</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4,9</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5,3</w:t>
            </w:r>
          </w:p>
        </w:tc>
      </w:tr>
      <w:tr w:rsidR="00C8411E" w:rsidRPr="001D642A" w:rsidTr="006966F0">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C8411E" w:rsidRPr="001D642A" w:rsidRDefault="00C8411E" w:rsidP="00C8411E">
            <w:pPr>
              <w:widowControl/>
              <w:overflowPunct/>
              <w:autoSpaceDE/>
              <w:autoSpaceDN/>
              <w:adjustRightInd/>
              <w:spacing w:before="0" w:after="0"/>
              <w:ind w:right="-70"/>
              <w:rPr>
                <w:rFonts w:ascii="Arial Narrow" w:hAnsi="Arial Narrow"/>
                <w:color w:val="000000"/>
                <w:kern w:val="0"/>
                <w:sz w:val="18"/>
                <w:szCs w:val="18"/>
              </w:rPr>
            </w:pPr>
            <w:r w:rsidRPr="001D642A">
              <w:rPr>
                <w:rFonts w:ascii="Arial Narrow" w:hAnsi="Arial Narrow"/>
                <w:color w:val="000000"/>
                <w:kern w:val="0"/>
                <w:sz w:val="18"/>
                <w:szCs w:val="18"/>
              </w:rPr>
              <w:t>Indice generale al netto di energia, alimentari (incluse bevande alcoliche) e tabacchi</w:t>
            </w: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1,5</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1,5</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1,6</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1,7</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2,2</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2,9</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3,4</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3,4</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3,9</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4,4</w:t>
            </w:r>
          </w:p>
        </w:tc>
      </w:tr>
      <w:tr w:rsidR="00C8411E" w:rsidRPr="001D642A" w:rsidTr="006966F0">
        <w:trPr>
          <w:trHeight w:val="255"/>
          <w:jc w:val="center"/>
        </w:trPr>
        <w:tc>
          <w:tcPr>
            <w:tcW w:w="3261" w:type="dxa"/>
            <w:vMerge/>
            <w:tcBorders>
              <w:top w:val="nil"/>
              <w:left w:val="nil"/>
              <w:bottom w:val="single" w:sz="4" w:space="0" w:color="000000"/>
              <w:right w:val="nil"/>
            </w:tcBorders>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1,2</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1,5</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1,7</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2,2</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3,0</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3,4</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3,4</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4,1</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4,4</w:t>
            </w:r>
          </w:p>
        </w:tc>
      </w:tr>
      <w:tr w:rsidR="00C8411E" w:rsidRPr="001D642A" w:rsidTr="006966F0">
        <w:trPr>
          <w:trHeight w:val="255"/>
          <w:jc w:val="center"/>
        </w:trPr>
        <w:tc>
          <w:tcPr>
            <w:tcW w:w="3261" w:type="dxa"/>
            <w:vMerge w:val="restart"/>
            <w:tcBorders>
              <w:top w:val="nil"/>
              <w:left w:val="nil"/>
              <w:bottom w:val="single" w:sz="4" w:space="0" w:color="000000"/>
              <w:right w:val="nil"/>
            </w:tcBorders>
            <w:shd w:val="clear" w:color="000000" w:fill="FFFFFF"/>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Indice generale esclusi energetici</w:t>
            </w: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1,2</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2,0</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2,3</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2,7</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3,1</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3,9</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4,6</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4,8</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5,2</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5,9</w:t>
            </w:r>
          </w:p>
        </w:tc>
      </w:tr>
      <w:tr w:rsidR="00C8411E" w:rsidRPr="001D642A" w:rsidTr="006966F0">
        <w:trPr>
          <w:trHeight w:val="255"/>
          <w:jc w:val="center"/>
        </w:trPr>
        <w:tc>
          <w:tcPr>
            <w:tcW w:w="3261" w:type="dxa"/>
            <w:vMerge/>
            <w:tcBorders>
              <w:top w:val="nil"/>
              <w:left w:val="nil"/>
              <w:bottom w:val="single" w:sz="4" w:space="0" w:color="000000"/>
              <w:right w:val="nil"/>
            </w:tcBorders>
            <w:vAlign w:val="center"/>
            <w:hideMark/>
          </w:tcPr>
          <w:p w:rsidR="00C8411E" w:rsidRPr="001D642A" w:rsidRDefault="00C8411E" w:rsidP="00C8411E">
            <w:pPr>
              <w:widowControl/>
              <w:overflowPunct/>
              <w:autoSpaceDE/>
              <w:autoSpaceDN/>
              <w:adjustRightInd/>
              <w:spacing w:before="0" w:after="0"/>
              <w:rPr>
                <w:rFonts w:ascii="Arial Narrow" w:hAnsi="Arial Narrow"/>
                <w:color w:val="000000"/>
                <w:kern w:val="0"/>
                <w:sz w:val="18"/>
                <w:szCs w:val="18"/>
              </w:rPr>
            </w:pPr>
          </w:p>
        </w:tc>
        <w:tc>
          <w:tcPr>
            <w:tcW w:w="285" w:type="dxa"/>
            <w:tcBorders>
              <w:top w:val="nil"/>
              <w:left w:val="nil"/>
              <w:bottom w:val="single" w:sz="4" w:space="0" w:color="auto"/>
              <w:right w:val="nil"/>
            </w:tcBorders>
            <w:shd w:val="clear" w:color="000000" w:fill="FFFFFF"/>
            <w:noWrap/>
            <w:vAlign w:val="center"/>
            <w:hideMark/>
          </w:tcPr>
          <w:p w:rsidR="00C8411E" w:rsidRPr="001D642A" w:rsidRDefault="00C8411E" w:rsidP="00C8411E">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1,4</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1,2</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1,3</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1,8</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1,7</w:t>
            </w:r>
          </w:p>
        </w:tc>
        <w:tc>
          <w:tcPr>
            <w:tcW w:w="510" w:type="dxa"/>
            <w:tcBorders>
              <w:top w:val="nil"/>
              <w:left w:val="nil"/>
              <w:bottom w:val="single" w:sz="4" w:space="0" w:color="auto"/>
              <w:right w:val="nil"/>
            </w:tcBorders>
            <w:shd w:val="clear" w:color="000000" w:fill="FFFFFF"/>
            <w:vAlign w:val="center"/>
          </w:tcPr>
          <w:p w:rsidR="00C8411E" w:rsidRPr="001D642A" w:rsidRDefault="00C8411E" w:rsidP="00C8411E">
            <w:pPr>
              <w:widowControl/>
              <w:overflowPunct/>
              <w:autoSpaceDE/>
              <w:autoSpaceDN/>
              <w:adjustRightInd/>
              <w:spacing w:before="0" w:after="0"/>
              <w:jc w:val="right"/>
              <w:rPr>
                <w:rFonts w:ascii="Arial Narrow" w:hAnsi="Arial Narrow"/>
                <w:color w:val="000000"/>
                <w:sz w:val="18"/>
                <w:szCs w:val="18"/>
              </w:rPr>
            </w:pPr>
            <w:r w:rsidRPr="001D642A">
              <w:rPr>
                <w:rFonts w:ascii="Arial Narrow" w:hAnsi="Arial Narrow"/>
                <w:color w:val="000000"/>
                <w:sz w:val="18"/>
                <w:szCs w:val="18"/>
              </w:rPr>
              <w:t>2,3</w:t>
            </w:r>
          </w:p>
        </w:tc>
        <w:tc>
          <w:tcPr>
            <w:tcW w:w="510" w:type="dxa"/>
            <w:tcBorders>
              <w:top w:val="nil"/>
              <w:left w:val="nil"/>
              <w:bottom w:val="single" w:sz="4" w:space="0" w:color="auto"/>
              <w:right w:val="nil"/>
            </w:tcBorders>
            <w:shd w:val="clear" w:color="000000" w:fill="FFFFFF"/>
            <w:vAlign w:val="center"/>
          </w:tcPr>
          <w:p w:rsidR="00C8411E" w:rsidRPr="00E31451" w:rsidRDefault="00C8411E" w:rsidP="00C8411E">
            <w:pPr>
              <w:widowControl/>
              <w:overflowPunct/>
              <w:autoSpaceDE/>
              <w:autoSpaceDN/>
              <w:adjustRightInd/>
              <w:spacing w:before="0" w:after="0"/>
              <w:jc w:val="right"/>
              <w:rPr>
                <w:rFonts w:ascii="Arial Narrow" w:hAnsi="Arial Narrow"/>
                <w:color w:val="000000"/>
                <w:sz w:val="18"/>
                <w:szCs w:val="18"/>
              </w:rPr>
            </w:pPr>
            <w:r w:rsidRPr="00E31451">
              <w:rPr>
                <w:rFonts w:ascii="Arial Narrow" w:hAnsi="Arial Narrow"/>
                <w:color w:val="000000"/>
                <w:sz w:val="18"/>
                <w:szCs w:val="18"/>
              </w:rPr>
              <w:t>2,7</w:t>
            </w:r>
          </w:p>
        </w:tc>
        <w:tc>
          <w:tcPr>
            <w:tcW w:w="510" w:type="dxa"/>
            <w:tcBorders>
              <w:top w:val="nil"/>
              <w:left w:val="nil"/>
              <w:bottom w:val="single" w:sz="4" w:space="0" w:color="auto"/>
              <w:right w:val="nil"/>
            </w:tcBorders>
            <w:shd w:val="clear" w:color="000000" w:fill="FFFFFF"/>
            <w:vAlign w:val="center"/>
          </w:tcPr>
          <w:p w:rsidR="00C8411E" w:rsidRPr="00BB1420" w:rsidRDefault="00C8411E" w:rsidP="00C8411E">
            <w:pPr>
              <w:widowControl/>
              <w:overflowPunct/>
              <w:autoSpaceDE/>
              <w:autoSpaceDN/>
              <w:adjustRightInd/>
              <w:spacing w:before="0" w:after="0"/>
              <w:jc w:val="right"/>
              <w:rPr>
                <w:rFonts w:ascii="Arial Narrow" w:hAnsi="Arial Narrow"/>
                <w:color w:val="000000"/>
                <w:sz w:val="18"/>
                <w:szCs w:val="18"/>
              </w:rPr>
            </w:pPr>
            <w:r w:rsidRPr="00BB1420">
              <w:rPr>
                <w:rFonts w:ascii="Arial Narrow" w:hAnsi="Arial Narrow"/>
                <w:color w:val="000000"/>
                <w:sz w:val="18"/>
                <w:szCs w:val="18"/>
              </w:rPr>
              <w:t>3,1</w:t>
            </w:r>
          </w:p>
        </w:tc>
        <w:tc>
          <w:tcPr>
            <w:tcW w:w="510" w:type="dxa"/>
            <w:tcBorders>
              <w:top w:val="nil"/>
              <w:left w:val="nil"/>
              <w:bottom w:val="single" w:sz="4" w:space="0" w:color="auto"/>
              <w:right w:val="nil"/>
            </w:tcBorders>
            <w:shd w:val="clear" w:color="000000" w:fill="FFFFFF"/>
            <w:vAlign w:val="center"/>
          </w:tcPr>
          <w:p w:rsidR="00C8411E" w:rsidRPr="006A00D9" w:rsidRDefault="00C8411E" w:rsidP="00C8411E">
            <w:pPr>
              <w:widowControl/>
              <w:overflowPunct/>
              <w:autoSpaceDE/>
              <w:autoSpaceDN/>
              <w:adjustRightInd/>
              <w:spacing w:before="0" w:after="0"/>
              <w:jc w:val="right"/>
              <w:rPr>
                <w:rFonts w:ascii="Arial Narrow" w:hAnsi="Arial Narrow"/>
                <w:color w:val="000000"/>
                <w:sz w:val="18"/>
                <w:szCs w:val="18"/>
              </w:rPr>
            </w:pPr>
            <w:r w:rsidRPr="006A00D9">
              <w:rPr>
                <w:rFonts w:ascii="Arial Narrow" w:hAnsi="Arial Narrow"/>
                <w:color w:val="000000"/>
                <w:sz w:val="18"/>
                <w:szCs w:val="18"/>
              </w:rPr>
              <w:t>3,9</w:t>
            </w:r>
          </w:p>
        </w:tc>
        <w:tc>
          <w:tcPr>
            <w:tcW w:w="510"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4,6</w:t>
            </w:r>
          </w:p>
        </w:tc>
        <w:tc>
          <w:tcPr>
            <w:tcW w:w="510" w:type="dxa"/>
            <w:tcBorders>
              <w:top w:val="nil"/>
              <w:left w:val="nil"/>
              <w:bottom w:val="single" w:sz="4" w:space="0" w:color="auto"/>
              <w:right w:val="nil"/>
            </w:tcBorders>
            <w:shd w:val="clear" w:color="000000" w:fill="FFFFFF"/>
            <w:vAlign w:val="center"/>
          </w:tcPr>
          <w:p w:rsidR="00C8411E" w:rsidRPr="009A6FDB" w:rsidRDefault="00C8411E" w:rsidP="00C8411E">
            <w:pPr>
              <w:widowControl/>
              <w:overflowPunct/>
              <w:autoSpaceDE/>
              <w:autoSpaceDN/>
              <w:adjustRightInd/>
              <w:spacing w:before="0" w:after="0"/>
              <w:jc w:val="right"/>
              <w:rPr>
                <w:rFonts w:ascii="Arial Narrow" w:hAnsi="Arial Narrow"/>
                <w:color w:val="000000"/>
                <w:sz w:val="18"/>
                <w:szCs w:val="18"/>
              </w:rPr>
            </w:pPr>
            <w:r w:rsidRPr="009A6FDB">
              <w:rPr>
                <w:rFonts w:ascii="Arial Narrow" w:hAnsi="Arial Narrow"/>
                <w:color w:val="000000"/>
                <w:sz w:val="18"/>
                <w:szCs w:val="18"/>
              </w:rPr>
              <w:t>4,7</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5,4</w:t>
            </w:r>
          </w:p>
        </w:tc>
        <w:tc>
          <w:tcPr>
            <w:tcW w:w="567" w:type="dxa"/>
            <w:tcBorders>
              <w:top w:val="nil"/>
              <w:left w:val="nil"/>
              <w:bottom w:val="single" w:sz="4" w:space="0" w:color="auto"/>
              <w:right w:val="nil"/>
            </w:tcBorders>
            <w:shd w:val="clear" w:color="000000" w:fill="FFFFFF"/>
            <w:vAlign w:val="center"/>
          </w:tcPr>
          <w:p w:rsidR="00C8411E" w:rsidRDefault="00C8411E" w:rsidP="00C8411E">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5,8</w:t>
            </w:r>
          </w:p>
        </w:tc>
      </w:tr>
    </w:tbl>
    <w:p w:rsidR="00577B6E" w:rsidRPr="001D642A" w:rsidRDefault="00577B6E" w:rsidP="00577B6E">
      <w:pPr>
        <w:spacing w:before="0" w:after="120"/>
        <w:jc w:val="both"/>
        <w:rPr>
          <w:rFonts w:ascii="Arial" w:hAnsi="Arial" w:cs="Arial"/>
        </w:rPr>
      </w:pPr>
    </w:p>
    <w:p w:rsidR="00A11573" w:rsidRDefault="00A11573" w:rsidP="00A11573">
      <w:pPr>
        <w:widowControl/>
        <w:overflowPunct/>
        <w:spacing w:before="0" w:after="120"/>
        <w:jc w:val="both"/>
        <w:rPr>
          <w:rFonts w:ascii="Arial" w:hAnsi="Arial" w:cs="Arial"/>
        </w:rPr>
      </w:pPr>
      <w:r w:rsidRPr="001D642A">
        <w:rPr>
          <w:rFonts w:ascii="Arial" w:hAnsi="Arial" w:cs="Arial"/>
        </w:rPr>
        <w:t xml:space="preserve">La revisione media assoluta (RMA) fornisce una misura dell’ampiezza delle revisioni effettuate nell’arco di un determinato periodo. Nello specifico, la RMA è calcolata come media aritmetica semplice delle differenze, considerate in valore assoluto, tra le variazioni tendenziali delle stime provvisorie e quelle delle stime definitive, con riferimento agli ultimi tredici mesi. Nella Figura 1 sono riportati i valori della RMA per l’indice generale e i principali aggregati speciali IPCA nel periodo </w:t>
      </w:r>
      <w:r w:rsidR="00CD0D19">
        <w:rPr>
          <w:rFonts w:ascii="Arial" w:hAnsi="Arial" w:cs="Arial"/>
        </w:rPr>
        <w:t>settembre</w:t>
      </w:r>
      <w:r w:rsidRPr="00BF2D38">
        <w:rPr>
          <w:rFonts w:ascii="Arial" w:hAnsi="Arial" w:cs="Arial"/>
        </w:rPr>
        <w:t xml:space="preserve"> </w:t>
      </w:r>
      <w:r w:rsidRPr="001D642A">
        <w:rPr>
          <w:rFonts w:ascii="Arial" w:hAnsi="Arial" w:cs="Arial"/>
        </w:rPr>
        <w:t xml:space="preserve">2021 – </w:t>
      </w:r>
      <w:r w:rsidR="00CD0D19">
        <w:rPr>
          <w:rFonts w:ascii="Arial" w:hAnsi="Arial" w:cs="Arial"/>
        </w:rPr>
        <w:t>settembre</w:t>
      </w:r>
      <w:r w:rsidRPr="00BF2D38">
        <w:rPr>
          <w:rFonts w:ascii="Arial" w:hAnsi="Arial" w:cs="Arial"/>
        </w:rPr>
        <w:t xml:space="preserve"> </w:t>
      </w:r>
      <w:r w:rsidRPr="001D642A">
        <w:rPr>
          <w:rFonts w:ascii="Arial" w:hAnsi="Arial" w:cs="Arial"/>
        </w:rPr>
        <w:t xml:space="preserve">2022. </w:t>
      </w:r>
    </w:p>
    <w:p w:rsidR="00A11573" w:rsidRDefault="00A11573" w:rsidP="00A11573">
      <w:pPr>
        <w:widowControl/>
        <w:overflowPunct/>
        <w:spacing w:before="0" w:after="120"/>
        <w:jc w:val="both"/>
        <w:rPr>
          <w:rFonts w:ascii="Arial" w:hAnsi="Arial" w:cs="Arial"/>
        </w:rPr>
      </w:pPr>
    </w:p>
    <w:p w:rsidR="00A11573" w:rsidRPr="001D642A" w:rsidRDefault="00A11573" w:rsidP="00A11573">
      <w:pPr>
        <w:widowControl/>
        <w:overflowPunct/>
        <w:spacing w:before="0" w:after="120"/>
        <w:jc w:val="both"/>
        <w:rPr>
          <w:rFonts w:ascii="Arial" w:hAnsi="Arial" w:cs="Arial"/>
        </w:rPr>
      </w:pPr>
      <w:r w:rsidRPr="001D642A">
        <w:rPr>
          <w:rFonts w:ascii="Arial" w:hAnsi="Arial" w:cs="Arial"/>
        </w:rPr>
        <w:t>Le RMA più ampie nell’arco di tempo considerato hanno riguardato i tassi di variazione tendenziale dei prezzi dell’Energia (0,</w:t>
      </w:r>
      <w:r>
        <w:rPr>
          <w:rFonts w:ascii="Arial" w:hAnsi="Arial" w:cs="Arial"/>
        </w:rPr>
        <w:t xml:space="preserve">562 </w:t>
      </w:r>
      <w:r w:rsidRPr="001D642A">
        <w:rPr>
          <w:rFonts w:ascii="Arial" w:hAnsi="Arial" w:cs="Arial"/>
        </w:rPr>
        <w:t>punti percentuali), degli Alimentari lavorati (0,</w:t>
      </w:r>
      <w:r>
        <w:rPr>
          <w:rFonts w:ascii="Arial" w:hAnsi="Arial" w:cs="Arial"/>
        </w:rPr>
        <w:t>154</w:t>
      </w:r>
      <w:r w:rsidRPr="001D642A">
        <w:rPr>
          <w:rFonts w:ascii="Arial" w:hAnsi="Arial" w:cs="Arial"/>
        </w:rPr>
        <w:t xml:space="preserve"> punti percentuali)</w:t>
      </w:r>
      <w:r>
        <w:rPr>
          <w:rFonts w:ascii="Arial" w:hAnsi="Arial" w:cs="Arial"/>
        </w:rPr>
        <w:t>,</w:t>
      </w:r>
      <w:r w:rsidRPr="001D642A">
        <w:rPr>
          <w:rFonts w:ascii="Arial" w:hAnsi="Arial" w:cs="Arial"/>
        </w:rPr>
        <w:t xml:space="preserve"> e quindi dei Beni alimentari (incluse beva</w:t>
      </w:r>
      <w:r>
        <w:rPr>
          <w:rFonts w:ascii="Arial" w:hAnsi="Arial" w:cs="Arial"/>
        </w:rPr>
        <w:t>nde alcoliche) e tabacchi (0,13</w:t>
      </w:r>
      <w:r w:rsidR="00FA513C">
        <w:rPr>
          <w:rFonts w:ascii="Arial" w:hAnsi="Arial" w:cs="Arial"/>
        </w:rPr>
        <w:t>8</w:t>
      </w:r>
      <w:r w:rsidRPr="001D642A">
        <w:rPr>
          <w:rFonts w:ascii="Arial" w:hAnsi="Arial" w:cs="Arial"/>
        </w:rPr>
        <w:t xml:space="preserve"> punti percentuali), e dei Beni industriali non energetici (0,1</w:t>
      </w:r>
      <w:r w:rsidR="00FA513C">
        <w:rPr>
          <w:rFonts w:ascii="Arial" w:hAnsi="Arial" w:cs="Arial"/>
        </w:rPr>
        <w:t>3</w:t>
      </w:r>
      <w:r w:rsidR="006C6927">
        <w:rPr>
          <w:rFonts w:ascii="Arial" w:hAnsi="Arial" w:cs="Arial"/>
        </w:rPr>
        <w:t>1</w:t>
      </w:r>
      <w:r w:rsidRPr="001D642A">
        <w:rPr>
          <w:rFonts w:ascii="Arial" w:hAnsi="Arial" w:cs="Arial"/>
        </w:rPr>
        <w:t xml:space="preserve"> punti percentuali).</w:t>
      </w:r>
    </w:p>
    <w:p w:rsidR="00577B6E" w:rsidRPr="001D642A" w:rsidRDefault="00577B6E" w:rsidP="00577B6E">
      <w:pPr>
        <w:widowControl/>
        <w:overflowPunct/>
        <w:spacing w:before="0" w:after="120"/>
        <w:jc w:val="both"/>
        <w:rPr>
          <w:rFonts w:ascii="Arial" w:hAnsi="Arial" w:cs="Arial"/>
          <w:kern w:val="0"/>
        </w:rPr>
      </w:pPr>
      <w:r w:rsidRPr="001D642A">
        <w:rPr>
          <w:rFonts w:ascii="Arial" w:hAnsi="Arial" w:cs="Arial"/>
          <w:kern w:val="0"/>
        </w:rPr>
        <w:t xml:space="preserve">Per ulteriori informazioni relative alle revisioni degli indicatori congiunturali, consultare la </w:t>
      </w:r>
      <w:hyperlink r:id="rId49" w:history="1">
        <w:r w:rsidRPr="001D642A">
          <w:rPr>
            <w:rStyle w:val="Collegamentoipertestuale"/>
            <w:rFonts w:ascii="Arial" w:hAnsi="Arial" w:cs="Arial"/>
            <w:kern w:val="0"/>
          </w:rPr>
          <w:t>sezione dedicata</w:t>
        </w:r>
      </w:hyperlink>
      <w:r w:rsidRPr="001D642A">
        <w:rPr>
          <w:rFonts w:ascii="Arial" w:hAnsi="Arial" w:cs="Arial"/>
          <w:kern w:val="0"/>
        </w:rPr>
        <w:t>.</w:t>
      </w:r>
    </w:p>
    <w:p w:rsidR="00577B6E" w:rsidRPr="001D642A" w:rsidRDefault="00577B6E" w:rsidP="00577B6E">
      <w:pPr>
        <w:spacing w:before="0" w:after="120"/>
        <w:jc w:val="both"/>
        <w:rPr>
          <w:rFonts w:ascii="Arial" w:hAnsi="Arial" w:cs="Arial"/>
        </w:rPr>
      </w:pPr>
    </w:p>
    <w:p w:rsidR="00577B6E" w:rsidRPr="001D642A" w:rsidRDefault="00577B6E" w:rsidP="00577B6E">
      <w:pPr>
        <w:pStyle w:val="001TitoGra"/>
      </w:pPr>
      <w:r w:rsidRPr="001D642A">
        <w:rPr>
          <w:rStyle w:val="001TitoGraRed"/>
        </w:rPr>
        <w:t>FIGURA 1.</w:t>
      </w:r>
      <w:r w:rsidRPr="001D642A">
        <w:t xml:space="preserve"> REVISIONE MEDIA ASSOLUTA DELLE STIME PRELIMINARI DEI TASSI TENDENZIALI DEGLI INDICI IPCA</w:t>
      </w:r>
    </w:p>
    <w:p w:rsidR="00577B6E" w:rsidRDefault="009B6ACA" w:rsidP="00577B6E">
      <w:pPr>
        <w:spacing w:before="0" w:after="120"/>
        <w:ind w:right="170"/>
        <w:jc w:val="both"/>
        <w:rPr>
          <w:rFonts w:ascii="Arial Narrow" w:hAnsi="Arial Narrow" w:cs="Arial"/>
          <w:color w:val="5F5F5F"/>
        </w:rPr>
      </w:pPr>
      <w:r>
        <w:rPr>
          <w:rFonts w:ascii="Arial Narrow" w:hAnsi="Arial Narrow" w:cs="Arial"/>
          <w:color w:val="5F5F5F"/>
        </w:rPr>
        <w:t>Settembre</w:t>
      </w:r>
      <w:r w:rsidR="00577B6E" w:rsidRPr="007E26FA">
        <w:rPr>
          <w:rFonts w:ascii="Arial Narrow" w:hAnsi="Arial Narrow" w:cs="Arial"/>
          <w:color w:val="5F5F5F"/>
        </w:rPr>
        <w:t xml:space="preserve"> </w:t>
      </w:r>
      <w:r w:rsidR="00577B6E">
        <w:rPr>
          <w:rFonts w:ascii="Arial Narrow" w:hAnsi="Arial Narrow" w:cs="Arial"/>
          <w:color w:val="5F5F5F"/>
        </w:rPr>
        <w:t xml:space="preserve">2021 – </w:t>
      </w:r>
      <w:r>
        <w:rPr>
          <w:rFonts w:ascii="Arial Narrow" w:hAnsi="Arial Narrow" w:cs="Arial"/>
          <w:color w:val="5F5F5F"/>
        </w:rPr>
        <w:t>settembre</w:t>
      </w:r>
      <w:r w:rsidR="00577B6E" w:rsidRPr="007E26FA">
        <w:rPr>
          <w:rFonts w:ascii="Arial Narrow" w:hAnsi="Arial Narrow" w:cs="Arial"/>
          <w:color w:val="5F5F5F"/>
        </w:rPr>
        <w:t xml:space="preserve"> </w:t>
      </w:r>
      <w:r w:rsidR="00577B6E" w:rsidRPr="001D642A">
        <w:rPr>
          <w:rFonts w:ascii="Arial Narrow" w:hAnsi="Arial Narrow" w:cs="Arial"/>
          <w:color w:val="5F5F5F"/>
        </w:rPr>
        <w:t>2022, punti percentuali</w:t>
      </w:r>
    </w:p>
    <w:p w:rsidR="00B31771" w:rsidRPr="001D642A" w:rsidRDefault="00FA513C" w:rsidP="00577B6E">
      <w:pPr>
        <w:spacing w:before="0" w:after="120"/>
        <w:ind w:right="170"/>
        <w:jc w:val="both"/>
        <w:rPr>
          <w:rFonts w:ascii="Arial Narrow" w:hAnsi="Arial Narrow" w:cs="Arial"/>
          <w:color w:val="5F5F5F"/>
        </w:rPr>
      </w:pPr>
      <w:r>
        <w:rPr>
          <w:rFonts w:ascii="Arial Narrow" w:hAnsi="Arial Narrow" w:cs="Arial"/>
          <w:noProof/>
          <w:color w:val="5F5F5F"/>
        </w:rPr>
        <w:drawing>
          <wp:inline distT="0" distB="0" distL="0" distR="0" wp14:anchorId="63DAD08B">
            <wp:extent cx="6669405" cy="2243455"/>
            <wp:effectExtent l="0" t="0" r="0" b="444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9405" cy="2243455"/>
                    </a:xfrm>
                    <a:prstGeom prst="rect">
                      <a:avLst/>
                    </a:prstGeom>
                    <a:noFill/>
                  </pic:spPr>
                </pic:pic>
              </a:graphicData>
            </a:graphic>
          </wp:inline>
        </w:drawing>
      </w:r>
    </w:p>
    <w:p w:rsidR="00577B6E" w:rsidRDefault="00577B6E" w:rsidP="00577B6E">
      <w:pPr>
        <w:widowControl/>
        <w:overflowPunct/>
        <w:autoSpaceDE/>
        <w:autoSpaceDN/>
        <w:adjustRightInd/>
        <w:spacing w:before="0" w:after="80"/>
        <w:jc w:val="both"/>
        <w:rPr>
          <w:rFonts w:ascii="Arial" w:hAnsi="Arial" w:cs="Arial"/>
          <w:color w:val="000000"/>
          <w:kern w:val="0"/>
        </w:rPr>
      </w:pPr>
    </w:p>
    <w:p w:rsidR="006C19EA" w:rsidRPr="008C620D" w:rsidRDefault="006C19EA" w:rsidP="006C19EA">
      <w:pPr>
        <w:spacing w:before="0" w:after="120"/>
        <w:jc w:val="both"/>
        <w:rPr>
          <w:rFonts w:ascii="Arial" w:hAnsi="Arial" w:cs="Arial"/>
          <w:b/>
          <w:sz w:val="22"/>
          <w:szCs w:val="22"/>
        </w:rPr>
      </w:pPr>
      <w:r w:rsidRPr="008C620D">
        <w:rPr>
          <w:rFonts w:ascii="Arial" w:hAnsi="Arial" w:cs="Arial"/>
          <w:b/>
          <w:sz w:val="22"/>
          <w:szCs w:val="22"/>
        </w:rPr>
        <w:t>Gli indici dei prezzi al consumo per classi di spesa delle famiglie</w:t>
      </w:r>
    </w:p>
    <w:p w:rsidR="006C19EA" w:rsidRDefault="006C19EA" w:rsidP="006C19EA">
      <w:pPr>
        <w:widowControl/>
        <w:overflowPunct/>
        <w:autoSpaceDE/>
        <w:autoSpaceDN/>
        <w:adjustRightInd/>
        <w:spacing w:before="0" w:after="80"/>
        <w:jc w:val="both"/>
        <w:rPr>
          <w:rFonts w:ascii="Arial" w:hAnsi="Arial" w:cs="Arial"/>
          <w:color w:val="000000"/>
          <w:kern w:val="0"/>
        </w:rPr>
      </w:pPr>
      <w:r w:rsidRPr="008D55C5">
        <w:rPr>
          <w:rFonts w:ascii="Arial" w:hAnsi="Arial" w:cs="Arial"/>
          <w:color w:val="000000"/>
          <w:kern w:val="0"/>
        </w:rPr>
        <w:t>Gli indici dei prezzi al consumo per classi di spesa delle famiglie sono indici “satellite” dell’indice armonizzato dei prezzi al consumo (IPCA) e offrono una misura de</w:t>
      </w:r>
      <w:r>
        <w:rPr>
          <w:rFonts w:ascii="Arial" w:hAnsi="Arial" w:cs="Arial"/>
          <w:color w:val="000000"/>
          <w:kern w:val="0"/>
        </w:rPr>
        <w:t>ll’impatto</w:t>
      </w:r>
      <w:r w:rsidRPr="008D55C5">
        <w:rPr>
          <w:rFonts w:ascii="Arial" w:hAnsi="Arial" w:cs="Arial"/>
          <w:color w:val="000000"/>
          <w:kern w:val="0"/>
        </w:rPr>
        <w:t xml:space="preserve"> differenziat</w:t>
      </w:r>
      <w:r>
        <w:rPr>
          <w:rFonts w:ascii="Arial" w:hAnsi="Arial" w:cs="Arial"/>
          <w:color w:val="000000"/>
          <w:kern w:val="0"/>
        </w:rPr>
        <w:t>o</w:t>
      </w:r>
      <w:r w:rsidRPr="008D55C5">
        <w:rPr>
          <w:rFonts w:ascii="Arial" w:hAnsi="Arial" w:cs="Arial"/>
          <w:color w:val="000000"/>
          <w:kern w:val="0"/>
        </w:rPr>
        <w:t xml:space="preserve"> dell’inflazione sulle famiglie distinte in base ai livelli di </w:t>
      </w:r>
      <w:r>
        <w:rPr>
          <w:rFonts w:ascii="Arial" w:hAnsi="Arial" w:cs="Arial"/>
          <w:color w:val="000000"/>
          <w:kern w:val="0"/>
        </w:rPr>
        <w:t>spesa per consumi finali</w:t>
      </w:r>
      <w:r w:rsidRPr="008D55C5">
        <w:rPr>
          <w:rFonts w:ascii="Arial" w:hAnsi="Arial" w:cs="Arial"/>
          <w:color w:val="000000"/>
          <w:kern w:val="0"/>
        </w:rPr>
        <w:t>. Detti indici vengono calcolati utilizzando la stessa base informativa usata per l’IPCA, ossia lo stesso paniere e lo stesso set di indici elementari di prezzo, modificando la struttura dei pesi utilizzata per la loro sintesi.</w:t>
      </w:r>
    </w:p>
    <w:p w:rsidR="006C19EA" w:rsidRDefault="006C19EA" w:rsidP="006C19EA">
      <w:pPr>
        <w:widowControl/>
        <w:overflowPunct/>
        <w:autoSpaceDE/>
        <w:autoSpaceDN/>
        <w:adjustRightInd/>
        <w:spacing w:before="0" w:after="80"/>
        <w:jc w:val="both"/>
        <w:rPr>
          <w:rFonts w:ascii="Arial" w:hAnsi="Arial" w:cs="Arial"/>
          <w:color w:val="000000"/>
          <w:kern w:val="0"/>
        </w:rPr>
      </w:pPr>
    </w:p>
    <w:p w:rsidR="006C19EA" w:rsidRPr="005E554C" w:rsidRDefault="006C19EA" w:rsidP="006C19EA">
      <w:pPr>
        <w:pStyle w:val="Rientrocorpodeltesto"/>
        <w:spacing w:before="0"/>
        <w:ind w:left="0" w:hanging="1"/>
        <w:rPr>
          <w:rFonts w:ascii="Arial" w:hAnsi="Arial" w:cs="Arial"/>
          <w:b/>
          <w:bCs/>
          <w:szCs w:val="22"/>
        </w:rPr>
      </w:pPr>
      <w:r w:rsidRPr="005E554C">
        <w:rPr>
          <w:rFonts w:ascii="Arial" w:hAnsi="Arial" w:cs="Arial"/>
          <w:b/>
          <w:bCs/>
          <w:szCs w:val="22"/>
        </w:rPr>
        <w:t>L’articolazione delle famiglie per classi di spesa</w:t>
      </w:r>
    </w:p>
    <w:p w:rsidR="006C19EA" w:rsidRPr="00232FD1" w:rsidRDefault="006C19EA" w:rsidP="006C19EA">
      <w:pPr>
        <w:widowControl/>
        <w:overflowPunct/>
        <w:autoSpaceDE/>
        <w:autoSpaceDN/>
        <w:adjustRightInd/>
        <w:spacing w:before="0" w:after="80"/>
        <w:jc w:val="both"/>
        <w:rPr>
          <w:rFonts w:ascii="Arial" w:hAnsi="Arial" w:cs="Arial"/>
          <w:color w:val="000000"/>
          <w:kern w:val="0"/>
        </w:rPr>
      </w:pPr>
      <w:r w:rsidRPr="00232FD1">
        <w:rPr>
          <w:rFonts w:ascii="Arial" w:hAnsi="Arial" w:cs="Arial"/>
          <w:color w:val="000000"/>
          <w:kern w:val="0"/>
        </w:rPr>
        <w:t xml:space="preserve">Gli indici dei prezzi al consumo calcolati dall’Istat misurano le variazioni nel tempo dei prezzi di un ampio insieme di beni e servizi, rappresentativo dei consumi finali dell’intera popolazione. </w:t>
      </w:r>
    </w:p>
    <w:p w:rsidR="006C19EA" w:rsidRPr="00232FD1" w:rsidRDefault="006C19EA" w:rsidP="006C19EA">
      <w:pPr>
        <w:widowControl/>
        <w:overflowPunct/>
        <w:autoSpaceDE/>
        <w:autoSpaceDN/>
        <w:adjustRightInd/>
        <w:spacing w:before="0" w:after="80"/>
        <w:jc w:val="both"/>
        <w:rPr>
          <w:rFonts w:ascii="Arial" w:hAnsi="Arial" w:cs="Arial"/>
          <w:color w:val="000000"/>
          <w:kern w:val="0"/>
        </w:rPr>
      </w:pPr>
      <w:r w:rsidRPr="008D55C5">
        <w:rPr>
          <w:rFonts w:ascii="Arial" w:hAnsi="Arial" w:cs="Arial"/>
          <w:color w:val="000000"/>
          <w:kern w:val="0"/>
        </w:rPr>
        <w:t xml:space="preserve">Allo scopo di valutare gli effetti differenziati dell’inflazione sulle famiglie distinte in base ai livelli </w:t>
      </w:r>
      <w:r>
        <w:rPr>
          <w:rFonts w:ascii="Arial" w:hAnsi="Arial" w:cs="Arial"/>
          <w:color w:val="000000"/>
          <w:kern w:val="0"/>
        </w:rPr>
        <w:t>di spesa per consumi finali</w:t>
      </w:r>
      <w:r w:rsidRPr="008D55C5">
        <w:rPr>
          <w:rFonts w:ascii="Arial" w:hAnsi="Arial" w:cs="Arial"/>
          <w:color w:val="000000"/>
          <w:kern w:val="0"/>
        </w:rPr>
        <w:t>, tutte le famiglie</w:t>
      </w:r>
      <w:r w:rsidRPr="00232FD1">
        <w:rPr>
          <w:rFonts w:ascii="Arial" w:hAnsi="Arial" w:cs="Arial"/>
          <w:color w:val="000000"/>
          <w:kern w:val="0"/>
        </w:rPr>
        <w:t xml:space="preserve"> sono state ordinate in base alla loro spesa equivalente</w:t>
      </w:r>
      <w:r w:rsidR="000472CE">
        <w:rPr>
          <w:rStyle w:val="Rimandonotaapidipagina"/>
          <w:rFonts w:ascii="Arial" w:hAnsi="Arial"/>
          <w:color w:val="000000"/>
          <w:kern w:val="0"/>
        </w:rPr>
        <w:footnoteReference w:id="10"/>
      </w:r>
      <w:r w:rsidRPr="00232FD1">
        <w:rPr>
          <w:rFonts w:ascii="Arial" w:hAnsi="Arial" w:cs="Arial"/>
          <w:color w:val="000000"/>
          <w:kern w:val="0"/>
        </w:rPr>
        <w:t xml:space="preserve"> (cioè tale da tenere conto della numerosità di ciascun</w:t>
      </w:r>
      <w:r w:rsidR="000A75CF">
        <w:rPr>
          <w:rFonts w:ascii="Arial" w:hAnsi="Arial" w:cs="Arial"/>
          <w:color w:val="000000"/>
          <w:kern w:val="0"/>
        </w:rPr>
        <w:t>a</w:t>
      </w:r>
      <w:r w:rsidRPr="00232FD1">
        <w:rPr>
          <w:rFonts w:ascii="Arial" w:hAnsi="Arial" w:cs="Arial"/>
          <w:color w:val="000000"/>
          <w:kern w:val="0"/>
        </w:rPr>
        <w:t xml:space="preserve"> </w:t>
      </w:r>
      <w:r w:rsidR="000A75CF">
        <w:rPr>
          <w:rFonts w:ascii="Arial" w:hAnsi="Arial" w:cs="Arial"/>
          <w:color w:val="000000"/>
          <w:kern w:val="0"/>
        </w:rPr>
        <w:t>famiglia</w:t>
      </w:r>
      <w:r w:rsidRPr="00232FD1">
        <w:rPr>
          <w:rFonts w:ascii="Arial" w:hAnsi="Arial" w:cs="Arial"/>
          <w:color w:val="000000"/>
          <w:kern w:val="0"/>
        </w:rPr>
        <w:t xml:space="preserve"> e permettere confronti diretti fra i livelli di spesa di famiglie di ampiezza diversa) e suddivise poi in cinque classi (quinti) di pari numero di famiglie. Fra le</w:t>
      </w:r>
      <w:r w:rsidRPr="008D55C5">
        <w:rPr>
          <w:rFonts w:ascii="Arial" w:hAnsi="Arial" w:cs="Arial"/>
          <w:color w:val="000000"/>
          <w:kern w:val="0"/>
        </w:rPr>
        <w:t xml:space="preserve"> cinque sottopopolazioni così individuate, corrispondenti ai diversi quinti della distribuzione delle spese delle famiglie</w:t>
      </w:r>
      <w:r w:rsidRPr="00232FD1">
        <w:rPr>
          <w:rFonts w:ascii="Arial" w:hAnsi="Arial" w:cs="Arial"/>
          <w:color w:val="000000"/>
          <w:kern w:val="0"/>
        </w:rPr>
        <w:t>, nel primo quinto sono presenti le famiglie con la spesa mensile più bassa (e dunque verosimilmente meno abbienti) e nell’ultimo quinto quelle con la spesa mensile più alta (e quindi verosimilmente, in questo caso, con maggiori possibilità economiche).</w:t>
      </w:r>
    </w:p>
    <w:p w:rsidR="006C19EA" w:rsidRPr="008D55C5" w:rsidRDefault="006C19EA" w:rsidP="006C19EA">
      <w:pPr>
        <w:widowControl/>
        <w:overflowPunct/>
        <w:autoSpaceDE/>
        <w:autoSpaceDN/>
        <w:adjustRightInd/>
        <w:spacing w:before="0" w:after="80"/>
        <w:jc w:val="both"/>
        <w:rPr>
          <w:rFonts w:ascii="Arial" w:hAnsi="Arial" w:cs="Arial"/>
          <w:color w:val="000000"/>
          <w:kern w:val="0"/>
        </w:rPr>
      </w:pPr>
      <w:r w:rsidRPr="008D55C5">
        <w:rPr>
          <w:rFonts w:ascii="Arial" w:hAnsi="Arial" w:cs="Arial"/>
          <w:color w:val="000000"/>
          <w:kern w:val="0"/>
        </w:rPr>
        <w:t>Per ciascuna delle sottopopolazioni, sulla base del raccordo tra i dati dell’indagine sulle Spese per consumi delle famiglie e il paniere dei prodotti utilizzato per il calcolo dell’indice armonizzato dei prezzi al consumo, sono state stimate differenti strutture di ponderazione, che riflettono l’importanza relativa delle varie voci di spesa nel bilancio d</w:t>
      </w:r>
      <w:r>
        <w:rPr>
          <w:rFonts w:ascii="Arial" w:hAnsi="Arial" w:cs="Arial"/>
          <w:color w:val="000000"/>
          <w:kern w:val="0"/>
        </w:rPr>
        <w:t>i ciascun gruppo</w:t>
      </w:r>
      <w:r w:rsidRPr="008D55C5">
        <w:rPr>
          <w:rFonts w:ascii="Arial" w:hAnsi="Arial" w:cs="Arial"/>
          <w:color w:val="000000"/>
          <w:kern w:val="0"/>
        </w:rPr>
        <w:t xml:space="preserve">. Il sistema dei pesi per le famiglie delle diverse classi è ricostruito a partire dall’anno 2005. </w:t>
      </w:r>
    </w:p>
    <w:p w:rsidR="006C19EA" w:rsidRDefault="006C19EA" w:rsidP="006C19EA">
      <w:pPr>
        <w:widowControl/>
        <w:overflowPunct/>
        <w:autoSpaceDE/>
        <w:autoSpaceDN/>
        <w:adjustRightInd/>
        <w:spacing w:before="0" w:after="80"/>
        <w:jc w:val="both"/>
        <w:rPr>
          <w:rFonts w:ascii="Arial" w:hAnsi="Arial" w:cs="Arial"/>
          <w:color w:val="000000"/>
          <w:kern w:val="0"/>
        </w:rPr>
      </w:pPr>
      <w:r w:rsidRPr="008D55C5">
        <w:rPr>
          <w:rFonts w:ascii="Arial" w:hAnsi="Arial" w:cs="Arial"/>
          <w:color w:val="000000"/>
          <w:kern w:val="0"/>
        </w:rPr>
        <w:t>Le strutture di ponderazione, così ottenute, sono state infine utilizzate per l’elaborazione degli indici dei prezzi al consumo per classi di spesa, con particolare riferimento, oltre all’indice generale, agli indici per aggregati speciali (beni, servizi e relative ulteriori disaggregazioni).</w:t>
      </w:r>
    </w:p>
    <w:p w:rsidR="006C19EA" w:rsidRDefault="006C19EA" w:rsidP="006C19EA">
      <w:pPr>
        <w:widowControl/>
        <w:overflowPunct/>
        <w:autoSpaceDE/>
        <w:autoSpaceDN/>
        <w:adjustRightInd/>
        <w:spacing w:before="0" w:after="80"/>
        <w:jc w:val="both"/>
        <w:rPr>
          <w:rFonts w:ascii="Arial" w:hAnsi="Arial" w:cs="Arial"/>
          <w:color w:val="000000"/>
          <w:kern w:val="0"/>
        </w:rPr>
      </w:pPr>
    </w:p>
    <w:p w:rsidR="006966F0" w:rsidRPr="008D55C5" w:rsidRDefault="006966F0" w:rsidP="006C19EA">
      <w:pPr>
        <w:widowControl/>
        <w:overflowPunct/>
        <w:autoSpaceDE/>
        <w:autoSpaceDN/>
        <w:adjustRightInd/>
        <w:spacing w:before="0" w:after="80"/>
        <w:jc w:val="both"/>
        <w:rPr>
          <w:rFonts w:ascii="Arial" w:hAnsi="Arial" w:cs="Arial"/>
          <w:color w:val="000000"/>
          <w:kern w:val="0"/>
        </w:rPr>
      </w:pPr>
    </w:p>
    <w:p w:rsidR="006C19EA" w:rsidRPr="005E554C" w:rsidRDefault="006C19EA" w:rsidP="006C19EA">
      <w:pPr>
        <w:pStyle w:val="Rientrocorpodeltesto"/>
        <w:spacing w:before="0"/>
        <w:ind w:left="0" w:hanging="1"/>
        <w:rPr>
          <w:rFonts w:ascii="Arial" w:hAnsi="Arial" w:cs="Arial"/>
          <w:b/>
          <w:bCs/>
          <w:szCs w:val="22"/>
        </w:rPr>
      </w:pPr>
      <w:r w:rsidRPr="005E554C">
        <w:rPr>
          <w:rFonts w:ascii="Arial" w:hAnsi="Arial" w:cs="Arial"/>
          <w:b/>
          <w:bCs/>
          <w:szCs w:val="22"/>
        </w:rPr>
        <w:t>Le strutture di ponderazione degli indici per sottopopolazione</w:t>
      </w:r>
    </w:p>
    <w:p w:rsidR="006C19EA" w:rsidRDefault="006C19EA" w:rsidP="006C19EA">
      <w:pPr>
        <w:widowControl/>
        <w:overflowPunct/>
        <w:spacing w:before="0" w:after="120"/>
        <w:jc w:val="both"/>
        <w:rPr>
          <w:rFonts w:ascii="Arial" w:hAnsi="Arial" w:cs="Arial"/>
          <w:color w:val="000000"/>
          <w:kern w:val="0"/>
        </w:rPr>
      </w:pPr>
      <w:r w:rsidRPr="000A6E2D">
        <w:rPr>
          <w:rFonts w:ascii="Arial" w:hAnsi="Arial" w:cs="Arial"/>
        </w:rPr>
        <w:t>La stima dei sistemi di ponderazione degli indici delle cinque sottopopolazioni considerate si basa sui dati dell’indagine sulla Spesa per con</w:t>
      </w:r>
      <w:r>
        <w:rPr>
          <w:rFonts w:ascii="Arial" w:hAnsi="Arial" w:cs="Arial"/>
        </w:rPr>
        <w:t>sumi delle famiglie (per il 2022</w:t>
      </w:r>
      <w:r w:rsidRPr="000A6E2D">
        <w:rPr>
          <w:rFonts w:ascii="Arial" w:hAnsi="Arial" w:cs="Arial"/>
        </w:rPr>
        <w:t xml:space="preserve"> sono stati utilizzati i dati r</w:t>
      </w:r>
      <w:r>
        <w:rPr>
          <w:rFonts w:ascii="Arial" w:hAnsi="Arial" w:cs="Arial"/>
        </w:rPr>
        <w:t>elativi al 2021</w:t>
      </w:r>
      <w:r w:rsidRPr="000A6E2D">
        <w:rPr>
          <w:rFonts w:ascii="Arial" w:hAnsi="Arial" w:cs="Arial"/>
        </w:rPr>
        <w:t xml:space="preserve"> analogamente a quanto fatto per il sistema di ponderazione riferito all’intera popolazione). I pesi relativi a singoli aggregati di prodotto o loro aggregazioni vengono stimati per ciascuna sottopopolazione, modificando il peso che </w:t>
      </w:r>
      <w:r w:rsidRPr="008370A8">
        <w:rPr>
          <w:rFonts w:ascii="Arial" w:hAnsi="Arial" w:cs="Arial"/>
          <w:color w:val="000000"/>
          <w:kern w:val="0"/>
        </w:rPr>
        <w:t xml:space="preserve">essi hanno nell’indice armonizzato, in funzione della quota di spesa che le famiglie della sottopopolazione destinano all’acquisto dei prodotti classificati in tali aggregati, rispetto al totale delle famiglie. A questo scopo è stato necessario definire un raccordo tra i dati dell’indagine Spesa per consumi delle famiglie e il paniere dei prodotti utilizzato per il calcolo dell’indice armonizzato dei prezzi al consumo. </w:t>
      </w:r>
    </w:p>
    <w:p w:rsidR="006C19EA" w:rsidRPr="008D55C5" w:rsidRDefault="006C19EA" w:rsidP="006C19EA">
      <w:pPr>
        <w:widowControl/>
        <w:overflowPunct/>
        <w:spacing w:before="0" w:after="120"/>
        <w:jc w:val="both"/>
        <w:rPr>
          <w:rFonts w:ascii="Arial" w:hAnsi="Arial" w:cs="Arial"/>
          <w:color w:val="000000"/>
          <w:kern w:val="0"/>
        </w:rPr>
      </w:pPr>
      <w:r w:rsidRPr="008D55C5">
        <w:rPr>
          <w:rFonts w:ascii="Arial" w:hAnsi="Arial" w:cs="Arial"/>
          <w:color w:val="000000"/>
          <w:kern w:val="0"/>
        </w:rPr>
        <w:t>Per il 20</w:t>
      </w:r>
      <w:r>
        <w:rPr>
          <w:rFonts w:ascii="Arial" w:hAnsi="Arial" w:cs="Arial"/>
          <w:color w:val="000000"/>
          <w:kern w:val="0"/>
        </w:rPr>
        <w:t>22</w:t>
      </w:r>
      <w:r w:rsidRPr="008D55C5">
        <w:rPr>
          <w:rFonts w:ascii="Arial" w:hAnsi="Arial" w:cs="Arial"/>
          <w:color w:val="000000"/>
          <w:kern w:val="0"/>
        </w:rPr>
        <w:t xml:space="preserve">, i </w:t>
      </w:r>
      <w:r>
        <w:rPr>
          <w:rFonts w:ascii="Arial" w:hAnsi="Arial" w:cs="Arial"/>
          <w:color w:val="000000"/>
          <w:kern w:val="0"/>
        </w:rPr>
        <w:t>426</w:t>
      </w:r>
      <w:r w:rsidRPr="008D55C5">
        <w:rPr>
          <w:rFonts w:ascii="Arial" w:hAnsi="Arial" w:cs="Arial"/>
          <w:color w:val="000000"/>
          <w:kern w:val="0"/>
        </w:rPr>
        <w:t xml:space="preserve"> aggregati di prodotto che compongono il paniere per l’IPCA sono stati raccordati con le spese provenienti dall’indagine sulle Spese per consumi delle famiglie secondo diversi livelli di classificazione.</w:t>
      </w:r>
      <w:r>
        <w:rPr>
          <w:rFonts w:ascii="Arial" w:hAnsi="Arial" w:cs="Arial"/>
          <w:color w:val="000000"/>
          <w:kern w:val="0"/>
        </w:rPr>
        <w:t xml:space="preserve"> </w:t>
      </w:r>
      <w:r w:rsidRPr="008D55C5">
        <w:rPr>
          <w:rFonts w:ascii="Arial" w:hAnsi="Arial" w:cs="Arial"/>
          <w:color w:val="000000"/>
          <w:kern w:val="0"/>
        </w:rPr>
        <w:t>Le spese sono state accorpate in 12</w:t>
      </w:r>
      <w:r>
        <w:rPr>
          <w:rFonts w:ascii="Arial" w:hAnsi="Arial" w:cs="Arial"/>
          <w:color w:val="000000"/>
          <w:kern w:val="0"/>
        </w:rPr>
        <w:t>9</w:t>
      </w:r>
      <w:r w:rsidRPr="008D55C5">
        <w:rPr>
          <w:rFonts w:ascii="Arial" w:hAnsi="Arial" w:cs="Arial"/>
          <w:color w:val="000000"/>
          <w:kern w:val="0"/>
        </w:rPr>
        <w:t xml:space="preserve"> raggruppamenti distinti per sottopopolazione, poi raccordati con gli aggregati di prodotto dell’IPCA, escludendo, coerentemente con quanto avviene per calcolo dei pesi dell’indice IPCA per l’intera popolazione, quelli al di fuori del dominio di riferiment</w:t>
      </w:r>
      <w:r w:rsidR="004B71DC">
        <w:rPr>
          <w:rFonts w:ascii="Arial" w:hAnsi="Arial" w:cs="Arial"/>
          <w:color w:val="000000"/>
          <w:kern w:val="0"/>
        </w:rPr>
        <w:t>o</w:t>
      </w:r>
      <w:r w:rsidRPr="008D55C5">
        <w:rPr>
          <w:rFonts w:ascii="Arial" w:hAnsi="Arial" w:cs="Arial"/>
          <w:color w:val="000000"/>
          <w:kern w:val="0"/>
        </w:rPr>
        <w:t xml:space="preserve"> (es. spese relative ai fitti figurativi, rendite vitalizie, spese non effettuate sul territorio nazionale, spese per ristrutturazioni). Il raccordo tra le voci di spesa dell’indagine sulle Spese per consumi delle famiglie e gli aggregati di prodotto dell’IPCA, che sono il livello più dettagliato della classificazione per il quale viene calcolato un peso, in alcuni casi è risultato relativamente agevole (ad esempio per i beni alimentari). In altri casi è stato necessario effettuare il raccordo ad un livello di maggiore aggregazione dei dati di spesa (ad esempio per i beni durevoli, l’assistenza, l’istruzione) al fine di salvaguardare la significatività delle stime relative ai consumi di ciascuna sottopopolazione. </w:t>
      </w:r>
    </w:p>
    <w:p w:rsidR="006C19EA" w:rsidRPr="008D55C5" w:rsidRDefault="006C19EA" w:rsidP="006C19EA">
      <w:pPr>
        <w:widowControl/>
        <w:overflowPunct/>
        <w:spacing w:before="0" w:after="80"/>
        <w:jc w:val="both"/>
        <w:rPr>
          <w:rFonts w:ascii="Arial" w:hAnsi="Arial" w:cs="Arial"/>
          <w:color w:val="000000"/>
          <w:kern w:val="0"/>
        </w:rPr>
      </w:pPr>
      <w:r w:rsidRPr="008D55C5">
        <w:rPr>
          <w:rFonts w:ascii="Arial" w:hAnsi="Arial" w:cs="Arial"/>
          <w:color w:val="000000"/>
          <w:kern w:val="0"/>
        </w:rPr>
        <w:t xml:space="preserve">Le strutture di ponderazione per classi di spesa così ottenute vengono aggiornate annualmente e sono utilizzate per l’elaborazione degli indici dei prezzi al consumo per classi di spesa, con particolare riferimento, oltre all’indice generale, agli indici per aggregati speciali (Beni, Servizi e relative ulteriori disaggregazioni). </w:t>
      </w:r>
    </w:p>
    <w:p w:rsidR="006C19EA" w:rsidRDefault="006C19EA" w:rsidP="006C19EA">
      <w:pPr>
        <w:widowControl/>
        <w:overflowPunct/>
        <w:spacing w:before="0" w:after="120"/>
        <w:jc w:val="both"/>
        <w:rPr>
          <w:rFonts w:ascii="Arial" w:hAnsi="Arial" w:cs="Arial"/>
          <w:color w:val="000000"/>
          <w:kern w:val="0"/>
        </w:rPr>
      </w:pPr>
      <w:r w:rsidRPr="008D55C5">
        <w:rPr>
          <w:rFonts w:ascii="Arial" w:hAnsi="Arial" w:cs="Arial"/>
          <w:color w:val="000000"/>
          <w:kern w:val="0"/>
        </w:rPr>
        <w:t xml:space="preserve">Gli indici dei prezzi al consumo per classi di spesa delle famiglie sono stati calcolati a partire da gennaio 2005, con base di riferimento 2015=100 coerentemente all’indice IPCA. </w:t>
      </w:r>
    </w:p>
    <w:p w:rsidR="00CF4729" w:rsidRDefault="004B71DC" w:rsidP="00CF4729">
      <w:pPr>
        <w:widowControl/>
        <w:overflowPunct/>
        <w:spacing w:before="0" w:after="120"/>
        <w:jc w:val="both"/>
        <w:rPr>
          <w:rFonts w:ascii="Arial" w:hAnsi="Arial" w:cs="Arial"/>
          <w:color w:val="000000"/>
          <w:kern w:val="0"/>
        </w:rPr>
      </w:pPr>
      <w:r>
        <w:rPr>
          <w:rFonts w:ascii="Arial" w:hAnsi="Arial" w:cs="Arial"/>
          <w:color w:val="000000"/>
          <w:kern w:val="0"/>
        </w:rPr>
        <w:t>A</w:t>
      </w:r>
      <w:r w:rsidR="00CF4729" w:rsidRPr="00570262">
        <w:rPr>
          <w:rFonts w:ascii="Arial" w:hAnsi="Arial" w:cs="Arial"/>
          <w:color w:val="000000"/>
          <w:kern w:val="0"/>
        </w:rPr>
        <w:t>lcune importanti differenze</w:t>
      </w:r>
      <w:r>
        <w:rPr>
          <w:rFonts w:ascii="Arial" w:hAnsi="Arial" w:cs="Arial"/>
          <w:color w:val="000000"/>
          <w:kern w:val="0"/>
        </w:rPr>
        <w:t xml:space="preserve"> emergono</w:t>
      </w:r>
      <w:r w:rsidR="00CF4729" w:rsidRPr="00570262">
        <w:rPr>
          <w:rFonts w:ascii="Arial" w:hAnsi="Arial" w:cs="Arial"/>
          <w:color w:val="000000"/>
          <w:kern w:val="0"/>
        </w:rPr>
        <w:t xml:space="preserve"> nella composizione della spesa </w:t>
      </w:r>
      <w:r w:rsidR="00CF4729">
        <w:rPr>
          <w:rFonts w:ascii="Arial" w:hAnsi="Arial" w:cs="Arial"/>
          <w:color w:val="000000"/>
          <w:kern w:val="0"/>
        </w:rPr>
        <w:t xml:space="preserve">dei diversi gruppi di famiglie </w:t>
      </w:r>
      <w:r w:rsidR="00CF4729" w:rsidRPr="00570262">
        <w:rPr>
          <w:rFonts w:ascii="Arial" w:hAnsi="Arial" w:cs="Arial"/>
          <w:color w:val="000000"/>
          <w:kern w:val="0"/>
        </w:rPr>
        <w:t xml:space="preserve">(Figura 2). In primo luogo, l’incidenza sul bilancio familiare della spesa per l’acquisto degli Alimentari (inclusi i tabacchi), dei beni appartenenti all’aggregato Energia e dei Servizi relativi all’abitazione cresce in misura sensibile al decrescere della spesa complessiva. </w:t>
      </w:r>
    </w:p>
    <w:p w:rsidR="006C19EA" w:rsidRPr="004918D7" w:rsidRDefault="006C19EA" w:rsidP="006C19EA">
      <w:pPr>
        <w:widowControl/>
        <w:overflowPunct/>
        <w:spacing w:before="0" w:after="120"/>
        <w:jc w:val="both"/>
        <w:rPr>
          <w:rFonts w:ascii="Arial" w:hAnsi="Arial" w:cs="Arial"/>
          <w:color w:val="000000"/>
          <w:kern w:val="0"/>
          <w:sz w:val="8"/>
        </w:rPr>
      </w:pPr>
    </w:p>
    <w:p w:rsidR="006C19EA" w:rsidRDefault="006C19EA" w:rsidP="006C19EA">
      <w:pPr>
        <w:widowControl/>
        <w:overflowPunct/>
        <w:spacing w:before="0" w:after="0"/>
        <w:ind w:right="171"/>
        <w:jc w:val="both"/>
        <w:rPr>
          <w:rFonts w:ascii="Arial Narrow" w:hAnsi="Arial Narrow" w:cs="Arial"/>
          <w:b/>
          <w:color w:val="5F5F5F"/>
          <w:sz w:val="22"/>
          <w:szCs w:val="22"/>
        </w:rPr>
      </w:pPr>
      <w:r w:rsidRPr="001434E1">
        <w:rPr>
          <w:rStyle w:val="001TitoGraRed"/>
          <w:rFonts w:ascii="Arial Narrow" w:hAnsi="Arial Narrow"/>
          <w:b/>
          <w:sz w:val="22"/>
          <w:szCs w:val="22"/>
        </w:rPr>
        <w:t>FIGURA 2.</w:t>
      </w:r>
      <w:r w:rsidRPr="001434E1">
        <w:rPr>
          <w:rFonts w:ascii="Arial" w:hAnsi="Arial" w:cs="Arial"/>
          <w:color w:val="000000"/>
          <w:kern w:val="0"/>
        </w:rPr>
        <w:t xml:space="preserve"> </w:t>
      </w:r>
      <w:r w:rsidRPr="001434E1">
        <w:rPr>
          <w:rFonts w:ascii="Arial Narrow" w:hAnsi="Arial Narrow" w:cs="Arial"/>
          <w:b/>
          <w:color w:val="5F5F5F"/>
          <w:sz w:val="22"/>
          <w:szCs w:val="22"/>
        </w:rPr>
        <w:t>STRUTTURE DEI PESI DEGLI AGGREGATI SPECIALI, PER CLASSI DI SPESA</w:t>
      </w:r>
    </w:p>
    <w:p w:rsidR="006C19EA" w:rsidRDefault="006C19EA" w:rsidP="006C19EA">
      <w:pPr>
        <w:widowControl/>
        <w:overflowPunct/>
        <w:spacing w:before="0" w:after="0"/>
        <w:ind w:right="171"/>
        <w:jc w:val="both"/>
        <w:rPr>
          <w:rFonts w:ascii="Arial Narrow" w:hAnsi="Arial Narrow" w:cs="Arial"/>
          <w:color w:val="5F5F5F"/>
        </w:rPr>
      </w:pPr>
      <w:r w:rsidRPr="00DB0265">
        <w:rPr>
          <w:rFonts w:ascii="Arial Narrow" w:hAnsi="Arial Narrow" w:cs="Arial"/>
          <w:color w:val="5F5F5F"/>
        </w:rPr>
        <w:t>Anno 202</w:t>
      </w:r>
      <w:r>
        <w:rPr>
          <w:rFonts w:ascii="Arial Narrow" w:hAnsi="Arial Narrow" w:cs="Arial"/>
          <w:color w:val="5F5F5F"/>
        </w:rPr>
        <w:t>2</w:t>
      </w:r>
      <w:r w:rsidRPr="00DB0265">
        <w:rPr>
          <w:rFonts w:ascii="Arial Narrow" w:hAnsi="Arial Narrow" w:cs="Arial"/>
          <w:color w:val="5F5F5F"/>
        </w:rPr>
        <w:t>,</w:t>
      </w:r>
      <w:r w:rsidRPr="00FA7F43">
        <w:rPr>
          <w:rFonts w:ascii="Arial Narrow" w:hAnsi="Arial Narrow" w:cs="Arial"/>
          <w:color w:val="5F5F5F"/>
        </w:rPr>
        <w:t xml:space="preserve"> valori percentuali</w:t>
      </w:r>
      <w:r>
        <w:rPr>
          <w:rFonts w:ascii="Arial Narrow" w:hAnsi="Arial Narrow" w:cs="Arial"/>
          <w:color w:val="5F5F5F"/>
        </w:rPr>
        <w:t xml:space="preserve"> </w:t>
      </w:r>
    </w:p>
    <w:p w:rsidR="006C19EA" w:rsidRDefault="006C19EA" w:rsidP="006C19EA">
      <w:pPr>
        <w:widowControl/>
        <w:overflowPunct/>
        <w:spacing w:before="0" w:after="0"/>
        <w:ind w:right="171"/>
        <w:jc w:val="both"/>
        <w:rPr>
          <w:rFonts w:ascii="Arial Narrow" w:hAnsi="Arial Narrow" w:cs="Arial"/>
          <w:color w:val="5F5F5F"/>
        </w:rPr>
      </w:pPr>
      <w:r>
        <w:rPr>
          <w:rFonts w:ascii="Arial Narrow" w:hAnsi="Arial Narrow" w:cs="Arial"/>
          <w:noProof/>
          <w:color w:val="5F5F5F"/>
        </w:rPr>
        <w:drawing>
          <wp:inline distT="0" distB="0" distL="0" distR="0" wp14:anchorId="2510F3F5" wp14:editId="166BCCD5">
            <wp:extent cx="6660000" cy="2160000"/>
            <wp:effectExtent l="0" t="0" r="7620" b="0"/>
            <wp:docPr id="11"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0000" cy="2160000"/>
                    </a:xfrm>
                    <a:prstGeom prst="rect">
                      <a:avLst/>
                    </a:prstGeom>
                    <a:noFill/>
                  </pic:spPr>
                </pic:pic>
              </a:graphicData>
            </a:graphic>
          </wp:inline>
        </w:drawing>
      </w:r>
    </w:p>
    <w:p w:rsidR="00C73788" w:rsidRPr="004918D7" w:rsidRDefault="00C73788" w:rsidP="00C73788">
      <w:pPr>
        <w:widowControl/>
        <w:overflowPunct/>
        <w:spacing w:before="0" w:after="0"/>
        <w:jc w:val="both"/>
        <w:rPr>
          <w:rFonts w:ascii="Arial" w:hAnsi="Arial" w:cs="Arial"/>
          <w:color w:val="000000"/>
          <w:kern w:val="0"/>
          <w:sz w:val="12"/>
        </w:rPr>
      </w:pPr>
    </w:p>
    <w:p w:rsidR="00C73788" w:rsidRPr="00570262" w:rsidRDefault="00C73788" w:rsidP="00C73788">
      <w:pPr>
        <w:widowControl/>
        <w:overflowPunct/>
        <w:spacing w:before="0" w:after="120"/>
        <w:ind w:right="-1"/>
        <w:jc w:val="both"/>
        <w:rPr>
          <w:rFonts w:ascii="Arial" w:hAnsi="Arial" w:cs="Arial"/>
          <w:color w:val="000000"/>
          <w:kern w:val="0"/>
        </w:rPr>
      </w:pPr>
      <w:r w:rsidRPr="00570262">
        <w:rPr>
          <w:rFonts w:ascii="Arial" w:hAnsi="Arial" w:cs="Arial"/>
          <w:color w:val="000000"/>
          <w:kern w:val="0"/>
        </w:rPr>
        <w:t xml:space="preserve">In particolare, per le famiglie del primo gruppo della distribuzione, il peso di queste tre componenti risulta ben al di sopra del valore relativo all’intera popolazione ed è </w:t>
      </w:r>
      <w:r>
        <w:rPr>
          <w:rFonts w:ascii="Arial" w:hAnsi="Arial" w:cs="Arial"/>
          <w:color w:val="000000"/>
          <w:kern w:val="0"/>
        </w:rPr>
        <w:t>circa</w:t>
      </w:r>
      <w:r w:rsidRPr="00570262">
        <w:rPr>
          <w:rFonts w:ascii="Arial" w:hAnsi="Arial" w:cs="Arial"/>
          <w:color w:val="000000"/>
          <w:kern w:val="0"/>
        </w:rPr>
        <w:t xml:space="preserve"> il doppio di quello che si riferisce all’ultimo gruppo. Un andamento analogo, anche se meno marcato, si registra per il peso dei Servizi relativi alle comunicazioni che diminuisce all’aumentare della spesa totale.</w:t>
      </w:r>
      <w:r>
        <w:rPr>
          <w:rFonts w:ascii="Arial" w:hAnsi="Arial" w:cs="Arial"/>
          <w:color w:val="000000"/>
          <w:kern w:val="0"/>
        </w:rPr>
        <w:t xml:space="preserve"> </w:t>
      </w:r>
      <w:r w:rsidRPr="00570262">
        <w:rPr>
          <w:rFonts w:ascii="Arial" w:hAnsi="Arial" w:cs="Arial"/>
          <w:color w:val="000000"/>
          <w:kern w:val="0"/>
        </w:rPr>
        <w:t xml:space="preserve">Al contrario, la spesa per i Beni industriali non energetici, per i Servizi ricreativi, culturali e per la cura della persona, per i Servizi relativi ai trasporti e per i Servizi vari incide sul bilancio familiare in modo crescente all’aumentare della spesa totale. Sono caratteristiche e andamenti noti da tempo alla teoria economica e confermati nell’evidenza statistica prodotta dall’Istat. </w:t>
      </w:r>
    </w:p>
    <w:p w:rsidR="006C19EA" w:rsidRDefault="006C19EA" w:rsidP="006C19EA">
      <w:pPr>
        <w:jc w:val="both"/>
        <w:rPr>
          <w:rFonts w:ascii="Arial" w:hAnsi="Arial" w:cs="Arial"/>
          <w:color w:val="000000"/>
          <w:kern w:val="0"/>
        </w:rPr>
      </w:pPr>
      <w:r w:rsidRPr="00570262">
        <w:rPr>
          <w:rFonts w:ascii="Arial" w:hAnsi="Arial" w:cs="Arial"/>
          <w:color w:val="000000"/>
          <w:kern w:val="0"/>
        </w:rPr>
        <w:t>Le modifiche delle strutture di po</w:t>
      </w:r>
      <w:r>
        <w:rPr>
          <w:rFonts w:ascii="Arial" w:hAnsi="Arial" w:cs="Arial"/>
          <w:color w:val="000000"/>
          <w:kern w:val="0"/>
        </w:rPr>
        <w:t>nderazione elaborate per il 2022 r</w:t>
      </w:r>
      <w:r w:rsidRPr="008512EA">
        <w:rPr>
          <w:rFonts w:ascii="Arial" w:hAnsi="Arial" w:cs="Arial"/>
          <w:color w:val="000000"/>
          <w:kern w:val="0"/>
        </w:rPr>
        <w:t>isultano in linea con quelle del sistema dei pesi</w:t>
      </w:r>
      <w:r>
        <w:rPr>
          <w:rFonts w:ascii="Arial" w:hAnsi="Arial" w:cs="Arial"/>
          <w:color w:val="000000"/>
          <w:kern w:val="0"/>
        </w:rPr>
        <w:t xml:space="preserve"> </w:t>
      </w:r>
      <w:r w:rsidRPr="008512EA">
        <w:rPr>
          <w:rFonts w:ascii="Arial" w:hAnsi="Arial" w:cs="Arial"/>
          <w:color w:val="000000"/>
          <w:kern w:val="0"/>
        </w:rPr>
        <w:t>dell’IPCA riferito all’insieme della popolazione mostrando, però</w:t>
      </w:r>
      <w:r>
        <w:rPr>
          <w:rFonts w:ascii="Arial" w:hAnsi="Arial" w:cs="Arial"/>
          <w:color w:val="000000"/>
          <w:kern w:val="0"/>
        </w:rPr>
        <w:t>, rispetto al 2021</w:t>
      </w:r>
      <w:r w:rsidRPr="008512EA">
        <w:rPr>
          <w:rFonts w:ascii="Arial" w:hAnsi="Arial" w:cs="Arial"/>
          <w:color w:val="000000"/>
          <w:kern w:val="0"/>
        </w:rPr>
        <w:t xml:space="preserve">, </w:t>
      </w:r>
      <w:r>
        <w:rPr>
          <w:rFonts w:ascii="Arial" w:hAnsi="Arial" w:cs="Arial"/>
          <w:color w:val="000000"/>
          <w:kern w:val="0"/>
        </w:rPr>
        <w:t>u</w:t>
      </w:r>
      <w:r w:rsidRPr="00EB2B77">
        <w:rPr>
          <w:rFonts w:ascii="Arial" w:hAnsi="Arial" w:cs="Arial"/>
          <w:color w:val="000000"/>
          <w:kern w:val="0"/>
        </w:rPr>
        <w:t xml:space="preserve">n </w:t>
      </w:r>
      <w:r>
        <w:rPr>
          <w:rFonts w:ascii="Arial" w:hAnsi="Arial" w:cs="Arial"/>
          <w:color w:val="000000"/>
          <w:kern w:val="0"/>
        </w:rPr>
        <w:t>a</w:t>
      </w:r>
      <w:r w:rsidRPr="00EB2B77">
        <w:rPr>
          <w:rFonts w:ascii="Arial" w:hAnsi="Arial" w:cs="Arial"/>
          <w:color w:val="000000"/>
          <w:kern w:val="0"/>
        </w:rPr>
        <w:t xml:space="preserve">umento dell’incidenza relativa </w:t>
      </w:r>
      <w:r w:rsidRPr="00EB2B77">
        <w:rPr>
          <w:rFonts w:ascii="Arial" w:hAnsi="Arial" w:cs="Arial"/>
          <w:color w:val="000000"/>
          <w:kern w:val="0"/>
        </w:rPr>
        <w:lastRenderedPageBreak/>
        <w:t>dei</w:t>
      </w:r>
      <w:r>
        <w:rPr>
          <w:rFonts w:ascii="Arial" w:hAnsi="Arial" w:cs="Arial"/>
          <w:color w:val="000000"/>
          <w:kern w:val="0"/>
        </w:rPr>
        <w:t xml:space="preserve"> Beni rispetto</w:t>
      </w:r>
      <w:r w:rsidRPr="00EB2B77">
        <w:rPr>
          <w:rFonts w:ascii="Arial" w:hAnsi="Arial" w:cs="Arial"/>
          <w:color w:val="000000"/>
          <w:kern w:val="0"/>
        </w:rPr>
        <w:t xml:space="preserve"> ai </w:t>
      </w:r>
      <w:r>
        <w:rPr>
          <w:rFonts w:ascii="Arial" w:hAnsi="Arial" w:cs="Arial"/>
          <w:color w:val="000000"/>
          <w:kern w:val="0"/>
        </w:rPr>
        <w:t>Servizi per il gruppo</w:t>
      </w:r>
      <w:r w:rsidRPr="00EB2B77">
        <w:rPr>
          <w:rFonts w:ascii="Arial" w:hAnsi="Arial" w:cs="Arial"/>
          <w:color w:val="000000"/>
          <w:kern w:val="0"/>
        </w:rPr>
        <w:t xml:space="preserve"> di famiglie </w:t>
      </w:r>
      <w:r>
        <w:rPr>
          <w:rFonts w:ascii="Arial" w:hAnsi="Arial" w:cs="Arial"/>
          <w:color w:val="000000"/>
          <w:kern w:val="0"/>
        </w:rPr>
        <w:t>con minori capacità di spesa (</w:t>
      </w:r>
      <w:r w:rsidRPr="008512EA">
        <w:rPr>
          <w:rFonts w:ascii="Arial" w:hAnsi="Arial" w:cs="Arial"/>
          <w:color w:val="000000"/>
          <w:kern w:val="0"/>
        </w:rPr>
        <w:t>Prospetto 3)</w:t>
      </w:r>
      <w:r>
        <w:rPr>
          <w:rFonts w:ascii="Arial" w:hAnsi="Arial" w:cs="Arial"/>
          <w:color w:val="000000"/>
          <w:kern w:val="0"/>
        </w:rPr>
        <w:t>.</w:t>
      </w:r>
      <w:r w:rsidRPr="0043481F">
        <w:rPr>
          <w:rFonts w:ascii="Arial" w:hAnsi="Arial" w:cs="Arial"/>
          <w:color w:val="000000"/>
          <w:kern w:val="0"/>
        </w:rPr>
        <w:t xml:space="preserve"> </w:t>
      </w:r>
      <w:r>
        <w:rPr>
          <w:rFonts w:ascii="Arial" w:hAnsi="Arial" w:cs="Arial"/>
          <w:color w:val="000000"/>
        </w:rPr>
        <w:t xml:space="preserve">Questa dinamica è da ascrivere principalmente </w:t>
      </w:r>
      <w:r w:rsidRPr="00577090">
        <w:rPr>
          <w:rFonts w:ascii="Arial" w:hAnsi="Arial" w:cs="Arial"/>
          <w:color w:val="000000"/>
        </w:rPr>
        <w:t>all</w:t>
      </w:r>
      <w:r>
        <w:rPr>
          <w:rFonts w:ascii="Arial" w:hAnsi="Arial" w:cs="Arial"/>
          <w:color w:val="000000"/>
        </w:rPr>
        <w:t>’incremento delle</w:t>
      </w:r>
      <w:r w:rsidRPr="00577090">
        <w:rPr>
          <w:rFonts w:ascii="Arial" w:hAnsi="Arial" w:cs="Arial"/>
          <w:color w:val="000000"/>
        </w:rPr>
        <w:t xml:space="preserve"> s</w:t>
      </w:r>
      <w:r>
        <w:rPr>
          <w:rFonts w:ascii="Arial" w:hAnsi="Arial" w:cs="Arial"/>
          <w:color w:val="000000"/>
        </w:rPr>
        <w:t>pese</w:t>
      </w:r>
      <w:r w:rsidRPr="00577090">
        <w:rPr>
          <w:rFonts w:ascii="Arial" w:hAnsi="Arial" w:cs="Arial"/>
          <w:color w:val="000000"/>
        </w:rPr>
        <w:t xml:space="preserve"> per l’aggregato Energia, </w:t>
      </w:r>
      <w:r>
        <w:rPr>
          <w:rFonts w:ascii="Arial" w:hAnsi="Arial" w:cs="Arial"/>
          <w:color w:val="000000"/>
        </w:rPr>
        <w:t xml:space="preserve">che ha riguardato sia le spese per l’Energia elettrica e il </w:t>
      </w:r>
      <w:r w:rsidR="004A27B7">
        <w:rPr>
          <w:rFonts w:ascii="Arial" w:hAnsi="Arial" w:cs="Arial"/>
          <w:color w:val="000000"/>
        </w:rPr>
        <w:t>Gas di citta, sia quelle per i C</w:t>
      </w:r>
      <w:r>
        <w:rPr>
          <w:rFonts w:ascii="Arial" w:hAnsi="Arial" w:cs="Arial"/>
          <w:color w:val="000000"/>
        </w:rPr>
        <w:t xml:space="preserve">arburanti per mezzi di trasporto, </w:t>
      </w:r>
      <w:r w:rsidRPr="00577090">
        <w:rPr>
          <w:rFonts w:ascii="Arial" w:hAnsi="Arial" w:cs="Arial"/>
          <w:color w:val="000000"/>
        </w:rPr>
        <w:t>che ha</w:t>
      </w:r>
      <w:r>
        <w:rPr>
          <w:rFonts w:ascii="Arial" w:hAnsi="Arial" w:cs="Arial"/>
          <w:color w:val="000000"/>
        </w:rPr>
        <w:t>nno</w:t>
      </w:r>
      <w:r w:rsidRPr="00577090">
        <w:rPr>
          <w:rFonts w:ascii="Arial" w:hAnsi="Arial" w:cs="Arial"/>
          <w:color w:val="000000"/>
        </w:rPr>
        <w:t xml:space="preserve"> avuto un maggiore impatto sul bilancio delle famiglie meno abbienti</w:t>
      </w:r>
      <w:r>
        <w:rPr>
          <w:rFonts w:ascii="Arial" w:hAnsi="Arial" w:cs="Arial"/>
          <w:color w:val="000000"/>
        </w:rPr>
        <w:t>.</w:t>
      </w:r>
      <w:r>
        <w:rPr>
          <w:rFonts w:ascii="Arial" w:hAnsi="Arial" w:cs="Arial"/>
          <w:color w:val="000000"/>
          <w:kern w:val="0"/>
        </w:rPr>
        <w:t xml:space="preserve"> </w:t>
      </w:r>
      <w:r w:rsidRPr="00EC28A7">
        <w:rPr>
          <w:rFonts w:ascii="Arial" w:hAnsi="Arial" w:cs="Arial"/>
          <w:color w:val="000000"/>
          <w:kern w:val="0"/>
        </w:rPr>
        <w:t>Viceversa</w:t>
      </w:r>
      <w:r>
        <w:rPr>
          <w:rFonts w:ascii="Arial" w:hAnsi="Arial" w:cs="Arial"/>
          <w:color w:val="000000"/>
          <w:kern w:val="0"/>
        </w:rPr>
        <w:t xml:space="preserve">, l’aumento del peso dei servizi per le famiglie più agiate è da ascrivere principalmente all’incremento della spesa per i </w:t>
      </w:r>
      <w:r w:rsidRPr="003964F4">
        <w:rPr>
          <w:rFonts w:ascii="Arial" w:hAnsi="Arial" w:cs="Arial"/>
          <w:color w:val="000000"/>
          <w:kern w:val="0"/>
        </w:rPr>
        <w:t xml:space="preserve">Servizi ricreativi culturali e per la </w:t>
      </w:r>
      <w:r>
        <w:rPr>
          <w:rFonts w:ascii="Arial" w:hAnsi="Arial" w:cs="Arial"/>
          <w:color w:val="000000"/>
          <w:kern w:val="0"/>
        </w:rPr>
        <w:t>cura della persona, cui tali famiglie sono solite destinare una quota maggiore del loro bilancio.</w:t>
      </w:r>
    </w:p>
    <w:p w:rsidR="006C19EA" w:rsidRDefault="006C19EA" w:rsidP="006C19EA">
      <w:pPr>
        <w:widowControl/>
        <w:overflowPunct/>
        <w:spacing w:before="0" w:after="120"/>
        <w:ind w:right="-1"/>
        <w:jc w:val="both"/>
        <w:rPr>
          <w:rFonts w:ascii="Arial" w:hAnsi="Arial" w:cs="Arial"/>
          <w:color w:val="000000"/>
          <w:kern w:val="0"/>
        </w:rPr>
      </w:pPr>
    </w:p>
    <w:p w:rsidR="006C19EA" w:rsidRDefault="006C19EA" w:rsidP="006C19EA">
      <w:pPr>
        <w:spacing w:before="0" w:after="120"/>
        <w:ind w:right="-1"/>
        <w:jc w:val="both"/>
        <w:rPr>
          <w:rFonts w:ascii="Arial Narrow" w:hAnsi="Arial Narrow" w:cs="Arial"/>
          <w:color w:val="5F5F5F"/>
        </w:rPr>
      </w:pPr>
      <w:r>
        <w:rPr>
          <w:rFonts w:ascii="Arial Narrow" w:hAnsi="Arial Narrow" w:cs="Arial"/>
          <w:b/>
          <w:color w:val="E42618"/>
          <w:kern w:val="0"/>
          <w:sz w:val="22"/>
          <w:szCs w:val="22"/>
        </w:rPr>
        <w:t>PROSPETTO 3</w:t>
      </w:r>
      <w:r w:rsidRPr="007A604B">
        <w:rPr>
          <w:rFonts w:ascii="Arial Narrow" w:hAnsi="Arial Narrow" w:cs="Arial"/>
          <w:b/>
          <w:color w:val="E42618"/>
          <w:kern w:val="0"/>
          <w:sz w:val="22"/>
          <w:szCs w:val="22"/>
        </w:rPr>
        <w:t>.</w:t>
      </w:r>
      <w:r>
        <w:rPr>
          <w:rFonts w:ascii="Arial Narrow" w:hAnsi="Arial Narrow" w:cs="Arial"/>
          <w:b/>
          <w:color w:val="5F5F5F"/>
        </w:rPr>
        <w:t xml:space="preserve"> </w:t>
      </w:r>
      <w:r>
        <w:rPr>
          <w:rFonts w:ascii="Arial Narrow" w:hAnsi="Arial Narrow" w:cs="Calibri"/>
          <w:b/>
          <w:bCs/>
          <w:color w:val="5F5F5F"/>
          <w:kern w:val="0"/>
          <w:sz w:val="22"/>
          <w:szCs w:val="22"/>
        </w:rPr>
        <w:t>STRUTTURE DI PONDERAZIONE D</w:t>
      </w:r>
      <w:r w:rsidRPr="007A604B">
        <w:rPr>
          <w:rFonts w:ascii="Arial Narrow" w:hAnsi="Arial Narrow" w:cs="Calibri"/>
          <w:b/>
          <w:bCs/>
          <w:color w:val="5F5F5F"/>
          <w:kern w:val="0"/>
          <w:sz w:val="22"/>
          <w:szCs w:val="22"/>
        </w:rPr>
        <w:t>EGLI INDICI IPCA,</w:t>
      </w:r>
      <w:r>
        <w:rPr>
          <w:rFonts w:ascii="Arial Narrow" w:hAnsi="Arial Narrow" w:cs="Calibri"/>
          <w:b/>
          <w:bCs/>
          <w:color w:val="5F5F5F"/>
          <w:kern w:val="0"/>
          <w:sz w:val="22"/>
          <w:szCs w:val="22"/>
        </w:rPr>
        <w:t xml:space="preserve"> PER AGGREGATI SPECIALI</w:t>
      </w:r>
      <w:r w:rsidRPr="007A604B">
        <w:rPr>
          <w:rFonts w:ascii="Arial Narrow" w:hAnsi="Arial Narrow" w:cs="Calibri"/>
          <w:b/>
          <w:bCs/>
          <w:color w:val="5F5F5F"/>
          <w:kern w:val="0"/>
          <w:sz w:val="22"/>
          <w:szCs w:val="22"/>
        </w:rPr>
        <w:t xml:space="preserve"> PER CLASSI DI SPESA</w:t>
      </w:r>
      <w:r>
        <w:rPr>
          <w:rFonts w:ascii="Arial Narrow" w:hAnsi="Arial Narrow" w:cs="Calibri"/>
          <w:b/>
          <w:bCs/>
          <w:color w:val="5F5F5F"/>
          <w:kern w:val="0"/>
          <w:sz w:val="22"/>
          <w:szCs w:val="22"/>
        </w:rPr>
        <w:t>.</w:t>
      </w:r>
      <w:r>
        <w:rPr>
          <w:rFonts w:ascii="Arial Narrow" w:hAnsi="Arial Narrow" w:cs="Arial"/>
          <w:b/>
          <w:caps/>
          <w:color w:val="5F5F5F"/>
        </w:rPr>
        <w:t xml:space="preserve"> </w:t>
      </w:r>
      <w:r>
        <w:rPr>
          <w:rFonts w:ascii="Arial Narrow" w:hAnsi="Arial Narrow" w:cs="Arial"/>
          <w:color w:val="5F5F5F"/>
        </w:rPr>
        <w:t>Anni 2021 e 2022</w:t>
      </w:r>
      <w:r w:rsidRPr="00DB0265">
        <w:rPr>
          <w:rFonts w:ascii="Arial Narrow" w:hAnsi="Arial Narrow" w:cs="Arial"/>
          <w:color w:val="5F5F5F"/>
        </w:rPr>
        <w:t>, valori percentuali e differenze assolute</w:t>
      </w:r>
    </w:p>
    <w:p w:rsidR="006C19EA" w:rsidRDefault="006C19EA" w:rsidP="006C19EA">
      <w:pPr>
        <w:spacing w:before="0" w:after="120"/>
        <w:ind w:right="-1"/>
        <w:jc w:val="both"/>
        <w:rPr>
          <w:rFonts w:ascii="Arial Narrow" w:hAnsi="Arial Narrow" w:cs="Arial"/>
          <w:color w:val="5F5F5F"/>
        </w:rPr>
      </w:pPr>
      <w:r w:rsidRPr="00240B36">
        <w:rPr>
          <w:noProof/>
        </w:rPr>
        <w:drawing>
          <wp:inline distT="0" distB="0" distL="0" distR="0" wp14:anchorId="409DBE27" wp14:editId="7E94AF89">
            <wp:extent cx="6480175" cy="5231163"/>
            <wp:effectExtent l="0" t="0" r="0" b="762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0175" cy="5231163"/>
                    </a:xfrm>
                    <a:prstGeom prst="rect">
                      <a:avLst/>
                    </a:prstGeom>
                    <a:noFill/>
                    <a:ln>
                      <a:noFill/>
                    </a:ln>
                  </pic:spPr>
                </pic:pic>
              </a:graphicData>
            </a:graphic>
          </wp:inline>
        </w:drawing>
      </w:r>
    </w:p>
    <w:p w:rsidR="006C19EA" w:rsidRDefault="006C19EA" w:rsidP="006C19EA">
      <w:pPr>
        <w:pStyle w:val="Default"/>
        <w:spacing w:after="120"/>
        <w:jc w:val="both"/>
        <w:rPr>
          <w:rFonts w:ascii="Arial" w:hAnsi="Arial" w:cs="Arial"/>
          <w:sz w:val="20"/>
          <w:szCs w:val="20"/>
        </w:rPr>
      </w:pPr>
    </w:p>
    <w:p w:rsidR="00FC4BD2" w:rsidRPr="001D642A" w:rsidRDefault="00FC4BD2" w:rsidP="00FC4BD2">
      <w:pPr>
        <w:spacing w:before="0" w:after="120"/>
        <w:jc w:val="both"/>
        <w:rPr>
          <w:rFonts w:ascii="Arial" w:hAnsi="Arial" w:cs="Arial"/>
          <w:b/>
          <w:sz w:val="22"/>
          <w:szCs w:val="22"/>
        </w:rPr>
      </w:pPr>
      <w:r w:rsidRPr="001D642A">
        <w:rPr>
          <w:rFonts w:ascii="Arial" w:hAnsi="Arial" w:cs="Arial"/>
          <w:b/>
          <w:sz w:val="22"/>
          <w:szCs w:val="22"/>
        </w:rPr>
        <w:t>L’emergenza sanitaria Covid-19 e la compilazione degli indici dei prezzi al consumo</w:t>
      </w:r>
    </w:p>
    <w:p w:rsidR="00353727" w:rsidRDefault="00353727" w:rsidP="00353727">
      <w:pPr>
        <w:pStyle w:val="Default"/>
        <w:spacing w:after="120"/>
        <w:jc w:val="both"/>
        <w:rPr>
          <w:rFonts w:ascii="Arial" w:hAnsi="Arial" w:cs="Arial"/>
          <w:sz w:val="20"/>
          <w:szCs w:val="20"/>
        </w:rPr>
      </w:pPr>
      <w:r w:rsidRPr="001D642A">
        <w:rPr>
          <w:rFonts w:ascii="Arial" w:hAnsi="Arial" w:cs="Arial"/>
          <w:sz w:val="20"/>
          <w:szCs w:val="20"/>
        </w:rPr>
        <w:t>L’emergenza sanitaria legata alla diffusione del Covid-19 e le misure varate dal governo per fronteggiare i rischi di ulteriore espansione del contagio hanno determinato, soprattutto nei mesi di marzo, aprile e maggio 2020, numerose criticità per il processo di produzione degli indici dei prezzi al consumo e in particolare per la fase di raccolta diretta dei dati. Tra la fine di maggio e il mese di giugno la progressiva riduzione della gravità dell’emergenza sanitaria e la riapertura graduale di buona parte delle attività commerciali di offerta di beni e servizi di consumo hanno limitato le criticità dei mesi precedenti, a partire da una netta diminuzione del numero di mancate rilevazioni che aveva raggiunto il picco nel mese di aprile 2020. Con il DPCM del 3 novembre 2020 sono state reintrodotte limitazioni, differenziate a livello regionale che hanno riproposto, almeno in parte, le criticità del periodo marzo-maggio. Queste limitazioni sono state poi rafforzate (e uniformate su scala nazionale a partire dal 24 dicembre) con il Decreto Legge 18 dicembre 2020 n. 172.</w:t>
      </w:r>
    </w:p>
    <w:p w:rsidR="006D4FAC" w:rsidRDefault="006D4FAC" w:rsidP="00353727">
      <w:pPr>
        <w:pStyle w:val="Default"/>
        <w:spacing w:after="120"/>
        <w:jc w:val="both"/>
        <w:rPr>
          <w:rFonts w:ascii="Arial" w:hAnsi="Arial" w:cs="Arial"/>
          <w:sz w:val="20"/>
          <w:szCs w:val="20"/>
        </w:rPr>
      </w:pPr>
    </w:p>
    <w:p w:rsidR="006D4FAC" w:rsidRPr="001D642A" w:rsidRDefault="006D4FAC" w:rsidP="00353727">
      <w:pPr>
        <w:pStyle w:val="Default"/>
        <w:spacing w:after="120"/>
        <w:jc w:val="both"/>
        <w:rPr>
          <w:rFonts w:ascii="Arial" w:hAnsi="Arial" w:cs="Arial"/>
          <w:sz w:val="20"/>
          <w:szCs w:val="20"/>
        </w:rPr>
      </w:pPr>
    </w:p>
    <w:p w:rsidR="00353727" w:rsidRDefault="00353727" w:rsidP="00353727">
      <w:pPr>
        <w:pStyle w:val="Default"/>
        <w:spacing w:after="120"/>
        <w:jc w:val="both"/>
        <w:rPr>
          <w:rFonts w:ascii="Arial" w:hAnsi="Arial" w:cs="Arial"/>
          <w:sz w:val="20"/>
          <w:szCs w:val="20"/>
        </w:rPr>
      </w:pPr>
      <w:r w:rsidRPr="001D642A">
        <w:rPr>
          <w:rFonts w:ascii="Arial" w:hAnsi="Arial" w:cs="Arial"/>
          <w:sz w:val="20"/>
          <w:szCs w:val="20"/>
        </w:rPr>
        <w:t>In tutti questi mesi di emergenza sanitaria, l’impianto dell’indagine sui prezzi al consumo, basato sull’utilizzo di una pluralità di canali per l’acquisizione dei dati necessari per il calcolo dell’inflazione, ha consentito di ridurre gli effetti negativi di queste criticità e in particolare del più elevato numero di mancate rilevazioni che ha colpito i mesi di marzo aprile e maggio e in misura più contenuta i mesi da giugno a dicembre.</w:t>
      </w:r>
    </w:p>
    <w:p w:rsidR="00353727" w:rsidRPr="001D642A"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I problemi più rilevanti hanno riguardato l’attività di raccolta dati in carico agli Uffici Comunali di Statistica, che ha potuto svolgersi in modo difficoltoso; in particolare nei mesi in cui è stata sospesa o limitata la rilevazione presso i punti vendita fisici, le attività degli Uffici Comunali di Statistica sono state svolte utilizzando, laddove possibile, anche il canale telefonico e Internet per la raccolta dei dati presso le unità di rilevazione previste dal piano di campionamento locale. </w:t>
      </w:r>
    </w:p>
    <w:p w:rsidR="00353727" w:rsidRPr="001D642A" w:rsidRDefault="00353727" w:rsidP="00353727">
      <w:pPr>
        <w:pStyle w:val="Default"/>
        <w:spacing w:after="120"/>
        <w:jc w:val="both"/>
        <w:rPr>
          <w:rFonts w:ascii="Arial" w:hAnsi="Arial" w:cs="Arial"/>
          <w:sz w:val="20"/>
          <w:szCs w:val="20"/>
        </w:rPr>
      </w:pPr>
      <w:r w:rsidRPr="001D642A">
        <w:rPr>
          <w:rFonts w:ascii="Arial" w:hAnsi="Arial" w:cs="Arial"/>
          <w:sz w:val="20"/>
          <w:szCs w:val="20"/>
        </w:rPr>
        <w:t>Per quanto riguarda le altre fonti dell’indagine, ossia la rilevazione centralizzata, gli scanner data e i grandi fornitori di dati e i dati di fonte amministrativa, non si sono registrati problemi nella disponibilità delle informazioni necessarie per le elaborazioni degli indici dei prezzi al consumo.</w:t>
      </w:r>
    </w:p>
    <w:p w:rsidR="00353727" w:rsidRPr="001D642A"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Questo quadro va integrato, con particolare riferimento alla seconda parte del mese di marzo e ai mesi di aprile e maggio </w:t>
      </w:r>
      <w:r>
        <w:rPr>
          <w:rFonts w:ascii="Arial" w:hAnsi="Arial" w:cs="Arial"/>
          <w:sz w:val="20"/>
          <w:szCs w:val="20"/>
        </w:rPr>
        <w:t xml:space="preserve">2020 </w:t>
      </w:r>
      <w:r w:rsidRPr="001D642A">
        <w:rPr>
          <w:rFonts w:ascii="Arial" w:hAnsi="Arial" w:cs="Arial"/>
          <w:sz w:val="20"/>
          <w:szCs w:val="20"/>
        </w:rPr>
        <w:t xml:space="preserve">e ai mesi da novembre 2020 </w:t>
      </w:r>
      <w:r>
        <w:rPr>
          <w:rFonts w:ascii="Arial" w:hAnsi="Arial" w:cs="Arial"/>
          <w:sz w:val="20"/>
          <w:szCs w:val="20"/>
        </w:rPr>
        <w:t xml:space="preserve">fino ai primi del 2021 </w:t>
      </w:r>
      <w:r w:rsidRPr="001D642A">
        <w:rPr>
          <w:rFonts w:ascii="Arial" w:hAnsi="Arial" w:cs="Arial"/>
          <w:sz w:val="20"/>
          <w:szCs w:val="20"/>
        </w:rPr>
        <w:t>(in particolare per le regioni che si sono trovate in fascia rossa e per il territorio nazionale nel suo complesso nell’ultima parte del mese di dicembre</w:t>
      </w:r>
      <w:r>
        <w:rPr>
          <w:rFonts w:ascii="Arial" w:hAnsi="Arial" w:cs="Arial"/>
          <w:sz w:val="20"/>
          <w:szCs w:val="20"/>
        </w:rPr>
        <w:t xml:space="preserve"> 2020</w:t>
      </w:r>
      <w:r w:rsidRPr="001D642A">
        <w:rPr>
          <w:rFonts w:ascii="Arial" w:hAnsi="Arial" w:cs="Arial"/>
          <w:sz w:val="20"/>
          <w:szCs w:val="20"/>
        </w:rPr>
        <w:t>), con i problemi derivanti dall’introduzione di misure restrittive riguardanti lo svolgimento di diverse attività commerciali, che hanno comportato forti limitazioni alla possibilità da parte dei consumatori di acquistare beni e fruire di determinate categorie di servizi (in primo luogo trasporti, servizi ricreativi, servizi di alloggio) e che hanno richiesto e richiedono interventi specifici nella fase di elaborazione dei corrispondenti indici di prezzo.</w:t>
      </w:r>
    </w:p>
    <w:p w:rsidR="00353727"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In tutti i mesi trascorsi a partire da marzo 2020, per la stima dell’inflazione si è fatto ricorso all’imputazione delle mancate rilevazioni, coerentemente con l’impianto metodologico indicato da Eurostat e condiviso con gli Stati membri (per un ulteriore dettaglio si può consultare il </w:t>
      </w:r>
      <w:r>
        <w:rPr>
          <w:rFonts w:ascii="Arial" w:hAnsi="Arial" w:cs="Arial"/>
          <w:sz w:val="20"/>
          <w:szCs w:val="20"/>
        </w:rPr>
        <w:t xml:space="preserve">precedente </w:t>
      </w:r>
      <w:r w:rsidRPr="001D642A">
        <w:rPr>
          <w:rFonts w:ascii="Arial" w:hAnsi="Arial" w:cs="Arial"/>
          <w:sz w:val="20"/>
          <w:szCs w:val="20"/>
        </w:rPr>
        <w:t xml:space="preserve">paragrafo </w:t>
      </w:r>
      <w:r w:rsidRPr="001D642A">
        <w:rPr>
          <w:rFonts w:ascii="Arial" w:hAnsi="Arial" w:cs="Arial"/>
          <w:i/>
          <w:sz w:val="20"/>
          <w:szCs w:val="20"/>
        </w:rPr>
        <w:t xml:space="preserve">Stime delle </w:t>
      </w:r>
      <w:r>
        <w:rPr>
          <w:rFonts w:ascii="Arial" w:hAnsi="Arial" w:cs="Arial"/>
          <w:i/>
          <w:sz w:val="20"/>
          <w:szCs w:val="20"/>
        </w:rPr>
        <w:t>osservazioni mancanti</w:t>
      </w:r>
      <w:r w:rsidRPr="001D642A">
        <w:rPr>
          <w:rFonts w:ascii="Arial" w:hAnsi="Arial" w:cs="Arial"/>
          <w:i/>
          <w:sz w:val="20"/>
          <w:szCs w:val="20"/>
        </w:rPr>
        <w:t xml:space="preserve"> negli indici dei prezzi al consumo</w:t>
      </w:r>
      <w:r w:rsidRPr="001D642A">
        <w:rPr>
          <w:rFonts w:ascii="Arial" w:hAnsi="Arial" w:cs="Arial"/>
          <w:sz w:val="20"/>
          <w:szCs w:val="20"/>
        </w:rPr>
        <w:t>).</w:t>
      </w:r>
    </w:p>
    <w:p w:rsidR="00353727" w:rsidRPr="001D642A" w:rsidRDefault="00353727" w:rsidP="00353727">
      <w:pPr>
        <w:pStyle w:val="Default"/>
        <w:spacing w:after="120"/>
        <w:jc w:val="both"/>
        <w:rPr>
          <w:rFonts w:ascii="Arial" w:hAnsi="Arial" w:cs="Arial"/>
          <w:sz w:val="20"/>
          <w:szCs w:val="20"/>
        </w:rPr>
      </w:pPr>
      <w:r w:rsidRPr="001D642A">
        <w:rPr>
          <w:rFonts w:ascii="Arial" w:hAnsi="Arial" w:cs="Arial"/>
          <w:sz w:val="20"/>
          <w:szCs w:val="20"/>
        </w:rPr>
        <w:t xml:space="preserve">A partire dal D.L 52 del 22 aprile 2021 (c.d. Decreto riaperture) sono state via via eliminate gran parte delle restrizioni introdotte dal governo nei mesi precedenti, permettendo la </w:t>
      </w:r>
      <w:r>
        <w:rPr>
          <w:rFonts w:ascii="Arial" w:hAnsi="Arial" w:cs="Arial"/>
          <w:sz w:val="20"/>
          <w:szCs w:val="20"/>
        </w:rPr>
        <w:t xml:space="preserve">progressiva </w:t>
      </w:r>
      <w:r w:rsidRPr="001D642A">
        <w:rPr>
          <w:rFonts w:ascii="Arial" w:hAnsi="Arial" w:cs="Arial"/>
          <w:sz w:val="20"/>
          <w:szCs w:val="20"/>
        </w:rPr>
        <w:t>riapertura di quasi tutte le attività economiche e la possibilità di riprendere una mobilità sul territorio non dettata da motivazioni di stretta necessità, pur rimanendo limitazioni dovute al rispett</w:t>
      </w:r>
      <w:r>
        <w:rPr>
          <w:rFonts w:ascii="Arial" w:hAnsi="Arial" w:cs="Arial"/>
          <w:sz w:val="20"/>
          <w:szCs w:val="20"/>
        </w:rPr>
        <w:t>o</w:t>
      </w:r>
      <w:r w:rsidRPr="001D642A">
        <w:rPr>
          <w:rFonts w:ascii="Arial" w:hAnsi="Arial" w:cs="Arial"/>
          <w:sz w:val="20"/>
          <w:szCs w:val="20"/>
        </w:rPr>
        <w:t xml:space="preserve"> </w:t>
      </w:r>
      <w:r>
        <w:rPr>
          <w:rFonts w:ascii="Arial" w:hAnsi="Arial" w:cs="Arial"/>
          <w:sz w:val="20"/>
          <w:szCs w:val="20"/>
        </w:rPr>
        <w:t>de</w:t>
      </w:r>
      <w:r w:rsidRPr="001D642A">
        <w:rPr>
          <w:rFonts w:ascii="Arial" w:hAnsi="Arial" w:cs="Arial"/>
          <w:sz w:val="20"/>
          <w:szCs w:val="20"/>
        </w:rPr>
        <w:t>l distanziamento sociale</w:t>
      </w:r>
      <w:r>
        <w:rPr>
          <w:rFonts w:ascii="Arial" w:hAnsi="Arial" w:cs="Arial"/>
          <w:sz w:val="20"/>
          <w:szCs w:val="20"/>
        </w:rPr>
        <w:t xml:space="preserve">, </w:t>
      </w:r>
      <w:r w:rsidRPr="00323AD4">
        <w:rPr>
          <w:rFonts w:ascii="Arial" w:hAnsi="Arial" w:cs="Arial"/>
          <w:sz w:val="20"/>
          <w:szCs w:val="20"/>
        </w:rPr>
        <w:t xml:space="preserve">anch’esse in larga parte venute </w:t>
      </w:r>
      <w:r>
        <w:rPr>
          <w:rFonts w:ascii="Arial" w:hAnsi="Arial" w:cs="Arial"/>
          <w:sz w:val="20"/>
          <w:szCs w:val="20"/>
        </w:rPr>
        <w:t>per lo più</w:t>
      </w:r>
      <w:r w:rsidRPr="00323AD4">
        <w:rPr>
          <w:rFonts w:ascii="Arial" w:hAnsi="Arial" w:cs="Arial"/>
          <w:sz w:val="20"/>
          <w:szCs w:val="20"/>
        </w:rPr>
        <w:t xml:space="preserve"> a cadere</w:t>
      </w:r>
      <w:r w:rsidRPr="001D642A">
        <w:rPr>
          <w:rFonts w:ascii="Arial" w:hAnsi="Arial" w:cs="Arial"/>
          <w:sz w:val="20"/>
          <w:szCs w:val="20"/>
        </w:rPr>
        <w:t xml:space="preserve">. Anche </w:t>
      </w:r>
      <w:r w:rsidR="00BC6184">
        <w:rPr>
          <w:rFonts w:ascii="Arial" w:hAnsi="Arial" w:cs="Arial"/>
          <w:sz w:val="20"/>
          <w:szCs w:val="20"/>
        </w:rPr>
        <w:t xml:space="preserve">in </w:t>
      </w:r>
      <w:r>
        <w:rPr>
          <w:rFonts w:ascii="Arial" w:hAnsi="Arial" w:cs="Arial"/>
          <w:sz w:val="20"/>
          <w:szCs w:val="20"/>
        </w:rPr>
        <w:t>questo</w:t>
      </w:r>
      <w:r w:rsidRPr="001D642A">
        <w:rPr>
          <w:rFonts w:ascii="Arial" w:hAnsi="Arial" w:cs="Arial"/>
          <w:sz w:val="20"/>
          <w:szCs w:val="20"/>
        </w:rPr>
        <w:t xml:space="preserve"> mese tutte le attività commerciali hanno </w:t>
      </w:r>
      <w:r>
        <w:rPr>
          <w:rFonts w:ascii="Arial" w:hAnsi="Arial" w:cs="Arial"/>
          <w:sz w:val="20"/>
          <w:szCs w:val="20"/>
        </w:rPr>
        <w:t>operato</w:t>
      </w:r>
      <w:r w:rsidRPr="001D642A">
        <w:rPr>
          <w:rFonts w:ascii="Arial" w:hAnsi="Arial" w:cs="Arial"/>
          <w:sz w:val="20"/>
          <w:szCs w:val="20"/>
        </w:rPr>
        <w:t xml:space="preserve"> ed è quindi stato possibile, per tutti i prodotti del paniere, utilizzare i prezzi rilevati, inclusi quelli rilevati in anticipo per tutti i prodotti per i quali è prevista questa metodologia di rilevazione. </w:t>
      </w:r>
    </w:p>
    <w:p w:rsidR="00577B6E" w:rsidRDefault="00577B6E" w:rsidP="00577B6E">
      <w:pPr>
        <w:pStyle w:val="Default"/>
        <w:spacing w:after="120"/>
        <w:jc w:val="both"/>
        <w:rPr>
          <w:rFonts w:ascii="Arial" w:hAnsi="Arial" w:cs="Arial"/>
          <w:b/>
          <w:sz w:val="18"/>
          <w:szCs w:val="22"/>
        </w:rPr>
      </w:pPr>
    </w:p>
    <w:p w:rsidR="00577B6E" w:rsidRPr="00833545" w:rsidRDefault="00577B6E" w:rsidP="00577B6E">
      <w:pPr>
        <w:spacing w:before="0" w:after="120"/>
        <w:jc w:val="both"/>
        <w:rPr>
          <w:rFonts w:ascii="Arial" w:hAnsi="Arial" w:cs="Arial"/>
          <w:b/>
          <w:sz w:val="22"/>
          <w:szCs w:val="22"/>
        </w:rPr>
      </w:pPr>
      <w:r w:rsidRPr="00833545">
        <w:rPr>
          <w:rFonts w:ascii="Arial" w:hAnsi="Arial" w:cs="Arial"/>
          <w:b/>
          <w:sz w:val="22"/>
          <w:szCs w:val="22"/>
        </w:rPr>
        <w:t>La diffusione: tempestività e banche dati</w:t>
      </w:r>
    </w:p>
    <w:p w:rsidR="00353727" w:rsidRDefault="00353727" w:rsidP="00353727">
      <w:pPr>
        <w:spacing w:before="0" w:after="120"/>
        <w:jc w:val="both"/>
        <w:rPr>
          <w:rFonts w:ascii="Arial" w:hAnsi="Arial" w:cs="Arial"/>
          <w:color w:val="000000"/>
          <w:kern w:val="0"/>
        </w:rPr>
      </w:pPr>
      <w:r w:rsidRPr="00FB43B0">
        <w:rPr>
          <w:rFonts w:ascii="Arial" w:hAnsi="Arial" w:cs="Arial"/>
          <w:color w:val="000000"/>
          <w:kern w:val="0"/>
        </w:rPr>
        <w:t>La diffusione degli indici dei prezzi al consumo da parte dell’Istat avviene in due momenti temporali successivi secondo una diversa modalità di rilascio dei dati: stima provvisoria e stima definitiva.</w:t>
      </w:r>
    </w:p>
    <w:p w:rsidR="00353727" w:rsidRDefault="00353727" w:rsidP="00353727">
      <w:pPr>
        <w:spacing w:before="0" w:after="120"/>
        <w:jc w:val="both"/>
        <w:rPr>
          <w:rFonts w:ascii="Arial" w:hAnsi="Arial" w:cs="Arial"/>
          <w:color w:val="000000"/>
          <w:kern w:val="0"/>
        </w:rPr>
      </w:pPr>
      <w:r w:rsidRPr="00FB43B0">
        <w:rPr>
          <w:rFonts w:ascii="Arial" w:hAnsi="Arial" w:cs="Arial"/>
          <w:color w:val="000000"/>
          <w:kern w:val="0"/>
        </w:rPr>
        <w:t>La diffusione della stima provvisoria degli indici NIC (generale, per divisione di spesa, per tipologia di prodotto e per frequenza d’acquisto) e dell’indice IPCA (generale</w:t>
      </w:r>
      <w:r>
        <w:rPr>
          <w:rFonts w:ascii="Arial" w:hAnsi="Arial" w:cs="Arial"/>
          <w:color w:val="000000"/>
          <w:kern w:val="0"/>
        </w:rPr>
        <w:t>, per divisione di spesa e per aggregati speciali</w:t>
      </w:r>
      <w:r w:rsidRPr="00FB43B0">
        <w:rPr>
          <w:rFonts w:ascii="Arial" w:hAnsi="Arial" w:cs="Arial"/>
          <w:color w:val="000000"/>
          <w:kern w:val="0"/>
        </w:rPr>
        <w:t xml:space="preserve">) avviene alla fine del mese di riferimento, mentre la diffusione dei dati definitivi dei tre indici NIC, IPCA e FOI avviene non oltre la metà del mese successivo a quello di riferimento. I tempi di pubblicazione sono stabiliti da un calendario </w:t>
      </w:r>
      <w:hyperlink r:id="rId53" w:history="1">
        <w:r>
          <w:rPr>
            <w:rStyle w:val="Collegamentoipertestuale"/>
            <w:rFonts w:ascii="Arial" w:hAnsi="Arial" w:cs="Arial"/>
            <w:kern w:val="0"/>
          </w:rPr>
          <w:t>https://www.istat.it/it/informazioni-e-servizi/per-i-giornalisti/appuntamenti/calendario-diffusioni-ed-eventi</w:t>
        </w:r>
      </w:hyperlink>
      <w:r w:rsidRPr="00FB43B0">
        <w:rPr>
          <w:rFonts w:ascii="Arial" w:hAnsi="Arial" w:cs="Arial"/>
          <w:color w:val="000000"/>
          <w:kern w:val="0"/>
        </w:rPr>
        <w:t xml:space="preserve"> concordato con Eurostat, nel mese di dicembre di ogni anno, per l’anno successivo e secondo gli standard di diffusione (SDDS – Special Data Dissemination Standard) definiti dal Fondo Monetario Internazionale.</w:t>
      </w:r>
    </w:p>
    <w:p w:rsidR="00353727" w:rsidRDefault="00353727" w:rsidP="00353727">
      <w:pPr>
        <w:spacing w:before="0" w:after="120"/>
        <w:jc w:val="both"/>
        <w:rPr>
          <w:rFonts w:ascii="Arial" w:hAnsi="Arial" w:cs="Arial"/>
          <w:color w:val="000000"/>
          <w:kern w:val="0"/>
        </w:rPr>
      </w:pPr>
      <w:r>
        <w:rPr>
          <w:rFonts w:ascii="Arial" w:hAnsi="Arial" w:cs="Arial"/>
          <w:color w:val="000000"/>
          <w:kern w:val="0"/>
        </w:rPr>
        <w:t>Con la pubblicazione dei dati di gennaio 2019,</w:t>
      </w:r>
      <w:r>
        <w:t xml:space="preserve"> </w:t>
      </w:r>
      <w:r>
        <w:rPr>
          <w:rFonts w:ascii="Arial" w:hAnsi="Arial" w:cs="Arial"/>
          <w:color w:val="000000"/>
          <w:kern w:val="0"/>
        </w:rPr>
        <w:t>la</w:t>
      </w:r>
      <w:r w:rsidRPr="000B6995">
        <w:rPr>
          <w:rFonts w:ascii="Arial" w:hAnsi="Arial" w:cs="Arial"/>
          <w:color w:val="000000"/>
          <w:kern w:val="0"/>
        </w:rPr>
        <w:t xml:space="preserve"> diffusione diretta degli indici comunali dei prezzi al consumo è effettuata dai comuni</w:t>
      </w:r>
      <w:r>
        <w:rPr>
          <w:rFonts w:ascii="Arial" w:hAnsi="Arial" w:cs="Arial"/>
          <w:color w:val="000000"/>
          <w:kern w:val="0"/>
        </w:rPr>
        <w:t xml:space="preserve"> autorizzati </w:t>
      </w:r>
      <w:r w:rsidRPr="000B6995">
        <w:rPr>
          <w:rFonts w:ascii="Arial" w:hAnsi="Arial" w:cs="Arial"/>
          <w:color w:val="000000"/>
          <w:kern w:val="0"/>
        </w:rPr>
        <w:t>in concomitanza con l</w:t>
      </w:r>
      <w:r>
        <w:rPr>
          <w:rFonts w:ascii="Arial" w:hAnsi="Arial" w:cs="Arial"/>
          <w:color w:val="000000"/>
          <w:kern w:val="0"/>
        </w:rPr>
        <w:t>’</w:t>
      </w:r>
      <w:r w:rsidRPr="000B6995">
        <w:rPr>
          <w:rFonts w:ascii="Arial" w:hAnsi="Arial" w:cs="Arial"/>
          <w:color w:val="000000"/>
          <w:kern w:val="0"/>
        </w:rPr>
        <w:t>uscita degli indici definitivi da parte dell’Istat</w:t>
      </w:r>
      <w:r>
        <w:rPr>
          <w:rFonts w:ascii="Arial" w:hAnsi="Arial" w:cs="Arial"/>
          <w:color w:val="000000"/>
          <w:kern w:val="0"/>
        </w:rPr>
        <w:t xml:space="preserve">. </w:t>
      </w:r>
    </w:p>
    <w:p w:rsidR="00353727" w:rsidRDefault="00353727" w:rsidP="00353727">
      <w:pPr>
        <w:spacing w:before="0" w:after="120"/>
        <w:jc w:val="both"/>
        <w:rPr>
          <w:rFonts w:ascii="Arial" w:hAnsi="Arial" w:cs="Arial"/>
          <w:color w:val="000000"/>
          <w:kern w:val="0"/>
        </w:rPr>
      </w:pPr>
      <w:r w:rsidRPr="00FB43B0">
        <w:rPr>
          <w:rFonts w:ascii="Arial" w:hAnsi="Arial" w:cs="Arial"/>
          <w:color w:val="000000"/>
          <w:kern w:val="0"/>
        </w:rPr>
        <w:t xml:space="preserve">Gli indici, sia per la stima preliminare sia per quella definitiva, sono diffusi attraverso il comunicato stampa “Prezzi al consumo” disponibile sul sito web dell’Istituto all’indirizzo </w:t>
      </w:r>
      <w:hyperlink r:id="rId54" w:history="1">
        <w:r w:rsidRPr="00B85D2F">
          <w:rPr>
            <w:rStyle w:val="Collegamentoipertestuale"/>
            <w:rFonts w:ascii="Arial" w:hAnsi="Arial" w:cs="Arial"/>
            <w:kern w:val="0"/>
          </w:rPr>
          <w:t>https://www.istat.it/it/archivio/prezzi+al+consumo</w:t>
        </w:r>
      </w:hyperlink>
      <w:r w:rsidRPr="00FB43B0">
        <w:rPr>
          <w:rFonts w:ascii="Arial" w:hAnsi="Arial" w:cs="Arial"/>
          <w:color w:val="000000"/>
          <w:kern w:val="0"/>
        </w:rPr>
        <w:t>.</w:t>
      </w:r>
    </w:p>
    <w:p w:rsidR="00353727" w:rsidRDefault="00353727" w:rsidP="00353727">
      <w:pPr>
        <w:spacing w:before="0" w:after="120"/>
        <w:jc w:val="both"/>
        <w:rPr>
          <w:rFonts w:ascii="Arial" w:hAnsi="Arial" w:cs="Arial"/>
          <w:color w:val="000000"/>
          <w:kern w:val="0"/>
        </w:rPr>
      </w:pPr>
      <w:r w:rsidRPr="00FB43B0">
        <w:rPr>
          <w:rFonts w:ascii="Arial" w:hAnsi="Arial" w:cs="Arial"/>
          <w:color w:val="000000"/>
          <w:kern w:val="0"/>
        </w:rPr>
        <w:t>Le serie degli indici aggiornate sono pubblicate, in concomitanza con la diffusione del comunicato stampa, sul data warehouse I.Stat (</w:t>
      </w:r>
      <w:hyperlink r:id="rId55" w:history="1">
        <w:r w:rsidRPr="00FB43B0">
          <w:rPr>
            <w:rStyle w:val="Collegamentoipertestuale"/>
            <w:rFonts w:ascii="Arial" w:hAnsi="Arial" w:cs="Arial"/>
            <w:kern w:val="0"/>
          </w:rPr>
          <w:t>http://dati.istat.it</w:t>
        </w:r>
      </w:hyperlink>
      <w:r w:rsidRPr="00FB43B0">
        <w:rPr>
          <w:rFonts w:ascii="Arial" w:hAnsi="Arial" w:cs="Arial"/>
          <w:color w:val="000000"/>
          <w:kern w:val="0"/>
        </w:rPr>
        <w:t>) all’interno del tema Prezzi - Prezzi al consumo. Unitamente agli indici mensili sono diffuse le variazioni percentuali congiunturali e tendenziali</w:t>
      </w:r>
      <w:r>
        <w:rPr>
          <w:rFonts w:ascii="Arial" w:hAnsi="Arial" w:cs="Arial"/>
          <w:color w:val="000000"/>
          <w:kern w:val="0"/>
        </w:rPr>
        <w:t>,</w:t>
      </w:r>
      <w:r w:rsidRPr="00FB43B0">
        <w:rPr>
          <w:rFonts w:ascii="Arial" w:hAnsi="Arial" w:cs="Arial"/>
          <w:color w:val="000000"/>
          <w:kern w:val="0"/>
        </w:rPr>
        <w:t xml:space="preserve"> gli indici medi annui, le variazioni medie annue e i pesi calcolati annualmente.</w:t>
      </w:r>
      <w:r w:rsidRPr="00242F77">
        <w:rPr>
          <w:rFonts w:ascii="Arial" w:hAnsi="Arial" w:cs="Arial"/>
          <w:color w:val="000000"/>
          <w:kern w:val="0"/>
        </w:rPr>
        <w:t xml:space="preserve"> </w:t>
      </w:r>
      <w:r>
        <w:rPr>
          <w:rFonts w:ascii="Arial" w:hAnsi="Arial" w:cs="Arial"/>
          <w:color w:val="000000"/>
          <w:kern w:val="0"/>
        </w:rPr>
        <w:t>G</w:t>
      </w:r>
      <w:r w:rsidRPr="00614750">
        <w:rPr>
          <w:rFonts w:ascii="Arial" w:hAnsi="Arial" w:cs="Arial"/>
          <w:color w:val="000000"/>
          <w:kern w:val="0"/>
        </w:rPr>
        <w:t>li indici ai diversi livelli di aggregazione</w:t>
      </w:r>
      <w:r>
        <w:rPr>
          <w:rFonts w:ascii="Arial" w:hAnsi="Arial" w:cs="Arial"/>
          <w:color w:val="000000"/>
          <w:kern w:val="0"/>
        </w:rPr>
        <w:t xml:space="preserve"> e per i diversi livelli territoriali di riferimento</w:t>
      </w:r>
      <w:r w:rsidRPr="00614750">
        <w:rPr>
          <w:rFonts w:ascii="Arial" w:hAnsi="Arial" w:cs="Arial"/>
          <w:color w:val="000000"/>
          <w:kern w:val="0"/>
        </w:rPr>
        <w:t xml:space="preserve"> </w:t>
      </w:r>
      <w:r>
        <w:rPr>
          <w:rFonts w:ascii="Arial" w:hAnsi="Arial" w:cs="Arial"/>
          <w:color w:val="000000"/>
          <w:kern w:val="0"/>
        </w:rPr>
        <w:t xml:space="preserve">che </w:t>
      </w:r>
      <w:r w:rsidRPr="00614750">
        <w:rPr>
          <w:rFonts w:ascii="Arial" w:hAnsi="Arial" w:cs="Arial"/>
          <w:color w:val="000000"/>
          <w:kern w:val="0"/>
        </w:rPr>
        <w:t>ha</w:t>
      </w:r>
      <w:r>
        <w:rPr>
          <w:rFonts w:ascii="Arial" w:hAnsi="Arial" w:cs="Arial"/>
          <w:color w:val="000000"/>
          <w:kern w:val="0"/>
        </w:rPr>
        <w:t>nno</w:t>
      </w:r>
      <w:r w:rsidRPr="00614750">
        <w:rPr>
          <w:rFonts w:ascii="Arial" w:hAnsi="Arial" w:cs="Arial"/>
          <w:color w:val="000000"/>
          <w:kern w:val="0"/>
        </w:rPr>
        <w:t xml:space="preserve"> avuto una quota di imputazioni superiore al 50% (in termini di prezzi mancanti e/o di peso) </w:t>
      </w:r>
      <w:r>
        <w:rPr>
          <w:rFonts w:ascii="Arial" w:hAnsi="Arial" w:cs="Arial"/>
          <w:color w:val="000000"/>
          <w:kern w:val="0"/>
        </w:rPr>
        <w:t>sono individuabili con il</w:t>
      </w:r>
      <w:r w:rsidRPr="00614750">
        <w:rPr>
          <w:rFonts w:ascii="Arial" w:hAnsi="Arial" w:cs="Arial"/>
          <w:color w:val="000000"/>
          <w:kern w:val="0"/>
        </w:rPr>
        <w:t xml:space="preserve"> flag “i” (dato imputato</w:t>
      </w:r>
      <w:r>
        <w:rPr>
          <w:rFonts w:ascii="Arial" w:hAnsi="Arial" w:cs="Arial"/>
          <w:color w:val="000000"/>
          <w:kern w:val="0"/>
        </w:rPr>
        <w:t>)</w:t>
      </w:r>
      <w:r w:rsidRPr="00614750">
        <w:rPr>
          <w:rFonts w:ascii="Arial" w:hAnsi="Arial" w:cs="Arial"/>
          <w:color w:val="000000"/>
          <w:kern w:val="0"/>
        </w:rPr>
        <w:t>.</w:t>
      </w:r>
    </w:p>
    <w:p w:rsidR="006D4FAC" w:rsidRDefault="006D4FAC" w:rsidP="00353727">
      <w:pPr>
        <w:spacing w:before="0" w:after="120"/>
        <w:jc w:val="both"/>
        <w:rPr>
          <w:rFonts w:ascii="Arial" w:hAnsi="Arial" w:cs="Arial"/>
          <w:color w:val="000000"/>
          <w:kern w:val="0"/>
        </w:rPr>
      </w:pPr>
    </w:p>
    <w:p w:rsidR="006D4FAC" w:rsidRDefault="006D4FAC" w:rsidP="00353727">
      <w:pPr>
        <w:spacing w:before="0" w:after="120"/>
        <w:jc w:val="both"/>
        <w:rPr>
          <w:rFonts w:ascii="Arial" w:hAnsi="Arial" w:cs="Arial"/>
          <w:color w:val="000000"/>
          <w:kern w:val="0"/>
        </w:rPr>
      </w:pPr>
    </w:p>
    <w:p w:rsidR="006D4FAC" w:rsidRDefault="006D4FAC" w:rsidP="00353727">
      <w:pPr>
        <w:spacing w:before="0" w:after="120"/>
        <w:jc w:val="both"/>
        <w:rPr>
          <w:rFonts w:ascii="Arial" w:hAnsi="Arial" w:cs="Arial"/>
          <w:color w:val="000000"/>
          <w:kern w:val="0"/>
        </w:rPr>
      </w:pPr>
    </w:p>
    <w:p w:rsidR="00353727" w:rsidRDefault="00353727" w:rsidP="00353727">
      <w:pPr>
        <w:spacing w:before="0" w:after="120"/>
        <w:jc w:val="both"/>
        <w:rPr>
          <w:rFonts w:ascii="Arial" w:hAnsi="Arial" w:cs="Arial"/>
        </w:rPr>
      </w:pPr>
      <w:r>
        <w:rPr>
          <w:rFonts w:ascii="Arial" w:hAnsi="Arial" w:cs="Arial"/>
        </w:rPr>
        <w:t xml:space="preserve">Informazioni sugli indici dei prezzi al consumo sono disponibili sulla banca dati </w:t>
      </w:r>
      <w:hyperlink r:id="rId56" w:history="1">
        <w:r w:rsidRPr="00760661">
          <w:rPr>
            <w:rStyle w:val="Collegamentoipertestuale"/>
            <w:rFonts w:ascii="Arial" w:hAnsi="Arial" w:cs="Arial"/>
          </w:rPr>
          <w:t>Congiuntura.Stat</w:t>
        </w:r>
      </w:hyperlink>
      <w:r>
        <w:rPr>
          <w:rFonts w:ascii="Arial" w:hAnsi="Arial" w:cs="Arial"/>
        </w:rPr>
        <w:t xml:space="preserve">, che </w:t>
      </w:r>
      <w:r w:rsidRPr="001C73ED">
        <w:rPr>
          <w:rFonts w:ascii="Arial" w:hAnsi="Arial" w:cs="Arial"/>
        </w:rPr>
        <w:t>raccoglie e sistematizza le statistiche congiunturali prodotte dall’Istat e si propone quale strumento di approfondimento per policy maker, operatori sociali, studiosi e cittadini.</w:t>
      </w:r>
    </w:p>
    <w:p w:rsidR="00353727" w:rsidRDefault="00353727" w:rsidP="00353727">
      <w:pPr>
        <w:spacing w:before="0" w:after="120"/>
        <w:jc w:val="both"/>
        <w:rPr>
          <w:rFonts w:ascii="Arial" w:hAnsi="Arial" w:cs="Arial"/>
          <w:color w:val="000000"/>
          <w:kern w:val="0"/>
        </w:rPr>
      </w:pPr>
      <w:r w:rsidRPr="00FB43B0">
        <w:rPr>
          <w:rFonts w:ascii="Arial" w:hAnsi="Arial" w:cs="Arial"/>
          <w:color w:val="000000"/>
          <w:kern w:val="0"/>
        </w:rPr>
        <w:t>Informazioni sulle serie storiche di tutti e tre gli indici, a partire dal 1861</w:t>
      </w:r>
      <w:r>
        <w:rPr>
          <w:rFonts w:ascii="Arial" w:hAnsi="Arial" w:cs="Arial"/>
          <w:color w:val="000000"/>
          <w:kern w:val="0"/>
        </w:rPr>
        <w:t xml:space="preserve"> e fino al 2015</w:t>
      </w:r>
      <w:r w:rsidRPr="00FB43B0">
        <w:rPr>
          <w:rFonts w:ascii="Arial" w:hAnsi="Arial" w:cs="Arial"/>
          <w:color w:val="000000"/>
          <w:kern w:val="0"/>
        </w:rPr>
        <w:t xml:space="preserve">, sono disponibili sul sito dell’Istat all’indirizzo </w:t>
      </w:r>
      <w:hyperlink r:id="rId57" w:history="1">
        <w:r w:rsidRPr="00FB43B0">
          <w:rPr>
            <w:rStyle w:val="Collegamentoipertestuale"/>
            <w:rFonts w:ascii="Arial" w:hAnsi="Arial" w:cs="Arial"/>
            <w:kern w:val="0"/>
          </w:rPr>
          <w:t>http://seriestoriche.istat.it/</w:t>
        </w:r>
      </w:hyperlink>
      <w:r w:rsidRPr="00FB43B0">
        <w:rPr>
          <w:rFonts w:ascii="Arial" w:hAnsi="Arial" w:cs="Arial"/>
          <w:color w:val="000000"/>
          <w:kern w:val="0"/>
        </w:rPr>
        <w:t>.</w:t>
      </w:r>
    </w:p>
    <w:p w:rsidR="00353727" w:rsidRDefault="00353727" w:rsidP="00353727">
      <w:pPr>
        <w:spacing w:before="0" w:after="120"/>
        <w:jc w:val="both"/>
        <w:rPr>
          <w:rFonts w:ascii="Arial" w:hAnsi="Arial" w:cs="Arial"/>
          <w:color w:val="000000"/>
          <w:kern w:val="0"/>
        </w:rPr>
      </w:pPr>
      <w:r w:rsidRPr="00FB43B0">
        <w:rPr>
          <w:rFonts w:ascii="Arial" w:hAnsi="Arial" w:cs="Arial"/>
          <w:color w:val="000000"/>
          <w:kern w:val="0"/>
        </w:rPr>
        <w:t xml:space="preserve">Dati riepilogativi e approfondimenti sui prezzi al consumo e sul paniere dei beni e servizi sono, inoltre, contenuti in alcuni prodotti editoriali diffusi dall’Istat a cadenza annuale, quali </w:t>
      </w:r>
      <w:r w:rsidRPr="00D4266B">
        <w:rPr>
          <w:rFonts w:ascii="Arial" w:hAnsi="Arial" w:cs="Arial"/>
          <w:color w:val="000000"/>
          <w:kern w:val="0"/>
        </w:rPr>
        <w:t>l’</w:t>
      </w:r>
      <w:r w:rsidRPr="00D4266B">
        <w:rPr>
          <w:rFonts w:ascii="Arial" w:hAnsi="Arial" w:cs="Arial"/>
          <w:i/>
          <w:color w:val="000000"/>
          <w:kern w:val="0"/>
        </w:rPr>
        <w:t>Annuario statistico</w:t>
      </w:r>
      <w:r w:rsidRPr="00FB43B0">
        <w:rPr>
          <w:rFonts w:ascii="Arial" w:hAnsi="Arial" w:cs="Arial"/>
          <w:color w:val="000000"/>
          <w:kern w:val="0"/>
        </w:rPr>
        <w:t xml:space="preserve">, il </w:t>
      </w:r>
      <w:r w:rsidRPr="00D4266B">
        <w:rPr>
          <w:rFonts w:ascii="Arial" w:hAnsi="Arial" w:cs="Arial"/>
          <w:i/>
          <w:color w:val="000000"/>
          <w:kern w:val="0"/>
        </w:rPr>
        <w:t>Rapporto annuale</w:t>
      </w:r>
      <w:r w:rsidRPr="00FB43B0">
        <w:rPr>
          <w:rFonts w:ascii="Arial" w:hAnsi="Arial" w:cs="Arial"/>
          <w:color w:val="000000"/>
          <w:kern w:val="0"/>
        </w:rPr>
        <w:t xml:space="preserve"> e la pubblicazione </w:t>
      </w:r>
      <w:r w:rsidRPr="00D4266B">
        <w:rPr>
          <w:rFonts w:ascii="Arial" w:hAnsi="Arial" w:cs="Arial"/>
          <w:i/>
          <w:color w:val="000000"/>
          <w:kern w:val="0"/>
        </w:rPr>
        <w:t>Noi Italia</w:t>
      </w:r>
      <w:r w:rsidRPr="00FB43B0">
        <w:rPr>
          <w:rFonts w:ascii="Arial" w:hAnsi="Arial" w:cs="Arial"/>
          <w:color w:val="000000"/>
          <w:kern w:val="0"/>
        </w:rPr>
        <w:t>.</w:t>
      </w:r>
    </w:p>
    <w:p w:rsidR="00353727" w:rsidRDefault="00353727" w:rsidP="00353727">
      <w:pPr>
        <w:spacing w:before="0" w:after="120"/>
        <w:jc w:val="both"/>
        <w:rPr>
          <w:rFonts w:ascii="Arial" w:hAnsi="Arial" w:cs="Arial"/>
          <w:color w:val="000000"/>
          <w:kern w:val="0"/>
        </w:rPr>
      </w:pPr>
      <w:r w:rsidRPr="00FB43B0">
        <w:rPr>
          <w:rFonts w:ascii="Arial" w:hAnsi="Arial" w:cs="Arial"/>
          <w:color w:val="000000"/>
          <w:kern w:val="0"/>
        </w:rPr>
        <w:t xml:space="preserve">In adempimento al Regolamento europeo </w:t>
      </w:r>
      <w:r w:rsidRPr="00FB43B0">
        <w:rPr>
          <w:rFonts w:ascii="Arial" w:hAnsi="Arial" w:cs="Arial"/>
          <w:kern w:val="0"/>
        </w:rPr>
        <w:t>n. 792/2016,</w:t>
      </w:r>
      <w:r w:rsidRPr="00FB43B0">
        <w:rPr>
          <w:rFonts w:ascii="Arial" w:hAnsi="Arial" w:cs="Arial"/>
          <w:color w:val="000000"/>
          <w:kern w:val="0"/>
        </w:rPr>
        <w:t xml:space="preserve"> i dati dell’indagine sui prezzi al consumo sono trasmessi due volte al mese ad Eurostat. I principali indicatori, archiviati nel database di Eurostat, sono consultabili al</w:t>
      </w:r>
      <w:r>
        <w:rPr>
          <w:rFonts w:ascii="Arial" w:hAnsi="Arial" w:cs="Arial"/>
          <w:color w:val="000000"/>
          <w:kern w:val="0"/>
        </w:rPr>
        <w:t>l’indirizzo</w:t>
      </w:r>
      <w:r w:rsidRPr="00FB43B0">
        <w:rPr>
          <w:rFonts w:ascii="Arial" w:hAnsi="Arial" w:cs="Arial"/>
          <w:color w:val="000000"/>
          <w:kern w:val="0"/>
        </w:rPr>
        <w:t xml:space="preserve"> </w:t>
      </w:r>
      <w:hyperlink r:id="rId58" w:history="1">
        <w:r w:rsidRPr="00FB43B0">
          <w:rPr>
            <w:rStyle w:val="Collegamentoipertestuale"/>
            <w:rFonts w:ascii="Arial" w:hAnsi="Arial" w:cs="Arial"/>
            <w:kern w:val="0"/>
          </w:rPr>
          <w:t>http://ec.europa.eu/eurostat/data/database</w:t>
        </w:r>
      </w:hyperlink>
      <w:r w:rsidRPr="00FB43B0">
        <w:rPr>
          <w:rFonts w:ascii="Arial" w:hAnsi="Arial" w:cs="Arial"/>
          <w:color w:val="000000"/>
          <w:kern w:val="0"/>
        </w:rPr>
        <w:t xml:space="preserve"> (Tema “</w:t>
      </w:r>
      <w:r w:rsidRPr="00FB43B0">
        <w:rPr>
          <w:rFonts w:ascii="Arial" w:hAnsi="Arial" w:cs="Arial"/>
          <w:i/>
          <w:iCs/>
          <w:color w:val="000000"/>
          <w:kern w:val="0"/>
        </w:rPr>
        <w:t>Economy and finance</w:t>
      </w:r>
      <w:r w:rsidRPr="00FB43B0">
        <w:rPr>
          <w:rFonts w:ascii="Arial" w:hAnsi="Arial" w:cs="Arial"/>
          <w:color w:val="000000"/>
          <w:kern w:val="0"/>
        </w:rPr>
        <w:t>”, argomento “</w:t>
      </w:r>
      <w:r w:rsidRPr="00FB43B0">
        <w:rPr>
          <w:rFonts w:ascii="Arial" w:hAnsi="Arial" w:cs="Arial"/>
          <w:i/>
          <w:iCs/>
          <w:color w:val="000000"/>
          <w:kern w:val="0"/>
        </w:rPr>
        <w:t>Prices</w:t>
      </w:r>
      <w:r w:rsidRPr="00FB43B0">
        <w:rPr>
          <w:rFonts w:ascii="Arial" w:hAnsi="Arial" w:cs="Arial"/>
          <w:color w:val="000000"/>
          <w:kern w:val="0"/>
        </w:rPr>
        <w:t>”).</w:t>
      </w:r>
    </w:p>
    <w:p w:rsidR="00FC4BD2" w:rsidRDefault="00FC4BD2" w:rsidP="00FC4BD2">
      <w:pPr>
        <w:spacing w:before="0" w:after="120"/>
        <w:jc w:val="both"/>
        <w:rPr>
          <w:rFonts w:ascii="Arial" w:hAnsi="Arial" w:cs="Arial"/>
          <w:sz w:val="22"/>
          <w:szCs w:val="22"/>
        </w:rPr>
      </w:pPr>
    </w:p>
    <w:p w:rsidR="00B00AAB" w:rsidRDefault="00B00AAB" w:rsidP="006A09C3">
      <w:pPr>
        <w:spacing w:before="0" w:after="120"/>
        <w:jc w:val="both"/>
        <w:rPr>
          <w:rFonts w:ascii="Arial" w:hAnsi="Arial" w:cs="Arial"/>
          <w:sz w:val="22"/>
          <w:szCs w:val="22"/>
        </w:rPr>
      </w:pPr>
    </w:p>
    <w:p w:rsidR="000C3D07" w:rsidRDefault="000C3D07" w:rsidP="000C3D07">
      <w:pPr>
        <w:widowControl/>
        <w:overflowPunct/>
        <w:spacing w:before="0" w:after="0"/>
        <w:jc w:val="both"/>
        <w:rPr>
          <w:rFonts w:ascii="Arial"/>
          <w:color w:val="CD232E"/>
          <w:spacing w:val="-1"/>
          <w:sz w:val="36"/>
        </w:rPr>
        <w:sectPr w:rsidR="000C3D07" w:rsidSect="000161B7">
          <w:headerReference w:type="default" r:id="rId59"/>
          <w:pgSz w:w="11907" w:h="16840" w:code="9"/>
          <w:pgMar w:top="1534" w:right="851" w:bottom="680" w:left="851" w:header="567" w:footer="567" w:gutter="0"/>
          <w:cols w:space="720"/>
          <w:noEndnote/>
          <w:docGrid w:linePitch="272"/>
        </w:sectPr>
      </w:pPr>
      <w:r>
        <w:rPr>
          <w:rFonts w:ascii="Arial"/>
          <w:color w:val="CD232E"/>
          <w:spacing w:val="-1"/>
          <w:sz w:val="36"/>
        </w:rPr>
        <w:t>Per chiarimenti</w:t>
      </w:r>
      <w:r>
        <w:rPr>
          <w:rFonts w:ascii="Arial"/>
          <w:color w:val="CD232E"/>
          <w:spacing w:val="1"/>
          <w:sz w:val="36"/>
        </w:rPr>
        <w:t xml:space="preserve"> </w:t>
      </w:r>
      <w:r>
        <w:rPr>
          <w:rFonts w:ascii="Arial"/>
          <w:color w:val="CD232E"/>
          <w:spacing w:val="-1"/>
          <w:sz w:val="36"/>
        </w:rPr>
        <w:t>tecnici</w:t>
      </w:r>
      <w:r>
        <w:rPr>
          <w:rFonts w:ascii="Arial"/>
          <w:color w:val="CD232E"/>
          <w:spacing w:val="-2"/>
          <w:sz w:val="36"/>
        </w:rPr>
        <w:t xml:space="preserve"> </w:t>
      </w:r>
      <w:r>
        <w:rPr>
          <w:rFonts w:ascii="Arial"/>
          <w:color w:val="CD232E"/>
          <w:sz w:val="36"/>
        </w:rPr>
        <w:t>e</w:t>
      </w:r>
      <w:r>
        <w:rPr>
          <w:rFonts w:ascii="Arial"/>
          <w:color w:val="CD232E"/>
          <w:spacing w:val="-1"/>
          <w:sz w:val="36"/>
        </w:rPr>
        <w:t xml:space="preserve"> metodologici</w:t>
      </w:r>
    </w:p>
    <w:p w:rsidR="000C3D07" w:rsidRDefault="000C3D07" w:rsidP="000C3D07">
      <w:pPr>
        <w:widowControl/>
        <w:overflowPunct/>
        <w:spacing w:before="0" w:after="0"/>
        <w:jc w:val="both"/>
        <w:rPr>
          <w:rFonts w:ascii="Arial" w:hAnsi="Arial" w:cs="Arial"/>
          <w:color w:val="000000"/>
          <w:kern w:val="0"/>
        </w:rPr>
      </w:pPr>
    </w:p>
    <w:p w:rsidR="000C3D07" w:rsidRPr="00C141F9" w:rsidRDefault="00090E28" w:rsidP="000C3D07">
      <w:pPr>
        <w:pStyle w:val="Titolo3"/>
        <w:spacing w:before="72"/>
        <w:rPr>
          <w:rFonts w:ascii="Arial" w:eastAsia="Arial" w:hAnsi="Arial" w:cs="Arial"/>
          <w:b w:val="0"/>
          <w:bCs w:val="0"/>
        </w:rPr>
      </w:pPr>
      <w:r w:rsidRPr="00945335">
        <w:rPr>
          <w:rFonts w:ascii="Arial"/>
          <w:color w:val="CD232E"/>
          <w:spacing w:val="-1"/>
        </w:rPr>
        <w:t>Rosabel Ricci</w:t>
      </w:r>
    </w:p>
    <w:p w:rsidR="000C3D07" w:rsidRPr="00C141F9" w:rsidRDefault="000C3D07" w:rsidP="000C3D07">
      <w:pPr>
        <w:spacing w:before="122"/>
        <w:rPr>
          <w:rFonts w:ascii="Arial" w:eastAsia="Arial" w:hAnsi="Arial" w:cs="Arial"/>
          <w:sz w:val="24"/>
          <w:szCs w:val="24"/>
        </w:rPr>
      </w:pPr>
      <w:r w:rsidRPr="00C141F9">
        <w:rPr>
          <w:rFonts w:ascii="Arial"/>
          <w:sz w:val="24"/>
        </w:rPr>
        <w:t>tel.</w:t>
      </w:r>
      <w:r w:rsidRPr="00C141F9">
        <w:rPr>
          <w:rFonts w:ascii="Arial"/>
          <w:spacing w:val="-1"/>
          <w:sz w:val="24"/>
        </w:rPr>
        <w:t xml:space="preserve"> +39</w:t>
      </w:r>
      <w:r w:rsidRPr="00C141F9">
        <w:rPr>
          <w:rFonts w:ascii="Arial"/>
          <w:spacing w:val="-3"/>
          <w:sz w:val="24"/>
        </w:rPr>
        <w:t xml:space="preserve"> </w:t>
      </w:r>
      <w:r w:rsidRPr="00C141F9">
        <w:rPr>
          <w:rFonts w:ascii="Arial"/>
          <w:sz w:val="24"/>
        </w:rPr>
        <w:t>06</w:t>
      </w:r>
      <w:r w:rsidRPr="00C141F9">
        <w:rPr>
          <w:rFonts w:ascii="Arial"/>
          <w:spacing w:val="-3"/>
          <w:sz w:val="24"/>
        </w:rPr>
        <w:t xml:space="preserve"> </w:t>
      </w:r>
      <w:r>
        <w:rPr>
          <w:rFonts w:ascii="Arial"/>
          <w:spacing w:val="-1"/>
          <w:sz w:val="24"/>
        </w:rPr>
        <w:t>4673</w:t>
      </w:r>
      <w:r w:rsidRPr="00C141F9">
        <w:rPr>
          <w:rFonts w:ascii="Arial"/>
          <w:spacing w:val="-1"/>
          <w:sz w:val="24"/>
        </w:rPr>
        <w:t xml:space="preserve"> </w:t>
      </w:r>
      <w:r w:rsidR="00090E28">
        <w:rPr>
          <w:rFonts w:ascii="Arial"/>
          <w:spacing w:val="-1"/>
          <w:sz w:val="24"/>
        </w:rPr>
        <w:t>2659</w:t>
      </w:r>
    </w:p>
    <w:p w:rsidR="000C3D07" w:rsidRDefault="009C5BA6" w:rsidP="000C3D07">
      <w:pPr>
        <w:spacing w:before="98"/>
        <w:rPr>
          <w:rFonts w:ascii="Arial"/>
          <w:color w:val="0000FF"/>
          <w:spacing w:val="-1"/>
          <w:sz w:val="24"/>
          <w:u w:val="single" w:color="0000FF"/>
        </w:rPr>
      </w:pPr>
      <w:hyperlink r:id="rId60" w:history="1">
        <w:r w:rsidR="00357C8B" w:rsidRPr="006A5B13">
          <w:rPr>
            <w:rStyle w:val="Collegamentoipertestuale"/>
            <w:rFonts w:ascii="Arial"/>
            <w:spacing w:val="-1"/>
            <w:sz w:val="24"/>
            <w:u w:color="0000FF"/>
          </w:rPr>
          <w:t>rosabel.ricci@istat.it</w:t>
        </w:r>
      </w:hyperlink>
    </w:p>
    <w:p w:rsidR="000C3D07" w:rsidRDefault="000C3D07" w:rsidP="000C3D07">
      <w:pPr>
        <w:spacing w:before="72"/>
        <w:ind w:left="112"/>
      </w:pPr>
      <w:r w:rsidRPr="00C141F9">
        <w:br w:type="column"/>
      </w:r>
    </w:p>
    <w:p w:rsidR="000C3D07" w:rsidRPr="00C141F9" w:rsidRDefault="000C3D07" w:rsidP="000C3D07">
      <w:pPr>
        <w:spacing w:before="72"/>
        <w:ind w:left="112"/>
        <w:rPr>
          <w:rFonts w:ascii="Arial" w:eastAsia="Arial" w:hAnsi="Arial" w:cs="Arial"/>
        </w:rPr>
      </w:pPr>
      <w:r>
        <w:rPr>
          <w:rFonts w:ascii="Arial"/>
          <w:b/>
          <w:color w:val="CD232E"/>
          <w:spacing w:val="-1"/>
        </w:rPr>
        <w:t>Federico Polidoro</w:t>
      </w:r>
    </w:p>
    <w:p w:rsidR="000C3D07" w:rsidRPr="00C141F9" w:rsidRDefault="000C3D07" w:rsidP="000C3D07">
      <w:pPr>
        <w:spacing w:before="122"/>
        <w:ind w:left="112"/>
        <w:rPr>
          <w:rFonts w:ascii="Arial" w:eastAsia="Arial" w:hAnsi="Arial" w:cs="Arial"/>
          <w:sz w:val="24"/>
          <w:szCs w:val="24"/>
        </w:rPr>
      </w:pPr>
      <w:r w:rsidRPr="00C141F9">
        <w:rPr>
          <w:rFonts w:ascii="Arial"/>
          <w:sz w:val="24"/>
        </w:rPr>
        <w:t>tel.</w:t>
      </w:r>
      <w:r w:rsidRPr="00C141F9">
        <w:rPr>
          <w:rFonts w:ascii="Arial"/>
          <w:spacing w:val="-2"/>
          <w:sz w:val="24"/>
        </w:rPr>
        <w:t xml:space="preserve"> </w:t>
      </w:r>
      <w:r w:rsidRPr="00C141F9">
        <w:rPr>
          <w:rFonts w:ascii="Arial"/>
          <w:spacing w:val="-1"/>
          <w:sz w:val="24"/>
        </w:rPr>
        <w:t>+39</w:t>
      </w:r>
      <w:r w:rsidRPr="00C141F9">
        <w:rPr>
          <w:rFonts w:ascii="Arial"/>
          <w:spacing w:val="-3"/>
          <w:sz w:val="24"/>
        </w:rPr>
        <w:t xml:space="preserve"> </w:t>
      </w:r>
      <w:r w:rsidRPr="00C141F9">
        <w:rPr>
          <w:rFonts w:ascii="Arial"/>
          <w:sz w:val="24"/>
        </w:rPr>
        <w:t>06</w:t>
      </w:r>
      <w:r w:rsidRPr="00C141F9">
        <w:rPr>
          <w:rFonts w:ascii="Arial"/>
          <w:spacing w:val="-3"/>
          <w:sz w:val="24"/>
        </w:rPr>
        <w:t xml:space="preserve"> </w:t>
      </w:r>
      <w:r w:rsidRPr="00C141F9">
        <w:rPr>
          <w:rFonts w:ascii="Arial"/>
          <w:spacing w:val="-1"/>
          <w:sz w:val="24"/>
        </w:rPr>
        <w:t>4673</w:t>
      </w:r>
      <w:r>
        <w:rPr>
          <w:rFonts w:ascii="Arial"/>
          <w:spacing w:val="-1"/>
          <w:sz w:val="24"/>
        </w:rPr>
        <w:t xml:space="preserve"> 2307</w:t>
      </w:r>
    </w:p>
    <w:p w:rsidR="000C3D07" w:rsidRDefault="009C5BA6" w:rsidP="000C3D07">
      <w:pPr>
        <w:spacing w:before="98"/>
        <w:ind w:left="112"/>
        <w:rPr>
          <w:rFonts w:ascii="Arial"/>
          <w:color w:val="0000FF"/>
          <w:spacing w:val="-1"/>
          <w:sz w:val="24"/>
          <w:u w:val="single" w:color="0000FF"/>
        </w:rPr>
      </w:pPr>
      <w:hyperlink r:id="rId61">
        <w:r w:rsidR="000C3D07">
          <w:rPr>
            <w:rFonts w:ascii="Arial"/>
            <w:color w:val="0000FF"/>
            <w:spacing w:val="-1"/>
            <w:sz w:val="24"/>
            <w:u w:val="single" w:color="0000FF"/>
          </w:rPr>
          <w:t>federico.polidoro</w:t>
        </w:r>
        <w:r w:rsidR="000C3D07" w:rsidRPr="00C141F9">
          <w:rPr>
            <w:rFonts w:ascii="Arial"/>
            <w:color w:val="0000FF"/>
            <w:spacing w:val="-1"/>
            <w:sz w:val="24"/>
            <w:u w:val="single" w:color="0000FF"/>
          </w:rPr>
          <w:t>@istat.it</w:t>
        </w:r>
      </w:hyperlink>
    </w:p>
    <w:p w:rsidR="000C3D07" w:rsidRPr="00C141F9" w:rsidRDefault="000C3D07" w:rsidP="000C3D07">
      <w:pPr>
        <w:spacing w:before="98"/>
        <w:ind w:left="112"/>
        <w:rPr>
          <w:rFonts w:ascii="Arial" w:eastAsia="Arial" w:hAnsi="Arial" w:cs="Arial"/>
          <w:sz w:val="24"/>
          <w:szCs w:val="24"/>
        </w:rPr>
      </w:pPr>
    </w:p>
    <w:sectPr w:rsidR="000C3D07" w:rsidRPr="00C141F9" w:rsidSect="000C3D07">
      <w:type w:val="continuous"/>
      <w:pgSz w:w="11907" w:h="16840" w:code="9"/>
      <w:pgMar w:top="1534" w:right="851" w:bottom="680" w:left="851" w:header="567" w:footer="567" w:gutter="0"/>
      <w:cols w:num="2"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BA6" w:rsidRDefault="009C5BA6">
      <w:r>
        <w:separator/>
      </w:r>
    </w:p>
  </w:endnote>
  <w:endnote w:type="continuationSeparator" w:id="0">
    <w:p w:rsidR="009C5BA6" w:rsidRDefault="009C5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3F1" w:rsidRDefault="003643F1" w:rsidP="009F455F">
    <w:pPr>
      <w:pStyle w:val="Pidipagina"/>
      <w:ind w:left="1560"/>
    </w:pPr>
    <w:r>
      <w:rPr>
        <w:rFonts w:ascii="Calibri" w:hAnsi="Calibri"/>
        <w:noProof/>
        <w:color w:val="E42618"/>
        <w:sz w:val="28"/>
        <w:szCs w:val="28"/>
      </w:rPr>
      <w:drawing>
        <wp:anchor distT="0" distB="0" distL="114300" distR="114300" simplePos="0" relativeHeight="251655168" behindDoc="0" locked="0" layoutInCell="1" allowOverlap="1">
          <wp:simplePos x="0" y="0"/>
          <wp:positionH relativeFrom="column">
            <wp:posOffset>13335</wp:posOffset>
          </wp:positionH>
          <wp:positionV relativeFrom="paragraph">
            <wp:posOffset>-107950</wp:posOffset>
          </wp:positionV>
          <wp:extent cx="943610" cy="390525"/>
          <wp:effectExtent l="0" t="0" r="8890" b="9525"/>
          <wp:wrapNone/>
          <wp:docPr id="25"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anchor>
      </w:drawing>
    </w:r>
    <w:r w:rsidRPr="00A96D51">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89229A">
      <w:rPr>
        <w:rFonts w:ascii="Arial" w:hAnsi="Arial" w:cs="Arial"/>
        <w:b/>
        <w:noProof/>
        <w:color w:val="808080"/>
        <w:sz w:val="24"/>
        <w:szCs w:val="24"/>
      </w:rPr>
      <w:t>27</w:t>
    </w:r>
    <w:r w:rsidRPr="006B6BAF">
      <w:rPr>
        <w:rFonts w:ascii="Arial" w:hAnsi="Arial" w:cs="Arial"/>
        <w:b/>
        <w:color w:val="80808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3F1" w:rsidRDefault="003643F1" w:rsidP="00CB0759">
    <w:pPr>
      <w:pStyle w:val="Pidipagina"/>
      <w:ind w:left="1560"/>
    </w:pPr>
    <w:r>
      <w:rPr>
        <w:rFonts w:ascii="Calibri" w:hAnsi="Calibri"/>
        <w:noProof/>
        <w:color w:val="E42618"/>
        <w:sz w:val="28"/>
        <w:szCs w:val="28"/>
      </w:rPr>
      <w:drawing>
        <wp:anchor distT="0" distB="0" distL="114300" distR="114300" simplePos="0" relativeHeight="251659264" behindDoc="0" locked="0" layoutInCell="1" allowOverlap="1">
          <wp:simplePos x="0" y="0"/>
          <wp:positionH relativeFrom="column">
            <wp:posOffset>13335</wp:posOffset>
          </wp:positionH>
          <wp:positionV relativeFrom="paragraph">
            <wp:posOffset>-107950</wp:posOffset>
          </wp:positionV>
          <wp:extent cx="943610" cy="390525"/>
          <wp:effectExtent l="0" t="0" r="8890" b="9525"/>
          <wp:wrapNone/>
          <wp:docPr id="27"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anchor>
      </w:drawing>
    </w:r>
    <w:r w:rsidRPr="000F43D3">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89229A">
      <w:rPr>
        <w:rFonts w:ascii="Arial" w:hAnsi="Arial" w:cs="Arial"/>
        <w:b/>
        <w:noProof/>
        <w:color w:val="808080"/>
        <w:sz w:val="24"/>
        <w:szCs w:val="24"/>
      </w:rPr>
      <w:t>2</w:t>
    </w:r>
    <w:r w:rsidRPr="006B6BAF">
      <w:rPr>
        <w:rFonts w:ascii="Arial" w:hAnsi="Arial" w:cs="Arial"/>
        <w:b/>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BA6" w:rsidRDefault="009C5BA6">
      <w:r>
        <w:separator/>
      </w:r>
    </w:p>
  </w:footnote>
  <w:footnote w:type="continuationSeparator" w:id="0">
    <w:p w:rsidR="009C5BA6" w:rsidRDefault="009C5BA6">
      <w:r>
        <w:continuationSeparator/>
      </w:r>
    </w:p>
  </w:footnote>
  <w:footnote w:id="1">
    <w:p w:rsidR="003643F1" w:rsidRDefault="003643F1" w:rsidP="00FC4BD2">
      <w:pPr>
        <w:pStyle w:val="Testonotaapidipagina"/>
        <w:spacing w:before="0" w:after="0"/>
      </w:pPr>
      <w:r>
        <w:rPr>
          <w:rStyle w:val="Rimandonotaapidipagina"/>
        </w:rPr>
        <w:footnoteRef/>
      </w:r>
      <w:r>
        <w:t xml:space="preserve"> </w:t>
      </w:r>
      <w:r>
        <w:rPr>
          <w:rFonts w:ascii="Arial" w:hAnsi="Arial" w:cs="Arial"/>
          <w:sz w:val="16"/>
          <w:szCs w:val="16"/>
        </w:rPr>
        <w:t>Dal</w:t>
      </w:r>
      <w:r w:rsidRPr="00E01C06">
        <w:rPr>
          <w:rFonts w:ascii="Arial" w:hAnsi="Arial" w:cs="Arial"/>
          <w:sz w:val="16"/>
          <w:szCs w:val="16"/>
        </w:rPr>
        <w:t xml:space="preserve"> 20</w:t>
      </w:r>
      <w:r>
        <w:rPr>
          <w:rFonts w:ascii="Arial" w:hAnsi="Arial" w:cs="Arial"/>
          <w:sz w:val="16"/>
          <w:szCs w:val="16"/>
        </w:rPr>
        <w:t>20 il comune di Olbia è entrata a far parte dei comuni che partecipano all’indagine.</w:t>
      </w:r>
    </w:p>
  </w:footnote>
  <w:footnote w:id="2">
    <w:p w:rsidR="003643F1" w:rsidRDefault="003643F1" w:rsidP="00FC4BD2">
      <w:pPr>
        <w:pStyle w:val="Testonotaapidipagina"/>
        <w:spacing w:before="0" w:after="0"/>
        <w:jc w:val="both"/>
      </w:pPr>
      <w:r>
        <w:rPr>
          <w:rStyle w:val="Rimandonotaapidipagina"/>
        </w:rPr>
        <w:footnoteRef/>
      </w:r>
      <w:r>
        <w:t xml:space="preserve"> </w:t>
      </w:r>
      <w:r>
        <w:rPr>
          <w:rFonts w:ascii="Arial" w:hAnsi="Arial" w:cs="Arial"/>
          <w:sz w:val="16"/>
          <w:szCs w:val="16"/>
        </w:rPr>
        <w:t xml:space="preserve">Si tratta dei comuni di Asti, </w:t>
      </w:r>
      <w:r>
        <w:rPr>
          <w:rFonts w:ascii="Arial" w:hAnsi="Arial" w:cs="Arial"/>
          <w:sz w:val="16"/>
        </w:rPr>
        <w:t xml:space="preserve">Chieti, Foggia, Frosinone, L’Aquila, Matera, </w:t>
      </w:r>
      <w:r>
        <w:rPr>
          <w:rFonts w:ascii="Arial" w:hAnsi="Arial" w:cs="Arial"/>
          <w:sz w:val="16"/>
          <w:szCs w:val="16"/>
        </w:rPr>
        <w:t xml:space="preserve">Monza, Prato, </w:t>
      </w:r>
      <w:r>
        <w:rPr>
          <w:rFonts w:ascii="Arial" w:hAnsi="Arial" w:cs="Arial"/>
          <w:sz w:val="16"/>
        </w:rPr>
        <w:t xml:space="preserve">Ragusa, </w:t>
      </w:r>
      <w:r>
        <w:rPr>
          <w:rFonts w:ascii="Arial" w:hAnsi="Arial" w:cs="Arial"/>
          <w:sz w:val="16"/>
          <w:szCs w:val="16"/>
        </w:rPr>
        <w:t>Savona</w:t>
      </w:r>
      <w:r>
        <w:rPr>
          <w:rFonts w:ascii="Arial" w:hAnsi="Arial" w:cs="Arial"/>
          <w:sz w:val="16"/>
        </w:rPr>
        <w:t>, Verbania e Vibo Valentia.</w:t>
      </w:r>
    </w:p>
  </w:footnote>
  <w:footnote w:id="3">
    <w:p w:rsidR="003643F1" w:rsidRPr="008A6A18" w:rsidRDefault="003643F1" w:rsidP="00FC4BD2">
      <w:pPr>
        <w:pStyle w:val="Testonotaapidipagina"/>
        <w:rPr>
          <w:rFonts w:ascii="Arial" w:hAnsi="Arial" w:cs="Arial"/>
          <w:sz w:val="16"/>
          <w:szCs w:val="16"/>
        </w:rPr>
      </w:pPr>
      <w:r>
        <w:rPr>
          <w:rStyle w:val="Rimandonotaapidipagina"/>
        </w:rPr>
        <w:footnoteRef/>
      </w:r>
      <w:r>
        <w:t xml:space="preserve"> </w:t>
      </w:r>
      <w:r w:rsidRPr="008A6A18">
        <w:rPr>
          <w:rFonts w:ascii="Arial" w:hAnsi="Arial" w:cs="Arial"/>
          <w:sz w:val="16"/>
          <w:szCs w:val="16"/>
        </w:rPr>
        <w:t>A partire da gennaio 2022 la rilevazione dei canoni di affitto per le abitazioni di privati è condotta centralmente dall’Istat tramite l’utilizzo di dati di fonte amministrativa e in particolare della base dati locazioni immobiliari dell’Osservatorio del mercato immobiliare dell’Agenzia delle entrate</w:t>
      </w:r>
      <w:r>
        <w:rPr>
          <w:rFonts w:ascii="Arial" w:hAnsi="Arial" w:cs="Arial"/>
          <w:sz w:val="16"/>
          <w:szCs w:val="16"/>
        </w:rPr>
        <w:t>.</w:t>
      </w:r>
    </w:p>
  </w:footnote>
  <w:footnote w:id="4">
    <w:p w:rsidR="003643F1" w:rsidRPr="002254B4" w:rsidRDefault="003643F1" w:rsidP="00FC4BD2">
      <w:pPr>
        <w:pStyle w:val="Testonotaapidipagina"/>
        <w:spacing w:before="60" w:after="60"/>
        <w:jc w:val="both"/>
        <w:rPr>
          <w:rFonts w:ascii="Arial" w:hAnsi="Arial" w:cs="Arial"/>
          <w:sz w:val="16"/>
          <w:szCs w:val="16"/>
        </w:rPr>
      </w:pPr>
      <w:r w:rsidRPr="00621535">
        <w:rPr>
          <w:rStyle w:val="Rimandonotaapidipagina"/>
          <w:rFonts w:ascii="Arial" w:hAnsi="Arial" w:cs="Arial"/>
        </w:rPr>
        <w:footnoteRef/>
      </w:r>
      <w:r w:rsidRPr="00B21FF0">
        <w:rPr>
          <w:rFonts w:ascii="Arial" w:hAnsi="Arial" w:cs="Arial"/>
          <w:sz w:val="16"/>
          <w:szCs w:val="16"/>
        </w:rPr>
        <w:t xml:space="preserve"> </w:t>
      </w:r>
      <w:r w:rsidRPr="0087429F">
        <w:rPr>
          <w:rFonts w:ascii="Arial" w:hAnsi="Arial" w:cs="Arial"/>
          <w:sz w:val="16"/>
          <w:szCs w:val="16"/>
        </w:rPr>
        <w:t xml:space="preserve">Per una descrizione più dettagliata della procedura di stima della struttura di ponderazione degli indici dei prezzi al consumo nazionali (NIC e FOI) e dell’indice armonizzato (IPCA) si rimanda alla Nota metodologica allegata alla Nota informativa </w:t>
      </w:r>
      <w:r>
        <w:rPr>
          <w:rFonts w:ascii="Arial" w:hAnsi="Arial" w:cs="Arial"/>
          <w:sz w:val="16"/>
          <w:szCs w:val="16"/>
        </w:rPr>
        <w:t>del 2 febbraio 2022</w:t>
      </w:r>
      <w:r w:rsidRPr="0087429F">
        <w:rPr>
          <w:rFonts w:ascii="Arial" w:hAnsi="Arial" w:cs="Arial"/>
          <w:sz w:val="16"/>
          <w:szCs w:val="16"/>
        </w:rPr>
        <w:t xml:space="preserve"> sugli aggiornamenti del paniere, della struttura di ponderazione e dell’indagine sui prezzi al consumo.</w:t>
      </w:r>
      <w:bookmarkStart w:id="1" w:name="_GoBack"/>
      <w:bookmarkEnd w:id="1"/>
    </w:p>
  </w:footnote>
  <w:footnote w:id="5">
    <w:p w:rsidR="003643F1" w:rsidRDefault="003643F1" w:rsidP="00230423">
      <w:pPr>
        <w:pStyle w:val="Testonotaapidipagina"/>
        <w:spacing w:before="0" w:after="0"/>
        <w:jc w:val="both"/>
        <w:rPr>
          <w:rFonts w:ascii="Arial" w:hAnsi="Arial" w:cs="Arial"/>
          <w:sz w:val="16"/>
          <w:szCs w:val="16"/>
        </w:rPr>
      </w:pPr>
      <w:r>
        <w:rPr>
          <w:rStyle w:val="Rimandonotaapidipagina"/>
          <w:rFonts w:ascii="Arial" w:hAnsi="Arial" w:cs="Arial"/>
          <w:sz w:val="16"/>
          <w:szCs w:val="16"/>
        </w:rPr>
        <w:footnoteRef/>
      </w:r>
      <w:r>
        <w:rPr>
          <w:rFonts w:ascii="Arial" w:hAnsi="Arial" w:cs="Arial"/>
          <w:sz w:val="16"/>
          <w:szCs w:val="16"/>
        </w:rPr>
        <w:t xml:space="preserve"> Gli indici riferiti agli Aggregati di prodotto, nei quali si articolano ulteriormente i Segmenti di consumo, sono forniti su richiesta per specifiche finalità di studio e analisi.</w:t>
      </w:r>
    </w:p>
  </w:footnote>
  <w:footnote w:id="6">
    <w:p w:rsidR="003643F1" w:rsidRDefault="003643F1" w:rsidP="00230423">
      <w:pPr>
        <w:pStyle w:val="Testonotaapidipagina"/>
        <w:tabs>
          <w:tab w:val="left" w:pos="10206"/>
        </w:tabs>
        <w:spacing w:before="0" w:after="0"/>
        <w:jc w:val="both"/>
        <w:rPr>
          <w:rFonts w:ascii="Arial" w:hAnsi="Arial" w:cs="Arial"/>
          <w:sz w:val="16"/>
          <w:szCs w:val="16"/>
        </w:rPr>
      </w:pPr>
      <w:r>
        <w:rPr>
          <w:rStyle w:val="Rimandonotaapidipagina"/>
          <w:rFonts w:ascii="Arial" w:hAnsi="Arial" w:cs="Arial"/>
          <w:sz w:val="16"/>
          <w:szCs w:val="16"/>
        </w:rPr>
        <w:footnoteRef/>
      </w:r>
      <w:r>
        <w:rPr>
          <w:rFonts w:ascii="Arial" w:hAnsi="Arial" w:cs="Arial"/>
          <w:sz w:val="16"/>
          <w:szCs w:val="16"/>
        </w:rPr>
        <w:t xml:space="preserve"> La pubblicazione degli indici IPCA-AS è stata avviata a partire dai dati di febbraio 2013. La descrizione delle categorie merceologiche che definiscono i diversi aggregati speciali è disponibile sul sito web di Eurostat al seguente indirizzo: </w:t>
      </w:r>
    </w:p>
    <w:p w:rsidR="003643F1" w:rsidRPr="002C7A4F" w:rsidRDefault="009C5BA6" w:rsidP="00230423">
      <w:pPr>
        <w:pStyle w:val="Testonotaapidipagina"/>
        <w:tabs>
          <w:tab w:val="left" w:pos="10206"/>
        </w:tabs>
        <w:spacing w:before="0" w:after="0"/>
        <w:jc w:val="both"/>
        <w:rPr>
          <w:rFonts w:ascii="Arial" w:hAnsi="Arial" w:cs="Arial"/>
          <w:sz w:val="14"/>
          <w:szCs w:val="14"/>
        </w:rPr>
      </w:pPr>
      <w:hyperlink r:id="rId1" w:history="1">
        <w:r w:rsidR="003643F1" w:rsidRPr="00F11253">
          <w:rPr>
            <w:rStyle w:val="Collegamentoipertestuale"/>
            <w:rFonts w:ascii="Arial" w:hAnsi="Arial" w:cs="Arial"/>
            <w:sz w:val="14"/>
            <w:szCs w:val="14"/>
          </w:rPr>
          <w:t>http://ec.europa.eu/eurostat/ramon/nomenclatures/index.cfm?TargetUrl=LST_NOM_DTL&amp;StrNom=HICP_2000&amp;StrLanguageCode=EN&amp;IntPcKey=&amp;StrLayoutCode</w:t>
        </w:r>
      </w:hyperlink>
      <w:r w:rsidR="003643F1" w:rsidRPr="002C7A4F">
        <w:rPr>
          <w:rFonts w:ascii="Arial" w:hAnsi="Arial" w:cs="Arial"/>
          <w:sz w:val="14"/>
          <w:szCs w:val="14"/>
        </w:rPr>
        <w:t xml:space="preserve"> </w:t>
      </w:r>
    </w:p>
    <w:p w:rsidR="003643F1" w:rsidRDefault="003643F1" w:rsidP="00230423">
      <w:pPr>
        <w:pStyle w:val="Testonotaapidipagina"/>
        <w:tabs>
          <w:tab w:val="left" w:pos="10206"/>
        </w:tabs>
        <w:spacing w:before="0" w:after="0"/>
        <w:jc w:val="both"/>
        <w:rPr>
          <w:rFonts w:ascii="Arial" w:hAnsi="Arial" w:cs="Arial"/>
          <w:sz w:val="16"/>
          <w:szCs w:val="16"/>
        </w:rPr>
      </w:pPr>
      <w:r>
        <w:rPr>
          <w:rFonts w:ascii="Arial" w:hAnsi="Arial" w:cs="Arial"/>
          <w:sz w:val="16"/>
          <w:szCs w:val="16"/>
        </w:rPr>
        <w:t xml:space="preserve">Per la metodologia utilizzata per la sintesi degli indici, si consulti il Compendio dell’IPCA disponibile in formato pdf all’indirizzo: </w:t>
      </w:r>
    </w:p>
    <w:p w:rsidR="003643F1" w:rsidRPr="00904629" w:rsidRDefault="009C5BA6" w:rsidP="00230423">
      <w:pPr>
        <w:pStyle w:val="Testonotaapidipagina"/>
        <w:tabs>
          <w:tab w:val="left" w:pos="10206"/>
        </w:tabs>
        <w:spacing w:before="0" w:after="0"/>
        <w:jc w:val="both"/>
        <w:rPr>
          <w:rFonts w:ascii="Arial" w:hAnsi="Arial" w:cs="Arial"/>
          <w:sz w:val="16"/>
          <w:szCs w:val="16"/>
        </w:rPr>
      </w:pPr>
      <w:hyperlink r:id="rId2" w:history="1">
        <w:r w:rsidR="003643F1" w:rsidRPr="00904629">
          <w:rPr>
            <w:rStyle w:val="Collegamentoipertestuale"/>
            <w:rFonts w:ascii="Arial" w:hAnsi="Arial" w:cs="Arial"/>
            <w:sz w:val="16"/>
            <w:szCs w:val="16"/>
          </w:rPr>
          <w:t>http://ec.europa.eu/eurostat/documents/3859598/5926625/KS-RA-13-017-EN.PDF/59eb2c1c-da1f-472c-b191-3d0c76521f9b?version=1.0</w:t>
        </w:r>
      </w:hyperlink>
      <w:r w:rsidR="003643F1" w:rsidRPr="00904629">
        <w:rPr>
          <w:rFonts w:ascii="Arial" w:hAnsi="Arial" w:cs="Arial"/>
          <w:sz w:val="16"/>
          <w:szCs w:val="16"/>
        </w:rPr>
        <w:t xml:space="preserve">. </w:t>
      </w:r>
    </w:p>
    <w:p w:rsidR="003643F1" w:rsidRDefault="003643F1" w:rsidP="00230423">
      <w:pPr>
        <w:pStyle w:val="Testonotaapidipagina"/>
        <w:tabs>
          <w:tab w:val="left" w:pos="10206"/>
        </w:tabs>
        <w:spacing w:before="0" w:after="60"/>
        <w:jc w:val="both"/>
        <w:rPr>
          <w:rFonts w:ascii="Arial" w:hAnsi="Arial" w:cs="Arial"/>
          <w:sz w:val="16"/>
          <w:szCs w:val="16"/>
        </w:rPr>
      </w:pPr>
      <w:r>
        <w:rPr>
          <w:rFonts w:ascii="Arial" w:hAnsi="Arial" w:cs="Arial"/>
          <w:sz w:val="16"/>
          <w:szCs w:val="16"/>
        </w:rPr>
        <w:t xml:space="preserve">Le serie a partire da gennaio 2001 sono disponibili su </w:t>
      </w:r>
      <w:hyperlink r:id="rId3" w:history="1">
        <w:r w:rsidRPr="00904629">
          <w:rPr>
            <w:rStyle w:val="Collegamentoipertestuale"/>
            <w:rFonts w:ascii="Arial" w:hAnsi="Arial" w:cs="Arial"/>
            <w:sz w:val="16"/>
            <w:szCs w:val="16"/>
          </w:rPr>
          <w:t>I.Stat</w:t>
        </w:r>
      </w:hyperlink>
      <w:r w:rsidRPr="00904629">
        <w:rPr>
          <w:rFonts w:ascii="Arial" w:hAnsi="Arial" w:cs="Arial"/>
          <w:sz w:val="16"/>
          <w:szCs w:val="16"/>
        </w:rPr>
        <w:t>,</w:t>
      </w:r>
      <w:r>
        <w:rPr>
          <w:rFonts w:ascii="Arial" w:hAnsi="Arial" w:cs="Arial"/>
          <w:sz w:val="16"/>
          <w:szCs w:val="16"/>
        </w:rPr>
        <w:t xml:space="preserve"> il data warehouse delle statistiche prodotte dall’Istituto, sotto il tema “Prezzi” e “Prezzi al consumo”. </w:t>
      </w:r>
    </w:p>
  </w:footnote>
  <w:footnote w:id="7">
    <w:p w:rsidR="003643F1" w:rsidRPr="004D0B88" w:rsidRDefault="003643F1" w:rsidP="00353727">
      <w:pPr>
        <w:pStyle w:val="Testonotaapidipagina"/>
        <w:jc w:val="both"/>
        <w:rPr>
          <w:rFonts w:ascii="Arial" w:hAnsi="Arial" w:cs="Arial"/>
          <w:sz w:val="16"/>
          <w:szCs w:val="16"/>
        </w:rPr>
      </w:pPr>
      <w:r w:rsidRPr="00C80FB4">
        <w:rPr>
          <w:rStyle w:val="Rimandonotaapidipagina"/>
          <w:rFonts w:ascii="Arial" w:hAnsi="Arial" w:cs="Arial"/>
          <w:sz w:val="16"/>
          <w:szCs w:val="16"/>
        </w:rPr>
        <w:footnoteRef/>
      </w:r>
      <w:r w:rsidRPr="00C80FB4">
        <w:rPr>
          <w:rFonts w:ascii="Arial" w:hAnsi="Arial" w:cs="Arial"/>
          <w:sz w:val="16"/>
          <w:szCs w:val="16"/>
        </w:rPr>
        <w:t xml:space="preserve"> </w:t>
      </w:r>
      <w:r w:rsidRPr="00472A7F">
        <w:rPr>
          <w:rFonts w:ascii="Arial" w:hAnsi="Arial" w:cs="Arial"/>
          <w:sz w:val="16"/>
          <w:szCs w:val="16"/>
        </w:rPr>
        <w:t>Durante il periodo dell’emergenza sanitaria legata alla diffusione del Covid-19, l’insieme delle procedure per l’imputazione delle mancate rilevazioni è stato aggiornato, in cooperazione con gli altri Istituti nazionali di statistica dei paesi dell’Unione europea e sotto il coordinamento dell’Eurostat, per tenere conto delle criticità emerse relativamente alla raccolta dei dati nella fase di pandemia.</w:t>
      </w:r>
    </w:p>
  </w:footnote>
  <w:footnote w:id="8">
    <w:p w:rsidR="003643F1" w:rsidRPr="004D0B88" w:rsidRDefault="003643F1" w:rsidP="00353727">
      <w:pPr>
        <w:pStyle w:val="Default"/>
        <w:spacing w:after="120"/>
        <w:jc w:val="both"/>
      </w:pPr>
      <w:r w:rsidRPr="004D0B88">
        <w:rPr>
          <w:rStyle w:val="Rimandonotaapidipagina"/>
          <w:rFonts w:ascii="Arial" w:hAnsi="Arial" w:cs="Arial"/>
          <w:sz w:val="16"/>
          <w:szCs w:val="16"/>
        </w:rPr>
        <w:footnoteRef/>
      </w:r>
      <w:r w:rsidRPr="004D0B88">
        <w:rPr>
          <w:rFonts w:ascii="Arial" w:hAnsi="Arial" w:cs="Arial"/>
          <w:sz w:val="16"/>
          <w:szCs w:val="16"/>
        </w:rPr>
        <w:t xml:space="preserve"> Il criterio della </w:t>
      </w:r>
      <w:r w:rsidRPr="00472A7F">
        <w:rPr>
          <w:rFonts w:ascii="Arial" w:hAnsi="Arial" w:cs="Arial"/>
          <w:sz w:val="16"/>
          <w:szCs w:val="16"/>
        </w:rPr>
        <w:t>minimizzazione del numero di prezzi imputati implica che, nella selezione dei prodotti che compongono il paniere, si deve tenere conto della loro effettiva disponibilità all’acquisto da parte delle famiglie.</w:t>
      </w:r>
      <w:r w:rsidRPr="004D0B88">
        <w:t xml:space="preserve"> </w:t>
      </w:r>
    </w:p>
  </w:footnote>
  <w:footnote w:id="9">
    <w:p w:rsidR="003643F1" w:rsidRPr="00C0657B" w:rsidRDefault="003643F1" w:rsidP="00353727">
      <w:pPr>
        <w:pStyle w:val="Testonotaapidipagina"/>
        <w:rPr>
          <w:rFonts w:ascii="Arial" w:hAnsi="Arial" w:cs="Arial"/>
          <w:sz w:val="16"/>
          <w:szCs w:val="16"/>
        </w:rPr>
      </w:pPr>
      <w:r w:rsidRPr="004D0B88">
        <w:rPr>
          <w:rStyle w:val="Rimandonotaapidipagina"/>
          <w:rFonts w:ascii="Arial" w:hAnsi="Arial" w:cs="Arial"/>
          <w:sz w:val="16"/>
          <w:szCs w:val="16"/>
        </w:rPr>
        <w:footnoteRef/>
      </w:r>
      <w:r w:rsidRPr="004D0B88">
        <w:rPr>
          <w:rFonts w:ascii="Arial" w:hAnsi="Arial" w:cs="Arial"/>
          <w:sz w:val="16"/>
          <w:szCs w:val="16"/>
        </w:rPr>
        <w:t xml:space="preserve"> </w:t>
      </w:r>
      <w:r w:rsidRPr="00472A7F">
        <w:rPr>
          <w:rFonts w:ascii="Arial" w:hAnsi="Arial" w:cs="Arial"/>
          <w:sz w:val="16"/>
          <w:szCs w:val="16"/>
        </w:rPr>
        <w:t>La stessa procedura si applica al caso di stima dei prezzi outlier.</w:t>
      </w:r>
    </w:p>
  </w:footnote>
  <w:footnote w:id="10">
    <w:p w:rsidR="003643F1" w:rsidRPr="00B5546B" w:rsidRDefault="003643F1" w:rsidP="004918D7">
      <w:pPr>
        <w:pStyle w:val="Testonotaapidipagina"/>
        <w:jc w:val="both"/>
        <w:rPr>
          <w:rFonts w:ascii="Arial" w:hAnsi="Arial" w:cs="Arial"/>
          <w:sz w:val="16"/>
          <w:szCs w:val="16"/>
        </w:rPr>
      </w:pPr>
      <w:r>
        <w:rPr>
          <w:rStyle w:val="Rimandonotaapidipagina"/>
        </w:rPr>
        <w:footnoteRef/>
      </w:r>
      <w:r>
        <w:t xml:space="preserve"> </w:t>
      </w:r>
      <w:r w:rsidRPr="00B5546B">
        <w:rPr>
          <w:rFonts w:ascii="Arial" w:hAnsi="Arial" w:cs="Arial"/>
          <w:sz w:val="16"/>
          <w:szCs w:val="16"/>
        </w:rPr>
        <w:t>Per rendere equivalente la spesa delle famiglie è utilizzata la scala Carbonaro</w:t>
      </w:r>
      <w:r>
        <w:rPr>
          <w:rFonts w:ascii="Arial" w:hAnsi="Arial" w:cs="Arial"/>
          <w:sz w:val="16"/>
          <w:szCs w:val="16"/>
        </w:rPr>
        <w:t xml:space="preserve">, </w:t>
      </w:r>
      <w:r w:rsidRPr="00B366CC">
        <w:rPr>
          <w:rFonts w:ascii="Arial" w:hAnsi="Arial" w:cs="Arial"/>
          <w:sz w:val="16"/>
          <w:szCs w:val="16"/>
        </w:rPr>
        <w:t>che tiene conto delle economie di scala</w:t>
      </w:r>
      <w:r>
        <w:rPr>
          <w:rFonts w:ascii="Arial" w:hAnsi="Arial" w:cs="Arial"/>
          <w:sz w:val="16"/>
          <w:szCs w:val="16"/>
        </w:rPr>
        <w:t xml:space="preserve"> </w:t>
      </w:r>
      <w:r w:rsidRPr="00B366CC">
        <w:rPr>
          <w:rFonts w:ascii="Arial" w:hAnsi="Arial" w:cs="Arial"/>
          <w:sz w:val="16"/>
          <w:szCs w:val="16"/>
        </w:rPr>
        <w:t>realizzabili all’aumentare del numero di componenti</w:t>
      </w:r>
      <w:r>
        <w:rPr>
          <w:rFonts w:ascii="Arial" w:hAnsi="Arial" w:cs="Arial"/>
          <w:sz w:val="16"/>
          <w:szCs w:val="16"/>
        </w:rPr>
        <w:t xml:space="preserve"> </w:t>
      </w:r>
      <w:r w:rsidRPr="00B366CC">
        <w:rPr>
          <w:rFonts w:ascii="Arial" w:hAnsi="Arial" w:cs="Arial"/>
          <w:sz w:val="16"/>
          <w:szCs w:val="16"/>
        </w:rPr>
        <w:t>rende</w:t>
      </w:r>
      <w:r>
        <w:rPr>
          <w:rFonts w:ascii="Arial" w:hAnsi="Arial" w:cs="Arial"/>
          <w:sz w:val="16"/>
          <w:szCs w:val="16"/>
        </w:rPr>
        <w:t>ndo</w:t>
      </w:r>
      <w:r w:rsidRPr="00B366CC">
        <w:rPr>
          <w:rFonts w:ascii="Arial" w:hAnsi="Arial" w:cs="Arial"/>
          <w:sz w:val="16"/>
          <w:szCs w:val="16"/>
        </w:rPr>
        <w:t xml:space="preserve"> direttamente confrontabili i livelli di spesa di famiglie di ampiezza diversa</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3F1" w:rsidRDefault="003643F1" w:rsidP="00235BD6">
    <w:pPr>
      <w:pStyle w:val="Intestazione"/>
    </w:pPr>
    <w:r w:rsidRPr="00171C5C">
      <w:rPr>
        <w:rFonts w:ascii="Arial" w:hAnsi="Arial" w:cs="Arial"/>
        <w:noProof/>
        <w:color w:val="5F5F5F"/>
        <w:sz w:val="28"/>
        <w:szCs w:val="28"/>
      </w:rPr>
      <mc:AlternateContent>
        <mc:Choice Requires="wps">
          <w:drawing>
            <wp:anchor distT="0" distB="0" distL="114300" distR="114300" simplePos="0" relativeHeight="251665408" behindDoc="0" locked="0" layoutInCell="1" allowOverlap="1" wp14:anchorId="5B1239F2" wp14:editId="6545D440">
              <wp:simplePos x="0" y="0"/>
              <wp:positionH relativeFrom="column">
                <wp:posOffset>3841090</wp:posOffset>
              </wp:positionH>
              <wp:positionV relativeFrom="paragraph">
                <wp:posOffset>117602</wp:posOffset>
              </wp:positionV>
              <wp:extent cx="1321435" cy="325755"/>
              <wp:effectExtent l="0" t="0" r="0" b="508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1435" cy="325755"/>
                      </a:xfrm>
                      <a:prstGeom prst="rect">
                        <a:avLst/>
                      </a:prstGeom>
                      <a:solidFill>
                        <a:srgbClr val="FFFFFF"/>
                      </a:solidFill>
                      <a:ln w="9525">
                        <a:solidFill>
                          <a:srgbClr val="FFFFFF"/>
                        </a:solidFill>
                        <a:miter lim="800000"/>
                        <a:headEnd/>
                        <a:tailEnd/>
                      </a:ln>
                    </wps:spPr>
                    <wps:txbx>
                      <w:txbxContent>
                        <w:p w:rsidR="003643F1" w:rsidRPr="00BC2B33" w:rsidRDefault="003643F1" w:rsidP="00235BD6">
                          <w:pPr>
                            <w:jc w:val="right"/>
                            <w:rPr>
                              <w:color w:val="7F7F7F" w:themeColor="text1" w:themeTint="80"/>
                              <w:kern w:val="0"/>
                            </w:rPr>
                          </w:pPr>
                          <w:r>
                            <w:rPr>
                              <w:rFonts w:ascii="Arial Narrow" w:hAnsi="Arial Narrow"/>
                              <w:b/>
                              <w:color w:val="7F7F7F" w:themeColor="text1" w:themeTint="80"/>
                              <w:sz w:val="26"/>
                              <w:szCs w:val="26"/>
                            </w:rPr>
                            <w:t>17 ottobre 2022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B1239F2" id="_x0000_t202" coordsize="21600,21600" o:spt="202" path="m,l,21600r21600,l21600,xe">
              <v:stroke joinstyle="miter"/>
              <v:path gradientshapeok="t" o:connecttype="rect"/>
            </v:shapetype>
            <v:shape id="Casella di testo 2" o:spid="_x0000_s1026" type="#_x0000_t202" style="position:absolute;margin-left:302.45pt;margin-top:9.25pt;width:104.05pt;height:25.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" strokecolor="white">
              <v:path arrowok="t"/>
              <v:textbox style="mso-fit-shape-to-text:t" inset="0,0,0,0">
                <w:txbxContent>
                  <w:p w:rsidR="003643F1" w:rsidRPr="00BC2B33" w:rsidRDefault="003643F1" w:rsidP="00235BD6">
                    <w:pPr>
                      <w:jc w:val="right"/>
                      <w:rPr>
                        <w:color w:val="7F7F7F" w:themeColor="text1" w:themeTint="80"/>
                        <w:kern w:val="0"/>
                      </w:rPr>
                    </w:pPr>
                    <w:r>
                      <w:rPr>
                        <w:rFonts w:ascii="Arial Narrow" w:hAnsi="Arial Narrow"/>
                        <w:b/>
                        <w:color w:val="7F7F7F" w:themeColor="text1" w:themeTint="80"/>
                        <w:sz w:val="26"/>
                        <w:szCs w:val="26"/>
                      </w:rPr>
                      <w:t>17 ottobre 2022</w:t>
                    </w:r>
                  </w:p>
                </w:txbxContent>
              </v:textbox>
            </v:shape>
          </w:pict>
        </mc:Fallback>
      </mc:AlternateContent>
    </w:r>
    <w:r w:rsidRPr="0035770E">
      <w:rPr>
        <w:noProof/>
      </w:rPr>
      <mc:AlternateContent>
        <mc:Choice Requires="wps">
          <w:drawing>
            <wp:anchor distT="0" distB="0" distL="114300" distR="114300" simplePos="0" relativeHeight="251663360" behindDoc="0" locked="0" layoutInCell="1" allowOverlap="1" wp14:anchorId="42EC8533" wp14:editId="06BEC93A">
              <wp:simplePos x="0" y="0"/>
              <wp:positionH relativeFrom="column">
                <wp:posOffset>5434965</wp:posOffset>
              </wp:positionH>
              <wp:positionV relativeFrom="paragraph">
                <wp:posOffset>364160</wp:posOffset>
              </wp:positionV>
              <wp:extent cx="994410" cy="701675"/>
              <wp:effectExtent l="0" t="0" r="0" b="0"/>
              <wp:wrapNone/>
              <wp:docPr id="36" name="Casella di testo 36"/>
              <wp:cNvGraphicFramePr/>
              <a:graphic xmlns:a="http://schemas.openxmlformats.org/drawingml/2006/main">
                <a:graphicData uri="http://schemas.microsoft.com/office/word/2010/wordprocessingShape">
                  <wps:wsp>
                    <wps:cNvSpPr txBox="1"/>
                    <wps:spPr>
                      <a:xfrm>
                        <a:off x="0" y="0"/>
                        <a:ext cx="994410" cy="701675"/>
                      </a:xfrm>
                      <a:prstGeom prst="rect">
                        <a:avLst/>
                      </a:prstGeom>
                      <a:solidFill>
                        <a:schemeClr val="lt1"/>
                      </a:solidFill>
                      <a:ln w="6350">
                        <a:noFill/>
                      </a:ln>
                    </wps:spPr>
                    <wps:txbx>
                      <w:txbxContent>
                        <w:p w:rsidR="003643F1" w:rsidRPr="00235BD6" w:rsidRDefault="003643F1" w:rsidP="00235BD6">
                          <w:pPr>
                            <w:spacing w:before="0" w:after="120" w:line="180" w:lineRule="exact"/>
                            <w:rPr>
                              <w:rFonts w:ascii="Arial Narrow" w:hAnsi="Arial Narrow"/>
                              <w:sz w:val="18"/>
                              <w:szCs w:val="18"/>
                            </w:rPr>
                          </w:pPr>
                          <w:r w:rsidRPr="00235BD6">
                            <w:rPr>
                              <w:rFonts w:ascii="Arial Narrow" w:hAnsi="Arial Narrow"/>
                              <w:sz w:val="18"/>
                              <w:szCs w:val="18"/>
                            </w:rPr>
                            <w:t>http://www.istat.it</w:t>
                          </w:r>
                        </w:p>
                        <w:p w:rsidR="003643F1" w:rsidRPr="00B367ED" w:rsidRDefault="003643F1" w:rsidP="00235BD6">
                          <w:pPr>
                            <w:spacing w:before="0" w:after="120" w:line="180" w:lineRule="exact"/>
                            <w:rPr>
                              <w:rFonts w:ascii="Arial Narrow" w:hAnsi="Arial Narrow"/>
                              <w:b/>
                              <w:bCs/>
                              <w:sz w:val="18"/>
                              <w:szCs w:val="18"/>
                              <w:lang w:val="en-US"/>
                            </w:rPr>
                          </w:pPr>
                          <w:r w:rsidRPr="00235BD6">
                            <w:rPr>
                              <w:rFonts w:ascii="Arial Narrow" w:hAnsi="Arial Narrow"/>
                              <w:b/>
                              <w:bCs/>
                              <w:sz w:val="18"/>
                              <w:szCs w:val="18"/>
                            </w:rPr>
                            <w:t>Ufficio Stampa</w:t>
                          </w:r>
                          <w:r w:rsidRPr="00235BD6">
                            <w:rPr>
                              <w:rFonts w:ascii="Arial Narrow" w:hAnsi="Arial Narrow"/>
                              <w:b/>
                              <w:bCs/>
                              <w:sz w:val="18"/>
                              <w:szCs w:val="18"/>
                            </w:rPr>
                            <w:br/>
                          </w:r>
                          <w:r w:rsidRPr="00235BD6">
                            <w:rPr>
                              <w:rFonts w:ascii="Arial Narrow" w:hAnsi="Arial Narrow"/>
                              <w:sz w:val="18"/>
                              <w:szCs w:val="18"/>
                            </w:rPr>
                            <w:t xml:space="preserve">tel. </w:t>
                          </w:r>
                          <w:r w:rsidRPr="00F73BDE">
                            <w:rPr>
                              <w:rFonts w:ascii="Arial Narrow" w:hAnsi="Arial Narrow"/>
                              <w:sz w:val="18"/>
                              <w:szCs w:val="18"/>
                              <w:lang w:val="en-US"/>
                            </w:rPr>
                            <w:t>+39 06 4673.2243/4</w:t>
                          </w:r>
                        </w:p>
                        <w:p w:rsidR="003643F1" w:rsidRPr="0035770E" w:rsidRDefault="003643F1" w:rsidP="00235BD6">
                          <w:pPr>
                            <w:spacing w:before="0"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C8533" id="Casella di testo 36" o:spid="_x0000_s1027" type="#_x0000_t202" style="position:absolute;margin-left:427.95pt;margin-top:28.65pt;width:78.3pt;height: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" fillcolor="white [3201]" stroked="f" strokeweight=".5pt">
              <v:textbox inset="0,0,0,0">
                <w:txbxContent>
                  <w:p w:rsidR="003643F1" w:rsidRPr="00235BD6" w:rsidRDefault="003643F1" w:rsidP="00235BD6">
                    <w:pPr>
                      <w:spacing w:before="0" w:after="120" w:line="180" w:lineRule="exact"/>
                      <w:rPr>
                        <w:rFonts w:ascii="Arial Narrow" w:hAnsi="Arial Narrow"/>
                        <w:sz w:val="18"/>
                        <w:szCs w:val="18"/>
                      </w:rPr>
                    </w:pPr>
                    <w:r w:rsidRPr="00235BD6">
                      <w:rPr>
                        <w:rFonts w:ascii="Arial Narrow" w:hAnsi="Arial Narrow"/>
                        <w:sz w:val="18"/>
                        <w:szCs w:val="18"/>
                      </w:rPr>
                      <w:t>http://www.istat.it</w:t>
                    </w:r>
                  </w:p>
                  <w:p w:rsidR="003643F1" w:rsidRPr="00B367ED" w:rsidRDefault="003643F1" w:rsidP="00235BD6">
                    <w:pPr>
                      <w:spacing w:before="0" w:after="120" w:line="180" w:lineRule="exact"/>
                      <w:rPr>
                        <w:rFonts w:ascii="Arial Narrow" w:hAnsi="Arial Narrow"/>
                        <w:b/>
                        <w:bCs/>
                        <w:sz w:val="18"/>
                        <w:szCs w:val="18"/>
                        <w:lang w:val="en-US"/>
                      </w:rPr>
                    </w:pPr>
                    <w:r w:rsidRPr="00235BD6">
                      <w:rPr>
                        <w:rFonts w:ascii="Arial Narrow" w:hAnsi="Arial Narrow"/>
                        <w:b/>
                        <w:bCs/>
                        <w:sz w:val="18"/>
                        <w:szCs w:val="18"/>
                      </w:rPr>
                      <w:t>Ufficio Stampa</w:t>
                    </w:r>
                    <w:r w:rsidRPr="00235BD6">
                      <w:rPr>
                        <w:rFonts w:ascii="Arial Narrow" w:hAnsi="Arial Narrow"/>
                        <w:b/>
                        <w:bCs/>
                        <w:sz w:val="18"/>
                        <w:szCs w:val="18"/>
                      </w:rPr>
                      <w:br/>
                    </w:r>
                    <w:r w:rsidRPr="00235BD6">
                      <w:rPr>
                        <w:rFonts w:ascii="Arial Narrow" w:hAnsi="Arial Narrow"/>
                        <w:sz w:val="18"/>
                        <w:szCs w:val="18"/>
                      </w:rPr>
                      <w:t xml:space="preserve">tel. </w:t>
                    </w:r>
                    <w:r w:rsidRPr="00F73BDE">
                      <w:rPr>
                        <w:rFonts w:ascii="Arial Narrow" w:hAnsi="Arial Narrow"/>
                        <w:sz w:val="18"/>
                        <w:szCs w:val="18"/>
                        <w:lang w:val="en-US"/>
                      </w:rPr>
                      <w:t>+39 06 4673.2243/4</w:t>
                    </w:r>
                  </w:p>
                  <w:p w:rsidR="003643F1" w:rsidRPr="0035770E" w:rsidRDefault="003643F1" w:rsidP="00235BD6">
                    <w:pPr>
                      <w:spacing w:before="0" w:after="120" w:line="180" w:lineRule="exact"/>
                      <w:rPr>
                        <w:rFonts w:ascii="Arial Narrow" w:hAnsi="Arial Narrow"/>
                        <w:b/>
                        <w:bCs/>
                        <w:color w:val="7F7F7F"/>
                        <w:sz w:val="18"/>
                        <w:szCs w:val="18"/>
                        <w:lang w:val="en-US"/>
                      </w:rPr>
                    </w:pPr>
                    <w:r w:rsidRPr="0035770E">
                      <w:rPr>
                        <w:rFonts w:ascii="Arial Narrow" w:hAnsi="Arial Narrow"/>
                        <w:b/>
                        <w:bCs/>
                        <w:color w:val="7F7F7F"/>
                        <w:sz w:val="18"/>
                        <w:szCs w:val="18"/>
                        <w:lang w:val="en-US"/>
                      </w:rPr>
                      <w:t>ufficiostampa@istat.it</w:t>
                    </w:r>
                  </w:p>
                </w:txbxContent>
              </v:textbox>
            </v:shape>
          </w:pict>
        </mc:Fallback>
      </mc:AlternateContent>
    </w:r>
    <w:r w:rsidRPr="00340648">
      <w:rPr>
        <w:noProof/>
      </w:rPr>
      <w:drawing>
        <wp:anchor distT="0" distB="0" distL="114300" distR="114300" simplePos="0" relativeHeight="251662336" behindDoc="0" locked="0" layoutInCell="1" allowOverlap="1" wp14:anchorId="603A656C" wp14:editId="3B51D8A5">
          <wp:simplePos x="0" y="0"/>
          <wp:positionH relativeFrom="column">
            <wp:posOffset>15569</wp:posOffset>
          </wp:positionH>
          <wp:positionV relativeFrom="paragraph">
            <wp:posOffset>-138532</wp:posOffset>
          </wp:positionV>
          <wp:extent cx="5332781" cy="1137834"/>
          <wp:effectExtent l="0" t="0" r="1270" b="5715"/>
          <wp:wrapNone/>
          <wp:docPr id="12" name="Immagine 6"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pic:cNvPicPr>
                </pic:nvPicPr>
                <pic:blipFill rotWithShape="1">
                  <a:blip r:embed="rId1">
                    <a:extLst>
                      <a:ext uri="{28A0092B-C50C-407E-A947-70E740481C1C}">
                        <a14:useLocalDpi xmlns:a14="http://schemas.microsoft.com/office/drawing/2010/main" val="0"/>
                      </a:ext>
                    </a:extLst>
                  </a:blip>
                  <a:srcRect l="4" t="-12706" r="16052" b="7286"/>
                  <a:stretch/>
                </pic:blipFill>
                <pic:spPr bwMode="auto">
                  <a:xfrm>
                    <a:off x="0" y="0"/>
                    <a:ext cx="5333658" cy="1138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770E">
      <w:rPr>
        <w:noProof/>
      </w:rPr>
      <mc:AlternateContent>
        <mc:Choice Requires="wps">
          <w:drawing>
            <wp:anchor distT="0" distB="0" distL="114300" distR="114300" simplePos="0" relativeHeight="251664384" behindDoc="0" locked="0" layoutInCell="1" allowOverlap="1" wp14:anchorId="4DF107CF" wp14:editId="32C5702F">
              <wp:simplePos x="0" y="0"/>
              <wp:positionH relativeFrom="column">
                <wp:posOffset>0</wp:posOffset>
              </wp:positionH>
              <wp:positionV relativeFrom="paragraph">
                <wp:posOffset>1082014</wp:posOffset>
              </wp:positionV>
              <wp:extent cx="6414770" cy="0"/>
              <wp:effectExtent l="0" t="0" r="11430" b="12700"/>
              <wp:wrapNone/>
              <wp:docPr id="21" name="Connettore 1 37"/>
              <wp:cNvGraphicFramePr/>
              <a:graphic xmlns:a="http://schemas.openxmlformats.org/drawingml/2006/main">
                <a:graphicData uri="http://schemas.microsoft.com/office/word/2010/wordprocessingShape">
                  <wps:wsp>
                    <wps:cNvCnPr/>
                    <wps:spPr>
                      <a:xfrm>
                        <a:off x="0" y="0"/>
                        <a:ext cx="64147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20B3B9" id="Connettore 1 3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2pt" to="505.1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" strokecolor="#7f7f7f [1612]"/>
          </w:pict>
        </mc:Fallback>
      </mc:AlternateContent>
    </w:r>
  </w:p>
  <w:p w:rsidR="003643F1" w:rsidRDefault="003643F1" w:rsidP="00FC6D8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3F1" w:rsidRDefault="003643F1">
    <w:pPr>
      <w:pStyle w:val="Intestazione"/>
    </w:pPr>
    <w:r>
      <w:rPr>
        <w:noProof/>
      </w:rPr>
      <mc:AlternateContent>
        <mc:Choice Requires="wps">
          <w:drawing>
            <wp:anchor distT="0" distB="0" distL="114300" distR="114300" simplePos="0" relativeHeight="251654656" behindDoc="0" locked="0" layoutInCell="1" allowOverlap="1" wp14:anchorId="1769CC33" wp14:editId="50CB702E">
              <wp:simplePos x="0" y="0"/>
              <wp:positionH relativeFrom="column">
                <wp:posOffset>531495</wp:posOffset>
              </wp:positionH>
              <wp:positionV relativeFrom="paragraph">
                <wp:posOffset>69850</wp:posOffset>
              </wp:positionV>
              <wp:extent cx="1078230" cy="263525"/>
              <wp:effectExtent l="12700" t="13970" r="13970" b="8255"/>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3643F1" w:rsidRDefault="003643F1"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3643F1" w:rsidRPr="00C423DB" w:rsidRDefault="003643F1"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769CC33" id="_x0000_t202" coordsize="21600,21600" o:spt="202" path="m,l,21600r21600,l21600,xe">
              <v:stroke joinstyle="miter"/>
              <v:path gradientshapeok="t" o:connecttype="rect"/>
            </v:shapetype>
            <v:shape id="_x0000_s1028" type="#_x0000_t202" style="position:absolute;margin-left:41.85pt;margin-top:5.5pt;width:84.9pt;height:20.7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" strokecolor="white">
              <v:textbox style="mso-fit-shape-to-text:t" inset="0,0,0,0">
                <w:txbxContent>
                  <w:p w:rsidR="003643F1" w:rsidRDefault="003643F1"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3643F1" w:rsidRPr="00C423DB" w:rsidRDefault="003643F1"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r>
      <w:rPr>
        <w:noProof/>
      </w:rPr>
      <w:drawing>
        <wp:inline distT="0" distB="0" distL="0" distR="0" wp14:anchorId="279B82A2" wp14:editId="13EF463D">
          <wp:extent cx="6480175" cy="588645"/>
          <wp:effectExtent l="0" t="0" r="0" b="1905"/>
          <wp:docPr id="4" name="Immagine 4"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86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3F1" w:rsidRPr="009E5F03" w:rsidRDefault="003643F1" w:rsidP="009E5F03">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3F1" w:rsidRPr="00CC0BEA" w:rsidRDefault="003643F1" w:rsidP="00CC0BEA">
    <w:pPr>
      <w:pStyle w:val="Intestazione"/>
    </w:pPr>
    <w:r>
      <w:rPr>
        <w:noProof/>
      </w:rPr>
      <w:drawing>
        <wp:inline distT="0" distB="0" distL="0" distR="0" wp14:anchorId="4E9EA3E1" wp14:editId="3701DB03">
          <wp:extent cx="6480175" cy="596265"/>
          <wp:effectExtent l="0" t="0" r="0" b="0"/>
          <wp:docPr id="31" name="Immagine 31"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96265"/>
                  </a:xfrm>
                  <a:prstGeom prst="rect">
                    <a:avLst/>
                  </a:prstGeom>
                  <a:noFill/>
                  <a:ln>
                    <a:noFill/>
                  </a:ln>
                </pic:spPr>
              </pic:pic>
            </a:graphicData>
          </a:graphic>
        </wp:inline>
      </w:drawing>
    </w:r>
    <w:r>
      <w:rPr>
        <w:noProof/>
      </w:rPr>
      <mc:AlternateContent>
        <mc:Choice Requires="wps">
          <w:drawing>
            <wp:anchor distT="0" distB="0" distL="114300" distR="114300" simplePos="0" relativeHeight="251669504" behindDoc="0" locked="0" layoutInCell="1" allowOverlap="1" wp14:anchorId="5D3BC79F" wp14:editId="59660E2E">
              <wp:simplePos x="0" y="0"/>
              <wp:positionH relativeFrom="column">
                <wp:posOffset>520700</wp:posOffset>
              </wp:positionH>
              <wp:positionV relativeFrom="paragraph">
                <wp:posOffset>71120</wp:posOffset>
              </wp:positionV>
              <wp:extent cx="1078230" cy="263525"/>
              <wp:effectExtent l="0" t="0" r="26670" b="22860"/>
              <wp:wrapNone/>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3643F1" w:rsidRDefault="003643F1"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3643F1" w:rsidRPr="00C423DB" w:rsidRDefault="003643F1"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D3BC79F" id="_x0000_t202" coordsize="21600,21600" o:spt="202" path="m,l,21600r21600,l21600,xe">
              <v:stroke joinstyle="miter"/>
              <v:path gradientshapeok="t" o:connecttype="rect"/>
            </v:shapetype>
            <v:shape id="_x0000_s1029" type="#_x0000_t202" style="position:absolute;margin-left:41pt;margin-top:5.6pt;width:84.9pt;height:20.7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" strokecolor="white">
              <v:textbox style="mso-fit-shape-to-text:t" inset="0,0,0,0">
                <w:txbxContent>
                  <w:p w:rsidR="003643F1" w:rsidRDefault="003643F1"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3643F1" w:rsidRPr="00C423DB" w:rsidRDefault="003643F1"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3F1" w:rsidRPr="00CC0BEA" w:rsidRDefault="003643F1" w:rsidP="00CC0BEA">
    <w:pPr>
      <w:pStyle w:val="Intestazione"/>
    </w:pPr>
    <w:r>
      <w:rPr>
        <w:noProof/>
      </w:rPr>
      <w:drawing>
        <wp:inline distT="0" distB="0" distL="0" distR="0" wp14:anchorId="37A725E9" wp14:editId="2266369C">
          <wp:extent cx="6478270" cy="586740"/>
          <wp:effectExtent l="0" t="0" r="0" b="3810"/>
          <wp:docPr id="48" name="Immagine 48" descr="C:\Users\lifagiol\Desktop\iconeComunicat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C:\Users\lifagiol\Desktop\iconeComunicati-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8270" cy="586740"/>
                  </a:xfrm>
                  <a:prstGeom prst="rect">
                    <a:avLst/>
                  </a:prstGeom>
                  <a:noFill/>
                  <a:ln>
                    <a:noFill/>
                  </a:ln>
                </pic:spPr>
              </pic:pic>
            </a:graphicData>
          </a:graphic>
        </wp:inline>
      </w:drawing>
    </w:r>
    <w:r>
      <w:rPr>
        <w:noProof/>
      </w:rPr>
      <mc:AlternateContent>
        <mc:Choice Requires="wps">
          <w:drawing>
            <wp:anchor distT="0" distB="0" distL="114300" distR="114300" simplePos="0" relativeHeight="251655680" behindDoc="0" locked="0" layoutInCell="1" allowOverlap="1" wp14:anchorId="4E35394D" wp14:editId="6AE417C3">
              <wp:simplePos x="0" y="0"/>
              <wp:positionH relativeFrom="column">
                <wp:posOffset>520700</wp:posOffset>
              </wp:positionH>
              <wp:positionV relativeFrom="paragraph">
                <wp:posOffset>71120</wp:posOffset>
              </wp:positionV>
              <wp:extent cx="1078230" cy="263525"/>
              <wp:effectExtent l="0" t="0" r="26670" b="2286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3643F1" w:rsidRDefault="003643F1"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3643F1" w:rsidRPr="00C423DB" w:rsidRDefault="003643F1"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E35394D" id="_x0000_t202" coordsize="21600,21600" o:spt="202" path="m,l,21600r21600,l21600,xe">
              <v:stroke joinstyle="miter"/>
              <v:path gradientshapeok="t" o:connecttype="rect"/>
            </v:shapetype>
            <v:shape id="_x0000_s1030" type="#_x0000_t202" style="position:absolute;margin-left:41pt;margin-top:5.6pt;width:84.9pt;height:20.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" strokecolor="white">
              <v:textbox style="mso-fit-shape-to-text:t" inset="0,0,0,0">
                <w:txbxContent>
                  <w:p w:rsidR="003643F1" w:rsidRDefault="003643F1"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3643F1" w:rsidRPr="00C423DB" w:rsidRDefault="003643F1"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3F1" w:rsidRPr="00CC0BEA" w:rsidRDefault="003643F1" w:rsidP="00CC0BEA">
    <w:pPr>
      <w:pStyle w:val="Intestazione"/>
    </w:pPr>
    <w:r>
      <w:rPr>
        <w:noProof/>
      </w:rPr>
      <mc:AlternateContent>
        <mc:Choice Requires="wps">
          <w:drawing>
            <wp:anchor distT="0" distB="0" distL="114300" distR="114300" simplePos="0" relativeHeight="251667456" behindDoc="0" locked="0" layoutInCell="1" allowOverlap="1" wp14:anchorId="1A10A542" wp14:editId="0BA093D8">
              <wp:simplePos x="0" y="0"/>
              <wp:positionH relativeFrom="column">
                <wp:posOffset>520700</wp:posOffset>
              </wp:positionH>
              <wp:positionV relativeFrom="paragraph">
                <wp:posOffset>71120</wp:posOffset>
              </wp:positionV>
              <wp:extent cx="1078230" cy="263525"/>
              <wp:effectExtent l="0" t="0" r="26670" b="2286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3643F1" w:rsidRDefault="003643F1"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3643F1" w:rsidRPr="00C423DB" w:rsidRDefault="003643F1"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A10A542" id="_x0000_t202" coordsize="21600,21600" o:spt="202" path="m,l,21600r21600,l21600,xe">
              <v:stroke joinstyle="miter"/>
              <v:path gradientshapeok="t" o:connecttype="rect"/>
            </v:shapetype>
            <v:shape id="_x0000_s1031" type="#_x0000_t202" style="position:absolute;margin-left:41pt;margin-top:5.6pt;width:84.9pt;height:20.7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" strokecolor="white">
              <v:textbox style="mso-fit-shape-to-text:t" inset="0,0,0,0">
                <w:txbxContent>
                  <w:p w:rsidR="003643F1" w:rsidRDefault="003643F1"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3643F1" w:rsidRPr="00C423DB" w:rsidRDefault="003643F1"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r>
      <w:rPr>
        <w:noProof/>
      </w:rPr>
      <w:drawing>
        <wp:inline distT="0" distB="0" distL="0" distR="0" wp14:anchorId="2A548828" wp14:editId="07F83356">
          <wp:extent cx="6480175" cy="580390"/>
          <wp:effectExtent l="0" t="0" r="0" b="0"/>
          <wp:docPr id="8" name="Immagine 8" descr="iconeComunicatiRo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eComunicatiRosso-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039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3F1" w:rsidRPr="009E5F03" w:rsidRDefault="003643F1" w:rsidP="009E5F03">
    <w:pPr>
      <w:pStyle w:val="Intestazione"/>
    </w:pPr>
    <w:r>
      <w:rPr>
        <w:noProof/>
      </w:rPr>
      <w:drawing>
        <wp:inline distT="0" distB="0" distL="0" distR="0">
          <wp:extent cx="6480175" cy="580390"/>
          <wp:effectExtent l="0" t="0" r="0" b="0"/>
          <wp:docPr id="13" name="Immagine 13"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0390"/>
                  </a:xfrm>
                  <a:prstGeom prst="rect">
                    <a:avLst/>
                  </a:prstGeom>
                  <a:noFill/>
                  <a:ln>
                    <a:noFill/>
                  </a:ln>
                </pic:spPr>
              </pic:pic>
            </a:graphicData>
          </a:graphic>
        </wp:inline>
      </w:drawing>
    </w:r>
    <w:r>
      <w:rPr>
        <w:noProof/>
      </w:rPr>
      <mc:AlternateContent>
        <mc:Choice Requires="wps">
          <w:drawing>
            <wp:anchor distT="0" distB="0" distL="114300" distR="114300" simplePos="0" relativeHeight="251654144" behindDoc="0" locked="0" layoutInCell="1" allowOverlap="1">
              <wp:simplePos x="0" y="0"/>
              <wp:positionH relativeFrom="column">
                <wp:posOffset>536575</wp:posOffset>
              </wp:positionH>
              <wp:positionV relativeFrom="paragraph">
                <wp:posOffset>41910</wp:posOffset>
              </wp:positionV>
              <wp:extent cx="1078230" cy="263525"/>
              <wp:effectExtent l="0" t="0" r="26670" b="2286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3643F1" w:rsidRDefault="003643F1" w:rsidP="00C423DB">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3643F1" w:rsidRPr="00C423DB" w:rsidRDefault="003643F1" w:rsidP="00B249D0">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2.25pt;margin-top:3.3pt;width:84.9pt;height:20.7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" strokecolor="white">
              <v:textbox style="mso-fit-shape-to-text:t" inset="0,0,0,0">
                <w:txbxContent>
                  <w:p w:rsidR="003643F1" w:rsidRDefault="003643F1" w:rsidP="00C423DB">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3643F1" w:rsidRPr="00C423DB" w:rsidRDefault="003643F1" w:rsidP="00B249D0">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3F1" w:rsidRPr="009E5F03" w:rsidRDefault="003643F1" w:rsidP="009E5F03">
    <w:pPr>
      <w:pStyle w:val="Intestazione"/>
    </w:pPr>
    <w:r>
      <w:rPr>
        <w:noProof/>
      </w:rPr>
      <mc:AlternateContent>
        <mc:Choice Requires="wps">
          <w:drawing>
            <wp:anchor distT="0" distB="0" distL="114300" distR="114300" simplePos="0" relativeHeight="251658240" behindDoc="0" locked="0" layoutInCell="1" allowOverlap="1" wp14:anchorId="51468396" wp14:editId="1932FD3E">
              <wp:simplePos x="0" y="0"/>
              <wp:positionH relativeFrom="column">
                <wp:posOffset>536575</wp:posOffset>
              </wp:positionH>
              <wp:positionV relativeFrom="paragraph">
                <wp:posOffset>60960</wp:posOffset>
              </wp:positionV>
              <wp:extent cx="1078230" cy="263525"/>
              <wp:effectExtent l="0" t="0" r="26670" b="2286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3643F1" w:rsidRDefault="003643F1" w:rsidP="00B249D0">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PREZZI </w:t>
                          </w:r>
                        </w:p>
                        <w:p w:rsidR="003643F1" w:rsidRPr="0017508C" w:rsidRDefault="003643F1" w:rsidP="00B249D0">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1468396" id="_x0000_t202" coordsize="21600,21600" o:spt="202" path="m,l,21600r21600,l21600,xe">
              <v:stroke joinstyle="miter"/>
              <v:path gradientshapeok="t" o:connecttype="rect"/>
            </v:shapetype>
            <v:shape id="_x0000_s1033" type="#_x0000_t202" style="position:absolute;margin-left:42.25pt;margin-top:4.8pt;width:84.9pt;height:20.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" strokecolor="white">
              <v:textbox style="mso-fit-shape-to-text:t" inset="0,0,0,0">
                <w:txbxContent>
                  <w:p w:rsidR="003643F1" w:rsidRDefault="003643F1" w:rsidP="00B249D0">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PREZZI </w:t>
                    </w:r>
                  </w:p>
                  <w:p w:rsidR="003643F1" w:rsidRPr="0017508C" w:rsidRDefault="003643F1" w:rsidP="00B249D0">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AL CONSUMO</w:t>
                    </w:r>
                  </w:p>
                </w:txbxContent>
              </v:textbox>
            </v:shape>
          </w:pict>
        </mc:Fallback>
      </mc:AlternateContent>
    </w:r>
    <w:r>
      <w:rPr>
        <w:noProof/>
      </w:rPr>
      <w:drawing>
        <wp:inline distT="0" distB="0" distL="0" distR="0" wp14:anchorId="5429EEA4" wp14:editId="67B4EF7A">
          <wp:extent cx="6480175" cy="588645"/>
          <wp:effectExtent l="0" t="0" r="0" b="1905"/>
          <wp:docPr id="14" name="Immagine 14"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8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5pt;height:7.2pt" o:bullet="t">
        <v:imagedata r:id="rId1" o:title=""/>
      </v:shape>
    </w:pict>
  </w:numPicBullet>
  <w:numPicBullet w:numPicBulletId="1">
    <w:pict>
      <v:shape id="_x0000_i1035" type="#_x0000_t75" style="width:8.45pt;height:8.45pt" o:bullet="t">
        <v:imagedata r:id="rId2" o:title=""/>
      </v:shape>
    </w:pict>
  </w:numPicBullet>
  <w:abstractNum w:abstractNumId="0" w15:restartNumberingAfterBreak="0">
    <w:nsid w:val="FFFFFF1D"/>
    <w:multiLevelType w:val="multilevel"/>
    <w:tmpl w:val="F1A4DC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E56C4"/>
    <w:multiLevelType w:val="hybridMultilevel"/>
    <w:tmpl w:val="AB00ACB0"/>
    <w:lvl w:ilvl="0" w:tplc="723CD9BA">
      <w:start w:val="1"/>
      <w:numFmt w:val="bullet"/>
      <w:lvlText w:val=""/>
      <w:lvlPicBulletId w:val="0"/>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 w15:restartNumberingAfterBreak="0">
    <w:nsid w:val="056C3596"/>
    <w:multiLevelType w:val="multilevel"/>
    <w:tmpl w:val="98E2AEF0"/>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59315D3"/>
    <w:multiLevelType w:val="hybridMultilevel"/>
    <w:tmpl w:val="EF400274"/>
    <w:lvl w:ilvl="0" w:tplc="8CAC103E">
      <w:start w:val="1"/>
      <w:numFmt w:val="bullet"/>
      <w:lvlText w:val=""/>
      <w:lvlPicBulletId w:val="0"/>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6EB06D5"/>
    <w:multiLevelType w:val="hybridMultilevel"/>
    <w:tmpl w:val="FB56AB9A"/>
    <w:lvl w:ilvl="0" w:tplc="B2FE55E2">
      <w:start w:val="1"/>
      <w:numFmt w:val="bullet"/>
      <w:lvlText w:val=""/>
      <w:lvlPicBulletId w:val="0"/>
      <w:lvlJc w:val="left"/>
      <w:pPr>
        <w:tabs>
          <w:tab w:val="num" w:pos="720"/>
        </w:tabs>
        <w:ind w:left="720" w:hanging="360"/>
      </w:pPr>
      <w:rPr>
        <w:rFonts w:ascii="Symbol" w:hAnsi="Symbol" w:hint="default"/>
      </w:rPr>
    </w:lvl>
    <w:lvl w:ilvl="1" w:tplc="92C4D3EE" w:tentative="1">
      <w:start w:val="1"/>
      <w:numFmt w:val="bullet"/>
      <w:lvlText w:val=""/>
      <w:lvlJc w:val="left"/>
      <w:pPr>
        <w:tabs>
          <w:tab w:val="num" w:pos="1440"/>
        </w:tabs>
        <w:ind w:left="1440" w:hanging="360"/>
      </w:pPr>
      <w:rPr>
        <w:rFonts w:ascii="Symbol" w:hAnsi="Symbol" w:hint="default"/>
      </w:rPr>
    </w:lvl>
    <w:lvl w:ilvl="2" w:tplc="D30C083A" w:tentative="1">
      <w:start w:val="1"/>
      <w:numFmt w:val="bullet"/>
      <w:lvlText w:val=""/>
      <w:lvlJc w:val="left"/>
      <w:pPr>
        <w:tabs>
          <w:tab w:val="num" w:pos="2160"/>
        </w:tabs>
        <w:ind w:left="2160" w:hanging="360"/>
      </w:pPr>
      <w:rPr>
        <w:rFonts w:ascii="Symbol" w:hAnsi="Symbol" w:hint="default"/>
      </w:rPr>
    </w:lvl>
    <w:lvl w:ilvl="3" w:tplc="02223036" w:tentative="1">
      <w:start w:val="1"/>
      <w:numFmt w:val="bullet"/>
      <w:lvlText w:val=""/>
      <w:lvlJc w:val="left"/>
      <w:pPr>
        <w:tabs>
          <w:tab w:val="num" w:pos="2880"/>
        </w:tabs>
        <w:ind w:left="2880" w:hanging="360"/>
      </w:pPr>
      <w:rPr>
        <w:rFonts w:ascii="Symbol" w:hAnsi="Symbol" w:hint="default"/>
      </w:rPr>
    </w:lvl>
    <w:lvl w:ilvl="4" w:tplc="E7FC4076" w:tentative="1">
      <w:start w:val="1"/>
      <w:numFmt w:val="bullet"/>
      <w:lvlText w:val=""/>
      <w:lvlJc w:val="left"/>
      <w:pPr>
        <w:tabs>
          <w:tab w:val="num" w:pos="3600"/>
        </w:tabs>
        <w:ind w:left="3600" w:hanging="360"/>
      </w:pPr>
      <w:rPr>
        <w:rFonts w:ascii="Symbol" w:hAnsi="Symbol" w:hint="default"/>
      </w:rPr>
    </w:lvl>
    <w:lvl w:ilvl="5" w:tplc="819EFF5A" w:tentative="1">
      <w:start w:val="1"/>
      <w:numFmt w:val="bullet"/>
      <w:lvlText w:val=""/>
      <w:lvlJc w:val="left"/>
      <w:pPr>
        <w:tabs>
          <w:tab w:val="num" w:pos="4320"/>
        </w:tabs>
        <w:ind w:left="4320" w:hanging="360"/>
      </w:pPr>
      <w:rPr>
        <w:rFonts w:ascii="Symbol" w:hAnsi="Symbol" w:hint="default"/>
      </w:rPr>
    </w:lvl>
    <w:lvl w:ilvl="6" w:tplc="ABC074C0" w:tentative="1">
      <w:start w:val="1"/>
      <w:numFmt w:val="bullet"/>
      <w:lvlText w:val=""/>
      <w:lvlJc w:val="left"/>
      <w:pPr>
        <w:tabs>
          <w:tab w:val="num" w:pos="5040"/>
        </w:tabs>
        <w:ind w:left="5040" w:hanging="360"/>
      </w:pPr>
      <w:rPr>
        <w:rFonts w:ascii="Symbol" w:hAnsi="Symbol" w:hint="default"/>
      </w:rPr>
    </w:lvl>
    <w:lvl w:ilvl="7" w:tplc="8E583D36" w:tentative="1">
      <w:start w:val="1"/>
      <w:numFmt w:val="bullet"/>
      <w:lvlText w:val=""/>
      <w:lvlJc w:val="left"/>
      <w:pPr>
        <w:tabs>
          <w:tab w:val="num" w:pos="5760"/>
        </w:tabs>
        <w:ind w:left="5760" w:hanging="360"/>
      </w:pPr>
      <w:rPr>
        <w:rFonts w:ascii="Symbol" w:hAnsi="Symbol" w:hint="default"/>
      </w:rPr>
    </w:lvl>
    <w:lvl w:ilvl="8" w:tplc="B1D602D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8BF3BFF"/>
    <w:multiLevelType w:val="hybridMultilevel"/>
    <w:tmpl w:val="FDD2E72E"/>
    <w:lvl w:ilvl="0" w:tplc="5F0E29A6">
      <w:start w:val="1"/>
      <w:numFmt w:val="bullet"/>
      <w:lvlText w:val=""/>
      <w:lvlPicBulletId w:val="0"/>
      <w:lvlJc w:val="left"/>
      <w:pPr>
        <w:ind w:left="2534" w:hanging="360"/>
      </w:pPr>
      <w:rPr>
        <w:rFonts w:ascii="Symbol" w:hAnsi="Symbol" w:hint="default"/>
        <w:color w:val="E426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7" w15:restartNumberingAfterBreak="0">
    <w:nsid w:val="09B04BFB"/>
    <w:multiLevelType w:val="hybridMultilevel"/>
    <w:tmpl w:val="C52A7568"/>
    <w:lvl w:ilvl="0" w:tplc="82C8BDA8">
      <w:start w:val="1"/>
      <w:numFmt w:val="bullet"/>
      <w:lvlText w:val=""/>
      <w:lvlJc w:val="left"/>
      <w:pPr>
        <w:ind w:left="360" w:hanging="360"/>
      </w:pPr>
      <w:rPr>
        <w:rFonts w:ascii="Wingdings" w:hAnsi="Wingdings" w:hint="default"/>
        <w:color w:val="E42618"/>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A272349"/>
    <w:multiLevelType w:val="hybridMultilevel"/>
    <w:tmpl w:val="B596EB7A"/>
    <w:lvl w:ilvl="0" w:tplc="04100019">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9" w15:restartNumberingAfterBreak="0">
    <w:nsid w:val="0AB86367"/>
    <w:multiLevelType w:val="hybridMultilevel"/>
    <w:tmpl w:val="4FFCC8FE"/>
    <w:lvl w:ilvl="0" w:tplc="723CD9BA">
      <w:start w:val="1"/>
      <w:numFmt w:val="bullet"/>
      <w:lvlText w:val=""/>
      <w:lvlPicBulletId w:val="0"/>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0" w15:restartNumberingAfterBreak="0">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172E02"/>
    <w:multiLevelType w:val="hybridMultilevel"/>
    <w:tmpl w:val="98E2AEF0"/>
    <w:lvl w:ilvl="0" w:tplc="A8762A92">
      <w:start w:val="1"/>
      <w:numFmt w:val="bullet"/>
      <w:lvlText w:val=""/>
      <w:lvlPicBulletId w:val="1"/>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2474EB0"/>
    <w:multiLevelType w:val="hybridMultilevel"/>
    <w:tmpl w:val="D556ECE8"/>
    <w:lvl w:ilvl="0" w:tplc="0410000D">
      <w:start w:val="1"/>
      <w:numFmt w:val="bullet"/>
      <w:lvlText w:val=""/>
      <w:lvlJc w:val="left"/>
      <w:pPr>
        <w:tabs>
          <w:tab w:val="num" w:pos="2156"/>
        </w:tabs>
        <w:ind w:left="2156" w:hanging="284"/>
      </w:pPr>
      <w:rPr>
        <w:rFonts w:ascii="Wingdings" w:hAnsi="Wingdings" w:hint="default"/>
        <w:b/>
        <w:i w:val="0"/>
        <w:color w:val="808080"/>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13" w15:restartNumberingAfterBreak="0">
    <w:nsid w:val="15B33207"/>
    <w:multiLevelType w:val="hybridMultilevel"/>
    <w:tmpl w:val="0D7A83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EC23CD"/>
    <w:multiLevelType w:val="hybridMultilevel"/>
    <w:tmpl w:val="515230EE"/>
    <w:lvl w:ilvl="0" w:tplc="A8762A92">
      <w:start w:val="1"/>
      <w:numFmt w:val="bullet"/>
      <w:lvlText w:val=""/>
      <w:lvlPicBulletId w:val="1"/>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7D531E"/>
    <w:multiLevelType w:val="hybridMultilevel"/>
    <w:tmpl w:val="73003C7A"/>
    <w:lvl w:ilvl="0" w:tplc="7FE041A6">
      <w:start w:val="1"/>
      <w:numFmt w:val="bullet"/>
      <w:lvlText w:val=""/>
      <w:lvlJc w:val="left"/>
      <w:pPr>
        <w:ind w:left="2534" w:hanging="360"/>
      </w:pPr>
      <w:rPr>
        <w:rFonts w:ascii="Wingdings" w:hAnsi="Wingdings" w:hint="default"/>
        <w:b/>
        <w:i w:val="0"/>
        <w:color w:val="FF0000"/>
        <w:sz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6" w15:restartNumberingAfterBreak="0">
    <w:nsid w:val="27400167"/>
    <w:multiLevelType w:val="hybridMultilevel"/>
    <w:tmpl w:val="71D0AC6A"/>
    <w:lvl w:ilvl="0" w:tplc="48A08B96">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7" w15:restartNumberingAfterBreak="0">
    <w:nsid w:val="29FC5E71"/>
    <w:multiLevelType w:val="multilevel"/>
    <w:tmpl w:val="98E2AEF0"/>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A8D1546"/>
    <w:multiLevelType w:val="hybridMultilevel"/>
    <w:tmpl w:val="8D50C4BA"/>
    <w:lvl w:ilvl="0" w:tplc="BEB84E40">
      <w:start w:val="1"/>
      <w:numFmt w:val="bullet"/>
      <w:lvlText w:val=""/>
      <w:lvlPicBulletId w:val="0"/>
      <w:lvlJc w:val="left"/>
      <w:pPr>
        <w:tabs>
          <w:tab w:val="num" w:pos="720"/>
        </w:tabs>
        <w:ind w:left="720" w:hanging="360"/>
      </w:pPr>
      <w:rPr>
        <w:rFonts w:ascii="Symbol" w:hAnsi="Symbol" w:hint="default"/>
      </w:rPr>
    </w:lvl>
    <w:lvl w:ilvl="1" w:tplc="842E4F52" w:tentative="1">
      <w:start w:val="1"/>
      <w:numFmt w:val="bullet"/>
      <w:lvlText w:val=""/>
      <w:lvlJc w:val="left"/>
      <w:pPr>
        <w:tabs>
          <w:tab w:val="num" w:pos="1440"/>
        </w:tabs>
        <w:ind w:left="1440" w:hanging="360"/>
      </w:pPr>
      <w:rPr>
        <w:rFonts w:ascii="Symbol" w:hAnsi="Symbol" w:hint="default"/>
      </w:rPr>
    </w:lvl>
    <w:lvl w:ilvl="2" w:tplc="96ACCD0A" w:tentative="1">
      <w:start w:val="1"/>
      <w:numFmt w:val="bullet"/>
      <w:lvlText w:val=""/>
      <w:lvlJc w:val="left"/>
      <w:pPr>
        <w:tabs>
          <w:tab w:val="num" w:pos="2160"/>
        </w:tabs>
        <w:ind w:left="2160" w:hanging="360"/>
      </w:pPr>
      <w:rPr>
        <w:rFonts w:ascii="Symbol" w:hAnsi="Symbol" w:hint="default"/>
      </w:rPr>
    </w:lvl>
    <w:lvl w:ilvl="3" w:tplc="8C622964" w:tentative="1">
      <w:start w:val="1"/>
      <w:numFmt w:val="bullet"/>
      <w:lvlText w:val=""/>
      <w:lvlJc w:val="left"/>
      <w:pPr>
        <w:tabs>
          <w:tab w:val="num" w:pos="2880"/>
        </w:tabs>
        <w:ind w:left="2880" w:hanging="360"/>
      </w:pPr>
      <w:rPr>
        <w:rFonts w:ascii="Symbol" w:hAnsi="Symbol" w:hint="default"/>
      </w:rPr>
    </w:lvl>
    <w:lvl w:ilvl="4" w:tplc="3614E794" w:tentative="1">
      <w:start w:val="1"/>
      <w:numFmt w:val="bullet"/>
      <w:lvlText w:val=""/>
      <w:lvlJc w:val="left"/>
      <w:pPr>
        <w:tabs>
          <w:tab w:val="num" w:pos="3600"/>
        </w:tabs>
        <w:ind w:left="3600" w:hanging="360"/>
      </w:pPr>
      <w:rPr>
        <w:rFonts w:ascii="Symbol" w:hAnsi="Symbol" w:hint="default"/>
      </w:rPr>
    </w:lvl>
    <w:lvl w:ilvl="5" w:tplc="BE5EC1D8" w:tentative="1">
      <w:start w:val="1"/>
      <w:numFmt w:val="bullet"/>
      <w:lvlText w:val=""/>
      <w:lvlJc w:val="left"/>
      <w:pPr>
        <w:tabs>
          <w:tab w:val="num" w:pos="4320"/>
        </w:tabs>
        <w:ind w:left="4320" w:hanging="360"/>
      </w:pPr>
      <w:rPr>
        <w:rFonts w:ascii="Symbol" w:hAnsi="Symbol" w:hint="default"/>
      </w:rPr>
    </w:lvl>
    <w:lvl w:ilvl="6" w:tplc="F0A6AC2E" w:tentative="1">
      <w:start w:val="1"/>
      <w:numFmt w:val="bullet"/>
      <w:lvlText w:val=""/>
      <w:lvlJc w:val="left"/>
      <w:pPr>
        <w:tabs>
          <w:tab w:val="num" w:pos="5040"/>
        </w:tabs>
        <w:ind w:left="5040" w:hanging="360"/>
      </w:pPr>
      <w:rPr>
        <w:rFonts w:ascii="Symbol" w:hAnsi="Symbol" w:hint="default"/>
      </w:rPr>
    </w:lvl>
    <w:lvl w:ilvl="7" w:tplc="0AD273DE" w:tentative="1">
      <w:start w:val="1"/>
      <w:numFmt w:val="bullet"/>
      <w:lvlText w:val=""/>
      <w:lvlJc w:val="left"/>
      <w:pPr>
        <w:tabs>
          <w:tab w:val="num" w:pos="5760"/>
        </w:tabs>
        <w:ind w:left="5760" w:hanging="360"/>
      </w:pPr>
      <w:rPr>
        <w:rFonts w:ascii="Symbol" w:hAnsi="Symbol" w:hint="default"/>
      </w:rPr>
    </w:lvl>
    <w:lvl w:ilvl="8" w:tplc="8F40203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E9263E3"/>
    <w:multiLevelType w:val="hybridMultilevel"/>
    <w:tmpl w:val="B4363020"/>
    <w:lvl w:ilvl="0" w:tplc="86A00B8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1361525"/>
    <w:multiLevelType w:val="hybridMultilevel"/>
    <w:tmpl w:val="C6F64AD6"/>
    <w:lvl w:ilvl="0" w:tplc="723CD9BA">
      <w:start w:val="1"/>
      <w:numFmt w:val="bullet"/>
      <w:lvlText w:val=""/>
      <w:lvlPicBulletId w:val="0"/>
      <w:lvlJc w:val="left"/>
      <w:pPr>
        <w:tabs>
          <w:tab w:val="num" w:pos="2156"/>
        </w:tabs>
        <w:ind w:left="2156" w:hanging="284"/>
      </w:pPr>
      <w:rPr>
        <w:rFonts w:ascii="Symbol" w:hAnsi="Symbol"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21" w15:restartNumberingAfterBreak="0">
    <w:nsid w:val="313F7E03"/>
    <w:multiLevelType w:val="hybridMultilevel"/>
    <w:tmpl w:val="EF88D464"/>
    <w:lvl w:ilvl="0" w:tplc="DC6831E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34CC2B15"/>
    <w:multiLevelType w:val="hybridMultilevel"/>
    <w:tmpl w:val="968862AE"/>
    <w:lvl w:ilvl="0" w:tplc="723CD9BA">
      <w:start w:val="1"/>
      <w:numFmt w:val="bullet"/>
      <w:lvlText w:val=""/>
      <w:lvlPicBulletId w:val="0"/>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4" w15:restartNumberingAfterBreak="0">
    <w:nsid w:val="3B126581"/>
    <w:multiLevelType w:val="hybridMultilevel"/>
    <w:tmpl w:val="3EDCEA5C"/>
    <w:lvl w:ilvl="0" w:tplc="723CD9BA">
      <w:start w:val="1"/>
      <w:numFmt w:val="bullet"/>
      <w:lvlText w:val=""/>
      <w:lvlPicBulletId w:val="0"/>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F8F0948"/>
    <w:multiLevelType w:val="multilevel"/>
    <w:tmpl w:val="98E2AEF0"/>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0037B4E"/>
    <w:multiLevelType w:val="hybridMultilevel"/>
    <w:tmpl w:val="2EE8FC76"/>
    <w:lvl w:ilvl="0" w:tplc="53A204B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02B69B0"/>
    <w:multiLevelType w:val="hybridMultilevel"/>
    <w:tmpl w:val="62583230"/>
    <w:lvl w:ilvl="0" w:tplc="980A3E20">
      <w:start w:val="1"/>
      <w:numFmt w:val="lowerLetter"/>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8" w15:restartNumberingAfterBreak="0">
    <w:nsid w:val="43DB5AF6"/>
    <w:multiLevelType w:val="hybridMultilevel"/>
    <w:tmpl w:val="1F1CF902"/>
    <w:lvl w:ilvl="0" w:tplc="812022A2">
      <w:start w:val="1"/>
      <w:numFmt w:val="lowerLetter"/>
      <w:lvlText w:val="(%1)"/>
      <w:lvlJc w:val="left"/>
      <w:pPr>
        <w:ind w:left="990" w:hanging="63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B7641BD"/>
    <w:multiLevelType w:val="hybridMultilevel"/>
    <w:tmpl w:val="6ADE222C"/>
    <w:lvl w:ilvl="0" w:tplc="723CD9BA">
      <w:start w:val="1"/>
      <w:numFmt w:val="bullet"/>
      <w:lvlText w:val=""/>
      <w:lvlPicBulletId w:val="0"/>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0" w15:restartNumberingAfterBreak="0">
    <w:nsid w:val="4C7E4CE7"/>
    <w:multiLevelType w:val="hybridMultilevel"/>
    <w:tmpl w:val="24682D9E"/>
    <w:lvl w:ilvl="0" w:tplc="7FE041A6">
      <w:start w:val="1"/>
      <w:numFmt w:val="bullet"/>
      <w:lvlText w:val=""/>
      <w:lvlJc w:val="left"/>
      <w:pPr>
        <w:tabs>
          <w:tab w:val="num" w:pos="2156"/>
        </w:tabs>
        <w:ind w:left="2156" w:hanging="284"/>
      </w:pPr>
      <w:rPr>
        <w:rFonts w:ascii="Wingdings" w:hAnsi="Wingdings"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31" w15:restartNumberingAfterBreak="0">
    <w:nsid w:val="53AC3738"/>
    <w:multiLevelType w:val="hybridMultilevel"/>
    <w:tmpl w:val="7F00C2E6"/>
    <w:lvl w:ilvl="0" w:tplc="3C143362">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56D208CF"/>
    <w:multiLevelType w:val="hybridMultilevel"/>
    <w:tmpl w:val="3364CF3C"/>
    <w:lvl w:ilvl="0" w:tplc="DFE4B1A6">
      <w:start w:val="1"/>
      <w:numFmt w:val="bullet"/>
      <w:lvlText w:val=""/>
      <w:lvlPicBulletId w:val="0"/>
      <w:lvlJc w:val="left"/>
      <w:pPr>
        <w:tabs>
          <w:tab w:val="num" w:pos="720"/>
        </w:tabs>
        <w:ind w:left="720" w:hanging="360"/>
      </w:pPr>
      <w:rPr>
        <w:rFonts w:ascii="Symbol" w:hAnsi="Symbol" w:hint="default"/>
      </w:rPr>
    </w:lvl>
    <w:lvl w:ilvl="1" w:tplc="A6883440" w:tentative="1">
      <w:start w:val="1"/>
      <w:numFmt w:val="bullet"/>
      <w:lvlText w:val=""/>
      <w:lvlJc w:val="left"/>
      <w:pPr>
        <w:tabs>
          <w:tab w:val="num" w:pos="1440"/>
        </w:tabs>
        <w:ind w:left="1440" w:hanging="360"/>
      </w:pPr>
      <w:rPr>
        <w:rFonts w:ascii="Symbol" w:hAnsi="Symbol" w:hint="default"/>
      </w:rPr>
    </w:lvl>
    <w:lvl w:ilvl="2" w:tplc="CB68053C" w:tentative="1">
      <w:start w:val="1"/>
      <w:numFmt w:val="bullet"/>
      <w:lvlText w:val=""/>
      <w:lvlJc w:val="left"/>
      <w:pPr>
        <w:tabs>
          <w:tab w:val="num" w:pos="2160"/>
        </w:tabs>
        <w:ind w:left="2160" w:hanging="360"/>
      </w:pPr>
      <w:rPr>
        <w:rFonts w:ascii="Symbol" w:hAnsi="Symbol" w:hint="default"/>
      </w:rPr>
    </w:lvl>
    <w:lvl w:ilvl="3" w:tplc="3800A33E" w:tentative="1">
      <w:start w:val="1"/>
      <w:numFmt w:val="bullet"/>
      <w:lvlText w:val=""/>
      <w:lvlJc w:val="left"/>
      <w:pPr>
        <w:tabs>
          <w:tab w:val="num" w:pos="2880"/>
        </w:tabs>
        <w:ind w:left="2880" w:hanging="360"/>
      </w:pPr>
      <w:rPr>
        <w:rFonts w:ascii="Symbol" w:hAnsi="Symbol" w:hint="default"/>
      </w:rPr>
    </w:lvl>
    <w:lvl w:ilvl="4" w:tplc="0FFEE34C" w:tentative="1">
      <w:start w:val="1"/>
      <w:numFmt w:val="bullet"/>
      <w:lvlText w:val=""/>
      <w:lvlJc w:val="left"/>
      <w:pPr>
        <w:tabs>
          <w:tab w:val="num" w:pos="3600"/>
        </w:tabs>
        <w:ind w:left="3600" w:hanging="360"/>
      </w:pPr>
      <w:rPr>
        <w:rFonts w:ascii="Symbol" w:hAnsi="Symbol" w:hint="default"/>
      </w:rPr>
    </w:lvl>
    <w:lvl w:ilvl="5" w:tplc="6228356A" w:tentative="1">
      <w:start w:val="1"/>
      <w:numFmt w:val="bullet"/>
      <w:lvlText w:val=""/>
      <w:lvlJc w:val="left"/>
      <w:pPr>
        <w:tabs>
          <w:tab w:val="num" w:pos="4320"/>
        </w:tabs>
        <w:ind w:left="4320" w:hanging="360"/>
      </w:pPr>
      <w:rPr>
        <w:rFonts w:ascii="Symbol" w:hAnsi="Symbol" w:hint="default"/>
      </w:rPr>
    </w:lvl>
    <w:lvl w:ilvl="6" w:tplc="8D5A4C08" w:tentative="1">
      <w:start w:val="1"/>
      <w:numFmt w:val="bullet"/>
      <w:lvlText w:val=""/>
      <w:lvlJc w:val="left"/>
      <w:pPr>
        <w:tabs>
          <w:tab w:val="num" w:pos="5040"/>
        </w:tabs>
        <w:ind w:left="5040" w:hanging="360"/>
      </w:pPr>
      <w:rPr>
        <w:rFonts w:ascii="Symbol" w:hAnsi="Symbol" w:hint="default"/>
      </w:rPr>
    </w:lvl>
    <w:lvl w:ilvl="7" w:tplc="42D69AF4" w:tentative="1">
      <w:start w:val="1"/>
      <w:numFmt w:val="bullet"/>
      <w:lvlText w:val=""/>
      <w:lvlJc w:val="left"/>
      <w:pPr>
        <w:tabs>
          <w:tab w:val="num" w:pos="5760"/>
        </w:tabs>
        <w:ind w:left="5760" w:hanging="360"/>
      </w:pPr>
      <w:rPr>
        <w:rFonts w:ascii="Symbol" w:hAnsi="Symbol" w:hint="default"/>
      </w:rPr>
    </w:lvl>
    <w:lvl w:ilvl="8" w:tplc="2876B1C8"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C660AF1"/>
    <w:multiLevelType w:val="hybridMultilevel"/>
    <w:tmpl w:val="F8FEE642"/>
    <w:lvl w:ilvl="0" w:tplc="04100017">
      <w:start w:val="1"/>
      <w:numFmt w:val="lowerLetter"/>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4" w15:restartNumberingAfterBreak="0">
    <w:nsid w:val="5F61623A"/>
    <w:multiLevelType w:val="hybridMultilevel"/>
    <w:tmpl w:val="7F00C2E6"/>
    <w:lvl w:ilvl="0" w:tplc="3C143362">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6A10E50"/>
    <w:multiLevelType w:val="hybridMultilevel"/>
    <w:tmpl w:val="F8DE1BF8"/>
    <w:lvl w:ilvl="0" w:tplc="37C26DD4">
      <w:start w:val="1"/>
      <w:numFmt w:val="lowerLetter"/>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6" w15:restartNumberingAfterBreak="0">
    <w:nsid w:val="66D53A64"/>
    <w:multiLevelType w:val="hybridMultilevel"/>
    <w:tmpl w:val="E73EDCB6"/>
    <w:lvl w:ilvl="0" w:tplc="723CD9BA">
      <w:start w:val="1"/>
      <w:numFmt w:val="bullet"/>
      <w:lvlText w:val=""/>
      <w:lvlPicBulletId w:val="0"/>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7BB2EB1"/>
    <w:multiLevelType w:val="hybridMultilevel"/>
    <w:tmpl w:val="E3FA6C7E"/>
    <w:lvl w:ilvl="0" w:tplc="82C8BDA8">
      <w:start w:val="1"/>
      <w:numFmt w:val="bullet"/>
      <w:lvlText w:val=""/>
      <w:lvlJc w:val="left"/>
      <w:pPr>
        <w:ind w:left="720" w:hanging="360"/>
      </w:pPr>
      <w:rPr>
        <w:rFonts w:ascii="Wingdings" w:hAnsi="Wingdings" w:hint="default"/>
        <w:color w:val="E42618"/>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2F1680C"/>
    <w:multiLevelType w:val="hybridMultilevel"/>
    <w:tmpl w:val="B93A53EA"/>
    <w:lvl w:ilvl="0" w:tplc="90C8B6DA">
      <w:start w:val="1"/>
      <w:numFmt w:val="bullet"/>
      <w:lvlText w:val=""/>
      <w:lvlJc w:val="left"/>
      <w:pPr>
        <w:ind w:left="2534" w:hanging="360"/>
      </w:pPr>
      <w:rPr>
        <w:rFonts w:ascii="Wingdings" w:hAnsi="Wingdings" w:hint="default"/>
        <w:color w:val="E42618"/>
        <w:sz w:val="18"/>
        <w:szCs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9" w15:restartNumberingAfterBreak="0">
    <w:nsid w:val="7F331D91"/>
    <w:multiLevelType w:val="hybridMultilevel"/>
    <w:tmpl w:val="E0E0959C"/>
    <w:lvl w:ilvl="0" w:tplc="28BE514C">
      <w:start w:val="1"/>
      <w:numFmt w:val="bullet"/>
      <w:lvlText w:val=""/>
      <w:lvlPicBulletId w:val="1"/>
      <w:lvlJc w:val="left"/>
      <w:pPr>
        <w:tabs>
          <w:tab w:val="num" w:pos="360"/>
        </w:tabs>
        <w:ind w:left="360" w:hanging="360"/>
      </w:pPr>
      <w:rPr>
        <w:rFonts w:ascii="Symbol" w:hAnsi="Symbol" w:hint="default"/>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num w:numId="1">
    <w:abstractNumId w:val="23"/>
  </w:num>
  <w:num w:numId="2">
    <w:abstractNumId w:val="2"/>
  </w:num>
  <w:num w:numId="3">
    <w:abstractNumId w:val="36"/>
  </w:num>
  <w:num w:numId="4">
    <w:abstractNumId w:val="38"/>
  </w:num>
  <w:num w:numId="5">
    <w:abstractNumId w:val="7"/>
  </w:num>
  <w:num w:numId="6">
    <w:abstractNumId w:val="13"/>
  </w:num>
  <w:num w:numId="7">
    <w:abstractNumId w:val="5"/>
  </w:num>
  <w:num w:numId="8">
    <w:abstractNumId w:val="28"/>
  </w:num>
  <w:num w:numId="9">
    <w:abstractNumId w:val="7"/>
  </w:num>
  <w:num w:numId="10">
    <w:abstractNumId w:val="15"/>
  </w:num>
  <w:num w:numId="11">
    <w:abstractNumId w:val="14"/>
  </w:num>
  <w:num w:numId="12">
    <w:abstractNumId w:val="37"/>
  </w:num>
  <w:num w:numId="13">
    <w:abstractNumId w:val="26"/>
  </w:num>
  <w:num w:numId="14">
    <w:abstractNumId w:val="31"/>
  </w:num>
  <w:num w:numId="15">
    <w:abstractNumId w:val="34"/>
  </w:num>
  <w:num w:numId="16">
    <w:abstractNumId w:val="35"/>
  </w:num>
  <w:num w:numId="17">
    <w:abstractNumId w:val="8"/>
  </w:num>
  <w:num w:numId="18">
    <w:abstractNumId w:val="27"/>
  </w:num>
  <w:num w:numId="19">
    <w:abstractNumId w:val="11"/>
  </w:num>
  <w:num w:numId="20">
    <w:abstractNumId w:val="24"/>
  </w:num>
  <w:num w:numId="21">
    <w:abstractNumId w:val="29"/>
  </w:num>
  <w:num w:numId="22">
    <w:abstractNumId w:val="4"/>
  </w:num>
  <w:num w:numId="23">
    <w:abstractNumId w:val="3"/>
  </w:num>
  <w:num w:numId="24">
    <w:abstractNumId w:val="0"/>
  </w:num>
  <w:num w:numId="25">
    <w:abstractNumId w:val="17"/>
  </w:num>
  <w:num w:numId="26">
    <w:abstractNumId w:val="25"/>
  </w:num>
  <w:num w:numId="27">
    <w:abstractNumId w:val="9"/>
  </w:num>
  <w:num w:numId="28">
    <w:abstractNumId w:val="6"/>
  </w:num>
  <w:num w:numId="29">
    <w:abstractNumId w:val="10"/>
  </w:num>
  <w:num w:numId="30">
    <w:abstractNumId w:val="22"/>
  </w:num>
  <w:num w:numId="31">
    <w:abstractNumId w:val="1"/>
  </w:num>
  <w:num w:numId="32">
    <w:abstractNumId w:val="39"/>
  </w:num>
  <w:num w:numId="33">
    <w:abstractNumId w:val="18"/>
  </w:num>
  <w:num w:numId="34">
    <w:abstractNumId w:val="32"/>
  </w:num>
  <w:num w:numId="35">
    <w:abstractNumId w:val="12"/>
  </w:num>
  <w:num w:numId="36">
    <w:abstractNumId w:val="30"/>
  </w:num>
  <w:num w:numId="37">
    <w:abstractNumId w:val="20"/>
  </w:num>
  <w:num w:numId="38">
    <w:abstractNumId w:val="19"/>
  </w:num>
  <w:num w:numId="39">
    <w:abstractNumId w:val="16"/>
  </w:num>
  <w:num w:numId="40">
    <w:abstractNumId w:val="21"/>
  </w:num>
  <w:num w:numId="41">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vertical-relative:line" fill="f" fillcolor="white" stroke="f">
      <v:fill color="white" on="f"/>
      <v:stroke on="f"/>
      <o:colormru v:ext="edit" colors="#bd1f2b,#cf1e24,#d90b13,#e31c1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7E"/>
    <w:rsid w:val="00000148"/>
    <w:rsid w:val="00000909"/>
    <w:rsid w:val="000013A9"/>
    <w:rsid w:val="000014C4"/>
    <w:rsid w:val="00001875"/>
    <w:rsid w:val="00001C85"/>
    <w:rsid w:val="00001CEC"/>
    <w:rsid w:val="00001E4D"/>
    <w:rsid w:val="000020B2"/>
    <w:rsid w:val="000020B7"/>
    <w:rsid w:val="0000212A"/>
    <w:rsid w:val="0000242C"/>
    <w:rsid w:val="000026DF"/>
    <w:rsid w:val="00002F2D"/>
    <w:rsid w:val="000034C8"/>
    <w:rsid w:val="00003834"/>
    <w:rsid w:val="00003AAA"/>
    <w:rsid w:val="00003AB5"/>
    <w:rsid w:val="00003AD9"/>
    <w:rsid w:val="00003D59"/>
    <w:rsid w:val="00003F46"/>
    <w:rsid w:val="0000402D"/>
    <w:rsid w:val="000041BD"/>
    <w:rsid w:val="000043D5"/>
    <w:rsid w:val="0000451B"/>
    <w:rsid w:val="00004794"/>
    <w:rsid w:val="000049DD"/>
    <w:rsid w:val="00004DDD"/>
    <w:rsid w:val="00004DF3"/>
    <w:rsid w:val="00004E38"/>
    <w:rsid w:val="00005164"/>
    <w:rsid w:val="00005448"/>
    <w:rsid w:val="00005A6B"/>
    <w:rsid w:val="0000683C"/>
    <w:rsid w:val="000068BB"/>
    <w:rsid w:val="00006CF6"/>
    <w:rsid w:val="00006DB7"/>
    <w:rsid w:val="00006FEF"/>
    <w:rsid w:val="00007042"/>
    <w:rsid w:val="0000713B"/>
    <w:rsid w:val="00007235"/>
    <w:rsid w:val="0000740E"/>
    <w:rsid w:val="00007E47"/>
    <w:rsid w:val="00010041"/>
    <w:rsid w:val="000101B6"/>
    <w:rsid w:val="000101FB"/>
    <w:rsid w:val="000102D5"/>
    <w:rsid w:val="00010573"/>
    <w:rsid w:val="0001089C"/>
    <w:rsid w:val="000108ED"/>
    <w:rsid w:val="00010957"/>
    <w:rsid w:val="000109E3"/>
    <w:rsid w:val="00010A46"/>
    <w:rsid w:val="00010B15"/>
    <w:rsid w:val="00010B3A"/>
    <w:rsid w:val="00010B3C"/>
    <w:rsid w:val="000113F8"/>
    <w:rsid w:val="00011610"/>
    <w:rsid w:val="000116D7"/>
    <w:rsid w:val="000119A0"/>
    <w:rsid w:val="00011A51"/>
    <w:rsid w:val="00011C85"/>
    <w:rsid w:val="00011F76"/>
    <w:rsid w:val="00012101"/>
    <w:rsid w:val="00012364"/>
    <w:rsid w:val="000126C2"/>
    <w:rsid w:val="0001283C"/>
    <w:rsid w:val="00012A11"/>
    <w:rsid w:val="000134A3"/>
    <w:rsid w:val="000135AB"/>
    <w:rsid w:val="00013751"/>
    <w:rsid w:val="00013995"/>
    <w:rsid w:val="00013A1E"/>
    <w:rsid w:val="00013ED5"/>
    <w:rsid w:val="00013F41"/>
    <w:rsid w:val="0001463A"/>
    <w:rsid w:val="000146ED"/>
    <w:rsid w:val="00014927"/>
    <w:rsid w:val="00014AF9"/>
    <w:rsid w:val="00014EC8"/>
    <w:rsid w:val="00014F7E"/>
    <w:rsid w:val="00015C2B"/>
    <w:rsid w:val="00015D22"/>
    <w:rsid w:val="00015EAD"/>
    <w:rsid w:val="00015F2F"/>
    <w:rsid w:val="000161B7"/>
    <w:rsid w:val="000163BB"/>
    <w:rsid w:val="00016831"/>
    <w:rsid w:val="00016B13"/>
    <w:rsid w:val="00016FCA"/>
    <w:rsid w:val="000172C7"/>
    <w:rsid w:val="00017353"/>
    <w:rsid w:val="000205CA"/>
    <w:rsid w:val="0002065A"/>
    <w:rsid w:val="000211AD"/>
    <w:rsid w:val="000213E2"/>
    <w:rsid w:val="00021652"/>
    <w:rsid w:val="0002181D"/>
    <w:rsid w:val="00021A79"/>
    <w:rsid w:val="00021B34"/>
    <w:rsid w:val="00022197"/>
    <w:rsid w:val="00022763"/>
    <w:rsid w:val="000228CB"/>
    <w:rsid w:val="000229D6"/>
    <w:rsid w:val="00022CBD"/>
    <w:rsid w:val="00023424"/>
    <w:rsid w:val="00023452"/>
    <w:rsid w:val="000241B7"/>
    <w:rsid w:val="00024BDA"/>
    <w:rsid w:val="00024DC2"/>
    <w:rsid w:val="000250BE"/>
    <w:rsid w:val="000250D2"/>
    <w:rsid w:val="00025294"/>
    <w:rsid w:val="000254AC"/>
    <w:rsid w:val="0002574E"/>
    <w:rsid w:val="000257C6"/>
    <w:rsid w:val="00025822"/>
    <w:rsid w:val="00025A3E"/>
    <w:rsid w:val="00025A73"/>
    <w:rsid w:val="00025AA7"/>
    <w:rsid w:val="00025EA7"/>
    <w:rsid w:val="0002606C"/>
    <w:rsid w:val="000266A7"/>
    <w:rsid w:val="00027C45"/>
    <w:rsid w:val="00027CFD"/>
    <w:rsid w:val="00027FBC"/>
    <w:rsid w:val="00030309"/>
    <w:rsid w:val="00030BEE"/>
    <w:rsid w:val="0003109B"/>
    <w:rsid w:val="0003114F"/>
    <w:rsid w:val="00031258"/>
    <w:rsid w:val="00031864"/>
    <w:rsid w:val="00031934"/>
    <w:rsid w:val="00031C2E"/>
    <w:rsid w:val="000320B7"/>
    <w:rsid w:val="00032A4E"/>
    <w:rsid w:val="00033432"/>
    <w:rsid w:val="00033865"/>
    <w:rsid w:val="00033E85"/>
    <w:rsid w:val="00033F32"/>
    <w:rsid w:val="000345F9"/>
    <w:rsid w:val="000349DE"/>
    <w:rsid w:val="000350E3"/>
    <w:rsid w:val="00035164"/>
    <w:rsid w:val="00035817"/>
    <w:rsid w:val="00035837"/>
    <w:rsid w:val="0003629C"/>
    <w:rsid w:val="000362B0"/>
    <w:rsid w:val="000363D3"/>
    <w:rsid w:val="00036668"/>
    <w:rsid w:val="00036E38"/>
    <w:rsid w:val="0003704B"/>
    <w:rsid w:val="0003731A"/>
    <w:rsid w:val="000377E5"/>
    <w:rsid w:val="0004002D"/>
    <w:rsid w:val="00040033"/>
    <w:rsid w:val="000402DE"/>
    <w:rsid w:val="00041081"/>
    <w:rsid w:val="000417CF"/>
    <w:rsid w:val="00041DD2"/>
    <w:rsid w:val="00041DDD"/>
    <w:rsid w:val="00041DEF"/>
    <w:rsid w:val="00041F8D"/>
    <w:rsid w:val="00041FC1"/>
    <w:rsid w:val="0004257E"/>
    <w:rsid w:val="00042B16"/>
    <w:rsid w:val="00042D21"/>
    <w:rsid w:val="00042F44"/>
    <w:rsid w:val="00042F77"/>
    <w:rsid w:val="000433C2"/>
    <w:rsid w:val="000433FC"/>
    <w:rsid w:val="0004346C"/>
    <w:rsid w:val="00043C67"/>
    <w:rsid w:val="0004442C"/>
    <w:rsid w:val="000446D7"/>
    <w:rsid w:val="00044806"/>
    <w:rsid w:val="00044BA2"/>
    <w:rsid w:val="00044DCD"/>
    <w:rsid w:val="000455A6"/>
    <w:rsid w:val="00045623"/>
    <w:rsid w:val="000457A7"/>
    <w:rsid w:val="00045BC9"/>
    <w:rsid w:val="00045CF0"/>
    <w:rsid w:val="000462ED"/>
    <w:rsid w:val="00046668"/>
    <w:rsid w:val="00046881"/>
    <w:rsid w:val="00046950"/>
    <w:rsid w:val="00046AF5"/>
    <w:rsid w:val="000472CE"/>
    <w:rsid w:val="000474A3"/>
    <w:rsid w:val="00047509"/>
    <w:rsid w:val="000478E6"/>
    <w:rsid w:val="000479D4"/>
    <w:rsid w:val="00047CCE"/>
    <w:rsid w:val="00047E42"/>
    <w:rsid w:val="00050117"/>
    <w:rsid w:val="00050204"/>
    <w:rsid w:val="00050441"/>
    <w:rsid w:val="00050489"/>
    <w:rsid w:val="00050496"/>
    <w:rsid w:val="0005073C"/>
    <w:rsid w:val="000508D1"/>
    <w:rsid w:val="000510DA"/>
    <w:rsid w:val="0005112D"/>
    <w:rsid w:val="000512D1"/>
    <w:rsid w:val="0005182E"/>
    <w:rsid w:val="00051D92"/>
    <w:rsid w:val="00051E6A"/>
    <w:rsid w:val="00051FC2"/>
    <w:rsid w:val="0005220D"/>
    <w:rsid w:val="0005314D"/>
    <w:rsid w:val="00053471"/>
    <w:rsid w:val="00053634"/>
    <w:rsid w:val="000537BB"/>
    <w:rsid w:val="000538A1"/>
    <w:rsid w:val="00053F62"/>
    <w:rsid w:val="000541C7"/>
    <w:rsid w:val="00054645"/>
    <w:rsid w:val="000548EB"/>
    <w:rsid w:val="00054BF7"/>
    <w:rsid w:val="0005548D"/>
    <w:rsid w:val="000557ED"/>
    <w:rsid w:val="00055BA0"/>
    <w:rsid w:val="00055E26"/>
    <w:rsid w:val="00055F7D"/>
    <w:rsid w:val="000565A3"/>
    <w:rsid w:val="00056612"/>
    <w:rsid w:val="00056635"/>
    <w:rsid w:val="000567BC"/>
    <w:rsid w:val="000569E0"/>
    <w:rsid w:val="00057588"/>
    <w:rsid w:val="00057640"/>
    <w:rsid w:val="000578A2"/>
    <w:rsid w:val="00060194"/>
    <w:rsid w:val="0006065E"/>
    <w:rsid w:val="0006075A"/>
    <w:rsid w:val="00060769"/>
    <w:rsid w:val="000607A6"/>
    <w:rsid w:val="0006094A"/>
    <w:rsid w:val="00060ABD"/>
    <w:rsid w:val="0006148E"/>
    <w:rsid w:val="000617FF"/>
    <w:rsid w:val="00061BEA"/>
    <w:rsid w:val="00061DC7"/>
    <w:rsid w:val="00061E48"/>
    <w:rsid w:val="00061E67"/>
    <w:rsid w:val="000620FB"/>
    <w:rsid w:val="000621DF"/>
    <w:rsid w:val="00062437"/>
    <w:rsid w:val="00062595"/>
    <w:rsid w:val="0006292D"/>
    <w:rsid w:val="000629AB"/>
    <w:rsid w:val="00062C7C"/>
    <w:rsid w:val="00062E45"/>
    <w:rsid w:val="00062FA3"/>
    <w:rsid w:val="000635F7"/>
    <w:rsid w:val="000639A9"/>
    <w:rsid w:val="00063D28"/>
    <w:rsid w:val="00063FF7"/>
    <w:rsid w:val="000643F7"/>
    <w:rsid w:val="00064404"/>
    <w:rsid w:val="00064521"/>
    <w:rsid w:val="000648FE"/>
    <w:rsid w:val="00064C3D"/>
    <w:rsid w:val="00064C71"/>
    <w:rsid w:val="00064E2A"/>
    <w:rsid w:val="00064E77"/>
    <w:rsid w:val="0006537C"/>
    <w:rsid w:val="00065467"/>
    <w:rsid w:val="000657E2"/>
    <w:rsid w:val="000660E2"/>
    <w:rsid w:val="000660EF"/>
    <w:rsid w:val="000662FB"/>
    <w:rsid w:val="0006665B"/>
    <w:rsid w:val="000669D4"/>
    <w:rsid w:val="000673EB"/>
    <w:rsid w:val="00067AB5"/>
    <w:rsid w:val="00067F81"/>
    <w:rsid w:val="00070718"/>
    <w:rsid w:val="0007076D"/>
    <w:rsid w:val="000708D3"/>
    <w:rsid w:val="00071056"/>
    <w:rsid w:val="00071CFD"/>
    <w:rsid w:val="00071EFA"/>
    <w:rsid w:val="000720F5"/>
    <w:rsid w:val="000720F8"/>
    <w:rsid w:val="00072142"/>
    <w:rsid w:val="00072711"/>
    <w:rsid w:val="00072728"/>
    <w:rsid w:val="00072B3F"/>
    <w:rsid w:val="00072BE2"/>
    <w:rsid w:val="000732DF"/>
    <w:rsid w:val="0007358E"/>
    <w:rsid w:val="00073686"/>
    <w:rsid w:val="00073872"/>
    <w:rsid w:val="0007389A"/>
    <w:rsid w:val="00073BDC"/>
    <w:rsid w:val="00073F42"/>
    <w:rsid w:val="00074665"/>
    <w:rsid w:val="000746D5"/>
    <w:rsid w:val="00074709"/>
    <w:rsid w:val="000747B8"/>
    <w:rsid w:val="000749B9"/>
    <w:rsid w:val="00074DC4"/>
    <w:rsid w:val="000755F9"/>
    <w:rsid w:val="00075941"/>
    <w:rsid w:val="00075CB6"/>
    <w:rsid w:val="00075CC6"/>
    <w:rsid w:val="0007614F"/>
    <w:rsid w:val="0007650D"/>
    <w:rsid w:val="00076AAE"/>
    <w:rsid w:val="00076C27"/>
    <w:rsid w:val="0007722A"/>
    <w:rsid w:val="00077534"/>
    <w:rsid w:val="0007754A"/>
    <w:rsid w:val="00077592"/>
    <w:rsid w:val="00077E7D"/>
    <w:rsid w:val="00080263"/>
    <w:rsid w:val="000803AD"/>
    <w:rsid w:val="00080F2D"/>
    <w:rsid w:val="00080F62"/>
    <w:rsid w:val="000811D8"/>
    <w:rsid w:val="000817F5"/>
    <w:rsid w:val="000818DD"/>
    <w:rsid w:val="000818F6"/>
    <w:rsid w:val="000819D4"/>
    <w:rsid w:val="00081D1E"/>
    <w:rsid w:val="000828E6"/>
    <w:rsid w:val="000829B6"/>
    <w:rsid w:val="00082A62"/>
    <w:rsid w:val="00082B49"/>
    <w:rsid w:val="00082E1E"/>
    <w:rsid w:val="000830DA"/>
    <w:rsid w:val="00083173"/>
    <w:rsid w:val="00083429"/>
    <w:rsid w:val="00083FE3"/>
    <w:rsid w:val="000840F4"/>
    <w:rsid w:val="000842FF"/>
    <w:rsid w:val="00084387"/>
    <w:rsid w:val="00084533"/>
    <w:rsid w:val="00084761"/>
    <w:rsid w:val="00084AF6"/>
    <w:rsid w:val="00084E02"/>
    <w:rsid w:val="00084EE6"/>
    <w:rsid w:val="0008506C"/>
    <w:rsid w:val="000850B6"/>
    <w:rsid w:val="0008527C"/>
    <w:rsid w:val="0008545A"/>
    <w:rsid w:val="00085AC2"/>
    <w:rsid w:val="00085AFD"/>
    <w:rsid w:val="00085BC7"/>
    <w:rsid w:val="00085C22"/>
    <w:rsid w:val="00085C51"/>
    <w:rsid w:val="00085E26"/>
    <w:rsid w:val="0008600B"/>
    <w:rsid w:val="0008608E"/>
    <w:rsid w:val="00086154"/>
    <w:rsid w:val="000863FA"/>
    <w:rsid w:val="0008652C"/>
    <w:rsid w:val="000867FF"/>
    <w:rsid w:val="000868F5"/>
    <w:rsid w:val="00086C83"/>
    <w:rsid w:val="00087018"/>
    <w:rsid w:val="000873CD"/>
    <w:rsid w:val="000876FA"/>
    <w:rsid w:val="00087774"/>
    <w:rsid w:val="00087A77"/>
    <w:rsid w:val="00087BB3"/>
    <w:rsid w:val="000900EB"/>
    <w:rsid w:val="0009016A"/>
    <w:rsid w:val="000909B9"/>
    <w:rsid w:val="00090A07"/>
    <w:rsid w:val="00090B9F"/>
    <w:rsid w:val="00090CF8"/>
    <w:rsid w:val="00090D41"/>
    <w:rsid w:val="00090DE6"/>
    <w:rsid w:val="00090E28"/>
    <w:rsid w:val="0009127D"/>
    <w:rsid w:val="000924D4"/>
    <w:rsid w:val="00092503"/>
    <w:rsid w:val="00092C29"/>
    <w:rsid w:val="00092CB9"/>
    <w:rsid w:val="0009396C"/>
    <w:rsid w:val="00093F49"/>
    <w:rsid w:val="00094285"/>
    <w:rsid w:val="00094B3C"/>
    <w:rsid w:val="00094CB4"/>
    <w:rsid w:val="00095213"/>
    <w:rsid w:val="00095ABF"/>
    <w:rsid w:val="00095FCF"/>
    <w:rsid w:val="00096313"/>
    <w:rsid w:val="00096371"/>
    <w:rsid w:val="0009657B"/>
    <w:rsid w:val="00096954"/>
    <w:rsid w:val="00096C13"/>
    <w:rsid w:val="00096D1C"/>
    <w:rsid w:val="00096DB8"/>
    <w:rsid w:val="000972EF"/>
    <w:rsid w:val="000977C6"/>
    <w:rsid w:val="000A01A8"/>
    <w:rsid w:val="000A0378"/>
    <w:rsid w:val="000A0936"/>
    <w:rsid w:val="000A09E7"/>
    <w:rsid w:val="000A0AC7"/>
    <w:rsid w:val="000A0D76"/>
    <w:rsid w:val="000A0E6E"/>
    <w:rsid w:val="000A0FD5"/>
    <w:rsid w:val="000A1070"/>
    <w:rsid w:val="000A123E"/>
    <w:rsid w:val="000A169F"/>
    <w:rsid w:val="000A2640"/>
    <w:rsid w:val="000A27BB"/>
    <w:rsid w:val="000A32BD"/>
    <w:rsid w:val="000A3E31"/>
    <w:rsid w:val="000A3EBA"/>
    <w:rsid w:val="000A4087"/>
    <w:rsid w:val="000A40FD"/>
    <w:rsid w:val="000A4E9A"/>
    <w:rsid w:val="000A52DF"/>
    <w:rsid w:val="000A5314"/>
    <w:rsid w:val="000A5D8F"/>
    <w:rsid w:val="000A5D99"/>
    <w:rsid w:val="000A601F"/>
    <w:rsid w:val="000A63AD"/>
    <w:rsid w:val="000A64FF"/>
    <w:rsid w:val="000A6591"/>
    <w:rsid w:val="000A666A"/>
    <w:rsid w:val="000A677A"/>
    <w:rsid w:val="000A69D2"/>
    <w:rsid w:val="000A75CF"/>
    <w:rsid w:val="000A77D6"/>
    <w:rsid w:val="000A78EC"/>
    <w:rsid w:val="000A7A4E"/>
    <w:rsid w:val="000A7B77"/>
    <w:rsid w:val="000A7CF9"/>
    <w:rsid w:val="000B01FA"/>
    <w:rsid w:val="000B022B"/>
    <w:rsid w:val="000B02ED"/>
    <w:rsid w:val="000B04F3"/>
    <w:rsid w:val="000B0DCE"/>
    <w:rsid w:val="000B0E69"/>
    <w:rsid w:val="000B1228"/>
    <w:rsid w:val="000B1BA4"/>
    <w:rsid w:val="000B1F20"/>
    <w:rsid w:val="000B1F2B"/>
    <w:rsid w:val="000B27E0"/>
    <w:rsid w:val="000B2A82"/>
    <w:rsid w:val="000B2AAC"/>
    <w:rsid w:val="000B300B"/>
    <w:rsid w:val="000B326F"/>
    <w:rsid w:val="000B32C5"/>
    <w:rsid w:val="000B32E4"/>
    <w:rsid w:val="000B3304"/>
    <w:rsid w:val="000B38EA"/>
    <w:rsid w:val="000B3F89"/>
    <w:rsid w:val="000B51E7"/>
    <w:rsid w:val="000B5484"/>
    <w:rsid w:val="000B56C0"/>
    <w:rsid w:val="000B5984"/>
    <w:rsid w:val="000B5A90"/>
    <w:rsid w:val="000B5B83"/>
    <w:rsid w:val="000B5DC1"/>
    <w:rsid w:val="000B6432"/>
    <w:rsid w:val="000B6575"/>
    <w:rsid w:val="000B6A87"/>
    <w:rsid w:val="000B6C60"/>
    <w:rsid w:val="000B6C6C"/>
    <w:rsid w:val="000B6D0F"/>
    <w:rsid w:val="000B6E6D"/>
    <w:rsid w:val="000B72E0"/>
    <w:rsid w:val="000B7912"/>
    <w:rsid w:val="000B7989"/>
    <w:rsid w:val="000C0226"/>
    <w:rsid w:val="000C076E"/>
    <w:rsid w:val="000C08C6"/>
    <w:rsid w:val="000C099C"/>
    <w:rsid w:val="000C0A6A"/>
    <w:rsid w:val="000C0E86"/>
    <w:rsid w:val="000C0F55"/>
    <w:rsid w:val="000C0FAD"/>
    <w:rsid w:val="000C1043"/>
    <w:rsid w:val="000C1097"/>
    <w:rsid w:val="000C1C3E"/>
    <w:rsid w:val="000C2268"/>
    <w:rsid w:val="000C233C"/>
    <w:rsid w:val="000C25D8"/>
    <w:rsid w:val="000C267B"/>
    <w:rsid w:val="000C2980"/>
    <w:rsid w:val="000C2ADF"/>
    <w:rsid w:val="000C2FB7"/>
    <w:rsid w:val="000C2FE9"/>
    <w:rsid w:val="000C3199"/>
    <w:rsid w:val="000C3279"/>
    <w:rsid w:val="000C35FB"/>
    <w:rsid w:val="000C3630"/>
    <w:rsid w:val="000C3830"/>
    <w:rsid w:val="000C39B4"/>
    <w:rsid w:val="000C3D07"/>
    <w:rsid w:val="000C3DA5"/>
    <w:rsid w:val="000C4457"/>
    <w:rsid w:val="000C4689"/>
    <w:rsid w:val="000C4874"/>
    <w:rsid w:val="000C4D5C"/>
    <w:rsid w:val="000C5202"/>
    <w:rsid w:val="000C53F5"/>
    <w:rsid w:val="000C5564"/>
    <w:rsid w:val="000C5602"/>
    <w:rsid w:val="000C59C4"/>
    <w:rsid w:val="000C5B36"/>
    <w:rsid w:val="000C5F23"/>
    <w:rsid w:val="000C627A"/>
    <w:rsid w:val="000C6B75"/>
    <w:rsid w:val="000C6F05"/>
    <w:rsid w:val="000C71C5"/>
    <w:rsid w:val="000C727A"/>
    <w:rsid w:val="000C7697"/>
    <w:rsid w:val="000C789E"/>
    <w:rsid w:val="000C7B4C"/>
    <w:rsid w:val="000C7C90"/>
    <w:rsid w:val="000C7EF4"/>
    <w:rsid w:val="000D0010"/>
    <w:rsid w:val="000D029C"/>
    <w:rsid w:val="000D072A"/>
    <w:rsid w:val="000D0731"/>
    <w:rsid w:val="000D0BF7"/>
    <w:rsid w:val="000D0CC9"/>
    <w:rsid w:val="000D0F51"/>
    <w:rsid w:val="000D11A3"/>
    <w:rsid w:val="000D1221"/>
    <w:rsid w:val="000D122B"/>
    <w:rsid w:val="000D166C"/>
    <w:rsid w:val="000D1B06"/>
    <w:rsid w:val="000D1E54"/>
    <w:rsid w:val="000D24E2"/>
    <w:rsid w:val="000D2A4A"/>
    <w:rsid w:val="000D2BA7"/>
    <w:rsid w:val="000D2BC0"/>
    <w:rsid w:val="000D3A7C"/>
    <w:rsid w:val="000D3CAE"/>
    <w:rsid w:val="000D4568"/>
    <w:rsid w:val="000D4B7E"/>
    <w:rsid w:val="000D4EE8"/>
    <w:rsid w:val="000D4F36"/>
    <w:rsid w:val="000D4FE9"/>
    <w:rsid w:val="000D5383"/>
    <w:rsid w:val="000D53B8"/>
    <w:rsid w:val="000D5833"/>
    <w:rsid w:val="000D5DD7"/>
    <w:rsid w:val="000D68E4"/>
    <w:rsid w:val="000D70FA"/>
    <w:rsid w:val="000D7279"/>
    <w:rsid w:val="000D7447"/>
    <w:rsid w:val="000D7650"/>
    <w:rsid w:val="000D7679"/>
    <w:rsid w:val="000E0D71"/>
    <w:rsid w:val="000E0FA7"/>
    <w:rsid w:val="000E0FC9"/>
    <w:rsid w:val="000E1054"/>
    <w:rsid w:val="000E1473"/>
    <w:rsid w:val="000E162A"/>
    <w:rsid w:val="000E1722"/>
    <w:rsid w:val="000E177D"/>
    <w:rsid w:val="000E19F0"/>
    <w:rsid w:val="000E1DE0"/>
    <w:rsid w:val="000E1E6F"/>
    <w:rsid w:val="000E2098"/>
    <w:rsid w:val="000E237E"/>
    <w:rsid w:val="000E23BF"/>
    <w:rsid w:val="000E23EF"/>
    <w:rsid w:val="000E25C3"/>
    <w:rsid w:val="000E29F4"/>
    <w:rsid w:val="000E2BE0"/>
    <w:rsid w:val="000E2E1B"/>
    <w:rsid w:val="000E327D"/>
    <w:rsid w:val="000E32BE"/>
    <w:rsid w:val="000E32CD"/>
    <w:rsid w:val="000E33C5"/>
    <w:rsid w:val="000E3886"/>
    <w:rsid w:val="000E3CFC"/>
    <w:rsid w:val="000E40CB"/>
    <w:rsid w:val="000E420F"/>
    <w:rsid w:val="000E44A9"/>
    <w:rsid w:val="000E4A6D"/>
    <w:rsid w:val="000E4A78"/>
    <w:rsid w:val="000E5429"/>
    <w:rsid w:val="000E5AEC"/>
    <w:rsid w:val="000E62CE"/>
    <w:rsid w:val="000E63BC"/>
    <w:rsid w:val="000E6444"/>
    <w:rsid w:val="000E649F"/>
    <w:rsid w:val="000E6514"/>
    <w:rsid w:val="000E6560"/>
    <w:rsid w:val="000E66DF"/>
    <w:rsid w:val="000E6B08"/>
    <w:rsid w:val="000E6B42"/>
    <w:rsid w:val="000E6E1E"/>
    <w:rsid w:val="000E6FD2"/>
    <w:rsid w:val="000E70A5"/>
    <w:rsid w:val="000E7523"/>
    <w:rsid w:val="000E78BC"/>
    <w:rsid w:val="000E7D1F"/>
    <w:rsid w:val="000E7F42"/>
    <w:rsid w:val="000F039B"/>
    <w:rsid w:val="000F0888"/>
    <w:rsid w:val="000F0DEA"/>
    <w:rsid w:val="000F0DFE"/>
    <w:rsid w:val="000F10FF"/>
    <w:rsid w:val="000F1394"/>
    <w:rsid w:val="000F1519"/>
    <w:rsid w:val="000F1522"/>
    <w:rsid w:val="000F1701"/>
    <w:rsid w:val="000F18A3"/>
    <w:rsid w:val="000F19CA"/>
    <w:rsid w:val="000F1A51"/>
    <w:rsid w:val="000F1CEF"/>
    <w:rsid w:val="000F25EE"/>
    <w:rsid w:val="000F269A"/>
    <w:rsid w:val="000F26C0"/>
    <w:rsid w:val="000F2873"/>
    <w:rsid w:val="000F2BE7"/>
    <w:rsid w:val="000F2E67"/>
    <w:rsid w:val="000F2FB2"/>
    <w:rsid w:val="000F32AC"/>
    <w:rsid w:val="000F370D"/>
    <w:rsid w:val="000F374B"/>
    <w:rsid w:val="000F3E1E"/>
    <w:rsid w:val="000F4248"/>
    <w:rsid w:val="000F43D3"/>
    <w:rsid w:val="000F4698"/>
    <w:rsid w:val="000F4D00"/>
    <w:rsid w:val="000F4FE7"/>
    <w:rsid w:val="000F56D9"/>
    <w:rsid w:val="000F585A"/>
    <w:rsid w:val="000F5E41"/>
    <w:rsid w:val="000F5EC4"/>
    <w:rsid w:val="000F6161"/>
    <w:rsid w:val="000F6B2D"/>
    <w:rsid w:val="000F72FC"/>
    <w:rsid w:val="000F7AD5"/>
    <w:rsid w:val="000F7CB4"/>
    <w:rsid w:val="000F7F64"/>
    <w:rsid w:val="000F7FAE"/>
    <w:rsid w:val="00100058"/>
    <w:rsid w:val="00100268"/>
    <w:rsid w:val="00100374"/>
    <w:rsid w:val="00100472"/>
    <w:rsid w:val="00100B0C"/>
    <w:rsid w:val="00100BB4"/>
    <w:rsid w:val="00100E46"/>
    <w:rsid w:val="00101A55"/>
    <w:rsid w:val="00101F21"/>
    <w:rsid w:val="0010203F"/>
    <w:rsid w:val="001028DF"/>
    <w:rsid w:val="00102988"/>
    <w:rsid w:val="00102AF2"/>
    <w:rsid w:val="00102B37"/>
    <w:rsid w:val="00102E12"/>
    <w:rsid w:val="001030AE"/>
    <w:rsid w:val="0010327A"/>
    <w:rsid w:val="0010332C"/>
    <w:rsid w:val="00103356"/>
    <w:rsid w:val="001033EA"/>
    <w:rsid w:val="00103433"/>
    <w:rsid w:val="001035FC"/>
    <w:rsid w:val="00103740"/>
    <w:rsid w:val="00103A48"/>
    <w:rsid w:val="00104168"/>
    <w:rsid w:val="00104E68"/>
    <w:rsid w:val="00104EC6"/>
    <w:rsid w:val="00105205"/>
    <w:rsid w:val="00105774"/>
    <w:rsid w:val="00105B08"/>
    <w:rsid w:val="00105DD1"/>
    <w:rsid w:val="00105DF5"/>
    <w:rsid w:val="0010607E"/>
    <w:rsid w:val="001061CA"/>
    <w:rsid w:val="0010637F"/>
    <w:rsid w:val="0010642A"/>
    <w:rsid w:val="0010687A"/>
    <w:rsid w:val="00106AA3"/>
    <w:rsid w:val="00107126"/>
    <w:rsid w:val="001075A8"/>
    <w:rsid w:val="00107963"/>
    <w:rsid w:val="001079C3"/>
    <w:rsid w:val="00107B24"/>
    <w:rsid w:val="0011015B"/>
    <w:rsid w:val="00110856"/>
    <w:rsid w:val="00111252"/>
    <w:rsid w:val="001112CB"/>
    <w:rsid w:val="00111347"/>
    <w:rsid w:val="00111823"/>
    <w:rsid w:val="00111A2F"/>
    <w:rsid w:val="00111ADD"/>
    <w:rsid w:val="00111C53"/>
    <w:rsid w:val="00111D49"/>
    <w:rsid w:val="001124E6"/>
    <w:rsid w:val="00112A83"/>
    <w:rsid w:val="00112FD6"/>
    <w:rsid w:val="0011319E"/>
    <w:rsid w:val="00113969"/>
    <w:rsid w:val="00113BA8"/>
    <w:rsid w:val="00113BDB"/>
    <w:rsid w:val="00113E20"/>
    <w:rsid w:val="00113E61"/>
    <w:rsid w:val="00113EC4"/>
    <w:rsid w:val="00113F0D"/>
    <w:rsid w:val="00114045"/>
    <w:rsid w:val="001143AE"/>
    <w:rsid w:val="001143D0"/>
    <w:rsid w:val="001146BF"/>
    <w:rsid w:val="001148C3"/>
    <w:rsid w:val="001148D3"/>
    <w:rsid w:val="00115007"/>
    <w:rsid w:val="0011562D"/>
    <w:rsid w:val="001156D5"/>
    <w:rsid w:val="00115FA8"/>
    <w:rsid w:val="001161BD"/>
    <w:rsid w:val="00116DD5"/>
    <w:rsid w:val="00117309"/>
    <w:rsid w:val="00117369"/>
    <w:rsid w:val="00117AF1"/>
    <w:rsid w:val="00117BB0"/>
    <w:rsid w:val="0012011D"/>
    <w:rsid w:val="001202DD"/>
    <w:rsid w:val="00120457"/>
    <w:rsid w:val="00120D7F"/>
    <w:rsid w:val="00120F89"/>
    <w:rsid w:val="00121177"/>
    <w:rsid w:val="00121403"/>
    <w:rsid w:val="001216FA"/>
    <w:rsid w:val="00121F1E"/>
    <w:rsid w:val="001221F8"/>
    <w:rsid w:val="001224C8"/>
    <w:rsid w:val="00122912"/>
    <w:rsid w:val="00122976"/>
    <w:rsid w:val="00122E6B"/>
    <w:rsid w:val="0012380F"/>
    <w:rsid w:val="00123A77"/>
    <w:rsid w:val="00124185"/>
    <w:rsid w:val="001248B9"/>
    <w:rsid w:val="001249B2"/>
    <w:rsid w:val="001254C6"/>
    <w:rsid w:val="0012560D"/>
    <w:rsid w:val="00125651"/>
    <w:rsid w:val="00125896"/>
    <w:rsid w:val="00125958"/>
    <w:rsid w:val="00125AC1"/>
    <w:rsid w:val="00125C51"/>
    <w:rsid w:val="00125D56"/>
    <w:rsid w:val="00125FC1"/>
    <w:rsid w:val="001261E2"/>
    <w:rsid w:val="00126235"/>
    <w:rsid w:val="001267F9"/>
    <w:rsid w:val="00126876"/>
    <w:rsid w:val="001273DA"/>
    <w:rsid w:val="00127802"/>
    <w:rsid w:val="00127A4D"/>
    <w:rsid w:val="00127BE9"/>
    <w:rsid w:val="00127CCE"/>
    <w:rsid w:val="00127FE5"/>
    <w:rsid w:val="0013060B"/>
    <w:rsid w:val="0013061F"/>
    <w:rsid w:val="001306A7"/>
    <w:rsid w:val="00130C73"/>
    <w:rsid w:val="00131084"/>
    <w:rsid w:val="0013114E"/>
    <w:rsid w:val="00131239"/>
    <w:rsid w:val="001315D4"/>
    <w:rsid w:val="001315EA"/>
    <w:rsid w:val="0013171C"/>
    <w:rsid w:val="001319AE"/>
    <w:rsid w:val="00131F5F"/>
    <w:rsid w:val="00132098"/>
    <w:rsid w:val="0013239A"/>
    <w:rsid w:val="00132674"/>
    <w:rsid w:val="00132A09"/>
    <w:rsid w:val="00132D0E"/>
    <w:rsid w:val="00132F27"/>
    <w:rsid w:val="001334D9"/>
    <w:rsid w:val="0013352E"/>
    <w:rsid w:val="001335FA"/>
    <w:rsid w:val="0013399B"/>
    <w:rsid w:val="00133C5F"/>
    <w:rsid w:val="0013455F"/>
    <w:rsid w:val="00135207"/>
    <w:rsid w:val="00135722"/>
    <w:rsid w:val="001358CD"/>
    <w:rsid w:val="00135D93"/>
    <w:rsid w:val="00135EC9"/>
    <w:rsid w:val="00136B3B"/>
    <w:rsid w:val="00136C10"/>
    <w:rsid w:val="001370C1"/>
    <w:rsid w:val="001376AE"/>
    <w:rsid w:val="00137940"/>
    <w:rsid w:val="00137B50"/>
    <w:rsid w:val="00137FEB"/>
    <w:rsid w:val="001402C7"/>
    <w:rsid w:val="0014041C"/>
    <w:rsid w:val="001404E5"/>
    <w:rsid w:val="00140552"/>
    <w:rsid w:val="00140776"/>
    <w:rsid w:val="00140F9A"/>
    <w:rsid w:val="00140FBC"/>
    <w:rsid w:val="0014144B"/>
    <w:rsid w:val="001419EF"/>
    <w:rsid w:val="00141A37"/>
    <w:rsid w:val="00141B4A"/>
    <w:rsid w:val="00141C42"/>
    <w:rsid w:val="00141DAE"/>
    <w:rsid w:val="0014201A"/>
    <w:rsid w:val="001421E4"/>
    <w:rsid w:val="00142F44"/>
    <w:rsid w:val="00143151"/>
    <w:rsid w:val="001431DB"/>
    <w:rsid w:val="001431FB"/>
    <w:rsid w:val="001432CD"/>
    <w:rsid w:val="001433EC"/>
    <w:rsid w:val="0014357F"/>
    <w:rsid w:val="00143799"/>
    <w:rsid w:val="001439E8"/>
    <w:rsid w:val="00143A28"/>
    <w:rsid w:val="00143A49"/>
    <w:rsid w:val="00143C18"/>
    <w:rsid w:val="00143D93"/>
    <w:rsid w:val="001440DD"/>
    <w:rsid w:val="00144402"/>
    <w:rsid w:val="001448EF"/>
    <w:rsid w:val="00144B75"/>
    <w:rsid w:val="00144DF8"/>
    <w:rsid w:val="00145A1D"/>
    <w:rsid w:val="001463B3"/>
    <w:rsid w:val="00147253"/>
    <w:rsid w:val="0014748A"/>
    <w:rsid w:val="00147559"/>
    <w:rsid w:val="001478BA"/>
    <w:rsid w:val="00147C81"/>
    <w:rsid w:val="00147CF6"/>
    <w:rsid w:val="00150180"/>
    <w:rsid w:val="001504F9"/>
    <w:rsid w:val="00150FA3"/>
    <w:rsid w:val="001511A4"/>
    <w:rsid w:val="0015128D"/>
    <w:rsid w:val="00151343"/>
    <w:rsid w:val="001516DB"/>
    <w:rsid w:val="001518E6"/>
    <w:rsid w:val="00151BB3"/>
    <w:rsid w:val="00152081"/>
    <w:rsid w:val="00152CFF"/>
    <w:rsid w:val="00152E56"/>
    <w:rsid w:val="001532E5"/>
    <w:rsid w:val="0015386C"/>
    <w:rsid w:val="001538D3"/>
    <w:rsid w:val="00153A3C"/>
    <w:rsid w:val="00153B24"/>
    <w:rsid w:val="0015413F"/>
    <w:rsid w:val="001546B2"/>
    <w:rsid w:val="00154850"/>
    <w:rsid w:val="0015485C"/>
    <w:rsid w:val="00154B63"/>
    <w:rsid w:val="00154BB5"/>
    <w:rsid w:val="00154CB3"/>
    <w:rsid w:val="00155117"/>
    <w:rsid w:val="001555D0"/>
    <w:rsid w:val="001559AA"/>
    <w:rsid w:val="00155B56"/>
    <w:rsid w:val="00156390"/>
    <w:rsid w:val="00156C7D"/>
    <w:rsid w:val="00156D13"/>
    <w:rsid w:val="00156FFE"/>
    <w:rsid w:val="00157260"/>
    <w:rsid w:val="0015726A"/>
    <w:rsid w:val="001575D8"/>
    <w:rsid w:val="00157664"/>
    <w:rsid w:val="001600DF"/>
    <w:rsid w:val="00160180"/>
    <w:rsid w:val="00160503"/>
    <w:rsid w:val="00160640"/>
    <w:rsid w:val="00161148"/>
    <w:rsid w:val="001611C8"/>
    <w:rsid w:val="00161230"/>
    <w:rsid w:val="00161444"/>
    <w:rsid w:val="0016149C"/>
    <w:rsid w:val="001614D8"/>
    <w:rsid w:val="00161A69"/>
    <w:rsid w:val="00161AEE"/>
    <w:rsid w:val="00161BFF"/>
    <w:rsid w:val="00161EB3"/>
    <w:rsid w:val="00162056"/>
    <w:rsid w:val="001622D3"/>
    <w:rsid w:val="00162387"/>
    <w:rsid w:val="00162BAC"/>
    <w:rsid w:val="00162C0B"/>
    <w:rsid w:val="0016323D"/>
    <w:rsid w:val="001632FB"/>
    <w:rsid w:val="0016343C"/>
    <w:rsid w:val="00163540"/>
    <w:rsid w:val="00163B9C"/>
    <w:rsid w:val="0016426C"/>
    <w:rsid w:val="001645B6"/>
    <w:rsid w:val="00164938"/>
    <w:rsid w:val="00164DAA"/>
    <w:rsid w:val="001652F4"/>
    <w:rsid w:val="00165947"/>
    <w:rsid w:val="00165C76"/>
    <w:rsid w:val="00165E0A"/>
    <w:rsid w:val="001661D3"/>
    <w:rsid w:val="00166288"/>
    <w:rsid w:val="00166316"/>
    <w:rsid w:val="00166319"/>
    <w:rsid w:val="001664CA"/>
    <w:rsid w:val="001671CF"/>
    <w:rsid w:val="0016765F"/>
    <w:rsid w:val="00167687"/>
    <w:rsid w:val="00167757"/>
    <w:rsid w:val="00167891"/>
    <w:rsid w:val="00167A7F"/>
    <w:rsid w:val="00167A99"/>
    <w:rsid w:val="00167FAA"/>
    <w:rsid w:val="00167FBE"/>
    <w:rsid w:val="00167FDD"/>
    <w:rsid w:val="001703A0"/>
    <w:rsid w:val="001706EF"/>
    <w:rsid w:val="00170967"/>
    <w:rsid w:val="00170991"/>
    <w:rsid w:val="00170A4B"/>
    <w:rsid w:val="00170E15"/>
    <w:rsid w:val="00170E23"/>
    <w:rsid w:val="00170E70"/>
    <w:rsid w:val="00171359"/>
    <w:rsid w:val="001714BB"/>
    <w:rsid w:val="00171517"/>
    <w:rsid w:val="0017188E"/>
    <w:rsid w:val="00171C7A"/>
    <w:rsid w:val="001725A8"/>
    <w:rsid w:val="0017294B"/>
    <w:rsid w:val="00172D8E"/>
    <w:rsid w:val="00172E48"/>
    <w:rsid w:val="00173151"/>
    <w:rsid w:val="0017341A"/>
    <w:rsid w:val="0017464D"/>
    <w:rsid w:val="001747FB"/>
    <w:rsid w:val="00174879"/>
    <w:rsid w:val="0017489B"/>
    <w:rsid w:val="00174AD0"/>
    <w:rsid w:val="00174B36"/>
    <w:rsid w:val="00174D35"/>
    <w:rsid w:val="00174F8E"/>
    <w:rsid w:val="0017508C"/>
    <w:rsid w:val="00175120"/>
    <w:rsid w:val="00175364"/>
    <w:rsid w:val="00175897"/>
    <w:rsid w:val="00175B59"/>
    <w:rsid w:val="00175DBA"/>
    <w:rsid w:val="00175FBA"/>
    <w:rsid w:val="0017600F"/>
    <w:rsid w:val="00176C70"/>
    <w:rsid w:val="00176C84"/>
    <w:rsid w:val="00176F23"/>
    <w:rsid w:val="001770F1"/>
    <w:rsid w:val="001772A7"/>
    <w:rsid w:val="001777A8"/>
    <w:rsid w:val="0018016F"/>
    <w:rsid w:val="00180464"/>
    <w:rsid w:val="0018068D"/>
    <w:rsid w:val="00180A46"/>
    <w:rsid w:val="00180B2A"/>
    <w:rsid w:val="00180B4B"/>
    <w:rsid w:val="00180F58"/>
    <w:rsid w:val="00181180"/>
    <w:rsid w:val="0018133F"/>
    <w:rsid w:val="00181410"/>
    <w:rsid w:val="00181555"/>
    <w:rsid w:val="001819F0"/>
    <w:rsid w:val="00181A1C"/>
    <w:rsid w:val="00181FED"/>
    <w:rsid w:val="00182103"/>
    <w:rsid w:val="001823B9"/>
    <w:rsid w:val="0018264E"/>
    <w:rsid w:val="00182A18"/>
    <w:rsid w:val="00182B9D"/>
    <w:rsid w:val="00182BB8"/>
    <w:rsid w:val="00182BBE"/>
    <w:rsid w:val="00182CF7"/>
    <w:rsid w:val="001834C4"/>
    <w:rsid w:val="001836BE"/>
    <w:rsid w:val="00183ACA"/>
    <w:rsid w:val="0018434D"/>
    <w:rsid w:val="00184632"/>
    <w:rsid w:val="00184694"/>
    <w:rsid w:val="001847E1"/>
    <w:rsid w:val="00184B06"/>
    <w:rsid w:val="00184CB4"/>
    <w:rsid w:val="00185048"/>
    <w:rsid w:val="00185259"/>
    <w:rsid w:val="001852D0"/>
    <w:rsid w:val="00185391"/>
    <w:rsid w:val="001857BC"/>
    <w:rsid w:val="00185A49"/>
    <w:rsid w:val="00185DBD"/>
    <w:rsid w:val="00185DEC"/>
    <w:rsid w:val="00185F1A"/>
    <w:rsid w:val="00186029"/>
    <w:rsid w:val="0018615D"/>
    <w:rsid w:val="001871F1"/>
    <w:rsid w:val="00187683"/>
    <w:rsid w:val="0018768D"/>
    <w:rsid w:val="00187799"/>
    <w:rsid w:val="00187F03"/>
    <w:rsid w:val="00190077"/>
    <w:rsid w:val="00190333"/>
    <w:rsid w:val="00190420"/>
    <w:rsid w:val="001906DB"/>
    <w:rsid w:val="0019079B"/>
    <w:rsid w:val="00190AF4"/>
    <w:rsid w:val="00190C98"/>
    <w:rsid w:val="00190FC2"/>
    <w:rsid w:val="001910F4"/>
    <w:rsid w:val="00191237"/>
    <w:rsid w:val="0019150C"/>
    <w:rsid w:val="00191515"/>
    <w:rsid w:val="00192064"/>
    <w:rsid w:val="00192293"/>
    <w:rsid w:val="00192674"/>
    <w:rsid w:val="001927F0"/>
    <w:rsid w:val="00192880"/>
    <w:rsid w:val="00192E96"/>
    <w:rsid w:val="00192F98"/>
    <w:rsid w:val="00193989"/>
    <w:rsid w:val="00193A14"/>
    <w:rsid w:val="00193A4B"/>
    <w:rsid w:val="00193CF7"/>
    <w:rsid w:val="00193D54"/>
    <w:rsid w:val="00194384"/>
    <w:rsid w:val="001949C7"/>
    <w:rsid w:val="00194DAF"/>
    <w:rsid w:val="00194ECA"/>
    <w:rsid w:val="00195940"/>
    <w:rsid w:val="001959D9"/>
    <w:rsid w:val="001959E9"/>
    <w:rsid w:val="00195CAE"/>
    <w:rsid w:val="00195F15"/>
    <w:rsid w:val="00195FF2"/>
    <w:rsid w:val="001962DE"/>
    <w:rsid w:val="001967B2"/>
    <w:rsid w:val="0019686B"/>
    <w:rsid w:val="001969C1"/>
    <w:rsid w:val="00196C94"/>
    <w:rsid w:val="00196CD3"/>
    <w:rsid w:val="00196D70"/>
    <w:rsid w:val="001971CB"/>
    <w:rsid w:val="0019720C"/>
    <w:rsid w:val="001977AD"/>
    <w:rsid w:val="00197AD3"/>
    <w:rsid w:val="00197EDB"/>
    <w:rsid w:val="001A047F"/>
    <w:rsid w:val="001A0668"/>
    <w:rsid w:val="001A0973"/>
    <w:rsid w:val="001A0AF9"/>
    <w:rsid w:val="001A0D3B"/>
    <w:rsid w:val="001A11E5"/>
    <w:rsid w:val="001A13B6"/>
    <w:rsid w:val="001A14D5"/>
    <w:rsid w:val="001A19E6"/>
    <w:rsid w:val="001A20C6"/>
    <w:rsid w:val="001A21C1"/>
    <w:rsid w:val="001A22C1"/>
    <w:rsid w:val="001A238D"/>
    <w:rsid w:val="001A2616"/>
    <w:rsid w:val="001A28FB"/>
    <w:rsid w:val="001A2902"/>
    <w:rsid w:val="001A3131"/>
    <w:rsid w:val="001A3344"/>
    <w:rsid w:val="001A34D7"/>
    <w:rsid w:val="001A3A0A"/>
    <w:rsid w:val="001A3AEB"/>
    <w:rsid w:val="001A3B71"/>
    <w:rsid w:val="001A3F3F"/>
    <w:rsid w:val="001A4067"/>
    <w:rsid w:val="001A41BF"/>
    <w:rsid w:val="001A4296"/>
    <w:rsid w:val="001A435E"/>
    <w:rsid w:val="001A43C7"/>
    <w:rsid w:val="001A4D76"/>
    <w:rsid w:val="001A5199"/>
    <w:rsid w:val="001A535E"/>
    <w:rsid w:val="001A57C1"/>
    <w:rsid w:val="001A5AF8"/>
    <w:rsid w:val="001A5AFA"/>
    <w:rsid w:val="001A6D60"/>
    <w:rsid w:val="001A7AAD"/>
    <w:rsid w:val="001B000F"/>
    <w:rsid w:val="001B0139"/>
    <w:rsid w:val="001B01CB"/>
    <w:rsid w:val="001B0549"/>
    <w:rsid w:val="001B065E"/>
    <w:rsid w:val="001B07B9"/>
    <w:rsid w:val="001B0ADE"/>
    <w:rsid w:val="001B10B4"/>
    <w:rsid w:val="001B12CC"/>
    <w:rsid w:val="001B12FD"/>
    <w:rsid w:val="001B1426"/>
    <w:rsid w:val="001B15BA"/>
    <w:rsid w:val="001B1981"/>
    <w:rsid w:val="001B1A43"/>
    <w:rsid w:val="001B20F5"/>
    <w:rsid w:val="001B28C7"/>
    <w:rsid w:val="001B2A8B"/>
    <w:rsid w:val="001B30BD"/>
    <w:rsid w:val="001B3221"/>
    <w:rsid w:val="001B3436"/>
    <w:rsid w:val="001B3775"/>
    <w:rsid w:val="001B3AD8"/>
    <w:rsid w:val="001B3C8F"/>
    <w:rsid w:val="001B3F06"/>
    <w:rsid w:val="001B40D4"/>
    <w:rsid w:val="001B4695"/>
    <w:rsid w:val="001B4A39"/>
    <w:rsid w:val="001B5273"/>
    <w:rsid w:val="001B52C9"/>
    <w:rsid w:val="001B5337"/>
    <w:rsid w:val="001B53BC"/>
    <w:rsid w:val="001B55A0"/>
    <w:rsid w:val="001B57BC"/>
    <w:rsid w:val="001B5879"/>
    <w:rsid w:val="001B599E"/>
    <w:rsid w:val="001B5A78"/>
    <w:rsid w:val="001B5CAF"/>
    <w:rsid w:val="001B5FFF"/>
    <w:rsid w:val="001B6B0B"/>
    <w:rsid w:val="001B7028"/>
    <w:rsid w:val="001B73FD"/>
    <w:rsid w:val="001B7625"/>
    <w:rsid w:val="001B7735"/>
    <w:rsid w:val="001B7805"/>
    <w:rsid w:val="001B7B68"/>
    <w:rsid w:val="001C0063"/>
    <w:rsid w:val="001C0599"/>
    <w:rsid w:val="001C061E"/>
    <w:rsid w:val="001C0F4B"/>
    <w:rsid w:val="001C0FBC"/>
    <w:rsid w:val="001C129F"/>
    <w:rsid w:val="001C1456"/>
    <w:rsid w:val="001C1A89"/>
    <w:rsid w:val="001C1C33"/>
    <w:rsid w:val="001C1F72"/>
    <w:rsid w:val="001C218A"/>
    <w:rsid w:val="001C2213"/>
    <w:rsid w:val="001C2C8A"/>
    <w:rsid w:val="001C2E71"/>
    <w:rsid w:val="001C39C5"/>
    <w:rsid w:val="001C3E5B"/>
    <w:rsid w:val="001C4BB1"/>
    <w:rsid w:val="001C4C37"/>
    <w:rsid w:val="001C51E1"/>
    <w:rsid w:val="001C5236"/>
    <w:rsid w:val="001C531F"/>
    <w:rsid w:val="001C5946"/>
    <w:rsid w:val="001C5F64"/>
    <w:rsid w:val="001C6181"/>
    <w:rsid w:val="001C6347"/>
    <w:rsid w:val="001C66F6"/>
    <w:rsid w:val="001C68A3"/>
    <w:rsid w:val="001C736C"/>
    <w:rsid w:val="001C78BB"/>
    <w:rsid w:val="001D0175"/>
    <w:rsid w:val="001D01F2"/>
    <w:rsid w:val="001D07C1"/>
    <w:rsid w:val="001D0D4A"/>
    <w:rsid w:val="001D0DC3"/>
    <w:rsid w:val="001D1045"/>
    <w:rsid w:val="001D1334"/>
    <w:rsid w:val="001D1E4C"/>
    <w:rsid w:val="001D2416"/>
    <w:rsid w:val="001D2592"/>
    <w:rsid w:val="001D26FF"/>
    <w:rsid w:val="001D28AD"/>
    <w:rsid w:val="001D2C5F"/>
    <w:rsid w:val="001D3155"/>
    <w:rsid w:val="001D338D"/>
    <w:rsid w:val="001D35C0"/>
    <w:rsid w:val="001D3A08"/>
    <w:rsid w:val="001D407C"/>
    <w:rsid w:val="001D4279"/>
    <w:rsid w:val="001D447C"/>
    <w:rsid w:val="001D4545"/>
    <w:rsid w:val="001D47E9"/>
    <w:rsid w:val="001D4AD4"/>
    <w:rsid w:val="001D4E3C"/>
    <w:rsid w:val="001D5006"/>
    <w:rsid w:val="001D58AB"/>
    <w:rsid w:val="001D5AAC"/>
    <w:rsid w:val="001D5E51"/>
    <w:rsid w:val="001D60B6"/>
    <w:rsid w:val="001D642A"/>
    <w:rsid w:val="001D658F"/>
    <w:rsid w:val="001D6B45"/>
    <w:rsid w:val="001D6D41"/>
    <w:rsid w:val="001D7348"/>
    <w:rsid w:val="001D744B"/>
    <w:rsid w:val="001E0022"/>
    <w:rsid w:val="001E0205"/>
    <w:rsid w:val="001E0395"/>
    <w:rsid w:val="001E079A"/>
    <w:rsid w:val="001E081F"/>
    <w:rsid w:val="001E08DA"/>
    <w:rsid w:val="001E0984"/>
    <w:rsid w:val="001E0EDB"/>
    <w:rsid w:val="001E15E8"/>
    <w:rsid w:val="001E1B40"/>
    <w:rsid w:val="001E2035"/>
    <w:rsid w:val="001E204F"/>
    <w:rsid w:val="001E24EA"/>
    <w:rsid w:val="001E2F57"/>
    <w:rsid w:val="001E2FF1"/>
    <w:rsid w:val="001E3A96"/>
    <w:rsid w:val="001E40AF"/>
    <w:rsid w:val="001E40EC"/>
    <w:rsid w:val="001E4755"/>
    <w:rsid w:val="001E4804"/>
    <w:rsid w:val="001E4A55"/>
    <w:rsid w:val="001E4F16"/>
    <w:rsid w:val="001E4F73"/>
    <w:rsid w:val="001E51CC"/>
    <w:rsid w:val="001E51F7"/>
    <w:rsid w:val="001E531B"/>
    <w:rsid w:val="001E54C0"/>
    <w:rsid w:val="001E551F"/>
    <w:rsid w:val="001E5A07"/>
    <w:rsid w:val="001E5D07"/>
    <w:rsid w:val="001E5DAC"/>
    <w:rsid w:val="001E5FEE"/>
    <w:rsid w:val="001E6089"/>
    <w:rsid w:val="001E65CF"/>
    <w:rsid w:val="001E67C4"/>
    <w:rsid w:val="001E6BA2"/>
    <w:rsid w:val="001E6C58"/>
    <w:rsid w:val="001E71F0"/>
    <w:rsid w:val="001E7779"/>
    <w:rsid w:val="001E779F"/>
    <w:rsid w:val="001E79F6"/>
    <w:rsid w:val="001F0235"/>
    <w:rsid w:val="001F0698"/>
    <w:rsid w:val="001F0858"/>
    <w:rsid w:val="001F0E0C"/>
    <w:rsid w:val="001F142B"/>
    <w:rsid w:val="001F1597"/>
    <w:rsid w:val="001F18EF"/>
    <w:rsid w:val="001F1ABF"/>
    <w:rsid w:val="001F1DAA"/>
    <w:rsid w:val="001F21EC"/>
    <w:rsid w:val="001F2D9C"/>
    <w:rsid w:val="001F3366"/>
    <w:rsid w:val="001F352E"/>
    <w:rsid w:val="001F38D3"/>
    <w:rsid w:val="001F3E5A"/>
    <w:rsid w:val="001F3E90"/>
    <w:rsid w:val="001F3EF9"/>
    <w:rsid w:val="001F4A9D"/>
    <w:rsid w:val="001F53EF"/>
    <w:rsid w:val="001F5476"/>
    <w:rsid w:val="001F573B"/>
    <w:rsid w:val="001F5C37"/>
    <w:rsid w:val="001F5EA0"/>
    <w:rsid w:val="001F601A"/>
    <w:rsid w:val="001F60A2"/>
    <w:rsid w:val="001F6302"/>
    <w:rsid w:val="001F6450"/>
    <w:rsid w:val="001F64D7"/>
    <w:rsid w:val="001F66D3"/>
    <w:rsid w:val="001F6ADA"/>
    <w:rsid w:val="001F7077"/>
    <w:rsid w:val="001F70B7"/>
    <w:rsid w:val="001F7132"/>
    <w:rsid w:val="001F71F0"/>
    <w:rsid w:val="001F7282"/>
    <w:rsid w:val="001F7D1B"/>
    <w:rsid w:val="001F7F23"/>
    <w:rsid w:val="002000EB"/>
    <w:rsid w:val="00200225"/>
    <w:rsid w:val="002005D8"/>
    <w:rsid w:val="002005F7"/>
    <w:rsid w:val="0020090F"/>
    <w:rsid w:val="00200A45"/>
    <w:rsid w:val="00200C03"/>
    <w:rsid w:val="00200DD2"/>
    <w:rsid w:val="00200EAC"/>
    <w:rsid w:val="0020169C"/>
    <w:rsid w:val="0020172C"/>
    <w:rsid w:val="00201869"/>
    <w:rsid w:val="00201938"/>
    <w:rsid w:val="00201D2E"/>
    <w:rsid w:val="002023EE"/>
    <w:rsid w:val="00202CA6"/>
    <w:rsid w:val="00202FBE"/>
    <w:rsid w:val="00203209"/>
    <w:rsid w:val="00203412"/>
    <w:rsid w:val="002034BA"/>
    <w:rsid w:val="0020368C"/>
    <w:rsid w:val="002039D7"/>
    <w:rsid w:val="00203B8B"/>
    <w:rsid w:val="00203C61"/>
    <w:rsid w:val="00203FD3"/>
    <w:rsid w:val="002041C4"/>
    <w:rsid w:val="00204871"/>
    <w:rsid w:val="00204C24"/>
    <w:rsid w:val="00204C6A"/>
    <w:rsid w:val="00205454"/>
    <w:rsid w:val="002057AA"/>
    <w:rsid w:val="00205C76"/>
    <w:rsid w:val="002063D1"/>
    <w:rsid w:val="002068C9"/>
    <w:rsid w:val="00206BBF"/>
    <w:rsid w:val="00206E6F"/>
    <w:rsid w:val="00207188"/>
    <w:rsid w:val="002073C2"/>
    <w:rsid w:val="0020766F"/>
    <w:rsid w:val="00207BEA"/>
    <w:rsid w:val="00207EF4"/>
    <w:rsid w:val="00210DD3"/>
    <w:rsid w:val="00211045"/>
    <w:rsid w:val="00211448"/>
    <w:rsid w:val="00211886"/>
    <w:rsid w:val="00211EC0"/>
    <w:rsid w:val="00211EF1"/>
    <w:rsid w:val="0021228E"/>
    <w:rsid w:val="002123A2"/>
    <w:rsid w:val="00212661"/>
    <w:rsid w:val="0021274C"/>
    <w:rsid w:val="0021357B"/>
    <w:rsid w:val="002142A5"/>
    <w:rsid w:val="0021442F"/>
    <w:rsid w:val="00214777"/>
    <w:rsid w:val="00214855"/>
    <w:rsid w:val="00215050"/>
    <w:rsid w:val="002150D5"/>
    <w:rsid w:val="00215176"/>
    <w:rsid w:val="00215554"/>
    <w:rsid w:val="00215588"/>
    <w:rsid w:val="00215733"/>
    <w:rsid w:val="0021595C"/>
    <w:rsid w:val="00215B3C"/>
    <w:rsid w:val="00215E1F"/>
    <w:rsid w:val="00215FC4"/>
    <w:rsid w:val="002161F6"/>
    <w:rsid w:val="00216273"/>
    <w:rsid w:val="002165F4"/>
    <w:rsid w:val="00217777"/>
    <w:rsid w:val="002177DD"/>
    <w:rsid w:val="00217C10"/>
    <w:rsid w:val="00217F9A"/>
    <w:rsid w:val="002210D5"/>
    <w:rsid w:val="00221BAA"/>
    <w:rsid w:val="00221EF9"/>
    <w:rsid w:val="002222B9"/>
    <w:rsid w:val="002227FF"/>
    <w:rsid w:val="0022293C"/>
    <w:rsid w:val="00222B53"/>
    <w:rsid w:val="002230A9"/>
    <w:rsid w:val="00223A96"/>
    <w:rsid w:val="00223EEC"/>
    <w:rsid w:val="0022404C"/>
    <w:rsid w:val="002244F6"/>
    <w:rsid w:val="002244FD"/>
    <w:rsid w:val="0022476B"/>
    <w:rsid w:val="00224933"/>
    <w:rsid w:val="00224A5E"/>
    <w:rsid w:val="00224BE7"/>
    <w:rsid w:val="00224DC1"/>
    <w:rsid w:val="00224E8B"/>
    <w:rsid w:val="00225129"/>
    <w:rsid w:val="0022535F"/>
    <w:rsid w:val="00225704"/>
    <w:rsid w:val="00225B5B"/>
    <w:rsid w:val="00225D0C"/>
    <w:rsid w:val="00226403"/>
    <w:rsid w:val="00226461"/>
    <w:rsid w:val="00226679"/>
    <w:rsid w:val="00226782"/>
    <w:rsid w:val="00226932"/>
    <w:rsid w:val="0022699B"/>
    <w:rsid w:val="00226BFC"/>
    <w:rsid w:val="002272AB"/>
    <w:rsid w:val="002274CB"/>
    <w:rsid w:val="00227555"/>
    <w:rsid w:val="00227A83"/>
    <w:rsid w:val="00227CBD"/>
    <w:rsid w:val="002300AE"/>
    <w:rsid w:val="002301D6"/>
    <w:rsid w:val="00230423"/>
    <w:rsid w:val="00230515"/>
    <w:rsid w:val="00230ABF"/>
    <w:rsid w:val="00230E55"/>
    <w:rsid w:val="002311C5"/>
    <w:rsid w:val="00231891"/>
    <w:rsid w:val="00231899"/>
    <w:rsid w:val="00231E46"/>
    <w:rsid w:val="002320ED"/>
    <w:rsid w:val="0023214C"/>
    <w:rsid w:val="002328F7"/>
    <w:rsid w:val="00232F9D"/>
    <w:rsid w:val="00232FD1"/>
    <w:rsid w:val="0023361F"/>
    <w:rsid w:val="002338C4"/>
    <w:rsid w:val="00233B11"/>
    <w:rsid w:val="002344A7"/>
    <w:rsid w:val="00234568"/>
    <w:rsid w:val="00234B37"/>
    <w:rsid w:val="00234D9F"/>
    <w:rsid w:val="00234F0F"/>
    <w:rsid w:val="00235041"/>
    <w:rsid w:val="00235A66"/>
    <w:rsid w:val="00235BD6"/>
    <w:rsid w:val="00235EFE"/>
    <w:rsid w:val="0023612D"/>
    <w:rsid w:val="0023622A"/>
    <w:rsid w:val="002363B1"/>
    <w:rsid w:val="00236618"/>
    <w:rsid w:val="00236BC2"/>
    <w:rsid w:val="0023707F"/>
    <w:rsid w:val="00237194"/>
    <w:rsid w:val="00237230"/>
    <w:rsid w:val="00237263"/>
    <w:rsid w:val="0023735D"/>
    <w:rsid w:val="00237837"/>
    <w:rsid w:val="00237C92"/>
    <w:rsid w:val="00240C21"/>
    <w:rsid w:val="00240F22"/>
    <w:rsid w:val="002417D6"/>
    <w:rsid w:val="002417EC"/>
    <w:rsid w:val="002417F9"/>
    <w:rsid w:val="00241826"/>
    <w:rsid w:val="00241B92"/>
    <w:rsid w:val="00241BE0"/>
    <w:rsid w:val="00242210"/>
    <w:rsid w:val="00242B7C"/>
    <w:rsid w:val="00242CF9"/>
    <w:rsid w:val="00242F77"/>
    <w:rsid w:val="0024305F"/>
    <w:rsid w:val="00243133"/>
    <w:rsid w:val="002434B2"/>
    <w:rsid w:val="00243660"/>
    <w:rsid w:val="00243A79"/>
    <w:rsid w:val="00243B1E"/>
    <w:rsid w:val="00244133"/>
    <w:rsid w:val="002442E8"/>
    <w:rsid w:val="002443A9"/>
    <w:rsid w:val="00244441"/>
    <w:rsid w:val="002447BE"/>
    <w:rsid w:val="00244C69"/>
    <w:rsid w:val="00244C8D"/>
    <w:rsid w:val="002450DB"/>
    <w:rsid w:val="00245C87"/>
    <w:rsid w:val="00245E94"/>
    <w:rsid w:val="00245ECC"/>
    <w:rsid w:val="00246CF4"/>
    <w:rsid w:val="002471C5"/>
    <w:rsid w:val="002473BB"/>
    <w:rsid w:val="0024768D"/>
    <w:rsid w:val="00247D0F"/>
    <w:rsid w:val="00247E0D"/>
    <w:rsid w:val="00247EA7"/>
    <w:rsid w:val="002500FB"/>
    <w:rsid w:val="00250697"/>
    <w:rsid w:val="00250829"/>
    <w:rsid w:val="00250963"/>
    <w:rsid w:val="00251722"/>
    <w:rsid w:val="00251738"/>
    <w:rsid w:val="00251B16"/>
    <w:rsid w:val="00251C51"/>
    <w:rsid w:val="0025254B"/>
    <w:rsid w:val="00252594"/>
    <w:rsid w:val="002528A3"/>
    <w:rsid w:val="00252F1D"/>
    <w:rsid w:val="00253070"/>
    <w:rsid w:val="00253087"/>
    <w:rsid w:val="002534FD"/>
    <w:rsid w:val="00253548"/>
    <w:rsid w:val="002538CC"/>
    <w:rsid w:val="00253D4E"/>
    <w:rsid w:val="00253E7F"/>
    <w:rsid w:val="002546FF"/>
    <w:rsid w:val="00254781"/>
    <w:rsid w:val="002548DD"/>
    <w:rsid w:val="00254D4A"/>
    <w:rsid w:val="00255B2E"/>
    <w:rsid w:val="0025636A"/>
    <w:rsid w:val="00256443"/>
    <w:rsid w:val="002564F9"/>
    <w:rsid w:val="00256A69"/>
    <w:rsid w:val="00256C8A"/>
    <w:rsid w:val="00256E1E"/>
    <w:rsid w:val="0025771E"/>
    <w:rsid w:val="00257EA6"/>
    <w:rsid w:val="00257F9D"/>
    <w:rsid w:val="0026018C"/>
    <w:rsid w:val="00260508"/>
    <w:rsid w:val="0026094B"/>
    <w:rsid w:val="00260A10"/>
    <w:rsid w:val="00260A19"/>
    <w:rsid w:val="00260B0F"/>
    <w:rsid w:val="00260C44"/>
    <w:rsid w:val="00260D39"/>
    <w:rsid w:val="00261067"/>
    <w:rsid w:val="002610AB"/>
    <w:rsid w:val="0026158D"/>
    <w:rsid w:val="00261836"/>
    <w:rsid w:val="00261967"/>
    <w:rsid w:val="0026196A"/>
    <w:rsid w:val="002619F6"/>
    <w:rsid w:val="00262141"/>
    <w:rsid w:val="002621B0"/>
    <w:rsid w:val="0026234A"/>
    <w:rsid w:val="0026240F"/>
    <w:rsid w:val="00262636"/>
    <w:rsid w:val="00262C3B"/>
    <w:rsid w:val="00262EA9"/>
    <w:rsid w:val="00263503"/>
    <w:rsid w:val="002639B6"/>
    <w:rsid w:val="00263B9E"/>
    <w:rsid w:val="00263D23"/>
    <w:rsid w:val="0026417C"/>
    <w:rsid w:val="002645E0"/>
    <w:rsid w:val="002646BC"/>
    <w:rsid w:val="0026479B"/>
    <w:rsid w:val="00264C3C"/>
    <w:rsid w:val="00264D1C"/>
    <w:rsid w:val="00264D27"/>
    <w:rsid w:val="00264E0E"/>
    <w:rsid w:val="002651C4"/>
    <w:rsid w:val="002652E2"/>
    <w:rsid w:val="0026533A"/>
    <w:rsid w:val="00265594"/>
    <w:rsid w:val="002656E7"/>
    <w:rsid w:val="00265A7E"/>
    <w:rsid w:val="00265FB9"/>
    <w:rsid w:val="002660E7"/>
    <w:rsid w:val="00266369"/>
    <w:rsid w:val="00266427"/>
    <w:rsid w:val="002668A5"/>
    <w:rsid w:val="00266963"/>
    <w:rsid w:val="0026698A"/>
    <w:rsid w:val="00266A37"/>
    <w:rsid w:val="00266A4E"/>
    <w:rsid w:val="0026743B"/>
    <w:rsid w:val="002674D4"/>
    <w:rsid w:val="0026788C"/>
    <w:rsid w:val="00267B8E"/>
    <w:rsid w:val="00270089"/>
    <w:rsid w:val="002702AC"/>
    <w:rsid w:val="002703EE"/>
    <w:rsid w:val="00270486"/>
    <w:rsid w:val="0027067A"/>
    <w:rsid w:val="00270B4C"/>
    <w:rsid w:val="00270BA6"/>
    <w:rsid w:val="00271495"/>
    <w:rsid w:val="002718F5"/>
    <w:rsid w:val="00271BB0"/>
    <w:rsid w:val="00271C21"/>
    <w:rsid w:val="00272197"/>
    <w:rsid w:val="00272239"/>
    <w:rsid w:val="0027254B"/>
    <w:rsid w:val="0027257D"/>
    <w:rsid w:val="0027278D"/>
    <w:rsid w:val="002727A5"/>
    <w:rsid w:val="002727F1"/>
    <w:rsid w:val="00272815"/>
    <w:rsid w:val="0027284A"/>
    <w:rsid w:val="00272976"/>
    <w:rsid w:val="00272E6F"/>
    <w:rsid w:val="0027309A"/>
    <w:rsid w:val="00273166"/>
    <w:rsid w:val="002733D4"/>
    <w:rsid w:val="0027349E"/>
    <w:rsid w:val="00273798"/>
    <w:rsid w:val="0027381D"/>
    <w:rsid w:val="0027386A"/>
    <w:rsid w:val="00273D5D"/>
    <w:rsid w:val="00274177"/>
    <w:rsid w:val="002743FA"/>
    <w:rsid w:val="00274620"/>
    <w:rsid w:val="00274BBB"/>
    <w:rsid w:val="00274EAD"/>
    <w:rsid w:val="00274F2E"/>
    <w:rsid w:val="0027566E"/>
    <w:rsid w:val="00275A35"/>
    <w:rsid w:val="00275A9F"/>
    <w:rsid w:val="00275D3C"/>
    <w:rsid w:val="00275D68"/>
    <w:rsid w:val="00276171"/>
    <w:rsid w:val="0027680C"/>
    <w:rsid w:val="00276900"/>
    <w:rsid w:val="00276C62"/>
    <w:rsid w:val="0027710B"/>
    <w:rsid w:val="00277155"/>
    <w:rsid w:val="00277448"/>
    <w:rsid w:val="0027752A"/>
    <w:rsid w:val="00277889"/>
    <w:rsid w:val="00277C1C"/>
    <w:rsid w:val="00277D4A"/>
    <w:rsid w:val="00277E37"/>
    <w:rsid w:val="00277E82"/>
    <w:rsid w:val="00280061"/>
    <w:rsid w:val="00280377"/>
    <w:rsid w:val="0028041B"/>
    <w:rsid w:val="002804AC"/>
    <w:rsid w:val="002804EB"/>
    <w:rsid w:val="002808BE"/>
    <w:rsid w:val="00281059"/>
    <w:rsid w:val="00281554"/>
    <w:rsid w:val="0028196F"/>
    <w:rsid w:val="00281A05"/>
    <w:rsid w:val="00281C4A"/>
    <w:rsid w:val="00281C8C"/>
    <w:rsid w:val="00282236"/>
    <w:rsid w:val="00282268"/>
    <w:rsid w:val="0028247B"/>
    <w:rsid w:val="002828FD"/>
    <w:rsid w:val="00282F47"/>
    <w:rsid w:val="00283AE9"/>
    <w:rsid w:val="002840A3"/>
    <w:rsid w:val="00284AB7"/>
    <w:rsid w:val="00284D53"/>
    <w:rsid w:val="00284DAF"/>
    <w:rsid w:val="002850DB"/>
    <w:rsid w:val="00285A80"/>
    <w:rsid w:val="00285D73"/>
    <w:rsid w:val="00285F5C"/>
    <w:rsid w:val="002862AB"/>
    <w:rsid w:val="002862DE"/>
    <w:rsid w:val="002865EA"/>
    <w:rsid w:val="002869BD"/>
    <w:rsid w:val="00286A96"/>
    <w:rsid w:val="00286CFA"/>
    <w:rsid w:val="00286F35"/>
    <w:rsid w:val="00287290"/>
    <w:rsid w:val="002874B8"/>
    <w:rsid w:val="002876EC"/>
    <w:rsid w:val="0028777D"/>
    <w:rsid w:val="00287F76"/>
    <w:rsid w:val="00290211"/>
    <w:rsid w:val="002908EB"/>
    <w:rsid w:val="002909A8"/>
    <w:rsid w:val="00290DD8"/>
    <w:rsid w:val="00291376"/>
    <w:rsid w:val="00291628"/>
    <w:rsid w:val="00291E84"/>
    <w:rsid w:val="0029200F"/>
    <w:rsid w:val="00292686"/>
    <w:rsid w:val="00292729"/>
    <w:rsid w:val="00292E42"/>
    <w:rsid w:val="002930F0"/>
    <w:rsid w:val="0029317C"/>
    <w:rsid w:val="00293972"/>
    <w:rsid w:val="002939A1"/>
    <w:rsid w:val="00293E11"/>
    <w:rsid w:val="0029413E"/>
    <w:rsid w:val="00294271"/>
    <w:rsid w:val="0029428F"/>
    <w:rsid w:val="002943C8"/>
    <w:rsid w:val="002943D6"/>
    <w:rsid w:val="002948C8"/>
    <w:rsid w:val="00294B9E"/>
    <w:rsid w:val="00294CC4"/>
    <w:rsid w:val="00294DB4"/>
    <w:rsid w:val="00294E55"/>
    <w:rsid w:val="00294E58"/>
    <w:rsid w:val="00295425"/>
    <w:rsid w:val="002955FB"/>
    <w:rsid w:val="002957D8"/>
    <w:rsid w:val="00295F26"/>
    <w:rsid w:val="0029619C"/>
    <w:rsid w:val="002962DC"/>
    <w:rsid w:val="0029661E"/>
    <w:rsid w:val="002968B2"/>
    <w:rsid w:val="00296AA9"/>
    <w:rsid w:val="00296BFD"/>
    <w:rsid w:val="00296CA0"/>
    <w:rsid w:val="00296E94"/>
    <w:rsid w:val="00296F54"/>
    <w:rsid w:val="0029700A"/>
    <w:rsid w:val="00297699"/>
    <w:rsid w:val="00297761"/>
    <w:rsid w:val="002978BE"/>
    <w:rsid w:val="00297E6D"/>
    <w:rsid w:val="002A0347"/>
    <w:rsid w:val="002A0A1D"/>
    <w:rsid w:val="002A12FD"/>
    <w:rsid w:val="002A1882"/>
    <w:rsid w:val="002A1B8C"/>
    <w:rsid w:val="002A28CE"/>
    <w:rsid w:val="002A2E5E"/>
    <w:rsid w:val="002A373D"/>
    <w:rsid w:val="002A3DE5"/>
    <w:rsid w:val="002A3E42"/>
    <w:rsid w:val="002A3EE0"/>
    <w:rsid w:val="002A44A4"/>
    <w:rsid w:val="002A44B4"/>
    <w:rsid w:val="002A4657"/>
    <w:rsid w:val="002A484E"/>
    <w:rsid w:val="002A4F7D"/>
    <w:rsid w:val="002A54AE"/>
    <w:rsid w:val="002A629A"/>
    <w:rsid w:val="002A63A9"/>
    <w:rsid w:val="002A640F"/>
    <w:rsid w:val="002A670F"/>
    <w:rsid w:val="002A6EF8"/>
    <w:rsid w:val="002A7525"/>
    <w:rsid w:val="002A78A7"/>
    <w:rsid w:val="002A7960"/>
    <w:rsid w:val="002A7D91"/>
    <w:rsid w:val="002A7EC9"/>
    <w:rsid w:val="002B01B7"/>
    <w:rsid w:val="002B0249"/>
    <w:rsid w:val="002B03F7"/>
    <w:rsid w:val="002B049D"/>
    <w:rsid w:val="002B0814"/>
    <w:rsid w:val="002B0CB4"/>
    <w:rsid w:val="002B0DBA"/>
    <w:rsid w:val="002B0F56"/>
    <w:rsid w:val="002B113A"/>
    <w:rsid w:val="002B130B"/>
    <w:rsid w:val="002B1735"/>
    <w:rsid w:val="002B1812"/>
    <w:rsid w:val="002B1B7A"/>
    <w:rsid w:val="002B1B82"/>
    <w:rsid w:val="002B2283"/>
    <w:rsid w:val="002B25FB"/>
    <w:rsid w:val="002B2B50"/>
    <w:rsid w:val="002B3064"/>
    <w:rsid w:val="002B323E"/>
    <w:rsid w:val="002B3352"/>
    <w:rsid w:val="002B34FF"/>
    <w:rsid w:val="002B3890"/>
    <w:rsid w:val="002B3C30"/>
    <w:rsid w:val="002B3EB9"/>
    <w:rsid w:val="002B428A"/>
    <w:rsid w:val="002B487A"/>
    <w:rsid w:val="002B4B86"/>
    <w:rsid w:val="002B4EA8"/>
    <w:rsid w:val="002B596F"/>
    <w:rsid w:val="002B5A11"/>
    <w:rsid w:val="002B5B1A"/>
    <w:rsid w:val="002B5BCB"/>
    <w:rsid w:val="002B5D56"/>
    <w:rsid w:val="002B5EAA"/>
    <w:rsid w:val="002B620B"/>
    <w:rsid w:val="002B645E"/>
    <w:rsid w:val="002B6831"/>
    <w:rsid w:val="002B6B25"/>
    <w:rsid w:val="002B6F8C"/>
    <w:rsid w:val="002B706E"/>
    <w:rsid w:val="002B745C"/>
    <w:rsid w:val="002B7529"/>
    <w:rsid w:val="002B75CB"/>
    <w:rsid w:val="002B7983"/>
    <w:rsid w:val="002C0080"/>
    <w:rsid w:val="002C0398"/>
    <w:rsid w:val="002C03CE"/>
    <w:rsid w:val="002C0E2C"/>
    <w:rsid w:val="002C0ECE"/>
    <w:rsid w:val="002C1081"/>
    <w:rsid w:val="002C112A"/>
    <w:rsid w:val="002C12B2"/>
    <w:rsid w:val="002C13AE"/>
    <w:rsid w:val="002C17A3"/>
    <w:rsid w:val="002C1BD4"/>
    <w:rsid w:val="002C1C92"/>
    <w:rsid w:val="002C1FF9"/>
    <w:rsid w:val="002C2097"/>
    <w:rsid w:val="002C2344"/>
    <w:rsid w:val="002C26DE"/>
    <w:rsid w:val="002C28FB"/>
    <w:rsid w:val="002C29DD"/>
    <w:rsid w:val="002C2BAC"/>
    <w:rsid w:val="002C2FD9"/>
    <w:rsid w:val="002C3122"/>
    <w:rsid w:val="002C362C"/>
    <w:rsid w:val="002C3714"/>
    <w:rsid w:val="002C379A"/>
    <w:rsid w:val="002C3B24"/>
    <w:rsid w:val="002C3E80"/>
    <w:rsid w:val="002C421F"/>
    <w:rsid w:val="002C44A8"/>
    <w:rsid w:val="002C4877"/>
    <w:rsid w:val="002C4AA4"/>
    <w:rsid w:val="002C4B78"/>
    <w:rsid w:val="002C4BCB"/>
    <w:rsid w:val="002C4F15"/>
    <w:rsid w:val="002C4F60"/>
    <w:rsid w:val="002C50BF"/>
    <w:rsid w:val="002C59AC"/>
    <w:rsid w:val="002C5D6A"/>
    <w:rsid w:val="002C63C4"/>
    <w:rsid w:val="002C64C2"/>
    <w:rsid w:val="002C6AB6"/>
    <w:rsid w:val="002C6C39"/>
    <w:rsid w:val="002C702C"/>
    <w:rsid w:val="002C77D8"/>
    <w:rsid w:val="002C7905"/>
    <w:rsid w:val="002C7A4F"/>
    <w:rsid w:val="002D001A"/>
    <w:rsid w:val="002D0179"/>
    <w:rsid w:val="002D07EA"/>
    <w:rsid w:val="002D14B2"/>
    <w:rsid w:val="002D14E2"/>
    <w:rsid w:val="002D23BB"/>
    <w:rsid w:val="002D26BB"/>
    <w:rsid w:val="002D2A74"/>
    <w:rsid w:val="002D2D74"/>
    <w:rsid w:val="002D30D9"/>
    <w:rsid w:val="002D3487"/>
    <w:rsid w:val="002D377F"/>
    <w:rsid w:val="002D37B7"/>
    <w:rsid w:val="002D3D34"/>
    <w:rsid w:val="002D40B9"/>
    <w:rsid w:val="002D41B1"/>
    <w:rsid w:val="002D44D5"/>
    <w:rsid w:val="002D45C1"/>
    <w:rsid w:val="002D45DD"/>
    <w:rsid w:val="002D500B"/>
    <w:rsid w:val="002D5B2B"/>
    <w:rsid w:val="002D5D27"/>
    <w:rsid w:val="002D6341"/>
    <w:rsid w:val="002D648A"/>
    <w:rsid w:val="002D6506"/>
    <w:rsid w:val="002D66F4"/>
    <w:rsid w:val="002D71E2"/>
    <w:rsid w:val="002D7439"/>
    <w:rsid w:val="002D7C26"/>
    <w:rsid w:val="002D7E3D"/>
    <w:rsid w:val="002E0647"/>
    <w:rsid w:val="002E09D6"/>
    <w:rsid w:val="002E0A17"/>
    <w:rsid w:val="002E0A9D"/>
    <w:rsid w:val="002E0AAB"/>
    <w:rsid w:val="002E0BFA"/>
    <w:rsid w:val="002E0DB1"/>
    <w:rsid w:val="002E0E0F"/>
    <w:rsid w:val="002E13F3"/>
    <w:rsid w:val="002E15DD"/>
    <w:rsid w:val="002E166A"/>
    <w:rsid w:val="002E167C"/>
    <w:rsid w:val="002E17A7"/>
    <w:rsid w:val="002E1E79"/>
    <w:rsid w:val="002E223A"/>
    <w:rsid w:val="002E27E0"/>
    <w:rsid w:val="002E2DCC"/>
    <w:rsid w:val="002E35E0"/>
    <w:rsid w:val="002E3B54"/>
    <w:rsid w:val="002E403B"/>
    <w:rsid w:val="002E4450"/>
    <w:rsid w:val="002E4761"/>
    <w:rsid w:val="002E478E"/>
    <w:rsid w:val="002E4DA4"/>
    <w:rsid w:val="002E525F"/>
    <w:rsid w:val="002E52A5"/>
    <w:rsid w:val="002E54A7"/>
    <w:rsid w:val="002E5E0C"/>
    <w:rsid w:val="002E60B7"/>
    <w:rsid w:val="002E62E9"/>
    <w:rsid w:val="002E6345"/>
    <w:rsid w:val="002E6375"/>
    <w:rsid w:val="002E6590"/>
    <w:rsid w:val="002E663C"/>
    <w:rsid w:val="002E6B6F"/>
    <w:rsid w:val="002E709D"/>
    <w:rsid w:val="002E735A"/>
    <w:rsid w:val="002F03F0"/>
    <w:rsid w:val="002F0F72"/>
    <w:rsid w:val="002F10E9"/>
    <w:rsid w:val="002F1260"/>
    <w:rsid w:val="002F1774"/>
    <w:rsid w:val="002F17CD"/>
    <w:rsid w:val="002F1EC3"/>
    <w:rsid w:val="002F1F01"/>
    <w:rsid w:val="002F204E"/>
    <w:rsid w:val="002F2215"/>
    <w:rsid w:val="002F250B"/>
    <w:rsid w:val="002F2678"/>
    <w:rsid w:val="002F27B8"/>
    <w:rsid w:val="002F2916"/>
    <w:rsid w:val="002F2DB7"/>
    <w:rsid w:val="002F3222"/>
    <w:rsid w:val="002F37DE"/>
    <w:rsid w:val="002F3B21"/>
    <w:rsid w:val="002F3DA7"/>
    <w:rsid w:val="002F4141"/>
    <w:rsid w:val="002F4305"/>
    <w:rsid w:val="002F4931"/>
    <w:rsid w:val="002F498C"/>
    <w:rsid w:val="002F4FB0"/>
    <w:rsid w:val="002F53DF"/>
    <w:rsid w:val="002F57F2"/>
    <w:rsid w:val="002F5CD6"/>
    <w:rsid w:val="002F5E1F"/>
    <w:rsid w:val="002F68A4"/>
    <w:rsid w:val="002F6F36"/>
    <w:rsid w:val="002F7122"/>
    <w:rsid w:val="002F72FC"/>
    <w:rsid w:val="002F7538"/>
    <w:rsid w:val="002F769F"/>
    <w:rsid w:val="002F7D08"/>
    <w:rsid w:val="002F7D8B"/>
    <w:rsid w:val="002F7ED7"/>
    <w:rsid w:val="00300368"/>
    <w:rsid w:val="0030043E"/>
    <w:rsid w:val="003005AB"/>
    <w:rsid w:val="0030088A"/>
    <w:rsid w:val="00300A66"/>
    <w:rsid w:val="00300ACA"/>
    <w:rsid w:val="00300BCA"/>
    <w:rsid w:val="00301136"/>
    <w:rsid w:val="0030190B"/>
    <w:rsid w:val="00301DD8"/>
    <w:rsid w:val="0030234B"/>
    <w:rsid w:val="003026B2"/>
    <w:rsid w:val="00302A3F"/>
    <w:rsid w:val="00302FF0"/>
    <w:rsid w:val="00303350"/>
    <w:rsid w:val="00303393"/>
    <w:rsid w:val="003037E8"/>
    <w:rsid w:val="00303AD6"/>
    <w:rsid w:val="00303B74"/>
    <w:rsid w:val="003048AB"/>
    <w:rsid w:val="00304B86"/>
    <w:rsid w:val="00304EBC"/>
    <w:rsid w:val="00304EC3"/>
    <w:rsid w:val="00304FEB"/>
    <w:rsid w:val="003051F6"/>
    <w:rsid w:val="0030522F"/>
    <w:rsid w:val="003055A0"/>
    <w:rsid w:val="003057A5"/>
    <w:rsid w:val="0030599A"/>
    <w:rsid w:val="00305F64"/>
    <w:rsid w:val="00306262"/>
    <w:rsid w:val="0030630E"/>
    <w:rsid w:val="003065CA"/>
    <w:rsid w:val="003067C8"/>
    <w:rsid w:val="0030710C"/>
    <w:rsid w:val="003074B3"/>
    <w:rsid w:val="003075F3"/>
    <w:rsid w:val="00307657"/>
    <w:rsid w:val="00307B6D"/>
    <w:rsid w:val="00307D3C"/>
    <w:rsid w:val="00307EA9"/>
    <w:rsid w:val="00307F9B"/>
    <w:rsid w:val="00310271"/>
    <w:rsid w:val="0031082C"/>
    <w:rsid w:val="0031090A"/>
    <w:rsid w:val="00310C18"/>
    <w:rsid w:val="00311741"/>
    <w:rsid w:val="00311FF1"/>
    <w:rsid w:val="00312166"/>
    <w:rsid w:val="003122C6"/>
    <w:rsid w:val="00312419"/>
    <w:rsid w:val="00312636"/>
    <w:rsid w:val="0031271D"/>
    <w:rsid w:val="00312940"/>
    <w:rsid w:val="00312A54"/>
    <w:rsid w:val="003137B8"/>
    <w:rsid w:val="003138A5"/>
    <w:rsid w:val="00313A64"/>
    <w:rsid w:val="00313B75"/>
    <w:rsid w:val="00313E32"/>
    <w:rsid w:val="00313F54"/>
    <w:rsid w:val="003143E5"/>
    <w:rsid w:val="0031471A"/>
    <w:rsid w:val="00314D69"/>
    <w:rsid w:val="00314DE9"/>
    <w:rsid w:val="00314E9E"/>
    <w:rsid w:val="00315504"/>
    <w:rsid w:val="003155AC"/>
    <w:rsid w:val="00315C41"/>
    <w:rsid w:val="00315EBD"/>
    <w:rsid w:val="00316068"/>
    <w:rsid w:val="00316861"/>
    <w:rsid w:val="0031766A"/>
    <w:rsid w:val="0031770B"/>
    <w:rsid w:val="00317C4C"/>
    <w:rsid w:val="003201D6"/>
    <w:rsid w:val="00320550"/>
    <w:rsid w:val="0032086A"/>
    <w:rsid w:val="00320A0F"/>
    <w:rsid w:val="00320DF2"/>
    <w:rsid w:val="00321E0F"/>
    <w:rsid w:val="003227AE"/>
    <w:rsid w:val="003229D6"/>
    <w:rsid w:val="00322B1B"/>
    <w:rsid w:val="00322B58"/>
    <w:rsid w:val="00322CF8"/>
    <w:rsid w:val="003230EF"/>
    <w:rsid w:val="00323185"/>
    <w:rsid w:val="003232CA"/>
    <w:rsid w:val="00323C35"/>
    <w:rsid w:val="0032400C"/>
    <w:rsid w:val="00324153"/>
    <w:rsid w:val="003241B5"/>
    <w:rsid w:val="003243E9"/>
    <w:rsid w:val="00324519"/>
    <w:rsid w:val="003247E3"/>
    <w:rsid w:val="00324B8F"/>
    <w:rsid w:val="00326311"/>
    <w:rsid w:val="003266E3"/>
    <w:rsid w:val="003267AB"/>
    <w:rsid w:val="00326ED5"/>
    <w:rsid w:val="0032779B"/>
    <w:rsid w:val="003277C6"/>
    <w:rsid w:val="0032797F"/>
    <w:rsid w:val="003279B1"/>
    <w:rsid w:val="0033002C"/>
    <w:rsid w:val="003302B3"/>
    <w:rsid w:val="0033066E"/>
    <w:rsid w:val="00330860"/>
    <w:rsid w:val="00330898"/>
    <w:rsid w:val="00330CD1"/>
    <w:rsid w:val="00330F96"/>
    <w:rsid w:val="00331402"/>
    <w:rsid w:val="00331564"/>
    <w:rsid w:val="00331C83"/>
    <w:rsid w:val="00331F43"/>
    <w:rsid w:val="00332085"/>
    <w:rsid w:val="00332112"/>
    <w:rsid w:val="00332258"/>
    <w:rsid w:val="00332306"/>
    <w:rsid w:val="00332651"/>
    <w:rsid w:val="00332C71"/>
    <w:rsid w:val="00332E1C"/>
    <w:rsid w:val="00332FE7"/>
    <w:rsid w:val="0033323F"/>
    <w:rsid w:val="0033326F"/>
    <w:rsid w:val="003332E9"/>
    <w:rsid w:val="0033336C"/>
    <w:rsid w:val="0033374A"/>
    <w:rsid w:val="00334216"/>
    <w:rsid w:val="00334D4B"/>
    <w:rsid w:val="00334FEC"/>
    <w:rsid w:val="00335234"/>
    <w:rsid w:val="00335454"/>
    <w:rsid w:val="00335556"/>
    <w:rsid w:val="003357A5"/>
    <w:rsid w:val="003358AC"/>
    <w:rsid w:val="00335A67"/>
    <w:rsid w:val="00335ACF"/>
    <w:rsid w:val="00335DFC"/>
    <w:rsid w:val="003364EB"/>
    <w:rsid w:val="003369E9"/>
    <w:rsid w:val="00336AF8"/>
    <w:rsid w:val="00336D82"/>
    <w:rsid w:val="00336E00"/>
    <w:rsid w:val="00336FCE"/>
    <w:rsid w:val="003374B9"/>
    <w:rsid w:val="00337599"/>
    <w:rsid w:val="00337801"/>
    <w:rsid w:val="00337AE4"/>
    <w:rsid w:val="00340525"/>
    <w:rsid w:val="00340943"/>
    <w:rsid w:val="00340D6C"/>
    <w:rsid w:val="00341201"/>
    <w:rsid w:val="0034151E"/>
    <w:rsid w:val="00341652"/>
    <w:rsid w:val="0034170A"/>
    <w:rsid w:val="003417A1"/>
    <w:rsid w:val="00341D9D"/>
    <w:rsid w:val="00341F7B"/>
    <w:rsid w:val="00342020"/>
    <w:rsid w:val="0034208E"/>
    <w:rsid w:val="0034221D"/>
    <w:rsid w:val="003428A8"/>
    <w:rsid w:val="00342971"/>
    <w:rsid w:val="00342CDD"/>
    <w:rsid w:val="003433E1"/>
    <w:rsid w:val="0034376F"/>
    <w:rsid w:val="0034379A"/>
    <w:rsid w:val="00343C4C"/>
    <w:rsid w:val="00344282"/>
    <w:rsid w:val="003444EA"/>
    <w:rsid w:val="00344820"/>
    <w:rsid w:val="00344F4E"/>
    <w:rsid w:val="0034520B"/>
    <w:rsid w:val="00345DA7"/>
    <w:rsid w:val="00345E28"/>
    <w:rsid w:val="00345F3F"/>
    <w:rsid w:val="00346594"/>
    <w:rsid w:val="003466C2"/>
    <w:rsid w:val="00346AE9"/>
    <w:rsid w:val="00346C60"/>
    <w:rsid w:val="00346CD9"/>
    <w:rsid w:val="00346D95"/>
    <w:rsid w:val="00346DA6"/>
    <w:rsid w:val="00346DCB"/>
    <w:rsid w:val="0034755D"/>
    <w:rsid w:val="0034781D"/>
    <w:rsid w:val="003478B8"/>
    <w:rsid w:val="00347A7B"/>
    <w:rsid w:val="00347C78"/>
    <w:rsid w:val="0035047A"/>
    <w:rsid w:val="003506A3"/>
    <w:rsid w:val="0035073E"/>
    <w:rsid w:val="003508F5"/>
    <w:rsid w:val="00350C02"/>
    <w:rsid w:val="00350C65"/>
    <w:rsid w:val="00350ED6"/>
    <w:rsid w:val="003514A5"/>
    <w:rsid w:val="00351508"/>
    <w:rsid w:val="003515E4"/>
    <w:rsid w:val="003516AB"/>
    <w:rsid w:val="00351775"/>
    <w:rsid w:val="0035203D"/>
    <w:rsid w:val="0035209C"/>
    <w:rsid w:val="003520F2"/>
    <w:rsid w:val="00352478"/>
    <w:rsid w:val="0035276A"/>
    <w:rsid w:val="00352844"/>
    <w:rsid w:val="00352C51"/>
    <w:rsid w:val="00352DA4"/>
    <w:rsid w:val="00352DD2"/>
    <w:rsid w:val="00352F42"/>
    <w:rsid w:val="00353066"/>
    <w:rsid w:val="003530D0"/>
    <w:rsid w:val="003534F2"/>
    <w:rsid w:val="00353727"/>
    <w:rsid w:val="0035378F"/>
    <w:rsid w:val="00353A33"/>
    <w:rsid w:val="00354081"/>
    <w:rsid w:val="00354271"/>
    <w:rsid w:val="00354501"/>
    <w:rsid w:val="0035460B"/>
    <w:rsid w:val="00354CEC"/>
    <w:rsid w:val="00354F2C"/>
    <w:rsid w:val="0035527A"/>
    <w:rsid w:val="003552D7"/>
    <w:rsid w:val="003552DE"/>
    <w:rsid w:val="003552EC"/>
    <w:rsid w:val="00355346"/>
    <w:rsid w:val="0035597C"/>
    <w:rsid w:val="00355E27"/>
    <w:rsid w:val="00357189"/>
    <w:rsid w:val="0035733C"/>
    <w:rsid w:val="00357450"/>
    <w:rsid w:val="00357467"/>
    <w:rsid w:val="00357662"/>
    <w:rsid w:val="00357726"/>
    <w:rsid w:val="00357C8B"/>
    <w:rsid w:val="00357DB0"/>
    <w:rsid w:val="0036024D"/>
    <w:rsid w:val="003602E7"/>
    <w:rsid w:val="00360444"/>
    <w:rsid w:val="003606A5"/>
    <w:rsid w:val="00360878"/>
    <w:rsid w:val="00360937"/>
    <w:rsid w:val="00361487"/>
    <w:rsid w:val="003617E9"/>
    <w:rsid w:val="00361AD2"/>
    <w:rsid w:val="00361C7B"/>
    <w:rsid w:val="00361F71"/>
    <w:rsid w:val="003623D0"/>
    <w:rsid w:val="003625C9"/>
    <w:rsid w:val="00362655"/>
    <w:rsid w:val="00362B31"/>
    <w:rsid w:val="00362DF5"/>
    <w:rsid w:val="003630E0"/>
    <w:rsid w:val="003630E3"/>
    <w:rsid w:val="00363320"/>
    <w:rsid w:val="00363362"/>
    <w:rsid w:val="0036364D"/>
    <w:rsid w:val="00363751"/>
    <w:rsid w:val="00363892"/>
    <w:rsid w:val="00363BA9"/>
    <w:rsid w:val="00363F7A"/>
    <w:rsid w:val="00364295"/>
    <w:rsid w:val="003643F1"/>
    <w:rsid w:val="003645AF"/>
    <w:rsid w:val="003646B0"/>
    <w:rsid w:val="00364B65"/>
    <w:rsid w:val="00364C67"/>
    <w:rsid w:val="00364DAC"/>
    <w:rsid w:val="00365240"/>
    <w:rsid w:val="003652B5"/>
    <w:rsid w:val="003656F1"/>
    <w:rsid w:val="003661D8"/>
    <w:rsid w:val="003662D4"/>
    <w:rsid w:val="0036650E"/>
    <w:rsid w:val="0036682B"/>
    <w:rsid w:val="0036699E"/>
    <w:rsid w:val="00366D2A"/>
    <w:rsid w:val="00366D35"/>
    <w:rsid w:val="00367107"/>
    <w:rsid w:val="003672B7"/>
    <w:rsid w:val="00367842"/>
    <w:rsid w:val="00370778"/>
    <w:rsid w:val="003707DA"/>
    <w:rsid w:val="00370DCA"/>
    <w:rsid w:val="003715A2"/>
    <w:rsid w:val="00371DE0"/>
    <w:rsid w:val="00371F1B"/>
    <w:rsid w:val="0037202E"/>
    <w:rsid w:val="00372319"/>
    <w:rsid w:val="00372368"/>
    <w:rsid w:val="00373884"/>
    <w:rsid w:val="003738EA"/>
    <w:rsid w:val="003739FC"/>
    <w:rsid w:val="00373D6F"/>
    <w:rsid w:val="00373ED7"/>
    <w:rsid w:val="00373F6B"/>
    <w:rsid w:val="003742E8"/>
    <w:rsid w:val="0037471D"/>
    <w:rsid w:val="003749B0"/>
    <w:rsid w:val="00374C56"/>
    <w:rsid w:val="003750EC"/>
    <w:rsid w:val="00375811"/>
    <w:rsid w:val="00375C25"/>
    <w:rsid w:val="0037600D"/>
    <w:rsid w:val="003760B4"/>
    <w:rsid w:val="0037686F"/>
    <w:rsid w:val="00376C06"/>
    <w:rsid w:val="00377031"/>
    <w:rsid w:val="00377691"/>
    <w:rsid w:val="003779B7"/>
    <w:rsid w:val="00377ACB"/>
    <w:rsid w:val="00377B2E"/>
    <w:rsid w:val="00377BBF"/>
    <w:rsid w:val="00377D23"/>
    <w:rsid w:val="0038003F"/>
    <w:rsid w:val="00380240"/>
    <w:rsid w:val="00380684"/>
    <w:rsid w:val="00380C09"/>
    <w:rsid w:val="00380ED7"/>
    <w:rsid w:val="00380F6A"/>
    <w:rsid w:val="00381221"/>
    <w:rsid w:val="003812C2"/>
    <w:rsid w:val="0038131C"/>
    <w:rsid w:val="00381419"/>
    <w:rsid w:val="00381550"/>
    <w:rsid w:val="00381751"/>
    <w:rsid w:val="00381BA5"/>
    <w:rsid w:val="00381FDE"/>
    <w:rsid w:val="00382185"/>
    <w:rsid w:val="003825B1"/>
    <w:rsid w:val="00382674"/>
    <w:rsid w:val="003828E4"/>
    <w:rsid w:val="00382C4F"/>
    <w:rsid w:val="00382DFD"/>
    <w:rsid w:val="00382EA5"/>
    <w:rsid w:val="003830F2"/>
    <w:rsid w:val="003831BB"/>
    <w:rsid w:val="00383416"/>
    <w:rsid w:val="0038342A"/>
    <w:rsid w:val="0038386C"/>
    <w:rsid w:val="00383932"/>
    <w:rsid w:val="00383AEB"/>
    <w:rsid w:val="003841EF"/>
    <w:rsid w:val="00384595"/>
    <w:rsid w:val="003847F8"/>
    <w:rsid w:val="00384DCF"/>
    <w:rsid w:val="003851B8"/>
    <w:rsid w:val="0038543F"/>
    <w:rsid w:val="0038587C"/>
    <w:rsid w:val="003858E3"/>
    <w:rsid w:val="00385B90"/>
    <w:rsid w:val="00385CD1"/>
    <w:rsid w:val="00386C39"/>
    <w:rsid w:val="00386C51"/>
    <w:rsid w:val="003870C7"/>
    <w:rsid w:val="00387279"/>
    <w:rsid w:val="003873EC"/>
    <w:rsid w:val="0038758C"/>
    <w:rsid w:val="003877B4"/>
    <w:rsid w:val="003877FA"/>
    <w:rsid w:val="00387B14"/>
    <w:rsid w:val="00387C00"/>
    <w:rsid w:val="0039050A"/>
    <w:rsid w:val="003907B7"/>
    <w:rsid w:val="00390A71"/>
    <w:rsid w:val="00390BBB"/>
    <w:rsid w:val="00391051"/>
    <w:rsid w:val="00391722"/>
    <w:rsid w:val="003918C2"/>
    <w:rsid w:val="00391D3E"/>
    <w:rsid w:val="003923C9"/>
    <w:rsid w:val="003929B9"/>
    <w:rsid w:val="0039302C"/>
    <w:rsid w:val="003930E4"/>
    <w:rsid w:val="00393315"/>
    <w:rsid w:val="00393591"/>
    <w:rsid w:val="00393B51"/>
    <w:rsid w:val="00393D3F"/>
    <w:rsid w:val="00393D4D"/>
    <w:rsid w:val="00394380"/>
    <w:rsid w:val="0039486E"/>
    <w:rsid w:val="00395136"/>
    <w:rsid w:val="00395D05"/>
    <w:rsid w:val="00395D07"/>
    <w:rsid w:val="003961E3"/>
    <w:rsid w:val="0039625A"/>
    <w:rsid w:val="00396DE8"/>
    <w:rsid w:val="00396E03"/>
    <w:rsid w:val="00397213"/>
    <w:rsid w:val="0039735D"/>
    <w:rsid w:val="003974F3"/>
    <w:rsid w:val="003977A3"/>
    <w:rsid w:val="00397B3F"/>
    <w:rsid w:val="00397E52"/>
    <w:rsid w:val="003A050D"/>
    <w:rsid w:val="003A0C00"/>
    <w:rsid w:val="003A0E36"/>
    <w:rsid w:val="003A0EE1"/>
    <w:rsid w:val="003A1006"/>
    <w:rsid w:val="003A1049"/>
    <w:rsid w:val="003A117A"/>
    <w:rsid w:val="003A1251"/>
    <w:rsid w:val="003A13A2"/>
    <w:rsid w:val="003A1870"/>
    <w:rsid w:val="003A1AB3"/>
    <w:rsid w:val="003A2214"/>
    <w:rsid w:val="003A2282"/>
    <w:rsid w:val="003A2290"/>
    <w:rsid w:val="003A2350"/>
    <w:rsid w:val="003A265D"/>
    <w:rsid w:val="003A31E4"/>
    <w:rsid w:val="003A36FC"/>
    <w:rsid w:val="003A3841"/>
    <w:rsid w:val="003A3DF1"/>
    <w:rsid w:val="003A3F2C"/>
    <w:rsid w:val="003A3F86"/>
    <w:rsid w:val="003A3FE5"/>
    <w:rsid w:val="003A518A"/>
    <w:rsid w:val="003A5674"/>
    <w:rsid w:val="003A577F"/>
    <w:rsid w:val="003A5977"/>
    <w:rsid w:val="003A61A8"/>
    <w:rsid w:val="003A652C"/>
    <w:rsid w:val="003A6670"/>
    <w:rsid w:val="003A6CD3"/>
    <w:rsid w:val="003A7D08"/>
    <w:rsid w:val="003A7FE6"/>
    <w:rsid w:val="003B030F"/>
    <w:rsid w:val="003B036B"/>
    <w:rsid w:val="003B03EF"/>
    <w:rsid w:val="003B0761"/>
    <w:rsid w:val="003B076F"/>
    <w:rsid w:val="003B0AB5"/>
    <w:rsid w:val="003B0C3B"/>
    <w:rsid w:val="003B0E7D"/>
    <w:rsid w:val="003B1525"/>
    <w:rsid w:val="003B157D"/>
    <w:rsid w:val="003B1AFF"/>
    <w:rsid w:val="003B1CD3"/>
    <w:rsid w:val="003B1D02"/>
    <w:rsid w:val="003B1D7D"/>
    <w:rsid w:val="003B1EF7"/>
    <w:rsid w:val="003B220C"/>
    <w:rsid w:val="003B2492"/>
    <w:rsid w:val="003B2805"/>
    <w:rsid w:val="003B2C01"/>
    <w:rsid w:val="003B2C2C"/>
    <w:rsid w:val="003B2F20"/>
    <w:rsid w:val="003B2F26"/>
    <w:rsid w:val="003B36AC"/>
    <w:rsid w:val="003B381B"/>
    <w:rsid w:val="003B384A"/>
    <w:rsid w:val="003B40B4"/>
    <w:rsid w:val="003B4338"/>
    <w:rsid w:val="003B4529"/>
    <w:rsid w:val="003B45B0"/>
    <w:rsid w:val="003B4643"/>
    <w:rsid w:val="003B4962"/>
    <w:rsid w:val="003B4C8E"/>
    <w:rsid w:val="003B53D3"/>
    <w:rsid w:val="003B573B"/>
    <w:rsid w:val="003B574D"/>
    <w:rsid w:val="003B5B18"/>
    <w:rsid w:val="003B5E91"/>
    <w:rsid w:val="003B635A"/>
    <w:rsid w:val="003B6BED"/>
    <w:rsid w:val="003B6C70"/>
    <w:rsid w:val="003B6EA9"/>
    <w:rsid w:val="003B7026"/>
    <w:rsid w:val="003B7C67"/>
    <w:rsid w:val="003B7D50"/>
    <w:rsid w:val="003B7E52"/>
    <w:rsid w:val="003C017E"/>
    <w:rsid w:val="003C03E8"/>
    <w:rsid w:val="003C06C4"/>
    <w:rsid w:val="003C08FC"/>
    <w:rsid w:val="003C0C05"/>
    <w:rsid w:val="003C0D79"/>
    <w:rsid w:val="003C1208"/>
    <w:rsid w:val="003C1365"/>
    <w:rsid w:val="003C1441"/>
    <w:rsid w:val="003C14F9"/>
    <w:rsid w:val="003C1B9D"/>
    <w:rsid w:val="003C1BBD"/>
    <w:rsid w:val="003C1CC5"/>
    <w:rsid w:val="003C1E84"/>
    <w:rsid w:val="003C2107"/>
    <w:rsid w:val="003C2458"/>
    <w:rsid w:val="003C25CD"/>
    <w:rsid w:val="003C292B"/>
    <w:rsid w:val="003C2E26"/>
    <w:rsid w:val="003C3071"/>
    <w:rsid w:val="003C34DF"/>
    <w:rsid w:val="003C3836"/>
    <w:rsid w:val="003C3A33"/>
    <w:rsid w:val="003C3B3F"/>
    <w:rsid w:val="003C42BC"/>
    <w:rsid w:val="003C44CC"/>
    <w:rsid w:val="003C45C2"/>
    <w:rsid w:val="003C47CE"/>
    <w:rsid w:val="003C47DF"/>
    <w:rsid w:val="003C48A9"/>
    <w:rsid w:val="003C48AB"/>
    <w:rsid w:val="003C4BDA"/>
    <w:rsid w:val="003C4DED"/>
    <w:rsid w:val="003C4EEE"/>
    <w:rsid w:val="003C5074"/>
    <w:rsid w:val="003C56AF"/>
    <w:rsid w:val="003C5803"/>
    <w:rsid w:val="003C58B0"/>
    <w:rsid w:val="003C5A5C"/>
    <w:rsid w:val="003C6B1B"/>
    <w:rsid w:val="003C6D66"/>
    <w:rsid w:val="003C7A67"/>
    <w:rsid w:val="003C7D1B"/>
    <w:rsid w:val="003D0955"/>
    <w:rsid w:val="003D0ACE"/>
    <w:rsid w:val="003D11ED"/>
    <w:rsid w:val="003D161B"/>
    <w:rsid w:val="003D17D8"/>
    <w:rsid w:val="003D1848"/>
    <w:rsid w:val="003D1866"/>
    <w:rsid w:val="003D19F9"/>
    <w:rsid w:val="003D1C2B"/>
    <w:rsid w:val="003D21BE"/>
    <w:rsid w:val="003D25ED"/>
    <w:rsid w:val="003D28BD"/>
    <w:rsid w:val="003D2965"/>
    <w:rsid w:val="003D2CD5"/>
    <w:rsid w:val="003D2D9F"/>
    <w:rsid w:val="003D30AC"/>
    <w:rsid w:val="003D33F5"/>
    <w:rsid w:val="003D346A"/>
    <w:rsid w:val="003D444A"/>
    <w:rsid w:val="003D4770"/>
    <w:rsid w:val="003D513E"/>
    <w:rsid w:val="003D52BE"/>
    <w:rsid w:val="003D560D"/>
    <w:rsid w:val="003D5EFE"/>
    <w:rsid w:val="003D615C"/>
    <w:rsid w:val="003D64AC"/>
    <w:rsid w:val="003D6539"/>
    <w:rsid w:val="003D6F1B"/>
    <w:rsid w:val="003D7233"/>
    <w:rsid w:val="003D743F"/>
    <w:rsid w:val="003D770B"/>
    <w:rsid w:val="003D773B"/>
    <w:rsid w:val="003D77A5"/>
    <w:rsid w:val="003D78BB"/>
    <w:rsid w:val="003E02DD"/>
    <w:rsid w:val="003E05F3"/>
    <w:rsid w:val="003E06FC"/>
    <w:rsid w:val="003E14E7"/>
    <w:rsid w:val="003E17C2"/>
    <w:rsid w:val="003E18FD"/>
    <w:rsid w:val="003E2081"/>
    <w:rsid w:val="003E2087"/>
    <w:rsid w:val="003E22BD"/>
    <w:rsid w:val="003E2AD9"/>
    <w:rsid w:val="003E2BD1"/>
    <w:rsid w:val="003E2DDC"/>
    <w:rsid w:val="003E399B"/>
    <w:rsid w:val="003E3B7C"/>
    <w:rsid w:val="003E3B8B"/>
    <w:rsid w:val="003E3CF0"/>
    <w:rsid w:val="003E42DF"/>
    <w:rsid w:val="003E457C"/>
    <w:rsid w:val="003E46A0"/>
    <w:rsid w:val="003E477B"/>
    <w:rsid w:val="003E4A07"/>
    <w:rsid w:val="003E4D37"/>
    <w:rsid w:val="003E50B6"/>
    <w:rsid w:val="003E5238"/>
    <w:rsid w:val="003E5560"/>
    <w:rsid w:val="003E5695"/>
    <w:rsid w:val="003E57B1"/>
    <w:rsid w:val="003E584F"/>
    <w:rsid w:val="003E5B51"/>
    <w:rsid w:val="003E5D1D"/>
    <w:rsid w:val="003E5D2A"/>
    <w:rsid w:val="003E5E29"/>
    <w:rsid w:val="003E6417"/>
    <w:rsid w:val="003E6502"/>
    <w:rsid w:val="003E6717"/>
    <w:rsid w:val="003E6E80"/>
    <w:rsid w:val="003E711E"/>
    <w:rsid w:val="003E7764"/>
    <w:rsid w:val="003E7F5A"/>
    <w:rsid w:val="003F068B"/>
    <w:rsid w:val="003F0B3C"/>
    <w:rsid w:val="003F0C5A"/>
    <w:rsid w:val="003F1106"/>
    <w:rsid w:val="003F11B5"/>
    <w:rsid w:val="003F14CC"/>
    <w:rsid w:val="003F1B38"/>
    <w:rsid w:val="003F1D58"/>
    <w:rsid w:val="003F1DD9"/>
    <w:rsid w:val="003F223B"/>
    <w:rsid w:val="003F22A7"/>
    <w:rsid w:val="003F361C"/>
    <w:rsid w:val="003F3CEC"/>
    <w:rsid w:val="003F3D11"/>
    <w:rsid w:val="003F3F99"/>
    <w:rsid w:val="003F4863"/>
    <w:rsid w:val="003F4893"/>
    <w:rsid w:val="003F4990"/>
    <w:rsid w:val="003F49EB"/>
    <w:rsid w:val="003F4AC0"/>
    <w:rsid w:val="003F4D1F"/>
    <w:rsid w:val="003F4E7B"/>
    <w:rsid w:val="003F5639"/>
    <w:rsid w:val="003F569B"/>
    <w:rsid w:val="003F56A8"/>
    <w:rsid w:val="003F5D9C"/>
    <w:rsid w:val="003F5E6C"/>
    <w:rsid w:val="003F5FB5"/>
    <w:rsid w:val="003F614A"/>
    <w:rsid w:val="003F6511"/>
    <w:rsid w:val="003F6BDC"/>
    <w:rsid w:val="003F6CD8"/>
    <w:rsid w:val="003F6D04"/>
    <w:rsid w:val="003F6D10"/>
    <w:rsid w:val="003F7131"/>
    <w:rsid w:val="003F72E6"/>
    <w:rsid w:val="003F734A"/>
    <w:rsid w:val="003F74C8"/>
    <w:rsid w:val="003F7809"/>
    <w:rsid w:val="003F789F"/>
    <w:rsid w:val="003F79FF"/>
    <w:rsid w:val="00400E43"/>
    <w:rsid w:val="00400F9C"/>
    <w:rsid w:val="004016E8"/>
    <w:rsid w:val="004018F1"/>
    <w:rsid w:val="00401933"/>
    <w:rsid w:val="00401A73"/>
    <w:rsid w:val="00401AC1"/>
    <w:rsid w:val="00401CBA"/>
    <w:rsid w:val="00401D25"/>
    <w:rsid w:val="00401D27"/>
    <w:rsid w:val="00401D37"/>
    <w:rsid w:val="00401E38"/>
    <w:rsid w:val="00401ED6"/>
    <w:rsid w:val="004020F3"/>
    <w:rsid w:val="00402141"/>
    <w:rsid w:val="00402420"/>
    <w:rsid w:val="00402452"/>
    <w:rsid w:val="004025BF"/>
    <w:rsid w:val="00402C58"/>
    <w:rsid w:val="0040359C"/>
    <w:rsid w:val="00403783"/>
    <w:rsid w:val="00404073"/>
    <w:rsid w:val="00404096"/>
    <w:rsid w:val="00404B2C"/>
    <w:rsid w:val="00404BA0"/>
    <w:rsid w:val="0040523B"/>
    <w:rsid w:val="004053AA"/>
    <w:rsid w:val="00405905"/>
    <w:rsid w:val="00405963"/>
    <w:rsid w:val="00405A4B"/>
    <w:rsid w:val="00405D4C"/>
    <w:rsid w:val="004065D7"/>
    <w:rsid w:val="0040672B"/>
    <w:rsid w:val="00406E02"/>
    <w:rsid w:val="00406F3C"/>
    <w:rsid w:val="004071B8"/>
    <w:rsid w:val="004077BD"/>
    <w:rsid w:val="00407978"/>
    <w:rsid w:val="00407D29"/>
    <w:rsid w:val="00407E4C"/>
    <w:rsid w:val="00407E9B"/>
    <w:rsid w:val="00410376"/>
    <w:rsid w:val="004105EC"/>
    <w:rsid w:val="004106ED"/>
    <w:rsid w:val="0041090D"/>
    <w:rsid w:val="00410977"/>
    <w:rsid w:val="00410B07"/>
    <w:rsid w:val="00410BEC"/>
    <w:rsid w:val="00410F7D"/>
    <w:rsid w:val="0041103D"/>
    <w:rsid w:val="0041165F"/>
    <w:rsid w:val="00411A76"/>
    <w:rsid w:val="00411D7D"/>
    <w:rsid w:val="00411F02"/>
    <w:rsid w:val="0041201D"/>
    <w:rsid w:val="004120EB"/>
    <w:rsid w:val="0041235A"/>
    <w:rsid w:val="004123A4"/>
    <w:rsid w:val="00412449"/>
    <w:rsid w:val="004124B7"/>
    <w:rsid w:val="004127E1"/>
    <w:rsid w:val="00412A73"/>
    <w:rsid w:val="004130F2"/>
    <w:rsid w:val="00413355"/>
    <w:rsid w:val="00413597"/>
    <w:rsid w:val="004135B3"/>
    <w:rsid w:val="004137BB"/>
    <w:rsid w:val="00413BB7"/>
    <w:rsid w:val="00413EE2"/>
    <w:rsid w:val="0041423B"/>
    <w:rsid w:val="00415074"/>
    <w:rsid w:val="004155C8"/>
    <w:rsid w:val="004158A8"/>
    <w:rsid w:val="004159BF"/>
    <w:rsid w:val="00415B87"/>
    <w:rsid w:val="00415C52"/>
    <w:rsid w:val="00415DE2"/>
    <w:rsid w:val="0041602E"/>
    <w:rsid w:val="00416475"/>
    <w:rsid w:val="0041679A"/>
    <w:rsid w:val="004167F6"/>
    <w:rsid w:val="00416911"/>
    <w:rsid w:val="004169B9"/>
    <w:rsid w:val="00416A32"/>
    <w:rsid w:val="00416FD8"/>
    <w:rsid w:val="004175B6"/>
    <w:rsid w:val="00417714"/>
    <w:rsid w:val="00417BB4"/>
    <w:rsid w:val="00417C33"/>
    <w:rsid w:val="00417D16"/>
    <w:rsid w:val="00417E1D"/>
    <w:rsid w:val="00417ECD"/>
    <w:rsid w:val="004203DA"/>
    <w:rsid w:val="00420545"/>
    <w:rsid w:val="00420620"/>
    <w:rsid w:val="004206E3"/>
    <w:rsid w:val="00420AA9"/>
    <w:rsid w:val="00420AF5"/>
    <w:rsid w:val="00420CB5"/>
    <w:rsid w:val="00420F56"/>
    <w:rsid w:val="004213C5"/>
    <w:rsid w:val="00421675"/>
    <w:rsid w:val="00421903"/>
    <w:rsid w:val="00421A7F"/>
    <w:rsid w:val="00421C4D"/>
    <w:rsid w:val="00421D7E"/>
    <w:rsid w:val="00421ED1"/>
    <w:rsid w:val="00421F6D"/>
    <w:rsid w:val="00422146"/>
    <w:rsid w:val="0042218D"/>
    <w:rsid w:val="00422303"/>
    <w:rsid w:val="004225D4"/>
    <w:rsid w:val="00422ED6"/>
    <w:rsid w:val="004231CB"/>
    <w:rsid w:val="00423755"/>
    <w:rsid w:val="004239FF"/>
    <w:rsid w:val="00423A39"/>
    <w:rsid w:val="00423C08"/>
    <w:rsid w:val="00423CB4"/>
    <w:rsid w:val="004243F9"/>
    <w:rsid w:val="004244D4"/>
    <w:rsid w:val="00424647"/>
    <w:rsid w:val="0042490B"/>
    <w:rsid w:val="00425437"/>
    <w:rsid w:val="004256B4"/>
    <w:rsid w:val="00425724"/>
    <w:rsid w:val="00425AC0"/>
    <w:rsid w:val="00425AED"/>
    <w:rsid w:val="00425B7A"/>
    <w:rsid w:val="00425DA0"/>
    <w:rsid w:val="00425DED"/>
    <w:rsid w:val="00425E97"/>
    <w:rsid w:val="00425FCC"/>
    <w:rsid w:val="0042609B"/>
    <w:rsid w:val="00426210"/>
    <w:rsid w:val="00426B03"/>
    <w:rsid w:val="00426B1C"/>
    <w:rsid w:val="00426B82"/>
    <w:rsid w:val="00426F10"/>
    <w:rsid w:val="00427417"/>
    <w:rsid w:val="004279EA"/>
    <w:rsid w:val="00427ED8"/>
    <w:rsid w:val="00427FF2"/>
    <w:rsid w:val="00430489"/>
    <w:rsid w:val="004309C8"/>
    <w:rsid w:val="00430B6C"/>
    <w:rsid w:val="00430B7F"/>
    <w:rsid w:val="00430EA4"/>
    <w:rsid w:val="00430F36"/>
    <w:rsid w:val="00431975"/>
    <w:rsid w:val="00431E54"/>
    <w:rsid w:val="004323D0"/>
    <w:rsid w:val="004324F0"/>
    <w:rsid w:val="00432932"/>
    <w:rsid w:val="00432A85"/>
    <w:rsid w:val="00432A8E"/>
    <w:rsid w:val="00432B1B"/>
    <w:rsid w:val="00432B6E"/>
    <w:rsid w:val="00432E67"/>
    <w:rsid w:val="00432E68"/>
    <w:rsid w:val="00433355"/>
    <w:rsid w:val="00433B74"/>
    <w:rsid w:val="00433B94"/>
    <w:rsid w:val="00433F34"/>
    <w:rsid w:val="00434001"/>
    <w:rsid w:val="00434015"/>
    <w:rsid w:val="00434061"/>
    <w:rsid w:val="00434325"/>
    <w:rsid w:val="0043456C"/>
    <w:rsid w:val="00434932"/>
    <w:rsid w:val="004349F7"/>
    <w:rsid w:val="00434D0D"/>
    <w:rsid w:val="004350BA"/>
    <w:rsid w:val="004356A8"/>
    <w:rsid w:val="00435802"/>
    <w:rsid w:val="004358FA"/>
    <w:rsid w:val="00435A1B"/>
    <w:rsid w:val="00435D51"/>
    <w:rsid w:val="0043643A"/>
    <w:rsid w:val="00436758"/>
    <w:rsid w:val="00436860"/>
    <w:rsid w:val="00436BBA"/>
    <w:rsid w:val="00436D25"/>
    <w:rsid w:val="00437253"/>
    <w:rsid w:val="004375A1"/>
    <w:rsid w:val="00437D34"/>
    <w:rsid w:val="004404A2"/>
    <w:rsid w:val="00440749"/>
    <w:rsid w:val="00440926"/>
    <w:rsid w:val="00440CA4"/>
    <w:rsid w:val="00440F98"/>
    <w:rsid w:val="00441608"/>
    <w:rsid w:val="004416A0"/>
    <w:rsid w:val="00441AF8"/>
    <w:rsid w:val="00441B06"/>
    <w:rsid w:val="00441C7C"/>
    <w:rsid w:val="004423DE"/>
    <w:rsid w:val="004429D3"/>
    <w:rsid w:val="00442A1A"/>
    <w:rsid w:val="00442C1F"/>
    <w:rsid w:val="00442DCC"/>
    <w:rsid w:val="00443449"/>
    <w:rsid w:val="00443AEA"/>
    <w:rsid w:val="00443DAD"/>
    <w:rsid w:val="00443DC1"/>
    <w:rsid w:val="0044408A"/>
    <w:rsid w:val="00444495"/>
    <w:rsid w:val="00444508"/>
    <w:rsid w:val="00444509"/>
    <w:rsid w:val="00445096"/>
    <w:rsid w:val="0044536C"/>
    <w:rsid w:val="004459F5"/>
    <w:rsid w:val="00445DEB"/>
    <w:rsid w:val="00445FBF"/>
    <w:rsid w:val="004461DD"/>
    <w:rsid w:val="0044666B"/>
    <w:rsid w:val="0044694C"/>
    <w:rsid w:val="00446A13"/>
    <w:rsid w:val="00446AD8"/>
    <w:rsid w:val="004474D4"/>
    <w:rsid w:val="00447576"/>
    <w:rsid w:val="004476D1"/>
    <w:rsid w:val="00447A29"/>
    <w:rsid w:val="00447B32"/>
    <w:rsid w:val="00447C6E"/>
    <w:rsid w:val="00447EA3"/>
    <w:rsid w:val="0045012B"/>
    <w:rsid w:val="004508A8"/>
    <w:rsid w:val="00450DD9"/>
    <w:rsid w:val="00450FD5"/>
    <w:rsid w:val="00451137"/>
    <w:rsid w:val="0045113B"/>
    <w:rsid w:val="004513DB"/>
    <w:rsid w:val="004514A2"/>
    <w:rsid w:val="00451B4C"/>
    <w:rsid w:val="00451FAA"/>
    <w:rsid w:val="00452C7F"/>
    <w:rsid w:val="00452F7A"/>
    <w:rsid w:val="004535F3"/>
    <w:rsid w:val="00453AA8"/>
    <w:rsid w:val="004541EE"/>
    <w:rsid w:val="004541FD"/>
    <w:rsid w:val="0045489F"/>
    <w:rsid w:val="00454AF8"/>
    <w:rsid w:val="00454B3F"/>
    <w:rsid w:val="00454BC1"/>
    <w:rsid w:val="00454D1F"/>
    <w:rsid w:val="0045558E"/>
    <w:rsid w:val="0045580C"/>
    <w:rsid w:val="004559EF"/>
    <w:rsid w:val="00455B62"/>
    <w:rsid w:val="004560DB"/>
    <w:rsid w:val="00456138"/>
    <w:rsid w:val="004567AC"/>
    <w:rsid w:val="00456CDB"/>
    <w:rsid w:val="00457730"/>
    <w:rsid w:val="00457ACC"/>
    <w:rsid w:val="004600F6"/>
    <w:rsid w:val="00460447"/>
    <w:rsid w:val="00460457"/>
    <w:rsid w:val="00460605"/>
    <w:rsid w:val="00460B08"/>
    <w:rsid w:val="00460D19"/>
    <w:rsid w:val="00461421"/>
    <w:rsid w:val="004617BA"/>
    <w:rsid w:val="00461B32"/>
    <w:rsid w:val="00461E39"/>
    <w:rsid w:val="00461E7A"/>
    <w:rsid w:val="0046251E"/>
    <w:rsid w:val="0046299E"/>
    <w:rsid w:val="00462C08"/>
    <w:rsid w:val="00462C4E"/>
    <w:rsid w:val="004639FB"/>
    <w:rsid w:val="00463A4F"/>
    <w:rsid w:val="00463E09"/>
    <w:rsid w:val="00464124"/>
    <w:rsid w:val="004643BC"/>
    <w:rsid w:val="0046482D"/>
    <w:rsid w:val="00464EF5"/>
    <w:rsid w:val="00464F80"/>
    <w:rsid w:val="00464FF5"/>
    <w:rsid w:val="00464FFD"/>
    <w:rsid w:val="004651F3"/>
    <w:rsid w:val="004656C0"/>
    <w:rsid w:val="00465E50"/>
    <w:rsid w:val="00465EB9"/>
    <w:rsid w:val="00465EED"/>
    <w:rsid w:val="00465FDA"/>
    <w:rsid w:val="0046604F"/>
    <w:rsid w:val="00466A69"/>
    <w:rsid w:val="00466BDF"/>
    <w:rsid w:val="00467625"/>
    <w:rsid w:val="004676F6"/>
    <w:rsid w:val="00467933"/>
    <w:rsid w:val="00467A80"/>
    <w:rsid w:val="00467DBB"/>
    <w:rsid w:val="0047006B"/>
    <w:rsid w:val="0047052B"/>
    <w:rsid w:val="00470865"/>
    <w:rsid w:val="00470A44"/>
    <w:rsid w:val="00470DF2"/>
    <w:rsid w:val="00470E31"/>
    <w:rsid w:val="00470EB6"/>
    <w:rsid w:val="0047136E"/>
    <w:rsid w:val="004713E7"/>
    <w:rsid w:val="0047143B"/>
    <w:rsid w:val="00471561"/>
    <w:rsid w:val="00471613"/>
    <w:rsid w:val="00471A4D"/>
    <w:rsid w:val="00471AB2"/>
    <w:rsid w:val="00471E45"/>
    <w:rsid w:val="00471E6F"/>
    <w:rsid w:val="00471F85"/>
    <w:rsid w:val="00472019"/>
    <w:rsid w:val="00472254"/>
    <w:rsid w:val="004723FC"/>
    <w:rsid w:val="00472862"/>
    <w:rsid w:val="004730F6"/>
    <w:rsid w:val="004732E0"/>
    <w:rsid w:val="00473874"/>
    <w:rsid w:val="00473ACF"/>
    <w:rsid w:val="00474027"/>
    <w:rsid w:val="004742D9"/>
    <w:rsid w:val="00474822"/>
    <w:rsid w:val="004748AB"/>
    <w:rsid w:val="00474945"/>
    <w:rsid w:val="00474E36"/>
    <w:rsid w:val="00474E52"/>
    <w:rsid w:val="004756C6"/>
    <w:rsid w:val="00475974"/>
    <w:rsid w:val="00475B31"/>
    <w:rsid w:val="00475EF0"/>
    <w:rsid w:val="00476048"/>
    <w:rsid w:val="004760BA"/>
    <w:rsid w:val="0047614F"/>
    <w:rsid w:val="00476619"/>
    <w:rsid w:val="00476711"/>
    <w:rsid w:val="00477748"/>
    <w:rsid w:val="00477957"/>
    <w:rsid w:val="00477A5B"/>
    <w:rsid w:val="00480EB2"/>
    <w:rsid w:val="00480FF9"/>
    <w:rsid w:val="004810CF"/>
    <w:rsid w:val="00481340"/>
    <w:rsid w:val="004814B3"/>
    <w:rsid w:val="004818A1"/>
    <w:rsid w:val="004818D5"/>
    <w:rsid w:val="00482465"/>
    <w:rsid w:val="004826CF"/>
    <w:rsid w:val="004828B2"/>
    <w:rsid w:val="00482C3D"/>
    <w:rsid w:val="00482DD6"/>
    <w:rsid w:val="00482DFE"/>
    <w:rsid w:val="00482FFB"/>
    <w:rsid w:val="004830AA"/>
    <w:rsid w:val="004835A5"/>
    <w:rsid w:val="00483858"/>
    <w:rsid w:val="00483AF3"/>
    <w:rsid w:val="00483B5E"/>
    <w:rsid w:val="00483E9E"/>
    <w:rsid w:val="00484066"/>
    <w:rsid w:val="00484909"/>
    <w:rsid w:val="00484A4E"/>
    <w:rsid w:val="00484ABB"/>
    <w:rsid w:val="00484F00"/>
    <w:rsid w:val="004851FE"/>
    <w:rsid w:val="00485453"/>
    <w:rsid w:val="0048546D"/>
    <w:rsid w:val="00485A12"/>
    <w:rsid w:val="00485CF8"/>
    <w:rsid w:val="00485EC3"/>
    <w:rsid w:val="00485FDE"/>
    <w:rsid w:val="0048614A"/>
    <w:rsid w:val="00486649"/>
    <w:rsid w:val="0048666F"/>
    <w:rsid w:val="004868BD"/>
    <w:rsid w:val="00486F36"/>
    <w:rsid w:val="00486F51"/>
    <w:rsid w:val="004871D6"/>
    <w:rsid w:val="00487AB9"/>
    <w:rsid w:val="00487D6E"/>
    <w:rsid w:val="004903B1"/>
    <w:rsid w:val="00490A4A"/>
    <w:rsid w:val="00490BD2"/>
    <w:rsid w:val="00490FC5"/>
    <w:rsid w:val="00491072"/>
    <w:rsid w:val="004918D7"/>
    <w:rsid w:val="0049192C"/>
    <w:rsid w:val="00491BC4"/>
    <w:rsid w:val="00491BE4"/>
    <w:rsid w:val="00491D4B"/>
    <w:rsid w:val="00491F82"/>
    <w:rsid w:val="00491FE4"/>
    <w:rsid w:val="004921DD"/>
    <w:rsid w:val="0049220C"/>
    <w:rsid w:val="00492783"/>
    <w:rsid w:val="0049283C"/>
    <w:rsid w:val="00493428"/>
    <w:rsid w:val="0049365E"/>
    <w:rsid w:val="00493A57"/>
    <w:rsid w:val="00493AC0"/>
    <w:rsid w:val="00493C5A"/>
    <w:rsid w:val="00493FBF"/>
    <w:rsid w:val="004942B5"/>
    <w:rsid w:val="00494DAD"/>
    <w:rsid w:val="004959DC"/>
    <w:rsid w:val="00495A36"/>
    <w:rsid w:val="00495A78"/>
    <w:rsid w:val="00495FFC"/>
    <w:rsid w:val="0049611A"/>
    <w:rsid w:val="00496199"/>
    <w:rsid w:val="0049623F"/>
    <w:rsid w:val="004964F6"/>
    <w:rsid w:val="0049652D"/>
    <w:rsid w:val="004967C5"/>
    <w:rsid w:val="004973CB"/>
    <w:rsid w:val="004975D3"/>
    <w:rsid w:val="00497A05"/>
    <w:rsid w:val="004A0DF3"/>
    <w:rsid w:val="004A13A5"/>
    <w:rsid w:val="004A193A"/>
    <w:rsid w:val="004A1BBA"/>
    <w:rsid w:val="004A2072"/>
    <w:rsid w:val="004A211E"/>
    <w:rsid w:val="004A27B7"/>
    <w:rsid w:val="004A28DE"/>
    <w:rsid w:val="004A294B"/>
    <w:rsid w:val="004A2E90"/>
    <w:rsid w:val="004A3338"/>
    <w:rsid w:val="004A35E0"/>
    <w:rsid w:val="004A3B43"/>
    <w:rsid w:val="004A4236"/>
    <w:rsid w:val="004A446A"/>
    <w:rsid w:val="004A44C5"/>
    <w:rsid w:val="004A4D2F"/>
    <w:rsid w:val="004A52D6"/>
    <w:rsid w:val="004A574E"/>
    <w:rsid w:val="004A5940"/>
    <w:rsid w:val="004A627E"/>
    <w:rsid w:val="004A6374"/>
    <w:rsid w:val="004A6626"/>
    <w:rsid w:val="004A6663"/>
    <w:rsid w:val="004A6853"/>
    <w:rsid w:val="004A68A5"/>
    <w:rsid w:val="004A6D0F"/>
    <w:rsid w:val="004A6FC8"/>
    <w:rsid w:val="004A7278"/>
    <w:rsid w:val="004A764F"/>
    <w:rsid w:val="004A7B02"/>
    <w:rsid w:val="004A7B47"/>
    <w:rsid w:val="004A7B8D"/>
    <w:rsid w:val="004B00CD"/>
    <w:rsid w:val="004B0131"/>
    <w:rsid w:val="004B022E"/>
    <w:rsid w:val="004B062D"/>
    <w:rsid w:val="004B07E8"/>
    <w:rsid w:val="004B0CFF"/>
    <w:rsid w:val="004B0EA3"/>
    <w:rsid w:val="004B10E6"/>
    <w:rsid w:val="004B111F"/>
    <w:rsid w:val="004B1211"/>
    <w:rsid w:val="004B2CA3"/>
    <w:rsid w:val="004B2E8B"/>
    <w:rsid w:val="004B2F86"/>
    <w:rsid w:val="004B33E4"/>
    <w:rsid w:val="004B35E9"/>
    <w:rsid w:val="004B36DA"/>
    <w:rsid w:val="004B394D"/>
    <w:rsid w:val="004B3A98"/>
    <w:rsid w:val="004B3B7F"/>
    <w:rsid w:val="004B3BF8"/>
    <w:rsid w:val="004B4635"/>
    <w:rsid w:val="004B49EC"/>
    <w:rsid w:val="004B5039"/>
    <w:rsid w:val="004B561B"/>
    <w:rsid w:val="004B56A4"/>
    <w:rsid w:val="004B5A24"/>
    <w:rsid w:val="004B5A8F"/>
    <w:rsid w:val="004B5EAA"/>
    <w:rsid w:val="004B60B9"/>
    <w:rsid w:val="004B6FB0"/>
    <w:rsid w:val="004B71DC"/>
    <w:rsid w:val="004B722E"/>
    <w:rsid w:val="004B72C1"/>
    <w:rsid w:val="004C02F1"/>
    <w:rsid w:val="004C0362"/>
    <w:rsid w:val="004C0485"/>
    <w:rsid w:val="004C0BCE"/>
    <w:rsid w:val="004C0C66"/>
    <w:rsid w:val="004C0D32"/>
    <w:rsid w:val="004C0F9B"/>
    <w:rsid w:val="004C120F"/>
    <w:rsid w:val="004C1282"/>
    <w:rsid w:val="004C1AC5"/>
    <w:rsid w:val="004C1E26"/>
    <w:rsid w:val="004C1E5A"/>
    <w:rsid w:val="004C1FC2"/>
    <w:rsid w:val="004C2078"/>
    <w:rsid w:val="004C23A0"/>
    <w:rsid w:val="004C2741"/>
    <w:rsid w:val="004C278E"/>
    <w:rsid w:val="004C27F1"/>
    <w:rsid w:val="004C28FA"/>
    <w:rsid w:val="004C30CB"/>
    <w:rsid w:val="004C3A36"/>
    <w:rsid w:val="004C3D63"/>
    <w:rsid w:val="004C412C"/>
    <w:rsid w:val="004C4219"/>
    <w:rsid w:val="004C4796"/>
    <w:rsid w:val="004C4C21"/>
    <w:rsid w:val="004C4E18"/>
    <w:rsid w:val="004C4EFD"/>
    <w:rsid w:val="004C525C"/>
    <w:rsid w:val="004C52F9"/>
    <w:rsid w:val="004C5631"/>
    <w:rsid w:val="004C589A"/>
    <w:rsid w:val="004C5984"/>
    <w:rsid w:val="004C5CE8"/>
    <w:rsid w:val="004C5F38"/>
    <w:rsid w:val="004C61A1"/>
    <w:rsid w:val="004C6290"/>
    <w:rsid w:val="004C66C7"/>
    <w:rsid w:val="004C6F2C"/>
    <w:rsid w:val="004C75F5"/>
    <w:rsid w:val="004C77EE"/>
    <w:rsid w:val="004D07F6"/>
    <w:rsid w:val="004D0A7F"/>
    <w:rsid w:val="004D11BC"/>
    <w:rsid w:val="004D18DA"/>
    <w:rsid w:val="004D1CBD"/>
    <w:rsid w:val="004D1ED3"/>
    <w:rsid w:val="004D1F46"/>
    <w:rsid w:val="004D202C"/>
    <w:rsid w:val="004D2489"/>
    <w:rsid w:val="004D2648"/>
    <w:rsid w:val="004D26FD"/>
    <w:rsid w:val="004D273F"/>
    <w:rsid w:val="004D291C"/>
    <w:rsid w:val="004D34CA"/>
    <w:rsid w:val="004D3724"/>
    <w:rsid w:val="004D395B"/>
    <w:rsid w:val="004D4106"/>
    <w:rsid w:val="004D4529"/>
    <w:rsid w:val="004D487E"/>
    <w:rsid w:val="004D4ACB"/>
    <w:rsid w:val="004D51FA"/>
    <w:rsid w:val="004D55F2"/>
    <w:rsid w:val="004D5803"/>
    <w:rsid w:val="004D5867"/>
    <w:rsid w:val="004D587F"/>
    <w:rsid w:val="004D5BB2"/>
    <w:rsid w:val="004D5D1A"/>
    <w:rsid w:val="004D5D2F"/>
    <w:rsid w:val="004D5D79"/>
    <w:rsid w:val="004D600D"/>
    <w:rsid w:val="004D6331"/>
    <w:rsid w:val="004D6A6F"/>
    <w:rsid w:val="004D6AEA"/>
    <w:rsid w:val="004D79B1"/>
    <w:rsid w:val="004D7B0F"/>
    <w:rsid w:val="004D7CFD"/>
    <w:rsid w:val="004D7D67"/>
    <w:rsid w:val="004E0343"/>
    <w:rsid w:val="004E0357"/>
    <w:rsid w:val="004E0770"/>
    <w:rsid w:val="004E0A8C"/>
    <w:rsid w:val="004E0EA4"/>
    <w:rsid w:val="004E111C"/>
    <w:rsid w:val="004E18AB"/>
    <w:rsid w:val="004E1A4C"/>
    <w:rsid w:val="004E276C"/>
    <w:rsid w:val="004E27A6"/>
    <w:rsid w:val="004E33B0"/>
    <w:rsid w:val="004E3690"/>
    <w:rsid w:val="004E3A18"/>
    <w:rsid w:val="004E4274"/>
    <w:rsid w:val="004E427E"/>
    <w:rsid w:val="004E4484"/>
    <w:rsid w:val="004E4626"/>
    <w:rsid w:val="004E46F6"/>
    <w:rsid w:val="004E4733"/>
    <w:rsid w:val="004E4797"/>
    <w:rsid w:val="004E49C7"/>
    <w:rsid w:val="004E4B1D"/>
    <w:rsid w:val="004E50E3"/>
    <w:rsid w:val="004E5180"/>
    <w:rsid w:val="004E5438"/>
    <w:rsid w:val="004E5688"/>
    <w:rsid w:val="004E5B05"/>
    <w:rsid w:val="004E5BE2"/>
    <w:rsid w:val="004E6686"/>
    <w:rsid w:val="004E6C70"/>
    <w:rsid w:val="004E6D72"/>
    <w:rsid w:val="004E6F1C"/>
    <w:rsid w:val="004E71BF"/>
    <w:rsid w:val="004E72BE"/>
    <w:rsid w:val="004E7777"/>
    <w:rsid w:val="004E7A11"/>
    <w:rsid w:val="004E7DDD"/>
    <w:rsid w:val="004E7E80"/>
    <w:rsid w:val="004F0402"/>
    <w:rsid w:val="004F0475"/>
    <w:rsid w:val="004F06A8"/>
    <w:rsid w:val="004F08A5"/>
    <w:rsid w:val="004F0EA3"/>
    <w:rsid w:val="004F0F5F"/>
    <w:rsid w:val="004F1036"/>
    <w:rsid w:val="004F1721"/>
    <w:rsid w:val="004F1952"/>
    <w:rsid w:val="004F1B8E"/>
    <w:rsid w:val="004F206D"/>
    <w:rsid w:val="004F2160"/>
    <w:rsid w:val="004F236E"/>
    <w:rsid w:val="004F26B0"/>
    <w:rsid w:val="004F275E"/>
    <w:rsid w:val="004F2CF6"/>
    <w:rsid w:val="004F2EEE"/>
    <w:rsid w:val="004F317D"/>
    <w:rsid w:val="004F34B8"/>
    <w:rsid w:val="004F398E"/>
    <w:rsid w:val="004F3C80"/>
    <w:rsid w:val="004F425C"/>
    <w:rsid w:val="004F44F5"/>
    <w:rsid w:val="004F4635"/>
    <w:rsid w:val="004F466B"/>
    <w:rsid w:val="004F47B9"/>
    <w:rsid w:val="004F48D3"/>
    <w:rsid w:val="004F4C5B"/>
    <w:rsid w:val="004F4FA5"/>
    <w:rsid w:val="004F4FEB"/>
    <w:rsid w:val="004F52EC"/>
    <w:rsid w:val="004F5506"/>
    <w:rsid w:val="004F555F"/>
    <w:rsid w:val="004F5B9D"/>
    <w:rsid w:val="004F5F3C"/>
    <w:rsid w:val="004F61B7"/>
    <w:rsid w:val="004F6307"/>
    <w:rsid w:val="004F691C"/>
    <w:rsid w:val="004F6C18"/>
    <w:rsid w:val="004F6D60"/>
    <w:rsid w:val="004F6FE6"/>
    <w:rsid w:val="004F7180"/>
    <w:rsid w:val="004F7698"/>
    <w:rsid w:val="004F7832"/>
    <w:rsid w:val="004F7981"/>
    <w:rsid w:val="004F7AF8"/>
    <w:rsid w:val="005005B2"/>
    <w:rsid w:val="00500993"/>
    <w:rsid w:val="005009E7"/>
    <w:rsid w:val="00500A9D"/>
    <w:rsid w:val="00500AED"/>
    <w:rsid w:val="00500BCA"/>
    <w:rsid w:val="00500BD9"/>
    <w:rsid w:val="005010CE"/>
    <w:rsid w:val="005010D5"/>
    <w:rsid w:val="005019C1"/>
    <w:rsid w:val="00501A5B"/>
    <w:rsid w:val="00501C42"/>
    <w:rsid w:val="00501FAE"/>
    <w:rsid w:val="005022DC"/>
    <w:rsid w:val="00502991"/>
    <w:rsid w:val="005029EA"/>
    <w:rsid w:val="00502B83"/>
    <w:rsid w:val="00502C39"/>
    <w:rsid w:val="00502CE8"/>
    <w:rsid w:val="0050352B"/>
    <w:rsid w:val="00503C4F"/>
    <w:rsid w:val="005046FC"/>
    <w:rsid w:val="00504CBF"/>
    <w:rsid w:val="00504D4B"/>
    <w:rsid w:val="005052E6"/>
    <w:rsid w:val="005054CE"/>
    <w:rsid w:val="00505513"/>
    <w:rsid w:val="005055AD"/>
    <w:rsid w:val="00505A02"/>
    <w:rsid w:val="00505A25"/>
    <w:rsid w:val="00505C93"/>
    <w:rsid w:val="005060C0"/>
    <w:rsid w:val="005066ED"/>
    <w:rsid w:val="00506809"/>
    <w:rsid w:val="00506C0D"/>
    <w:rsid w:val="005071B5"/>
    <w:rsid w:val="005072A3"/>
    <w:rsid w:val="005073BD"/>
    <w:rsid w:val="005074A1"/>
    <w:rsid w:val="005078A9"/>
    <w:rsid w:val="00507D67"/>
    <w:rsid w:val="005100B9"/>
    <w:rsid w:val="005104E5"/>
    <w:rsid w:val="00510624"/>
    <w:rsid w:val="0051063D"/>
    <w:rsid w:val="005108FD"/>
    <w:rsid w:val="00510E9D"/>
    <w:rsid w:val="00510E9E"/>
    <w:rsid w:val="0051168F"/>
    <w:rsid w:val="00511695"/>
    <w:rsid w:val="00511AA6"/>
    <w:rsid w:val="00511D35"/>
    <w:rsid w:val="00511D69"/>
    <w:rsid w:val="00512064"/>
    <w:rsid w:val="0051213E"/>
    <w:rsid w:val="00512229"/>
    <w:rsid w:val="00512C7E"/>
    <w:rsid w:val="00513571"/>
    <w:rsid w:val="00513F0E"/>
    <w:rsid w:val="005140DD"/>
    <w:rsid w:val="0051412A"/>
    <w:rsid w:val="005144CB"/>
    <w:rsid w:val="005147EC"/>
    <w:rsid w:val="00514DE6"/>
    <w:rsid w:val="005153D7"/>
    <w:rsid w:val="00515AA5"/>
    <w:rsid w:val="00516615"/>
    <w:rsid w:val="00516959"/>
    <w:rsid w:val="005169FE"/>
    <w:rsid w:val="005171B2"/>
    <w:rsid w:val="00517372"/>
    <w:rsid w:val="0051756A"/>
    <w:rsid w:val="005177D9"/>
    <w:rsid w:val="00517EB6"/>
    <w:rsid w:val="005203BD"/>
    <w:rsid w:val="00520D81"/>
    <w:rsid w:val="00520EA3"/>
    <w:rsid w:val="00521000"/>
    <w:rsid w:val="005210BF"/>
    <w:rsid w:val="00521384"/>
    <w:rsid w:val="00521472"/>
    <w:rsid w:val="00521AA6"/>
    <w:rsid w:val="00521B0C"/>
    <w:rsid w:val="0052214D"/>
    <w:rsid w:val="005226FB"/>
    <w:rsid w:val="00522C57"/>
    <w:rsid w:val="00522C59"/>
    <w:rsid w:val="00522E13"/>
    <w:rsid w:val="00522E54"/>
    <w:rsid w:val="005238BE"/>
    <w:rsid w:val="00523B67"/>
    <w:rsid w:val="00523EAB"/>
    <w:rsid w:val="005240D7"/>
    <w:rsid w:val="0052427A"/>
    <w:rsid w:val="005243CA"/>
    <w:rsid w:val="00524881"/>
    <w:rsid w:val="00524BE4"/>
    <w:rsid w:val="00524D8B"/>
    <w:rsid w:val="00524EF6"/>
    <w:rsid w:val="00525A45"/>
    <w:rsid w:val="00526407"/>
    <w:rsid w:val="0052642A"/>
    <w:rsid w:val="005264A6"/>
    <w:rsid w:val="005266AC"/>
    <w:rsid w:val="00526A1C"/>
    <w:rsid w:val="00526ACD"/>
    <w:rsid w:val="00526D13"/>
    <w:rsid w:val="00526DCA"/>
    <w:rsid w:val="0052712B"/>
    <w:rsid w:val="00527567"/>
    <w:rsid w:val="0053043D"/>
    <w:rsid w:val="0053046D"/>
    <w:rsid w:val="0053075E"/>
    <w:rsid w:val="0053079D"/>
    <w:rsid w:val="00530AB1"/>
    <w:rsid w:val="00530E63"/>
    <w:rsid w:val="005310D4"/>
    <w:rsid w:val="005319C7"/>
    <w:rsid w:val="00531B2A"/>
    <w:rsid w:val="00531E8E"/>
    <w:rsid w:val="0053256F"/>
    <w:rsid w:val="00532943"/>
    <w:rsid w:val="00532C0D"/>
    <w:rsid w:val="005335A3"/>
    <w:rsid w:val="005337BB"/>
    <w:rsid w:val="005339F1"/>
    <w:rsid w:val="00533B78"/>
    <w:rsid w:val="00533FC9"/>
    <w:rsid w:val="0053411B"/>
    <w:rsid w:val="00534409"/>
    <w:rsid w:val="005344D2"/>
    <w:rsid w:val="005345DE"/>
    <w:rsid w:val="00534655"/>
    <w:rsid w:val="005346DF"/>
    <w:rsid w:val="00534A08"/>
    <w:rsid w:val="0053524F"/>
    <w:rsid w:val="005359C9"/>
    <w:rsid w:val="00535C8E"/>
    <w:rsid w:val="00536101"/>
    <w:rsid w:val="00536135"/>
    <w:rsid w:val="005362EC"/>
    <w:rsid w:val="00536602"/>
    <w:rsid w:val="00536755"/>
    <w:rsid w:val="00536978"/>
    <w:rsid w:val="005370CE"/>
    <w:rsid w:val="0053731C"/>
    <w:rsid w:val="0053731D"/>
    <w:rsid w:val="00537340"/>
    <w:rsid w:val="00537574"/>
    <w:rsid w:val="005377E2"/>
    <w:rsid w:val="0054029C"/>
    <w:rsid w:val="00540326"/>
    <w:rsid w:val="0054037E"/>
    <w:rsid w:val="00540397"/>
    <w:rsid w:val="00540997"/>
    <w:rsid w:val="00541120"/>
    <w:rsid w:val="00541314"/>
    <w:rsid w:val="00541C8C"/>
    <w:rsid w:val="00541EE6"/>
    <w:rsid w:val="00542C96"/>
    <w:rsid w:val="00542D7D"/>
    <w:rsid w:val="00542EAB"/>
    <w:rsid w:val="00543451"/>
    <w:rsid w:val="005436DD"/>
    <w:rsid w:val="00543A24"/>
    <w:rsid w:val="00543A6E"/>
    <w:rsid w:val="005445B1"/>
    <w:rsid w:val="005445FE"/>
    <w:rsid w:val="0054464D"/>
    <w:rsid w:val="0054465F"/>
    <w:rsid w:val="00544853"/>
    <w:rsid w:val="00544980"/>
    <w:rsid w:val="00544C51"/>
    <w:rsid w:val="0054520D"/>
    <w:rsid w:val="005453D3"/>
    <w:rsid w:val="005455AE"/>
    <w:rsid w:val="00545DA7"/>
    <w:rsid w:val="00545FB1"/>
    <w:rsid w:val="005460F4"/>
    <w:rsid w:val="00546233"/>
    <w:rsid w:val="005462CD"/>
    <w:rsid w:val="00546304"/>
    <w:rsid w:val="005466E7"/>
    <w:rsid w:val="0054673E"/>
    <w:rsid w:val="00546778"/>
    <w:rsid w:val="005468A8"/>
    <w:rsid w:val="00546C96"/>
    <w:rsid w:val="00546D8B"/>
    <w:rsid w:val="00547374"/>
    <w:rsid w:val="00547470"/>
    <w:rsid w:val="00547531"/>
    <w:rsid w:val="0054762D"/>
    <w:rsid w:val="00547BE3"/>
    <w:rsid w:val="00547CA8"/>
    <w:rsid w:val="00547CC6"/>
    <w:rsid w:val="00547DD7"/>
    <w:rsid w:val="00550236"/>
    <w:rsid w:val="0055059F"/>
    <w:rsid w:val="00550A00"/>
    <w:rsid w:val="005512C8"/>
    <w:rsid w:val="005514CC"/>
    <w:rsid w:val="005518A0"/>
    <w:rsid w:val="00551954"/>
    <w:rsid w:val="00551AAC"/>
    <w:rsid w:val="005526FE"/>
    <w:rsid w:val="0055270E"/>
    <w:rsid w:val="005528A9"/>
    <w:rsid w:val="00552FB7"/>
    <w:rsid w:val="005531E1"/>
    <w:rsid w:val="005539F0"/>
    <w:rsid w:val="00553C86"/>
    <w:rsid w:val="00553F99"/>
    <w:rsid w:val="00554512"/>
    <w:rsid w:val="00554C9E"/>
    <w:rsid w:val="00554EF3"/>
    <w:rsid w:val="005556C6"/>
    <w:rsid w:val="00555EF9"/>
    <w:rsid w:val="005561B1"/>
    <w:rsid w:val="00556490"/>
    <w:rsid w:val="00556572"/>
    <w:rsid w:val="00556E69"/>
    <w:rsid w:val="0055730B"/>
    <w:rsid w:val="005574A0"/>
    <w:rsid w:val="00557931"/>
    <w:rsid w:val="00557C08"/>
    <w:rsid w:val="00557C0C"/>
    <w:rsid w:val="00557CC0"/>
    <w:rsid w:val="00557CC8"/>
    <w:rsid w:val="005601CC"/>
    <w:rsid w:val="00560461"/>
    <w:rsid w:val="005605B2"/>
    <w:rsid w:val="00560CE7"/>
    <w:rsid w:val="005610F5"/>
    <w:rsid w:val="005614DB"/>
    <w:rsid w:val="00562072"/>
    <w:rsid w:val="0056233E"/>
    <w:rsid w:val="00563272"/>
    <w:rsid w:val="00563469"/>
    <w:rsid w:val="00563790"/>
    <w:rsid w:val="005637A4"/>
    <w:rsid w:val="005637CE"/>
    <w:rsid w:val="005639EE"/>
    <w:rsid w:val="00563A79"/>
    <w:rsid w:val="00563C1C"/>
    <w:rsid w:val="00563D5A"/>
    <w:rsid w:val="00563D88"/>
    <w:rsid w:val="0056464C"/>
    <w:rsid w:val="00564E6B"/>
    <w:rsid w:val="005654C9"/>
    <w:rsid w:val="0056555F"/>
    <w:rsid w:val="00565EE7"/>
    <w:rsid w:val="005661E3"/>
    <w:rsid w:val="0056632A"/>
    <w:rsid w:val="00566441"/>
    <w:rsid w:val="00566989"/>
    <w:rsid w:val="00566DFE"/>
    <w:rsid w:val="005673E1"/>
    <w:rsid w:val="005675A6"/>
    <w:rsid w:val="005675C6"/>
    <w:rsid w:val="0056782D"/>
    <w:rsid w:val="005679BA"/>
    <w:rsid w:val="005679BE"/>
    <w:rsid w:val="00567F2B"/>
    <w:rsid w:val="00570020"/>
    <w:rsid w:val="005701C2"/>
    <w:rsid w:val="005704F0"/>
    <w:rsid w:val="00570C7E"/>
    <w:rsid w:val="00571235"/>
    <w:rsid w:val="00571242"/>
    <w:rsid w:val="0057158B"/>
    <w:rsid w:val="0057162B"/>
    <w:rsid w:val="005716D4"/>
    <w:rsid w:val="00572214"/>
    <w:rsid w:val="00572550"/>
    <w:rsid w:val="0057292F"/>
    <w:rsid w:val="005729FA"/>
    <w:rsid w:val="00572A47"/>
    <w:rsid w:val="00572D62"/>
    <w:rsid w:val="00572D6D"/>
    <w:rsid w:val="00572E69"/>
    <w:rsid w:val="00572EA3"/>
    <w:rsid w:val="00573016"/>
    <w:rsid w:val="00573181"/>
    <w:rsid w:val="005737CF"/>
    <w:rsid w:val="00573BAC"/>
    <w:rsid w:val="00573E5F"/>
    <w:rsid w:val="00573F4E"/>
    <w:rsid w:val="00573F76"/>
    <w:rsid w:val="005740EC"/>
    <w:rsid w:val="00574441"/>
    <w:rsid w:val="0057454F"/>
    <w:rsid w:val="00574AB0"/>
    <w:rsid w:val="00574C3C"/>
    <w:rsid w:val="00575956"/>
    <w:rsid w:val="00575A26"/>
    <w:rsid w:val="00575F7E"/>
    <w:rsid w:val="00576354"/>
    <w:rsid w:val="00576826"/>
    <w:rsid w:val="00576895"/>
    <w:rsid w:val="00576B3A"/>
    <w:rsid w:val="00576F67"/>
    <w:rsid w:val="005771E7"/>
    <w:rsid w:val="005779B1"/>
    <w:rsid w:val="00577ADB"/>
    <w:rsid w:val="00577B6E"/>
    <w:rsid w:val="005800AF"/>
    <w:rsid w:val="005801FE"/>
    <w:rsid w:val="00580416"/>
    <w:rsid w:val="00581193"/>
    <w:rsid w:val="00581337"/>
    <w:rsid w:val="005816BC"/>
    <w:rsid w:val="00581858"/>
    <w:rsid w:val="0058195D"/>
    <w:rsid w:val="00581DB5"/>
    <w:rsid w:val="00581F34"/>
    <w:rsid w:val="00582346"/>
    <w:rsid w:val="00582646"/>
    <w:rsid w:val="00582805"/>
    <w:rsid w:val="00582F15"/>
    <w:rsid w:val="005830D0"/>
    <w:rsid w:val="00583169"/>
    <w:rsid w:val="00583190"/>
    <w:rsid w:val="005837E9"/>
    <w:rsid w:val="005838F8"/>
    <w:rsid w:val="00583C20"/>
    <w:rsid w:val="00583D76"/>
    <w:rsid w:val="00583DA9"/>
    <w:rsid w:val="00583EED"/>
    <w:rsid w:val="00584034"/>
    <w:rsid w:val="005842A7"/>
    <w:rsid w:val="00584391"/>
    <w:rsid w:val="00584585"/>
    <w:rsid w:val="0058509F"/>
    <w:rsid w:val="0058520D"/>
    <w:rsid w:val="005853DA"/>
    <w:rsid w:val="0058559D"/>
    <w:rsid w:val="00585B3C"/>
    <w:rsid w:val="00585FB4"/>
    <w:rsid w:val="00586C8D"/>
    <w:rsid w:val="0058705F"/>
    <w:rsid w:val="00587264"/>
    <w:rsid w:val="00587A4F"/>
    <w:rsid w:val="00587B52"/>
    <w:rsid w:val="00587BB0"/>
    <w:rsid w:val="00587CCF"/>
    <w:rsid w:val="00587E62"/>
    <w:rsid w:val="0059033A"/>
    <w:rsid w:val="005905D1"/>
    <w:rsid w:val="005905E0"/>
    <w:rsid w:val="005908DD"/>
    <w:rsid w:val="00590D52"/>
    <w:rsid w:val="00590E4F"/>
    <w:rsid w:val="005913FC"/>
    <w:rsid w:val="00591818"/>
    <w:rsid w:val="00591F9B"/>
    <w:rsid w:val="00592122"/>
    <w:rsid w:val="00592224"/>
    <w:rsid w:val="005923EC"/>
    <w:rsid w:val="00592801"/>
    <w:rsid w:val="00593095"/>
    <w:rsid w:val="005933C1"/>
    <w:rsid w:val="00593F10"/>
    <w:rsid w:val="005942FC"/>
    <w:rsid w:val="0059435E"/>
    <w:rsid w:val="00594AA5"/>
    <w:rsid w:val="00594B0B"/>
    <w:rsid w:val="00594D50"/>
    <w:rsid w:val="00595312"/>
    <w:rsid w:val="00595A23"/>
    <w:rsid w:val="00596E06"/>
    <w:rsid w:val="00597025"/>
    <w:rsid w:val="00597943"/>
    <w:rsid w:val="0059798F"/>
    <w:rsid w:val="00597A0D"/>
    <w:rsid w:val="00597F7B"/>
    <w:rsid w:val="005A023F"/>
    <w:rsid w:val="005A0734"/>
    <w:rsid w:val="005A08EA"/>
    <w:rsid w:val="005A0CCB"/>
    <w:rsid w:val="005A0F92"/>
    <w:rsid w:val="005A11ED"/>
    <w:rsid w:val="005A1483"/>
    <w:rsid w:val="005A173C"/>
    <w:rsid w:val="005A1C99"/>
    <w:rsid w:val="005A1DFE"/>
    <w:rsid w:val="005A2CBF"/>
    <w:rsid w:val="005A2D80"/>
    <w:rsid w:val="005A31E3"/>
    <w:rsid w:val="005A3318"/>
    <w:rsid w:val="005A3340"/>
    <w:rsid w:val="005A36A9"/>
    <w:rsid w:val="005A3C94"/>
    <w:rsid w:val="005A40D1"/>
    <w:rsid w:val="005A4647"/>
    <w:rsid w:val="005A4D17"/>
    <w:rsid w:val="005A5553"/>
    <w:rsid w:val="005A5619"/>
    <w:rsid w:val="005A5759"/>
    <w:rsid w:val="005A58B8"/>
    <w:rsid w:val="005A5A04"/>
    <w:rsid w:val="005A6164"/>
    <w:rsid w:val="005A64A9"/>
    <w:rsid w:val="005A6733"/>
    <w:rsid w:val="005A6943"/>
    <w:rsid w:val="005A6A4A"/>
    <w:rsid w:val="005A6BE6"/>
    <w:rsid w:val="005A6F96"/>
    <w:rsid w:val="005A73AC"/>
    <w:rsid w:val="005A73C1"/>
    <w:rsid w:val="005A7610"/>
    <w:rsid w:val="005A7622"/>
    <w:rsid w:val="005A766C"/>
    <w:rsid w:val="005A7678"/>
    <w:rsid w:val="005A77E4"/>
    <w:rsid w:val="005A78F1"/>
    <w:rsid w:val="005A7BFA"/>
    <w:rsid w:val="005A7FD1"/>
    <w:rsid w:val="005B0566"/>
    <w:rsid w:val="005B057D"/>
    <w:rsid w:val="005B09CA"/>
    <w:rsid w:val="005B09DA"/>
    <w:rsid w:val="005B0AE5"/>
    <w:rsid w:val="005B1862"/>
    <w:rsid w:val="005B1978"/>
    <w:rsid w:val="005B1CEE"/>
    <w:rsid w:val="005B1EEB"/>
    <w:rsid w:val="005B2546"/>
    <w:rsid w:val="005B25A9"/>
    <w:rsid w:val="005B26D6"/>
    <w:rsid w:val="005B2DE4"/>
    <w:rsid w:val="005B311B"/>
    <w:rsid w:val="005B3189"/>
    <w:rsid w:val="005B31E3"/>
    <w:rsid w:val="005B3D92"/>
    <w:rsid w:val="005B4515"/>
    <w:rsid w:val="005B4972"/>
    <w:rsid w:val="005B4B35"/>
    <w:rsid w:val="005B4EE2"/>
    <w:rsid w:val="005B5222"/>
    <w:rsid w:val="005B548A"/>
    <w:rsid w:val="005B5731"/>
    <w:rsid w:val="005B58D2"/>
    <w:rsid w:val="005B59EE"/>
    <w:rsid w:val="005B5A68"/>
    <w:rsid w:val="005B5E13"/>
    <w:rsid w:val="005B62D5"/>
    <w:rsid w:val="005B67A9"/>
    <w:rsid w:val="005B6887"/>
    <w:rsid w:val="005B7489"/>
    <w:rsid w:val="005B7588"/>
    <w:rsid w:val="005B7645"/>
    <w:rsid w:val="005B79E3"/>
    <w:rsid w:val="005B7BD6"/>
    <w:rsid w:val="005B7C26"/>
    <w:rsid w:val="005B7DBB"/>
    <w:rsid w:val="005C0587"/>
    <w:rsid w:val="005C07A8"/>
    <w:rsid w:val="005C148B"/>
    <w:rsid w:val="005C14CF"/>
    <w:rsid w:val="005C193F"/>
    <w:rsid w:val="005C1C27"/>
    <w:rsid w:val="005C1FB8"/>
    <w:rsid w:val="005C2014"/>
    <w:rsid w:val="005C214B"/>
    <w:rsid w:val="005C2955"/>
    <w:rsid w:val="005C2A35"/>
    <w:rsid w:val="005C2CC3"/>
    <w:rsid w:val="005C345A"/>
    <w:rsid w:val="005C37C2"/>
    <w:rsid w:val="005C3863"/>
    <w:rsid w:val="005C396B"/>
    <w:rsid w:val="005C3FDB"/>
    <w:rsid w:val="005C4361"/>
    <w:rsid w:val="005C4483"/>
    <w:rsid w:val="005C46FB"/>
    <w:rsid w:val="005C506B"/>
    <w:rsid w:val="005C5284"/>
    <w:rsid w:val="005C53BC"/>
    <w:rsid w:val="005C54E7"/>
    <w:rsid w:val="005C55C4"/>
    <w:rsid w:val="005C5751"/>
    <w:rsid w:val="005C5C12"/>
    <w:rsid w:val="005C60B1"/>
    <w:rsid w:val="005C656B"/>
    <w:rsid w:val="005C68D8"/>
    <w:rsid w:val="005C6DAD"/>
    <w:rsid w:val="005C71BC"/>
    <w:rsid w:val="005C72B4"/>
    <w:rsid w:val="005C75E1"/>
    <w:rsid w:val="005C7771"/>
    <w:rsid w:val="005C7C1A"/>
    <w:rsid w:val="005D065E"/>
    <w:rsid w:val="005D06C7"/>
    <w:rsid w:val="005D073F"/>
    <w:rsid w:val="005D0926"/>
    <w:rsid w:val="005D0970"/>
    <w:rsid w:val="005D1014"/>
    <w:rsid w:val="005D1077"/>
    <w:rsid w:val="005D1145"/>
    <w:rsid w:val="005D1252"/>
    <w:rsid w:val="005D132E"/>
    <w:rsid w:val="005D16BA"/>
    <w:rsid w:val="005D1A79"/>
    <w:rsid w:val="005D1A98"/>
    <w:rsid w:val="005D1B28"/>
    <w:rsid w:val="005D1B7A"/>
    <w:rsid w:val="005D2232"/>
    <w:rsid w:val="005D2496"/>
    <w:rsid w:val="005D24FB"/>
    <w:rsid w:val="005D2525"/>
    <w:rsid w:val="005D26B6"/>
    <w:rsid w:val="005D2A4D"/>
    <w:rsid w:val="005D2A67"/>
    <w:rsid w:val="005D2D0F"/>
    <w:rsid w:val="005D30AD"/>
    <w:rsid w:val="005D3301"/>
    <w:rsid w:val="005D3CE2"/>
    <w:rsid w:val="005D3DA7"/>
    <w:rsid w:val="005D3FD1"/>
    <w:rsid w:val="005D4478"/>
    <w:rsid w:val="005D4811"/>
    <w:rsid w:val="005D4893"/>
    <w:rsid w:val="005D48D7"/>
    <w:rsid w:val="005D4DDA"/>
    <w:rsid w:val="005D4F94"/>
    <w:rsid w:val="005D542A"/>
    <w:rsid w:val="005D57C0"/>
    <w:rsid w:val="005D5828"/>
    <w:rsid w:val="005D5957"/>
    <w:rsid w:val="005D5B3C"/>
    <w:rsid w:val="005D5BCF"/>
    <w:rsid w:val="005D624A"/>
    <w:rsid w:val="005D64E1"/>
    <w:rsid w:val="005D64F4"/>
    <w:rsid w:val="005D6600"/>
    <w:rsid w:val="005D6BBA"/>
    <w:rsid w:val="005D6E52"/>
    <w:rsid w:val="005D712C"/>
    <w:rsid w:val="005D73B5"/>
    <w:rsid w:val="005D7644"/>
    <w:rsid w:val="005D7699"/>
    <w:rsid w:val="005D7BC9"/>
    <w:rsid w:val="005D7C11"/>
    <w:rsid w:val="005D7DB8"/>
    <w:rsid w:val="005E0350"/>
    <w:rsid w:val="005E05F7"/>
    <w:rsid w:val="005E06D1"/>
    <w:rsid w:val="005E11F9"/>
    <w:rsid w:val="005E15F6"/>
    <w:rsid w:val="005E165E"/>
    <w:rsid w:val="005E16DE"/>
    <w:rsid w:val="005E19AF"/>
    <w:rsid w:val="005E19B2"/>
    <w:rsid w:val="005E1C03"/>
    <w:rsid w:val="005E1D39"/>
    <w:rsid w:val="005E1F66"/>
    <w:rsid w:val="005E2751"/>
    <w:rsid w:val="005E2863"/>
    <w:rsid w:val="005E2D34"/>
    <w:rsid w:val="005E2DD5"/>
    <w:rsid w:val="005E30AB"/>
    <w:rsid w:val="005E336E"/>
    <w:rsid w:val="005E34B4"/>
    <w:rsid w:val="005E3537"/>
    <w:rsid w:val="005E36E1"/>
    <w:rsid w:val="005E3787"/>
    <w:rsid w:val="005E3947"/>
    <w:rsid w:val="005E45FC"/>
    <w:rsid w:val="005E46BE"/>
    <w:rsid w:val="005E493E"/>
    <w:rsid w:val="005E4A8B"/>
    <w:rsid w:val="005E5093"/>
    <w:rsid w:val="005E51E7"/>
    <w:rsid w:val="005E554C"/>
    <w:rsid w:val="005E5BC9"/>
    <w:rsid w:val="005E601A"/>
    <w:rsid w:val="005E630D"/>
    <w:rsid w:val="005E675A"/>
    <w:rsid w:val="005E6D16"/>
    <w:rsid w:val="005E795F"/>
    <w:rsid w:val="005E7A42"/>
    <w:rsid w:val="005E7DD7"/>
    <w:rsid w:val="005E7E8E"/>
    <w:rsid w:val="005E7F3E"/>
    <w:rsid w:val="005F095B"/>
    <w:rsid w:val="005F0A50"/>
    <w:rsid w:val="005F106A"/>
    <w:rsid w:val="005F1683"/>
    <w:rsid w:val="005F1784"/>
    <w:rsid w:val="005F1862"/>
    <w:rsid w:val="005F191C"/>
    <w:rsid w:val="005F1A18"/>
    <w:rsid w:val="005F1D37"/>
    <w:rsid w:val="005F2322"/>
    <w:rsid w:val="005F24DF"/>
    <w:rsid w:val="005F29EE"/>
    <w:rsid w:val="005F35D0"/>
    <w:rsid w:val="005F35DA"/>
    <w:rsid w:val="005F39E0"/>
    <w:rsid w:val="005F3BAB"/>
    <w:rsid w:val="005F3EAE"/>
    <w:rsid w:val="005F4065"/>
    <w:rsid w:val="005F40B5"/>
    <w:rsid w:val="005F427E"/>
    <w:rsid w:val="005F4825"/>
    <w:rsid w:val="005F4C1D"/>
    <w:rsid w:val="005F4CB1"/>
    <w:rsid w:val="005F4E3A"/>
    <w:rsid w:val="005F50EA"/>
    <w:rsid w:val="005F51CE"/>
    <w:rsid w:val="005F5450"/>
    <w:rsid w:val="005F5915"/>
    <w:rsid w:val="005F59C3"/>
    <w:rsid w:val="005F5D0B"/>
    <w:rsid w:val="005F5E88"/>
    <w:rsid w:val="005F5EA8"/>
    <w:rsid w:val="005F6217"/>
    <w:rsid w:val="005F62C8"/>
    <w:rsid w:val="005F6703"/>
    <w:rsid w:val="005F67C0"/>
    <w:rsid w:val="005F690F"/>
    <w:rsid w:val="005F6AFE"/>
    <w:rsid w:val="005F6B06"/>
    <w:rsid w:val="005F6DC4"/>
    <w:rsid w:val="005F7279"/>
    <w:rsid w:val="005F7519"/>
    <w:rsid w:val="005F7A00"/>
    <w:rsid w:val="005F7C4B"/>
    <w:rsid w:val="005F7CCD"/>
    <w:rsid w:val="00600120"/>
    <w:rsid w:val="0060014F"/>
    <w:rsid w:val="00600636"/>
    <w:rsid w:val="00600895"/>
    <w:rsid w:val="00600913"/>
    <w:rsid w:val="00600C21"/>
    <w:rsid w:val="00600CDA"/>
    <w:rsid w:val="00600D05"/>
    <w:rsid w:val="00601018"/>
    <w:rsid w:val="006014B9"/>
    <w:rsid w:val="00601C56"/>
    <w:rsid w:val="00601E0F"/>
    <w:rsid w:val="0060260E"/>
    <w:rsid w:val="0060265A"/>
    <w:rsid w:val="006028FB"/>
    <w:rsid w:val="00602A02"/>
    <w:rsid w:val="00602A4D"/>
    <w:rsid w:val="00602BAC"/>
    <w:rsid w:val="0060323E"/>
    <w:rsid w:val="006032E7"/>
    <w:rsid w:val="006033D1"/>
    <w:rsid w:val="0060350B"/>
    <w:rsid w:val="0060362C"/>
    <w:rsid w:val="00603728"/>
    <w:rsid w:val="00603C58"/>
    <w:rsid w:val="00603CEC"/>
    <w:rsid w:val="00603EA9"/>
    <w:rsid w:val="00604118"/>
    <w:rsid w:val="00604385"/>
    <w:rsid w:val="0060458B"/>
    <w:rsid w:val="0060485B"/>
    <w:rsid w:val="0060490E"/>
    <w:rsid w:val="00604A07"/>
    <w:rsid w:val="00604AE2"/>
    <w:rsid w:val="00604B99"/>
    <w:rsid w:val="00604C2B"/>
    <w:rsid w:val="006060DB"/>
    <w:rsid w:val="00606892"/>
    <w:rsid w:val="00606B17"/>
    <w:rsid w:val="00606CAD"/>
    <w:rsid w:val="00607564"/>
    <w:rsid w:val="0060788F"/>
    <w:rsid w:val="00607A72"/>
    <w:rsid w:val="00607B4B"/>
    <w:rsid w:val="00607B86"/>
    <w:rsid w:val="00607BDA"/>
    <w:rsid w:val="00607D5A"/>
    <w:rsid w:val="00607EDA"/>
    <w:rsid w:val="00607EFD"/>
    <w:rsid w:val="0061036C"/>
    <w:rsid w:val="0061043C"/>
    <w:rsid w:val="00610C0E"/>
    <w:rsid w:val="00610D3C"/>
    <w:rsid w:val="006113BD"/>
    <w:rsid w:val="006115F6"/>
    <w:rsid w:val="00611659"/>
    <w:rsid w:val="00611920"/>
    <w:rsid w:val="00611BB3"/>
    <w:rsid w:val="00611D70"/>
    <w:rsid w:val="00611FCD"/>
    <w:rsid w:val="006127E8"/>
    <w:rsid w:val="00612835"/>
    <w:rsid w:val="00612BC0"/>
    <w:rsid w:val="00612BD3"/>
    <w:rsid w:val="00612C6B"/>
    <w:rsid w:val="0061309D"/>
    <w:rsid w:val="006137C7"/>
    <w:rsid w:val="00613926"/>
    <w:rsid w:val="00613DB9"/>
    <w:rsid w:val="00613E8C"/>
    <w:rsid w:val="00613F50"/>
    <w:rsid w:val="00614750"/>
    <w:rsid w:val="00614B97"/>
    <w:rsid w:val="00614BDC"/>
    <w:rsid w:val="00614E13"/>
    <w:rsid w:val="00615016"/>
    <w:rsid w:val="0061551E"/>
    <w:rsid w:val="0061640F"/>
    <w:rsid w:val="006166D3"/>
    <w:rsid w:val="006169B4"/>
    <w:rsid w:val="00616B5C"/>
    <w:rsid w:val="00616CA3"/>
    <w:rsid w:val="00617183"/>
    <w:rsid w:val="006174DB"/>
    <w:rsid w:val="00617671"/>
    <w:rsid w:val="00617726"/>
    <w:rsid w:val="00617CE5"/>
    <w:rsid w:val="00617E92"/>
    <w:rsid w:val="00617EFF"/>
    <w:rsid w:val="00620233"/>
    <w:rsid w:val="006202FD"/>
    <w:rsid w:val="006203BA"/>
    <w:rsid w:val="00620BE8"/>
    <w:rsid w:val="00620C21"/>
    <w:rsid w:val="00620E26"/>
    <w:rsid w:val="00620E54"/>
    <w:rsid w:val="00620EE5"/>
    <w:rsid w:val="0062108B"/>
    <w:rsid w:val="00621257"/>
    <w:rsid w:val="0062130B"/>
    <w:rsid w:val="006217A7"/>
    <w:rsid w:val="00621A48"/>
    <w:rsid w:val="00621C3A"/>
    <w:rsid w:val="00622700"/>
    <w:rsid w:val="00622A93"/>
    <w:rsid w:val="00622D1B"/>
    <w:rsid w:val="0062326C"/>
    <w:rsid w:val="00623676"/>
    <w:rsid w:val="00623679"/>
    <w:rsid w:val="00623B19"/>
    <w:rsid w:val="00623C79"/>
    <w:rsid w:val="00623E20"/>
    <w:rsid w:val="00624425"/>
    <w:rsid w:val="00624B0B"/>
    <w:rsid w:val="00625608"/>
    <w:rsid w:val="00625693"/>
    <w:rsid w:val="0062588E"/>
    <w:rsid w:val="00625F9C"/>
    <w:rsid w:val="00626B95"/>
    <w:rsid w:val="00626C4E"/>
    <w:rsid w:val="006272BF"/>
    <w:rsid w:val="00627403"/>
    <w:rsid w:val="00627936"/>
    <w:rsid w:val="00627DCC"/>
    <w:rsid w:val="00630122"/>
    <w:rsid w:val="00630242"/>
    <w:rsid w:val="00630ABA"/>
    <w:rsid w:val="00630D26"/>
    <w:rsid w:val="00630FAC"/>
    <w:rsid w:val="006312AC"/>
    <w:rsid w:val="00631826"/>
    <w:rsid w:val="006318DC"/>
    <w:rsid w:val="00632120"/>
    <w:rsid w:val="006321A3"/>
    <w:rsid w:val="00632261"/>
    <w:rsid w:val="006325F8"/>
    <w:rsid w:val="00632785"/>
    <w:rsid w:val="0063331B"/>
    <w:rsid w:val="00633463"/>
    <w:rsid w:val="00633C81"/>
    <w:rsid w:val="006344FA"/>
    <w:rsid w:val="00634D42"/>
    <w:rsid w:val="00634DDA"/>
    <w:rsid w:val="00635144"/>
    <w:rsid w:val="006353CE"/>
    <w:rsid w:val="00635ACA"/>
    <w:rsid w:val="00635B21"/>
    <w:rsid w:val="00635BB8"/>
    <w:rsid w:val="00635C6A"/>
    <w:rsid w:val="0063691E"/>
    <w:rsid w:val="00636B0C"/>
    <w:rsid w:val="00636B8B"/>
    <w:rsid w:val="00636D3E"/>
    <w:rsid w:val="006377B6"/>
    <w:rsid w:val="006379AD"/>
    <w:rsid w:val="00637D45"/>
    <w:rsid w:val="00637FAC"/>
    <w:rsid w:val="00640DAB"/>
    <w:rsid w:val="006411F4"/>
    <w:rsid w:val="006417B1"/>
    <w:rsid w:val="00641FBB"/>
    <w:rsid w:val="00642219"/>
    <w:rsid w:val="00642256"/>
    <w:rsid w:val="006423FD"/>
    <w:rsid w:val="00642D0C"/>
    <w:rsid w:val="00642DBC"/>
    <w:rsid w:val="006430A2"/>
    <w:rsid w:val="00643520"/>
    <w:rsid w:val="006446F6"/>
    <w:rsid w:val="006448B6"/>
    <w:rsid w:val="00644CE0"/>
    <w:rsid w:val="00644E81"/>
    <w:rsid w:val="00645811"/>
    <w:rsid w:val="00645CC3"/>
    <w:rsid w:val="006464B5"/>
    <w:rsid w:val="00646810"/>
    <w:rsid w:val="00646836"/>
    <w:rsid w:val="00646D2A"/>
    <w:rsid w:val="00646FBB"/>
    <w:rsid w:val="0064729B"/>
    <w:rsid w:val="00647448"/>
    <w:rsid w:val="00647558"/>
    <w:rsid w:val="0064782C"/>
    <w:rsid w:val="00647B83"/>
    <w:rsid w:val="00647ED2"/>
    <w:rsid w:val="0065006D"/>
    <w:rsid w:val="006500D7"/>
    <w:rsid w:val="00650140"/>
    <w:rsid w:val="00650A10"/>
    <w:rsid w:val="00650AE3"/>
    <w:rsid w:val="00650CB5"/>
    <w:rsid w:val="00651564"/>
    <w:rsid w:val="0065175B"/>
    <w:rsid w:val="00651773"/>
    <w:rsid w:val="00651D79"/>
    <w:rsid w:val="00652056"/>
    <w:rsid w:val="00652520"/>
    <w:rsid w:val="00652A7D"/>
    <w:rsid w:val="00652C6C"/>
    <w:rsid w:val="00653BA1"/>
    <w:rsid w:val="00653F80"/>
    <w:rsid w:val="00653FA3"/>
    <w:rsid w:val="00654083"/>
    <w:rsid w:val="00654534"/>
    <w:rsid w:val="00654AA3"/>
    <w:rsid w:val="00654B25"/>
    <w:rsid w:val="00654BC4"/>
    <w:rsid w:val="00654E13"/>
    <w:rsid w:val="00654EE1"/>
    <w:rsid w:val="006556B5"/>
    <w:rsid w:val="0065571D"/>
    <w:rsid w:val="00655C54"/>
    <w:rsid w:val="00655CE8"/>
    <w:rsid w:val="00655E22"/>
    <w:rsid w:val="00655F70"/>
    <w:rsid w:val="006563EC"/>
    <w:rsid w:val="006565B0"/>
    <w:rsid w:val="00656714"/>
    <w:rsid w:val="006569B7"/>
    <w:rsid w:val="00656BA7"/>
    <w:rsid w:val="0065794F"/>
    <w:rsid w:val="00657C87"/>
    <w:rsid w:val="00660477"/>
    <w:rsid w:val="006604BA"/>
    <w:rsid w:val="0066087F"/>
    <w:rsid w:val="00660E58"/>
    <w:rsid w:val="00661005"/>
    <w:rsid w:val="006612EB"/>
    <w:rsid w:val="0066164E"/>
    <w:rsid w:val="0066198F"/>
    <w:rsid w:val="006619D1"/>
    <w:rsid w:val="00661C7B"/>
    <w:rsid w:val="00661FBD"/>
    <w:rsid w:val="00662B94"/>
    <w:rsid w:val="006630CF"/>
    <w:rsid w:val="006634A5"/>
    <w:rsid w:val="00663612"/>
    <w:rsid w:val="00663725"/>
    <w:rsid w:val="00663C65"/>
    <w:rsid w:val="00663FB4"/>
    <w:rsid w:val="00664035"/>
    <w:rsid w:val="00664229"/>
    <w:rsid w:val="00664555"/>
    <w:rsid w:val="00664A6E"/>
    <w:rsid w:val="00664CF1"/>
    <w:rsid w:val="00664D05"/>
    <w:rsid w:val="00664F1A"/>
    <w:rsid w:val="0066519C"/>
    <w:rsid w:val="00665413"/>
    <w:rsid w:val="006655F5"/>
    <w:rsid w:val="00665662"/>
    <w:rsid w:val="00665995"/>
    <w:rsid w:val="00665A05"/>
    <w:rsid w:val="00665C10"/>
    <w:rsid w:val="00666309"/>
    <w:rsid w:val="00666490"/>
    <w:rsid w:val="006665DC"/>
    <w:rsid w:val="0066677D"/>
    <w:rsid w:val="00666D8F"/>
    <w:rsid w:val="00666DAA"/>
    <w:rsid w:val="006670F1"/>
    <w:rsid w:val="006673E6"/>
    <w:rsid w:val="006675E5"/>
    <w:rsid w:val="00667805"/>
    <w:rsid w:val="00667837"/>
    <w:rsid w:val="00667863"/>
    <w:rsid w:val="00667B96"/>
    <w:rsid w:val="00667BA2"/>
    <w:rsid w:val="00667BAB"/>
    <w:rsid w:val="00667CC3"/>
    <w:rsid w:val="00667ED9"/>
    <w:rsid w:val="00670787"/>
    <w:rsid w:val="00670B97"/>
    <w:rsid w:val="00670CFF"/>
    <w:rsid w:val="006710B7"/>
    <w:rsid w:val="00671281"/>
    <w:rsid w:val="0067160F"/>
    <w:rsid w:val="00671A8E"/>
    <w:rsid w:val="0067224B"/>
    <w:rsid w:val="00672B02"/>
    <w:rsid w:val="00672F08"/>
    <w:rsid w:val="006731A5"/>
    <w:rsid w:val="00673203"/>
    <w:rsid w:val="0067339F"/>
    <w:rsid w:val="0067364D"/>
    <w:rsid w:val="0067380A"/>
    <w:rsid w:val="00673AA4"/>
    <w:rsid w:val="00673C33"/>
    <w:rsid w:val="00673CB8"/>
    <w:rsid w:val="00673E27"/>
    <w:rsid w:val="00674272"/>
    <w:rsid w:val="006744F2"/>
    <w:rsid w:val="006748BB"/>
    <w:rsid w:val="00674E3E"/>
    <w:rsid w:val="006756C6"/>
    <w:rsid w:val="00675739"/>
    <w:rsid w:val="00675786"/>
    <w:rsid w:val="00676730"/>
    <w:rsid w:val="00676743"/>
    <w:rsid w:val="00676A30"/>
    <w:rsid w:val="00676ACF"/>
    <w:rsid w:val="00676B77"/>
    <w:rsid w:val="00676E00"/>
    <w:rsid w:val="00676F19"/>
    <w:rsid w:val="006770AC"/>
    <w:rsid w:val="00677365"/>
    <w:rsid w:val="00677689"/>
    <w:rsid w:val="00677862"/>
    <w:rsid w:val="00680393"/>
    <w:rsid w:val="006805CC"/>
    <w:rsid w:val="00680636"/>
    <w:rsid w:val="00680708"/>
    <w:rsid w:val="00680A5D"/>
    <w:rsid w:val="00680F82"/>
    <w:rsid w:val="0068135F"/>
    <w:rsid w:val="006817BA"/>
    <w:rsid w:val="00681895"/>
    <w:rsid w:val="00681971"/>
    <w:rsid w:val="00681CCC"/>
    <w:rsid w:val="00681CD5"/>
    <w:rsid w:val="00681EF8"/>
    <w:rsid w:val="00681F07"/>
    <w:rsid w:val="00681F10"/>
    <w:rsid w:val="00682035"/>
    <w:rsid w:val="0068209B"/>
    <w:rsid w:val="0068219F"/>
    <w:rsid w:val="00682349"/>
    <w:rsid w:val="00682897"/>
    <w:rsid w:val="00682B3E"/>
    <w:rsid w:val="00683452"/>
    <w:rsid w:val="00683482"/>
    <w:rsid w:val="00683604"/>
    <w:rsid w:val="0068400B"/>
    <w:rsid w:val="006840E6"/>
    <w:rsid w:val="0068411F"/>
    <w:rsid w:val="006842A8"/>
    <w:rsid w:val="006849BB"/>
    <w:rsid w:val="00684C5A"/>
    <w:rsid w:val="006851DD"/>
    <w:rsid w:val="0068525D"/>
    <w:rsid w:val="00685288"/>
    <w:rsid w:val="00685950"/>
    <w:rsid w:val="00685BF8"/>
    <w:rsid w:val="00685CC7"/>
    <w:rsid w:val="00686135"/>
    <w:rsid w:val="0068616E"/>
    <w:rsid w:val="006862A6"/>
    <w:rsid w:val="00686307"/>
    <w:rsid w:val="00686323"/>
    <w:rsid w:val="00686A19"/>
    <w:rsid w:val="00687192"/>
    <w:rsid w:val="006871B1"/>
    <w:rsid w:val="00687811"/>
    <w:rsid w:val="00687B7B"/>
    <w:rsid w:val="00690201"/>
    <w:rsid w:val="00690365"/>
    <w:rsid w:val="00690755"/>
    <w:rsid w:val="00690829"/>
    <w:rsid w:val="00690DF3"/>
    <w:rsid w:val="006914D2"/>
    <w:rsid w:val="00691502"/>
    <w:rsid w:val="00691523"/>
    <w:rsid w:val="00691A16"/>
    <w:rsid w:val="00691B02"/>
    <w:rsid w:val="00691CB9"/>
    <w:rsid w:val="00691D58"/>
    <w:rsid w:val="00691D7A"/>
    <w:rsid w:val="00692183"/>
    <w:rsid w:val="00692FC4"/>
    <w:rsid w:val="0069370C"/>
    <w:rsid w:val="006939EC"/>
    <w:rsid w:val="0069454A"/>
    <w:rsid w:val="006946F8"/>
    <w:rsid w:val="00694DCE"/>
    <w:rsid w:val="00694EC6"/>
    <w:rsid w:val="00694F8F"/>
    <w:rsid w:val="00695937"/>
    <w:rsid w:val="0069597C"/>
    <w:rsid w:val="00695D95"/>
    <w:rsid w:val="00696054"/>
    <w:rsid w:val="006960B9"/>
    <w:rsid w:val="00696258"/>
    <w:rsid w:val="00696326"/>
    <w:rsid w:val="00696406"/>
    <w:rsid w:val="006966F0"/>
    <w:rsid w:val="00696736"/>
    <w:rsid w:val="006968ED"/>
    <w:rsid w:val="006970D5"/>
    <w:rsid w:val="00697118"/>
    <w:rsid w:val="006972F7"/>
    <w:rsid w:val="0069739D"/>
    <w:rsid w:val="0069787B"/>
    <w:rsid w:val="00697CDE"/>
    <w:rsid w:val="00697D2B"/>
    <w:rsid w:val="00697D2F"/>
    <w:rsid w:val="006A01BF"/>
    <w:rsid w:val="006A0293"/>
    <w:rsid w:val="006A06EB"/>
    <w:rsid w:val="006A08C1"/>
    <w:rsid w:val="006A09C3"/>
    <w:rsid w:val="006A0BE2"/>
    <w:rsid w:val="006A0D51"/>
    <w:rsid w:val="006A0DCB"/>
    <w:rsid w:val="006A1186"/>
    <w:rsid w:val="006A1E83"/>
    <w:rsid w:val="006A1EE1"/>
    <w:rsid w:val="006A1F2C"/>
    <w:rsid w:val="006A2159"/>
    <w:rsid w:val="006A249B"/>
    <w:rsid w:val="006A24E1"/>
    <w:rsid w:val="006A256F"/>
    <w:rsid w:val="006A27DD"/>
    <w:rsid w:val="006A3897"/>
    <w:rsid w:val="006A38F6"/>
    <w:rsid w:val="006A3F17"/>
    <w:rsid w:val="006A4211"/>
    <w:rsid w:val="006A4AE2"/>
    <w:rsid w:val="006A4B09"/>
    <w:rsid w:val="006A4D54"/>
    <w:rsid w:val="006A4D8A"/>
    <w:rsid w:val="006A4F99"/>
    <w:rsid w:val="006A50C8"/>
    <w:rsid w:val="006A520E"/>
    <w:rsid w:val="006A57B9"/>
    <w:rsid w:val="006A5AAE"/>
    <w:rsid w:val="006A5EE5"/>
    <w:rsid w:val="006A5F9D"/>
    <w:rsid w:val="006A625E"/>
    <w:rsid w:val="006A64A9"/>
    <w:rsid w:val="006A661F"/>
    <w:rsid w:val="006A6AF9"/>
    <w:rsid w:val="006A6B52"/>
    <w:rsid w:val="006A743B"/>
    <w:rsid w:val="006A796D"/>
    <w:rsid w:val="006A7AD0"/>
    <w:rsid w:val="006A7CBB"/>
    <w:rsid w:val="006A7D66"/>
    <w:rsid w:val="006A7DE9"/>
    <w:rsid w:val="006A7DFF"/>
    <w:rsid w:val="006B011B"/>
    <w:rsid w:val="006B0469"/>
    <w:rsid w:val="006B0925"/>
    <w:rsid w:val="006B099B"/>
    <w:rsid w:val="006B0DA8"/>
    <w:rsid w:val="006B1C87"/>
    <w:rsid w:val="006B24E1"/>
    <w:rsid w:val="006B277A"/>
    <w:rsid w:val="006B27ED"/>
    <w:rsid w:val="006B2C28"/>
    <w:rsid w:val="006B311C"/>
    <w:rsid w:val="006B385A"/>
    <w:rsid w:val="006B387F"/>
    <w:rsid w:val="006B38A8"/>
    <w:rsid w:val="006B3B09"/>
    <w:rsid w:val="006B3F25"/>
    <w:rsid w:val="006B4785"/>
    <w:rsid w:val="006B4949"/>
    <w:rsid w:val="006B4C57"/>
    <w:rsid w:val="006B52D9"/>
    <w:rsid w:val="006B556C"/>
    <w:rsid w:val="006B56EC"/>
    <w:rsid w:val="006B5A06"/>
    <w:rsid w:val="006B5ADB"/>
    <w:rsid w:val="006B69D2"/>
    <w:rsid w:val="006B6B5B"/>
    <w:rsid w:val="006B6BAF"/>
    <w:rsid w:val="006B6CB4"/>
    <w:rsid w:val="006B73B9"/>
    <w:rsid w:val="006B741B"/>
    <w:rsid w:val="006B7642"/>
    <w:rsid w:val="006B7EFE"/>
    <w:rsid w:val="006C03DC"/>
    <w:rsid w:val="006C0522"/>
    <w:rsid w:val="006C06D7"/>
    <w:rsid w:val="006C0CF3"/>
    <w:rsid w:val="006C0DBD"/>
    <w:rsid w:val="006C1021"/>
    <w:rsid w:val="006C13CB"/>
    <w:rsid w:val="006C145B"/>
    <w:rsid w:val="006C19EA"/>
    <w:rsid w:val="006C1A1F"/>
    <w:rsid w:val="006C2060"/>
    <w:rsid w:val="006C2203"/>
    <w:rsid w:val="006C241E"/>
    <w:rsid w:val="006C25F1"/>
    <w:rsid w:val="006C2626"/>
    <w:rsid w:val="006C2966"/>
    <w:rsid w:val="006C2C29"/>
    <w:rsid w:val="006C2EF3"/>
    <w:rsid w:val="006C355C"/>
    <w:rsid w:val="006C3E91"/>
    <w:rsid w:val="006C43B4"/>
    <w:rsid w:val="006C44CD"/>
    <w:rsid w:val="006C4AFE"/>
    <w:rsid w:val="006C4FD2"/>
    <w:rsid w:val="006C5048"/>
    <w:rsid w:val="006C5448"/>
    <w:rsid w:val="006C567D"/>
    <w:rsid w:val="006C56B8"/>
    <w:rsid w:val="006C5A3B"/>
    <w:rsid w:val="006C5BC3"/>
    <w:rsid w:val="006C5F1A"/>
    <w:rsid w:val="006C625C"/>
    <w:rsid w:val="006C6927"/>
    <w:rsid w:val="006C6FE4"/>
    <w:rsid w:val="006C746C"/>
    <w:rsid w:val="006C758D"/>
    <w:rsid w:val="006C7693"/>
    <w:rsid w:val="006D018F"/>
    <w:rsid w:val="006D01A7"/>
    <w:rsid w:val="006D04C5"/>
    <w:rsid w:val="006D0588"/>
    <w:rsid w:val="006D0DC3"/>
    <w:rsid w:val="006D103A"/>
    <w:rsid w:val="006D1DE1"/>
    <w:rsid w:val="006D20F4"/>
    <w:rsid w:val="006D2317"/>
    <w:rsid w:val="006D266D"/>
    <w:rsid w:val="006D2C7E"/>
    <w:rsid w:val="006D2F68"/>
    <w:rsid w:val="006D31EC"/>
    <w:rsid w:val="006D32CD"/>
    <w:rsid w:val="006D3749"/>
    <w:rsid w:val="006D37B0"/>
    <w:rsid w:val="006D37E6"/>
    <w:rsid w:val="006D3A92"/>
    <w:rsid w:val="006D42BB"/>
    <w:rsid w:val="006D489D"/>
    <w:rsid w:val="006D4D7F"/>
    <w:rsid w:val="006D4FAC"/>
    <w:rsid w:val="006D4FD3"/>
    <w:rsid w:val="006D51B1"/>
    <w:rsid w:val="006D5A15"/>
    <w:rsid w:val="006D5D7E"/>
    <w:rsid w:val="006D5FF2"/>
    <w:rsid w:val="006D6048"/>
    <w:rsid w:val="006D625A"/>
    <w:rsid w:val="006D65CA"/>
    <w:rsid w:val="006D6748"/>
    <w:rsid w:val="006D6A10"/>
    <w:rsid w:val="006D6C3A"/>
    <w:rsid w:val="006D6F55"/>
    <w:rsid w:val="006D6F58"/>
    <w:rsid w:val="006D73BB"/>
    <w:rsid w:val="006D76B9"/>
    <w:rsid w:val="006D7FD1"/>
    <w:rsid w:val="006E0285"/>
    <w:rsid w:val="006E0448"/>
    <w:rsid w:val="006E0875"/>
    <w:rsid w:val="006E090A"/>
    <w:rsid w:val="006E09DE"/>
    <w:rsid w:val="006E0E9C"/>
    <w:rsid w:val="006E1377"/>
    <w:rsid w:val="006E143C"/>
    <w:rsid w:val="006E1582"/>
    <w:rsid w:val="006E1655"/>
    <w:rsid w:val="006E165D"/>
    <w:rsid w:val="006E1938"/>
    <w:rsid w:val="006E1970"/>
    <w:rsid w:val="006E1DDE"/>
    <w:rsid w:val="006E2136"/>
    <w:rsid w:val="006E2191"/>
    <w:rsid w:val="006E2329"/>
    <w:rsid w:val="006E24B2"/>
    <w:rsid w:val="006E25C3"/>
    <w:rsid w:val="006E2816"/>
    <w:rsid w:val="006E2AF2"/>
    <w:rsid w:val="006E3280"/>
    <w:rsid w:val="006E3C25"/>
    <w:rsid w:val="006E449E"/>
    <w:rsid w:val="006E44D9"/>
    <w:rsid w:val="006E47C7"/>
    <w:rsid w:val="006E4B84"/>
    <w:rsid w:val="006E5032"/>
    <w:rsid w:val="006E50A3"/>
    <w:rsid w:val="006E51C2"/>
    <w:rsid w:val="006E53B4"/>
    <w:rsid w:val="006E555C"/>
    <w:rsid w:val="006E5E48"/>
    <w:rsid w:val="006E6220"/>
    <w:rsid w:val="006E62EB"/>
    <w:rsid w:val="006E64C8"/>
    <w:rsid w:val="006E6607"/>
    <w:rsid w:val="006E6664"/>
    <w:rsid w:val="006E6A3A"/>
    <w:rsid w:val="006E6CFE"/>
    <w:rsid w:val="006E6E11"/>
    <w:rsid w:val="006E71C1"/>
    <w:rsid w:val="006E71F3"/>
    <w:rsid w:val="006E7410"/>
    <w:rsid w:val="006E7542"/>
    <w:rsid w:val="006E75EF"/>
    <w:rsid w:val="006E778C"/>
    <w:rsid w:val="006E7A46"/>
    <w:rsid w:val="006E7AC2"/>
    <w:rsid w:val="006E7B62"/>
    <w:rsid w:val="006F00FD"/>
    <w:rsid w:val="006F0772"/>
    <w:rsid w:val="006F0854"/>
    <w:rsid w:val="006F0C20"/>
    <w:rsid w:val="006F13A7"/>
    <w:rsid w:val="006F144F"/>
    <w:rsid w:val="006F155C"/>
    <w:rsid w:val="006F1A01"/>
    <w:rsid w:val="006F1E54"/>
    <w:rsid w:val="006F2800"/>
    <w:rsid w:val="006F28B2"/>
    <w:rsid w:val="006F302E"/>
    <w:rsid w:val="006F3306"/>
    <w:rsid w:val="006F37B8"/>
    <w:rsid w:val="006F3D0C"/>
    <w:rsid w:val="006F3DA0"/>
    <w:rsid w:val="006F432D"/>
    <w:rsid w:val="006F43CD"/>
    <w:rsid w:val="006F46D2"/>
    <w:rsid w:val="006F4737"/>
    <w:rsid w:val="006F50C8"/>
    <w:rsid w:val="006F513C"/>
    <w:rsid w:val="006F5E2D"/>
    <w:rsid w:val="006F5E70"/>
    <w:rsid w:val="006F5E76"/>
    <w:rsid w:val="006F5F39"/>
    <w:rsid w:val="006F61F8"/>
    <w:rsid w:val="006F6789"/>
    <w:rsid w:val="006F68F6"/>
    <w:rsid w:val="006F70DB"/>
    <w:rsid w:val="006F74EA"/>
    <w:rsid w:val="006F77E7"/>
    <w:rsid w:val="006F7D2B"/>
    <w:rsid w:val="00700017"/>
    <w:rsid w:val="0070022B"/>
    <w:rsid w:val="007004C2"/>
    <w:rsid w:val="00700714"/>
    <w:rsid w:val="007007E6"/>
    <w:rsid w:val="00700A01"/>
    <w:rsid w:val="00700B98"/>
    <w:rsid w:val="00700BD4"/>
    <w:rsid w:val="00701027"/>
    <w:rsid w:val="007012C0"/>
    <w:rsid w:val="007012CD"/>
    <w:rsid w:val="007016AF"/>
    <w:rsid w:val="00701A74"/>
    <w:rsid w:val="00701D1F"/>
    <w:rsid w:val="00702372"/>
    <w:rsid w:val="007023B6"/>
    <w:rsid w:val="0070283F"/>
    <w:rsid w:val="00702B49"/>
    <w:rsid w:val="00702E7F"/>
    <w:rsid w:val="00703056"/>
    <w:rsid w:val="00703459"/>
    <w:rsid w:val="00703BB5"/>
    <w:rsid w:val="00703C0D"/>
    <w:rsid w:val="00703E31"/>
    <w:rsid w:val="00704407"/>
    <w:rsid w:val="007045AF"/>
    <w:rsid w:val="00704676"/>
    <w:rsid w:val="007047E3"/>
    <w:rsid w:val="007048DC"/>
    <w:rsid w:val="00704935"/>
    <w:rsid w:val="00704CB9"/>
    <w:rsid w:val="00704CBD"/>
    <w:rsid w:val="00704D3A"/>
    <w:rsid w:val="00705121"/>
    <w:rsid w:val="00705250"/>
    <w:rsid w:val="00705322"/>
    <w:rsid w:val="00705653"/>
    <w:rsid w:val="00705AD5"/>
    <w:rsid w:val="00705B0D"/>
    <w:rsid w:val="00705E62"/>
    <w:rsid w:val="00705EFC"/>
    <w:rsid w:val="00706065"/>
    <w:rsid w:val="0070608B"/>
    <w:rsid w:val="0070635D"/>
    <w:rsid w:val="00706390"/>
    <w:rsid w:val="0070676E"/>
    <w:rsid w:val="007067A8"/>
    <w:rsid w:val="00706A36"/>
    <w:rsid w:val="00706A8D"/>
    <w:rsid w:val="00706E83"/>
    <w:rsid w:val="00707489"/>
    <w:rsid w:val="007075CD"/>
    <w:rsid w:val="00707882"/>
    <w:rsid w:val="007078B4"/>
    <w:rsid w:val="007079E1"/>
    <w:rsid w:val="00707AAA"/>
    <w:rsid w:val="00707B1D"/>
    <w:rsid w:val="00707B2B"/>
    <w:rsid w:val="00707CC9"/>
    <w:rsid w:val="00707FD6"/>
    <w:rsid w:val="0071037E"/>
    <w:rsid w:val="007105D2"/>
    <w:rsid w:val="0071073E"/>
    <w:rsid w:val="00710855"/>
    <w:rsid w:val="007112C8"/>
    <w:rsid w:val="007113AF"/>
    <w:rsid w:val="00711462"/>
    <w:rsid w:val="007115BD"/>
    <w:rsid w:val="00711875"/>
    <w:rsid w:val="00711CB6"/>
    <w:rsid w:val="00711EEC"/>
    <w:rsid w:val="00712148"/>
    <w:rsid w:val="00712D58"/>
    <w:rsid w:val="00712FE6"/>
    <w:rsid w:val="00713110"/>
    <w:rsid w:val="0071340D"/>
    <w:rsid w:val="007134AA"/>
    <w:rsid w:val="00713938"/>
    <w:rsid w:val="00713D54"/>
    <w:rsid w:val="00713EEF"/>
    <w:rsid w:val="007143E5"/>
    <w:rsid w:val="00714433"/>
    <w:rsid w:val="00714D5B"/>
    <w:rsid w:val="00714FEA"/>
    <w:rsid w:val="0071519F"/>
    <w:rsid w:val="007155F1"/>
    <w:rsid w:val="00715977"/>
    <w:rsid w:val="00715B06"/>
    <w:rsid w:val="00715CED"/>
    <w:rsid w:val="00715DED"/>
    <w:rsid w:val="0071637B"/>
    <w:rsid w:val="0071687A"/>
    <w:rsid w:val="007169E8"/>
    <w:rsid w:val="00716ADF"/>
    <w:rsid w:val="00716BB5"/>
    <w:rsid w:val="00716D12"/>
    <w:rsid w:val="00716E53"/>
    <w:rsid w:val="00717522"/>
    <w:rsid w:val="00720335"/>
    <w:rsid w:val="00720DE0"/>
    <w:rsid w:val="00720F78"/>
    <w:rsid w:val="00721178"/>
    <w:rsid w:val="00721194"/>
    <w:rsid w:val="00721627"/>
    <w:rsid w:val="0072176F"/>
    <w:rsid w:val="00721B54"/>
    <w:rsid w:val="00722509"/>
    <w:rsid w:val="00722834"/>
    <w:rsid w:val="00722986"/>
    <w:rsid w:val="00722A78"/>
    <w:rsid w:val="00722E20"/>
    <w:rsid w:val="00722F2E"/>
    <w:rsid w:val="007232BF"/>
    <w:rsid w:val="007236C8"/>
    <w:rsid w:val="00723718"/>
    <w:rsid w:val="00723918"/>
    <w:rsid w:val="00723961"/>
    <w:rsid w:val="00723E17"/>
    <w:rsid w:val="00723E8E"/>
    <w:rsid w:val="0072437F"/>
    <w:rsid w:val="00724530"/>
    <w:rsid w:val="007245EF"/>
    <w:rsid w:val="007247D2"/>
    <w:rsid w:val="00724E45"/>
    <w:rsid w:val="00724F70"/>
    <w:rsid w:val="007251C7"/>
    <w:rsid w:val="007258F9"/>
    <w:rsid w:val="00725AE1"/>
    <w:rsid w:val="00725E74"/>
    <w:rsid w:val="00725F82"/>
    <w:rsid w:val="00726714"/>
    <w:rsid w:val="007276AC"/>
    <w:rsid w:val="00727961"/>
    <w:rsid w:val="00727F13"/>
    <w:rsid w:val="00727FE6"/>
    <w:rsid w:val="00730257"/>
    <w:rsid w:val="0073050E"/>
    <w:rsid w:val="00730824"/>
    <w:rsid w:val="007309FE"/>
    <w:rsid w:val="00730BC5"/>
    <w:rsid w:val="00731069"/>
    <w:rsid w:val="00731273"/>
    <w:rsid w:val="0073150E"/>
    <w:rsid w:val="007315C2"/>
    <w:rsid w:val="007315FD"/>
    <w:rsid w:val="007316EF"/>
    <w:rsid w:val="007318E9"/>
    <w:rsid w:val="00731A34"/>
    <w:rsid w:val="00731CFE"/>
    <w:rsid w:val="00731DBC"/>
    <w:rsid w:val="00731E1E"/>
    <w:rsid w:val="00731E22"/>
    <w:rsid w:val="00731EE5"/>
    <w:rsid w:val="00732307"/>
    <w:rsid w:val="00732999"/>
    <w:rsid w:val="00732E97"/>
    <w:rsid w:val="007333FC"/>
    <w:rsid w:val="0073358D"/>
    <w:rsid w:val="0073369D"/>
    <w:rsid w:val="00733B61"/>
    <w:rsid w:val="00733F32"/>
    <w:rsid w:val="007343B2"/>
    <w:rsid w:val="0073441B"/>
    <w:rsid w:val="007346A0"/>
    <w:rsid w:val="0073475F"/>
    <w:rsid w:val="007348EF"/>
    <w:rsid w:val="00734BB4"/>
    <w:rsid w:val="007350D1"/>
    <w:rsid w:val="00735462"/>
    <w:rsid w:val="007355D3"/>
    <w:rsid w:val="007356E3"/>
    <w:rsid w:val="007358D2"/>
    <w:rsid w:val="007359FA"/>
    <w:rsid w:val="00735CCB"/>
    <w:rsid w:val="007368F9"/>
    <w:rsid w:val="00736BF9"/>
    <w:rsid w:val="00736F63"/>
    <w:rsid w:val="007370A6"/>
    <w:rsid w:val="007371A5"/>
    <w:rsid w:val="00737A30"/>
    <w:rsid w:val="00737B32"/>
    <w:rsid w:val="00737C75"/>
    <w:rsid w:val="00737E12"/>
    <w:rsid w:val="00737FE1"/>
    <w:rsid w:val="0074018D"/>
    <w:rsid w:val="00740295"/>
    <w:rsid w:val="00740662"/>
    <w:rsid w:val="00740AA1"/>
    <w:rsid w:val="0074107A"/>
    <w:rsid w:val="007410B0"/>
    <w:rsid w:val="007412F4"/>
    <w:rsid w:val="00741560"/>
    <w:rsid w:val="00741671"/>
    <w:rsid w:val="00741BCC"/>
    <w:rsid w:val="00741BF1"/>
    <w:rsid w:val="0074295A"/>
    <w:rsid w:val="007429CA"/>
    <w:rsid w:val="00742B99"/>
    <w:rsid w:val="00742C38"/>
    <w:rsid w:val="00742DA3"/>
    <w:rsid w:val="0074315D"/>
    <w:rsid w:val="00743557"/>
    <w:rsid w:val="00743FF0"/>
    <w:rsid w:val="00744393"/>
    <w:rsid w:val="007448E2"/>
    <w:rsid w:val="00744F0A"/>
    <w:rsid w:val="007451C7"/>
    <w:rsid w:val="00745225"/>
    <w:rsid w:val="0074537E"/>
    <w:rsid w:val="0074547C"/>
    <w:rsid w:val="00745967"/>
    <w:rsid w:val="00746346"/>
    <w:rsid w:val="007466B6"/>
    <w:rsid w:val="00746716"/>
    <w:rsid w:val="007469B0"/>
    <w:rsid w:val="00746B93"/>
    <w:rsid w:val="00746EF0"/>
    <w:rsid w:val="00747392"/>
    <w:rsid w:val="0074771B"/>
    <w:rsid w:val="00747BD7"/>
    <w:rsid w:val="00747C06"/>
    <w:rsid w:val="00750DD0"/>
    <w:rsid w:val="0075126E"/>
    <w:rsid w:val="007514D7"/>
    <w:rsid w:val="00751707"/>
    <w:rsid w:val="00751752"/>
    <w:rsid w:val="007517EE"/>
    <w:rsid w:val="007518B5"/>
    <w:rsid w:val="0075201C"/>
    <w:rsid w:val="007520EF"/>
    <w:rsid w:val="007522C7"/>
    <w:rsid w:val="00752767"/>
    <w:rsid w:val="0075295D"/>
    <w:rsid w:val="00752D88"/>
    <w:rsid w:val="00753027"/>
    <w:rsid w:val="0075319E"/>
    <w:rsid w:val="007533A4"/>
    <w:rsid w:val="00753E3A"/>
    <w:rsid w:val="007544C3"/>
    <w:rsid w:val="00754993"/>
    <w:rsid w:val="00754D3F"/>
    <w:rsid w:val="00754D82"/>
    <w:rsid w:val="00754DE8"/>
    <w:rsid w:val="00755432"/>
    <w:rsid w:val="007556FD"/>
    <w:rsid w:val="00755C06"/>
    <w:rsid w:val="00755DB0"/>
    <w:rsid w:val="00755E39"/>
    <w:rsid w:val="00756547"/>
    <w:rsid w:val="00756B09"/>
    <w:rsid w:val="00756EEB"/>
    <w:rsid w:val="00756F1A"/>
    <w:rsid w:val="007571EA"/>
    <w:rsid w:val="007571FF"/>
    <w:rsid w:val="00757227"/>
    <w:rsid w:val="007572EC"/>
    <w:rsid w:val="00757388"/>
    <w:rsid w:val="007575C0"/>
    <w:rsid w:val="00757678"/>
    <w:rsid w:val="0075772A"/>
    <w:rsid w:val="007600F8"/>
    <w:rsid w:val="0076010A"/>
    <w:rsid w:val="0076020B"/>
    <w:rsid w:val="0076028F"/>
    <w:rsid w:val="007604C9"/>
    <w:rsid w:val="00760B48"/>
    <w:rsid w:val="00760C7B"/>
    <w:rsid w:val="00760F46"/>
    <w:rsid w:val="007611B5"/>
    <w:rsid w:val="0076124F"/>
    <w:rsid w:val="007613B7"/>
    <w:rsid w:val="00761810"/>
    <w:rsid w:val="007619D0"/>
    <w:rsid w:val="00761CD9"/>
    <w:rsid w:val="00761D8A"/>
    <w:rsid w:val="00761EDE"/>
    <w:rsid w:val="00762007"/>
    <w:rsid w:val="00762164"/>
    <w:rsid w:val="0076233F"/>
    <w:rsid w:val="00762442"/>
    <w:rsid w:val="0076249D"/>
    <w:rsid w:val="00762BE7"/>
    <w:rsid w:val="00762D9F"/>
    <w:rsid w:val="00762FE0"/>
    <w:rsid w:val="007631AF"/>
    <w:rsid w:val="0076339A"/>
    <w:rsid w:val="00763658"/>
    <w:rsid w:val="007636ED"/>
    <w:rsid w:val="00763873"/>
    <w:rsid w:val="0076392F"/>
    <w:rsid w:val="0076399F"/>
    <w:rsid w:val="00763EA4"/>
    <w:rsid w:val="00763F41"/>
    <w:rsid w:val="00764044"/>
    <w:rsid w:val="007646AF"/>
    <w:rsid w:val="00764AA1"/>
    <w:rsid w:val="00764E3D"/>
    <w:rsid w:val="0076545E"/>
    <w:rsid w:val="0076565B"/>
    <w:rsid w:val="00765A47"/>
    <w:rsid w:val="00765BCF"/>
    <w:rsid w:val="0076609F"/>
    <w:rsid w:val="007664A7"/>
    <w:rsid w:val="0076664B"/>
    <w:rsid w:val="007667E7"/>
    <w:rsid w:val="00766AF8"/>
    <w:rsid w:val="00766FA4"/>
    <w:rsid w:val="007670CA"/>
    <w:rsid w:val="00767202"/>
    <w:rsid w:val="007703D0"/>
    <w:rsid w:val="00770A1C"/>
    <w:rsid w:val="00770AEA"/>
    <w:rsid w:val="00771A7F"/>
    <w:rsid w:val="00771B1C"/>
    <w:rsid w:val="00771B52"/>
    <w:rsid w:val="00771C84"/>
    <w:rsid w:val="00771E24"/>
    <w:rsid w:val="00771F4C"/>
    <w:rsid w:val="00772522"/>
    <w:rsid w:val="00772561"/>
    <w:rsid w:val="00772E18"/>
    <w:rsid w:val="00773314"/>
    <w:rsid w:val="007734F4"/>
    <w:rsid w:val="00773A1C"/>
    <w:rsid w:val="00773DA0"/>
    <w:rsid w:val="00773DD3"/>
    <w:rsid w:val="007742B8"/>
    <w:rsid w:val="00774504"/>
    <w:rsid w:val="00774DF7"/>
    <w:rsid w:val="00775433"/>
    <w:rsid w:val="0077553B"/>
    <w:rsid w:val="007758FD"/>
    <w:rsid w:val="00777086"/>
    <w:rsid w:val="00777203"/>
    <w:rsid w:val="00777463"/>
    <w:rsid w:val="007775D7"/>
    <w:rsid w:val="007778E4"/>
    <w:rsid w:val="00777BE0"/>
    <w:rsid w:val="00777D4F"/>
    <w:rsid w:val="00777DD0"/>
    <w:rsid w:val="007801AC"/>
    <w:rsid w:val="00780314"/>
    <w:rsid w:val="0078034A"/>
    <w:rsid w:val="0078044D"/>
    <w:rsid w:val="007806A7"/>
    <w:rsid w:val="00780BA7"/>
    <w:rsid w:val="00780CA2"/>
    <w:rsid w:val="00780DAF"/>
    <w:rsid w:val="00781240"/>
    <w:rsid w:val="00781287"/>
    <w:rsid w:val="0078144F"/>
    <w:rsid w:val="0078170C"/>
    <w:rsid w:val="0078173E"/>
    <w:rsid w:val="0078173F"/>
    <w:rsid w:val="007818CA"/>
    <w:rsid w:val="00781AC4"/>
    <w:rsid w:val="00781CFE"/>
    <w:rsid w:val="00781D1E"/>
    <w:rsid w:val="0078238E"/>
    <w:rsid w:val="007823F9"/>
    <w:rsid w:val="007824AA"/>
    <w:rsid w:val="007824C2"/>
    <w:rsid w:val="007825C1"/>
    <w:rsid w:val="007826EF"/>
    <w:rsid w:val="0078276C"/>
    <w:rsid w:val="007827A0"/>
    <w:rsid w:val="00782875"/>
    <w:rsid w:val="00782A52"/>
    <w:rsid w:val="00782B0E"/>
    <w:rsid w:val="00783331"/>
    <w:rsid w:val="00783366"/>
    <w:rsid w:val="0078366B"/>
    <w:rsid w:val="00783726"/>
    <w:rsid w:val="00783D4D"/>
    <w:rsid w:val="007841AA"/>
    <w:rsid w:val="0078468E"/>
    <w:rsid w:val="00784A6D"/>
    <w:rsid w:val="00784BB6"/>
    <w:rsid w:val="00784E90"/>
    <w:rsid w:val="007855CC"/>
    <w:rsid w:val="00785B6D"/>
    <w:rsid w:val="00785C47"/>
    <w:rsid w:val="0078649C"/>
    <w:rsid w:val="007865C5"/>
    <w:rsid w:val="00786789"/>
    <w:rsid w:val="0078689A"/>
    <w:rsid w:val="00786B2B"/>
    <w:rsid w:val="00786E0E"/>
    <w:rsid w:val="00790436"/>
    <w:rsid w:val="00790754"/>
    <w:rsid w:val="00790E3B"/>
    <w:rsid w:val="007910CF"/>
    <w:rsid w:val="00791223"/>
    <w:rsid w:val="007913B5"/>
    <w:rsid w:val="00791504"/>
    <w:rsid w:val="00791781"/>
    <w:rsid w:val="00791923"/>
    <w:rsid w:val="00791973"/>
    <w:rsid w:val="00791C30"/>
    <w:rsid w:val="00791DB5"/>
    <w:rsid w:val="00792077"/>
    <w:rsid w:val="007928D6"/>
    <w:rsid w:val="00793099"/>
    <w:rsid w:val="007930EB"/>
    <w:rsid w:val="007932A5"/>
    <w:rsid w:val="007933EB"/>
    <w:rsid w:val="00793877"/>
    <w:rsid w:val="00793D17"/>
    <w:rsid w:val="00794217"/>
    <w:rsid w:val="00794A31"/>
    <w:rsid w:val="00794B7C"/>
    <w:rsid w:val="00794F54"/>
    <w:rsid w:val="007951C7"/>
    <w:rsid w:val="00795410"/>
    <w:rsid w:val="007954DA"/>
    <w:rsid w:val="00795726"/>
    <w:rsid w:val="00795E10"/>
    <w:rsid w:val="00796150"/>
    <w:rsid w:val="007961C4"/>
    <w:rsid w:val="00796678"/>
    <w:rsid w:val="0079690E"/>
    <w:rsid w:val="00796A2B"/>
    <w:rsid w:val="00796B62"/>
    <w:rsid w:val="00796C04"/>
    <w:rsid w:val="00796CF4"/>
    <w:rsid w:val="00796E22"/>
    <w:rsid w:val="00797331"/>
    <w:rsid w:val="00797567"/>
    <w:rsid w:val="00797972"/>
    <w:rsid w:val="00797B5B"/>
    <w:rsid w:val="007A00ED"/>
    <w:rsid w:val="007A05CB"/>
    <w:rsid w:val="007A06E6"/>
    <w:rsid w:val="007A06FB"/>
    <w:rsid w:val="007A0AE9"/>
    <w:rsid w:val="007A0CBD"/>
    <w:rsid w:val="007A0CED"/>
    <w:rsid w:val="007A0E94"/>
    <w:rsid w:val="007A11CE"/>
    <w:rsid w:val="007A1246"/>
    <w:rsid w:val="007A181C"/>
    <w:rsid w:val="007A1ADA"/>
    <w:rsid w:val="007A1D64"/>
    <w:rsid w:val="007A1F9C"/>
    <w:rsid w:val="007A205C"/>
    <w:rsid w:val="007A2384"/>
    <w:rsid w:val="007A2AA3"/>
    <w:rsid w:val="007A2B61"/>
    <w:rsid w:val="007A2CF4"/>
    <w:rsid w:val="007A2F91"/>
    <w:rsid w:val="007A3104"/>
    <w:rsid w:val="007A31C0"/>
    <w:rsid w:val="007A31F5"/>
    <w:rsid w:val="007A3796"/>
    <w:rsid w:val="007A39CF"/>
    <w:rsid w:val="007A3D3B"/>
    <w:rsid w:val="007A3D56"/>
    <w:rsid w:val="007A4656"/>
    <w:rsid w:val="007A46EC"/>
    <w:rsid w:val="007A48DA"/>
    <w:rsid w:val="007A4A95"/>
    <w:rsid w:val="007A4FD8"/>
    <w:rsid w:val="007A5281"/>
    <w:rsid w:val="007A55DB"/>
    <w:rsid w:val="007A5834"/>
    <w:rsid w:val="007A5D16"/>
    <w:rsid w:val="007A62C1"/>
    <w:rsid w:val="007A6C81"/>
    <w:rsid w:val="007A7172"/>
    <w:rsid w:val="007A71DC"/>
    <w:rsid w:val="007A721A"/>
    <w:rsid w:val="007A738A"/>
    <w:rsid w:val="007A77DA"/>
    <w:rsid w:val="007A798D"/>
    <w:rsid w:val="007A7CC0"/>
    <w:rsid w:val="007B06F0"/>
    <w:rsid w:val="007B07D4"/>
    <w:rsid w:val="007B0A8F"/>
    <w:rsid w:val="007B0CA3"/>
    <w:rsid w:val="007B1355"/>
    <w:rsid w:val="007B136F"/>
    <w:rsid w:val="007B137E"/>
    <w:rsid w:val="007B1592"/>
    <w:rsid w:val="007B192B"/>
    <w:rsid w:val="007B1D51"/>
    <w:rsid w:val="007B1F60"/>
    <w:rsid w:val="007B23C8"/>
    <w:rsid w:val="007B26CA"/>
    <w:rsid w:val="007B26FA"/>
    <w:rsid w:val="007B27AB"/>
    <w:rsid w:val="007B2D58"/>
    <w:rsid w:val="007B30F3"/>
    <w:rsid w:val="007B3359"/>
    <w:rsid w:val="007B3586"/>
    <w:rsid w:val="007B37B2"/>
    <w:rsid w:val="007B3F29"/>
    <w:rsid w:val="007B4161"/>
    <w:rsid w:val="007B4B6A"/>
    <w:rsid w:val="007B5AA1"/>
    <w:rsid w:val="007B5C1D"/>
    <w:rsid w:val="007B663E"/>
    <w:rsid w:val="007B666C"/>
    <w:rsid w:val="007B6A7C"/>
    <w:rsid w:val="007B6A99"/>
    <w:rsid w:val="007B6CF6"/>
    <w:rsid w:val="007B755C"/>
    <w:rsid w:val="007B7860"/>
    <w:rsid w:val="007B78B7"/>
    <w:rsid w:val="007B7C64"/>
    <w:rsid w:val="007B7D7F"/>
    <w:rsid w:val="007B7F77"/>
    <w:rsid w:val="007C0026"/>
    <w:rsid w:val="007C0730"/>
    <w:rsid w:val="007C096A"/>
    <w:rsid w:val="007C1068"/>
    <w:rsid w:val="007C11B8"/>
    <w:rsid w:val="007C17A2"/>
    <w:rsid w:val="007C1905"/>
    <w:rsid w:val="007C19C0"/>
    <w:rsid w:val="007C1B9A"/>
    <w:rsid w:val="007C1E2B"/>
    <w:rsid w:val="007C229C"/>
    <w:rsid w:val="007C29C9"/>
    <w:rsid w:val="007C2AA1"/>
    <w:rsid w:val="007C30BD"/>
    <w:rsid w:val="007C335F"/>
    <w:rsid w:val="007C3CE7"/>
    <w:rsid w:val="007C3D44"/>
    <w:rsid w:val="007C3D9B"/>
    <w:rsid w:val="007C3E29"/>
    <w:rsid w:val="007C4044"/>
    <w:rsid w:val="007C40BB"/>
    <w:rsid w:val="007C434A"/>
    <w:rsid w:val="007C4751"/>
    <w:rsid w:val="007C4935"/>
    <w:rsid w:val="007C4C69"/>
    <w:rsid w:val="007C4CD1"/>
    <w:rsid w:val="007C4E52"/>
    <w:rsid w:val="007C51A5"/>
    <w:rsid w:val="007C58A8"/>
    <w:rsid w:val="007C5E69"/>
    <w:rsid w:val="007C600E"/>
    <w:rsid w:val="007C62BF"/>
    <w:rsid w:val="007C62DB"/>
    <w:rsid w:val="007C65CC"/>
    <w:rsid w:val="007C6E48"/>
    <w:rsid w:val="007C7077"/>
    <w:rsid w:val="007C751A"/>
    <w:rsid w:val="007C75ED"/>
    <w:rsid w:val="007C7B7F"/>
    <w:rsid w:val="007C7E63"/>
    <w:rsid w:val="007D01EE"/>
    <w:rsid w:val="007D02AD"/>
    <w:rsid w:val="007D05FE"/>
    <w:rsid w:val="007D0D63"/>
    <w:rsid w:val="007D1164"/>
    <w:rsid w:val="007D13D5"/>
    <w:rsid w:val="007D174D"/>
    <w:rsid w:val="007D19F1"/>
    <w:rsid w:val="007D1B4F"/>
    <w:rsid w:val="007D1CF3"/>
    <w:rsid w:val="007D1E1D"/>
    <w:rsid w:val="007D210C"/>
    <w:rsid w:val="007D23DB"/>
    <w:rsid w:val="007D251D"/>
    <w:rsid w:val="007D26A3"/>
    <w:rsid w:val="007D282C"/>
    <w:rsid w:val="007D2FC1"/>
    <w:rsid w:val="007D302F"/>
    <w:rsid w:val="007D34E9"/>
    <w:rsid w:val="007D358F"/>
    <w:rsid w:val="007D4221"/>
    <w:rsid w:val="007D4534"/>
    <w:rsid w:val="007D45D6"/>
    <w:rsid w:val="007D4ACB"/>
    <w:rsid w:val="007D5319"/>
    <w:rsid w:val="007D53D5"/>
    <w:rsid w:val="007D5406"/>
    <w:rsid w:val="007D5548"/>
    <w:rsid w:val="007D56E5"/>
    <w:rsid w:val="007D575E"/>
    <w:rsid w:val="007D58AA"/>
    <w:rsid w:val="007D59B1"/>
    <w:rsid w:val="007D59D7"/>
    <w:rsid w:val="007D5B21"/>
    <w:rsid w:val="007D5B5A"/>
    <w:rsid w:val="007D5F07"/>
    <w:rsid w:val="007D5F5F"/>
    <w:rsid w:val="007D601C"/>
    <w:rsid w:val="007D675B"/>
    <w:rsid w:val="007D67C3"/>
    <w:rsid w:val="007D67ED"/>
    <w:rsid w:val="007D68F6"/>
    <w:rsid w:val="007D6C1C"/>
    <w:rsid w:val="007D70A1"/>
    <w:rsid w:val="007D71B8"/>
    <w:rsid w:val="007D740B"/>
    <w:rsid w:val="007D7590"/>
    <w:rsid w:val="007E0048"/>
    <w:rsid w:val="007E0285"/>
    <w:rsid w:val="007E0448"/>
    <w:rsid w:val="007E05D3"/>
    <w:rsid w:val="007E07EC"/>
    <w:rsid w:val="007E0C17"/>
    <w:rsid w:val="007E1335"/>
    <w:rsid w:val="007E1A7F"/>
    <w:rsid w:val="007E1B21"/>
    <w:rsid w:val="007E2275"/>
    <w:rsid w:val="007E2306"/>
    <w:rsid w:val="007E2956"/>
    <w:rsid w:val="007E2AB7"/>
    <w:rsid w:val="007E3776"/>
    <w:rsid w:val="007E3896"/>
    <w:rsid w:val="007E395A"/>
    <w:rsid w:val="007E3B5F"/>
    <w:rsid w:val="007E3D1B"/>
    <w:rsid w:val="007E3FED"/>
    <w:rsid w:val="007E45E1"/>
    <w:rsid w:val="007E4D23"/>
    <w:rsid w:val="007E5235"/>
    <w:rsid w:val="007E5326"/>
    <w:rsid w:val="007E53F4"/>
    <w:rsid w:val="007E5513"/>
    <w:rsid w:val="007E55F6"/>
    <w:rsid w:val="007E57BC"/>
    <w:rsid w:val="007E5AA7"/>
    <w:rsid w:val="007E5DFD"/>
    <w:rsid w:val="007E5E8D"/>
    <w:rsid w:val="007E6AA0"/>
    <w:rsid w:val="007E6BAB"/>
    <w:rsid w:val="007E6E9F"/>
    <w:rsid w:val="007E705D"/>
    <w:rsid w:val="007E7329"/>
    <w:rsid w:val="007E7445"/>
    <w:rsid w:val="007E751D"/>
    <w:rsid w:val="007E771A"/>
    <w:rsid w:val="007E7ABA"/>
    <w:rsid w:val="007E7EB1"/>
    <w:rsid w:val="007E7FBB"/>
    <w:rsid w:val="007F0233"/>
    <w:rsid w:val="007F09C3"/>
    <w:rsid w:val="007F0E42"/>
    <w:rsid w:val="007F12FE"/>
    <w:rsid w:val="007F1306"/>
    <w:rsid w:val="007F189B"/>
    <w:rsid w:val="007F1CD1"/>
    <w:rsid w:val="007F24E3"/>
    <w:rsid w:val="007F28F6"/>
    <w:rsid w:val="007F2A61"/>
    <w:rsid w:val="007F2C5C"/>
    <w:rsid w:val="007F2CAD"/>
    <w:rsid w:val="007F2F3D"/>
    <w:rsid w:val="007F34E6"/>
    <w:rsid w:val="007F3764"/>
    <w:rsid w:val="007F3913"/>
    <w:rsid w:val="007F3BE7"/>
    <w:rsid w:val="007F3F5A"/>
    <w:rsid w:val="007F40F2"/>
    <w:rsid w:val="007F4590"/>
    <w:rsid w:val="007F4E67"/>
    <w:rsid w:val="007F5573"/>
    <w:rsid w:val="007F5A83"/>
    <w:rsid w:val="007F5B9A"/>
    <w:rsid w:val="007F5D8E"/>
    <w:rsid w:val="007F6477"/>
    <w:rsid w:val="007F64BC"/>
    <w:rsid w:val="007F69C8"/>
    <w:rsid w:val="007F69E3"/>
    <w:rsid w:val="007F6AE1"/>
    <w:rsid w:val="007F723D"/>
    <w:rsid w:val="007F7269"/>
    <w:rsid w:val="007F74DE"/>
    <w:rsid w:val="007F7644"/>
    <w:rsid w:val="007F76F8"/>
    <w:rsid w:val="007F790C"/>
    <w:rsid w:val="007F7F94"/>
    <w:rsid w:val="008000A2"/>
    <w:rsid w:val="0080079C"/>
    <w:rsid w:val="008008FC"/>
    <w:rsid w:val="00801228"/>
    <w:rsid w:val="00801428"/>
    <w:rsid w:val="008014EA"/>
    <w:rsid w:val="00801512"/>
    <w:rsid w:val="00801D98"/>
    <w:rsid w:val="00801E4B"/>
    <w:rsid w:val="008026AC"/>
    <w:rsid w:val="00802752"/>
    <w:rsid w:val="0080283D"/>
    <w:rsid w:val="00802C86"/>
    <w:rsid w:val="00802E93"/>
    <w:rsid w:val="008030E7"/>
    <w:rsid w:val="0080316B"/>
    <w:rsid w:val="0080328F"/>
    <w:rsid w:val="008033EE"/>
    <w:rsid w:val="0080344A"/>
    <w:rsid w:val="0080348D"/>
    <w:rsid w:val="00803DC4"/>
    <w:rsid w:val="00803E8C"/>
    <w:rsid w:val="00804111"/>
    <w:rsid w:val="008048A3"/>
    <w:rsid w:val="00804CAB"/>
    <w:rsid w:val="00804DCE"/>
    <w:rsid w:val="00806291"/>
    <w:rsid w:val="008062CA"/>
    <w:rsid w:val="008065DF"/>
    <w:rsid w:val="008068C2"/>
    <w:rsid w:val="00807133"/>
    <w:rsid w:val="00807170"/>
    <w:rsid w:val="00807F2F"/>
    <w:rsid w:val="00810093"/>
    <w:rsid w:val="0081054C"/>
    <w:rsid w:val="00810933"/>
    <w:rsid w:val="00810A57"/>
    <w:rsid w:val="00810BA3"/>
    <w:rsid w:val="00810C38"/>
    <w:rsid w:val="00811265"/>
    <w:rsid w:val="0081163A"/>
    <w:rsid w:val="00811BAF"/>
    <w:rsid w:val="0081217E"/>
    <w:rsid w:val="008121FF"/>
    <w:rsid w:val="008126AB"/>
    <w:rsid w:val="00812766"/>
    <w:rsid w:val="00812D90"/>
    <w:rsid w:val="00813448"/>
    <w:rsid w:val="0081423A"/>
    <w:rsid w:val="00814313"/>
    <w:rsid w:val="0081474B"/>
    <w:rsid w:val="008147A3"/>
    <w:rsid w:val="008147EC"/>
    <w:rsid w:val="008148E1"/>
    <w:rsid w:val="00814990"/>
    <w:rsid w:val="00814C2B"/>
    <w:rsid w:val="00814D64"/>
    <w:rsid w:val="008152AC"/>
    <w:rsid w:val="008154D4"/>
    <w:rsid w:val="008158DF"/>
    <w:rsid w:val="00815AD3"/>
    <w:rsid w:val="00815B92"/>
    <w:rsid w:val="00815B9B"/>
    <w:rsid w:val="00816AB7"/>
    <w:rsid w:val="00816E5D"/>
    <w:rsid w:val="00816FE6"/>
    <w:rsid w:val="00817259"/>
    <w:rsid w:val="00817414"/>
    <w:rsid w:val="00817562"/>
    <w:rsid w:val="00817744"/>
    <w:rsid w:val="00817C60"/>
    <w:rsid w:val="0082006A"/>
    <w:rsid w:val="0082014E"/>
    <w:rsid w:val="008201E3"/>
    <w:rsid w:val="0082055E"/>
    <w:rsid w:val="008205EF"/>
    <w:rsid w:val="00820973"/>
    <w:rsid w:val="00820BAB"/>
    <w:rsid w:val="00820FFE"/>
    <w:rsid w:val="0082123B"/>
    <w:rsid w:val="00821972"/>
    <w:rsid w:val="00821DC8"/>
    <w:rsid w:val="00821F62"/>
    <w:rsid w:val="00822071"/>
    <w:rsid w:val="008221F9"/>
    <w:rsid w:val="00822ADD"/>
    <w:rsid w:val="00822C99"/>
    <w:rsid w:val="00822CAA"/>
    <w:rsid w:val="00822F4C"/>
    <w:rsid w:val="008236DC"/>
    <w:rsid w:val="00823E8A"/>
    <w:rsid w:val="00823F27"/>
    <w:rsid w:val="008240E4"/>
    <w:rsid w:val="0082412B"/>
    <w:rsid w:val="0082424A"/>
    <w:rsid w:val="008242B6"/>
    <w:rsid w:val="008243F6"/>
    <w:rsid w:val="0082445B"/>
    <w:rsid w:val="008249CC"/>
    <w:rsid w:val="00824F90"/>
    <w:rsid w:val="008259B7"/>
    <w:rsid w:val="00825F59"/>
    <w:rsid w:val="00826056"/>
    <w:rsid w:val="008268BB"/>
    <w:rsid w:val="00826917"/>
    <w:rsid w:val="00826B7A"/>
    <w:rsid w:val="00826BF3"/>
    <w:rsid w:val="00826C2D"/>
    <w:rsid w:val="00826F9A"/>
    <w:rsid w:val="00827005"/>
    <w:rsid w:val="0082793D"/>
    <w:rsid w:val="008300F2"/>
    <w:rsid w:val="0083034E"/>
    <w:rsid w:val="00830526"/>
    <w:rsid w:val="008305F8"/>
    <w:rsid w:val="00830979"/>
    <w:rsid w:val="00830B95"/>
    <w:rsid w:val="00830D58"/>
    <w:rsid w:val="00830FDA"/>
    <w:rsid w:val="0083121B"/>
    <w:rsid w:val="0083155A"/>
    <w:rsid w:val="00831A85"/>
    <w:rsid w:val="00831BD1"/>
    <w:rsid w:val="00831C72"/>
    <w:rsid w:val="00832366"/>
    <w:rsid w:val="008323FF"/>
    <w:rsid w:val="008327B7"/>
    <w:rsid w:val="008327E9"/>
    <w:rsid w:val="00832A04"/>
    <w:rsid w:val="008331A8"/>
    <w:rsid w:val="00833962"/>
    <w:rsid w:val="0083401E"/>
    <w:rsid w:val="00834467"/>
    <w:rsid w:val="008349CC"/>
    <w:rsid w:val="00834B5B"/>
    <w:rsid w:val="00834DFE"/>
    <w:rsid w:val="00834FB2"/>
    <w:rsid w:val="0083511B"/>
    <w:rsid w:val="00835558"/>
    <w:rsid w:val="008357AE"/>
    <w:rsid w:val="008364A3"/>
    <w:rsid w:val="00836812"/>
    <w:rsid w:val="008368BB"/>
    <w:rsid w:val="00836B42"/>
    <w:rsid w:val="00836E07"/>
    <w:rsid w:val="00837477"/>
    <w:rsid w:val="00837B10"/>
    <w:rsid w:val="00837CD0"/>
    <w:rsid w:val="0084004E"/>
    <w:rsid w:val="0084015C"/>
    <w:rsid w:val="0084034D"/>
    <w:rsid w:val="008409FF"/>
    <w:rsid w:val="00840F84"/>
    <w:rsid w:val="00840FFD"/>
    <w:rsid w:val="0084116D"/>
    <w:rsid w:val="00841349"/>
    <w:rsid w:val="008413E7"/>
    <w:rsid w:val="008415C9"/>
    <w:rsid w:val="00841FF9"/>
    <w:rsid w:val="00842390"/>
    <w:rsid w:val="00842413"/>
    <w:rsid w:val="00842570"/>
    <w:rsid w:val="00842F58"/>
    <w:rsid w:val="008435F4"/>
    <w:rsid w:val="00843798"/>
    <w:rsid w:val="008438AD"/>
    <w:rsid w:val="00843BEA"/>
    <w:rsid w:val="00844178"/>
    <w:rsid w:val="00844390"/>
    <w:rsid w:val="00844498"/>
    <w:rsid w:val="0084457A"/>
    <w:rsid w:val="00844A96"/>
    <w:rsid w:val="00844DE4"/>
    <w:rsid w:val="008459B4"/>
    <w:rsid w:val="008459DC"/>
    <w:rsid w:val="00845A4B"/>
    <w:rsid w:val="00845FE8"/>
    <w:rsid w:val="008461E0"/>
    <w:rsid w:val="008463DD"/>
    <w:rsid w:val="008464B2"/>
    <w:rsid w:val="008464CA"/>
    <w:rsid w:val="008469C2"/>
    <w:rsid w:val="008474B9"/>
    <w:rsid w:val="008477AF"/>
    <w:rsid w:val="00847D33"/>
    <w:rsid w:val="00847E69"/>
    <w:rsid w:val="00850148"/>
    <w:rsid w:val="008501F3"/>
    <w:rsid w:val="0085023E"/>
    <w:rsid w:val="008502F6"/>
    <w:rsid w:val="00850458"/>
    <w:rsid w:val="00850839"/>
    <w:rsid w:val="00850997"/>
    <w:rsid w:val="00850A76"/>
    <w:rsid w:val="00850C40"/>
    <w:rsid w:val="00850CB8"/>
    <w:rsid w:val="00851140"/>
    <w:rsid w:val="00851156"/>
    <w:rsid w:val="0085133B"/>
    <w:rsid w:val="008513DD"/>
    <w:rsid w:val="008516B7"/>
    <w:rsid w:val="0085190E"/>
    <w:rsid w:val="00851952"/>
    <w:rsid w:val="0085198C"/>
    <w:rsid w:val="008519AB"/>
    <w:rsid w:val="00851B2E"/>
    <w:rsid w:val="00851C06"/>
    <w:rsid w:val="00851D82"/>
    <w:rsid w:val="008521EB"/>
    <w:rsid w:val="00852214"/>
    <w:rsid w:val="00852344"/>
    <w:rsid w:val="0085281F"/>
    <w:rsid w:val="00852944"/>
    <w:rsid w:val="00852B35"/>
    <w:rsid w:val="00852DD4"/>
    <w:rsid w:val="00852F9D"/>
    <w:rsid w:val="00853373"/>
    <w:rsid w:val="00853B35"/>
    <w:rsid w:val="00853C96"/>
    <w:rsid w:val="008547B0"/>
    <w:rsid w:val="008547BD"/>
    <w:rsid w:val="0085481E"/>
    <w:rsid w:val="00854B57"/>
    <w:rsid w:val="00854BB8"/>
    <w:rsid w:val="00854DB2"/>
    <w:rsid w:val="0085583F"/>
    <w:rsid w:val="00855BDB"/>
    <w:rsid w:val="00855E2E"/>
    <w:rsid w:val="00856167"/>
    <w:rsid w:val="008563A7"/>
    <w:rsid w:val="008563D4"/>
    <w:rsid w:val="008567BC"/>
    <w:rsid w:val="0085689D"/>
    <w:rsid w:val="0085692D"/>
    <w:rsid w:val="00856A6B"/>
    <w:rsid w:val="00857024"/>
    <w:rsid w:val="0085782F"/>
    <w:rsid w:val="00857995"/>
    <w:rsid w:val="00857F60"/>
    <w:rsid w:val="0086011A"/>
    <w:rsid w:val="008607B6"/>
    <w:rsid w:val="00860A42"/>
    <w:rsid w:val="00860C5C"/>
    <w:rsid w:val="00860EA3"/>
    <w:rsid w:val="00861CAC"/>
    <w:rsid w:val="00861E55"/>
    <w:rsid w:val="00862220"/>
    <w:rsid w:val="0086266C"/>
    <w:rsid w:val="00862AFA"/>
    <w:rsid w:val="00862F14"/>
    <w:rsid w:val="008634C3"/>
    <w:rsid w:val="00863517"/>
    <w:rsid w:val="008635F7"/>
    <w:rsid w:val="008639AC"/>
    <w:rsid w:val="00863BA8"/>
    <w:rsid w:val="00863D0A"/>
    <w:rsid w:val="00863DB5"/>
    <w:rsid w:val="00863E9C"/>
    <w:rsid w:val="008644AF"/>
    <w:rsid w:val="00864827"/>
    <w:rsid w:val="00864910"/>
    <w:rsid w:val="00864C62"/>
    <w:rsid w:val="00865052"/>
    <w:rsid w:val="008654C5"/>
    <w:rsid w:val="00865594"/>
    <w:rsid w:val="00865753"/>
    <w:rsid w:val="00865A4D"/>
    <w:rsid w:val="00865CF8"/>
    <w:rsid w:val="00865F04"/>
    <w:rsid w:val="008671FE"/>
    <w:rsid w:val="00867360"/>
    <w:rsid w:val="0086747C"/>
    <w:rsid w:val="008675D9"/>
    <w:rsid w:val="008677C6"/>
    <w:rsid w:val="00867969"/>
    <w:rsid w:val="00867B5B"/>
    <w:rsid w:val="00867F2B"/>
    <w:rsid w:val="0087022F"/>
    <w:rsid w:val="008703DA"/>
    <w:rsid w:val="0087081C"/>
    <w:rsid w:val="008709E8"/>
    <w:rsid w:val="00870C02"/>
    <w:rsid w:val="00870DEA"/>
    <w:rsid w:val="008715C9"/>
    <w:rsid w:val="0087173D"/>
    <w:rsid w:val="00871849"/>
    <w:rsid w:val="00871C2E"/>
    <w:rsid w:val="008720CB"/>
    <w:rsid w:val="008723CD"/>
    <w:rsid w:val="008723F8"/>
    <w:rsid w:val="00872659"/>
    <w:rsid w:val="008726CC"/>
    <w:rsid w:val="00873478"/>
    <w:rsid w:val="008736F2"/>
    <w:rsid w:val="0087392B"/>
    <w:rsid w:val="00873D60"/>
    <w:rsid w:val="00873EA2"/>
    <w:rsid w:val="00873EFF"/>
    <w:rsid w:val="00873FB5"/>
    <w:rsid w:val="00874056"/>
    <w:rsid w:val="00874331"/>
    <w:rsid w:val="008744EE"/>
    <w:rsid w:val="00874BDC"/>
    <w:rsid w:val="00874C04"/>
    <w:rsid w:val="00874FC3"/>
    <w:rsid w:val="00875158"/>
    <w:rsid w:val="008752D8"/>
    <w:rsid w:val="00875714"/>
    <w:rsid w:val="00875BC5"/>
    <w:rsid w:val="00875DB1"/>
    <w:rsid w:val="00875DBE"/>
    <w:rsid w:val="00875E74"/>
    <w:rsid w:val="00875F00"/>
    <w:rsid w:val="0087616B"/>
    <w:rsid w:val="00876250"/>
    <w:rsid w:val="008762FE"/>
    <w:rsid w:val="008763CE"/>
    <w:rsid w:val="00876C5D"/>
    <w:rsid w:val="008771C1"/>
    <w:rsid w:val="008774DE"/>
    <w:rsid w:val="0087763B"/>
    <w:rsid w:val="00877972"/>
    <w:rsid w:val="00877B1A"/>
    <w:rsid w:val="00877DB6"/>
    <w:rsid w:val="00880262"/>
    <w:rsid w:val="00880500"/>
    <w:rsid w:val="008805CA"/>
    <w:rsid w:val="008805FA"/>
    <w:rsid w:val="0088111D"/>
    <w:rsid w:val="00881283"/>
    <w:rsid w:val="008812C6"/>
    <w:rsid w:val="0088154B"/>
    <w:rsid w:val="008822D0"/>
    <w:rsid w:val="008822FA"/>
    <w:rsid w:val="008827D0"/>
    <w:rsid w:val="008829BA"/>
    <w:rsid w:val="00882C3A"/>
    <w:rsid w:val="00883B6D"/>
    <w:rsid w:val="00883DD7"/>
    <w:rsid w:val="00884207"/>
    <w:rsid w:val="0088435E"/>
    <w:rsid w:val="00884E33"/>
    <w:rsid w:val="00884ED9"/>
    <w:rsid w:val="008851A5"/>
    <w:rsid w:val="00885284"/>
    <w:rsid w:val="0088537B"/>
    <w:rsid w:val="00885527"/>
    <w:rsid w:val="008859F7"/>
    <w:rsid w:val="00885BD8"/>
    <w:rsid w:val="00885E0A"/>
    <w:rsid w:val="00885F5E"/>
    <w:rsid w:val="00886073"/>
    <w:rsid w:val="008864D5"/>
    <w:rsid w:val="00886607"/>
    <w:rsid w:val="00886657"/>
    <w:rsid w:val="00886916"/>
    <w:rsid w:val="008877D1"/>
    <w:rsid w:val="008878D6"/>
    <w:rsid w:val="00887A4F"/>
    <w:rsid w:val="0089025D"/>
    <w:rsid w:val="00890672"/>
    <w:rsid w:val="00890762"/>
    <w:rsid w:val="00891B0D"/>
    <w:rsid w:val="00891BF5"/>
    <w:rsid w:val="00891F05"/>
    <w:rsid w:val="00891FFD"/>
    <w:rsid w:val="0089229A"/>
    <w:rsid w:val="00892450"/>
    <w:rsid w:val="008926F9"/>
    <w:rsid w:val="00892AB3"/>
    <w:rsid w:val="00893018"/>
    <w:rsid w:val="0089335D"/>
    <w:rsid w:val="0089338C"/>
    <w:rsid w:val="00893814"/>
    <w:rsid w:val="00893E11"/>
    <w:rsid w:val="0089438A"/>
    <w:rsid w:val="00894398"/>
    <w:rsid w:val="00894684"/>
    <w:rsid w:val="00894A59"/>
    <w:rsid w:val="00894E81"/>
    <w:rsid w:val="008950FD"/>
    <w:rsid w:val="008956C6"/>
    <w:rsid w:val="008957F0"/>
    <w:rsid w:val="00895FEE"/>
    <w:rsid w:val="0089606E"/>
    <w:rsid w:val="0089616F"/>
    <w:rsid w:val="00896424"/>
    <w:rsid w:val="00896887"/>
    <w:rsid w:val="00896B6B"/>
    <w:rsid w:val="00896DFD"/>
    <w:rsid w:val="00896E4E"/>
    <w:rsid w:val="00896F12"/>
    <w:rsid w:val="00896F82"/>
    <w:rsid w:val="00896FC8"/>
    <w:rsid w:val="00897193"/>
    <w:rsid w:val="008975A0"/>
    <w:rsid w:val="008A0204"/>
    <w:rsid w:val="008A0341"/>
    <w:rsid w:val="008A03E5"/>
    <w:rsid w:val="008A0AB9"/>
    <w:rsid w:val="008A0B6E"/>
    <w:rsid w:val="008A1621"/>
    <w:rsid w:val="008A1666"/>
    <w:rsid w:val="008A17F3"/>
    <w:rsid w:val="008A1B7E"/>
    <w:rsid w:val="008A2249"/>
    <w:rsid w:val="008A25A5"/>
    <w:rsid w:val="008A25B9"/>
    <w:rsid w:val="008A27B3"/>
    <w:rsid w:val="008A2C3C"/>
    <w:rsid w:val="008A2E14"/>
    <w:rsid w:val="008A2FE5"/>
    <w:rsid w:val="008A324A"/>
    <w:rsid w:val="008A35BC"/>
    <w:rsid w:val="008A38C3"/>
    <w:rsid w:val="008A3998"/>
    <w:rsid w:val="008A3AA8"/>
    <w:rsid w:val="008A3AE4"/>
    <w:rsid w:val="008A3B00"/>
    <w:rsid w:val="008A3B78"/>
    <w:rsid w:val="008A422E"/>
    <w:rsid w:val="008A4523"/>
    <w:rsid w:val="008A4A19"/>
    <w:rsid w:val="008A4CCF"/>
    <w:rsid w:val="008A51A7"/>
    <w:rsid w:val="008A5731"/>
    <w:rsid w:val="008A5ABA"/>
    <w:rsid w:val="008A5C12"/>
    <w:rsid w:val="008A5F6F"/>
    <w:rsid w:val="008A5F89"/>
    <w:rsid w:val="008A6271"/>
    <w:rsid w:val="008A6326"/>
    <w:rsid w:val="008A6502"/>
    <w:rsid w:val="008A6AFA"/>
    <w:rsid w:val="008A6B74"/>
    <w:rsid w:val="008A6EB1"/>
    <w:rsid w:val="008A78EF"/>
    <w:rsid w:val="008A791D"/>
    <w:rsid w:val="008B01B0"/>
    <w:rsid w:val="008B01D4"/>
    <w:rsid w:val="008B0292"/>
    <w:rsid w:val="008B0348"/>
    <w:rsid w:val="008B03C8"/>
    <w:rsid w:val="008B0463"/>
    <w:rsid w:val="008B0660"/>
    <w:rsid w:val="008B0AB5"/>
    <w:rsid w:val="008B0C02"/>
    <w:rsid w:val="008B1285"/>
    <w:rsid w:val="008B1296"/>
    <w:rsid w:val="008B1311"/>
    <w:rsid w:val="008B1370"/>
    <w:rsid w:val="008B15EE"/>
    <w:rsid w:val="008B1D08"/>
    <w:rsid w:val="008B1E63"/>
    <w:rsid w:val="008B2356"/>
    <w:rsid w:val="008B28CF"/>
    <w:rsid w:val="008B2903"/>
    <w:rsid w:val="008B2956"/>
    <w:rsid w:val="008B45BA"/>
    <w:rsid w:val="008B51C0"/>
    <w:rsid w:val="008B5382"/>
    <w:rsid w:val="008B53F6"/>
    <w:rsid w:val="008B561D"/>
    <w:rsid w:val="008B568F"/>
    <w:rsid w:val="008B574C"/>
    <w:rsid w:val="008B5978"/>
    <w:rsid w:val="008B5DD8"/>
    <w:rsid w:val="008B621E"/>
    <w:rsid w:val="008B64E9"/>
    <w:rsid w:val="008B6663"/>
    <w:rsid w:val="008B6B0D"/>
    <w:rsid w:val="008B6CE1"/>
    <w:rsid w:val="008B71E0"/>
    <w:rsid w:val="008B7302"/>
    <w:rsid w:val="008B7D50"/>
    <w:rsid w:val="008B7FBF"/>
    <w:rsid w:val="008C0182"/>
    <w:rsid w:val="008C04F2"/>
    <w:rsid w:val="008C14C0"/>
    <w:rsid w:val="008C1567"/>
    <w:rsid w:val="008C1868"/>
    <w:rsid w:val="008C1F4B"/>
    <w:rsid w:val="008C258F"/>
    <w:rsid w:val="008C275C"/>
    <w:rsid w:val="008C2B30"/>
    <w:rsid w:val="008C2BEA"/>
    <w:rsid w:val="008C2C61"/>
    <w:rsid w:val="008C2DF8"/>
    <w:rsid w:val="008C30D6"/>
    <w:rsid w:val="008C320F"/>
    <w:rsid w:val="008C3475"/>
    <w:rsid w:val="008C3895"/>
    <w:rsid w:val="008C3E19"/>
    <w:rsid w:val="008C4196"/>
    <w:rsid w:val="008C465B"/>
    <w:rsid w:val="008C46DD"/>
    <w:rsid w:val="008C48D4"/>
    <w:rsid w:val="008C4B36"/>
    <w:rsid w:val="008C580D"/>
    <w:rsid w:val="008C6067"/>
    <w:rsid w:val="008C60AC"/>
    <w:rsid w:val="008C6988"/>
    <w:rsid w:val="008C6EAA"/>
    <w:rsid w:val="008C6F96"/>
    <w:rsid w:val="008C7112"/>
    <w:rsid w:val="008C7126"/>
    <w:rsid w:val="008C75F9"/>
    <w:rsid w:val="008C7653"/>
    <w:rsid w:val="008C7822"/>
    <w:rsid w:val="008C784F"/>
    <w:rsid w:val="008C7AAA"/>
    <w:rsid w:val="008C7C7C"/>
    <w:rsid w:val="008C7DAA"/>
    <w:rsid w:val="008C7ECE"/>
    <w:rsid w:val="008D00AB"/>
    <w:rsid w:val="008D0501"/>
    <w:rsid w:val="008D07A0"/>
    <w:rsid w:val="008D0B43"/>
    <w:rsid w:val="008D1628"/>
    <w:rsid w:val="008D18BF"/>
    <w:rsid w:val="008D1CBE"/>
    <w:rsid w:val="008D1DFE"/>
    <w:rsid w:val="008D1EDF"/>
    <w:rsid w:val="008D28F0"/>
    <w:rsid w:val="008D31EA"/>
    <w:rsid w:val="008D3504"/>
    <w:rsid w:val="008D3893"/>
    <w:rsid w:val="008D39A5"/>
    <w:rsid w:val="008D4068"/>
    <w:rsid w:val="008D413B"/>
    <w:rsid w:val="008D428A"/>
    <w:rsid w:val="008D47A3"/>
    <w:rsid w:val="008D4B6E"/>
    <w:rsid w:val="008D4EE3"/>
    <w:rsid w:val="008D548C"/>
    <w:rsid w:val="008D5601"/>
    <w:rsid w:val="008D579A"/>
    <w:rsid w:val="008D669E"/>
    <w:rsid w:val="008D66D1"/>
    <w:rsid w:val="008D6793"/>
    <w:rsid w:val="008D6842"/>
    <w:rsid w:val="008D6CAC"/>
    <w:rsid w:val="008D73BF"/>
    <w:rsid w:val="008D7436"/>
    <w:rsid w:val="008D7437"/>
    <w:rsid w:val="008D74BD"/>
    <w:rsid w:val="008D75C5"/>
    <w:rsid w:val="008D7C94"/>
    <w:rsid w:val="008D7F8D"/>
    <w:rsid w:val="008E006C"/>
    <w:rsid w:val="008E0925"/>
    <w:rsid w:val="008E0D52"/>
    <w:rsid w:val="008E0E12"/>
    <w:rsid w:val="008E0F35"/>
    <w:rsid w:val="008E1194"/>
    <w:rsid w:val="008E1265"/>
    <w:rsid w:val="008E1301"/>
    <w:rsid w:val="008E1894"/>
    <w:rsid w:val="008E1998"/>
    <w:rsid w:val="008E1A18"/>
    <w:rsid w:val="008E1C4C"/>
    <w:rsid w:val="008E1CFF"/>
    <w:rsid w:val="008E1D3D"/>
    <w:rsid w:val="008E1FFA"/>
    <w:rsid w:val="008E21CA"/>
    <w:rsid w:val="008E23B9"/>
    <w:rsid w:val="008E28F8"/>
    <w:rsid w:val="008E29E4"/>
    <w:rsid w:val="008E2AED"/>
    <w:rsid w:val="008E2D4E"/>
    <w:rsid w:val="008E30EF"/>
    <w:rsid w:val="008E3971"/>
    <w:rsid w:val="008E39CE"/>
    <w:rsid w:val="008E3BE8"/>
    <w:rsid w:val="008E3CE4"/>
    <w:rsid w:val="008E3D7E"/>
    <w:rsid w:val="008E4238"/>
    <w:rsid w:val="008E42AF"/>
    <w:rsid w:val="008E4D8C"/>
    <w:rsid w:val="008E4DEA"/>
    <w:rsid w:val="008E4F22"/>
    <w:rsid w:val="008E527F"/>
    <w:rsid w:val="008E52FD"/>
    <w:rsid w:val="008E53D2"/>
    <w:rsid w:val="008E5B17"/>
    <w:rsid w:val="008E5B64"/>
    <w:rsid w:val="008E5C20"/>
    <w:rsid w:val="008E5E59"/>
    <w:rsid w:val="008E5F71"/>
    <w:rsid w:val="008E6525"/>
    <w:rsid w:val="008E6A9A"/>
    <w:rsid w:val="008E6D97"/>
    <w:rsid w:val="008E715C"/>
    <w:rsid w:val="008E747F"/>
    <w:rsid w:val="008E779A"/>
    <w:rsid w:val="008E7E70"/>
    <w:rsid w:val="008F000C"/>
    <w:rsid w:val="008F01F1"/>
    <w:rsid w:val="008F0202"/>
    <w:rsid w:val="008F05E2"/>
    <w:rsid w:val="008F07F5"/>
    <w:rsid w:val="008F13F1"/>
    <w:rsid w:val="008F1D2A"/>
    <w:rsid w:val="008F2167"/>
    <w:rsid w:val="008F238E"/>
    <w:rsid w:val="008F26C8"/>
    <w:rsid w:val="008F298D"/>
    <w:rsid w:val="008F2B9B"/>
    <w:rsid w:val="008F3187"/>
    <w:rsid w:val="008F3611"/>
    <w:rsid w:val="008F3841"/>
    <w:rsid w:val="008F3999"/>
    <w:rsid w:val="008F3B1D"/>
    <w:rsid w:val="008F3B69"/>
    <w:rsid w:val="008F3DD1"/>
    <w:rsid w:val="008F41F7"/>
    <w:rsid w:val="008F420B"/>
    <w:rsid w:val="008F4416"/>
    <w:rsid w:val="008F453A"/>
    <w:rsid w:val="008F48FC"/>
    <w:rsid w:val="008F4959"/>
    <w:rsid w:val="008F4A15"/>
    <w:rsid w:val="008F4E0B"/>
    <w:rsid w:val="008F4F60"/>
    <w:rsid w:val="008F5197"/>
    <w:rsid w:val="008F51EF"/>
    <w:rsid w:val="008F53E4"/>
    <w:rsid w:val="008F5901"/>
    <w:rsid w:val="008F5C8A"/>
    <w:rsid w:val="008F5D60"/>
    <w:rsid w:val="008F5E2A"/>
    <w:rsid w:val="008F62F9"/>
    <w:rsid w:val="008F68B2"/>
    <w:rsid w:val="008F6B68"/>
    <w:rsid w:val="009001DF"/>
    <w:rsid w:val="0090024F"/>
    <w:rsid w:val="009002D2"/>
    <w:rsid w:val="009002EC"/>
    <w:rsid w:val="0090070D"/>
    <w:rsid w:val="00900FCF"/>
    <w:rsid w:val="00901556"/>
    <w:rsid w:val="00901902"/>
    <w:rsid w:val="00901999"/>
    <w:rsid w:val="009019AA"/>
    <w:rsid w:val="00901D3C"/>
    <w:rsid w:val="009020B9"/>
    <w:rsid w:val="009020F5"/>
    <w:rsid w:val="0090273D"/>
    <w:rsid w:val="00902833"/>
    <w:rsid w:val="00903121"/>
    <w:rsid w:val="009032BD"/>
    <w:rsid w:val="009037CC"/>
    <w:rsid w:val="00903B95"/>
    <w:rsid w:val="00903D50"/>
    <w:rsid w:val="00904556"/>
    <w:rsid w:val="00904564"/>
    <w:rsid w:val="00904703"/>
    <w:rsid w:val="00904A60"/>
    <w:rsid w:val="00904B9A"/>
    <w:rsid w:val="009050CE"/>
    <w:rsid w:val="00905A07"/>
    <w:rsid w:val="00905A7E"/>
    <w:rsid w:val="00905EBD"/>
    <w:rsid w:val="0090609A"/>
    <w:rsid w:val="00906113"/>
    <w:rsid w:val="00906116"/>
    <w:rsid w:val="009061F7"/>
    <w:rsid w:val="00906749"/>
    <w:rsid w:val="00906C67"/>
    <w:rsid w:val="009070A6"/>
    <w:rsid w:val="00907516"/>
    <w:rsid w:val="009077E5"/>
    <w:rsid w:val="00907AD1"/>
    <w:rsid w:val="00907EB2"/>
    <w:rsid w:val="0091023A"/>
    <w:rsid w:val="00910498"/>
    <w:rsid w:val="0091081B"/>
    <w:rsid w:val="00910C10"/>
    <w:rsid w:val="00911081"/>
    <w:rsid w:val="00911691"/>
    <w:rsid w:val="009119DE"/>
    <w:rsid w:val="00911ADD"/>
    <w:rsid w:val="00911E8C"/>
    <w:rsid w:val="009126C8"/>
    <w:rsid w:val="00912B74"/>
    <w:rsid w:val="00912B86"/>
    <w:rsid w:val="00912C9E"/>
    <w:rsid w:val="00912DF8"/>
    <w:rsid w:val="00913081"/>
    <w:rsid w:val="00913DF4"/>
    <w:rsid w:val="009143DE"/>
    <w:rsid w:val="009147E7"/>
    <w:rsid w:val="00914B20"/>
    <w:rsid w:val="00914D78"/>
    <w:rsid w:val="00914DC5"/>
    <w:rsid w:val="00914F0C"/>
    <w:rsid w:val="00915408"/>
    <w:rsid w:val="009154B0"/>
    <w:rsid w:val="0091557B"/>
    <w:rsid w:val="0091583F"/>
    <w:rsid w:val="00915B54"/>
    <w:rsid w:val="00915E0E"/>
    <w:rsid w:val="00915F88"/>
    <w:rsid w:val="009166B7"/>
    <w:rsid w:val="00916886"/>
    <w:rsid w:val="00916B03"/>
    <w:rsid w:val="00916B9C"/>
    <w:rsid w:val="009170CE"/>
    <w:rsid w:val="0091712F"/>
    <w:rsid w:val="009174EF"/>
    <w:rsid w:val="00917599"/>
    <w:rsid w:val="00917AA5"/>
    <w:rsid w:val="00917DB1"/>
    <w:rsid w:val="00920004"/>
    <w:rsid w:val="00920AF7"/>
    <w:rsid w:val="00921094"/>
    <w:rsid w:val="009211E8"/>
    <w:rsid w:val="009219CF"/>
    <w:rsid w:val="00921CE1"/>
    <w:rsid w:val="00922030"/>
    <w:rsid w:val="00922837"/>
    <w:rsid w:val="00922F37"/>
    <w:rsid w:val="0092319A"/>
    <w:rsid w:val="00923627"/>
    <w:rsid w:val="0092399F"/>
    <w:rsid w:val="00923D78"/>
    <w:rsid w:val="00923D8D"/>
    <w:rsid w:val="00923DE9"/>
    <w:rsid w:val="00923EEE"/>
    <w:rsid w:val="00924404"/>
    <w:rsid w:val="0092443F"/>
    <w:rsid w:val="0092444B"/>
    <w:rsid w:val="0092459C"/>
    <w:rsid w:val="009247AD"/>
    <w:rsid w:val="009248AD"/>
    <w:rsid w:val="00924907"/>
    <w:rsid w:val="009249CE"/>
    <w:rsid w:val="00924EA8"/>
    <w:rsid w:val="009250C0"/>
    <w:rsid w:val="0092511E"/>
    <w:rsid w:val="00925521"/>
    <w:rsid w:val="009256D1"/>
    <w:rsid w:val="009257CF"/>
    <w:rsid w:val="009259FD"/>
    <w:rsid w:val="00925EDA"/>
    <w:rsid w:val="00925F87"/>
    <w:rsid w:val="00926139"/>
    <w:rsid w:val="0092613D"/>
    <w:rsid w:val="009263DD"/>
    <w:rsid w:val="0092695E"/>
    <w:rsid w:val="00926B7F"/>
    <w:rsid w:val="00927595"/>
    <w:rsid w:val="00927695"/>
    <w:rsid w:val="00927888"/>
    <w:rsid w:val="00927B80"/>
    <w:rsid w:val="00927DB5"/>
    <w:rsid w:val="00927E16"/>
    <w:rsid w:val="00927F2F"/>
    <w:rsid w:val="009303FB"/>
    <w:rsid w:val="00930407"/>
    <w:rsid w:val="00930419"/>
    <w:rsid w:val="009304C8"/>
    <w:rsid w:val="00930BC0"/>
    <w:rsid w:val="00930F75"/>
    <w:rsid w:val="00931034"/>
    <w:rsid w:val="00931087"/>
    <w:rsid w:val="00931743"/>
    <w:rsid w:val="009319FC"/>
    <w:rsid w:val="00931C60"/>
    <w:rsid w:val="00931D75"/>
    <w:rsid w:val="00931F77"/>
    <w:rsid w:val="00932205"/>
    <w:rsid w:val="00932883"/>
    <w:rsid w:val="009328F5"/>
    <w:rsid w:val="00932AA7"/>
    <w:rsid w:val="00932B09"/>
    <w:rsid w:val="00932E44"/>
    <w:rsid w:val="0093356A"/>
    <w:rsid w:val="00933616"/>
    <w:rsid w:val="00933A7C"/>
    <w:rsid w:val="00933DD8"/>
    <w:rsid w:val="00934CC5"/>
    <w:rsid w:val="009359E3"/>
    <w:rsid w:val="00936382"/>
    <w:rsid w:val="009368A7"/>
    <w:rsid w:val="00936A09"/>
    <w:rsid w:val="00936DAE"/>
    <w:rsid w:val="00936FF1"/>
    <w:rsid w:val="00937002"/>
    <w:rsid w:val="0093743D"/>
    <w:rsid w:val="00937B84"/>
    <w:rsid w:val="00937D55"/>
    <w:rsid w:val="00937DF0"/>
    <w:rsid w:val="00937EE0"/>
    <w:rsid w:val="009408FE"/>
    <w:rsid w:val="00940F01"/>
    <w:rsid w:val="009410B5"/>
    <w:rsid w:val="009411CE"/>
    <w:rsid w:val="009415E8"/>
    <w:rsid w:val="00941639"/>
    <w:rsid w:val="00941690"/>
    <w:rsid w:val="009422A5"/>
    <w:rsid w:val="0094246A"/>
    <w:rsid w:val="00942B1B"/>
    <w:rsid w:val="00942EAA"/>
    <w:rsid w:val="0094301E"/>
    <w:rsid w:val="009431DE"/>
    <w:rsid w:val="00943262"/>
    <w:rsid w:val="00943853"/>
    <w:rsid w:val="00943E55"/>
    <w:rsid w:val="00944989"/>
    <w:rsid w:val="00944DCC"/>
    <w:rsid w:val="00944F23"/>
    <w:rsid w:val="009450FE"/>
    <w:rsid w:val="00945157"/>
    <w:rsid w:val="00945485"/>
    <w:rsid w:val="00945C32"/>
    <w:rsid w:val="00945C8F"/>
    <w:rsid w:val="00946201"/>
    <w:rsid w:val="009463BE"/>
    <w:rsid w:val="00946440"/>
    <w:rsid w:val="009466D3"/>
    <w:rsid w:val="00946FAD"/>
    <w:rsid w:val="009501A6"/>
    <w:rsid w:val="009506E2"/>
    <w:rsid w:val="00950A43"/>
    <w:rsid w:val="00950B2E"/>
    <w:rsid w:val="00950B4E"/>
    <w:rsid w:val="00950BBD"/>
    <w:rsid w:val="00951270"/>
    <w:rsid w:val="009512B8"/>
    <w:rsid w:val="009516F6"/>
    <w:rsid w:val="0095191E"/>
    <w:rsid w:val="00951D23"/>
    <w:rsid w:val="0095215B"/>
    <w:rsid w:val="00952429"/>
    <w:rsid w:val="00952EAD"/>
    <w:rsid w:val="009530E5"/>
    <w:rsid w:val="0095328E"/>
    <w:rsid w:val="009536FC"/>
    <w:rsid w:val="00953724"/>
    <w:rsid w:val="009537AF"/>
    <w:rsid w:val="0095426A"/>
    <w:rsid w:val="00954BD6"/>
    <w:rsid w:val="00954CEC"/>
    <w:rsid w:val="00954D87"/>
    <w:rsid w:val="00955BBD"/>
    <w:rsid w:val="00955CBA"/>
    <w:rsid w:val="009560E5"/>
    <w:rsid w:val="0095617B"/>
    <w:rsid w:val="009564C9"/>
    <w:rsid w:val="00956697"/>
    <w:rsid w:val="00956787"/>
    <w:rsid w:val="009575A0"/>
    <w:rsid w:val="0095773C"/>
    <w:rsid w:val="00957753"/>
    <w:rsid w:val="00957936"/>
    <w:rsid w:val="009579EE"/>
    <w:rsid w:val="009579F7"/>
    <w:rsid w:val="00957C1B"/>
    <w:rsid w:val="00957DA8"/>
    <w:rsid w:val="00957E8B"/>
    <w:rsid w:val="009604C4"/>
    <w:rsid w:val="009604F3"/>
    <w:rsid w:val="009606D0"/>
    <w:rsid w:val="00961055"/>
    <w:rsid w:val="009612C2"/>
    <w:rsid w:val="009613A2"/>
    <w:rsid w:val="0096141C"/>
    <w:rsid w:val="009616FE"/>
    <w:rsid w:val="0096182C"/>
    <w:rsid w:val="00961DE1"/>
    <w:rsid w:val="009620D0"/>
    <w:rsid w:val="00962E14"/>
    <w:rsid w:val="00962EC1"/>
    <w:rsid w:val="00963ACB"/>
    <w:rsid w:val="00963D9E"/>
    <w:rsid w:val="00964089"/>
    <w:rsid w:val="0096410E"/>
    <w:rsid w:val="009642B7"/>
    <w:rsid w:val="009645AC"/>
    <w:rsid w:val="00964A1F"/>
    <w:rsid w:val="00964A3D"/>
    <w:rsid w:val="00964ABF"/>
    <w:rsid w:val="00964AD7"/>
    <w:rsid w:val="00964F10"/>
    <w:rsid w:val="00965084"/>
    <w:rsid w:val="00965455"/>
    <w:rsid w:val="00965485"/>
    <w:rsid w:val="00965A1A"/>
    <w:rsid w:val="00965B0F"/>
    <w:rsid w:val="00965BEA"/>
    <w:rsid w:val="00965D73"/>
    <w:rsid w:val="0096602B"/>
    <w:rsid w:val="0096632F"/>
    <w:rsid w:val="00966805"/>
    <w:rsid w:val="00966CDD"/>
    <w:rsid w:val="00966D86"/>
    <w:rsid w:val="00966E54"/>
    <w:rsid w:val="009670AF"/>
    <w:rsid w:val="00967A79"/>
    <w:rsid w:val="00967AF6"/>
    <w:rsid w:val="00967B9C"/>
    <w:rsid w:val="009700C9"/>
    <w:rsid w:val="00970BD9"/>
    <w:rsid w:val="00970EA4"/>
    <w:rsid w:val="00970FBB"/>
    <w:rsid w:val="00971B9B"/>
    <w:rsid w:val="00971DF9"/>
    <w:rsid w:val="009720E3"/>
    <w:rsid w:val="00972CB8"/>
    <w:rsid w:val="00972F36"/>
    <w:rsid w:val="009737F5"/>
    <w:rsid w:val="00973CF9"/>
    <w:rsid w:val="00973D85"/>
    <w:rsid w:val="00973F66"/>
    <w:rsid w:val="009741D8"/>
    <w:rsid w:val="009742F3"/>
    <w:rsid w:val="0097466B"/>
    <w:rsid w:val="00974A35"/>
    <w:rsid w:val="00975153"/>
    <w:rsid w:val="009753DA"/>
    <w:rsid w:val="00975679"/>
    <w:rsid w:val="00975838"/>
    <w:rsid w:val="00975A3C"/>
    <w:rsid w:val="00975F13"/>
    <w:rsid w:val="00975F49"/>
    <w:rsid w:val="0097639A"/>
    <w:rsid w:val="0097696C"/>
    <w:rsid w:val="00977014"/>
    <w:rsid w:val="00977247"/>
    <w:rsid w:val="00977993"/>
    <w:rsid w:val="00977D8A"/>
    <w:rsid w:val="00977FA5"/>
    <w:rsid w:val="00980351"/>
    <w:rsid w:val="0098038E"/>
    <w:rsid w:val="009805A7"/>
    <w:rsid w:val="009806CA"/>
    <w:rsid w:val="00980EF8"/>
    <w:rsid w:val="00980F0D"/>
    <w:rsid w:val="0098158D"/>
    <w:rsid w:val="009819D9"/>
    <w:rsid w:val="00981CAE"/>
    <w:rsid w:val="00981FA8"/>
    <w:rsid w:val="00982088"/>
    <w:rsid w:val="00982125"/>
    <w:rsid w:val="00982F55"/>
    <w:rsid w:val="00983235"/>
    <w:rsid w:val="00983AB5"/>
    <w:rsid w:val="00983AFD"/>
    <w:rsid w:val="00983DCF"/>
    <w:rsid w:val="00983F4D"/>
    <w:rsid w:val="0098401B"/>
    <w:rsid w:val="0098429A"/>
    <w:rsid w:val="009845C8"/>
    <w:rsid w:val="00984682"/>
    <w:rsid w:val="009847AA"/>
    <w:rsid w:val="0098489E"/>
    <w:rsid w:val="00984A6C"/>
    <w:rsid w:val="00984D4C"/>
    <w:rsid w:val="009850A0"/>
    <w:rsid w:val="0098514C"/>
    <w:rsid w:val="0098545B"/>
    <w:rsid w:val="009854F7"/>
    <w:rsid w:val="009857EF"/>
    <w:rsid w:val="00985AC6"/>
    <w:rsid w:val="00985D98"/>
    <w:rsid w:val="00985FC0"/>
    <w:rsid w:val="00986069"/>
    <w:rsid w:val="0098611D"/>
    <w:rsid w:val="009862FF"/>
    <w:rsid w:val="009863ED"/>
    <w:rsid w:val="00986400"/>
    <w:rsid w:val="009864AE"/>
    <w:rsid w:val="0098758E"/>
    <w:rsid w:val="0098777E"/>
    <w:rsid w:val="0098785C"/>
    <w:rsid w:val="00987A14"/>
    <w:rsid w:val="009908F4"/>
    <w:rsid w:val="00990C98"/>
    <w:rsid w:val="00990DDE"/>
    <w:rsid w:val="00991222"/>
    <w:rsid w:val="0099158E"/>
    <w:rsid w:val="00991846"/>
    <w:rsid w:val="00991B1A"/>
    <w:rsid w:val="00991D0E"/>
    <w:rsid w:val="00991F38"/>
    <w:rsid w:val="00992041"/>
    <w:rsid w:val="00992179"/>
    <w:rsid w:val="009921FA"/>
    <w:rsid w:val="00992802"/>
    <w:rsid w:val="009928C6"/>
    <w:rsid w:val="009928DC"/>
    <w:rsid w:val="0099298A"/>
    <w:rsid w:val="0099308D"/>
    <w:rsid w:val="00993203"/>
    <w:rsid w:val="00993387"/>
    <w:rsid w:val="00993B80"/>
    <w:rsid w:val="0099409E"/>
    <w:rsid w:val="00994274"/>
    <w:rsid w:val="00994305"/>
    <w:rsid w:val="0099479A"/>
    <w:rsid w:val="009948F1"/>
    <w:rsid w:val="00994F80"/>
    <w:rsid w:val="009954E6"/>
    <w:rsid w:val="0099575D"/>
    <w:rsid w:val="00995A0A"/>
    <w:rsid w:val="00995A25"/>
    <w:rsid w:val="00995B8B"/>
    <w:rsid w:val="00995F1F"/>
    <w:rsid w:val="00996749"/>
    <w:rsid w:val="00996A58"/>
    <w:rsid w:val="00996B53"/>
    <w:rsid w:val="00997417"/>
    <w:rsid w:val="009975F5"/>
    <w:rsid w:val="00997B7E"/>
    <w:rsid w:val="00997FC7"/>
    <w:rsid w:val="009A04A6"/>
    <w:rsid w:val="009A0B64"/>
    <w:rsid w:val="009A0F84"/>
    <w:rsid w:val="009A110B"/>
    <w:rsid w:val="009A1563"/>
    <w:rsid w:val="009A1E4F"/>
    <w:rsid w:val="009A20F3"/>
    <w:rsid w:val="009A21E2"/>
    <w:rsid w:val="009A21E3"/>
    <w:rsid w:val="009A24B3"/>
    <w:rsid w:val="009A268F"/>
    <w:rsid w:val="009A28D7"/>
    <w:rsid w:val="009A2D03"/>
    <w:rsid w:val="009A39DC"/>
    <w:rsid w:val="009A3B6A"/>
    <w:rsid w:val="009A3F27"/>
    <w:rsid w:val="009A43FC"/>
    <w:rsid w:val="009A4CB4"/>
    <w:rsid w:val="009A4EE2"/>
    <w:rsid w:val="009A5138"/>
    <w:rsid w:val="009A52B5"/>
    <w:rsid w:val="009A531C"/>
    <w:rsid w:val="009A5753"/>
    <w:rsid w:val="009A57EB"/>
    <w:rsid w:val="009A5967"/>
    <w:rsid w:val="009A5AB5"/>
    <w:rsid w:val="009A6437"/>
    <w:rsid w:val="009A6465"/>
    <w:rsid w:val="009A65B0"/>
    <w:rsid w:val="009A6612"/>
    <w:rsid w:val="009A667A"/>
    <w:rsid w:val="009A678E"/>
    <w:rsid w:val="009A67A3"/>
    <w:rsid w:val="009A68C8"/>
    <w:rsid w:val="009A699B"/>
    <w:rsid w:val="009A6CA4"/>
    <w:rsid w:val="009A7168"/>
    <w:rsid w:val="009A71BC"/>
    <w:rsid w:val="009A7BA5"/>
    <w:rsid w:val="009A7E7C"/>
    <w:rsid w:val="009B018D"/>
    <w:rsid w:val="009B0729"/>
    <w:rsid w:val="009B103D"/>
    <w:rsid w:val="009B1313"/>
    <w:rsid w:val="009B1721"/>
    <w:rsid w:val="009B180C"/>
    <w:rsid w:val="009B2036"/>
    <w:rsid w:val="009B209D"/>
    <w:rsid w:val="009B21D0"/>
    <w:rsid w:val="009B25E9"/>
    <w:rsid w:val="009B29AB"/>
    <w:rsid w:val="009B2C6E"/>
    <w:rsid w:val="009B3624"/>
    <w:rsid w:val="009B37AD"/>
    <w:rsid w:val="009B3C70"/>
    <w:rsid w:val="009B3EBA"/>
    <w:rsid w:val="009B3EFA"/>
    <w:rsid w:val="009B42F4"/>
    <w:rsid w:val="009B4A9B"/>
    <w:rsid w:val="009B585F"/>
    <w:rsid w:val="009B644B"/>
    <w:rsid w:val="009B68E6"/>
    <w:rsid w:val="009B6A52"/>
    <w:rsid w:val="009B6ACA"/>
    <w:rsid w:val="009B6DDA"/>
    <w:rsid w:val="009B6EBC"/>
    <w:rsid w:val="009B6FAE"/>
    <w:rsid w:val="009B73DE"/>
    <w:rsid w:val="009B7A84"/>
    <w:rsid w:val="009B7A96"/>
    <w:rsid w:val="009B7ADB"/>
    <w:rsid w:val="009B7C85"/>
    <w:rsid w:val="009B7E02"/>
    <w:rsid w:val="009B7E22"/>
    <w:rsid w:val="009B7FD9"/>
    <w:rsid w:val="009C04E9"/>
    <w:rsid w:val="009C06AF"/>
    <w:rsid w:val="009C0871"/>
    <w:rsid w:val="009C089A"/>
    <w:rsid w:val="009C08B7"/>
    <w:rsid w:val="009C09B8"/>
    <w:rsid w:val="009C0B9A"/>
    <w:rsid w:val="009C0D95"/>
    <w:rsid w:val="009C0F42"/>
    <w:rsid w:val="009C163C"/>
    <w:rsid w:val="009C17C5"/>
    <w:rsid w:val="009C17E2"/>
    <w:rsid w:val="009C181F"/>
    <w:rsid w:val="009C1AD6"/>
    <w:rsid w:val="009C2214"/>
    <w:rsid w:val="009C239A"/>
    <w:rsid w:val="009C2B4F"/>
    <w:rsid w:val="009C2E14"/>
    <w:rsid w:val="009C3130"/>
    <w:rsid w:val="009C34BB"/>
    <w:rsid w:val="009C3668"/>
    <w:rsid w:val="009C36AB"/>
    <w:rsid w:val="009C387F"/>
    <w:rsid w:val="009C394D"/>
    <w:rsid w:val="009C3F9C"/>
    <w:rsid w:val="009C404D"/>
    <w:rsid w:val="009C42D6"/>
    <w:rsid w:val="009C4A1B"/>
    <w:rsid w:val="009C4AE7"/>
    <w:rsid w:val="009C4CDB"/>
    <w:rsid w:val="009C4DC8"/>
    <w:rsid w:val="009C4ECF"/>
    <w:rsid w:val="009C53E7"/>
    <w:rsid w:val="009C5699"/>
    <w:rsid w:val="009C5BA6"/>
    <w:rsid w:val="009C610F"/>
    <w:rsid w:val="009C659F"/>
    <w:rsid w:val="009C65A2"/>
    <w:rsid w:val="009C6DB8"/>
    <w:rsid w:val="009C6EA2"/>
    <w:rsid w:val="009C77BF"/>
    <w:rsid w:val="009C7C12"/>
    <w:rsid w:val="009C7C37"/>
    <w:rsid w:val="009D0196"/>
    <w:rsid w:val="009D0201"/>
    <w:rsid w:val="009D0DB2"/>
    <w:rsid w:val="009D0EA9"/>
    <w:rsid w:val="009D0FD1"/>
    <w:rsid w:val="009D1077"/>
    <w:rsid w:val="009D11E4"/>
    <w:rsid w:val="009D1AA9"/>
    <w:rsid w:val="009D1D04"/>
    <w:rsid w:val="009D2210"/>
    <w:rsid w:val="009D23A2"/>
    <w:rsid w:val="009D262A"/>
    <w:rsid w:val="009D262C"/>
    <w:rsid w:val="009D269B"/>
    <w:rsid w:val="009D28DB"/>
    <w:rsid w:val="009D29E0"/>
    <w:rsid w:val="009D2B03"/>
    <w:rsid w:val="009D2CBD"/>
    <w:rsid w:val="009D2F81"/>
    <w:rsid w:val="009D3F07"/>
    <w:rsid w:val="009D4309"/>
    <w:rsid w:val="009D4C9F"/>
    <w:rsid w:val="009D4D90"/>
    <w:rsid w:val="009D4F93"/>
    <w:rsid w:val="009D5054"/>
    <w:rsid w:val="009D5081"/>
    <w:rsid w:val="009D53F2"/>
    <w:rsid w:val="009D5402"/>
    <w:rsid w:val="009D5747"/>
    <w:rsid w:val="009D5F65"/>
    <w:rsid w:val="009D6407"/>
    <w:rsid w:val="009D649D"/>
    <w:rsid w:val="009D6576"/>
    <w:rsid w:val="009D65A0"/>
    <w:rsid w:val="009D65C9"/>
    <w:rsid w:val="009D6A08"/>
    <w:rsid w:val="009D6AC0"/>
    <w:rsid w:val="009D6C65"/>
    <w:rsid w:val="009D6D69"/>
    <w:rsid w:val="009D7226"/>
    <w:rsid w:val="009D72B3"/>
    <w:rsid w:val="009D73E3"/>
    <w:rsid w:val="009D78FA"/>
    <w:rsid w:val="009D7A5B"/>
    <w:rsid w:val="009D7DCA"/>
    <w:rsid w:val="009D7E2C"/>
    <w:rsid w:val="009E00F5"/>
    <w:rsid w:val="009E05A1"/>
    <w:rsid w:val="009E0E64"/>
    <w:rsid w:val="009E1113"/>
    <w:rsid w:val="009E1591"/>
    <w:rsid w:val="009E15BA"/>
    <w:rsid w:val="009E17D9"/>
    <w:rsid w:val="009E1A69"/>
    <w:rsid w:val="009E1B6C"/>
    <w:rsid w:val="009E24CA"/>
    <w:rsid w:val="009E25D4"/>
    <w:rsid w:val="009E3103"/>
    <w:rsid w:val="009E3284"/>
    <w:rsid w:val="009E3321"/>
    <w:rsid w:val="009E33BA"/>
    <w:rsid w:val="009E33D7"/>
    <w:rsid w:val="009E33EE"/>
    <w:rsid w:val="009E3CEB"/>
    <w:rsid w:val="009E3FF3"/>
    <w:rsid w:val="009E425A"/>
    <w:rsid w:val="009E4E20"/>
    <w:rsid w:val="009E505F"/>
    <w:rsid w:val="009E51CA"/>
    <w:rsid w:val="009E5F03"/>
    <w:rsid w:val="009E6094"/>
    <w:rsid w:val="009E610F"/>
    <w:rsid w:val="009E61EB"/>
    <w:rsid w:val="009E6753"/>
    <w:rsid w:val="009E688A"/>
    <w:rsid w:val="009E692D"/>
    <w:rsid w:val="009E6DDC"/>
    <w:rsid w:val="009E6EA8"/>
    <w:rsid w:val="009E6FCF"/>
    <w:rsid w:val="009E7068"/>
    <w:rsid w:val="009E72CB"/>
    <w:rsid w:val="009E73F1"/>
    <w:rsid w:val="009E7E26"/>
    <w:rsid w:val="009F0C2B"/>
    <w:rsid w:val="009F12F9"/>
    <w:rsid w:val="009F142E"/>
    <w:rsid w:val="009F1435"/>
    <w:rsid w:val="009F17B9"/>
    <w:rsid w:val="009F2187"/>
    <w:rsid w:val="009F22CF"/>
    <w:rsid w:val="009F3146"/>
    <w:rsid w:val="009F3357"/>
    <w:rsid w:val="009F3547"/>
    <w:rsid w:val="009F357F"/>
    <w:rsid w:val="009F364B"/>
    <w:rsid w:val="009F3787"/>
    <w:rsid w:val="009F384E"/>
    <w:rsid w:val="009F385A"/>
    <w:rsid w:val="009F3959"/>
    <w:rsid w:val="009F455F"/>
    <w:rsid w:val="009F456B"/>
    <w:rsid w:val="009F4D5A"/>
    <w:rsid w:val="009F50DF"/>
    <w:rsid w:val="009F5237"/>
    <w:rsid w:val="009F56AB"/>
    <w:rsid w:val="009F57AF"/>
    <w:rsid w:val="009F58DF"/>
    <w:rsid w:val="009F5D02"/>
    <w:rsid w:val="009F6117"/>
    <w:rsid w:val="009F6229"/>
    <w:rsid w:val="009F622D"/>
    <w:rsid w:val="009F6536"/>
    <w:rsid w:val="009F65D3"/>
    <w:rsid w:val="009F66E8"/>
    <w:rsid w:val="009F68F0"/>
    <w:rsid w:val="009F6A3F"/>
    <w:rsid w:val="009F6AB8"/>
    <w:rsid w:val="009F6E86"/>
    <w:rsid w:val="009F7015"/>
    <w:rsid w:val="009F7293"/>
    <w:rsid w:val="009F7437"/>
    <w:rsid w:val="009F7512"/>
    <w:rsid w:val="009F7857"/>
    <w:rsid w:val="009F79EB"/>
    <w:rsid w:val="00A00602"/>
    <w:rsid w:val="00A008B2"/>
    <w:rsid w:val="00A00FFC"/>
    <w:rsid w:val="00A0121D"/>
    <w:rsid w:val="00A0156B"/>
    <w:rsid w:val="00A0182E"/>
    <w:rsid w:val="00A018E6"/>
    <w:rsid w:val="00A01900"/>
    <w:rsid w:val="00A01AE7"/>
    <w:rsid w:val="00A02024"/>
    <w:rsid w:val="00A02E7A"/>
    <w:rsid w:val="00A032DC"/>
    <w:rsid w:val="00A032EE"/>
    <w:rsid w:val="00A03B4E"/>
    <w:rsid w:val="00A03DFB"/>
    <w:rsid w:val="00A03EDD"/>
    <w:rsid w:val="00A04005"/>
    <w:rsid w:val="00A04ADC"/>
    <w:rsid w:val="00A04C02"/>
    <w:rsid w:val="00A04C27"/>
    <w:rsid w:val="00A04F2A"/>
    <w:rsid w:val="00A05612"/>
    <w:rsid w:val="00A05DBE"/>
    <w:rsid w:val="00A063B1"/>
    <w:rsid w:val="00A06ABB"/>
    <w:rsid w:val="00A06AD0"/>
    <w:rsid w:val="00A06B15"/>
    <w:rsid w:val="00A06C25"/>
    <w:rsid w:val="00A07088"/>
    <w:rsid w:val="00A0751F"/>
    <w:rsid w:val="00A075DE"/>
    <w:rsid w:val="00A076CB"/>
    <w:rsid w:val="00A077BA"/>
    <w:rsid w:val="00A0794C"/>
    <w:rsid w:val="00A079E3"/>
    <w:rsid w:val="00A07AF7"/>
    <w:rsid w:val="00A07B61"/>
    <w:rsid w:val="00A07C9C"/>
    <w:rsid w:val="00A07F1E"/>
    <w:rsid w:val="00A10D39"/>
    <w:rsid w:val="00A10FDB"/>
    <w:rsid w:val="00A11302"/>
    <w:rsid w:val="00A1156A"/>
    <w:rsid w:val="00A11573"/>
    <w:rsid w:val="00A11AD2"/>
    <w:rsid w:val="00A11F58"/>
    <w:rsid w:val="00A12016"/>
    <w:rsid w:val="00A122AA"/>
    <w:rsid w:val="00A1242F"/>
    <w:rsid w:val="00A1287A"/>
    <w:rsid w:val="00A12940"/>
    <w:rsid w:val="00A12C70"/>
    <w:rsid w:val="00A12CE4"/>
    <w:rsid w:val="00A1328C"/>
    <w:rsid w:val="00A13377"/>
    <w:rsid w:val="00A135B0"/>
    <w:rsid w:val="00A13671"/>
    <w:rsid w:val="00A1395E"/>
    <w:rsid w:val="00A1400A"/>
    <w:rsid w:val="00A141FA"/>
    <w:rsid w:val="00A146D1"/>
    <w:rsid w:val="00A147A9"/>
    <w:rsid w:val="00A14E04"/>
    <w:rsid w:val="00A15012"/>
    <w:rsid w:val="00A1506E"/>
    <w:rsid w:val="00A150DF"/>
    <w:rsid w:val="00A150E9"/>
    <w:rsid w:val="00A1514F"/>
    <w:rsid w:val="00A152D9"/>
    <w:rsid w:val="00A15539"/>
    <w:rsid w:val="00A15544"/>
    <w:rsid w:val="00A1556E"/>
    <w:rsid w:val="00A15DBF"/>
    <w:rsid w:val="00A160D9"/>
    <w:rsid w:val="00A162F2"/>
    <w:rsid w:val="00A168B4"/>
    <w:rsid w:val="00A16D1B"/>
    <w:rsid w:val="00A16F8A"/>
    <w:rsid w:val="00A170DD"/>
    <w:rsid w:val="00A1710E"/>
    <w:rsid w:val="00A17435"/>
    <w:rsid w:val="00A17883"/>
    <w:rsid w:val="00A179E2"/>
    <w:rsid w:val="00A200E6"/>
    <w:rsid w:val="00A20330"/>
    <w:rsid w:val="00A205F5"/>
    <w:rsid w:val="00A20624"/>
    <w:rsid w:val="00A20838"/>
    <w:rsid w:val="00A20857"/>
    <w:rsid w:val="00A20997"/>
    <w:rsid w:val="00A20CA8"/>
    <w:rsid w:val="00A20E39"/>
    <w:rsid w:val="00A20F03"/>
    <w:rsid w:val="00A20F23"/>
    <w:rsid w:val="00A20FD3"/>
    <w:rsid w:val="00A215A1"/>
    <w:rsid w:val="00A217A3"/>
    <w:rsid w:val="00A217AB"/>
    <w:rsid w:val="00A21AD8"/>
    <w:rsid w:val="00A21B72"/>
    <w:rsid w:val="00A21B97"/>
    <w:rsid w:val="00A21BAC"/>
    <w:rsid w:val="00A21D55"/>
    <w:rsid w:val="00A21DAE"/>
    <w:rsid w:val="00A221B4"/>
    <w:rsid w:val="00A2235E"/>
    <w:rsid w:val="00A22490"/>
    <w:rsid w:val="00A2275D"/>
    <w:rsid w:val="00A228E9"/>
    <w:rsid w:val="00A22A43"/>
    <w:rsid w:val="00A22EC6"/>
    <w:rsid w:val="00A22F5D"/>
    <w:rsid w:val="00A22F70"/>
    <w:rsid w:val="00A23137"/>
    <w:rsid w:val="00A23559"/>
    <w:rsid w:val="00A235C2"/>
    <w:rsid w:val="00A23644"/>
    <w:rsid w:val="00A23999"/>
    <w:rsid w:val="00A23C96"/>
    <w:rsid w:val="00A23E9B"/>
    <w:rsid w:val="00A23F01"/>
    <w:rsid w:val="00A24133"/>
    <w:rsid w:val="00A243A3"/>
    <w:rsid w:val="00A245F3"/>
    <w:rsid w:val="00A2460A"/>
    <w:rsid w:val="00A24784"/>
    <w:rsid w:val="00A24F53"/>
    <w:rsid w:val="00A24F6F"/>
    <w:rsid w:val="00A2514B"/>
    <w:rsid w:val="00A25189"/>
    <w:rsid w:val="00A25192"/>
    <w:rsid w:val="00A255A1"/>
    <w:rsid w:val="00A25694"/>
    <w:rsid w:val="00A257FD"/>
    <w:rsid w:val="00A25ABE"/>
    <w:rsid w:val="00A25C82"/>
    <w:rsid w:val="00A2611F"/>
    <w:rsid w:val="00A26418"/>
    <w:rsid w:val="00A2645A"/>
    <w:rsid w:val="00A2661A"/>
    <w:rsid w:val="00A26A70"/>
    <w:rsid w:val="00A26CA1"/>
    <w:rsid w:val="00A26CE0"/>
    <w:rsid w:val="00A26E88"/>
    <w:rsid w:val="00A2716C"/>
    <w:rsid w:val="00A272A5"/>
    <w:rsid w:val="00A27384"/>
    <w:rsid w:val="00A274B1"/>
    <w:rsid w:val="00A27656"/>
    <w:rsid w:val="00A278C2"/>
    <w:rsid w:val="00A278ED"/>
    <w:rsid w:val="00A30214"/>
    <w:rsid w:val="00A306A3"/>
    <w:rsid w:val="00A308F7"/>
    <w:rsid w:val="00A30A4C"/>
    <w:rsid w:val="00A30B15"/>
    <w:rsid w:val="00A30CDE"/>
    <w:rsid w:val="00A30F44"/>
    <w:rsid w:val="00A31104"/>
    <w:rsid w:val="00A31230"/>
    <w:rsid w:val="00A313C7"/>
    <w:rsid w:val="00A316C7"/>
    <w:rsid w:val="00A318CD"/>
    <w:rsid w:val="00A31C08"/>
    <w:rsid w:val="00A32110"/>
    <w:rsid w:val="00A323F8"/>
    <w:rsid w:val="00A324E6"/>
    <w:rsid w:val="00A324E8"/>
    <w:rsid w:val="00A32976"/>
    <w:rsid w:val="00A33C06"/>
    <w:rsid w:val="00A344F5"/>
    <w:rsid w:val="00A3497D"/>
    <w:rsid w:val="00A356D0"/>
    <w:rsid w:val="00A35A01"/>
    <w:rsid w:val="00A36275"/>
    <w:rsid w:val="00A36303"/>
    <w:rsid w:val="00A36550"/>
    <w:rsid w:val="00A367F4"/>
    <w:rsid w:val="00A3690C"/>
    <w:rsid w:val="00A36A27"/>
    <w:rsid w:val="00A36E14"/>
    <w:rsid w:val="00A36EFB"/>
    <w:rsid w:val="00A36F86"/>
    <w:rsid w:val="00A37C64"/>
    <w:rsid w:val="00A37DF2"/>
    <w:rsid w:val="00A37EB8"/>
    <w:rsid w:val="00A405F1"/>
    <w:rsid w:val="00A40BC5"/>
    <w:rsid w:val="00A40BEE"/>
    <w:rsid w:val="00A40CE5"/>
    <w:rsid w:val="00A4108A"/>
    <w:rsid w:val="00A410F6"/>
    <w:rsid w:val="00A41489"/>
    <w:rsid w:val="00A41628"/>
    <w:rsid w:val="00A41808"/>
    <w:rsid w:val="00A41944"/>
    <w:rsid w:val="00A41D28"/>
    <w:rsid w:val="00A423D0"/>
    <w:rsid w:val="00A42B04"/>
    <w:rsid w:val="00A42FA3"/>
    <w:rsid w:val="00A43532"/>
    <w:rsid w:val="00A438FC"/>
    <w:rsid w:val="00A43911"/>
    <w:rsid w:val="00A43C72"/>
    <w:rsid w:val="00A43D37"/>
    <w:rsid w:val="00A4486E"/>
    <w:rsid w:val="00A44AE3"/>
    <w:rsid w:val="00A44C61"/>
    <w:rsid w:val="00A44F3C"/>
    <w:rsid w:val="00A4562C"/>
    <w:rsid w:val="00A457FA"/>
    <w:rsid w:val="00A45AB8"/>
    <w:rsid w:val="00A45BA7"/>
    <w:rsid w:val="00A45E22"/>
    <w:rsid w:val="00A46ABD"/>
    <w:rsid w:val="00A470DE"/>
    <w:rsid w:val="00A47B80"/>
    <w:rsid w:val="00A47EDC"/>
    <w:rsid w:val="00A47FD4"/>
    <w:rsid w:val="00A502FA"/>
    <w:rsid w:val="00A502FB"/>
    <w:rsid w:val="00A505E6"/>
    <w:rsid w:val="00A509A8"/>
    <w:rsid w:val="00A50CD9"/>
    <w:rsid w:val="00A5107F"/>
    <w:rsid w:val="00A51251"/>
    <w:rsid w:val="00A5134B"/>
    <w:rsid w:val="00A514C5"/>
    <w:rsid w:val="00A515E5"/>
    <w:rsid w:val="00A51858"/>
    <w:rsid w:val="00A519AB"/>
    <w:rsid w:val="00A51A1B"/>
    <w:rsid w:val="00A51CEB"/>
    <w:rsid w:val="00A51DEF"/>
    <w:rsid w:val="00A51EDE"/>
    <w:rsid w:val="00A51F45"/>
    <w:rsid w:val="00A521C4"/>
    <w:rsid w:val="00A5278C"/>
    <w:rsid w:val="00A52967"/>
    <w:rsid w:val="00A52A7A"/>
    <w:rsid w:val="00A52D1B"/>
    <w:rsid w:val="00A52EAB"/>
    <w:rsid w:val="00A536A6"/>
    <w:rsid w:val="00A53A2A"/>
    <w:rsid w:val="00A53D09"/>
    <w:rsid w:val="00A540B7"/>
    <w:rsid w:val="00A5424A"/>
    <w:rsid w:val="00A543E0"/>
    <w:rsid w:val="00A54446"/>
    <w:rsid w:val="00A544E6"/>
    <w:rsid w:val="00A54745"/>
    <w:rsid w:val="00A547A7"/>
    <w:rsid w:val="00A54D38"/>
    <w:rsid w:val="00A553B6"/>
    <w:rsid w:val="00A55655"/>
    <w:rsid w:val="00A5585F"/>
    <w:rsid w:val="00A55EB6"/>
    <w:rsid w:val="00A5689F"/>
    <w:rsid w:val="00A5690B"/>
    <w:rsid w:val="00A5694D"/>
    <w:rsid w:val="00A56CE6"/>
    <w:rsid w:val="00A56DBB"/>
    <w:rsid w:val="00A57043"/>
    <w:rsid w:val="00A571D0"/>
    <w:rsid w:val="00A57A51"/>
    <w:rsid w:val="00A57C8F"/>
    <w:rsid w:val="00A57CCE"/>
    <w:rsid w:val="00A57D8F"/>
    <w:rsid w:val="00A57DC8"/>
    <w:rsid w:val="00A60085"/>
    <w:rsid w:val="00A60334"/>
    <w:rsid w:val="00A603D4"/>
    <w:rsid w:val="00A60684"/>
    <w:rsid w:val="00A607E6"/>
    <w:rsid w:val="00A60A8D"/>
    <w:rsid w:val="00A60BF3"/>
    <w:rsid w:val="00A60CD8"/>
    <w:rsid w:val="00A60D0E"/>
    <w:rsid w:val="00A60DCE"/>
    <w:rsid w:val="00A60E40"/>
    <w:rsid w:val="00A60E81"/>
    <w:rsid w:val="00A615DC"/>
    <w:rsid w:val="00A61621"/>
    <w:rsid w:val="00A61BE6"/>
    <w:rsid w:val="00A61C57"/>
    <w:rsid w:val="00A61F6B"/>
    <w:rsid w:val="00A62077"/>
    <w:rsid w:val="00A623B3"/>
    <w:rsid w:val="00A6240E"/>
    <w:rsid w:val="00A624F3"/>
    <w:rsid w:val="00A624FF"/>
    <w:rsid w:val="00A62509"/>
    <w:rsid w:val="00A627D3"/>
    <w:rsid w:val="00A628F0"/>
    <w:rsid w:val="00A62C8F"/>
    <w:rsid w:val="00A62CFF"/>
    <w:rsid w:val="00A62E44"/>
    <w:rsid w:val="00A63157"/>
    <w:rsid w:val="00A63370"/>
    <w:rsid w:val="00A635D0"/>
    <w:rsid w:val="00A63748"/>
    <w:rsid w:val="00A63AED"/>
    <w:rsid w:val="00A63F11"/>
    <w:rsid w:val="00A63F61"/>
    <w:rsid w:val="00A6430D"/>
    <w:rsid w:val="00A64388"/>
    <w:rsid w:val="00A646A5"/>
    <w:rsid w:val="00A646C5"/>
    <w:rsid w:val="00A6477A"/>
    <w:rsid w:val="00A64AC4"/>
    <w:rsid w:val="00A65514"/>
    <w:rsid w:val="00A6637E"/>
    <w:rsid w:val="00A6652B"/>
    <w:rsid w:val="00A66A52"/>
    <w:rsid w:val="00A66E3F"/>
    <w:rsid w:val="00A66EF9"/>
    <w:rsid w:val="00A67147"/>
    <w:rsid w:val="00A6761C"/>
    <w:rsid w:val="00A67A83"/>
    <w:rsid w:val="00A67AF5"/>
    <w:rsid w:val="00A67BD4"/>
    <w:rsid w:val="00A67F45"/>
    <w:rsid w:val="00A703E7"/>
    <w:rsid w:val="00A70689"/>
    <w:rsid w:val="00A70B4B"/>
    <w:rsid w:val="00A70E9D"/>
    <w:rsid w:val="00A71362"/>
    <w:rsid w:val="00A717D3"/>
    <w:rsid w:val="00A71860"/>
    <w:rsid w:val="00A71AED"/>
    <w:rsid w:val="00A71B84"/>
    <w:rsid w:val="00A721D9"/>
    <w:rsid w:val="00A722BF"/>
    <w:rsid w:val="00A7244B"/>
    <w:rsid w:val="00A727FB"/>
    <w:rsid w:val="00A7289E"/>
    <w:rsid w:val="00A72F8B"/>
    <w:rsid w:val="00A72FF7"/>
    <w:rsid w:val="00A73059"/>
    <w:rsid w:val="00A73121"/>
    <w:rsid w:val="00A734C6"/>
    <w:rsid w:val="00A73AAD"/>
    <w:rsid w:val="00A73CAB"/>
    <w:rsid w:val="00A73D96"/>
    <w:rsid w:val="00A73EBE"/>
    <w:rsid w:val="00A7403D"/>
    <w:rsid w:val="00A74048"/>
    <w:rsid w:val="00A74528"/>
    <w:rsid w:val="00A74873"/>
    <w:rsid w:val="00A74F51"/>
    <w:rsid w:val="00A75133"/>
    <w:rsid w:val="00A752D3"/>
    <w:rsid w:val="00A75482"/>
    <w:rsid w:val="00A7565B"/>
    <w:rsid w:val="00A758CC"/>
    <w:rsid w:val="00A75AFD"/>
    <w:rsid w:val="00A75C0A"/>
    <w:rsid w:val="00A76359"/>
    <w:rsid w:val="00A763DA"/>
    <w:rsid w:val="00A76806"/>
    <w:rsid w:val="00A76973"/>
    <w:rsid w:val="00A769AA"/>
    <w:rsid w:val="00A769D2"/>
    <w:rsid w:val="00A76FAD"/>
    <w:rsid w:val="00A77187"/>
    <w:rsid w:val="00A7737D"/>
    <w:rsid w:val="00A77679"/>
    <w:rsid w:val="00A77789"/>
    <w:rsid w:val="00A778CE"/>
    <w:rsid w:val="00A77B09"/>
    <w:rsid w:val="00A77C7A"/>
    <w:rsid w:val="00A77EA0"/>
    <w:rsid w:val="00A77F42"/>
    <w:rsid w:val="00A800E8"/>
    <w:rsid w:val="00A80298"/>
    <w:rsid w:val="00A80459"/>
    <w:rsid w:val="00A8061D"/>
    <w:rsid w:val="00A80A52"/>
    <w:rsid w:val="00A80AF5"/>
    <w:rsid w:val="00A80BE4"/>
    <w:rsid w:val="00A81507"/>
    <w:rsid w:val="00A8165A"/>
    <w:rsid w:val="00A81A0C"/>
    <w:rsid w:val="00A81A2F"/>
    <w:rsid w:val="00A81B09"/>
    <w:rsid w:val="00A81BEB"/>
    <w:rsid w:val="00A8284D"/>
    <w:rsid w:val="00A82C1B"/>
    <w:rsid w:val="00A82E27"/>
    <w:rsid w:val="00A83786"/>
    <w:rsid w:val="00A83E67"/>
    <w:rsid w:val="00A83EC4"/>
    <w:rsid w:val="00A84301"/>
    <w:rsid w:val="00A84396"/>
    <w:rsid w:val="00A84988"/>
    <w:rsid w:val="00A84B75"/>
    <w:rsid w:val="00A84D03"/>
    <w:rsid w:val="00A85797"/>
    <w:rsid w:val="00A85BC3"/>
    <w:rsid w:val="00A8660D"/>
    <w:rsid w:val="00A867A3"/>
    <w:rsid w:val="00A86A7D"/>
    <w:rsid w:val="00A86B25"/>
    <w:rsid w:val="00A86EAA"/>
    <w:rsid w:val="00A8715A"/>
    <w:rsid w:val="00A87763"/>
    <w:rsid w:val="00A8785A"/>
    <w:rsid w:val="00A87AF7"/>
    <w:rsid w:val="00A87B6B"/>
    <w:rsid w:val="00A87F40"/>
    <w:rsid w:val="00A9047E"/>
    <w:rsid w:val="00A907A8"/>
    <w:rsid w:val="00A90F5C"/>
    <w:rsid w:val="00A9122B"/>
    <w:rsid w:val="00A917CE"/>
    <w:rsid w:val="00A9188E"/>
    <w:rsid w:val="00A91940"/>
    <w:rsid w:val="00A91B32"/>
    <w:rsid w:val="00A928E9"/>
    <w:rsid w:val="00A92969"/>
    <w:rsid w:val="00A92C30"/>
    <w:rsid w:val="00A92CCA"/>
    <w:rsid w:val="00A9346B"/>
    <w:rsid w:val="00A935A7"/>
    <w:rsid w:val="00A93E6A"/>
    <w:rsid w:val="00A93F0E"/>
    <w:rsid w:val="00A94017"/>
    <w:rsid w:val="00A94149"/>
    <w:rsid w:val="00A942FF"/>
    <w:rsid w:val="00A943B4"/>
    <w:rsid w:val="00A944C6"/>
    <w:rsid w:val="00A95944"/>
    <w:rsid w:val="00A959E1"/>
    <w:rsid w:val="00A95BC4"/>
    <w:rsid w:val="00A960CE"/>
    <w:rsid w:val="00A96165"/>
    <w:rsid w:val="00A9629E"/>
    <w:rsid w:val="00A96A6F"/>
    <w:rsid w:val="00A96B46"/>
    <w:rsid w:val="00A96CBC"/>
    <w:rsid w:val="00A96D51"/>
    <w:rsid w:val="00A96E5F"/>
    <w:rsid w:val="00A96E87"/>
    <w:rsid w:val="00A9704E"/>
    <w:rsid w:val="00A970B0"/>
    <w:rsid w:val="00A973F7"/>
    <w:rsid w:val="00A979F1"/>
    <w:rsid w:val="00A97E7A"/>
    <w:rsid w:val="00AA0264"/>
    <w:rsid w:val="00AA02ED"/>
    <w:rsid w:val="00AA0388"/>
    <w:rsid w:val="00AA0833"/>
    <w:rsid w:val="00AA0B41"/>
    <w:rsid w:val="00AA0BB9"/>
    <w:rsid w:val="00AA0CB5"/>
    <w:rsid w:val="00AA111F"/>
    <w:rsid w:val="00AA1445"/>
    <w:rsid w:val="00AA23E4"/>
    <w:rsid w:val="00AA2799"/>
    <w:rsid w:val="00AA2CC7"/>
    <w:rsid w:val="00AA30EC"/>
    <w:rsid w:val="00AA3325"/>
    <w:rsid w:val="00AA3350"/>
    <w:rsid w:val="00AA34B2"/>
    <w:rsid w:val="00AA35FE"/>
    <w:rsid w:val="00AA3734"/>
    <w:rsid w:val="00AA3917"/>
    <w:rsid w:val="00AA3E2F"/>
    <w:rsid w:val="00AA3EAF"/>
    <w:rsid w:val="00AA3EE1"/>
    <w:rsid w:val="00AA3F5F"/>
    <w:rsid w:val="00AA4119"/>
    <w:rsid w:val="00AA414C"/>
    <w:rsid w:val="00AA41C6"/>
    <w:rsid w:val="00AA47C9"/>
    <w:rsid w:val="00AA498D"/>
    <w:rsid w:val="00AA5249"/>
    <w:rsid w:val="00AA5510"/>
    <w:rsid w:val="00AA558B"/>
    <w:rsid w:val="00AA5BAB"/>
    <w:rsid w:val="00AA5FD2"/>
    <w:rsid w:val="00AA638C"/>
    <w:rsid w:val="00AA6646"/>
    <w:rsid w:val="00AA7131"/>
    <w:rsid w:val="00AA719D"/>
    <w:rsid w:val="00AA71CF"/>
    <w:rsid w:val="00AA747B"/>
    <w:rsid w:val="00AA750F"/>
    <w:rsid w:val="00AA798E"/>
    <w:rsid w:val="00AA79AD"/>
    <w:rsid w:val="00AA79C5"/>
    <w:rsid w:val="00AA7C22"/>
    <w:rsid w:val="00AA7C9B"/>
    <w:rsid w:val="00AA7D3E"/>
    <w:rsid w:val="00AA7E34"/>
    <w:rsid w:val="00AB09A0"/>
    <w:rsid w:val="00AB130D"/>
    <w:rsid w:val="00AB13B9"/>
    <w:rsid w:val="00AB1401"/>
    <w:rsid w:val="00AB1476"/>
    <w:rsid w:val="00AB1D65"/>
    <w:rsid w:val="00AB259D"/>
    <w:rsid w:val="00AB264F"/>
    <w:rsid w:val="00AB2C2B"/>
    <w:rsid w:val="00AB2FA3"/>
    <w:rsid w:val="00AB2FA6"/>
    <w:rsid w:val="00AB3359"/>
    <w:rsid w:val="00AB3381"/>
    <w:rsid w:val="00AB35DD"/>
    <w:rsid w:val="00AB38F0"/>
    <w:rsid w:val="00AB392B"/>
    <w:rsid w:val="00AB49AA"/>
    <w:rsid w:val="00AB4A1B"/>
    <w:rsid w:val="00AB4D53"/>
    <w:rsid w:val="00AB4EEF"/>
    <w:rsid w:val="00AB5485"/>
    <w:rsid w:val="00AB5569"/>
    <w:rsid w:val="00AB5A9F"/>
    <w:rsid w:val="00AB62F4"/>
    <w:rsid w:val="00AB63BC"/>
    <w:rsid w:val="00AB63DB"/>
    <w:rsid w:val="00AB6479"/>
    <w:rsid w:val="00AB66C3"/>
    <w:rsid w:val="00AB71B1"/>
    <w:rsid w:val="00AB7534"/>
    <w:rsid w:val="00AB758A"/>
    <w:rsid w:val="00AC0229"/>
    <w:rsid w:val="00AC056A"/>
    <w:rsid w:val="00AC07E2"/>
    <w:rsid w:val="00AC0A1B"/>
    <w:rsid w:val="00AC1381"/>
    <w:rsid w:val="00AC229E"/>
    <w:rsid w:val="00AC2985"/>
    <w:rsid w:val="00AC2ACA"/>
    <w:rsid w:val="00AC2BB7"/>
    <w:rsid w:val="00AC2E9C"/>
    <w:rsid w:val="00AC33F6"/>
    <w:rsid w:val="00AC35AF"/>
    <w:rsid w:val="00AC35C9"/>
    <w:rsid w:val="00AC36A4"/>
    <w:rsid w:val="00AC39C2"/>
    <w:rsid w:val="00AC45A5"/>
    <w:rsid w:val="00AC46E1"/>
    <w:rsid w:val="00AC4B96"/>
    <w:rsid w:val="00AC4D32"/>
    <w:rsid w:val="00AC4E64"/>
    <w:rsid w:val="00AC51C4"/>
    <w:rsid w:val="00AC5399"/>
    <w:rsid w:val="00AC5491"/>
    <w:rsid w:val="00AC56B6"/>
    <w:rsid w:val="00AC5700"/>
    <w:rsid w:val="00AC573D"/>
    <w:rsid w:val="00AC638C"/>
    <w:rsid w:val="00AC673A"/>
    <w:rsid w:val="00AC680F"/>
    <w:rsid w:val="00AC68A7"/>
    <w:rsid w:val="00AC6C64"/>
    <w:rsid w:val="00AC71A9"/>
    <w:rsid w:val="00AC77B9"/>
    <w:rsid w:val="00AC7CAC"/>
    <w:rsid w:val="00AC7D29"/>
    <w:rsid w:val="00AC7E98"/>
    <w:rsid w:val="00AD04AE"/>
    <w:rsid w:val="00AD05F0"/>
    <w:rsid w:val="00AD0E35"/>
    <w:rsid w:val="00AD1018"/>
    <w:rsid w:val="00AD109E"/>
    <w:rsid w:val="00AD1100"/>
    <w:rsid w:val="00AD190A"/>
    <w:rsid w:val="00AD1B0B"/>
    <w:rsid w:val="00AD1DD8"/>
    <w:rsid w:val="00AD2000"/>
    <w:rsid w:val="00AD20B2"/>
    <w:rsid w:val="00AD20E2"/>
    <w:rsid w:val="00AD2773"/>
    <w:rsid w:val="00AD29B6"/>
    <w:rsid w:val="00AD2FB7"/>
    <w:rsid w:val="00AD336C"/>
    <w:rsid w:val="00AD37E1"/>
    <w:rsid w:val="00AD436F"/>
    <w:rsid w:val="00AD45D1"/>
    <w:rsid w:val="00AD4EFB"/>
    <w:rsid w:val="00AD500F"/>
    <w:rsid w:val="00AD505B"/>
    <w:rsid w:val="00AD565B"/>
    <w:rsid w:val="00AD5740"/>
    <w:rsid w:val="00AD57FF"/>
    <w:rsid w:val="00AD5B7B"/>
    <w:rsid w:val="00AD5EEC"/>
    <w:rsid w:val="00AD681A"/>
    <w:rsid w:val="00AD6863"/>
    <w:rsid w:val="00AD6DF8"/>
    <w:rsid w:val="00AD6ECE"/>
    <w:rsid w:val="00AD6F53"/>
    <w:rsid w:val="00AD73BB"/>
    <w:rsid w:val="00AD73EA"/>
    <w:rsid w:val="00AD74E4"/>
    <w:rsid w:val="00AD7789"/>
    <w:rsid w:val="00AD78D4"/>
    <w:rsid w:val="00AD7C05"/>
    <w:rsid w:val="00AD7EB6"/>
    <w:rsid w:val="00AD7FE8"/>
    <w:rsid w:val="00AE0413"/>
    <w:rsid w:val="00AE0B82"/>
    <w:rsid w:val="00AE0BFA"/>
    <w:rsid w:val="00AE0DCF"/>
    <w:rsid w:val="00AE0F15"/>
    <w:rsid w:val="00AE13FA"/>
    <w:rsid w:val="00AE14BB"/>
    <w:rsid w:val="00AE1DD7"/>
    <w:rsid w:val="00AE28D8"/>
    <w:rsid w:val="00AE2D20"/>
    <w:rsid w:val="00AE2E35"/>
    <w:rsid w:val="00AE2F23"/>
    <w:rsid w:val="00AE342D"/>
    <w:rsid w:val="00AE356F"/>
    <w:rsid w:val="00AE3696"/>
    <w:rsid w:val="00AE3908"/>
    <w:rsid w:val="00AE391E"/>
    <w:rsid w:val="00AE3999"/>
    <w:rsid w:val="00AE39E1"/>
    <w:rsid w:val="00AE4002"/>
    <w:rsid w:val="00AE424E"/>
    <w:rsid w:val="00AE427A"/>
    <w:rsid w:val="00AE4283"/>
    <w:rsid w:val="00AE4B96"/>
    <w:rsid w:val="00AE4BF3"/>
    <w:rsid w:val="00AE4D17"/>
    <w:rsid w:val="00AE52C3"/>
    <w:rsid w:val="00AE53BB"/>
    <w:rsid w:val="00AE5925"/>
    <w:rsid w:val="00AE653E"/>
    <w:rsid w:val="00AE6731"/>
    <w:rsid w:val="00AE6D4B"/>
    <w:rsid w:val="00AE75D3"/>
    <w:rsid w:val="00AE75F9"/>
    <w:rsid w:val="00AE7666"/>
    <w:rsid w:val="00AE7B90"/>
    <w:rsid w:val="00AE7C98"/>
    <w:rsid w:val="00AE7E21"/>
    <w:rsid w:val="00AE7F5C"/>
    <w:rsid w:val="00AF01F7"/>
    <w:rsid w:val="00AF06E4"/>
    <w:rsid w:val="00AF0868"/>
    <w:rsid w:val="00AF0AD2"/>
    <w:rsid w:val="00AF0B21"/>
    <w:rsid w:val="00AF1C82"/>
    <w:rsid w:val="00AF2311"/>
    <w:rsid w:val="00AF2F58"/>
    <w:rsid w:val="00AF3468"/>
    <w:rsid w:val="00AF3AEF"/>
    <w:rsid w:val="00AF3BD5"/>
    <w:rsid w:val="00AF3C81"/>
    <w:rsid w:val="00AF3CC6"/>
    <w:rsid w:val="00AF3F3E"/>
    <w:rsid w:val="00AF430E"/>
    <w:rsid w:val="00AF4972"/>
    <w:rsid w:val="00AF4DA5"/>
    <w:rsid w:val="00AF525C"/>
    <w:rsid w:val="00AF5711"/>
    <w:rsid w:val="00AF5833"/>
    <w:rsid w:val="00AF596A"/>
    <w:rsid w:val="00AF59B1"/>
    <w:rsid w:val="00AF5C54"/>
    <w:rsid w:val="00AF5C5B"/>
    <w:rsid w:val="00AF5D43"/>
    <w:rsid w:val="00AF60CF"/>
    <w:rsid w:val="00AF658C"/>
    <w:rsid w:val="00AF67B0"/>
    <w:rsid w:val="00AF6888"/>
    <w:rsid w:val="00AF6A67"/>
    <w:rsid w:val="00AF6C1F"/>
    <w:rsid w:val="00AF6CA5"/>
    <w:rsid w:val="00AF6D0C"/>
    <w:rsid w:val="00AF6E9D"/>
    <w:rsid w:val="00AF717F"/>
    <w:rsid w:val="00AF7301"/>
    <w:rsid w:val="00AF75DA"/>
    <w:rsid w:val="00AF7AF5"/>
    <w:rsid w:val="00AF7D33"/>
    <w:rsid w:val="00AF7F37"/>
    <w:rsid w:val="00B008AC"/>
    <w:rsid w:val="00B0092E"/>
    <w:rsid w:val="00B00AAB"/>
    <w:rsid w:val="00B00CA9"/>
    <w:rsid w:val="00B0125A"/>
    <w:rsid w:val="00B013A5"/>
    <w:rsid w:val="00B017EC"/>
    <w:rsid w:val="00B018CA"/>
    <w:rsid w:val="00B019F2"/>
    <w:rsid w:val="00B01CE9"/>
    <w:rsid w:val="00B021C8"/>
    <w:rsid w:val="00B027ED"/>
    <w:rsid w:val="00B02A25"/>
    <w:rsid w:val="00B02DC5"/>
    <w:rsid w:val="00B02E68"/>
    <w:rsid w:val="00B02EAF"/>
    <w:rsid w:val="00B02F6A"/>
    <w:rsid w:val="00B032A5"/>
    <w:rsid w:val="00B039F8"/>
    <w:rsid w:val="00B03BAF"/>
    <w:rsid w:val="00B03E96"/>
    <w:rsid w:val="00B04368"/>
    <w:rsid w:val="00B0446F"/>
    <w:rsid w:val="00B047A4"/>
    <w:rsid w:val="00B04BA4"/>
    <w:rsid w:val="00B04E55"/>
    <w:rsid w:val="00B054E2"/>
    <w:rsid w:val="00B0590E"/>
    <w:rsid w:val="00B05DBF"/>
    <w:rsid w:val="00B05FAB"/>
    <w:rsid w:val="00B066BD"/>
    <w:rsid w:val="00B06740"/>
    <w:rsid w:val="00B06ABF"/>
    <w:rsid w:val="00B07069"/>
    <w:rsid w:val="00B070F1"/>
    <w:rsid w:val="00B071CB"/>
    <w:rsid w:val="00B072E7"/>
    <w:rsid w:val="00B074F9"/>
    <w:rsid w:val="00B078E6"/>
    <w:rsid w:val="00B100BE"/>
    <w:rsid w:val="00B1023A"/>
    <w:rsid w:val="00B10311"/>
    <w:rsid w:val="00B10340"/>
    <w:rsid w:val="00B10570"/>
    <w:rsid w:val="00B10AAB"/>
    <w:rsid w:val="00B10AD2"/>
    <w:rsid w:val="00B10B33"/>
    <w:rsid w:val="00B10E33"/>
    <w:rsid w:val="00B11008"/>
    <w:rsid w:val="00B110CD"/>
    <w:rsid w:val="00B11939"/>
    <w:rsid w:val="00B11D8B"/>
    <w:rsid w:val="00B12898"/>
    <w:rsid w:val="00B12AC4"/>
    <w:rsid w:val="00B130EA"/>
    <w:rsid w:val="00B1324C"/>
    <w:rsid w:val="00B13F30"/>
    <w:rsid w:val="00B1512E"/>
    <w:rsid w:val="00B15377"/>
    <w:rsid w:val="00B15481"/>
    <w:rsid w:val="00B1558E"/>
    <w:rsid w:val="00B155C5"/>
    <w:rsid w:val="00B15810"/>
    <w:rsid w:val="00B15CC5"/>
    <w:rsid w:val="00B15D7F"/>
    <w:rsid w:val="00B15E8B"/>
    <w:rsid w:val="00B15F14"/>
    <w:rsid w:val="00B16557"/>
    <w:rsid w:val="00B16838"/>
    <w:rsid w:val="00B16924"/>
    <w:rsid w:val="00B16A9E"/>
    <w:rsid w:val="00B16AA9"/>
    <w:rsid w:val="00B16D99"/>
    <w:rsid w:val="00B16F91"/>
    <w:rsid w:val="00B17019"/>
    <w:rsid w:val="00B170E9"/>
    <w:rsid w:val="00B17169"/>
    <w:rsid w:val="00B17385"/>
    <w:rsid w:val="00B17899"/>
    <w:rsid w:val="00B20664"/>
    <w:rsid w:val="00B2077B"/>
    <w:rsid w:val="00B20C11"/>
    <w:rsid w:val="00B20DF1"/>
    <w:rsid w:val="00B210A8"/>
    <w:rsid w:val="00B211AB"/>
    <w:rsid w:val="00B2147B"/>
    <w:rsid w:val="00B214D8"/>
    <w:rsid w:val="00B2150D"/>
    <w:rsid w:val="00B216C5"/>
    <w:rsid w:val="00B21CAF"/>
    <w:rsid w:val="00B21D68"/>
    <w:rsid w:val="00B21FC8"/>
    <w:rsid w:val="00B225D8"/>
    <w:rsid w:val="00B22A63"/>
    <w:rsid w:val="00B22DBD"/>
    <w:rsid w:val="00B23291"/>
    <w:rsid w:val="00B23292"/>
    <w:rsid w:val="00B234BD"/>
    <w:rsid w:val="00B235E2"/>
    <w:rsid w:val="00B238C6"/>
    <w:rsid w:val="00B23CD9"/>
    <w:rsid w:val="00B23FB0"/>
    <w:rsid w:val="00B2406C"/>
    <w:rsid w:val="00B24812"/>
    <w:rsid w:val="00B249D0"/>
    <w:rsid w:val="00B24AD9"/>
    <w:rsid w:val="00B25002"/>
    <w:rsid w:val="00B250AF"/>
    <w:rsid w:val="00B251F0"/>
    <w:rsid w:val="00B25508"/>
    <w:rsid w:val="00B255AB"/>
    <w:rsid w:val="00B25C03"/>
    <w:rsid w:val="00B25F41"/>
    <w:rsid w:val="00B260F8"/>
    <w:rsid w:val="00B2695F"/>
    <w:rsid w:val="00B26CE3"/>
    <w:rsid w:val="00B26D2B"/>
    <w:rsid w:val="00B26D34"/>
    <w:rsid w:val="00B26FE2"/>
    <w:rsid w:val="00B2717C"/>
    <w:rsid w:val="00B273A9"/>
    <w:rsid w:val="00B27A3D"/>
    <w:rsid w:val="00B27CED"/>
    <w:rsid w:val="00B30216"/>
    <w:rsid w:val="00B307B2"/>
    <w:rsid w:val="00B30BB2"/>
    <w:rsid w:val="00B3149B"/>
    <w:rsid w:val="00B31771"/>
    <w:rsid w:val="00B31D29"/>
    <w:rsid w:val="00B31D5F"/>
    <w:rsid w:val="00B31DED"/>
    <w:rsid w:val="00B31F56"/>
    <w:rsid w:val="00B3206C"/>
    <w:rsid w:val="00B32120"/>
    <w:rsid w:val="00B3248E"/>
    <w:rsid w:val="00B324EC"/>
    <w:rsid w:val="00B32967"/>
    <w:rsid w:val="00B32C4A"/>
    <w:rsid w:val="00B32C69"/>
    <w:rsid w:val="00B32CDA"/>
    <w:rsid w:val="00B32E96"/>
    <w:rsid w:val="00B33705"/>
    <w:rsid w:val="00B33A27"/>
    <w:rsid w:val="00B33ACC"/>
    <w:rsid w:val="00B33C41"/>
    <w:rsid w:val="00B34100"/>
    <w:rsid w:val="00B34308"/>
    <w:rsid w:val="00B3450E"/>
    <w:rsid w:val="00B3463A"/>
    <w:rsid w:val="00B349E4"/>
    <w:rsid w:val="00B34D8B"/>
    <w:rsid w:val="00B34E6E"/>
    <w:rsid w:val="00B35218"/>
    <w:rsid w:val="00B35835"/>
    <w:rsid w:val="00B359A0"/>
    <w:rsid w:val="00B3607B"/>
    <w:rsid w:val="00B362AF"/>
    <w:rsid w:val="00B36426"/>
    <w:rsid w:val="00B3652C"/>
    <w:rsid w:val="00B3673D"/>
    <w:rsid w:val="00B36948"/>
    <w:rsid w:val="00B36BDB"/>
    <w:rsid w:val="00B36D04"/>
    <w:rsid w:val="00B3757A"/>
    <w:rsid w:val="00B37652"/>
    <w:rsid w:val="00B378E8"/>
    <w:rsid w:val="00B37EDE"/>
    <w:rsid w:val="00B40037"/>
    <w:rsid w:val="00B4011F"/>
    <w:rsid w:val="00B4026F"/>
    <w:rsid w:val="00B409E8"/>
    <w:rsid w:val="00B40B0D"/>
    <w:rsid w:val="00B41019"/>
    <w:rsid w:val="00B41034"/>
    <w:rsid w:val="00B41A81"/>
    <w:rsid w:val="00B41EBD"/>
    <w:rsid w:val="00B41F7E"/>
    <w:rsid w:val="00B42359"/>
    <w:rsid w:val="00B4236A"/>
    <w:rsid w:val="00B4255B"/>
    <w:rsid w:val="00B42663"/>
    <w:rsid w:val="00B426B6"/>
    <w:rsid w:val="00B42757"/>
    <w:rsid w:val="00B42C5A"/>
    <w:rsid w:val="00B435B7"/>
    <w:rsid w:val="00B43678"/>
    <w:rsid w:val="00B436AE"/>
    <w:rsid w:val="00B4390E"/>
    <w:rsid w:val="00B43930"/>
    <w:rsid w:val="00B439F7"/>
    <w:rsid w:val="00B44595"/>
    <w:rsid w:val="00B448A0"/>
    <w:rsid w:val="00B448EC"/>
    <w:rsid w:val="00B44D64"/>
    <w:rsid w:val="00B45567"/>
    <w:rsid w:val="00B455A4"/>
    <w:rsid w:val="00B45C6D"/>
    <w:rsid w:val="00B45FC1"/>
    <w:rsid w:val="00B462C6"/>
    <w:rsid w:val="00B46390"/>
    <w:rsid w:val="00B46433"/>
    <w:rsid w:val="00B465E7"/>
    <w:rsid w:val="00B466A4"/>
    <w:rsid w:val="00B46811"/>
    <w:rsid w:val="00B46846"/>
    <w:rsid w:val="00B46859"/>
    <w:rsid w:val="00B46D59"/>
    <w:rsid w:val="00B46FBE"/>
    <w:rsid w:val="00B46FD9"/>
    <w:rsid w:val="00B47667"/>
    <w:rsid w:val="00B47B6A"/>
    <w:rsid w:val="00B47C3D"/>
    <w:rsid w:val="00B47DA7"/>
    <w:rsid w:val="00B47E7F"/>
    <w:rsid w:val="00B47E94"/>
    <w:rsid w:val="00B504B9"/>
    <w:rsid w:val="00B5078E"/>
    <w:rsid w:val="00B50EBB"/>
    <w:rsid w:val="00B512CA"/>
    <w:rsid w:val="00B51303"/>
    <w:rsid w:val="00B51403"/>
    <w:rsid w:val="00B51519"/>
    <w:rsid w:val="00B515B9"/>
    <w:rsid w:val="00B516D3"/>
    <w:rsid w:val="00B5187B"/>
    <w:rsid w:val="00B52337"/>
    <w:rsid w:val="00B524FD"/>
    <w:rsid w:val="00B526C3"/>
    <w:rsid w:val="00B530A8"/>
    <w:rsid w:val="00B532B2"/>
    <w:rsid w:val="00B53512"/>
    <w:rsid w:val="00B53631"/>
    <w:rsid w:val="00B53813"/>
    <w:rsid w:val="00B53A04"/>
    <w:rsid w:val="00B53AF9"/>
    <w:rsid w:val="00B53E79"/>
    <w:rsid w:val="00B53F0B"/>
    <w:rsid w:val="00B53FA4"/>
    <w:rsid w:val="00B546B5"/>
    <w:rsid w:val="00B54AFB"/>
    <w:rsid w:val="00B54C97"/>
    <w:rsid w:val="00B54E35"/>
    <w:rsid w:val="00B55245"/>
    <w:rsid w:val="00B5546B"/>
    <w:rsid w:val="00B554BA"/>
    <w:rsid w:val="00B55A00"/>
    <w:rsid w:val="00B56584"/>
    <w:rsid w:val="00B567FE"/>
    <w:rsid w:val="00B56CD4"/>
    <w:rsid w:val="00B56D3D"/>
    <w:rsid w:val="00B56D7F"/>
    <w:rsid w:val="00B57409"/>
    <w:rsid w:val="00B576B6"/>
    <w:rsid w:val="00B57BA8"/>
    <w:rsid w:val="00B57C45"/>
    <w:rsid w:val="00B57D10"/>
    <w:rsid w:val="00B57F11"/>
    <w:rsid w:val="00B60418"/>
    <w:rsid w:val="00B60628"/>
    <w:rsid w:val="00B6066E"/>
    <w:rsid w:val="00B60A7A"/>
    <w:rsid w:val="00B60B20"/>
    <w:rsid w:val="00B614FF"/>
    <w:rsid w:val="00B62111"/>
    <w:rsid w:val="00B621ED"/>
    <w:rsid w:val="00B62236"/>
    <w:rsid w:val="00B6237B"/>
    <w:rsid w:val="00B626F3"/>
    <w:rsid w:val="00B628A0"/>
    <w:rsid w:val="00B62BC2"/>
    <w:rsid w:val="00B62C50"/>
    <w:rsid w:val="00B62DF9"/>
    <w:rsid w:val="00B632E9"/>
    <w:rsid w:val="00B6356C"/>
    <w:rsid w:val="00B637CF"/>
    <w:rsid w:val="00B63915"/>
    <w:rsid w:val="00B63AB2"/>
    <w:rsid w:val="00B63BA0"/>
    <w:rsid w:val="00B63E65"/>
    <w:rsid w:val="00B63FB4"/>
    <w:rsid w:val="00B646F0"/>
    <w:rsid w:val="00B651B4"/>
    <w:rsid w:val="00B65828"/>
    <w:rsid w:val="00B65833"/>
    <w:rsid w:val="00B6585E"/>
    <w:rsid w:val="00B6649C"/>
    <w:rsid w:val="00B66550"/>
    <w:rsid w:val="00B669FC"/>
    <w:rsid w:val="00B673C0"/>
    <w:rsid w:val="00B679D2"/>
    <w:rsid w:val="00B70164"/>
    <w:rsid w:val="00B704A5"/>
    <w:rsid w:val="00B70DB5"/>
    <w:rsid w:val="00B70FB3"/>
    <w:rsid w:val="00B712B9"/>
    <w:rsid w:val="00B718CC"/>
    <w:rsid w:val="00B71ABE"/>
    <w:rsid w:val="00B735C8"/>
    <w:rsid w:val="00B73A3D"/>
    <w:rsid w:val="00B73A55"/>
    <w:rsid w:val="00B73EFD"/>
    <w:rsid w:val="00B74169"/>
    <w:rsid w:val="00B7431C"/>
    <w:rsid w:val="00B744C5"/>
    <w:rsid w:val="00B74772"/>
    <w:rsid w:val="00B7496C"/>
    <w:rsid w:val="00B749AB"/>
    <w:rsid w:val="00B74F01"/>
    <w:rsid w:val="00B74F10"/>
    <w:rsid w:val="00B74FC4"/>
    <w:rsid w:val="00B7504E"/>
    <w:rsid w:val="00B75161"/>
    <w:rsid w:val="00B7563F"/>
    <w:rsid w:val="00B756E4"/>
    <w:rsid w:val="00B757AA"/>
    <w:rsid w:val="00B75AAE"/>
    <w:rsid w:val="00B763F0"/>
    <w:rsid w:val="00B76712"/>
    <w:rsid w:val="00B7686B"/>
    <w:rsid w:val="00B76A33"/>
    <w:rsid w:val="00B76F4E"/>
    <w:rsid w:val="00B77315"/>
    <w:rsid w:val="00B775C7"/>
    <w:rsid w:val="00B77A36"/>
    <w:rsid w:val="00B80BD6"/>
    <w:rsid w:val="00B80C3B"/>
    <w:rsid w:val="00B80D92"/>
    <w:rsid w:val="00B80F3E"/>
    <w:rsid w:val="00B81060"/>
    <w:rsid w:val="00B810B8"/>
    <w:rsid w:val="00B81E47"/>
    <w:rsid w:val="00B8222B"/>
    <w:rsid w:val="00B82264"/>
    <w:rsid w:val="00B829D9"/>
    <w:rsid w:val="00B82C93"/>
    <w:rsid w:val="00B82D53"/>
    <w:rsid w:val="00B82E48"/>
    <w:rsid w:val="00B83136"/>
    <w:rsid w:val="00B832D8"/>
    <w:rsid w:val="00B83ECB"/>
    <w:rsid w:val="00B83F4B"/>
    <w:rsid w:val="00B8404E"/>
    <w:rsid w:val="00B84618"/>
    <w:rsid w:val="00B849BD"/>
    <w:rsid w:val="00B84E07"/>
    <w:rsid w:val="00B8534A"/>
    <w:rsid w:val="00B8574E"/>
    <w:rsid w:val="00B85FE2"/>
    <w:rsid w:val="00B863D2"/>
    <w:rsid w:val="00B86573"/>
    <w:rsid w:val="00B86732"/>
    <w:rsid w:val="00B86B5E"/>
    <w:rsid w:val="00B86C85"/>
    <w:rsid w:val="00B87271"/>
    <w:rsid w:val="00B875A4"/>
    <w:rsid w:val="00B877F4"/>
    <w:rsid w:val="00B8797F"/>
    <w:rsid w:val="00B879DC"/>
    <w:rsid w:val="00B87D6D"/>
    <w:rsid w:val="00B902AB"/>
    <w:rsid w:val="00B90E19"/>
    <w:rsid w:val="00B90F08"/>
    <w:rsid w:val="00B91025"/>
    <w:rsid w:val="00B91390"/>
    <w:rsid w:val="00B9203A"/>
    <w:rsid w:val="00B9207A"/>
    <w:rsid w:val="00B920CA"/>
    <w:rsid w:val="00B92123"/>
    <w:rsid w:val="00B926AD"/>
    <w:rsid w:val="00B929EC"/>
    <w:rsid w:val="00B92C64"/>
    <w:rsid w:val="00B92DCB"/>
    <w:rsid w:val="00B939BA"/>
    <w:rsid w:val="00B93D00"/>
    <w:rsid w:val="00B93DA8"/>
    <w:rsid w:val="00B9405C"/>
    <w:rsid w:val="00B940DF"/>
    <w:rsid w:val="00B940E7"/>
    <w:rsid w:val="00B9429C"/>
    <w:rsid w:val="00B9454B"/>
    <w:rsid w:val="00B9523A"/>
    <w:rsid w:val="00B961BC"/>
    <w:rsid w:val="00B9633D"/>
    <w:rsid w:val="00B96353"/>
    <w:rsid w:val="00B96D48"/>
    <w:rsid w:val="00B96EAE"/>
    <w:rsid w:val="00B97465"/>
    <w:rsid w:val="00B9778B"/>
    <w:rsid w:val="00B9787D"/>
    <w:rsid w:val="00B97CD9"/>
    <w:rsid w:val="00BA004D"/>
    <w:rsid w:val="00BA058B"/>
    <w:rsid w:val="00BA0C4C"/>
    <w:rsid w:val="00BA0DA6"/>
    <w:rsid w:val="00BA1094"/>
    <w:rsid w:val="00BA1103"/>
    <w:rsid w:val="00BA12A5"/>
    <w:rsid w:val="00BA138D"/>
    <w:rsid w:val="00BA18B0"/>
    <w:rsid w:val="00BA1965"/>
    <w:rsid w:val="00BA1976"/>
    <w:rsid w:val="00BA1BDA"/>
    <w:rsid w:val="00BA1C9F"/>
    <w:rsid w:val="00BA1D94"/>
    <w:rsid w:val="00BA22CB"/>
    <w:rsid w:val="00BA24AC"/>
    <w:rsid w:val="00BA2532"/>
    <w:rsid w:val="00BA2932"/>
    <w:rsid w:val="00BA2D9D"/>
    <w:rsid w:val="00BA3404"/>
    <w:rsid w:val="00BA39F7"/>
    <w:rsid w:val="00BA4029"/>
    <w:rsid w:val="00BA43F7"/>
    <w:rsid w:val="00BA4420"/>
    <w:rsid w:val="00BA459C"/>
    <w:rsid w:val="00BA4809"/>
    <w:rsid w:val="00BA48D4"/>
    <w:rsid w:val="00BA4E72"/>
    <w:rsid w:val="00BA5629"/>
    <w:rsid w:val="00BA57B2"/>
    <w:rsid w:val="00BA57B7"/>
    <w:rsid w:val="00BA5862"/>
    <w:rsid w:val="00BA5A5C"/>
    <w:rsid w:val="00BA5D78"/>
    <w:rsid w:val="00BA6385"/>
    <w:rsid w:val="00BA67F1"/>
    <w:rsid w:val="00BA68E1"/>
    <w:rsid w:val="00BA6E60"/>
    <w:rsid w:val="00BA6FB5"/>
    <w:rsid w:val="00BA76DF"/>
    <w:rsid w:val="00BA7842"/>
    <w:rsid w:val="00BA7B60"/>
    <w:rsid w:val="00BA7CBF"/>
    <w:rsid w:val="00BA7F96"/>
    <w:rsid w:val="00BB01EB"/>
    <w:rsid w:val="00BB061C"/>
    <w:rsid w:val="00BB119E"/>
    <w:rsid w:val="00BB1900"/>
    <w:rsid w:val="00BB1A63"/>
    <w:rsid w:val="00BB1DB4"/>
    <w:rsid w:val="00BB1E50"/>
    <w:rsid w:val="00BB2087"/>
    <w:rsid w:val="00BB22F7"/>
    <w:rsid w:val="00BB2C25"/>
    <w:rsid w:val="00BB2CF5"/>
    <w:rsid w:val="00BB36D8"/>
    <w:rsid w:val="00BB37E6"/>
    <w:rsid w:val="00BB3AC4"/>
    <w:rsid w:val="00BB3D8E"/>
    <w:rsid w:val="00BB4A08"/>
    <w:rsid w:val="00BB51D4"/>
    <w:rsid w:val="00BB5C41"/>
    <w:rsid w:val="00BB61CE"/>
    <w:rsid w:val="00BB67D7"/>
    <w:rsid w:val="00BB6868"/>
    <w:rsid w:val="00BB6948"/>
    <w:rsid w:val="00BB69C2"/>
    <w:rsid w:val="00BB69EA"/>
    <w:rsid w:val="00BB6AE9"/>
    <w:rsid w:val="00BB6C8A"/>
    <w:rsid w:val="00BB7180"/>
    <w:rsid w:val="00BB71E5"/>
    <w:rsid w:val="00BB71FB"/>
    <w:rsid w:val="00BB7727"/>
    <w:rsid w:val="00BB7AEC"/>
    <w:rsid w:val="00BB7EF5"/>
    <w:rsid w:val="00BC03CF"/>
    <w:rsid w:val="00BC0438"/>
    <w:rsid w:val="00BC0463"/>
    <w:rsid w:val="00BC0703"/>
    <w:rsid w:val="00BC0AAF"/>
    <w:rsid w:val="00BC0FCA"/>
    <w:rsid w:val="00BC14BE"/>
    <w:rsid w:val="00BC17DF"/>
    <w:rsid w:val="00BC1B8F"/>
    <w:rsid w:val="00BC1DBF"/>
    <w:rsid w:val="00BC1EE9"/>
    <w:rsid w:val="00BC1FC8"/>
    <w:rsid w:val="00BC2283"/>
    <w:rsid w:val="00BC22F5"/>
    <w:rsid w:val="00BC2BAA"/>
    <w:rsid w:val="00BC2D2D"/>
    <w:rsid w:val="00BC2F1E"/>
    <w:rsid w:val="00BC322F"/>
    <w:rsid w:val="00BC35AC"/>
    <w:rsid w:val="00BC3791"/>
    <w:rsid w:val="00BC3BBE"/>
    <w:rsid w:val="00BC3DB8"/>
    <w:rsid w:val="00BC3F17"/>
    <w:rsid w:val="00BC3F78"/>
    <w:rsid w:val="00BC3FFD"/>
    <w:rsid w:val="00BC428D"/>
    <w:rsid w:val="00BC42D6"/>
    <w:rsid w:val="00BC489D"/>
    <w:rsid w:val="00BC48AB"/>
    <w:rsid w:val="00BC48C6"/>
    <w:rsid w:val="00BC4C26"/>
    <w:rsid w:val="00BC4DD4"/>
    <w:rsid w:val="00BC4E91"/>
    <w:rsid w:val="00BC4FCA"/>
    <w:rsid w:val="00BC51BC"/>
    <w:rsid w:val="00BC5219"/>
    <w:rsid w:val="00BC613A"/>
    <w:rsid w:val="00BC6184"/>
    <w:rsid w:val="00BC6378"/>
    <w:rsid w:val="00BC64BF"/>
    <w:rsid w:val="00BC6A08"/>
    <w:rsid w:val="00BC6AEB"/>
    <w:rsid w:val="00BC768B"/>
    <w:rsid w:val="00BC772A"/>
    <w:rsid w:val="00BC7829"/>
    <w:rsid w:val="00BC788D"/>
    <w:rsid w:val="00BC7BAB"/>
    <w:rsid w:val="00BC7C6D"/>
    <w:rsid w:val="00BD0042"/>
    <w:rsid w:val="00BD023F"/>
    <w:rsid w:val="00BD03BA"/>
    <w:rsid w:val="00BD0487"/>
    <w:rsid w:val="00BD0687"/>
    <w:rsid w:val="00BD072F"/>
    <w:rsid w:val="00BD088E"/>
    <w:rsid w:val="00BD08A8"/>
    <w:rsid w:val="00BD0B76"/>
    <w:rsid w:val="00BD0BBB"/>
    <w:rsid w:val="00BD0D2A"/>
    <w:rsid w:val="00BD0D94"/>
    <w:rsid w:val="00BD0FE9"/>
    <w:rsid w:val="00BD1019"/>
    <w:rsid w:val="00BD1301"/>
    <w:rsid w:val="00BD18A7"/>
    <w:rsid w:val="00BD1907"/>
    <w:rsid w:val="00BD1B0C"/>
    <w:rsid w:val="00BD1CC3"/>
    <w:rsid w:val="00BD209D"/>
    <w:rsid w:val="00BD2180"/>
    <w:rsid w:val="00BD2400"/>
    <w:rsid w:val="00BD2493"/>
    <w:rsid w:val="00BD2972"/>
    <w:rsid w:val="00BD2980"/>
    <w:rsid w:val="00BD2C18"/>
    <w:rsid w:val="00BD2E0F"/>
    <w:rsid w:val="00BD318F"/>
    <w:rsid w:val="00BD383D"/>
    <w:rsid w:val="00BD4556"/>
    <w:rsid w:val="00BD4710"/>
    <w:rsid w:val="00BD4844"/>
    <w:rsid w:val="00BD490C"/>
    <w:rsid w:val="00BD50C8"/>
    <w:rsid w:val="00BD5627"/>
    <w:rsid w:val="00BD5702"/>
    <w:rsid w:val="00BD579A"/>
    <w:rsid w:val="00BD5954"/>
    <w:rsid w:val="00BD5A9B"/>
    <w:rsid w:val="00BD5FF9"/>
    <w:rsid w:val="00BD6143"/>
    <w:rsid w:val="00BD61C4"/>
    <w:rsid w:val="00BD621B"/>
    <w:rsid w:val="00BD6517"/>
    <w:rsid w:val="00BD677D"/>
    <w:rsid w:val="00BD74D3"/>
    <w:rsid w:val="00BD7657"/>
    <w:rsid w:val="00BD766F"/>
    <w:rsid w:val="00BD7731"/>
    <w:rsid w:val="00BD7CA0"/>
    <w:rsid w:val="00BD7E9E"/>
    <w:rsid w:val="00BE0272"/>
    <w:rsid w:val="00BE0A0D"/>
    <w:rsid w:val="00BE0C8F"/>
    <w:rsid w:val="00BE0D14"/>
    <w:rsid w:val="00BE1215"/>
    <w:rsid w:val="00BE1487"/>
    <w:rsid w:val="00BE1855"/>
    <w:rsid w:val="00BE18AD"/>
    <w:rsid w:val="00BE18E0"/>
    <w:rsid w:val="00BE1AE5"/>
    <w:rsid w:val="00BE1DB3"/>
    <w:rsid w:val="00BE1EA8"/>
    <w:rsid w:val="00BE1EAE"/>
    <w:rsid w:val="00BE29EB"/>
    <w:rsid w:val="00BE31B4"/>
    <w:rsid w:val="00BE33BD"/>
    <w:rsid w:val="00BE3508"/>
    <w:rsid w:val="00BE35BD"/>
    <w:rsid w:val="00BE3677"/>
    <w:rsid w:val="00BE3EA4"/>
    <w:rsid w:val="00BE41BD"/>
    <w:rsid w:val="00BE46BD"/>
    <w:rsid w:val="00BE4A44"/>
    <w:rsid w:val="00BE4D42"/>
    <w:rsid w:val="00BE4E1D"/>
    <w:rsid w:val="00BE5542"/>
    <w:rsid w:val="00BE57CE"/>
    <w:rsid w:val="00BE5BB8"/>
    <w:rsid w:val="00BE5C3F"/>
    <w:rsid w:val="00BE5D61"/>
    <w:rsid w:val="00BE5FB1"/>
    <w:rsid w:val="00BE6206"/>
    <w:rsid w:val="00BE63A0"/>
    <w:rsid w:val="00BE6579"/>
    <w:rsid w:val="00BE6B7C"/>
    <w:rsid w:val="00BE6C2A"/>
    <w:rsid w:val="00BE6F7E"/>
    <w:rsid w:val="00BE7008"/>
    <w:rsid w:val="00BE7364"/>
    <w:rsid w:val="00BE7423"/>
    <w:rsid w:val="00BE7503"/>
    <w:rsid w:val="00BE7ED9"/>
    <w:rsid w:val="00BF0322"/>
    <w:rsid w:val="00BF08EE"/>
    <w:rsid w:val="00BF0BD8"/>
    <w:rsid w:val="00BF14CF"/>
    <w:rsid w:val="00BF158D"/>
    <w:rsid w:val="00BF1771"/>
    <w:rsid w:val="00BF1986"/>
    <w:rsid w:val="00BF1BBE"/>
    <w:rsid w:val="00BF1CB1"/>
    <w:rsid w:val="00BF1D2B"/>
    <w:rsid w:val="00BF1DE9"/>
    <w:rsid w:val="00BF2002"/>
    <w:rsid w:val="00BF2354"/>
    <w:rsid w:val="00BF2556"/>
    <w:rsid w:val="00BF2A78"/>
    <w:rsid w:val="00BF2C5B"/>
    <w:rsid w:val="00BF2F0E"/>
    <w:rsid w:val="00BF2F5F"/>
    <w:rsid w:val="00BF3E3B"/>
    <w:rsid w:val="00BF3F2E"/>
    <w:rsid w:val="00BF4078"/>
    <w:rsid w:val="00BF479A"/>
    <w:rsid w:val="00BF4CA2"/>
    <w:rsid w:val="00BF4DFB"/>
    <w:rsid w:val="00BF4F01"/>
    <w:rsid w:val="00BF4F81"/>
    <w:rsid w:val="00BF5066"/>
    <w:rsid w:val="00BF5170"/>
    <w:rsid w:val="00BF5368"/>
    <w:rsid w:val="00BF55FF"/>
    <w:rsid w:val="00BF56CC"/>
    <w:rsid w:val="00BF5739"/>
    <w:rsid w:val="00BF594E"/>
    <w:rsid w:val="00BF59CD"/>
    <w:rsid w:val="00BF62EB"/>
    <w:rsid w:val="00BF63DC"/>
    <w:rsid w:val="00BF6871"/>
    <w:rsid w:val="00BF68E0"/>
    <w:rsid w:val="00BF6BB4"/>
    <w:rsid w:val="00BF6E99"/>
    <w:rsid w:val="00BF701B"/>
    <w:rsid w:val="00BF7792"/>
    <w:rsid w:val="00BF7A9B"/>
    <w:rsid w:val="00BF7BDB"/>
    <w:rsid w:val="00BF7C13"/>
    <w:rsid w:val="00BF7EF9"/>
    <w:rsid w:val="00BF7F48"/>
    <w:rsid w:val="00BF7FF1"/>
    <w:rsid w:val="00C006C5"/>
    <w:rsid w:val="00C009AF"/>
    <w:rsid w:val="00C00A57"/>
    <w:rsid w:val="00C0144E"/>
    <w:rsid w:val="00C01F5F"/>
    <w:rsid w:val="00C02065"/>
    <w:rsid w:val="00C02416"/>
    <w:rsid w:val="00C02585"/>
    <w:rsid w:val="00C028A0"/>
    <w:rsid w:val="00C0317B"/>
    <w:rsid w:val="00C031D2"/>
    <w:rsid w:val="00C0320C"/>
    <w:rsid w:val="00C03372"/>
    <w:rsid w:val="00C034E3"/>
    <w:rsid w:val="00C03A1C"/>
    <w:rsid w:val="00C0472F"/>
    <w:rsid w:val="00C04B8A"/>
    <w:rsid w:val="00C04C64"/>
    <w:rsid w:val="00C04DAA"/>
    <w:rsid w:val="00C05430"/>
    <w:rsid w:val="00C05483"/>
    <w:rsid w:val="00C055E0"/>
    <w:rsid w:val="00C0563C"/>
    <w:rsid w:val="00C0581A"/>
    <w:rsid w:val="00C05CB0"/>
    <w:rsid w:val="00C05E4D"/>
    <w:rsid w:val="00C05FE2"/>
    <w:rsid w:val="00C06160"/>
    <w:rsid w:val="00C062D4"/>
    <w:rsid w:val="00C063EB"/>
    <w:rsid w:val="00C06425"/>
    <w:rsid w:val="00C0657B"/>
    <w:rsid w:val="00C066EF"/>
    <w:rsid w:val="00C068F8"/>
    <w:rsid w:val="00C06A42"/>
    <w:rsid w:val="00C06B56"/>
    <w:rsid w:val="00C06C17"/>
    <w:rsid w:val="00C06CA1"/>
    <w:rsid w:val="00C06CAB"/>
    <w:rsid w:val="00C06F54"/>
    <w:rsid w:val="00C0701B"/>
    <w:rsid w:val="00C073F4"/>
    <w:rsid w:val="00C078D5"/>
    <w:rsid w:val="00C07B22"/>
    <w:rsid w:val="00C07EF2"/>
    <w:rsid w:val="00C102A1"/>
    <w:rsid w:val="00C10516"/>
    <w:rsid w:val="00C10567"/>
    <w:rsid w:val="00C1076D"/>
    <w:rsid w:val="00C1079E"/>
    <w:rsid w:val="00C108C2"/>
    <w:rsid w:val="00C10C02"/>
    <w:rsid w:val="00C11084"/>
    <w:rsid w:val="00C11BC4"/>
    <w:rsid w:val="00C11C13"/>
    <w:rsid w:val="00C11D13"/>
    <w:rsid w:val="00C11DC3"/>
    <w:rsid w:val="00C11E93"/>
    <w:rsid w:val="00C11ECD"/>
    <w:rsid w:val="00C121ED"/>
    <w:rsid w:val="00C122F7"/>
    <w:rsid w:val="00C12357"/>
    <w:rsid w:val="00C12901"/>
    <w:rsid w:val="00C12AFA"/>
    <w:rsid w:val="00C12B69"/>
    <w:rsid w:val="00C12C26"/>
    <w:rsid w:val="00C1309A"/>
    <w:rsid w:val="00C133CF"/>
    <w:rsid w:val="00C13402"/>
    <w:rsid w:val="00C1344F"/>
    <w:rsid w:val="00C13563"/>
    <w:rsid w:val="00C1363A"/>
    <w:rsid w:val="00C13E94"/>
    <w:rsid w:val="00C14120"/>
    <w:rsid w:val="00C14306"/>
    <w:rsid w:val="00C14677"/>
    <w:rsid w:val="00C148E6"/>
    <w:rsid w:val="00C14917"/>
    <w:rsid w:val="00C14A6B"/>
    <w:rsid w:val="00C14B33"/>
    <w:rsid w:val="00C14DA6"/>
    <w:rsid w:val="00C1564D"/>
    <w:rsid w:val="00C15977"/>
    <w:rsid w:val="00C159E5"/>
    <w:rsid w:val="00C15BE5"/>
    <w:rsid w:val="00C15CF5"/>
    <w:rsid w:val="00C15FFB"/>
    <w:rsid w:val="00C162FF"/>
    <w:rsid w:val="00C16311"/>
    <w:rsid w:val="00C163CB"/>
    <w:rsid w:val="00C1644D"/>
    <w:rsid w:val="00C167AF"/>
    <w:rsid w:val="00C16CE6"/>
    <w:rsid w:val="00C16E9B"/>
    <w:rsid w:val="00C17131"/>
    <w:rsid w:val="00C17464"/>
    <w:rsid w:val="00C17DFF"/>
    <w:rsid w:val="00C17F53"/>
    <w:rsid w:val="00C20E78"/>
    <w:rsid w:val="00C20EDE"/>
    <w:rsid w:val="00C20F84"/>
    <w:rsid w:val="00C21274"/>
    <w:rsid w:val="00C213CC"/>
    <w:rsid w:val="00C214A0"/>
    <w:rsid w:val="00C21996"/>
    <w:rsid w:val="00C21DCE"/>
    <w:rsid w:val="00C21E26"/>
    <w:rsid w:val="00C21F99"/>
    <w:rsid w:val="00C2227E"/>
    <w:rsid w:val="00C22643"/>
    <w:rsid w:val="00C226FA"/>
    <w:rsid w:val="00C22817"/>
    <w:rsid w:val="00C22A24"/>
    <w:rsid w:val="00C22CF9"/>
    <w:rsid w:val="00C22DF9"/>
    <w:rsid w:val="00C2356E"/>
    <w:rsid w:val="00C237B9"/>
    <w:rsid w:val="00C23AB3"/>
    <w:rsid w:val="00C24338"/>
    <w:rsid w:val="00C24A59"/>
    <w:rsid w:val="00C2546A"/>
    <w:rsid w:val="00C25A29"/>
    <w:rsid w:val="00C263FD"/>
    <w:rsid w:val="00C26B8B"/>
    <w:rsid w:val="00C26CC1"/>
    <w:rsid w:val="00C26D1C"/>
    <w:rsid w:val="00C26F5E"/>
    <w:rsid w:val="00C2703C"/>
    <w:rsid w:val="00C27118"/>
    <w:rsid w:val="00C2713C"/>
    <w:rsid w:val="00C2735D"/>
    <w:rsid w:val="00C27460"/>
    <w:rsid w:val="00C27A9F"/>
    <w:rsid w:val="00C27B1D"/>
    <w:rsid w:val="00C27C99"/>
    <w:rsid w:val="00C27D3A"/>
    <w:rsid w:val="00C27D5B"/>
    <w:rsid w:val="00C27DF1"/>
    <w:rsid w:val="00C27E47"/>
    <w:rsid w:val="00C302D1"/>
    <w:rsid w:val="00C305BF"/>
    <w:rsid w:val="00C30BAB"/>
    <w:rsid w:val="00C30CFD"/>
    <w:rsid w:val="00C3106A"/>
    <w:rsid w:val="00C31077"/>
    <w:rsid w:val="00C311C6"/>
    <w:rsid w:val="00C31224"/>
    <w:rsid w:val="00C3165F"/>
    <w:rsid w:val="00C31947"/>
    <w:rsid w:val="00C31AED"/>
    <w:rsid w:val="00C31C37"/>
    <w:rsid w:val="00C31C40"/>
    <w:rsid w:val="00C31DE0"/>
    <w:rsid w:val="00C31F96"/>
    <w:rsid w:val="00C32332"/>
    <w:rsid w:val="00C327FB"/>
    <w:rsid w:val="00C32C69"/>
    <w:rsid w:val="00C32D48"/>
    <w:rsid w:val="00C32E74"/>
    <w:rsid w:val="00C33175"/>
    <w:rsid w:val="00C332D7"/>
    <w:rsid w:val="00C33405"/>
    <w:rsid w:val="00C33524"/>
    <w:rsid w:val="00C33557"/>
    <w:rsid w:val="00C336E1"/>
    <w:rsid w:val="00C337DF"/>
    <w:rsid w:val="00C3384D"/>
    <w:rsid w:val="00C33D23"/>
    <w:rsid w:val="00C3462B"/>
    <w:rsid w:val="00C3462F"/>
    <w:rsid w:val="00C34C86"/>
    <w:rsid w:val="00C34FBD"/>
    <w:rsid w:val="00C35309"/>
    <w:rsid w:val="00C35BC6"/>
    <w:rsid w:val="00C35D41"/>
    <w:rsid w:val="00C36121"/>
    <w:rsid w:val="00C36244"/>
    <w:rsid w:val="00C36471"/>
    <w:rsid w:val="00C36567"/>
    <w:rsid w:val="00C36C95"/>
    <w:rsid w:val="00C36FED"/>
    <w:rsid w:val="00C370BC"/>
    <w:rsid w:val="00C3739A"/>
    <w:rsid w:val="00C37806"/>
    <w:rsid w:val="00C37963"/>
    <w:rsid w:val="00C37AB4"/>
    <w:rsid w:val="00C4005E"/>
    <w:rsid w:val="00C40C47"/>
    <w:rsid w:val="00C40CF8"/>
    <w:rsid w:val="00C41204"/>
    <w:rsid w:val="00C41370"/>
    <w:rsid w:val="00C41693"/>
    <w:rsid w:val="00C419B0"/>
    <w:rsid w:val="00C41BDE"/>
    <w:rsid w:val="00C41E8C"/>
    <w:rsid w:val="00C41F5E"/>
    <w:rsid w:val="00C42002"/>
    <w:rsid w:val="00C42360"/>
    <w:rsid w:val="00C423C7"/>
    <w:rsid w:val="00C423DB"/>
    <w:rsid w:val="00C4279E"/>
    <w:rsid w:val="00C42A14"/>
    <w:rsid w:val="00C42A7B"/>
    <w:rsid w:val="00C42E37"/>
    <w:rsid w:val="00C42EEF"/>
    <w:rsid w:val="00C43422"/>
    <w:rsid w:val="00C435DF"/>
    <w:rsid w:val="00C436BB"/>
    <w:rsid w:val="00C4376C"/>
    <w:rsid w:val="00C43778"/>
    <w:rsid w:val="00C438A8"/>
    <w:rsid w:val="00C43F30"/>
    <w:rsid w:val="00C43F9B"/>
    <w:rsid w:val="00C43FE6"/>
    <w:rsid w:val="00C440C3"/>
    <w:rsid w:val="00C44247"/>
    <w:rsid w:val="00C44555"/>
    <w:rsid w:val="00C446DF"/>
    <w:rsid w:val="00C451C8"/>
    <w:rsid w:val="00C45237"/>
    <w:rsid w:val="00C45312"/>
    <w:rsid w:val="00C453DB"/>
    <w:rsid w:val="00C45964"/>
    <w:rsid w:val="00C45C2E"/>
    <w:rsid w:val="00C45DF5"/>
    <w:rsid w:val="00C46139"/>
    <w:rsid w:val="00C46558"/>
    <w:rsid w:val="00C46C46"/>
    <w:rsid w:val="00C46F21"/>
    <w:rsid w:val="00C47040"/>
    <w:rsid w:val="00C473F0"/>
    <w:rsid w:val="00C47413"/>
    <w:rsid w:val="00C474DC"/>
    <w:rsid w:val="00C4755F"/>
    <w:rsid w:val="00C47672"/>
    <w:rsid w:val="00C47A91"/>
    <w:rsid w:val="00C47DA2"/>
    <w:rsid w:val="00C50366"/>
    <w:rsid w:val="00C50621"/>
    <w:rsid w:val="00C5096E"/>
    <w:rsid w:val="00C50C2A"/>
    <w:rsid w:val="00C50D17"/>
    <w:rsid w:val="00C50D22"/>
    <w:rsid w:val="00C50D63"/>
    <w:rsid w:val="00C51262"/>
    <w:rsid w:val="00C51951"/>
    <w:rsid w:val="00C51D67"/>
    <w:rsid w:val="00C52019"/>
    <w:rsid w:val="00C5205D"/>
    <w:rsid w:val="00C52486"/>
    <w:rsid w:val="00C52725"/>
    <w:rsid w:val="00C52950"/>
    <w:rsid w:val="00C52EC1"/>
    <w:rsid w:val="00C537E2"/>
    <w:rsid w:val="00C542ED"/>
    <w:rsid w:val="00C5438E"/>
    <w:rsid w:val="00C54563"/>
    <w:rsid w:val="00C545FF"/>
    <w:rsid w:val="00C54CAB"/>
    <w:rsid w:val="00C550D6"/>
    <w:rsid w:val="00C5516C"/>
    <w:rsid w:val="00C55368"/>
    <w:rsid w:val="00C556AA"/>
    <w:rsid w:val="00C55998"/>
    <w:rsid w:val="00C55B4B"/>
    <w:rsid w:val="00C55FAD"/>
    <w:rsid w:val="00C560D6"/>
    <w:rsid w:val="00C563AA"/>
    <w:rsid w:val="00C565E6"/>
    <w:rsid w:val="00C567A2"/>
    <w:rsid w:val="00C567B7"/>
    <w:rsid w:val="00C56873"/>
    <w:rsid w:val="00C5690E"/>
    <w:rsid w:val="00C56B58"/>
    <w:rsid w:val="00C56C71"/>
    <w:rsid w:val="00C56CCE"/>
    <w:rsid w:val="00C56F38"/>
    <w:rsid w:val="00C56F42"/>
    <w:rsid w:val="00C57340"/>
    <w:rsid w:val="00C57524"/>
    <w:rsid w:val="00C576DA"/>
    <w:rsid w:val="00C5786F"/>
    <w:rsid w:val="00C57A96"/>
    <w:rsid w:val="00C57D0B"/>
    <w:rsid w:val="00C57F91"/>
    <w:rsid w:val="00C6043A"/>
    <w:rsid w:val="00C60446"/>
    <w:rsid w:val="00C60509"/>
    <w:rsid w:val="00C60563"/>
    <w:rsid w:val="00C60596"/>
    <w:rsid w:val="00C60A0B"/>
    <w:rsid w:val="00C60E00"/>
    <w:rsid w:val="00C617BE"/>
    <w:rsid w:val="00C618E6"/>
    <w:rsid w:val="00C61DCB"/>
    <w:rsid w:val="00C62BC6"/>
    <w:rsid w:val="00C62F59"/>
    <w:rsid w:val="00C63367"/>
    <w:rsid w:val="00C6345F"/>
    <w:rsid w:val="00C63489"/>
    <w:rsid w:val="00C63B43"/>
    <w:rsid w:val="00C644F1"/>
    <w:rsid w:val="00C648BC"/>
    <w:rsid w:val="00C652EE"/>
    <w:rsid w:val="00C65466"/>
    <w:rsid w:val="00C65A3A"/>
    <w:rsid w:val="00C65CF2"/>
    <w:rsid w:val="00C65D62"/>
    <w:rsid w:val="00C65ED9"/>
    <w:rsid w:val="00C6607D"/>
    <w:rsid w:val="00C6619F"/>
    <w:rsid w:val="00C66474"/>
    <w:rsid w:val="00C664E7"/>
    <w:rsid w:val="00C665DB"/>
    <w:rsid w:val="00C667E2"/>
    <w:rsid w:val="00C668BD"/>
    <w:rsid w:val="00C668D5"/>
    <w:rsid w:val="00C66B33"/>
    <w:rsid w:val="00C66BA4"/>
    <w:rsid w:val="00C67260"/>
    <w:rsid w:val="00C6774D"/>
    <w:rsid w:val="00C67CCA"/>
    <w:rsid w:val="00C70004"/>
    <w:rsid w:val="00C7029E"/>
    <w:rsid w:val="00C70BCF"/>
    <w:rsid w:val="00C70DEA"/>
    <w:rsid w:val="00C711FC"/>
    <w:rsid w:val="00C71912"/>
    <w:rsid w:val="00C71C7C"/>
    <w:rsid w:val="00C71D36"/>
    <w:rsid w:val="00C72020"/>
    <w:rsid w:val="00C72062"/>
    <w:rsid w:val="00C72166"/>
    <w:rsid w:val="00C723F1"/>
    <w:rsid w:val="00C7241D"/>
    <w:rsid w:val="00C726B6"/>
    <w:rsid w:val="00C72820"/>
    <w:rsid w:val="00C72CA8"/>
    <w:rsid w:val="00C7326D"/>
    <w:rsid w:val="00C73788"/>
    <w:rsid w:val="00C73D1F"/>
    <w:rsid w:val="00C743F8"/>
    <w:rsid w:val="00C749B3"/>
    <w:rsid w:val="00C74A4A"/>
    <w:rsid w:val="00C75253"/>
    <w:rsid w:val="00C75E03"/>
    <w:rsid w:val="00C75EDF"/>
    <w:rsid w:val="00C76004"/>
    <w:rsid w:val="00C76356"/>
    <w:rsid w:val="00C7637A"/>
    <w:rsid w:val="00C76734"/>
    <w:rsid w:val="00C769E2"/>
    <w:rsid w:val="00C76BC0"/>
    <w:rsid w:val="00C77036"/>
    <w:rsid w:val="00C77503"/>
    <w:rsid w:val="00C7790A"/>
    <w:rsid w:val="00C77BA6"/>
    <w:rsid w:val="00C77BE5"/>
    <w:rsid w:val="00C77E4C"/>
    <w:rsid w:val="00C80072"/>
    <w:rsid w:val="00C801C3"/>
    <w:rsid w:val="00C802B3"/>
    <w:rsid w:val="00C80E20"/>
    <w:rsid w:val="00C80FB4"/>
    <w:rsid w:val="00C81106"/>
    <w:rsid w:val="00C81180"/>
    <w:rsid w:val="00C816F1"/>
    <w:rsid w:val="00C81AC1"/>
    <w:rsid w:val="00C826EE"/>
    <w:rsid w:val="00C82AB5"/>
    <w:rsid w:val="00C82DCA"/>
    <w:rsid w:val="00C82E03"/>
    <w:rsid w:val="00C82F60"/>
    <w:rsid w:val="00C831DF"/>
    <w:rsid w:val="00C83603"/>
    <w:rsid w:val="00C83861"/>
    <w:rsid w:val="00C838BD"/>
    <w:rsid w:val="00C83A0F"/>
    <w:rsid w:val="00C83D3B"/>
    <w:rsid w:val="00C8411E"/>
    <w:rsid w:val="00C8423D"/>
    <w:rsid w:val="00C8447F"/>
    <w:rsid w:val="00C8496E"/>
    <w:rsid w:val="00C84AC5"/>
    <w:rsid w:val="00C8504B"/>
    <w:rsid w:val="00C85490"/>
    <w:rsid w:val="00C858C8"/>
    <w:rsid w:val="00C859BA"/>
    <w:rsid w:val="00C85C22"/>
    <w:rsid w:val="00C85C69"/>
    <w:rsid w:val="00C86003"/>
    <w:rsid w:val="00C860FF"/>
    <w:rsid w:val="00C86678"/>
    <w:rsid w:val="00C86BC2"/>
    <w:rsid w:val="00C86BE3"/>
    <w:rsid w:val="00C86ED7"/>
    <w:rsid w:val="00C87256"/>
    <w:rsid w:val="00C8747B"/>
    <w:rsid w:val="00C90103"/>
    <w:rsid w:val="00C9022C"/>
    <w:rsid w:val="00C90322"/>
    <w:rsid w:val="00C90B59"/>
    <w:rsid w:val="00C90BE1"/>
    <w:rsid w:val="00C90E80"/>
    <w:rsid w:val="00C91552"/>
    <w:rsid w:val="00C9235E"/>
    <w:rsid w:val="00C923B8"/>
    <w:rsid w:val="00C92481"/>
    <w:rsid w:val="00C92578"/>
    <w:rsid w:val="00C92CC6"/>
    <w:rsid w:val="00C92D75"/>
    <w:rsid w:val="00C932FA"/>
    <w:rsid w:val="00C9389F"/>
    <w:rsid w:val="00C94152"/>
    <w:rsid w:val="00C9451D"/>
    <w:rsid w:val="00C948D6"/>
    <w:rsid w:val="00C949D7"/>
    <w:rsid w:val="00C94BFF"/>
    <w:rsid w:val="00C94DB0"/>
    <w:rsid w:val="00C94EFE"/>
    <w:rsid w:val="00C94F1A"/>
    <w:rsid w:val="00C9568B"/>
    <w:rsid w:val="00C95CC2"/>
    <w:rsid w:val="00C95E0F"/>
    <w:rsid w:val="00C96343"/>
    <w:rsid w:val="00C9638C"/>
    <w:rsid w:val="00C969C6"/>
    <w:rsid w:val="00C96A28"/>
    <w:rsid w:val="00C96C40"/>
    <w:rsid w:val="00C96D03"/>
    <w:rsid w:val="00C96DB7"/>
    <w:rsid w:val="00C97C4B"/>
    <w:rsid w:val="00C97DB0"/>
    <w:rsid w:val="00C97E49"/>
    <w:rsid w:val="00C97F38"/>
    <w:rsid w:val="00C97FB7"/>
    <w:rsid w:val="00CA0538"/>
    <w:rsid w:val="00CA096B"/>
    <w:rsid w:val="00CA0B1B"/>
    <w:rsid w:val="00CA0BF4"/>
    <w:rsid w:val="00CA14D6"/>
    <w:rsid w:val="00CA1858"/>
    <w:rsid w:val="00CA18A1"/>
    <w:rsid w:val="00CA1C43"/>
    <w:rsid w:val="00CA211D"/>
    <w:rsid w:val="00CA22DE"/>
    <w:rsid w:val="00CA240C"/>
    <w:rsid w:val="00CA259B"/>
    <w:rsid w:val="00CA26DE"/>
    <w:rsid w:val="00CA32D8"/>
    <w:rsid w:val="00CA332E"/>
    <w:rsid w:val="00CA345A"/>
    <w:rsid w:val="00CA390A"/>
    <w:rsid w:val="00CA390C"/>
    <w:rsid w:val="00CA393D"/>
    <w:rsid w:val="00CA3D16"/>
    <w:rsid w:val="00CA3F6B"/>
    <w:rsid w:val="00CA47D3"/>
    <w:rsid w:val="00CA4E24"/>
    <w:rsid w:val="00CA50C9"/>
    <w:rsid w:val="00CA54F2"/>
    <w:rsid w:val="00CA56C1"/>
    <w:rsid w:val="00CA599A"/>
    <w:rsid w:val="00CA5D56"/>
    <w:rsid w:val="00CA60EC"/>
    <w:rsid w:val="00CA64D4"/>
    <w:rsid w:val="00CA66DB"/>
    <w:rsid w:val="00CA6A23"/>
    <w:rsid w:val="00CA6F13"/>
    <w:rsid w:val="00CA7608"/>
    <w:rsid w:val="00CA7B79"/>
    <w:rsid w:val="00CA7CB5"/>
    <w:rsid w:val="00CB0363"/>
    <w:rsid w:val="00CB0665"/>
    <w:rsid w:val="00CB06CB"/>
    <w:rsid w:val="00CB0759"/>
    <w:rsid w:val="00CB08B0"/>
    <w:rsid w:val="00CB0CAD"/>
    <w:rsid w:val="00CB0E0F"/>
    <w:rsid w:val="00CB0E70"/>
    <w:rsid w:val="00CB0EF1"/>
    <w:rsid w:val="00CB1025"/>
    <w:rsid w:val="00CB105F"/>
    <w:rsid w:val="00CB13D7"/>
    <w:rsid w:val="00CB1F62"/>
    <w:rsid w:val="00CB23E4"/>
    <w:rsid w:val="00CB2964"/>
    <w:rsid w:val="00CB2A31"/>
    <w:rsid w:val="00CB2BAB"/>
    <w:rsid w:val="00CB2FC2"/>
    <w:rsid w:val="00CB325B"/>
    <w:rsid w:val="00CB3286"/>
    <w:rsid w:val="00CB3359"/>
    <w:rsid w:val="00CB33BF"/>
    <w:rsid w:val="00CB3676"/>
    <w:rsid w:val="00CB3996"/>
    <w:rsid w:val="00CB3D51"/>
    <w:rsid w:val="00CB3DC2"/>
    <w:rsid w:val="00CB3F2E"/>
    <w:rsid w:val="00CB4468"/>
    <w:rsid w:val="00CB46A9"/>
    <w:rsid w:val="00CB4E07"/>
    <w:rsid w:val="00CB4F35"/>
    <w:rsid w:val="00CB53AF"/>
    <w:rsid w:val="00CB53E6"/>
    <w:rsid w:val="00CB55C4"/>
    <w:rsid w:val="00CB572D"/>
    <w:rsid w:val="00CB5731"/>
    <w:rsid w:val="00CB5803"/>
    <w:rsid w:val="00CB5C5E"/>
    <w:rsid w:val="00CB63DB"/>
    <w:rsid w:val="00CB667E"/>
    <w:rsid w:val="00CB68B3"/>
    <w:rsid w:val="00CB6AE7"/>
    <w:rsid w:val="00CB71DF"/>
    <w:rsid w:val="00CB78CD"/>
    <w:rsid w:val="00CC00BB"/>
    <w:rsid w:val="00CC0473"/>
    <w:rsid w:val="00CC0849"/>
    <w:rsid w:val="00CC0BEA"/>
    <w:rsid w:val="00CC0C43"/>
    <w:rsid w:val="00CC0EF3"/>
    <w:rsid w:val="00CC128F"/>
    <w:rsid w:val="00CC148B"/>
    <w:rsid w:val="00CC14A5"/>
    <w:rsid w:val="00CC1642"/>
    <w:rsid w:val="00CC18DC"/>
    <w:rsid w:val="00CC1991"/>
    <w:rsid w:val="00CC1BC5"/>
    <w:rsid w:val="00CC1C4D"/>
    <w:rsid w:val="00CC1C94"/>
    <w:rsid w:val="00CC1D5D"/>
    <w:rsid w:val="00CC1FB5"/>
    <w:rsid w:val="00CC2304"/>
    <w:rsid w:val="00CC2576"/>
    <w:rsid w:val="00CC2800"/>
    <w:rsid w:val="00CC2838"/>
    <w:rsid w:val="00CC2A96"/>
    <w:rsid w:val="00CC33DC"/>
    <w:rsid w:val="00CC3A23"/>
    <w:rsid w:val="00CC3AF9"/>
    <w:rsid w:val="00CC3B76"/>
    <w:rsid w:val="00CC4222"/>
    <w:rsid w:val="00CC48BD"/>
    <w:rsid w:val="00CC48FC"/>
    <w:rsid w:val="00CC4F94"/>
    <w:rsid w:val="00CC540A"/>
    <w:rsid w:val="00CC565C"/>
    <w:rsid w:val="00CC5E07"/>
    <w:rsid w:val="00CC609D"/>
    <w:rsid w:val="00CC60B2"/>
    <w:rsid w:val="00CC61D8"/>
    <w:rsid w:val="00CC62EB"/>
    <w:rsid w:val="00CC6995"/>
    <w:rsid w:val="00CC72E5"/>
    <w:rsid w:val="00CC7559"/>
    <w:rsid w:val="00CC78DB"/>
    <w:rsid w:val="00CC79D0"/>
    <w:rsid w:val="00CC7BC0"/>
    <w:rsid w:val="00CC7F48"/>
    <w:rsid w:val="00CD0238"/>
    <w:rsid w:val="00CD0432"/>
    <w:rsid w:val="00CD0866"/>
    <w:rsid w:val="00CD0A2E"/>
    <w:rsid w:val="00CD0D19"/>
    <w:rsid w:val="00CD1128"/>
    <w:rsid w:val="00CD1408"/>
    <w:rsid w:val="00CD15E0"/>
    <w:rsid w:val="00CD169F"/>
    <w:rsid w:val="00CD177C"/>
    <w:rsid w:val="00CD17F5"/>
    <w:rsid w:val="00CD1879"/>
    <w:rsid w:val="00CD18CC"/>
    <w:rsid w:val="00CD1E15"/>
    <w:rsid w:val="00CD1E2F"/>
    <w:rsid w:val="00CD202B"/>
    <w:rsid w:val="00CD246B"/>
    <w:rsid w:val="00CD281C"/>
    <w:rsid w:val="00CD2A44"/>
    <w:rsid w:val="00CD2C52"/>
    <w:rsid w:val="00CD2C81"/>
    <w:rsid w:val="00CD3389"/>
    <w:rsid w:val="00CD3BFE"/>
    <w:rsid w:val="00CD3D74"/>
    <w:rsid w:val="00CD3DBF"/>
    <w:rsid w:val="00CD3E93"/>
    <w:rsid w:val="00CD44A5"/>
    <w:rsid w:val="00CD4C92"/>
    <w:rsid w:val="00CD4CCD"/>
    <w:rsid w:val="00CD5365"/>
    <w:rsid w:val="00CD5570"/>
    <w:rsid w:val="00CD5853"/>
    <w:rsid w:val="00CD5998"/>
    <w:rsid w:val="00CD5DAD"/>
    <w:rsid w:val="00CD6233"/>
    <w:rsid w:val="00CD6427"/>
    <w:rsid w:val="00CD648F"/>
    <w:rsid w:val="00CD6BBC"/>
    <w:rsid w:val="00CD6D15"/>
    <w:rsid w:val="00CD6E28"/>
    <w:rsid w:val="00CD6FD8"/>
    <w:rsid w:val="00CD736B"/>
    <w:rsid w:val="00CD797E"/>
    <w:rsid w:val="00CD7D27"/>
    <w:rsid w:val="00CE02C8"/>
    <w:rsid w:val="00CE0404"/>
    <w:rsid w:val="00CE0608"/>
    <w:rsid w:val="00CE09D1"/>
    <w:rsid w:val="00CE0AAB"/>
    <w:rsid w:val="00CE0C04"/>
    <w:rsid w:val="00CE0E5C"/>
    <w:rsid w:val="00CE100F"/>
    <w:rsid w:val="00CE1374"/>
    <w:rsid w:val="00CE1966"/>
    <w:rsid w:val="00CE19D4"/>
    <w:rsid w:val="00CE2117"/>
    <w:rsid w:val="00CE2278"/>
    <w:rsid w:val="00CE2502"/>
    <w:rsid w:val="00CE25A4"/>
    <w:rsid w:val="00CE3250"/>
    <w:rsid w:val="00CE37C4"/>
    <w:rsid w:val="00CE3867"/>
    <w:rsid w:val="00CE3F54"/>
    <w:rsid w:val="00CE4786"/>
    <w:rsid w:val="00CE4DD8"/>
    <w:rsid w:val="00CE52B9"/>
    <w:rsid w:val="00CE5401"/>
    <w:rsid w:val="00CE56D4"/>
    <w:rsid w:val="00CE573A"/>
    <w:rsid w:val="00CE57BC"/>
    <w:rsid w:val="00CE5929"/>
    <w:rsid w:val="00CE5C37"/>
    <w:rsid w:val="00CE5D8B"/>
    <w:rsid w:val="00CE5DAE"/>
    <w:rsid w:val="00CE6457"/>
    <w:rsid w:val="00CE6496"/>
    <w:rsid w:val="00CE64E4"/>
    <w:rsid w:val="00CE652E"/>
    <w:rsid w:val="00CE66CF"/>
    <w:rsid w:val="00CE67D6"/>
    <w:rsid w:val="00CE6E1B"/>
    <w:rsid w:val="00CE7092"/>
    <w:rsid w:val="00CE73C2"/>
    <w:rsid w:val="00CE744F"/>
    <w:rsid w:val="00CE74DB"/>
    <w:rsid w:val="00CE752D"/>
    <w:rsid w:val="00CE7807"/>
    <w:rsid w:val="00CE78CA"/>
    <w:rsid w:val="00CE7B50"/>
    <w:rsid w:val="00CF03DC"/>
    <w:rsid w:val="00CF06BA"/>
    <w:rsid w:val="00CF0807"/>
    <w:rsid w:val="00CF0943"/>
    <w:rsid w:val="00CF0E53"/>
    <w:rsid w:val="00CF103C"/>
    <w:rsid w:val="00CF111E"/>
    <w:rsid w:val="00CF1251"/>
    <w:rsid w:val="00CF14DF"/>
    <w:rsid w:val="00CF16EF"/>
    <w:rsid w:val="00CF1F3E"/>
    <w:rsid w:val="00CF1F6B"/>
    <w:rsid w:val="00CF2247"/>
    <w:rsid w:val="00CF2A64"/>
    <w:rsid w:val="00CF2AC7"/>
    <w:rsid w:val="00CF2D79"/>
    <w:rsid w:val="00CF2DC1"/>
    <w:rsid w:val="00CF31C1"/>
    <w:rsid w:val="00CF32DC"/>
    <w:rsid w:val="00CF335C"/>
    <w:rsid w:val="00CF346E"/>
    <w:rsid w:val="00CF38F9"/>
    <w:rsid w:val="00CF3C1A"/>
    <w:rsid w:val="00CF3F06"/>
    <w:rsid w:val="00CF3F36"/>
    <w:rsid w:val="00CF42B8"/>
    <w:rsid w:val="00CF42C3"/>
    <w:rsid w:val="00CF4729"/>
    <w:rsid w:val="00CF4B04"/>
    <w:rsid w:val="00CF4B56"/>
    <w:rsid w:val="00CF4DFD"/>
    <w:rsid w:val="00CF508A"/>
    <w:rsid w:val="00CF52C7"/>
    <w:rsid w:val="00CF57AA"/>
    <w:rsid w:val="00CF5932"/>
    <w:rsid w:val="00CF5CFD"/>
    <w:rsid w:val="00CF62D9"/>
    <w:rsid w:val="00CF6371"/>
    <w:rsid w:val="00CF6756"/>
    <w:rsid w:val="00CF680C"/>
    <w:rsid w:val="00CF6BC3"/>
    <w:rsid w:val="00CF6E2E"/>
    <w:rsid w:val="00CF71C2"/>
    <w:rsid w:val="00CF744F"/>
    <w:rsid w:val="00CF7655"/>
    <w:rsid w:val="00D002A3"/>
    <w:rsid w:val="00D00D86"/>
    <w:rsid w:val="00D01C1B"/>
    <w:rsid w:val="00D01D45"/>
    <w:rsid w:val="00D01E56"/>
    <w:rsid w:val="00D02840"/>
    <w:rsid w:val="00D02C7F"/>
    <w:rsid w:val="00D02DCC"/>
    <w:rsid w:val="00D02F55"/>
    <w:rsid w:val="00D048C7"/>
    <w:rsid w:val="00D04D5E"/>
    <w:rsid w:val="00D04E20"/>
    <w:rsid w:val="00D04E53"/>
    <w:rsid w:val="00D04E71"/>
    <w:rsid w:val="00D05AAE"/>
    <w:rsid w:val="00D05F07"/>
    <w:rsid w:val="00D06460"/>
    <w:rsid w:val="00D069C9"/>
    <w:rsid w:val="00D06A4C"/>
    <w:rsid w:val="00D06C78"/>
    <w:rsid w:val="00D06F47"/>
    <w:rsid w:val="00D07440"/>
    <w:rsid w:val="00D078CE"/>
    <w:rsid w:val="00D07A72"/>
    <w:rsid w:val="00D07D71"/>
    <w:rsid w:val="00D1043D"/>
    <w:rsid w:val="00D10C26"/>
    <w:rsid w:val="00D10DF7"/>
    <w:rsid w:val="00D112F4"/>
    <w:rsid w:val="00D1155C"/>
    <w:rsid w:val="00D11586"/>
    <w:rsid w:val="00D11594"/>
    <w:rsid w:val="00D11983"/>
    <w:rsid w:val="00D11AFB"/>
    <w:rsid w:val="00D1217E"/>
    <w:rsid w:val="00D12A33"/>
    <w:rsid w:val="00D12F3D"/>
    <w:rsid w:val="00D13044"/>
    <w:rsid w:val="00D13169"/>
    <w:rsid w:val="00D131D2"/>
    <w:rsid w:val="00D132DF"/>
    <w:rsid w:val="00D13842"/>
    <w:rsid w:val="00D13C6E"/>
    <w:rsid w:val="00D13DF4"/>
    <w:rsid w:val="00D140C6"/>
    <w:rsid w:val="00D141BC"/>
    <w:rsid w:val="00D14511"/>
    <w:rsid w:val="00D14538"/>
    <w:rsid w:val="00D14D42"/>
    <w:rsid w:val="00D14D8C"/>
    <w:rsid w:val="00D14DA5"/>
    <w:rsid w:val="00D150B1"/>
    <w:rsid w:val="00D158D5"/>
    <w:rsid w:val="00D1595F"/>
    <w:rsid w:val="00D15BCB"/>
    <w:rsid w:val="00D162D7"/>
    <w:rsid w:val="00D169A5"/>
    <w:rsid w:val="00D1705F"/>
    <w:rsid w:val="00D17742"/>
    <w:rsid w:val="00D17808"/>
    <w:rsid w:val="00D178B7"/>
    <w:rsid w:val="00D17F4E"/>
    <w:rsid w:val="00D208D4"/>
    <w:rsid w:val="00D209F3"/>
    <w:rsid w:val="00D20B8E"/>
    <w:rsid w:val="00D20C73"/>
    <w:rsid w:val="00D20E16"/>
    <w:rsid w:val="00D21D6E"/>
    <w:rsid w:val="00D228EE"/>
    <w:rsid w:val="00D2303E"/>
    <w:rsid w:val="00D2316F"/>
    <w:rsid w:val="00D234E4"/>
    <w:rsid w:val="00D238C0"/>
    <w:rsid w:val="00D23EA1"/>
    <w:rsid w:val="00D24118"/>
    <w:rsid w:val="00D2413E"/>
    <w:rsid w:val="00D24568"/>
    <w:rsid w:val="00D247DF"/>
    <w:rsid w:val="00D248A2"/>
    <w:rsid w:val="00D24B71"/>
    <w:rsid w:val="00D24F67"/>
    <w:rsid w:val="00D25BC6"/>
    <w:rsid w:val="00D26A13"/>
    <w:rsid w:val="00D26C91"/>
    <w:rsid w:val="00D26E66"/>
    <w:rsid w:val="00D27218"/>
    <w:rsid w:val="00D275E5"/>
    <w:rsid w:val="00D275EF"/>
    <w:rsid w:val="00D27755"/>
    <w:rsid w:val="00D27888"/>
    <w:rsid w:val="00D27A7F"/>
    <w:rsid w:val="00D27FA9"/>
    <w:rsid w:val="00D305BC"/>
    <w:rsid w:val="00D3083E"/>
    <w:rsid w:val="00D30AF0"/>
    <w:rsid w:val="00D30CAC"/>
    <w:rsid w:val="00D30ED3"/>
    <w:rsid w:val="00D310E0"/>
    <w:rsid w:val="00D31684"/>
    <w:rsid w:val="00D31CA7"/>
    <w:rsid w:val="00D3205A"/>
    <w:rsid w:val="00D322C8"/>
    <w:rsid w:val="00D32585"/>
    <w:rsid w:val="00D3284F"/>
    <w:rsid w:val="00D328C5"/>
    <w:rsid w:val="00D3293D"/>
    <w:rsid w:val="00D32AD1"/>
    <w:rsid w:val="00D32D9A"/>
    <w:rsid w:val="00D32E91"/>
    <w:rsid w:val="00D33422"/>
    <w:rsid w:val="00D337E3"/>
    <w:rsid w:val="00D33BBE"/>
    <w:rsid w:val="00D33ED1"/>
    <w:rsid w:val="00D342A2"/>
    <w:rsid w:val="00D343F1"/>
    <w:rsid w:val="00D34506"/>
    <w:rsid w:val="00D346A5"/>
    <w:rsid w:val="00D34A46"/>
    <w:rsid w:val="00D34B50"/>
    <w:rsid w:val="00D34CCB"/>
    <w:rsid w:val="00D35326"/>
    <w:rsid w:val="00D3558A"/>
    <w:rsid w:val="00D3576B"/>
    <w:rsid w:val="00D35B63"/>
    <w:rsid w:val="00D35DFF"/>
    <w:rsid w:val="00D35EAA"/>
    <w:rsid w:val="00D35EC4"/>
    <w:rsid w:val="00D36373"/>
    <w:rsid w:val="00D36423"/>
    <w:rsid w:val="00D36699"/>
    <w:rsid w:val="00D36A50"/>
    <w:rsid w:val="00D371B2"/>
    <w:rsid w:val="00D37258"/>
    <w:rsid w:val="00D374E9"/>
    <w:rsid w:val="00D37C80"/>
    <w:rsid w:val="00D400CA"/>
    <w:rsid w:val="00D4028C"/>
    <w:rsid w:val="00D40383"/>
    <w:rsid w:val="00D40789"/>
    <w:rsid w:val="00D40B90"/>
    <w:rsid w:val="00D40BA9"/>
    <w:rsid w:val="00D40CC0"/>
    <w:rsid w:val="00D4121D"/>
    <w:rsid w:val="00D4124A"/>
    <w:rsid w:val="00D41526"/>
    <w:rsid w:val="00D416AB"/>
    <w:rsid w:val="00D41A3B"/>
    <w:rsid w:val="00D41BAE"/>
    <w:rsid w:val="00D41BF8"/>
    <w:rsid w:val="00D41CDF"/>
    <w:rsid w:val="00D42381"/>
    <w:rsid w:val="00D42595"/>
    <w:rsid w:val="00D426BF"/>
    <w:rsid w:val="00D42B7B"/>
    <w:rsid w:val="00D42FCF"/>
    <w:rsid w:val="00D43081"/>
    <w:rsid w:val="00D43132"/>
    <w:rsid w:val="00D4313B"/>
    <w:rsid w:val="00D4345D"/>
    <w:rsid w:val="00D435C2"/>
    <w:rsid w:val="00D435EC"/>
    <w:rsid w:val="00D43BF2"/>
    <w:rsid w:val="00D43DA9"/>
    <w:rsid w:val="00D43EEA"/>
    <w:rsid w:val="00D4426B"/>
    <w:rsid w:val="00D448EC"/>
    <w:rsid w:val="00D44B4E"/>
    <w:rsid w:val="00D44FCC"/>
    <w:rsid w:val="00D453D8"/>
    <w:rsid w:val="00D456A7"/>
    <w:rsid w:val="00D4576A"/>
    <w:rsid w:val="00D45778"/>
    <w:rsid w:val="00D45B67"/>
    <w:rsid w:val="00D45FF8"/>
    <w:rsid w:val="00D46348"/>
    <w:rsid w:val="00D4660B"/>
    <w:rsid w:val="00D472CC"/>
    <w:rsid w:val="00D47820"/>
    <w:rsid w:val="00D47998"/>
    <w:rsid w:val="00D47D34"/>
    <w:rsid w:val="00D502CD"/>
    <w:rsid w:val="00D50458"/>
    <w:rsid w:val="00D50615"/>
    <w:rsid w:val="00D508EC"/>
    <w:rsid w:val="00D50C09"/>
    <w:rsid w:val="00D5103F"/>
    <w:rsid w:val="00D5104B"/>
    <w:rsid w:val="00D511B8"/>
    <w:rsid w:val="00D51551"/>
    <w:rsid w:val="00D515DF"/>
    <w:rsid w:val="00D516DB"/>
    <w:rsid w:val="00D517E5"/>
    <w:rsid w:val="00D51998"/>
    <w:rsid w:val="00D51B85"/>
    <w:rsid w:val="00D51E1A"/>
    <w:rsid w:val="00D51FB2"/>
    <w:rsid w:val="00D5245B"/>
    <w:rsid w:val="00D52D97"/>
    <w:rsid w:val="00D52EA5"/>
    <w:rsid w:val="00D53053"/>
    <w:rsid w:val="00D530DA"/>
    <w:rsid w:val="00D530FC"/>
    <w:rsid w:val="00D53189"/>
    <w:rsid w:val="00D532A0"/>
    <w:rsid w:val="00D536B6"/>
    <w:rsid w:val="00D53779"/>
    <w:rsid w:val="00D54020"/>
    <w:rsid w:val="00D545AB"/>
    <w:rsid w:val="00D5462F"/>
    <w:rsid w:val="00D5470A"/>
    <w:rsid w:val="00D54B2A"/>
    <w:rsid w:val="00D54C95"/>
    <w:rsid w:val="00D54CFA"/>
    <w:rsid w:val="00D5515E"/>
    <w:rsid w:val="00D5548E"/>
    <w:rsid w:val="00D55B27"/>
    <w:rsid w:val="00D55D77"/>
    <w:rsid w:val="00D5637E"/>
    <w:rsid w:val="00D56570"/>
    <w:rsid w:val="00D568BB"/>
    <w:rsid w:val="00D56C39"/>
    <w:rsid w:val="00D56D5D"/>
    <w:rsid w:val="00D56E8D"/>
    <w:rsid w:val="00D57019"/>
    <w:rsid w:val="00D5729A"/>
    <w:rsid w:val="00D572C6"/>
    <w:rsid w:val="00D5790B"/>
    <w:rsid w:val="00D57A78"/>
    <w:rsid w:val="00D57B9B"/>
    <w:rsid w:val="00D57BD1"/>
    <w:rsid w:val="00D57D8C"/>
    <w:rsid w:val="00D60358"/>
    <w:rsid w:val="00D60411"/>
    <w:rsid w:val="00D605ED"/>
    <w:rsid w:val="00D60677"/>
    <w:rsid w:val="00D607AE"/>
    <w:rsid w:val="00D60A0E"/>
    <w:rsid w:val="00D60B62"/>
    <w:rsid w:val="00D61046"/>
    <w:rsid w:val="00D6119E"/>
    <w:rsid w:val="00D615E0"/>
    <w:rsid w:val="00D61676"/>
    <w:rsid w:val="00D6172B"/>
    <w:rsid w:val="00D61CB6"/>
    <w:rsid w:val="00D62406"/>
    <w:rsid w:val="00D62782"/>
    <w:rsid w:val="00D62903"/>
    <w:rsid w:val="00D6299A"/>
    <w:rsid w:val="00D62AAB"/>
    <w:rsid w:val="00D62B0F"/>
    <w:rsid w:val="00D62B93"/>
    <w:rsid w:val="00D62C06"/>
    <w:rsid w:val="00D62C9B"/>
    <w:rsid w:val="00D6325B"/>
    <w:rsid w:val="00D633CC"/>
    <w:rsid w:val="00D634BE"/>
    <w:rsid w:val="00D636CE"/>
    <w:rsid w:val="00D63B87"/>
    <w:rsid w:val="00D63CBC"/>
    <w:rsid w:val="00D6406B"/>
    <w:rsid w:val="00D640ED"/>
    <w:rsid w:val="00D6456E"/>
    <w:rsid w:val="00D648CB"/>
    <w:rsid w:val="00D64BAD"/>
    <w:rsid w:val="00D65555"/>
    <w:rsid w:val="00D65649"/>
    <w:rsid w:val="00D657D6"/>
    <w:rsid w:val="00D667F6"/>
    <w:rsid w:val="00D6680B"/>
    <w:rsid w:val="00D669CB"/>
    <w:rsid w:val="00D66EF2"/>
    <w:rsid w:val="00D67065"/>
    <w:rsid w:val="00D67371"/>
    <w:rsid w:val="00D67A93"/>
    <w:rsid w:val="00D702B8"/>
    <w:rsid w:val="00D7039D"/>
    <w:rsid w:val="00D703E5"/>
    <w:rsid w:val="00D71000"/>
    <w:rsid w:val="00D71005"/>
    <w:rsid w:val="00D71148"/>
    <w:rsid w:val="00D711AA"/>
    <w:rsid w:val="00D712B0"/>
    <w:rsid w:val="00D715F9"/>
    <w:rsid w:val="00D716D3"/>
    <w:rsid w:val="00D71A6B"/>
    <w:rsid w:val="00D71C0E"/>
    <w:rsid w:val="00D72A03"/>
    <w:rsid w:val="00D72C6D"/>
    <w:rsid w:val="00D72F92"/>
    <w:rsid w:val="00D730F3"/>
    <w:rsid w:val="00D736E0"/>
    <w:rsid w:val="00D73776"/>
    <w:rsid w:val="00D73892"/>
    <w:rsid w:val="00D73B16"/>
    <w:rsid w:val="00D73D8A"/>
    <w:rsid w:val="00D7406F"/>
    <w:rsid w:val="00D740E6"/>
    <w:rsid w:val="00D74165"/>
    <w:rsid w:val="00D7432A"/>
    <w:rsid w:val="00D746AC"/>
    <w:rsid w:val="00D75014"/>
    <w:rsid w:val="00D75025"/>
    <w:rsid w:val="00D75107"/>
    <w:rsid w:val="00D755FF"/>
    <w:rsid w:val="00D756BC"/>
    <w:rsid w:val="00D757D9"/>
    <w:rsid w:val="00D770F6"/>
    <w:rsid w:val="00D775D9"/>
    <w:rsid w:val="00D77C5C"/>
    <w:rsid w:val="00D8013C"/>
    <w:rsid w:val="00D802FE"/>
    <w:rsid w:val="00D8053C"/>
    <w:rsid w:val="00D80CBD"/>
    <w:rsid w:val="00D80D1B"/>
    <w:rsid w:val="00D815E5"/>
    <w:rsid w:val="00D818E9"/>
    <w:rsid w:val="00D81F78"/>
    <w:rsid w:val="00D821A6"/>
    <w:rsid w:val="00D828CC"/>
    <w:rsid w:val="00D82A11"/>
    <w:rsid w:val="00D8306B"/>
    <w:rsid w:val="00D83E21"/>
    <w:rsid w:val="00D84487"/>
    <w:rsid w:val="00D844E5"/>
    <w:rsid w:val="00D848F9"/>
    <w:rsid w:val="00D849F2"/>
    <w:rsid w:val="00D84B4A"/>
    <w:rsid w:val="00D84BAA"/>
    <w:rsid w:val="00D84F9A"/>
    <w:rsid w:val="00D86038"/>
    <w:rsid w:val="00D86180"/>
    <w:rsid w:val="00D863FD"/>
    <w:rsid w:val="00D8657E"/>
    <w:rsid w:val="00D865D0"/>
    <w:rsid w:val="00D866BA"/>
    <w:rsid w:val="00D86780"/>
    <w:rsid w:val="00D86B20"/>
    <w:rsid w:val="00D86BE4"/>
    <w:rsid w:val="00D86C64"/>
    <w:rsid w:val="00D86DAB"/>
    <w:rsid w:val="00D8700E"/>
    <w:rsid w:val="00D871C2"/>
    <w:rsid w:val="00D875C2"/>
    <w:rsid w:val="00D87761"/>
    <w:rsid w:val="00D87A74"/>
    <w:rsid w:val="00D87DCC"/>
    <w:rsid w:val="00D87F27"/>
    <w:rsid w:val="00D900AC"/>
    <w:rsid w:val="00D907E9"/>
    <w:rsid w:val="00D908C9"/>
    <w:rsid w:val="00D90DC6"/>
    <w:rsid w:val="00D911A4"/>
    <w:rsid w:val="00D9130F"/>
    <w:rsid w:val="00D9188B"/>
    <w:rsid w:val="00D91931"/>
    <w:rsid w:val="00D91948"/>
    <w:rsid w:val="00D91F15"/>
    <w:rsid w:val="00D9230B"/>
    <w:rsid w:val="00D92A46"/>
    <w:rsid w:val="00D931E7"/>
    <w:rsid w:val="00D932A5"/>
    <w:rsid w:val="00D935FF"/>
    <w:rsid w:val="00D93850"/>
    <w:rsid w:val="00D94050"/>
    <w:rsid w:val="00D94139"/>
    <w:rsid w:val="00D942F5"/>
    <w:rsid w:val="00D944B6"/>
    <w:rsid w:val="00D9492C"/>
    <w:rsid w:val="00D94D85"/>
    <w:rsid w:val="00D957C4"/>
    <w:rsid w:val="00D958DF"/>
    <w:rsid w:val="00D95902"/>
    <w:rsid w:val="00D95EE7"/>
    <w:rsid w:val="00D95F90"/>
    <w:rsid w:val="00D9600A"/>
    <w:rsid w:val="00D9632B"/>
    <w:rsid w:val="00D9635E"/>
    <w:rsid w:val="00D96474"/>
    <w:rsid w:val="00D96818"/>
    <w:rsid w:val="00D96877"/>
    <w:rsid w:val="00D968A3"/>
    <w:rsid w:val="00D96AA6"/>
    <w:rsid w:val="00D96AAC"/>
    <w:rsid w:val="00D96B2F"/>
    <w:rsid w:val="00D96EDA"/>
    <w:rsid w:val="00D97411"/>
    <w:rsid w:val="00D9746B"/>
    <w:rsid w:val="00D978CE"/>
    <w:rsid w:val="00D97AA2"/>
    <w:rsid w:val="00D97EC4"/>
    <w:rsid w:val="00DA07FC"/>
    <w:rsid w:val="00DA0BBB"/>
    <w:rsid w:val="00DA0E70"/>
    <w:rsid w:val="00DA10FE"/>
    <w:rsid w:val="00DA1795"/>
    <w:rsid w:val="00DA205D"/>
    <w:rsid w:val="00DA20DA"/>
    <w:rsid w:val="00DA27F1"/>
    <w:rsid w:val="00DA27FB"/>
    <w:rsid w:val="00DA2A87"/>
    <w:rsid w:val="00DA2E25"/>
    <w:rsid w:val="00DA331D"/>
    <w:rsid w:val="00DA33B4"/>
    <w:rsid w:val="00DA37AC"/>
    <w:rsid w:val="00DA3878"/>
    <w:rsid w:val="00DA3B1B"/>
    <w:rsid w:val="00DA45A6"/>
    <w:rsid w:val="00DA484A"/>
    <w:rsid w:val="00DA4C61"/>
    <w:rsid w:val="00DA5B53"/>
    <w:rsid w:val="00DA5CB9"/>
    <w:rsid w:val="00DA5D37"/>
    <w:rsid w:val="00DA5F28"/>
    <w:rsid w:val="00DA62C9"/>
    <w:rsid w:val="00DA659B"/>
    <w:rsid w:val="00DA6AAF"/>
    <w:rsid w:val="00DA6BAD"/>
    <w:rsid w:val="00DA6C9B"/>
    <w:rsid w:val="00DA6D13"/>
    <w:rsid w:val="00DA6EB7"/>
    <w:rsid w:val="00DA73BB"/>
    <w:rsid w:val="00DA7492"/>
    <w:rsid w:val="00DA74A5"/>
    <w:rsid w:val="00DA7605"/>
    <w:rsid w:val="00DA7849"/>
    <w:rsid w:val="00DA78A0"/>
    <w:rsid w:val="00DA7A0E"/>
    <w:rsid w:val="00DA7A68"/>
    <w:rsid w:val="00DA7C64"/>
    <w:rsid w:val="00DA7D63"/>
    <w:rsid w:val="00DA7ECB"/>
    <w:rsid w:val="00DB03C6"/>
    <w:rsid w:val="00DB05C3"/>
    <w:rsid w:val="00DB09ED"/>
    <w:rsid w:val="00DB0B8D"/>
    <w:rsid w:val="00DB1281"/>
    <w:rsid w:val="00DB1437"/>
    <w:rsid w:val="00DB153C"/>
    <w:rsid w:val="00DB15CA"/>
    <w:rsid w:val="00DB17CC"/>
    <w:rsid w:val="00DB1913"/>
    <w:rsid w:val="00DB1DA3"/>
    <w:rsid w:val="00DB2106"/>
    <w:rsid w:val="00DB2519"/>
    <w:rsid w:val="00DB28A7"/>
    <w:rsid w:val="00DB28CE"/>
    <w:rsid w:val="00DB2B2F"/>
    <w:rsid w:val="00DB3122"/>
    <w:rsid w:val="00DB33B5"/>
    <w:rsid w:val="00DB3461"/>
    <w:rsid w:val="00DB3491"/>
    <w:rsid w:val="00DB35FB"/>
    <w:rsid w:val="00DB3F7E"/>
    <w:rsid w:val="00DB430E"/>
    <w:rsid w:val="00DB4649"/>
    <w:rsid w:val="00DB48AB"/>
    <w:rsid w:val="00DB4B0B"/>
    <w:rsid w:val="00DB4B18"/>
    <w:rsid w:val="00DB4B2A"/>
    <w:rsid w:val="00DB4B2C"/>
    <w:rsid w:val="00DB4C7F"/>
    <w:rsid w:val="00DB4D1D"/>
    <w:rsid w:val="00DB5199"/>
    <w:rsid w:val="00DB56A2"/>
    <w:rsid w:val="00DB580D"/>
    <w:rsid w:val="00DB585B"/>
    <w:rsid w:val="00DB59E1"/>
    <w:rsid w:val="00DB5A88"/>
    <w:rsid w:val="00DB5A8F"/>
    <w:rsid w:val="00DB5DA0"/>
    <w:rsid w:val="00DB6126"/>
    <w:rsid w:val="00DB676C"/>
    <w:rsid w:val="00DB6884"/>
    <w:rsid w:val="00DB6895"/>
    <w:rsid w:val="00DB6A9E"/>
    <w:rsid w:val="00DB6E79"/>
    <w:rsid w:val="00DB6F46"/>
    <w:rsid w:val="00DB7CC1"/>
    <w:rsid w:val="00DC1172"/>
    <w:rsid w:val="00DC1786"/>
    <w:rsid w:val="00DC1B54"/>
    <w:rsid w:val="00DC1BA5"/>
    <w:rsid w:val="00DC1CDF"/>
    <w:rsid w:val="00DC2100"/>
    <w:rsid w:val="00DC237C"/>
    <w:rsid w:val="00DC2527"/>
    <w:rsid w:val="00DC284F"/>
    <w:rsid w:val="00DC337F"/>
    <w:rsid w:val="00DC339F"/>
    <w:rsid w:val="00DC40FC"/>
    <w:rsid w:val="00DC45D3"/>
    <w:rsid w:val="00DC4963"/>
    <w:rsid w:val="00DC4F1E"/>
    <w:rsid w:val="00DC51A7"/>
    <w:rsid w:val="00DC53B8"/>
    <w:rsid w:val="00DC5488"/>
    <w:rsid w:val="00DC5499"/>
    <w:rsid w:val="00DC58E9"/>
    <w:rsid w:val="00DC5B23"/>
    <w:rsid w:val="00DC60A4"/>
    <w:rsid w:val="00DC62EA"/>
    <w:rsid w:val="00DC6945"/>
    <w:rsid w:val="00DC6C2D"/>
    <w:rsid w:val="00DC6DCD"/>
    <w:rsid w:val="00DC740F"/>
    <w:rsid w:val="00DC74C1"/>
    <w:rsid w:val="00DC760D"/>
    <w:rsid w:val="00DC7678"/>
    <w:rsid w:val="00DC7DC5"/>
    <w:rsid w:val="00DC7E8A"/>
    <w:rsid w:val="00DC7F84"/>
    <w:rsid w:val="00DC7FC2"/>
    <w:rsid w:val="00DD0167"/>
    <w:rsid w:val="00DD056D"/>
    <w:rsid w:val="00DD05B4"/>
    <w:rsid w:val="00DD0ADD"/>
    <w:rsid w:val="00DD122C"/>
    <w:rsid w:val="00DD16EF"/>
    <w:rsid w:val="00DD179D"/>
    <w:rsid w:val="00DD1837"/>
    <w:rsid w:val="00DD1905"/>
    <w:rsid w:val="00DD194E"/>
    <w:rsid w:val="00DD1B0C"/>
    <w:rsid w:val="00DD1C93"/>
    <w:rsid w:val="00DD1E0F"/>
    <w:rsid w:val="00DD20C1"/>
    <w:rsid w:val="00DD217C"/>
    <w:rsid w:val="00DD233B"/>
    <w:rsid w:val="00DD2370"/>
    <w:rsid w:val="00DD2404"/>
    <w:rsid w:val="00DD2F84"/>
    <w:rsid w:val="00DD3536"/>
    <w:rsid w:val="00DD3DB1"/>
    <w:rsid w:val="00DD41ED"/>
    <w:rsid w:val="00DD4356"/>
    <w:rsid w:val="00DD45EC"/>
    <w:rsid w:val="00DD483A"/>
    <w:rsid w:val="00DD4C71"/>
    <w:rsid w:val="00DD4EF9"/>
    <w:rsid w:val="00DD5246"/>
    <w:rsid w:val="00DD58C8"/>
    <w:rsid w:val="00DD58ED"/>
    <w:rsid w:val="00DD58F5"/>
    <w:rsid w:val="00DD59AB"/>
    <w:rsid w:val="00DD5A91"/>
    <w:rsid w:val="00DD5C06"/>
    <w:rsid w:val="00DD5ED6"/>
    <w:rsid w:val="00DD6120"/>
    <w:rsid w:val="00DD629D"/>
    <w:rsid w:val="00DD6386"/>
    <w:rsid w:val="00DD63D5"/>
    <w:rsid w:val="00DD6AB3"/>
    <w:rsid w:val="00DD6B16"/>
    <w:rsid w:val="00DD7053"/>
    <w:rsid w:val="00DD74AD"/>
    <w:rsid w:val="00DD789A"/>
    <w:rsid w:val="00DD7A63"/>
    <w:rsid w:val="00DE0005"/>
    <w:rsid w:val="00DE0049"/>
    <w:rsid w:val="00DE01CF"/>
    <w:rsid w:val="00DE033B"/>
    <w:rsid w:val="00DE04B2"/>
    <w:rsid w:val="00DE06CD"/>
    <w:rsid w:val="00DE0947"/>
    <w:rsid w:val="00DE0A8C"/>
    <w:rsid w:val="00DE0BA0"/>
    <w:rsid w:val="00DE0ED8"/>
    <w:rsid w:val="00DE0FFF"/>
    <w:rsid w:val="00DE1368"/>
    <w:rsid w:val="00DE14E5"/>
    <w:rsid w:val="00DE169D"/>
    <w:rsid w:val="00DE1D7F"/>
    <w:rsid w:val="00DE1DBE"/>
    <w:rsid w:val="00DE1EA3"/>
    <w:rsid w:val="00DE1F43"/>
    <w:rsid w:val="00DE2227"/>
    <w:rsid w:val="00DE22D9"/>
    <w:rsid w:val="00DE24D5"/>
    <w:rsid w:val="00DE265E"/>
    <w:rsid w:val="00DE2EDA"/>
    <w:rsid w:val="00DE39E4"/>
    <w:rsid w:val="00DE39F0"/>
    <w:rsid w:val="00DE3CEE"/>
    <w:rsid w:val="00DE43FC"/>
    <w:rsid w:val="00DE4758"/>
    <w:rsid w:val="00DE47E7"/>
    <w:rsid w:val="00DE47EA"/>
    <w:rsid w:val="00DE4A05"/>
    <w:rsid w:val="00DE4F03"/>
    <w:rsid w:val="00DE4FA9"/>
    <w:rsid w:val="00DE500E"/>
    <w:rsid w:val="00DE5550"/>
    <w:rsid w:val="00DE5663"/>
    <w:rsid w:val="00DE56D8"/>
    <w:rsid w:val="00DE601A"/>
    <w:rsid w:val="00DE684F"/>
    <w:rsid w:val="00DE6F16"/>
    <w:rsid w:val="00DE718A"/>
    <w:rsid w:val="00DE7DB7"/>
    <w:rsid w:val="00DF0684"/>
    <w:rsid w:val="00DF0872"/>
    <w:rsid w:val="00DF0A22"/>
    <w:rsid w:val="00DF139D"/>
    <w:rsid w:val="00DF168B"/>
    <w:rsid w:val="00DF1D2E"/>
    <w:rsid w:val="00DF2646"/>
    <w:rsid w:val="00DF27EF"/>
    <w:rsid w:val="00DF286D"/>
    <w:rsid w:val="00DF2D9C"/>
    <w:rsid w:val="00DF33A9"/>
    <w:rsid w:val="00DF3655"/>
    <w:rsid w:val="00DF36A7"/>
    <w:rsid w:val="00DF3C0C"/>
    <w:rsid w:val="00DF3FE8"/>
    <w:rsid w:val="00DF43B3"/>
    <w:rsid w:val="00DF4840"/>
    <w:rsid w:val="00DF4E43"/>
    <w:rsid w:val="00DF53FE"/>
    <w:rsid w:val="00DF55B6"/>
    <w:rsid w:val="00DF560F"/>
    <w:rsid w:val="00DF5A99"/>
    <w:rsid w:val="00DF5BC0"/>
    <w:rsid w:val="00DF5BF6"/>
    <w:rsid w:val="00DF5D98"/>
    <w:rsid w:val="00DF63D2"/>
    <w:rsid w:val="00DF647E"/>
    <w:rsid w:val="00DF6758"/>
    <w:rsid w:val="00DF6778"/>
    <w:rsid w:val="00DF6862"/>
    <w:rsid w:val="00DF68BD"/>
    <w:rsid w:val="00DF6CB1"/>
    <w:rsid w:val="00DF6CF2"/>
    <w:rsid w:val="00DF7674"/>
    <w:rsid w:val="00DF7741"/>
    <w:rsid w:val="00DF797F"/>
    <w:rsid w:val="00DF7A37"/>
    <w:rsid w:val="00DF7F92"/>
    <w:rsid w:val="00E00390"/>
    <w:rsid w:val="00E003A7"/>
    <w:rsid w:val="00E004F7"/>
    <w:rsid w:val="00E00654"/>
    <w:rsid w:val="00E0073B"/>
    <w:rsid w:val="00E00DAA"/>
    <w:rsid w:val="00E00DD2"/>
    <w:rsid w:val="00E00FC1"/>
    <w:rsid w:val="00E01037"/>
    <w:rsid w:val="00E010D6"/>
    <w:rsid w:val="00E01110"/>
    <w:rsid w:val="00E02715"/>
    <w:rsid w:val="00E02A26"/>
    <w:rsid w:val="00E0316C"/>
    <w:rsid w:val="00E031C8"/>
    <w:rsid w:val="00E038A8"/>
    <w:rsid w:val="00E03A29"/>
    <w:rsid w:val="00E041F3"/>
    <w:rsid w:val="00E04474"/>
    <w:rsid w:val="00E0473F"/>
    <w:rsid w:val="00E048E2"/>
    <w:rsid w:val="00E04A11"/>
    <w:rsid w:val="00E04F60"/>
    <w:rsid w:val="00E053EF"/>
    <w:rsid w:val="00E054D8"/>
    <w:rsid w:val="00E05529"/>
    <w:rsid w:val="00E05777"/>
    <w:rsid w:val="00E05FB4"/>
    <w:rsid w:val="00E0778E"/>
    <w:rsid w:val="00E07F9C"/>
    <w:rsid w:val="00E108B0"/>
    <w:rsid w:val="00E10C35"/>
    <w:rsid w:val="00E11418"/>
    <w:rsid w:val="00E1159D"/>
    <w:rsid w:val="00E118E2"/>
    <w:rsid w:val="00E11A65"/>
    <w:rsid w:val="00E11B3E"/>
    <w:rsid w:val="00E11B5A"/>
    <w:rsid w:val="00E11E54"/>
    <w:rsid w:val="00E1200F"/>
    <w:rsid w:val="00E12080"/>
    <w:rsid w:val="00E12237"/>
    <w:rsid w:val="00E12882"/>
    <w:rsid w:val="00E12B6B"/>
    <w:rsid w:val="00E12EF5"/>
    <w:rsid w:val="00E12FA0"/>
    <w:rsid w:val="00E13658"/>
    <w:rsid w:val="00E139FC"/>
    <w:rsid w:val="00E13A61"/>
    <w:rsid w:val="00E13C63"/>
    <w:rsid w:val="00E13C95"/>
    <w:rsid w:val="00E13EB2"/>
    <w:rsid w:val="00E15136"/>
    <w:rsid w:val="00E156F0"/>
    <w:rsid w:val="00E158A3"/>
    <w:rsid w:val="00E162DD"/>
    <w:rsid w:val="00E16312"/>
    <w:rsid w:val="00E164F0"/>
    <w:rsid w:val="00E1651B"/>
    <w:rsid w:val="00E16697"/>
    <w:rsid w:val="00E169CE"/>
    <w:rsid w:val="00E16C56"/>
    <w:rsid w:val="00E17043"/>
    <w:rsid w:val="00E1722D"/>
    <w:rsid w:val="00E17658"/>
    <w:rsid w:val="00E179E0"/>
    <w:rsid w:val="00E17F1B"/>
    <w:rsid w:val="00E20072"/>
    <w:rsid w:val="00E201F9"/>
    <w:rsid w:val="00E205D5"/>
    <w:rsid w:val="00E2071F"/>
    <w:rsid w:val="00E2078F"/>
    <w:rsid w:val="00E21446"/>
    <w:rsid w:val="00E2150C"/>
    <w:rsid w:val="00E219AA"/>
    <w:rsid w:val="00E21F48"/>
    <w:rsid w:val="00E2231C"/>
    <w:rsid w:val="00E228A4"/>
    <w:rsid w:val="00E23187"/>
    <w:rsid w:val="00E232A2"/>
    <w:rsid w:val="00E233F7"/>
    <w:rsid w:val="00E23909"/>
    <w:rsid w:val="00E239D0"/>
    <w:rsid w:val="00E23A28"/>
    <w:rsid w:val="00E23A4A"/>
    <w:rsid w:val="00E23CAD"/>
    <w:rsid w:val="00E24113"/>
    <w:rsid w:val="00E24384"/>
    <w:rsid w:val="00E2444C"/>
    <w:rsid w:val="00E244D1"/>
    <w:rsid w:val="00E2461B"/>
    <w:rsid w:val="00E25060"/>
    <w:rsid w:val="00E2530E"/>
    <w:rsid w:val="00E25558"/>
    <w:rsid w:val="00E255E9"/>
    <w:rsid w:val="00E25CA6"/>
    <w:rsid w:val="00E25E1C"/>
    <w:rsid w:val="00E265AC"/>
    <w:rsid w:val="00E26602"/>
    <w:rsid w:val="00E26DB7"/>
    <w:rsid w:val="00E26E72"/>
    <w:rsid w:val="00E27127"/>
    <w:rsid w:val="00E2719F"/>
    <w:rsid w:val="00E272CD"/>
    <w:rsid w:val="00E273E3"/>
    <w:rsid w:val="00E27609"/>
    <w:rsid w:val="00E2797E"/>
    <w:rsid w:val="00E2799C"/>
    <w:rsid w:val="00E27D03"/>
    <w:rsid w:val="00E30879"/>
    <w:rsid w:val="00E30F38"/>
    <w:rsid w:val="00E3100F"/>
    <w:rsid w:val="00E3105C"/>
    <w:rsid w:val="00E31063"/>
    <w:rsid w:val="00E312BA"/>
    <w:rsid w:val="00E31321"/>
    <w:rsid w:val="00E31451"/>
    <w:rsid w:val="00E31685"/>
    <w:rsid w:val="00E31700"/>
    <w:rsid w:val="00E3181D"/>
    <w:rsid w:val="00E31852"/>
    <w:rsid w:val="00E318D6"/>
    <w:rsid w:val="00E31943"/>
    <w:rsid w:val="00E31C73"/>
    <w:rsid w:val="00E31CBD"/>
    <w:rsid w:val="00E31D4E"/>
    <w:rsid w:val="00E31F10"/>
    <w:rsid w:val="00E327CB"/>
    <w:rsid w:val="00E32A37"/>
    <w:rsid w:val="00E32C2C"/>
    <w:rsid w:val="00E32C6C"/>
    <w:rsid w:val="00E32FFF"/>
    <w:rsid w:val="00E332AB"/>
    <w:rsid w:val="00E33682"/>
    <w:rsid w:val="00E33DF7"/>
    <w:rsid w:val="00E33F44"/>
    <w:rsid w:val="00E34044"/>
    <w:rsid w:val="00E349B1"/>
    <w:rsid w:val="00E34D43"/>
    <w:rsid w:val="00E35A90"/>
    <w:rsid w:val="00E362F9"/>
    <w:rsid w:val="00E36481"/>
    <w:rsid w:val="00E36C62"/>
    <w:rsid w:val="00E36DC7"/>
    <w:rsid w:val="00E370E7"/>
    <w:rsid w:val="00E3733D"/>
    <w:rsid w:val="00E37947"/>
    <w:rsid w:val="00E37C21"/>
    <w:rsid w:val="00E37C61"/>
    <w:rsid w:val="00E37C69"/>
    <w:rsid w:val="00E37EE1"/>
    <w:rsid w:val="00E401E9"/>
    <w:rsid w:val="00E40369"/>
    <w:rsid w:val="00E40545"/>
    <w:rsid w:val="00E40565"/>
    <w:rsid w:val="00E4115D"/>
    <w:rsid w:val="00E4152B"/>
    <w:rsid w:val="00E41F3E"/>
    <w:rsid w:val="00E4213A"/>
    <w:rsid w:val="00E42630"/>
    <w:rsid w:val="00E426D7"/>
    <w:rsid w:val="00E427B8"/>
    <w:rsid w:val="00E428AB"/>
    <w:rsid w:val="00E428E0"/>
    <w:rsid w:val="00E42A95"/>
    <w:rsid w:val="00E42C47"/>
    <w:rsid w:val="00E42D72"/>
    <w:rsid w:val="00E42E25"/>
    <w:rsid w:val="00E432B1"/>
    <w:rsid w:val="00E43383"/>
    <w:rsid w:val="00E43AD5"/>
    <w:rsid w:val="00E44075"/>
    <w:rsid w:val="00E44C7A"/>
    <w:rsid w:val="00E44C99"/>
    <w:rsid w:val="00E44C9D"/>
    <w:rsid w:val="00E44D64"/>
    <w:rsid w:val="00E4525D"/>
    <w:rsid w:val="00E452DF"/>
    <w:rsid w:val="00E4577B"/>
    <w:rsid w:val="00E45DCC"/>
    <w:rsid w:val="00E4650F"/>
    <w:rsid w:val="00E46775"/>
    <w:rsid w:val="00E46926"/>
    <w:rsid w:val="00E46C32"/>
    <w:rsid w:val="00E474A1"/>
    <w:rsid w:val="00E47505"/>
    <w:rsid w:val="00E479EA"/>
    <w:rsid w:val="00E47D3F"/>
    <w:rsid w:val="00E50074"/>
    <w:rsid w:val="00E501E8"/>
    <w:rsid w:val="00E502E4"/>
    <w:rsid w:val="00E50311"/>
    <w:rsid w:val="00E50640"/>
    <w:rsid w:val="00E51AA2"/>
    <w:rsid w:val="00E51AB0"/>
    <w:rsid w:val="00E521BE"/>
    <w:rsid w:val="00E52711"/>
    <w:rsid w:val="00E52805"/>
    <w:rsid w:val="00E52816"/>
    <w:rsid w:val="00E52B7F"/>
    <w:rsid w:val="00E534EF"/>
    <w:rsid w:val="00E53642"/>
    <w:rsid w:val="00E536DE"/>
    <w:rsid w:val="00E53976"/>
    <w:rsid w:val="00E540FB"/>
    <w:rsid w:val="00E54184"/>
    <w:rsid w:val="00E54335"/>
    <w:rsid w:val="00E544B1"/>
    <w:rsid w:val="00E546BE"/>
    <w:rsid w:val="00E546D4"/>
    <w:rsid w:val="00E54A55"/>
    <w:rsid w:val="00E54D4D"/>
    <w:rsid w:val="00E54EBC"/>
    <w:rsid w:val="00E54EC8"/>
    <w:rsid w:val="00E553A8"/>
    <w:rsid w:val="00E55DA6"/>
    <w:rsid w:val="00E56042"/>
    <w:rsid w:val="00E56283"/>
    <w:rsid w:val="00E565F3"/>
    <w:rsid w:val="00E56B69"/>
    <w:rsid w:val="00E56CE1"/>
    <w:rsid w:val="00E56F37"/>
    <w:rsid w:val="00E5724E"/>
    <w:rsid w:val="00E5726C"/>
    <w:rsid w:val="00E576C4"/>
    <w:rsid w:val="00E579E6"/>
    <w:rsid w:val="00E57E51"/>
    <w:rsid w:val="00E60258"/>
    <w:rsid w:val="00E6034B"/>
    <w:rsid w:val="00E60754"/>
    <w:rsid w:val="00E60BDA"/>
    <w:rsid w:val="00E60C74"/>
    <w:rsid w:val="00E61070"/>
    <w:rsid w:val="00E610CC"/>
    <w:rsid w:val="00E61184"/>
    <w:rsid w:val="00E6126A"/>
    <w:rsid w:val="00E615A0"/>
    <w:rsid w:val="00E61920"/>
    <w:rsid w:val="00E61DB6"/>
    <w:rsid w:val="00E61E21"/>
    <w:rsid w:val="00E61ECE"/>
    <w:rsid w:val="00E61F58"/>
    <w:rsid w:val="00E625ED"/>
    <w:rsid w:val="00E631BE"/>
    <w:rsid w:val="00E63232"/>
    <w:rsid w:val="00E6359F"/>
    <w:rsid w:val="00E6369C"/>
    <w:rsid w:val="00E638C6"/>
    <w:rsid w:val="00E63B4F"/>
    <w:rsid w:val="00E644F3"/>
    <w:rsid w:val="00E644F5"/>
    <w:rsid w:val="00E6459D"/>
    <w:rsid w:val="00E64727"/>
    <w:rsid w:val="00E647F1"/>
    <w:rsid w:val="00E6487E"/>
    <w:rsid w:val="00E649CB"/>
    <w:rsid w:val="00E64A8C"/>
    <w:rsid w:val="00E64E7C"/>
    <w:rsid w:val="00E6506B"/>
    <w:rsid w:val="00E65112"/>
    <w:rsid w:val="00E65141"/>
    <w:rsid w:val="00E65453"/>
    <w:rsid w:val="00E654D2"/>
    <w:rsid w:val="00E65BC3"/>
    <w:rsid w:val="00E65E66"/>
    <w:rsid w:val="00E66150"/>
    <w:rsid w:val="00E66BC8"/>
    <w:rsid w:val="00E66DAC"/>
    <w:rsid w:val="00E66E95"/>
    <w:rsid w:val="00E6711D"/>
    <w:rsid w:val="00E677B9"/>
    <w:rsid w:val="00E67928"/>
    <w:rsid w:val="00E67B8D"/>
    <w:rsid w:val="00E67D52"/>
    <w:rsid w:val="00E704FA"/>
    <w:rsid w:val="00E70800"/>
    <w:rsid w:val="00E7120D"/>
    <w:rsid w:val="00E71247"/>
    <w:rsid w:val="00E71CCA"/>
    <w:rsid w:val="00E722B2"/>
    <w:rsid w:val="00E7237D"/>
    <w:rsid w:val="00E72750"/>
    <w:rsid w:val="00E728F1"/>
    <w:rsid w:val="00E72918"/>
    <w:rsid w:val="00E72938"/>
    <w:rsid w:val="00E72949"/>
    <w:rsid w:val="00E72BCF"/>
    <w:rsid w:val="00E730DF"/>
    <w:rsid w:val="00E73112"/>
    <w:rsid w:val="00E73985"/>
    <w:rsid w:val="00E73B58"/>
    <w:rsid w:val="00E73DDF"/>
    <w:rsid w:val="00E74721"/>
    <w:rsid w:val="00E74A35"/>
    <w:rsid w:val="00E74B11"/>
    <w:rsid w:val="00E74DE8"/>
    <w:rsid w:val="00E75416"/>
    <w:rsid w:val="00E758DE"/>
    <w:rsid w:val="00E75DCC"/>
    <w:rsid w:val="00E76514"/>
    <w:rsid w:val="00E76915"/>
    <w:rsid w:val="00E76B30"/>
    <w:rsid w:val="00E76C05"/>
    <w:rsid w:val="00E76CE2"/>
    <w:rsid w:val="00E76D14"/>
    <w:rsid w:val="00E778C7"/>
    <w:rsid w:val="00E8018C"/>
    <w:rsid w:val="00E8024C"/>
    <w:rsid w:val="00E8042C"/>
    <w:rsid w:val="00E8047B"/>
    <w:rsid w:val="00E80556"/>
    <w:rsid w:val="00E80666"/>
    <w:rsid w:val="00E80F5A"/>
    <w:rsid w:val="00E80FB8"/>
    <w:rsid w:val="00E8132B"/>
    <w:rsid w:val="00E81CB8"/>
    <w:rsid w:val="00E81CEC"/>
    <w:rsid w:val="00E82E2A"/>
    <w:rsid w:val="00E8338C"/>
    <w:rsid w:val="00E834AA"/>
    <w:rsid w:val="00E83747"/>
    <w:rsid w:val="00E83B57"/>
    <w:rsid w:val="00E83CF2"/>
    <w:rsid w:val="00E83DCA"/>
    <w:rsid w:val="00E83F30"/>
    <w:rsid w:val="00E8442C"/>
    <w:rsid w:val="00E848D1"/>
    <w:rsid w:val="00E84930"/>
    <w:rsid w:val="00E84AC5"/>
    <w:rsid w:val="00E85012"/>
    <w:rsid w:val="00E856EB"/>
    <w:rsid w:val="00E85786"/>
    <w:rsid w:val="00E8582D"/>
    <w:rsid w:val="00E8589C"/>
    <w:rsid w:val="00E85DE1"/>
    <w:rsid w:val="00E85EAB"/>
    <w:rsid w:val="00E860AB"/>
    <w:rsid w:val="00E8621B"/>
    <w:rsid w:val="00E86285"/>
    <w:rsid w:val="00E8628A"/>
    <w:rsid w:val="00E86326"/>
    <w:rsid w:val="00E86AF0"/>
    <w:rsid w:val="00E86B0F"/>
    <w:rsid w:val="00E86D5B"/>
    <w:rsid w:val="00E8704F"/>
    <w:rsid w:val="00E871E7"/>
    <w:rsid w:val="00E875DC"/>
    <w:rsid w:val="00E87927"/>
    <w:rsid w:val="00E87D0A"/>
    <w:rsid w:val="00E902EB"/>
    <w:rsid w:val="00E90B2B"/>
    <w:rsid w:val="00E90E34"/>
    <w:rsid w:val="00E910EA"/>
    <w:rsid w:val="00E91408"/>
    <w:rsid w:val="00E91459"/>
    <w:rsid w:val="00E914E0"/>
    <w:rsid w:val="00E914EE"/>
    <w:rsid w:val="00E91C6A"/>
    <w:rsid w:val="00E920D4"/>
    <w:rsid w:val="00E924AB"/>
    <w:rsid w:val="00E9256C"/>
    <w:rsid w:val="00E925C5"/>
    <w:rsid w:val="00E92779"/>
    <w:rsid w:val="00E92809"/>
    <w:rsid w:val="00E92B04"/>
    <w:rsid w:val="00E930D2"/>
    <w:rsid w:val="00E936E1"/>
    <w:rsid w:val="00E93C4A"/>
    <w:rsid w:val="00E93DA2"/>
    <w:rsid w:val="00E95076"/>
    <w:rsid w:val="00E9543D"/>
    <w:rsid w:val="00E9564F"/>
    <w:rsid w:val="00E96010"/>
    <w:rsid w:val="00E960F9"/>
    <w:rsid w:val="00E96482"/>
    <w:rsid w:val="00E968F3"/>
    <w:rsid w:val="00E9714F"/>
    <w:rsid w:val="00E971DD"/>
    <w:rsid w:val="00E9738A"/>
    <w:rsid w:val="00E974AA"/>
    <w:rsid w:val="00E97A6A"/>
    <w:rsid w:val="00E97A6B"/>
    <w:rsid w:val="00EA036C"/>
    <w:rsid w:val="00EA03DD"/>
    <w:rsid w:val="00EA0885"/>
    <w:rsid w:val="00EA0964"/>
    <w:rsid w:val="00EA0A64"/>
    <w:rsid w:val="00EA0A8A"/>
    <w:rsid w:val="00EA102B"/>
    <w:rsid w:val="00EA116A"/>
    <w:rsid w:val="00EA116C"/>
    <w:rsid w:val="00EA1395"/>
    <w:rsid w:val="00EA1435"/>
    <w:rsid w:val="00EA1737"/>
    <w:rsid w:val="00EA179A"/>
    <w:rsid w:val="00EA17E6"/>
    <w:rsid w:val="00EA1B2B"/>
    <w:rsid w:val="00EA1BE1"/>
    <w:rsid w:val="00EA1E72"/>
    <w:rsid w:val="00EA2113"/>
    <w:rsid w:val="00EA25BB"/>
    <w:rsid w:val="00EA26DD"/>
    <w:rsid w:val="00EA276C"/>
    <w:rsid w:val="00EA289D"/>
    <w:rsid w:val="00EA29A8"/>
    <w:rsid w:val="00EA30A4"/>
    <w:rsid w:val="00EA316C"/>
    <w:rsid w:val="00EA33E4"/>
    <w:rsid w:val="00EA368B"/>
    <w:rsid w:val="00EA3708"/>
    <w:rsid w:val="00EA385D"/>
    <w:rsid w:val="00EA3B6D"/>
    <w:rsid w:val="00EA3D28"/>
    <w:rsid w:val="00EA401A"/>
    <w:rsid w:val="00EA40FF"/>
    <w:rsid w:val="00EA41AE"/>
    <w:rsid w:val="00EA4456"/>
    <w:rsid w:val="00EA4806"/>
    <w:rsid w:val="00EA4E81"/>
    <w:rsid w:val="00EA5301"/>
    <w:rsid w:val="00EA5515"/>
    <w:rsid w:val="00EA6167"/>
    <w:rsid w:val="00EA6765"/>
    <w:rsid w:val="00EA67D5"/>
    <w:rsid w:val="00EA683C"/>
    <w:rsid w:val="00EA6D8A"/>
    <w:rsid w:val="00EA6ED9"/>
    <w:rsid w:val="00EA7279"/>
    <w:rsid w:val="00EA73E3"/>
    <w:rsid w:val="00EA7476"/>
    <w:rsid w:val="00EA7738"/>
    <w:rsid w:val="00EA7829"/>
    <w:rsid w:val="00EB0573"/>
    <w:rsid w:val="00EB07B6"/>
    <w:rsid w:val="00EB1003"/>
    <w:rsid w:val="00EB1300"/>
    <w:rsid w:val="00EB1574"/>
    <w:rsid w:val="00EB158F"/>
    <w:rsid w:val="00EB1906"/>
    <w:rsid w:val="00EB1926"/>
    <w:rsid w:val="00EB1C99"/>
    <w:rsid w:val="00EB1EAB"/>
    <w:rsid w:val="00EB214E"/>
    <w:rsid w:val="00EB2288"/>
    <w:rsid w:val="00EB2356"/>
    <w:rsid w:val="00EB24CF"/>
    <w:rsid w:val="00EB2895"/>
    <w:rsid w:val="00EB2990"/>
    <w:rsid w:val="00EB2A65"/>
    <w:rsid w:val="00EB3559"/>
    <w:rsid w:val="00EB371D"/>
    <w:rsid w:val="00EB3C8D"/>
    <w:rsid w:val="00EB41D2"/>
    <w:rsid w:val="00EB429C"/>
    <w:rsid w:val="00EB430D"/>
    <w:rsid w:val="00EB4465"/>
    <w:rsid w:val="00EB46BF"/>
    <w:rsid w:val="00EB4785"/>
    <w:rsid w:val="00EB4ABE"/>
    <w:rsid w:val="00EB5107"/>
    <w:rsid w:val="00EB51C6"/>
    <w:rsid w:val="00EB5658"/>
    <w:rsid w:val="00EB57EB"/>
    <w:rsid w:val="00EB5B11"/>
    <w:rsid w:val="00EB5C24"/>
    <w:rsid w:val="00EB5CA0"/>
    <w:rsid w:val="00EB62DF"/>
    <w:rsid w:val="00EB6894"/>
    <w:rsid w:val="00EB68F3"/>
    <w:rsid w:val="00EB68FB"/>
    <w:rsid w:val="00EB6C2A"/>
    <w:rsid w:val="00EB6CD0"/>
    <w:rsid w:val="00EB7191"/>
    <w:rsid w:val="00EB71CB"/>
    <w:rsid w:val="00EB7281"/>
    <w:rsid w:val="00EC0497"/>
    <w:rsid w:val="00EC06BD"/>
    <w:rsid w:val="00EC0ACE"/>
    <w:rsid w:val="00EC0B82"/>
    <w:rsid w:val="00EC0CE0"/>
    <w:rsid w:val="00EC0DD9"/>
    <w:rsid w:val="00EC0E6A"/>
    <w:rsid w:val="00EC1118"/>
    <w:rsid w:val="00EC11DE"/>
    <w:rsid w:val="00EC1344"/>
    <w:rsid w:val="00EC1484"/>
    <w:rsid w:val="00EC157B"/>
    <w:rsid w:val="00EC17C0"/>
    <w:rsid w:val="00EC21E1"/>
    <w:rsid w:val="00EC21F4"/>
    <w:rsid w:val="00EC2262"/>
    <w:rsid w:val="00EC22F9"/>
    <w:rsid w:val="00EC237A"/>
    <w:rsid w:val="00EC24C1"/>
    <w:rsid w:val="00EC2D86"/>
    <w:rsid w:val="00EC2FDE"/>
    <w:rsid w:val="00EC3261"/>
    <w:rsid w:val="00EC35CD"/>
    <w:rsid w:val="00EC38DA"/>
    <w:rsid w:val="00EC39FB"/>
    <w:rsid w:val="00EC3EA2"/>
    <w:rsid w:val="00EC3F42"/>
    <w:rsid w:val="00EC3FE2"/>
    <w:rsid w:val="00EC429F"/>
    <w:rsid w:val="00EC43D3"/>
    <w:rsid w:val="00EC48D5"/>
    <w:rsid w:val="00EC4AFE"/>
    <w:rsid w:val="00EC4D5F"/>
    <w:rsid w:val="00EC4EED"/>
    <w:rsid w:val="00EC5538"/>
    <w:rsid w:val="00EC5594"/>
    <w:rsid w:val="00EC597D"/>
    <w:rsid w:val="00EC5D0C"/>
    <w:rsid w:val="00EC5EF1"/>
    <w:rsid w:val="00EC6103"/>
    <w:rsid w:val="00EC66CA"/>
    <w:rsid w:val="00EC67E6"/>
    <w:rsid w:val="00EC6933"/>
    <w:rsid w:val="00EC6B3F"/>
    <w:rsid w:val="00EC6CC3"/>
    <w:rsid w:val="00EC71A5"/>
    <w:rsid w:val="00EC7222"/>
    <w:rsid w:val="00EC7697"/>
    <w:rsid w:val="00EC7EC8"/>
    <w:rsid w:val="00EC7FF6"/>
    <w:rsid w:val="00ED135C"/>
    <w:rsid w:val="00ED1755"/>
    <w:rsid w:val="00ED1AEA"/>
    <w:rsid w:val="00ED1E37"/>
    <w:rsid w:val="00ED1F47"/>
    <w:rsid w:val="00ED20FB"/>
    <w:rsid w:val="00ED2157"/>
    <w:rsid w:val="00ED295B"/>
    <w:rsid w:val="00ED30FD"/>
    <w:rsid w:val="00ED337F"/>
    <w:rsid w:val="00ED3750"/>
    <w:rsid w:val="00ED38CC"/>
    <w:rsid w:val="00ED3B12"/>
    <w:rsid w:val="00ED3CD3"/>
    <w:rsid w:val="00ED3EA4"/>
    <w:rsid w:val="00ED4481"/>
    <w:rsid w:val="00ED4657"/>
    <w:rsid w:val="00ED46D2"/>
    <w:rsid w:val="00ED4CE5"/>
    <w:rsid w:val="00ED53A0"/>
    <w:rsid w:val="00ED548B"/>
    <w:rsid w:val="00ED5E25"/>
    <w:rsid w:val="00ED5E35"/>
    <w:rsid w:val="00ED623B"/>
    <w:rsid w:val="00ED640E"/>
    <w:rsid w:val="00ED67E2"/>
    <w:rsid w:val="00ED6A05"/>
    <w:rsid w:val="00ED6A0A"/>
    <w:rsid w:val="00ED6CDF"/>
    <w:rsid w:val="00ED70FA"/>
    <w:rsid w:val="00ED7473"/>
    <w:rsid w:val="00ED7AAB"/>
    <w:rsid w:val="00ED7DE6"/>
    <w:rsid w:val="00EE0072"/>
    <w:rsid w:val="00EE00C8"/>
    <w:rsid w:val="00EE0462"/>
    <w:rsid w:val="00EE04C8"/>
    <w:rsid w:val="00EE0F6D"/>
    <w:rsid w:val="00EE1173"/>
    <w:rsid w:val="00EE135F"/>
    <w:rsid w:val="00EE17D0"/>
    <w:rsid w:val="00EE1823"/>
    <w:rsid w:val="00EE1C4C"/>
    <w:rsid w:val="00EE20DF"/>
    <w:rsid w:val="00EE2474"/>
    <w:rsid w:val="00EE25CA"/>
    <w:rsid w:val="00EE26AF"/>
    <w:rsid w:val="00EE285F"/>
    <w:rsid w:val="00EE28F0"/>
    <w:rsid w:val="00EE2951"/>
    <w:rsid w:val="00EE2B0F"/>
    <w:rsid w:val="00EE2E32"/>
    <w:rsid w:val="00EE2EA6"/>
    <w:rsid w:val="00EE329E"/>
    <w:rsid w:val="00EE3754"/>
    <w:rsid w:val="00EE3B92"/>
    <w:rsid w:val="00EE3BC6"/>
    <w:rsid w:val="00EE3CC8"/>
    <w:rsid w:val="00EE3CD1"/>
    <w:rsid w:val="00EE421F"/>
    <w:rsid w:val="00EE42DD"/>
    <w:rsid w:val="00EE4697"/>
    <w:rsid w:val="00EE46F1"/>
    <w:rsid w:val="00EE486E"/>
    <w:rsid w:val="00EE4A0F"/>
    <w:rsid w:val="00EE4B19"/>
    <w:rsid w:val="00EE50DD"/>
    <w:rsid w:val="00EE50EA"/>
    <w:rsid w:val="00EE5133"/>
    <w:rsid w:val="00EE549A"/>
    <w:rsid w:val="00EE5A17"/>
    <w:rsid w:val="00EE5C44"/>
    <w:rsid w:val="00EE62E8"/>
    <w:rsid w:val="00EE6618"/>
    <w:rsid w:val="00EE680E"/>
    <w:rsid w:val="00EE6939"/>
    <w:rsid w:val="00EE71F0"/>
    <w:rsid w:val="00EE74F5"/>
    <w:rsid w:val="00EF00BC"/>
    <w:rsid w:val="00EF00E1"/>
    <w:rsid w:val="00EF02AD"/>
    <w:rsid w:val="00EF0393"/>
    <w:rsid w:val="00EF0B50"/>
    <w:rsid w:val="00EF0C17"/>
    <w:rsid w:val="00EF11C4"/>
    <w:rsid w:val="00EF120E"/>
    <w:rsid w:val="00EF18AF"/>
    <w:rsid w:val="00EF1A5A"/>
    <w:rsid w:val="00EF1C6D"/>
    <w:rsid w:val="00EF1EB2"/>
    <w:rsid w:val="00EF228A"/>
    <w:rsid w:val="00EF293E"/>
    <w:rsid w:val="00EF2A72"/>
    <w:rsid w:val="00EF2BC0"/>
    <w:rsid w:val="00EF2FD1"/>
    <w:rsid w:val="00EF31E3"/>
    <w:rsid w:val="00EF322A"/>
    <w:rsid w:val="00EF35A0"/>
    <w:rsid w:val="00EF3B65"/>
    <w:rsid w:val="00EF4431"/>
    <w:rsid w:val="00EF44C3"/>
    <w:rsid w:val="00EF46E4"/>
    <w:rsid w:val="00EF4EF0"/>
    <w:rsid w:val="00EF4F2D"/>
    <w:rsid w:val="00EF4FD4"/>
    <w:rsid w:val="00EF508B"/>
    <w:rsid w:val="00EF51DE"/>
    <w:rsid w:val="00EF575B"/>
    <w:rsid w:val="00EF57CD"/>
    <w:rsid w:val="00EF57E4"/>
    <w:rsid w:val="00EF5BEA"/>
    <w:rsid w:val="00EF611D"/>
    <w:rsid w:val="00EF65C4"/>
    <w:rsid w:val="00EF66C5"/>
    <w:rsid w:val="00EF79C0"/>
    <w:rsid w:val="00F00261"/>
    <w:rsid w:val="00F00397"/>
    <w:rsid w:val="00F008B9"/>
    <w:rsid w:val="00F008D1"/>
    <w:rsid w:val="00F0111E"/>
    <w:rsid w:val="00F01885"/>
    <w:rsid w:val="00F01C1A"/>
    <w:rsid w:val="00F01DA9"/>
    <w:rsid w:val="00F0225C"/>
    <w:rsid w:val="00F023E7"/>
    <w:rsid w:val="00F024CC"/>
    <w:rsid w:val="00F02A5D"/>
    <w:rsid w:val="00F02E79"/>
    <w:rsid w:val="00F02E7A"/>
    <w:rsid w:val="00F02FB2"/>
    <w:rsid w:val="00F0317B"/>
    <w:rsid w:val="00F0341B"/>
    <w:rsid w:val="00F036E3"/>
    <w:rsid w:val="00F04052"/>
    <w:rsid w:val="00F04081"/>
    <w:rsid w:val="00F0452C"/>
    <w:rsid w:val="00F046C9"/>
    <w:rsid w:val="00F047FA"/>
    <w:rsid w:val="00F04FB0"/>
    <w:rsid w:val="00F0519D"/>
    <w:rsid w:val="00F051E7"/>
    <w:rsid w:val="00F05B63"/>
    <w:rsid w:val="00F05FF9"/>
    <w:rsid w:val="00F063B1"/>
    <w:rsid w:val="00F0670C"/>
    <w:rsid w:val="00F06D46"/>
    <w:rsid w:val="00F06E9B"/>
    <w:rsid w:val="00F073DF"/>
    <w:rsid w:val="00F0747B"/>
    <w:rsid w:val="00F07766"/>
    <w:rsid w:val="00F07F71"/>
    <w:rsid w:val="00F1033E"/>
    <w:rsid w:val="00F10431"/>
    <w:rsid w:val="00F10929"/>
    <w:rsid w:val="00F10F1C"/>
    <w:rsid w:val="00F1159B"/>
    <w:rsid w:val="00F116D4"/>
    <w:rsid w:val="00F12172"/>
    <w:rsid w:val="00F1278E"/>
    <w:rsid w:val="00F12AEF"/>
    <w:rsid w:val="00F13045"/>
    <w:rsid w:val="00F131F2"/>
    <w:rsid w:val="00F13355"/>
    <w:rsid w:val="00F13C06"/>
    <w:rsid w:val="00F13E84"/>
    <w:rsid w:val="00F140DF"/>
    <w:rsid w:val="00F142E1"/>
    <w:rsid w:val="00F1440E"/>
    <w:rsid w:val="00F14546"/>
    <w:rsid w:val="00F148A0"/>
    <w:rsid w:val="00F14949"/>
    <w:rsid w:val="00F14BC0"/>
    <w:rsid w:val="00F14C52"/>
    <w:rsid w:val="00F14DD5"/>
    <w:rsid w:val="00F15033"/>
    <w:rsid w:val="00F150B0"/>
    <w:rsid w:val="00F15B29"/>
    <w:rsid w:val="00F15F00"/>
    <w:rsid w:val="00F16828"/>
    <w:rsid w:val="00F16A91"/>
    <w:rsid w:val="00F16E4A"/>
    <w:rsid w:val="00F17209"/>
    <w:rsid w:val="00F17911"/>
    <w:rsid w:val="00F17A9C"/>
    <w:rsid w:val="00F17F7A"/>
    <w:rsid w:val="00F20203"/>
    <w:rsid w:val="00F20209"/>
    <w:rsid w:val="00F20359"/>
    <w:rsid w:val="00F209E2"/>
    <w:rsid w:val="00F20C15"/>
    <w:rsid w:val="00F20FF1"/>
    <w:rsid w:val="00F21116"/>
    <w:rsid w:val="00F2147C"/>
    <w:rsid w:val="00F21925"/>
    <w:rsid w:val="00F224A3"/>
    <w:rsid w:val="00F22919"/>
    <w:rsid w:val="00F22E59"/>
    <w:rsid w:val="00F22FE2"/>
    <w:rsid w:val="00F234FD"/>
    <w:rsid w:val="00F2351E"/>
    <w:rsid w:val="00F23681"/>
    <w:rsid w:val="00F23793"/>
    <w:rsid w:val="00F23C6D"/>
    <w:rsid w:val="00F24676"/>
    <w:rsid w:val="00F24CBD"/>
    <w:rsid w:val="00F25001"/>
    <w:rsid w:val="00F25104"/>
    <w:rsid w:val="00F2515F"/>
    <w:rsid w:val="00F2528F"/>
    <w:rsid w:val="00F256FB"/>
    <w:rsid w:val="00F2591B"/>
    <w:rsid w:val="00F25BCD"/>
    <w:rsid w:val="00F261B8"/>
    <w:rsid w:val="00F2631E"/>
    <w:rsid w:val="00F269AB"/>
    <w:rsid w:val="00F26CE9"/>
    <w:rsid w:val="00F26D78"/>
    <w:rsid w:val="00F26EF9"/>
    <w:rsid w:val="00F27107"/>
    <w:rsid w:val="00F2730E"/>
    <w:rsid w:val="00F2733D"/>
    <w:rsid w:val="00F273E2"/>
    <w:rsid w:val="00F2762E"/>
    <w:rsid w:val="00F27674"/>
    <w:rsid w:val="00F279A8"/>
    <w:rsid w:val="00F27AA6"/>
    <w:rsid w:val="00F27C6A"/>
    <w:rsid w:val="00F302F3"/>
    <w:rsid w:val="00F311A8"/>
    <w:rsid w:val="00F314F8"/>
    <w:rsid w:val="00F31785"/>
    <w:rsid w:val="00F317A6"/>
    <w:rsid w:val="00F31834"/>
    <w:rsid w:val="00F3205F"/>
    <w:rsid w:val="00F3234A"/>
    <w:rsid w:val="00F3276F"/>
    <w:rsid w:val="00F32AC8"/>
    <w:rsid w:val="00F32CB4"/>
    <w:rsid w:val="00F330D4"/>
    <w:rsid w:val="00F335DC"/>
    <w:rsid w:val="00F33731"/>
    <w:rsid w:val="00F33B32"/>
    <w:rsid w:val="00F33F21"/>
    <w:rsid w:val="00F34245"/>
    <w:rsid w:val="00F34459"/>
    <w:rsid w:val="00F349BA"/>
    <w:rsid w:val="00F34B5D"/>
    <w:rsid w:val="00F34BB8"/>
    <w:rsid w:val="00F34C75"/>
    <w:rsid w:val="00F34D41"/>
    <w:rsid w:val="00F35467"/>
    <w:rsid w:val="00F35583"/>
    <w:rsid w:val="00F356F4"/>
    <w:rsid w:val="00F357A4"/>
    <w:rsid w:val="00F35C4F"/>
    <w:rsid w:val="00F366D2"/>
    <w:rsid w:val="00F368DB"/>
    <w:rsid w:val="00F36DEC"/>
    <w:rsid w:val="00F3708C"/>
    <w:rsid w:val="00F3746F"/>
    <w:rsid w:val="00F37481"/>
    <w:rsid w:val="00F37771"/>
    <w:rsid w:val="00F37923"/>
    <w:rsid w:val="00F379DD"/>
    <w:rsid w:val="00F37BA0"/>
    <w:rsid w:val="00F4031C"/>
    <w:rsid w:val="00F4037A"/>
    <w:rsid w:val="00F404CF"/>
    <w:rsid w:val="00F404F5"/>
    <w:rsid w:val="00F40EFA"/>
    <w:rsid w:val="00F40F0E"/>
    <w:rsid w:val="00F410D0"/>
    <w:rsid w:val="00F411A5"/>
    <w:rsid w:val="00F41429"/>
    <w:rsid w:val="00F41502"/>
    <w:rsid w:val="00F4167D"/>
    <w:rsid w:val="00F41791"/>
    <w:rsid w:val="00F41A99"/>
    <w:rsid w:val="00F41AA2"/>
    <w:rsid w:val="00F41AAD"/>
    <w:rsid w:val="00F41B71"/>
    <w:rsid w:val="00F41CF3"/>
    <w:rsid w:val="00F41EC4"/>
    <w:rsid w:val="00F41F8E"/>
    <w:rsid w:val="00F41FE5"/>
    <w:rsid w:val="00F4216D"/>
    <w:rsid w:val="00F423FD"/>
    <w:rsid w:val="00F42D56"/>
    <w:rsid w:val="00F4368F"/>
    <w:rsid w:val="00F43732"/>
    <w:rsid w:val="00F437E1"/>
    <w:rsid w:val="00F43960"/>
    <w:rsid w:val="00F43C50"/>
    <w:rsid w:val="00F43DE1"/>
    <w:rsid w:val="00F441BD"/>
    <w:rsid w:val="00F44399"/>
    <w:rsid w:val="00F447ED"/>
    <w:rsid w:val="00F44F05"/>
    <w:rsid w:val="00F44FC6"/>
    <w:rsid w:val="00F45194"/>
    <w:rsid w:val="00F45242"/>
    <w:rsid w:val="00F45A91"/>
    <w:rsid w:val="00F45EC3"/>
    <w:rsid w:val="00F460F1"/>
    <w:rsid w:val="00F4633F"/>
    <w:rsid w:val="00F466D8"/>
    <w:rsid w:val="00F46B97"/>
    <w:rsid w:val="00F46CD4"/>
    <w:rsid w:val="00F46ED5"/>
    <w:rsid w:val="00F46FF9"/>
    <w:rsid w:val="00F47292"/>
    <w:rsid w:val="00F47530"/>
    <w:rsid w:val="00F476F5"/>
    <w:rsid w:val="00F4787B"/>
    <w:rsid w:val="00F47B38"/>
    <w:rsid w:val="00F47C22"/>
    <w:rsid w:val="00F501AE"/>
    <w:rsid w:val="00F50783"/>
    <w:rsid w:val="00F50869"/>
    <w:rsid w:val="00F5086C"/>
    <w:rsid w:val="00F50A01"/>
    <w:rsid w:val="00F50EC0"/>
    <w:rsid w:val="00F5122D"/>
    <w:rsid w:val="00F51433"/>
    <w:rsid w:val="00F524E0"/>
    <w:rsid w:val="00F526C3"/>
    <w:rsid w:val="00F52AD0"/>
    <w:rsid w:val="00F52F78"/>
    <w:rsid w:val="00F53290"/>
    <w:rsid w:val="00F53362"/>
    <w:rsid w:val="00F533CE"/>
    <w:rsid w:val="00F535C4"/>
    <w:rsid w:val="00F53928"/>
    <w:rsid w:val="00F53ACC"/>
    <w:rsid w:val="00F53BCB"/>
    <w:rsid w:val="00F53D26"/>
    <w:rsid w:val="00F53E65"/>
    <w:rsid w:val="00F53FFB"/>
    <w:rsid w:val="00F54997"/>
    <w:rsid w:val="00F54AE4"/>
    <w:rsid w:val="00F54BB3"/>
    <w:rsid w:val="00F54D41"/>
    <w:rsid w:val="00F55226"/>
    <w:rsid w:val="00F55A98"/>
    <w:rsid w:val="00F5685F"/>
    <w:rsid w:val="00F56A0A"/>
    <w:rsid w:val="00F56D63"/>
    <w:rsid w:val="00F576A4"/>
    <w:rsid w:val="00F576C9"/>
    <w:rsid w:val="00F60485"/>
    <w:rsid w:val="00F60771"/>
    <w:rsid w:val="00F60C9C"/>
    <w:rsid w:val="00F60EE6"/>
    <w:rsid w:val="00F6131D"/>
    <w:rsid w:val="00F61399"/>
    <w:rsid w:val="00F61730"/>
    <w:rsid w:val="00F61913"/>
    <w:rsid w:val="00F61F02"/>
    <w:rsid w:val="00F62D33"/>
    <w:rsid w:val="00F62F80"/>
    <w:rsid w:val="00F632C4"/>
    <w:rsid w:val="00F63712"/>
    <w:rsid w:val="00F63A87"/>
    <w:rsid w:val="00F64197"/>
    <w:rsid w:val="00F6422F"/>
    <w:rsid w:val="00F64280"/>
    <w:rsid w:val="00F644E2"/>
    <w:rsid w:val="00F6461E"/>
    <w:rsid w:val="00F64AEC"/>
    <w:rsid w:val="00F64ECC"/>
    <w:rsid w:val="00F65327"/>
    <w:rsid w:val="00F6544A"/>
    <w:rsid w:val="00F66290"/>
    <w:rsid w:val="00F662A5"/>
    <w:rsid w:val="00F6663E"/>
    <w:rsid w:val="00F667D5"/>
    <w:rsid w:val="00F6685A"/>
    <w:rsid w:val="00F669BB"/>
    <w:rsid w:val="00F66C18"/>
    <w:rsid w:val="00F66D4F"/>
    <w:rsid w:val="00F670F5"/>
    <w:rsid w:val="00F67308"/>
    <w:rsid w:val="00F674FD"/>
    <w:rsid w:val="00F70706"/>
    <w:rsid w:val="00F70719"/>
    <w:rsid w:val="00F70778"/>
    <w:rsid w:val="00F707E1"/>
    <w:rsid w:val="00F71508"/>
    <w:rsid w:val="00F71509"/>
    <w:rsid w:val="00F71623"/>
    <w:rsid w:val="00F7176C"/>
    <w:rsid w:val="00F717EB"/>
    <w:rsid w:val="00F71986"/>
    <w:rsid w:val="00F720CC"/>
    <w:rsid w:val="00F72538"/>
    <w:rsid w:val="00F725C3"/>
    <w:rsid w:val="00F72679"/>
    <w:rsid w:val="00F7270F"/>
    <w:rsid w:val="00F72805"/>
    <w:rsid w:val="00F72A48"/>
    <w:rsid w:val="00F72B90"/>
    <w:rsid w:val="00F72F8D"/>
    <w:rsid w:val="00F730ED"/>
    <w:rsid w:val="00F7317C"/>
    <w:rsid w:val="00F736F1"/>
    <w:rsid w:val="00F73AFF"/>
    <w:rsid w:val="00F73E85"/>
    <w:rsid w:val="00F73EC7"/>
    <w:rsid w:val="00F73F05"/>
    <w:rsid w:val="00F74009"/>
    <w:rsid w:val="00F74084"/>
    <w:rsid w:val="00F743C2"/>
    <w:rsid w:val="00F74601"/>
    <w:rsid w:val="00F74678"/>
    <w:rsid w:val="00F7484E"/>
    <w:rsid w:val="00F74993"/>
    <w:rsid w:val="00F74BD3"/>
    <w:rsid w:val="00F75A40"/>
    <w:rsid w:val="00F760E8"/>
    <w:rsid w:val="00F763CD"/>
    <w:rsid w:val="00F765BB"/>
    <w:rsid w:val="00F7667B"/>
    <w:rsid w:val="00F766F9"/>
    <w:rsid w:val="00F76B04"/>
    <w:rsid w:val="00F76C16"/>
    <w:rsid w:val="00F76EDA"/>
    <w:rsid w:val="00F77403"/>
    <w:rsid w:val="00F7776E"/>
    <w:rsid w:val="00F77C79"/>
    <w:rsid w:val="00F80082"/>
    <w:rsid w:val="00F800C4"/>
    <w:rsid w:val="00F802FF"/>
    <w:rsid w:val="00F8051A"/>
    <w:rsid w:val="00F805A4"/>
    <w:rsid w:val="00F80C59"/>
    <w:rsid w:val="00F81468"/>
    <w:rsid w:val="00F81551"/>
    <w:rsid w:val="00F81B60"/>
    <w:rsid w:val="00F81D20"/>
    <w:rsid w:val="00F82906"/>
    <w:rsid w:val="00F82B4B"/>
    <w:rsid w:val="00F82CBA"/>
    <w:rsid w:val="00F82D40"/>
    <w:rsid w:val="00F8314A"/>
    <w:rsid w:val="00F831C4"/>
    <w:rsid w:val="00F832CF"/>
    <w:rsid w:val="00F8344E"/>
    <w:rsid w:val="00F83728"/>
    <w:rsid w:val="00F838E5"/>
    <w:rsid w:val="00F84108"/>
    <w:rsid w:val="00F841B5"/>
    <w:rsid w:val="00F84290"/>
    <w:rsid w:val="00F8429D"/>
    <w:rsid w:val="00F84992"/>
    <w:rsid w:val="00F84CCF"/>
    <w:rsid w:val="00F84F62"/>
    <w:rsid w:val="00F854D5"/>
    <w:rsid w:val="00F85700"/>
    <w:rsid w:val="00F85A92"/>
    <w:rsid w:val="00F85AAC"/>
    <w:rsid w:val="00F85E18"/>
    <w:rsid w:val="00F86295"/>
    <w:rsid w:val="00F863F9"/>
    <w:rsid w:val="00F8694F"/>
    <w:rsid w:val="00F86C1F"/>
    <w:rsid w:val="00F86CA5"/>
    <w:rsid w:val="00F87CC2"/>
    <w:rsid w:val="00F90148"/>
    <w:rsid w:val="00F901C7"/>
    <w:rsid w:val="00F9041C"/>
    <w:rsid w:val="00F908C1"/>
    <w:rsid w:val="00F90DD7"/>
    <w:rsid w:val="00F911C5"/>
    <w:rsid w:val="00F914EB"/>
    <w:rsid w:val="00F9154F"/>
    <w:rsid w:val="00F91930"/>
    <w:rsid w:val="00F91E07"/>
    <w:rsid w:val="00F91EBE"/>
    <w:rsid w:val="00F92010"/>
    <w:rsid w:val="00F921DB"/>
    <w:rsid w:val="00F92DB2"/>
    <w:rsid w:val="00F938CF"/>
    <w:rsid w:val="00F93915"/>
    <w:rsid w:val="00F93AA5"/>
    <w:rsid w:val="00F93CBE"/>
    <w:rsid w:val="00F93E95"/>
    <w:rsid w:val="00F9420C"/>
    <w:rsid w:val="00F94932"/>
    <w:rsid w:val="00F950D1"/>
    <w:rsid w:val="00F953C9"/>
    <w:rsid w:val="00F957F3"/>
    <w:rsid w:val="00F95833"/>
    <w:rsid w:val="00F9592B"/>
    <w:rsid w:val="00F959C8"/>
    <w:rsid w:val="00F95E29"/>
    <w:rsid w:val="00F962B0"/>
    <w:rsid w:val="00F969A9"/>
    <w:rsid w:val="00F96B62"/>
    <w:rsid w:val="00F970BE"/>
    <w:rsid w:val="00F9792E"/>
    <w:rsid w:val="00F979BF"/>
    <w:rsid w:val="00F97B48"/>
    <w:rsid w:val="00F97CB5"/>
    <w:rsid w:val="00FA001F"/>
    <w:rsid w:val="00FA013F"/>
    <w:rsid w:val="00FA0522"/>
    <w:rsid w:val="00FA099F"/>
    <w:rsid w:val="00FA0C75"/>
    <w:rsid w:val="00FA0FE1"/>
    <w:rsid w:val="00FA115B"/>
    <w:rsid w:val="00FA14BA"/>
    <w:rsid w:val="00FA163D"/>
    <w:rsid w:val="00FA17F9"/>
    <w:rsid w:val="00FA18C1"/>
    <w:rsid w:val="00FA19C5"/>
    <w:rsid w:val="00FA1B85"/>
    <w:rsid w:val="00FA1EFA"/>
    <w:rsid w:val="00FA252D"/>
    <w:rsid w:val="00FA2635"/>
    <w:rsid w:val="00FA2662"/>
    <w:rsid w:val="00FA26BE"/>
    <w:rsid w:val="00FA26E7"/>
    <w:rsid w:val="00FA3534"/>
    <w:rsid w:val="00FA3789"/>
    <w:rsid w:val="00FA37B9"/>
    <w:rsid w:val="00FA3947"/>
    <w:rsid w:val="00FA3E06"/>
    <w:rsid w:val="00FA48B0"/>
    <w:rsid w:val="00FA4AD4"/>
    <w:rsid w:val="00FA4E1C"/>
    <w:rsid w:val="00FA513C"/>
    <w:rsid w:val="00FA5231"/>
    <w:rsid w:val="00FA541D"/>
    <w:rsid w:val="00FA5928"/>
    <w:rsid w:val="00FA5A93"/>
    <w:rsid w:val="00FA5DE4"/>
    <w:rsid w:val="00FA649C"/>
    <w:rsid w:val="00FA655E"/>
    <w:rsid w:val="00FA6560"/>
    <w:rsid w:val="00FA67A1"/>
    <w:rsid w:val="00FA693E"/>
    <w:rsid w:val="00FA6A2A"/>
    <w:rsid w:val="00FA6E9A"/>
    <w:rsid w:val="00FA6EDE"/>
    <w:rsid w:val="00FA7094"/>
    <w:rsid w:val="00FA7647"/>
    <w:rsid w:val="00FA76C9"/>
    <w:rsid w:val="00FA76CE"/>
    <w:rsid w:val="00FA79D6"/>
    <w:rsid w:val="00FA7A98"/>
    <w:rsid w:val="00FA7B2E"/>
    <w:rsid w:val="00FA7F43"/>
    <w:rsid w:val="00FB05BD"/>
    <w:rsid w:val="00FB0879"/>
    <w:rsid w:val="00FB0971"/>
    <w:rsid w:val="00FB12BD"/>
    <w:rsid w:val="00FB1989"/>
    <w:rsid w:val="00FB19A8"/>
    <w:rsid w:val="00FB1AA4"/>
    <w:rsid w:val="00FB2341"/>
    <w:rsid w:val="00FB255D"/>
    <w:rsid w:val="00FB2602"/>
    <w:rsid w:val="00FB2772"/>
    <w:rsid w:val="00FB2A88"/>
    <w:rsid w:val="00FB2D78"/>
    <w:rsid w:val="00FB2FA2"/>
    <w:rsid w:val="00FB314B"/>
    <w:rsid w:val="00FB32CE"/>
    <w:rsid w:val="00FB3339"/>
    <w:rsid w:val="00FB358F"/>
    <w:rsid w:val="00FB36D0"/>
    <w:rsid w:val="00FB39F1"/>
    <w:rsid w:val="00FB3E56"/>
    <w:rsid w:val="00FB421E"/>
    <w:rsid w:val="00FB4437"/>
    <w:rsid w:val="00FB4593"/>
    <w:rsid w:val="00FB473F"/>
    <w:rsid w:val="00FB48A6"/>
    <w:rsid w:val="00FB4918"/>
    <w:rsid w:val="00FB4A00"/>
    <w:rsid w:val="00FB4CC9"/>
    <w:rsid w:val="00FB4D01"/>
    <w:rsid w:val="00FB4D44"/>
    <w:rsid w:val="00FB4D89"/>
    <w:rsid w:val="00FB4EE1"/>
    <w:rsid w:val="00FB5952"/>
    <w:rsid w:val="00FB5DBC"/>
    <w:rsid w:val="00FB6297"/>
    <w:rsid w:val="00FB62E0"/>
    <w:rsid w:val="00FB6783"/>
    <w:rsid w:val="00FB685B"/>
    <w:rsid w:val="00FB6F34"/>
    <w:rsid w:val="00FB6F44"/>
    <w:rsid w:val="00FB778F"/>
    <w:rsid w:val="00FB77C8"/>
    <w:rsid w:val="00FB7DD0"/>
    <w:rsid w:val="00FB7E89"/>
    <w:rsid w:val="00FC0244"/>
    <w:rsid w:val="00FC08A3"/>
    <w:rsid w:val="00FC08AA"/>
    <w:rsid w:val="00FC148B"/>
    <w:rsid w:val="00FC17BD"/>
    <w:rsid w:val="00FC185A"/>
    <w:rsid w:val="00FC1BA0"/>
    <w:rsid w:val="00FC1DBA"/>
    <w:rsid w:val="00FC1DCE"/>
    <w:rsid w:val="00FC1E06"/>
    <w:rsid w:val="00FC2258"/>
    <w:rsid w:val="00FC2730"/>
    <w:rsid w:val="00FC3209"/>
    <w:rsid w:val="00FC3B1B"/>
    <w:rsid w:val="00FC3B83"/>
    <w:rsid w:val="00FC3C7E"/>
    <w:rsid w:val="00FC3CBE"/>
    <w:rsid w:val="00FC405B"/>
    <w:rsid w:val="00FC45EF"/>
    <w:rsid w:val="00FC47CC"/>
    <w:rsid w:val="00FC4B4B"/>
    <w:rsid w:val="00FC4BD2"/>
    <w:rsid w:val="00FC525E"/>
    <w:rsid w:val="00FC5369"/>
    <w:rsid w:val="00FC5E9D"/>
    <w:rsid w:val="00FC5F67"/>
    <w:rsid w:val="00FC6042"/>
    <w:rsid w:val="00FC6287"/>
    <w:rsid w:val="00FC6365"/>
    <w:rsid w:val="00FC64D0"/>
    <w:rsid w:val="00FC65A7"/>
    <w:rsid w:val="00FC679F"/>
    <w:rsid w:val="00FC6A32"/>
    <w:rsid w:val="00FC6D8C"/>
    <w:rsid w:val="00FC7204"/>
    <w:rsid w:val="00FC757A"/>
    <w:rsid w:val="00FC75F7"/>
    <w:rsid w:val="00FC76EB"/>
    <w:rsid w:val="00FC78A4"/>
    <w:rsid w:val="00FC79B7"/>
    <w:rsid w:val="00FD0001"/>
    <w:rsid w:val="00FD014C"/>
    <w:rsid w:val="00FD0188"/>
    <w:rsid w:val="00FD0318"/>
    <w:rsid w:val="00FD0A83"/>
    <w:rsid w:val="00FD1109"/>
    <w:rsid w:val="00FD11F1"/>
    <w:rsid w:val="00FD154E"/>
    <w:rsid w:val="00FD1874"/>
    <w:rsid w:val="00FD1E61"/>
    <w:rsid w:val="00FD1EEE"/>
    <w:rsid w:val="00FD2141"/>
    <w:rsid w:val="00FD23CA"/>
    <w:rsid w:val="00FD263C"/>
    <w:rsid w:val="00FD2788"/>
    <w:rsid w:val="00FD2832"/>
    <w:rsid w:val="00FD28B6"/>
    <w:rsid w:val="00FD28CF"/>
    <w:rsid w:val="00FD291A"/>
    <w:rsid w:val="00FD296A"/>
    <w:rsid w:val="00FD2AFD"/>
    <w:rsid w:val="00FD2EE9"/>
    <w:rsid w:val="00FD3702"/>
    <w:rsid w:val="00FD3997"/>
    <w:rsid w:val="00FD3C49"/>
    <w:rsid w:val="00FD3FF3"/>
    <w:rsid w:val="00FD439D"/>
    <w:rsid w:val="00FD446F"/>
    <w:rsid w:val="00FD4788"/>
    <w:rsid w:val="00FD479F"/>
    <w:rsid w:val="00FD4B10"/>
    <w:rsid w:val="00FD4CC9"/>
    <w:rsid w:val="00FD4E45"/>
    <w:rsid w:val="00FD505D"/>
    <w:rsid w:val="00FD56AD"/>
    <w:rsid w:val="00FD5BF9"/>
    <w:rsid w:val="00FD5C42"/>
    <w:rsid w:val="00FD5E9F"/>
    <w:rsid w:val="00FD648B"/>
    <w:rsid w:val="00FD64C4"/>
    <w:rsid w:val="00FD681A"/>
    <w:rsid w:val="00FD7515"/>
    <w:rsid w:val="00FD76B1"/>
    <w:rsid w:val="00FD777A"/>
    <w:rsid w:val="00FD7884"/>
    <w:rsid w:val="00FD7A5A"/>
    <w:rsid w:val="00FE04B8"/>
    <w:rsid w:val="00FE04E2"/>
    <w:rsid w:val="00FE04E6"/>
    <w:rsid w:val="00FE05D6"/>
    <w:rsid w:val="00FE06E0"/>
    <w:rsid w:val="00FE0A1D"/>
    <w:rsid w:val="00FE0AE2"/>
    <w:rsid w:val="00FE0B9E"/>
    <w:rsid w:val="00FE0DAE"/>
    <w:rsid w:val="00FE107D"/>
    <w:rsid w:val="00FE1176"/>
    <w:rsid w:val="00FE1249"/>
    <w:rsid w:val="00FE128D"/>
    <w:rsid w:val="00FE1414"/>
    <w:rsid w:val="00FE1629"/>
    <w:rsid w:val="00FE2184"/>
    <w:rsid w:val="00FE21B3"/>
    <w:rsid w:val="00FE2333"/>
    <w:rsid w:val="00FE2789"/>
    <w:rsid w:val="00FE27C4"/>
    <w:rsid w:val="00FE27F4"/>
    <w:rsid w:val="00FE29DB"/>
    <w:rsid w:val="00FE2A6B"/>
    <w:rsid w:val="00FE30F6"/>
    <w:rsid w:val="00FE3ABA"/>
    <w:rsid w:val="00FE3FF7"/>
    <w:rsid w:val="00FE4479"/>
    <w:rsid w:val="00FE44C9"/>
    <w:rsid w:val="00FE4A60"/>
    <w:rsid w:val="00FE4C3C"/>
    <w:rsid w:val="00FE4CD8"/>
    <w:rsid w:val="00FE4CEB"/>
    <w:rsid w:val="00FE4D9B"/>
    <w:rsid w:val="00FE4DAF"/>
    <w:rsid w:val="00FE4E8D"/>
    <w:rsid w:val="00FE546C"/>
    <w:rsid w:val="00FE5540"/>
    <w:rsid w:val="00FE560B"/>
    <w:rsid w:val="00FE56E8"/>
    <w:rsid w:val="00FE5B80"/>
    <w:rsid w:val="00FE5F3B"/>
    <w:rsid w:val="00FE6021"/>
    <w:rsid w:val="00FE634B"/>
    <w:rsid w:val="00FE6358"/>
    <w:rsid w:val="00FE63FD"/>
    <w:rsid w:val="00FE6E9B"/>
    <w:rsid w:val="00FE6EB2"/>
    <w:rsid w:val="00FE6F69"/>
    <w:rsid w:val="00FE725A"/>
    <w:rsid w:val="00FE7F15"/>
    <w:rsid w:val="00FF05EF"/>
    <w:rsid w:val="00FF0A05"/>
    <w:rsid w:val="00FF0AB8"/>
    <w:rsid w:val="00FF0CFB"/>
    <w:rsid w:val="00FF1095"/>
    <w:rsid w:val="00FF1163"/>
    <w:rsid w:val="00FF1338"/>
    <w:rsid w:val="00FF1389"/>
    <w:rsid w:val="00FF13DC"/>
    <w:rsid w:val="00FF16BE"/>
    <w:rsid w:val="00FF17F6"/>
    <w:rsid w:val="00FF184F"/>
    <w:rsid w:val="00FF1A7B"/>
    <w:rsid w:val="00FF208B"/>
    <w:rsid w:val="00FF2122"/>
    <w:rsid w:val="00FF2163"/>
    <w:rsid w:val="00FF2237"/>
    <w:rsid w:val="00FF240A"/>
    <w:rsid w:val="00FF2ADE"/>
    <w:rsid w:val="00FF2B19"/>
    <w:rsid w:val="00FF2D1C"/>
    <w:rsid w:val="00FF2D24"/>
    <w:rsid w:val="00FF2D6C"/>
    <w:rsid w:val="00FF31F8"/>
    <w:rsid w:val="00FF360A"/>
    <w:rsid w:val="00FF3B8E"/>
    <w:rsid w:val="00FF40ED"/>
    <w:rsid w:val="00FF4194"/>
    <w:rsid w:val="00FF41AC"/>
    <w:rsid w:val="00FF4B37"/>
    <w:rsid w:val="00FF501E"/>
    <w:rsid w:val="00FF50A1"/>
    <w:rsid w:val="00FF5327"/>
    <w:rsid w:val="00FF6347"/>
    <w:rsid w:val="00FF65A5"/>
    <w:rsid w:val="00FF65BA"/>
    <w:rsid w:val="00FF6BBB"/>
    <w:rsid w:val="00FF701E"/>
    <w:rsid w:val="00FF744F"/>
    <w:rsid w:val="00FF761B"/>
    <w:rsid w:val="00FF7AE4"/>
    <w:rsid w:val="00FF7C6D"/>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o:colormru v:ext="edit" colors="#bd1f2b,#cf1e24,#d90b13,#e31c18"/>
    </o:shapedefaults>
    <o:shapelayout v:ext="edit">
      <o:idmap v:ext="edit" data="1"/>
    </o:shapelayout>
  </w:shapeDefaults>
  <w:decimalSymbol w:val=","/>
  <w:listSeparator w:val=";"/>
  <w14:docId w14:val="2EEF131B"/>
  <w15:docId w15:val="{6744C4BB-C5A0-4EF2-ACBB-D1429FE3F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6550"/>
    <w:pPr>
      <w:widowControl w:val="0"/>
      <w:overflowPunct w:val="0"/>
      <w:autoSpaceDE w:val="0"/>
      <w:autoSpaceDN w:val="0"/>
      <w:adjustRightInd w:val="0"/>
      <w:spacing w:before="100" w:after="100"/>
    </w:pPr>
    <w:rPr>
      <w:kern w:val="28"/>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3">
    <w:name w:val="heading 3"/>
    <w:basedOn w:val="Normale"/>
    <w:next w:val="Normale"/>
    <w:link w:val="Titolo3Carattere"/>
    <w:unhideWhenUsed/>
    <w:qFormat/>
    <w:locked/>
    <w:rsid w:val="00931087"/>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locked/>
    <w:rsid w:val="00226782"/>
    <w:rPr>
      <w:rFonts w:ascii="Courier New" w:hAnsi="Courier New" w:cs="Times New Roman"/>
      <w:kern w:val="28"/>
      <w:sz w:val="20"/>
    </w:rPr>
  </w:style>
  <w:style w:type="character" w:styleId="Enfasigrassetto">
    <w:name w:val="Strong"/>
    <w:uiPriority w:val="99"/>
    <w:qFormat/>
    <w:rsid w:val="008C6EAA"/>
    <w:rPr>
      <w:rFonts w:cs="Times New Roman"/>
      <w:b/>
    </w:rPr>
  </w:style>
  <w:style w:type="table" w:styleId="Grigliatabella">
    <w:name w:val="Table Grid"/>
    <w:basedOn w:val="Tabellanormale"/>
    <w:uiPriority w:val="9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rsid w:val="006C145B"/>
    <w:rPr>
      <w:rFonts w:cs="Times New Roman"/>
      <w:vertAlign w:val="superscript"/>
    </w:rPr>
  </w:style>
  <w:style w:type="character" w:styleId="Enfasicorsivo">
    <w:name w:val="Emphasis"/>
    <w:uiPriority w:val="99"/>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407D29"/>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iPriority w:val="99"/>
    <w:semiHidden/>
    <w:unhideWhenUsed/>
    <w:rsid w:val="00407D29"/>
    <w:rPr>
      <w:b/>
      <w:bCs/>
    </w:rPr>
  </w:style>
  <w:style w:type="character" w:customStyle="1" w:styleId="SoggettocommentoCarattere">
    <w:name w:val="Soggetto commento Carattere"/>
    <w:link w:val="Soggettocommento"/>
    <w:uiPriority w:val="99"/>
    <w:semiHidden/>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customStyle="1" w:styleId="Default">
    <w:name w:val="Default"/>
    <w:uiPriority w:val="99"/>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CC0BEA"/>
    <w:pPr>
      <w:pBdr>
        <w:bottom w:val="single" w:sz="18" w:space="1" w:color="E426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CC0BEA"/>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Paragrafoelenco">
    <w:name w:val="List Paragraph"/>
    <w:basedOn w:val="Normale"/>
    <w:uiPriority w:val="34"/>
    <w:qFormat/>
    <w:rsid w:val="002E15DD"/>
    <w:pPr>
      <w:ind w:left="720"/>
      <w:contextualSpacing/>
    </w:pPr>
  </w:style>
  <w:style w:type="character" w:customStyle="1" w:styleId="Titolo3Carattere">
    <w:name w:val="Titolo 3 Carattere"/>
    <w:basedOn w:val="Carpredefinitoparagrafo"/>
    <w:link w:val="Titolo3"/>
    <w:rsid w:val="00931087"/>
    <w:rPr>
      <w:rFonts w:asciiTheme="majorHAnsi" w:eastAsiaTheme="majorEastAsia" w:hAnsiTheme="majorHAnsi" w:cstheme="majorBidi"/>
      <w:b/>
      <w:bCs/>
      <w:color w:val="4F81BD" w:themeColor="accent1"/>
      <w:kern w:val="28"/>
    </w:rPr>
  </w:style>
  <w:style w:type="character" w:styleId="Collegamentovisitato">
    <w:name w:val="FollowedHyperlink"/>
    <w:basedOn w:val="Carpredefinitoparagrafo"/>
    <w:uiPriority w:val="99"/>
    <w:semiHidden/>
    <w:unhideWhenUsed/>
    <w:rsid w:val="00307657"/>
    <w:rPr>
      <w:color w:val="800080" w:themeColor="followedHyperlink"/>
      <w:u w:val="single"/>
    </w:rPr>
  </w:style>
  <w:style w:type="paragraph" w:styleId="Revisione">
    <w:name w:val="Revision"/>
    <w:hidden/>
    <w:uiPriority w:val="71"/>
    <w:rsid w:val="00307657"/>
    <w:rPr>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4750334">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75593832">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17978310">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44344896">
      <w:bodyDiv w:val="1"/>
      <w:marLeft w:val="0"/>
      <w:marRight w:val="0"/>
      <w:marTop w:val="0"/>
      <w:marBottom w:val="0"/>
      <w:divBdr>
        <w:top w:val="none" w:sz="0" w:space="0" w:color="auto"/>
        <w:left w:val="none" w:sz="0" w:space="0" w:color="auto"/>
        <w:bottom w:val="none" w:sz="0" w:space="0" w:color="auto"/>
        <w:right w:val="none" w:sz="0" w:space="0" w:color="auto"/>
      </w:divBdr>
    </w:div>
    <w:div w:id="252589012">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353579130">
      <w:bodyDiv w:val="1"/>
      <w:marLeft w:val="0"/>
      <w:marRight w:val="0"/>
      <w:marTop w:val="0"/>
      <w:marBottom w:val="0"/>
      <w:divBdr>
        <w:top w:val="none" w:sz="0" w:space="0" w:color="auto"/>
        <w:left w:val="none" w:sz="0" w:space="0" w:color="auto"/>
        <w:bottom w:val="none" w:sz="0" w:space="0" w:color="auto"/>
        <w:right w:val="none" w:sz="0" w:space="0" w:color="auto"/>
      </w:divBdr>
    </w:div>
    <w:div w:id="368846764">
      <w:bodyDiv w:val="1"/>
      <w:marLeft w:val="0"/>
      <w:marRight w:val="0"/>
      <w:marTop w:val="0"/>
      <w:marBottom w:val="0"/>
      <w:divBdr>
        <w:top w:val="none" w:sz="0" w:space="0" w:color="auto"/>
        <w:left w:val="none" w:sz="0" w:space="0" w:color="auto"/>
        <w:bottom w:val="none" w:sz="0" w:space="0" w:color="auto"/>
        <w:right w:val="none" w:sz="0" w:space="0" w:color="auto"/>
      </w:divBdr>
    </w:div>
    <w:div w:id="378476468">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23695070">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10221207">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598607199">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098433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3602440">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60948896">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798761380">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20541236">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54880442">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875583641">
      <w:bodyDiv w:val="1"/>
      <w:marLeft w:val="0"/>
      <w:marRight w:val="0"/>
      <w:marTop w:val="0"/>
      <w:marBottom w:val="0"/>
      <w:divBdr>
        <w:top w:val="none" w:sz="0" w:space="0" w:color="auto"/>
        <w:left w:val="none" w:sz="0" w:space="0" w:color="auto"/>
        <w:bottom w:val="none" w:sz="0" w:space="0" w:color="auto"/>
        <w:right w:val="none" w:sz="0" w:space="0" w:color="auto"/>
      </w:divBdr>
    </w:div>
    <w:div w:id="880747628">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12663943">
      <w:bodyDiv w:val="1"/>
      <w:marLeft w:val="0"/>
      <w:marRight w:val="0"/>
      <w:marTop w:val="0"/>
      <w:marBottom w:val="0"/>
      <w:divBdr>
        <w:top w:val="none" w:sz="0" w:space="0" w:color="auto"/>
        <w:left w:val="none" w:sz="0" w:space="0" w:color="auto"/>
        <w:bottom w:val="none" w:sz="0" w:space="0" w:color="auto"/>
        <w:right w:val="none" w:sz="0" w:space="0" w:color="auto"/>
      </w:divBdr>
    </w:div>
    <w:div w:id="913321603">
      <w:bodyDiv w:val="1"/>
      <w:marLeft w:val="0"/>
      <w:marRight w:val="0"/>
      <w:marTop w:val="0"/>
      <w:marBottom w:val="0"/>
      <w:divBdr>
        <w:top w:val="none" w:sz="0" w:space="0" w:color="auto"/>
        <w:left w:val="none" w:sz="0" w:space="0" w:color="auto"/>
        <w:bottom w:val="none" w:sz="0" w:space="0" w:color="auto"/>
        <w:right w:val="none" w:sz="0" w:space="0" w:color="auto"/>
      </w:divBdr>
    </w:div>
    <w:div w:id="939801416">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1033845968">
      <w:bodyDiv w:val="1"/>
      <w:marLeft w:val="0"/>
      <w:marRight w:val="0"/>
      <w:marTop w:val="0"/>
      <w:marBottom w:val="0"/>
      <w:divBdr>
        <w:top w:val="none" w:sz="0" w:space="0" w:color="auto"/>
        <w:left w:val="none" w:sz="0" w:space="0" w:color="auto"/>
        <w:bottom w:val="none" w:sz="0" w:space="0" w:color="auto"/>
        <w:right w:val="none" w:sz="0" w:space="0" w:color="auto"/>
      </w:divBdr>
      <w:divsChild>
        <w:div w:id="1088041986">
          <w:marLeft w:val="0"/>
          <w:marRight w:val="0"/>
          <w:marTop w:val="0"/>
          <w:marBottom w:val="0"/>
          <w:divBdr>
            <w:top w:val="none" w:sz="0" w:space="0" w:color="auto"/>
            <w:left w:val="none" w:sz="0" w:space="0" w:color="auto"/>
            <w:bottom w:val="none" w:sz="0" w:space="0" w:color="auto"/>
            <w:right w:val="none" w:sz="0" w:space="0" w:color="auto"/>
          </w:divBdr>
        </w:div>
      </w:divsChild>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065376930">
      <w:bodyDiv w:val="1"/>
      <w:marLeft w:val="0"/>
      <w:marRight w:val="0"/>
      <w:marTop w:val="0"/>
      <w:marBottom w:val="0"/>
      <w:divBdr>
        <w:top w:val="none" w:sz="0" w:space="0" w:color="auto"/>
        <w:left w:val="none" w:sz="0" w:space="0" w:color="auto"/>
        <w:bottom w:val="none" w:sz="0" w:space="0" w:color="auto"/>
        <w:right w:val="none" w:sz="0" w:space="0" w:color="auto"/>
      </w:divBdr>
    </w:div>
    <w:div w:id="1135608306">
      <w:bodyDiv w:val="1"/>
      <w:marLeft w:val="0"/>
      <w:marRight w:val="0"/>
      <w:marTop w:val="0"/>
      <w:marBottom w:val="0"/>
      <w:divBdr>
        <w:top w:val="none" w:sz="0" w:space="0" w:color="auto"/>
        <w:left w:val="none" w:sz="0" w:space="0" w:color="auto"/>
        <w:bottom w:val="none" w:sz="0" w:space="0" w:color="auto"/>
        <w:right w:val="none" w:sz="0" w:space="0" w:color="auto"/>
      </w:divBdr>
    </w:div>
    <w:div w:id="1168522307">
      <w:bodyDiv w:val="1"/>
      <w:marLeft w:val="0"/>
      <w:marRight w:val="0"/>
      <w:marTop w:val="0"/>
      <w:marBottom w:val="0"/>
      <w:divBdr>
        <w:top w:val="none" w:sz="0" w:space="0" w:color="auto"/>
        <w:left w:val="none" w:sz="0" w:space="0" w:color="auto"/>
        <w:bottom w:val="none" w:sz="0" w:space="0" w:color="auto"/>
        <w:right w:val="none" w:sz="0" w:space="0" w:color="auto"/>
      </w:divBdr>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71565996">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421177192">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48029264">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1449103">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20394873">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782605394">
      <w:bodyDiv w:val="1"/>
      <w:marLeft w:val="0"/>
      <w:marRight w:val="0"/>
      <w:marTop w:val="0"/>
      <w:marBottom w:val="0"/>
      <w:divBdr>
        <w:top w:val="none" w:sz="0" w:space="0" w:color="auto"/>
        <w:left w:val="none" w:sz="0" w:space="0" w:color="auto"/>
        <w:bottom w:val="none" w:sz="0" w:space="0" w:color="auto"/>
        <w:right w:val="none" w:sz="0" w:space="0" w:color="auto"/>
      </w:divBdr>
      <w:divsChild>
        <w:div w:id="189226520">
          <w:marLeft w:val="0"/>
          <w:marRight w:val="0"/>
          <w:marTop w:val="0"/>
          <w:marBottom w:val="0"/>
          <w:divBdr>
            <w:top w:val="none" w:sz="0" w:space="0" w:color="auto"/>
            <w:left w:val="none" w:sz="0" w:space="0" w:color="auto"/>
            <w:bottom w:val="none" w:sz="0" w:space="0" w:color="auto"/>
            <w:right w:val="none" w:sz="0" w:space="0" w:color="auto"/>
          </w:divBdr>
        </w:div>
      </w:divsChild>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65555478">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23487114">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39755028">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077897202">
      <w:bodyDiv w:val="1"/>
      <w:marLeft w:val="0"/>
      <w:marRight w:val="0"/>
      <w:marTop w:val="0"/>
      <w:marBottom w:val="0"/>
      <w:divBdr>
        <w:top w:val="none" w:sz="0" w:space="0" w:color="auto"/>
        <w:left w:val="none" w:sz="0" w:space="0" w:color="auto"/>
        <w:bottom w:val="none" w:sz="0" w:space="0" w:color="auto"/>
        <w:right w:val="none" w:sz="0" w:space="0" w:color="auto"/>
      </w:divBdr>
    </w:div>
    <w:div w:id="2112627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header" Target="header5.xml"/><Relationship Id="rId47" Type="http://schemas.openxmlformats.org/officeDocument/2006/relationships/hyperlink" Target="https://eur-lex.europa.eu/legal-content/IT/TXT/?uri=CELEX:32020R1148" TargetMode="External"/><Relationship Id="rId50" Type="http://schemas.openxmlformats.org/officeDocument/2006/relationships/image" Target="media/image31.png"/><Relationship Id="rId55" Type="http://schemas.openxmlformats.org/officeDocument/2006/relationships/hyperlink" Target="http://dati.istat.it" TargetMode="External"/><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1.xml"/><Relationship Id="rId11" Type="http://schemas.openxmlformats.org/officeDocument/2006/relationships/footnotes" Target="footnotes.xml"/><Relationship Id="rId24" Type="http://schemas.openxmlformats.org/officeDocument/2006/relationships/hyperlink" Target="http://www.istat.it/it/congiuntura" TargetMode="External"/><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image" Target="media/image26.png"/><Relationship Id="rId45" Type="http://schemas.openxmlformats.org/officeDocument/2006/relationships/header" Target="header7.xml"/><Relationship Id="rId53" Type="http://schemas.openxmlformats.org/officeDocument/2006/relationships/hyperlink" Target="https://www.istat.it/it/informazioni-e-servizi/per-i-giornalisti/appuntamenti/calendario-diffusioni-ed-eventi" TargetMode="External"/><Relationship Id="rId58" Type="http://schemas.openxmlformats.org/officeDocument/2006/relationships/hyperlink" Target="http://ec.europa.eu/eurostat/data/database%20" TargetMode="External"/><Relationship Id="rId5" Type="http://schemas.openxmlformats.org/officeDocument/2006/relationships/customXml" Target="../customXml/item5.xml"/><Relationship Id="rId61" Type="http://schemas.openxmlformats.org/officeDocument/2006/relationships/hyperlink" Target="mailto:muratore@istat.it"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oter" Target="footer2.xml"/><Relationship Id="rId35" Type="http://schemas.openxmlformats.org/officeDocument/2006/relationships/image" Target="media/image21.png"/><Relationship Id="rId43" Type="http://schemas.openxmlformats.org/officeDocument/2006/relationships/header" Target="header6.xml"/><Relationship Id="rId48" Type="http://schemas.openxmlformats.org/officeDocument/2006/relationships/hyperlink" Target="https://www.istat.it/it/files/2011/04/dlgs322.pdf" TargetMode="External"/><Relationship Id="rId56" Type="http://schemas.openxmlformats.org/officeDocument/2006/relationships/hyperlink" Target="http://dati-congiuntura.istat.it/" TargetMode="External"/><Relationship Id="rId8" Type="http://schemas.openxmlformats.org/officeDocument/2006/relationships/styles" Target="style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eur-lex.europa.eu/legal-content/IT/TXT/?uri=CELEX%3A32016R0792" TargetMode="External"/><Relationship Id="rId59" Type="http://schemas.openxmlformats.org/officeDocument/2006/relationships/header" Target="header8.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hyperlink" Target="https://www.istat.it/it/archivio/prezzi+al+consumo"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5.png"/><Relationship Id="rId23" Type="http://schemas.openxmlformats.org/officeDocument/2006/relationships/hyperlink" Target="http://dati.istat.it/" TargetMode="External"/><Relationship Id="rId28" Type="http://schemas.openxmlformats.org/officeDocument/2006/relationships/header" Target="header3.xml"/><Relationship Id="rId36" Type="http://schemas.openxmlformats.org/officeDocument/2006/relationships/image" Target="media/image22.png"/><Relationship Id="rId49" Type="http://schemas.openxmlformats.org/officeDocument/2006/relationships/hyperlink" Target="http://www.istat.it/it/congiuntura/revisioni" TargetMode="External"/><Relationship Id="rId57" Type="http://schemas.openxmlformats.org/officeDocument/2006/relationships/hyperlink" Target="http://seriestoriche.istat.it/"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hyperlink" Target="http://ec.europa.eu/eurostat/ramon/nomenclatures/index.cfm?TargetUrl=DSP_GEN_DESC_VIEW_NOHDR&amp;StrNom=COICOP_5&amp;StrLanguageCode=EN" TargetMode="External"/><Relationship Id="rId52" Type="http://schemas.openxmlformats.org/officeDocument/2006/relationships/image" Target="media/image33.emf"/><Relationship Id="rId60" Type="http://schemas.openxmlformats.org/officeDocument/2006/relationships/hyperlink" Target="mailto:rosabel.ricci@istat.it"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footnotes.xml.rels><?xml version="1.0" encoding="UTF-8" standalone="yes"?>
<Relationships xmlns="http://schemas.openxmlformats.org/package/2006/relationships"><Relationship Id="rId3" Type="http://schemas.openxmlformats.org/officeDocument/2006/relationships/hyperlink" Target="http://dati.istat.it/" TargetMode="External"/><Relationship Id="rId2" Type="http://schemas.openxmlformats.org/officeDocument/2006/relationships/hyperlink" Target="http://ec.europa.eu/eurostat/documents/3859598/5926625/KS-RA-13-017-EN.PDF/59eb2c1c-da1f-472c-b191-3d0c76521f9b?version=1.0" TargetMode="External"/><Relationship Id="rId1" Type="http://schemas.openxmlformats.org/officeDocument/2006/relationships/hyperlink" Target="http://ec.europa.eu/eurostat/ramon/nomenclatures/index.cfm?TargetUrl=LST_NOM_DTL&amp;StrNom=HICP_2000&amp;StrLanguageCode=EN&amp;IntPcKey=&amp;StrLayoutCo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23.jpeg"/></Relationships>
</file>

<file path=word/_rels/header5.xml.rels><?xml version="1.0" encoding="UTF-8" standalone="yes"?>
<Relationships xmlns="http://schemas.openxmlformats.org/package/2006/relationships"><Relationship Id="rId1" Type="http://schemas.openxmlformats.org/officeDocument/2006/relationships/image" Target="media/image28.png"/></Relationships>
</file>

<file path=word/_rels/header6.xml.rels><?xml version="1.0" encoding="UTF-8" standalone="yes"?>
<Relationships xmlns="http://schemas.openxmlformats.org/package/2006/relationships"><Relationship Id="rId1" Type="http://schemas.openxmlformats.org/officeDocument/2006/relationships/image" Target="media/image29.png"/></Relationships>
</file>

<file path=word/_rels/header7.xml.rels><?xml version="1.0" encoding="UTF-8" standalone="yes"?>
<Relationships xmlns="http://schemas.openxmlformats.org/package/2006/relationships"><Relationship Id="rId1" Type="http://schemas.openxmlformats.org/officeDocument/2006/relationships/image" Target="media/image30.png"/></Relationships>
</file>

<file path=word/_rels/header8.xml.rels><?xml version="1.0" encoding="UTF-8" standalone="yes"?>
<Relationships xmlns="http://schemas.openxmlformats.org/package/2006/relationships"><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68921-35FA-472F-9A9B-31C6B1C2992E}">
  <ds:schemaRefs>
    <ds:schemaRef ds:uri="http://schemas.microsoft.com/office/2006/metadata/longProperties"/>
  </ds:schemaRefs>
</ds:datastoreItem>
</file>

<file path=customXml/itemProps2.xml><?xml version="1.0" encoding="utf-8"?>
<ds:datastoreItem xmlns:ds="http://schemas.openxmlformats.org/officeDocument/2006/customXml" ds:itemID="{65E54356-5B5F-419C-B686-0B79A877A076}">
  <ds:schemaRefs>
    <ds:schemaRef ds:uri="http://schemas.microsoft.com/sharepoint/v3/contenttype/forms"/>
  </ds:schemaRefs>
</ds:datastoreItem>
</file>

<file path=customXml/itemProps3.xml><?xml version="1.0" encoding="utf-8"?>
<ds:datastoreItem xmlns:ds="http://schemas.openxmlformats.org/officeDocument/2006/customXml" ds:itemID="{D06F6CA5-FB0D-431F-8457-B546C50DE59F}">
  <ds:schemaRefs>
    <ds:schemaRef ds:uri="http://schemas.microsoft.com/sharepoint/events"/>
  </ds:schemaRefs>
</ds:datastoreItem>
</file>

<file path=customXml/itemProps4.xml><?xml version="1.0" encoding="utf-8"?>
<ds:datastoreItem xmlns:ds="http://schemas.openxmlformats.org/officeDocument/2006/customXml" ds:itemID="{8D47A1EC-2410-43DC-8477-27E106DC8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D83F46-1395-4645-806B-91E455B2C2F5}">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D248586B-64E4-4AC4-96D8-D8AF6AFCC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12940</Words>
  <Characters>73761</Characters>
  <Application>Microsoft Office Word</Application>
  <DocSecurity>0</DocSecurity>
  <Lines>614</Lines>
  <Paragraphs>173</Paragraphs>
  <ScaleCrop>false</ScaleCrop>
  <HeadingPairs>
    <vt:vector size="2" baseType="variant">
      <vt:variant>
        <vt:lpstr>Titolo</vt:lpstr>
      </vt:variant>
      <vt:variant>
        <vt:i4>1</vt:i4>
      </vt:variant>
    </vt:vector>
  </HeadingPairs>
  <TitlesOfParts>
    <vt:vector size="1" baseType="lpstr">
      <vt:lpstr>Giugno 2010</vt:lpstr>
    </vt:vector>
  </TitlesOfParts>
  <Company>HP</Company>
  <LinksUpToDate>false</LinksUpToDate>
  <CharactersWithSpaces>86528</CharactersWithSpaces>
  <SharedDoc>false</SharedDoc>
  <HLinks>
    <vt:vector size="102" baseType="variant">
      <vt:variant>
        <vt:i4>7340157</vt:i4>
      </vt:variant>
      <vt:variant>
        <vt:i4>63</vt:i4>
      </vt:variant>
      <vt:variant>
        <vt:i4>0</vt:i4>
      </vt:variant>
      <vt:variant>
        <vt:i4>5</vt:i4>
      </vt:variant>
      <vt:variant>
        <vt:lpwstr>http://ec.europa.eu/eurostat/data/database</vt:lpwstr>
      </vt:variant>
      <vt:variant>
        <vt:lpwstr/>
      </vt:variant>
      <vt:variant>
        <vt:i4>6291582</vt:i4>
      </vt:variant>
      <vt:variant>
        <vt:i4>60</vt:i4>
      </vt:variant>
      <vt:variant>
        <vt:i4>0</vt:i4>
      </vt:variant>
      <vt:variant>
        <vt:i4>5</vt:i4>
      </vt:variant>
      <vt:variant>
        <vt:lpwstr>http://seriestoriche.istat.it/</vt:lpwstr>
      </vt:variant>
      <vt:variant>
        <vt:lpwstr/>
      </vt:variant>
      <vt:variant>
        <vt:i4>720927</vt:i4>
      </vt:variant>
      <vt:variant>
        <vt:i4>57</vt:i4>
      </vt:variant>
      <vt:variant>
        <vt:i4>0</vt:i4>
      </vt:variant>
      <vt:variant>
        <vt:i4>5</vt:i4>
      </vt:variant>
      <vt:variant>
        <vt:lpwstr>http://dati-congiuntura.istat.it/</vt:lpwstr>
      </vt:variant>
      <vt:variant>
        <vt:lpwstr/>
      </vt:variant>
      <vt:variant>
        <vt:i4>6094849</vt:i4>
      </vt:variant>
      <vt:variant>
        <vt:i4>54</vt:i4>
      </vt:variant>
      <vt:variant>
        <vt:i4>0</vt:i4>
      </vt:variant>
      <vt:variant>
        <vt:i4>5</vt:i4>
      </vt:variant>
      <vt:variant>
        <vt:lpwstr>http://dati.istat.it/</vt:lpwstr>
      </vt:variant>
      <vt:variant>
        <vt:lpwstr/>
      </vt:variant>
      <vt:variant>
        <vt:i4>2031702</vt:i4>
      </vt:variant>
      <vt:variant>
        <vt:i4>51</vt:i4>
      </vt:variant>
      <vt:variant>
        <vt:i4>0</vt:i4>
      </vt:variant>
      <vt:variant>
        <vt:i4>5</vt:i4>
      </vt:variant>
      <vt:variant>
        <vt:lpwstr>http://www.istat.it/it/prezzi</vt:lpwstr>
      </vt:variant>
      <vt:variant>
        <vt:lpwstr/>
      </vt:variant>
      <vt:variant>
        <vt:i4>5832734</vt:i4>
      </vt:variant>
      <vt:variant>
        <vt:i4>48</vt:i4>
      </vt:variant>
      <vt:variant>
        <vt:i4>0</vt:i4>
      </vt:variant>
      <vt:variant>
        <vt:i4>5</vt:i4>
      </vt:variant>
      <vt:variant>
        <vt:lpwstr>https://www.istat.it/it/informazioni-e-servizi/per-i-giornalisti/appuntamenti/calendario-diffusioni-ed-eventi</vt:lpwstr>
      </vt:variant>
      <vt:variant>
        <vt:lpwstr/>
      </vt:variant>
      <vt:variant>
        <vt:i4>2031617</vt:i4>
      </vt:variant>
      <vt:variant>
        <vt:i4>42</vt:i4>
      </vt:variant>
      <vt:variant>
        <vt:i4>0</vt:i4>
      </vt:variant>
      <vt:variant>
        <vt:i4>5</vt:i4>
      </vt:variant>
      <vt:variant>
        <vt:lpwstr>http://www.istat.it/it/congiuntura/revisioni</vt:lpwstr>
      </vt:variant>
      <vt:variant>
        <vt:lpwstr/>
      </vt:variant>
      <vt:variant>
        <vt:i4>7012425</vt:i4>
      </vt:variant>
      <vt:variant>
        <vt:i4>39</vt:i4>
      </vt:variant>
      <vt:variant>
        <vt:i4>0</vt:i4>
      </vt:variant>
      <vt:variant>
        <vt:i4>5</vt:i4>
      </vt:variant>
      <vt:variant>
        <vt:lpwstr>http://siqual.istat.it/SIQual/files/impo_reg330_2009_it.pdf?cod=13472&amp;tipo=2</vt:lpwstr>
      </vt:variant>
      <vt:variant>
        <vt:lpwstr/>
      </vt:variant>
      <vt:variant>
        <vt:i4>1704030</vt:i4>
      </vt:variant>
      <vt:variant>
        <vt:i4>36</vt:i4>
      </vt:variant>
      <vt:variant>
        <vt:i4>0</vt:i4>
      </vt:variant>
      <vt:variant>
        <vt:i4>5</vt:i4>
      </vt:variant>
      <vt:variant>
        <vt:lpwstr>http://eur-lex.europa.eu/legal-content/IT/TXT/?uri=CELEX%3A32016R0792</vt:lpwstr>
      </vt:variant>
      <vt:variant>
        <vt:lpwstr/>
      </vt:variant>
      <vt:variant>
        <vt:i4>1835016</vt:i4>
      </vt:variant>
      <vt:variant>
        <vt:i4>33</vt:i4>
      </vt:variant>
      <vt:variant>
        <vt:i4>0</vt:i4>
      </vt:variant>
      <vt:variant>
        <vt:i4>5</vt:i4>
      </vt:variant>
      <vt:variant>
        <vt:lpwstr>https://www.istat.it/it/files/2011/04/dlgs322.pdf</vt:lpwstr>
      </vt:variant>
      <vt:variant>
        <vt:lpwstr/>
      </vt:variant>
      <vt:variant>
        <vt:i4>1704030</vt:i4>
      </vt:variant>
      <vt:variant>
        <vt:i4>30</vt:i4>
      </vt:variant>
      <vt:variant>
        <vt:i4>0</vt:i4>
      </vt:variant>
      <vt:variant>
        <vt:i4>5</vt:i4>
      </vt:variant>
      <vt:variant>
        <vt:lpwstr>http://eur-lex.europa.eu/legal-content/IT/TXT/?uri=CELEX%3A32016R0792</vt:lpwstr>
      </vt:variant>
      <vt:variant>
        <vt:lpwstr/>
      </vt:variant>
      <vt:variant>
        <vt:i4>393327</vt:i4>
      </vt:variant>
      <vt:variant>
        <vt:i4>27</vt:i4>
      </vt:variant>
      <vt:variant>
        <vt:i4>0</vt:i4>
      </vt:variant>
      <vt:variant>
        <vt:i4>5</vt:i4>
      </vt:variant>
      <vt:variant>
        <vt:lpwstr>http://ec.europa.eu/eurostat/ramon/nomenclatures/index.cfm?TargetUrl=DSP_GEN_DESC_VIEW_NOHDR&amp;StrNom=COICOP_5&amp;StrLanguageCode=EN</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ariant>
        <vt:i4>6094849</vt:i4>
      </vt:variant>
      <vt:variant>
        <vt:i4>6</vt:i4>
      </vt:variant>
      <vt:variant>
        <vt:i4>0</vt:i4>
      </vt:variant>
      <vt:variant>
        <vt:i4>5</vt:i4>
      </vt:variant>
      <vt:variant>
        <vt:lpwstr>http://dati.istat.it/</vt:lpwstr>
      </vt:variant>
      <vt:variant>
        <vt:lpwstr/>
      </vt:variant>
      <vt:variant>
        <vt:i4>6422641</vt:i4>
      </vt:variant>
      <vt:variant>
        <vt:i4>3</vt:i4>
      </vt:variant>
      <vt:variant>
        <vt:i4>0</vt:i4>
      </vt:variant>
      <vt:variant>
        <vt:i4>5</vt:i4>
      </vt:variant>
      <vt:variant>
        <vt:lpwstr>http://ec.europa.eu/eurostat/documents/3859598/5926625/KS-RA-13-017-EN.PDF/59eb2c1c-da1f-472c-b191-3d0c76521f9b?version=1.0</vt:lpwstr>
      </vt:variant>
      <vt:variant>
        <vt:lpwstr/>
      </vt:variant>
      <vt:variant>
        <vt:i4>5570613</vt:i4>
      </vt:variant>
      <vt:variant>
        <vt:i4>0</vt:i4>
      </vt:variant>
      <vt:variant>
        <vt:i4>0</vt:i4>
      </vt:variant>
      <vt:variant>
        <vt:i4>5</vt:i4>
      </vt:variant>
      <vt:variant>
        <vt:lpwstr>http://ec.europa.eu/eurostat/ramon/nomenclatures/index.cfm?TargetUrl=LST_NOM_DTL&amp;StrNom=HICP_2000&amp;StrLanguageCode=EN&amp;IntPcKey=&amp;StrLayoutCode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Giugno 2010</dc:title>
  <dc:creator>ISTAT</dc:creator>
  <cp:lastModifiedBy>Enza Lucia Rocca Agnese Vaccaro</cp:lastModifiedBy>
  <cp:revision>2</cp:revision>
  <cp:lastPrinted>2022-10-14T06:49:00Z</cp:lastPrinted>
  <dcterms:created xsi:type="dcterms:W3CDTF">2022-10-17T07:04:00Z</dcterms:created>
  <dcterms:modified xsi:type="dcterms:W3CDTF">2022-10-17T07:04:00Z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2QYKZWF4TN2A-29-1532</vt:lpwstr>
  </property>
  <property fmtid="{D5CDD505-2E9C-101B-9397-08002B2CF9AE}" pid="3" name="_dlc_DocIdItemGuid">
    <vt:lpwstr>6b6018b3-0771-4138-8967-ced6ea3fa960</vt:lpwstr>
  </property>
  <property fmtid="{D5CDD505-2E9C-101B-9397-08002B2CF9AE}" pid="4" name="_dlc_DocIdUrl">
    <vt:lpwstr>https://collaborazione.istat.it/siti/ed/ufficio_stampa/_layouts/DocIdRedir.aspx?ID=2QYKZWF4TN2A-29-1532, 2QYKZWF4TN2A-29-1532</vt:lpwstr>
  </property>
  <property fmtid="{D5CDD505-2E9C-101B-9397-08002B2CF9AE}" pid="5" name="ContentTypeId">
    <vt:lpwstr>0x010100B795A82E90F7744F8BBD5BCEA1E47B9D00412BB8B24175FB4599016A296A388103</vt:lpwstr>
  </property>
</Properties>
</file>