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525F5" w14:textId="4CD3F155" w:rsidR="00E624EF" w:rsidRDefault="00E624EF" w:rsidP="00966D2A">
      <w:pPr>
        <w:spacing w:before="60"/>
        <w:ind w:left="1814"/>
        <w:rPr>
          <w:rFonts w:ascii="Arial" w:hAnsi="Arial" w:cs="Arial"/>
          <w:noProof/>
          <w:color w:val="5F5F5F"/>
          <w:sz w:val="10"/>
          <w:szCs w:val="28"/>
        </w:rPr>
      </w:pPr>
    </w:p>
    <w:p w14:paraId="7D698CBF" w14:textId="77777777" w:rsidR="004D6464" w:rsidRPr="00E624EF" w:rsidRDefault="004D6464" w:rsidP="00966D2A">
      <w:pPr>
        <w:spacing w:before="60"/>
        <w:ind w:left="1814"/>
        <w:rPr>
          <w:rFonts w:ascii="Arial" w:hAnsi="Arial" w:cs="Arial"/>
          <w:noProof/>
          <w:color w:val="5F5F5F"/>
          <w:sz w:val="10"/>
          <w:szCs w:val="28"/>
        </w:rPr>
      </w:pPr>
    </w:p>
    <w:p w14:paraId="24A5E550" w14:textId="0E6C2AEA" w:rsidR="00A651E1" w:rsidRPr="00826A5F" w:rsidRDefault="000B5DFE" w:rsidP="00966D2A">
      <w:pPr>
        <w:spacing w:before="60"/>
        <w:ind w:left="1814"/>
        <w:rPr>
          <w:rFonts w:ascii="Arial" w:hAnsi="Arial" w:cs="Arial"/>
          <w:color w:val="5F5F5F"/>
          <w:sz w:val="28"/>
          <w:szCs w:val="28"/>
        </w:rPr>
      </w:pPr>
      <w:r w:rsidRPr="00826A5F">
        <w:rPr>
          <w:rFonts w:ascii="Arial" w:hAnsi="Arial" w:cs="Arial"/>
          <w:noProof/>
          <w:color w:val="5F5F5F"/>
          <w:sz w:val="28"/>
          <w:szCs w:val="28"/>
        </w:rPr>
        <mc:AlternateContent>
          <mc:Choice Requires="wps">
            <w:drawing>
              <wp:anchor distT="0" distB="0" distL="114300" distR="114300" simplePos="0" relativeHeight="251659264" behindDoc="0" locked="0" layoutInCell="1" allowOverlap="1" wp14:anchorId="1DB58C85" wp14:editId="58DC98FD">
                <wp:simplePos x="0" y="0"/>
                <wp:positionH relativeFrom="column">
                  <wp:posOffset>4194175</wp:posOffset>
                </wp:positionH>
                <wp:positionV relativeFrom="paragraph">
                  <wp:posOffset>-2416175</wp:posOffset>
                </wp:positionV>
                <wp:extent cx="1008380" cy="198120"/>
                <wp:effectExtent l="0" t="0" r="20320" b="11430"/>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98120"/>
                        </a:xfrm>
                        <a:prstGeom prst="rect">
                          <a:avLst/>
                        </a:prstGeom>
                        <a:solidFill>
                          <a:srgbClr val="FFFFFF"/>
                        </a:solidFill>
                        <a:ln w="9525">
                          <a:solidFill>
                            <a:srgbClr val="FFFFFF"/>
                          </a:solidFill>
                          <a:miter lim="800000"/>
                          <a:headEnd/>
                          <a:tailEnd/>
                        </a:ln>
                      </wps:spPr>
                      <wps:txbx>
                        <w:txbxContent>
                          <w:p w14:paraId="37A1633D" w14:textId="77777777" w:rsidR="001E7FE4" w:rsidRDefault="001E7FE4">
                            <w:pPr>
                              <w:jc w:val="right"/>
                              <w:rPr>
                                <w:rFonts w:ascii="Arial Narrow" w:hAnsi="Arial Narrow"/>
                                <w:b/>
                                <w:color w:val="808080"/>
                                <w:sz w:val="26"/>
                                <w:szCs w:val="26"/>
                              </w:rPr>
                            </w:pPr>
                            <w:r>
                              <w:rPr>
                                <w:rFonts w:ascii="Arial Narrow" w:hAnsi="Arial Narrow"/>
                                <w:b/>
                                <w:color w:val="808080"/>
                                <w:sz w:val="26"/>
                                <w:szCs w:val="26"/>
                              </w:rPr>
                              <w:t>24 luglio 2017</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B58C85" id="_x0000_t202" coordsize="21600,21600" o:spt="202" path="m,l,21600r21600,l21600,xe">
                <v:stroke joinstyle="miter"/>
                <v:path gradientshapeok="t" o:connecttype="rect"/>
              </v:shapetype>
              <v:shape id="Casella di testo 2" o:spid="_x0000_s1026" type="#_x0000_t202" style="position:absolute;left:0;text-align:left;margin-left:330.25pt;margin-top:-190.25pt;width:79.4pt;height:1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" strokecolor="white">
                <v:textbox style="mso-fit-shape-to-text:t" inset="0,0,0,0">
                  <w:txbxContent>
                    <w:p w14:paraId="37A1633D" w14:textId="77777777" w:rsidR="001E7FE4" w:rsidRDefault="001E7FE4">
                      <w:pPr>
                        <w:jc w:val="right"/>
                        <w:rPr>
                          <w:rFonts w:ascii="Arial Narrow" w:hAnsi="Arial Narrow"/>
                          <w:b/>
                          <w:color w:val="808080"/>
                          <w:sz w:val="26"/>
                          <w:szCs w:val="26"/>
                        </w:rPr>
                      </w:pPr>
                      <w:r>
                        <w:rPr>
                          <w:rFonts w:ascii="Arial Narrow" w:hAnsi="Arial Narrow"/>
                          <w:b/>
                          <w:color w:val="808080"/>
                          <w:sz w:val="26"/>
                          <w:szCs w:val="26"/>
                        </w:rPr>
                        <w:t>24 luglio 2017</w:t>
                      </w:r>
                    </w:p>
                  </w:txbxContent>
                </v:textbox>
              </v:shape>
            </w:pict>
          </mc:Fallback>
        </mc:AlternateContent>
      </w:r>
      <w:r w:rsidR="0023747B">
        <w:rPr>
          <w:rFonts w:ascii="Arial" w:hAnsi="Arial" w:cs="Arial"/>
          <w:noProof/>
          <w:color w:val="5F5F5F"/>
          <w:sz w:val="28"/>
          <w:szCs w:val="28"/>
        </w:rPr>
        <w:t>Settembre</w:t>
      </w:r>
      <w:r w:rsidR="00EE2CF2" w:rsidRPr="00826A5F">
        <w:rPr>
          <w:rFonts w:ascii="Arial" w:hAnsi="Arial" w:cs="Arial"/>
          <w:color w:val="5F5F5F"/>
          <w:sz w:val="28"/>
          <w:szCs w:val="28"/>
        </w:rPr>
        <w:t xml:space="preserve"> </w:t>
      </w:r>
      <w:r w:rsidR="001C7A5F">
        <w:rPr>
          <w:rFonts w:ascii="Arial" w:hAnsi="Arial" w:cs="Arial"/>
          <w:color w:val="5F5F5F"/>
          <w:sz w:val="28"/>
          <w:szCs w:val="28"/>
        </w:rPr>
        <w:t>2022</w:t>
      </w:r>
    </w:p>
    <w:p w14:paraId="0B5AFF83" w14:textId="77777777" w:rsidR="00FC0937" w:rsidRPr="00211BB7" w:rsidRDefault="00E777A0" w:rsidP="00C35C46">
      <w:pPr>
        <w:tabs>
          <w:tab w:val="left" w:pos="9765"/>
        </w:tabs>
        <w:spacing w:after="360"/>
        <w:ind w:left="1814"/>
        <w:outlineLvl w:val="0"/>
        <w:rPr>
          <w:rFonts w:ascii="Calibri" w:hAnsi="Calibri" w:cs="Arial"/>
          <w:b/>
          <w:bCs/>
          <w:caps/>
          <w:color w:val="5F5F5F"/>
          <w:sz w:val="44"/>
          <w:szCs w:val="52"/>
        </w:rPr>
      </w:pPr>
      <w:r w:rsidRPr="00211BB7">
        <w:rPr>
          <w:rFonts w:ascii="Calibri" w:hAnsi="Calibri" w:cs="Arial"/>
          <w:b/>
          <w:bCs/>
          <w:caps/>
          <w:color w:val="5F5F5F"/>
          <w:sz w:val="44"/>
          <w:szCs w:val="52"/>
        </w:rPr>
        <w:t>COMMERCIO ESTERO EXTRA UE</w:t>
      </w:r>
    </w:p>
    <w:p w14:paraId="3F280BA2" w14:textId="1BA10055" w:rsidR="00B10BC9" w:rsidRPr="00E5455F" w:rsidRDefault="00B10BC9" w:rsidP="00C35C46">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E5455F">
        <w:rPr>
          <w:rFonts w:ascii="Arial" w:hAnsi="Arial"/>
          <w:sz w:val="21"/>
          <w:szCs w:val="21"/>
          <w:lang w:eastAsia="ar-SA"/>
        </w:rPr>
        <w:t>A</w:t>
      </w:r>
      <w:r w:rsidR="008B0FB9">
        <w:rPr>
          <w:rFonts w:ascii="Arial" w:hAnsi="Arial"/>
          <w:sz w:val="21"/>
          <w:szCs w:val="21"/>
          <w:lang w:eastAsia="ar-SA"/>
        </w:rPr>
        <w:t xml:space="preserve"> settembre </w:t>
      </w:r>
      <w:r w:rsidR="00DA6B39" w:rsidRPr="00E5455F">
        <w:rPr>
          <w:rFonts w:ascii="Arial" w:hAnsi="Arial"/>
          <w:sz w:val="21"/>
          <w:szCs w:val="21"/>
          <w:lang w:eastAsia="ar-SA"/>
        </w:rPr>
        <w:t>2022</w:t>
      </w:r>
      <w:r w:rsidRPr="00E5455F">
        <w:rPr>
          <w:rFonts w:ascii="Arial" w:hAnsi="Arial"/>
          <w:sz w:val="21"/>
          <w:szCs w:val="21"/>
          <w:lang w:eastAsia="ar-SA"/>
        </w:rPr>
        <w:t xml:space="preserve"> si stima, per l’interscambio commerciale con i paesi extra </w:t>
      </w:r>
      <w:r w:rsidRPr="00E5455F">
        <w:rPr>
          <w:rFonts w:ascii="Arial" w:hAnsi="Arial" w:cs="Arial"/>
          <w:sz w:val="21"/>
          <w:szCs w:val="21"/>
        </w:rPr>
        <w:t>Ue27</w:t>
      </w:r>
      <w:r w:rsidRPr="00E5455F">
        <w:rPr>
          <w:rStyle w:val="Rimandonotaapidipagina"/>
          <w:rFonts w:ascii="Arial" w:hAnsi="Arial"/>
          <w:sz w:val="21"/>
          <w:szCs w:val="21"/>
        </w:rPr>
        <w:footnoteReference w:id="1"/>
      </w:r>
      <w:r w:rsidR="001655DC" w:rsidRPr="00E5455F">
        <w:rPr>
          <w:rFonts w:ascii="Arial" w:hAnsi="Arial" w:cs="Arial"/>
          <w:sz w:val="21"/>
          <w:szCs w:val="21"/>
        </w:rPr>
        <w:t xml:space="preserve">, </w:t>
      </w:r>
      <w:r w:rsidR="005629BD">
        <w:rPr>
          <w:rFonts w:ascii="Arial" w:hAnsi="Arial"/>
          <w:sz w:val="21"/>
          <w:szCs w:val="21"/>
          <w:lang w:eastAsia="ar-SA"/>
        </w:rPr>
        <w:t xml:space="preserve">un aumento </w:t>
      </w:r>
      <w:r w:rsidR="000809E8">
        <w:rPr>
          <w:rFonts w:ascii="Arial" w:hAnsi="Arial"/>
          <w:sz w:val="21"/>
          <w:szCs w:val="21"/>
          <w:lang w:eastAsia="ar-SA"/>
        </w:rPr>
        <w:t xml:space="preserve">congiunturale </w:t>
      </w:r>
      <w:r w:rsidR="005629BD">
        <w:rPr>
          <w:rFonts w:ascii="Arial" w:hAnsi="Arial"/>
          <w:sz w:val="21"/>
          <w:szCs w:val="21"/>
          <w:lang w:eastAsia="ar-SA"/>
        </w:rPr>
        <w:t xml:space="preserve">per entrambi i flussi, </w:t>
      </w:r>
      <w:r w:rsidR="00BB6703">
        <w:rPr>
          <w:rFonts w:ascii="Arial" w:hAnsi="Arial"/>
          <w:sz w:val="21"/>
          <w:szCs w:val="21"/>
          <w:lang w:eastAsia="ar-SA"/>
        </w:rPr>
        <w:t xml:space="preserve">molto </w:t>
      </w:r>
      <w:r w:rsidR="005629BD">
        <w:rPr>
          <w:rFonts w:ascii="Arial" w:hAnsi="Arial"/>
          <w:sz w:val="21"/>
          <w:szCs w:val="21"/>
          <w:lang w:eastAsia="ar-SA"/>
        </w:rPr>
        <w:t>più ampio</w:t>
      </w:r>
      <w:r w:rsidR="000809E8">
        <w:rPr>
          <w:rFonts w:ascii="Arial" w:hAnsi="Arial"/>
          <w:sz w:val="21"/>
          <w:szCs w:val="21"/>
          <w:lang w:eastAsia="ar-SA"/>
        </w:rPr>
        <w:t xml:space="preserve"> per le esportazioni </w:t>
      </w:r>
      <w:r w:rsidR="00352BB7" w:rsidRPr="00E5455F">
        <w:rPr>
          <w:rFonts w:ascii="Arial" w:hAnsi="Arial"/>
          <w:sz w:val="21"/>
          <w:szCs w:val="21"/>
          <w:lang w:eastAsia="ar-SA"/>
        </w:rPr>
        <w:t>(</w:t>
      </w:r>
      <w:r w:rsidR="005629BD">
        <w:rPr>
          <w:rFonts w:ascii="Arial" w:hAnsi="Arial"/>
          <w:sz w:val="21"/>
          <w:szCs w:val="21"/>
          <w:lang w:eastAsia="ar-SA"/>
        </w:rPr>
        <w:t>+</w:t>
      </w:r>
      <w:r w:rsidR="00F15BE4">
        <w:rPr>
          <w:rFonts w:ascii="Arial" w:hAnsi="Arial"/>
          <w:sz w:val="21"/>
          <w:szCs w:val="21"/>
          <w:lang w:eastAsia="ar-SA"/>
        </w:rPr>
        <w:t>5</w:t>
      </w:r>
      <w:r w:rsidR="00352BB7" w:rsidRPr="00E5455F">
        <w:rPr>
          <w:rFonts w:ascii="Arial" w:hAnsi="Arial"/>
          <w:sz w:val="21"/>
          <w:szCs w:val="21"/>
          <w:lang w:eastAsia="ar-SA"/>
        </w:rPr>
        <w:t>,</w:t>
      </w:r>
      <w:r w:rsidR="00F15BE4">
        <w:rPr>
          <w:rFonts w:ascii="Arial" w:hAnsi="Arial"/>
          <w:sz w:val="21"/>
          <w:szCs w:val="21"/>
          <w:lang w:eastAsia="ar-SA"/>
        </w:rPr>
        <w:t>9</w:t>
      </w:r>
      <w:r w:rsidRPr="00E5455F">
        <w:rPr>
          <w:rFonts w:ascii="Arial" w:hAnsi="Arial"/>
          <w:sz w:val="21"/>
          <w:szCs w:val="21"/>
          <w:lang w:eastAsia="ar-SA"/>
        </w:rPr>
        <w:t xml:space="preserve">%) </w:t>
      </w:r>
      <w:r w:rsidR="000809E8">
        <w:rPr>
          <w:rFonts w:ascii="Arial" w:hAnsi="Arial"/>
          <w:sz w:val="21"/>
          <w:szCs w:val="21"/>
          <w:lang w:eastAsia="ar-SA"/>
        </w:rPr>
        <w:t>rispetto all</w:t>
      </w:r>
      <w:r w:rsidR="00787978">
        <w:rPr>
          <w:rFonts w:ascii="Arial" w:hAnsi="Arial"/>
          <w:sz w:val="21"/>
          <w:szCs w:val="21"/>
          <w:lang w:eastAsia="ar-SA"/>
        </w:rPr>
        <w:t xml:space="preserve">e </w:t>
      </w:r>
      <w:r w:rsidR="000809E8">
        <w:rPr>
          <w:rFonts w:ascii="Arial" w:hAnsi="Arial"/>
          <w:sz w:val="21"/>
          <w:szCs w:val="21"/>
          <w:lang w:eastAsia="ar-SA"/>
        </w:rPr>
        <w:t xml:space="preserve">importazioni </w:t>
      </w:r>
      <w:r w:rsidRPr="00E5455F">
        <w:rPr>
          <w:rFonts w:ascii="Arial" w:hAnsi="Arial"/>
          <w:sz w:val="21"/>
          <w:szCs w:val="21"/>
          <w:lang w:eastAsia="ar-SA"/>
        </w:rPr>
        <w:t>(</w:t>
      </w:r>
      <w:r w:rsidR="00A95CCA">
        <w:rPr>
          <w:rFonts w:ascii="Arial" w:hAnsi="Arial"/>
          <w:sz w:val="21"/>
          <w:szCs w:val="21"/>
          <w:lang w:eastAsia="ar-SA"/>
        </w:rPr>
        <w:t>+0</w:t>
      </w:r>
      <w:r w:rsidRPr="00E5455F">
        <w:rPr>
          <w:rFonts w:ascii="Arial" w:hAnsi="Arial"/>
          <w:sz w:val="21"/>
          <w:szCs w:val="21"/>
          <w:lang w:eastAsia="ar-SA"/>
        </w:rPr>
        <w:t>,</w:t>
      </w:r>
      <w:r w:rsidR="00A95CCA">
        <w:rPr>
          <w:rFonts w:ascii="Arial" w:hAnsi="Arial"/>
          <w:sz w:val="21"/>
          <w:szCs w:val="21"/>
          <w:lang w:eastAsia="ar-SA"/>
        </w:rPr>
        <w:t>3</w:t>
      </w:r>
      <w:r w:rsidRPr="00E5455F">
        <w:rPr>
          <w:rFonts w:ascii="Arial" w:hAnsi="Arial"/>
          <w:sz w:val="21"/>
          <w:szCs w:val="21"/>
          <w:lang w:eastAsia="ar-SA"/>
        </w:rPr>
        <w:t>%).</w:t>
      </w:r>
    </w:p>
    <w:p w14:paraId="7E530BE8" w14:textId="221A84AD" w:rsidR="00B10BC9" w:rsidRPr="00CD2CDE" w:rsidRDefault="003A47AD" w:rsidP="00C35C46">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CD2CDE">
        <w:rPr>
          <w:rFonts w:ascii="Arial" w:hAnsi="Arial"/>
          <w:sz w:val="21"/>
          <w:szCs w:val="21"/>
          <w:lang w:eastAsia="ar-SA"/>
        </w:rPr>
        <w:t>L</w:t>
      </w:r>
      <w:r w:rsidR="00853D65">
        <w:rPr>
          <w:rFonts w:ascii="Arial" w:hAnsi="Arial"/>
          <w:sz w:val="21"/>
          <w:szCs w:val="21"/>
          <w:lang w:eastAsia="ar-SA"/>
        </w:rPr>
        <w:t>’</w:t>
      </w:r>
      <w:r w:rsidR="00742529">
        <w:rPr>
          <w:rFonts w:ascii="Arial" w:hAnsi="Arial"/>
          <w:sz w:val="21"/>
          <w:szCs w:val="21"/>
          <w:lang w:eastAsia="ar-SA"/>
        </w:rPr>
        <w:t>aumento</w:t>
      </w:r>
      <w:r w:rsidRPr="00CD2CDE">
        <w:rPr>
          <w:rFonts w:ascii="Arial" w:hAnsi="Arial"/>
          <w:sz w:val="21"/>
          <w:szCs w:val="21"/>
          <w:lang w:eastAsia="ar-SA"/>
        </w:rPr>
        <w:t xml:space="preserve"> su base mensile dell’export </w:t>
      </w:r>
      <w:r w:rsidR="00E0075F">
        <w:rPr>
          <w:rFonts w:ascii="Arial" w:hAnsi="Arial"/>
          <w:sz w:val="21"/>
          <w:szCs w:val="21"/>
          <w:lang w:eastAsia="ar-SA"/>
        </w:rPr>
        <w:t>riguarda tutti i raggruppamenti principali di industrie</w:t>
      </w:r>
      <w:r w:rsidR="00BB6703">
        <w:rPr>
          <w:rFonts w:ascii="Arial" w:hAnsi="Arial"/>
          <w:sz w:val="21"/>
          <w:szCs w:val="21"/>
          <w:lang w:eastAsia="ar-SA"/>
        </w:rPr>
        <w:t>,</w:t>
      </w:r>
      <w:r w:rsidR="00E0075F">
        <w:rPr>
          <w:rFonts w:ascii="Arial" w:hAnsi="Arial"/>
          <w:sz w:val="21"/>
          <w:szCs w:val="21"/>
          <w:lang w:eastAsia="ar-SA"/>
        </w:rPr>
        <w:t xml:space="preserve"> a eccezione dell’energia (-1,5</w:t>
      </w:r>
      <w:r w:rsidR="000B2B36">
        <w:rPr>
          <w:rFonts w:ascii="Arial" w:hAnsi="Arial"/>
          <w:sz w:val="21"/>
          <w:szCs w:val="21"/>
          <w:lang w:eastAsia="ar-SA"/>
        </w:rPr>
        <w:t>%).</w:t>
      </w:r>
      <w:r w:rsidRPr="00CD2CDE">
        <w:rPr>
          <w:rFonts w:ascii="Arial" w:hAnsi="Arial"/>
          <w:sz w:val="21"/>
          <w:szCs w:val="21"/>
          <w:lang w:eastAsia="ar-SA"/>
        </w:rPr>
        <w:t> </w:t>
      </w:r>
      <w:r w:rsidR="000504B8">
        <w:rPr>
          <w:rFonts w:ascii="Arial" w:hAnsi="Arial"/>
          <w:sz w:val="21"/>
          <w:szCs w:val="21"/>
          <w:lang w:eastAsia="ar-SA"/>
        </w:rPr>
        <w:t xml:space="preserve">Per </w:t>
      </w:r>
      <w:r w:rsidR="00870D68">
        <w:rPr>
          <w:rFonts w:ascii="Arial" w:hAnsi="Arial"/>
          <w:sz w:val="21"/>
          <w:szCs w:val="21"/>
          <w:lang w:eastAsia="ar-SA"/>
        </w:rPr>
        <w:t xml:space="preserve">l’import, </w:t>
      </w:r>
      <w:r w:rsidR="00E0075F">
        <w:rPr>
          <w:rFonts w:ascii="Arial" w:hAnsi="Arial"/>
          <w:sz w:val="21"/>
          <w:szCs w:val="21"/>
          <w:lang w:eastAsia="ar-SA"/>
        </w:rPr>
        <w:t xml:space="preserve">la </w:t>
      </w:r>
      <w:r w:rsidR="00BB6703">
        <w:rPr>
          <w:rFonts w:ascii="Arial" w:hAnsi="Arial"/>
          <w:sz w:val="21"/>
          <w:szCs w:val="21"/>
          <w:lang w:eastAsia="ar-SA"/>
        </w:rPr>
        <w:t xml:space="preserve">lieve </w:t>
      </w:r>
      <w:r w:rsidR="00E0075F">
        <w:rPr>
          <w:rFonts w:ascii="Arial" w:hAnsi="Arial"/>
          <w:sz w:val="21"/>
          <w:szCs w:val="21"/>
          <w:lang w:eastAsia="ar-SA"/>
        </w:rPr>
        <w:t>crescita congiunturale</w:t>
      </w:r>
      <w:r w:rsidR="001A3039">
        <w:rPr>
          <w:rFonts w:ascii="Arial" w:hAnsi="Arial"/>
          <w:sz w:val="21"/>
          <w:szCs w:val="21"/>
          <w:lang w:eastAsia="ar-SA"/>
        </w:rPr>
        <w:t xml:space="preserve"> </w:t>
      </w:r>
      <w:r w:rsidR="00CA1835" w:rsidRPr="00CD2CDE">
        <w:rPr>
          <w:rFonts w:ascii="Arial" w:hAnsi="Arial"/>
          <w:sz w:val="21"/>
          <w:szCs w:val="21"/>
          <w:lang w:eastAsia="ar-SA"/>
        </w:rPr>
        <w:t xml:space="preserve">è </w:t>
      </w:r>
      <w:r w:rsidR="00BB6703">
        <w:rPr>
          <w:rFonts w:ascii="Arial" w:hAnsi="Arial"/>
          <w:sz w:val="21"/>
          <w:szCs w:val="21"/>
          <w:lang w:eastAsia="ar-SA"/>
        </w:rPr>
        <w:t xml:space="preserve">sintesi di dinamiche differenziate, in aumento per </w:t>
      </w:r>
      <w:r w:rsidR="00E0075F">
        <w:rPr>
          <w:rFonts w:ascii="Arial" w:hAnsi="Arial"/>
          <w:sz w:val="21"/>
          <w:szCs w:val="21"/>
          <w:lang w:eastAsia="ar-SA"/>
        </w:rPr>
        <w:t xml:space="preserve">energia </w:t>
      </w:r>
      <w:r w:rsidR="007F1E4A">
        <w:rPr>
          <w:rFonts w:ascii="Arial" w:hAnsi="Arial"/>
          <w:sz w:val="21"/>
          <w:szCs w:val="21"/>
          <w:lang w:eastAsia="ar-SA"/>
        </w:rPr>
        <w:t>(+4,9%)</w:t>
      </w:r>
      <w:r w:rsidR="00BB6703">
        <w:rPr>
          <w:rFonts w:ascii="Arial" w:hAnsi="Arial"/>
          <w:sz w:val="21"/>
          <w:szCs w:val="21"/>
          <w:lang w:eastAsia="ar-SA"/>
        </w:rPr>
        <w:t xml:space="preserve"> e beni strumentali </w:t>
      </w:r>
      <w:r w:rsidR="007F1E4A">
        <w:rPr>
          <w:rFonts w:ascii="Arial" w:hAnsi="Arial"/>
          <w:sz w:val="21"/>
          <w:szCs w:val="21"/>
          <w:lang w:eastAsia="ar-SA"/>
        </w:rPr>
        <w:t>(+1,1%)</w:t>
      </w:r>
      <w:r w:rsidR="00BB6703">
        <w:rPr>
          <w:rFonts w:ascii="Arial" w:hAnsi="Arial"/>
          <w:sz w:val="21"/>
          <w:szCs w:val="21"/>
          <w:lang w:eastAsia="ar-SA"/>
        </w:rPr>
        <w:t>, in diminuzione per i</w:t>
      </w:r>
      <w:r w:rsidR="00057F2C">
        <w:rPr>
          <w:rFonts w:ascii="Arial" w:hAnsi="Arial"/>
          <w:sz w:val="21"/>
          <w:szCs w:val="21"/>
          <w:lang w:eastAsia="ar-SA"/>
        </w:rPr>
        <w:t xml:space="preserve"> </w:t>
      </w:r>
      <w:r w:rsidR="00BB6703">
        <w:rPr>
          <w:rFonts w:ascii="Arial" w:hAnsi="Arial"/>
          <w:sz w:val="21"/>
          <w:szCs w:val="21"/>
          <w:lang w:eastAsia="ar-SA"/>
        </w:rPr>
        <w:t>restanti</w:t>
      </w:r>
      <w:r w:rsidR="00057F2C">
        <w:rPr>
          <w:rFonts w:ascii="Arial" w:hAnsi="Arial"/>
          <w:sz w:val="21"/>
          <w:szCs w:val="21"/>
          <w:lang w:eastAsia="ar-SA"/>
        </w:rPr>
        <w:t xml:space="preserve"> raggruppamenti</w:t>
      </w:r>
      <w:r w:rsidR="007F1E4A">
        <w:rPr>
          <w:rFonts w:ascii="Arial" w:hAnsi="Arial"/>
          <w:sz w:val="21"/>
          <w:szCs w:val="21"/>
          <w:lang w:eastAsia="ar-SA"/>
        </w:rPr>
        <w:t>.</w:t>
      </w:r>
    </w:p>
    <w:p w14:paraId="52FCBD1D" w14:textId="5274742C" w:rsidR="00B10BC9" w:rsidRPr="007F094F" w:rsidRDefault="00B10BC9" w:rsidP="00C35C46">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7F094F">
        <w:rPr>
          <w:rFonts w:ascii="Arial" w:hAnsi="Arial"/>
          <w:sz w:val="21"/>
          <w:szCs w:val="21"/>
          <w:lang w:eastAsia="ar-SA"/>
        </w:rPr>
        <w:t xml:space="preserve">Nel </w:t>
      </w:r>
      <w:r w:rsidR="00C3769E">
        <w:rPr>
          <w:rFonts w:ascii="Arial" w:hAnsi="Arial"/>
          <w:sz w:val="21"/>
          <w:szCs w:val="21"/>
          <w:lang w:eastAsia="ar-SA"/>
        </w:rPr>
        <w:t xml:space="preserve">terzo </w:t>
      </w:r>
      <w:r w:rsidR="00D52D2E">
        <w:rPr>
          <w:rFonts w:ascii="Arial" w:hAnsi="Arial"/>
          <w:sz w:val="21"/>
          <w:szCs w:val="21"/>
          <w:lang w:eastAsia="ar-SA"/>
        </w:rPr>
        <w:t>trimestre</w:t>
      </w:r>
      <w:r w:rsidRPr="007F094F">
        <w:rPr>
          <w:rFonts w:ascii="Arial" w:hAnsi="Arial"/>
          <w:sz w:val="21"/>
          <w:szCs w:val="21"/>
          <w:lang w:eastAsia="ar-SA"/>
        </w:rPr>
        <w:t xml:space="preserve">, rispetto </w:t>
      </w:r>
      <w:r w:rsidR="00FD53ED">
        <w:rPr>
          <w:rFonts w:ascii="Arial" w:hAnsi="Arial"/>
          <w:sz w:val="21"/>
          <w:szCs w:val="21"/>
          <w:lang w:eastAsia="ar-SA"/>
        </w:rPr>
        <w:t>al precedente</w:t>
      </w:r>
      <w:r w:rsidRPr="007F094F">
        <w:rPr>
          <w:rFonts w:ascii="Arial" w:hAnsi="Arial"/>
          <w:sz w:val="21"/>
          <w:szCs w:val="21"/>
          <w:lang w:eastAsia="ar-SA"/>
        </w:rPr>
        <w:t xml:space="preserve">, l’export </w:t>
      </w:r>
      <w:r w:rsidR="00BA76A9" w:rsidRPr="007F094F">
        <w:rPr>
          <w:rFonts w:ascii="Arial" w:hAnsi="Arial"/>
          <w:sz w:val="21"/>
          <w:szCs w:val="21"/>
          <w:lang w:eastAsia="ar-SA"/>
        </w:rPr>
        <w:t>cresce de</w:t>
      </w:r>
      <w:r w:rsidR="00A22A09">
        <w:rPr>
          <w:rFonts w:ascii="Arial" w:hAnsi="Arial"/>
          <w:sz w:val="21"/>
          <w:szCs w:val="21"/>
          <w:lang w:eastAsia="ar-SA"/>
        </w:rPr>
        <w:t>l</w:t>
      </w:r>
      <w:r w:rsidR="004718B5">
        <w:rPr>
          <w:rFonts w:ascii="Arial" w:hAnsi="Arial"/>
          <w:sz w:val="21"/>
          <w:szCs w:val="21"/>
          <w:lang w:eastAsia="ar-SA"/>
        </w:rPr>
        <w:t xml:space="preserve"> </w:t>
      </w:r>
      <w:r w:rsidR="00DD7E92">
        <w:rPr>
          <w:rFonts w:ascii="Arial" w:hAnsi="Arial"/>
          <w:sz w:val="21"/>
          <w:szCs w:val="21"/>
          <w:lang w:eastAsia="ar-SA"/>
        </w:rPr>
        <w:t>3</w:t>
      </w:r>
      <w:r w:rsidR="00BA76A9" w:rsidRPr="007F094F">
        <w:rPr>
          <w:rFonts w:ascii="Arial" w:hAnsi="Arial"/>
          <w:sz w:val="21"/>
          <w:szCs w:val="21"/>
          <w:lang w:eastAsia="ar-SA"/>
        </w:rPr>
        <w:t>,</w:t>
      </w:r>
      <w:r w:rsidR="002F2F67">
        <w:rPr>
          <w:rFonts w:ascii="Arial" w:hAnsi="Arial"/>
          <w:sz w:val="21"/>
          <w:szCs w:val="21"/>
          <w:lang w:eastAsia="ar-SA"/>
        </w:rPr>
        <w:t>4</w:t>
      </w:r>
      <w:r w:rsidR="00834E24" w:rsidRPr="007F094F">
        <w:rPr>
          <w:rFonts w:ascii="Arial" w:hAnsi="Arial"/>
          <w:sz w:val="21"/>
          <w:szCs w:val="21"/>
          <w:lang w:eastAsia="ar-SA"/>
        </w:rPr>
        <w:t>%</w:t>
      </w:r>
      <w:r w:rsidR="00AD2C53" w:rsidRPr="007F094F">
        <w:rPr>
          <w:rFonts w:ascii="Arial" w:hAnsi="Arial"/>
          <w:sz w:val="21"/>
          <w:szCs w:val="21"/>
          <w:lang w:eastAsia="ar-SA"/>
        </w:rPr>
        <w:t xml:space="preserve">; </w:t>
      </w:r>
      <w:r w:rsidR="0053297B">
        <w:rPr>
          <w:rFonts w:ascii="Arial" w:hAnsi="Arial"/>
          <w:sz w:val="21"/>
          <w:szCs w:val="21"/>
          <w:lang w:eastAsia="ar-SA"/>
        </w:rPr>
        <w:t xml:space="preserve">a esclusione dell’energia (-8,2%), </w:t>
      </w:r>
      <w:r w:rsidR="00AD2C53" w:rsidRPr="007F094F">
        <w:rPr>
          <w:rFonts w:ascii="Arial" w:hAnsi="Arial"/>
          <w:sz w:val="21"/>
          <w:szCs w:val="21"/>
          <w:lang w:eastAsia="ar-SA"/>
        </w:rPr>
        <w:t>l’au</w:t>
      </w:r>
      <w:r w:rsidR="00F9021E" w:rsidRPr="007F094F">
        <w:rPr>
          <w:rFonts w:ascii="Arial" w:hAnsi="Arial"/>
          <w:sz w:val="21"/>
          <w:szCs w:val="21"/>
          <w:lang w:eastAsia="ar-SA"/>
        </w:rPr>
        <w:t>mento</w:t>
      </w:r>
      <w:r w:rsidR="000504B8">
        <w:rPr>
          <w:rFonts w:ascii="Arial" w:hAnsi="Arial"/>
          <w:sz w:val="21"/>
          <w:szCs w:val="21"/>
          <w:lang w:eastAsia="ar-SA"/>
        </w:rPr>
        <w:t xml:space="preserve"> </w:t>
      </w:r>
      <w:r w:rsidR="00B80D38">
        <w:rPr>
          <w:rFonts w:ascii="Arial" w:hAnsi="Arial"/>
          <w:sz w:val="21"/>
          <w:szCs w:val="21"/>
          <w:lang w:eastAsia="ar-SA"/>
        </w:rPr>
        <w:t>riguarda</w:t>
      </w:r>
      <w:r w:rsidR="00B50E11">
        <w:rPr>
          <w:rFonts w:ascii="Arial" w:hAnsi="Arial"/>
          <w:sz w:val="21"/>
          <w:szCs w:val="21"/>
          <w:lang w:eastAsia="ar-SA"/>
        </w:rPr>
        <w:t xml:space="preserve"> tutti i raggruppamenti</w:t>
      </w:r>
      <w:r w:rsidR="00111A6A" w:rsidRPr="007F094F">
        <w:rPr>
          <w:rFonts w:ascii="Arial" w:hAnsi="Arial"/>
          <w:sz w:val="21"/>
          <w:szCs w:val="21"/>
          <w:lang w:eastAsia="ar-SA"/>
        </w:rPr>
        <w:t xml:space="preserve"> </w:t>
      </w:r>
      <w:r w:rsidR="0053297B">
        <w:rPr>
          <w:rFonts w:ascii="Arial" w:hAnsi="Arial"/>
          <w:sz w:val="21"/>
          <w:szCs w:val="21"/>
          <w:lang w:eastAsia="ar-SA"/>
        </w:rPr>
        <w:t>ed è più sostenuto per i beni strumentali (+6,3%)</w:t>
      </w:r>
      <w:r w:rsidR="00345963" w:rsidRPr="007F094F">
        <w:rPr>
          <w:rFonts w:ascii="Arial" w:hAnsi="Arial"/>
          <w:sz w:val="21"/>
          <w:szCs w:val="21"/>
          <w:lang w:eastAsia="ar-SA"/>
        </w:rPr>
        <w:t xml:space="preserve">. </w:t>
      </w:r>
      <w:r w:rsidRPr="00596DC8">
        <w:rPr>
          <w:rFonts w:ascii="Arial" w:hAnsi="Arial"/>
          <w:sz w:val="21"/>
          <w:szCs w:val="21"/>
          <w:lang w:eastAsia="ar-SA"/>
        </w:rPr>
        <w:t xml:space="preserve">Nello stesso periodo, l’import </w:t>
      </w:r>
      <w:r w:rsidR="00AD2C53" w:rsidRPr="00596DC8">
        <w:rPr>
          <w:rFonts w:ascii="Arial" w:hAnsi="Arial"/>
          <w:sz w:val="21"/>
          <w:szCs w:val="21"/>
          <w:lang w:eastAsia="ar-SA"/>
        </w:rPr>
        <w:t>segna</w:t>
      </w:r>
      <w:r w:rsidRPr="00596DC8">
        <w:rPr>
          <w:rFonts w:ascii="Arial" w:hAnsi="Arial"/>
          <w:sz w:val="21"/>
          <w:szCs w:val="21"/>
          <w:lang w:eastAsia="ar-SA"/>
        </w:rPr>
        <w:t xml:space="preserve"> un </w:t>
      </w:r>
      <w:r w:rsidR="00AD2C53" w:rsidRPr="00596DC8">
        <w:rPr>
          <w:rFonts w:ascii="Arial" w:hAnsi="Arial"/>
          <w:sz w:val="21"/>
          <w:szCs w:val="21"/>
          <w:lang w:eastAsia="ar-SA"/>
        </w:rPr>
        <w:t xml:space="preserve">rialzo congiunturale </w:t>
      </w:r>
      <w:r w:rsidR="00484ED5" w:rsidRPr="00596DC8">
        <w:rPr>
          <w:rFonts w:ascii="Arial" w:hAnsi="Arial"/>
          <w:sz w:val="21"/>
          <w:szCs w:val="21"/>
          <w:lang w:eastAsia="ar-SA"/>
        </w:rPr>
        <w:t>de</w:t>
      </w:r>
      <w:r w:rsidR="0082570B">
        <w:rPr>
          <w:rFonts w:ascii="Arial" w:hAnsi="Arial"/>
          <w:sz w:val="21"/>
          <w:szCs w:val="21"/>
          <w:lang w:eastAsia="ar-SA"/>
        </w:rPr>
        <w:t>l</w:t>
      </w:r>
      <w:r w:rsidR="00484ED5" w:rsidRPr="00596DC8">
        <w:rPr>
          <w:rFonts w:ascii="Arial" w:hAnsi="Arial"/>
          <w:sz w:val="21"/>
          <w:szCs w:val="21"/>
          <w:lang w:eastAsia="ar-SA"/>
        </w:rPr>
        <w:t>l</w:t>
      </w:r>
      <w:r w:rsidR="0082570B">
        <w:rPr>
          <w:rFonts w:ascii="Arial" w:hAnsi="Arial"/>
          <w:sz w:val="21"/>
          <w:szCs w:val="21"/>
          <w:lang w:eastAsia="ar-SA"/>
        </w:rPr>
        <w:t>’</w:t>
      </w:r>
      <w:r w:rsidR="00484ED5" w:rsidRPr="00596DC8">
        <w:rPr>
          <w:rFonts w:ascii="Arial" w:hAnsi="Arial"/>
          <w:sz w:val="21"/>
          <w:szCs w:val="21"/>
          <w:lang w:eastAsia="ar-SA"/>
        </w:rPr>
        <w:t>1</w:t>
      </w:r>
      <w:r w:rsidR="00FF1C5D">
        <w:rPr>
          <w:rFonts w:ascii="Arial" w:hAnsi="Arial"/>
          <w:sz w:val="21"/>
          <w:szCs w:val="21"/>
          <w:lang w:eastAsia="ar-SA"/>
        </w:rPr>
        <w:t>1,7</w:t>
      </w:r>
      <w:r w:rsidRPr="00596DC8">
        <w:rPr>
          <w:rFonts w:ascii="Arial" w:hAnsi="Arial"/>
          <w:sz w:val="21"/>
          <w:szCs w:val="21"/>
          <w:lang w:eastAsia="ar-SA"/>
        </w:rPr>
        <w:t xml:space="preserve">%, </w:t>
      </w:r>
      <w:r w:rsidR="000E6B15" w:rsidRPr="00596DC8">
        <w:rPr>
          <w:rFonts w:ascii="Arial" w:hAnsi="Arial"/>
          <w:sz w:val="21"/>
          <w:szCs w:val="21"/>
          <w:lang w:eastAsia="ar-SA"/>
        </w:rPr>
        <w:t>cui contribuisc</w:t>
      </w:r>
      <w:r w:rsidR="00555635">
        <w:rPr>
          <w:rFonts w:ascii="Arial" w:hAnsi="Arial"/>
          <w:sz w:val="21"/>
          <w:szCs w:val="21"/>
          <w:lang w:eastAsia="ar-SA"/>
        </w:rPr>
        <w:t>ono</w:t>
      </w:r>
      <w:r w:rsidR="00870D68">
        <w:rPr>
          <w:rFonts w:ascii="Arial" w:hAnsi="Arial"/>
          <w:sz w:val="21"/>
          <w:szCs w:val="21"/>
          <w:lang w:eastAsia="ar-SA"/>
        </w:rPr>
        <w:t xml:space="preserve"> </w:t>
      </w:r>
      <w:r w:rsidR="007C4FE8">
        <w:rPr>
          <w:rFonts w:ascii="Arial" w:hAnsi="Arial"/>
          <w:sz w:val="21"/>
          <w:szCs w:val="21"/>
          <w:lang w:eastAsia="ar-SA"/>
        </w:rPr>
        <w:t xml:space="preserve">in misura rilevante </w:t>
      </w:r>
      <w:r w:rsidR="00555635">
        <w:rPr>
          <w:rFonts w:ascii="Arial" w:hAnsi="Arial"/>
          <w:sz w:val="21"/>
          <w:szCs w:val="21"/>
          <w:lang w:eastAsia="ar-SA"/>
        </w:rPr>
        <w:t>i maggiori acquisti</w:t>
      </w:r>
      <w:r w:rsidR="00525BE0">
        <w:rPr>
          <w:rFonts w:ascii="Arial" w:hAnsi="Arial"/>
          <w:sz w:val="21"/>
          <w:szCs w:val="21"/>
          <w:lang w:eastAsia="ar-SA"/>
        </w:rPr>
        <w:t xml:space="preserve"> di energia</w:t>
      </w:r>
      <w:r w:rsidR="00BF747E" w:rsidRPr="00596DC8">
        <w:rPr>
          <w:rFonts w:ascii="Arial" w:hAnsi="Arial"/>
          <w:sz w:val="21"/>
          <w:szCs w:val="21"/>
          <w:lang w:eastAsia="ar-SA"/>
        </w:rPr>
        <w:t xml:space="preserve"> (+</w:t>
      </w:r>
      <w:r w:rsidR="00FF1C5D">
        <w:rPr>
          <w:rFonts w:ascii="Arial" w:hAnsi="Arial"/>
          <w:sz w:val="21"/>
          <w:szCs w:val="21"/>
          <w:lang w:eastAsia="ar-SA"/>
        </w:rPr>
        <w:t>23</w:t>
      </w:r>
      <w:r w:rsidR="00484ED5" w:rsidRPr="00596DC8">
        <w:rPr>
          <w:rFonts w:ascii="Arial" w:hAnsi="Arial"/>
          <w:sz w:val="21"/>
          <w:szCs w:val="21"/>
          <w:lang w:eastAsia="ar-SA"/>
        </w:rPr>
        <w:t>,</w:t>
      </w:r>
      <w:r w:rsidR="00FF1C5D">
        <w:rPr>
          <w:rFonts w:ascii="Arial" w:hAnsi="Arial"/>
          <w:sz w:val="21"/>
          <w:szCs w:val="21"/>
          <w:lang w:eastAsia="ar-SA"/>
        </w:rPr>
        <w:t>0</w:t>
      </w:r>
      <w:r w:rsidR="005079CF" w:rsidRPr="00596DC8">
        <w:rPr>
          <w:rFonts w:ascii="Arial" w:hAnsi="Arial"/>
          <w:sz w:val="21"/>
          <w:szCs w:val="21"/>
          <w:lang w:eastAsia="ar-SA"/>
        </w:rPr>
        <w:t>%)</w:t>
      </w:r>
      <w:r w:rsidR="00870D68">
        <w:rPr>
          <w:rFonts w:ascii="Arial" w:hAnsi="Arial"/>
          <w:sz w:val="21"/>
          <w:szCs w:val="21"/>
          <w:lang w:eastAsia="ar-SA"/>
        </w:rPr>
        <w:t>.</w:t>
      </w:r>
      <w:r w:rsidR="00267403">
        <w:rPr>
          <w:rFonts w:ascii="Arial" w:hAnsi="Arial"/>
          <w:sz w:val="21"/>
          <w:szCs w:val="21"/>
          <w:lang w:eastAsia="ar-SA"/>
        </w:rPr>
        <w:t xml:space="preserve"> </w:t>
      </w:r>
    </w:p>
    <w:p w14:paraId="44EFE8DC" w14:textId="0C8CF6FA" w:rsidR="00B10BC9" w:rsidRPr="0008231C" w:rsidRDefault="00F753EE" w:rsidP="00C35C46">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08231C">
        <w:rPr>
          <w:rFonts w:ascii="Arial" w:hAnsi="Arial"/>
          <w:sz w:val="21"/>
          <w:szCs w:val="21"/>
          <w:lang w:eastAsia="ar-SA"/>
        </w:rPr>
        <w:t>A</w:t>
      </w:r>
      <w:r w:rsidR="008B0FB9">
        <w:rPr>
          <w:rFonts w:ascii="Arial" w:hAnsi="Arial"/>
          <w:sz w:val="21"/>
          <w:szCs w:val="21"/>
          <w:lang w:eastAsia="ar-SA"/>
        </w:rPr>
        <w:t xml:space="preserve"> settembre</w:t>
      </w:r>
      <w:r w:rsidR="005A4EF0">
        <w:rPr>
          <w:rFonts w:ascii="Arial" w:hAnsi="Arial"/>
          <w:sz w:val="21"/>
          <w:szCs w:val="21"/>
          <w:lang w:eastAsia="ar-SA"/>
        </w:rPr>
        <w:t xml:space="preserve"> </w:t>
      </w:r>
      <w:r w:rsidR="004D029B" w:rsidRPr="0008231C">
        <w:rPr>
          <w:rFonts w:ascii="Arial" w:hAnsi="Arial"/>
          <w:sz w:val="21"/>
          <w:szCs w:val="21"/>
          <w:lang w:eastAsia="ar-SA"/>
        </w:rPr>
        <w:t>2022</w:t>
      </w:r>
      <w:r w:rsidR="00B10BC9" w:rsidRPr="0008231C">
        <w:rPr>
          <w:rFonts w:ascii="Arial" w:hAnsi="Arial"/>
          <w:sz w:val="21"/>
          <w:szCs w:val="21"/>
          <w:lang w:eastAsia="ar-SA"/>
        </w:rPr>
        <w:t xml:space="preserve">, l’export </w:t>
      </w:r>
      <w:r w:rsidR="009A3F62" w:rsidRPr="0008231C">
        <w:rPr>
          <w:rFonts w:ascii="Arial" w:hAnsi="Arial"/>
          <w:sz w:val="21"/>
          <w:szCs w:val="21"/>
          <w:lang w:eastAsia="ar-SA"/>
        </w:rPr>
        <w:t xml:space="preserve">cresce </w:t>
      </w:r>
      <w:r w:rsidR="00683837" w:rsidRPr="0008231C">
        <w:rPr>
          <w:rFonts w:ascii="Arial" w:hAnsi="Arial"/>
          <w:sz w:val="21"/>
          <w:szCs w:val="21"/>
          <w:lang w:eastAsia="ar-SA"/>
        </w:rPr>
        <w:t xml:space="preserve">su base annua del </w:t>
      </w:r>
      <w:r w:rsidR="00440F41" w:rsidRPr="0008231C">
        <w:rPr>
          <w:rFonts w:ascii="Arial" w:hAnsi="Arial"/>
          <w:sz w:val="21"/>
          <w:szCs w:val="21"/>
          <w:lang w:eastAsia="ar-SA"/>
        </w:rPr>
        <w:t>2</w:t>
      </w:r>
      <w:r w:rsidR="002110AB">
        <w:rPr>
          <w:rFonts w:ascii="Arial" w:hAnsi="Arial"/>
          <w:sz w:val="21"/>
          <w:szCs w:val="21"/>
          <w:lang w:eastAsia="ar-SA"/>
        </w:rPr>
        <w:t>6</w:t>
      </w:r>
      <w:r w:rsidR="00683837" w:rsidRPr="0008231C">
        <w:rPr>
          <w:rFonts w:ascii="Arial" w:hAnsi="Arial"/>
          <w:sz w:val="21"/>
          <w:szCs w:val="21"/>
          <w:lang w:eastAsia="ar-SA"/>
        </w:rPr>
        <w:t>,</w:t>
      </w:r>
      <w:r w:rsidR="002110AB">
        <w:rPr>
          <w:rFonts w:ascii="Arial" w:hAnsi="Arial"/>
          <w:sz w:val="21"/>
          <w:szCs w:val="21"/>
          <w:lang w:eastAsia="ar-SA"/>
        </w:rPr>
        <w:t>9</w:t>
      </w:r>
      <w:r w:rsidR="00B10BC9" w:rsidRPr="0008231C">
        <w:rPr>
          <w:rFonts w:ascii="Arial" w:hAnsi="Arial"/>
          <w:sz w:val="21"/>
          <w:szCs w:val="21"/>
          <w:lang w:eastAsia="ar-SA"/>
        </w:rPr>
        <w:t>%</w:t>
      </w:r>
      <w:r w:rsidR="00FE1A68">
        <w:rPr>
          <w:rFonts w:ascii="Arial" w:hAnsi="Arial"/>
          <w:sz w:val="21"/>
          <w:szCs w:val="21"/>
          <w:lang w:eastAsia="ar-SA"/>
        </w:rPr>
        <w:t xml:space="preserve"> (</w:t>
      </w:r>
      <w:r w:rsidR="00FE1A68" w:rsidRPr="002269AE">
        <w:rPr>
          <w:rFonts w:ascii="Arial" w:hAnsi="Arial"/>
          <w:sz w:val="21"/>
          <w:szCs w:val="21"/>
          <w:lang w:eastAsia="ar-SA"/>
        </w:rPr>
        <w:t>era</w:t>
      </w:r>
      <w:r w:rsidR="007E4402">
        <w:rPr>
          <w:rFonts w:ascii="Arial" w:hAnsi="Arial"/>
          <w:sz w:val="21"/>
          <w:szCs w:val="21"/>
          <w:lang w:eastAsia="ar-SA"/>
        </w:rPr>
        <w:t xml:space="preserve"> +22,1</w:t>
      </w:r>
      <w:r w:rsidR="00FE1A68" w:rsidRPr="002269AE">
        <w:rPr>
          <w:rFonts w:ascii="Arial" w:hAnsi="Arial"/>
          <w:sz w:val="21"/>
          <w:szCs w:val="21"/>
          <w:lang w:eastAsia="ar-SA"/>
        </w:rPr>
        <w:t>% a</w:t>
      </w:r>
      <w:r w:rsidR="007E4402">
        <w:rPr>
          <w:rFonts w:ascii="Arial" w:hAnsi="Arial"/>
          <w:sz w:val="21"/>
          <w:szCs w:val="21"/>
          <w:lang w:eastAsia="ar-SA"/>
        </w:rPr>
        <w:t>d</w:t>
      </w:r>
      <w:r w:rsidR="00FE1A68" w:rsidRPr="002269AE">
        <w:rPr>
          <w:rFonts w:ascii="Arial" w:hAnsi="Arial"/>
          <w:sz w:val="21"/>
          <w:szCs w:val="21"/>
          <w:lang w:eastAsia="ar-SA"/>
        </w:rPr>
        <w:t xml:space="preserve"> </w:t>
      </w:r>
      <w:r w:rsidR="007E4402">
        <w:rPr>
          <w:rFonts w:ascii="Arial" w:hAnsi="Arial"/>
          <w:sz w:val="21"/>
          <w:szCs w:val="21"/>
          <w:lang w:eastAsia="ar-SA"/>
        </w:rPr>
        <w:t>agosto</w:t>
      </w:r>
      <w:r w:rsidR="00FE1A68">
        <w:rPr>
          <w:rFonts w:ascii="ArialMT" w:hAnsi="ArialMT"/>
          <w:sz w:val="21"/>
          <w:szCs w:val="21"/>
        </w:rPr>
        <w:t>)</w:t>
      </w:r>
      <w:r w:rsidR="00B10BC9" w:rsidRPr="0008231C">
        <w:rPr>
          <w:rFonts w:ascii="Arial" w:hAnsi="Arial"/>
          <w:sz w:val="21"/>
          <w:szCs w:val="21"/>
          <w:lang w:eastAsia="ar-SA"/>
        </w:rPr>
        <w:t>. L</w:t>
      </w:r>
      <w:r w:rsidR="00B80D38">
        <w:rPr>
          <w:rFonts w:ascii="Arial" w:hAnsi="Arial"/>
          <w:sz w:val="21"/>
          <w:szCs w:val="21"/>
          <w:lang w:eastAsia="ar-SA"/>
        </w:rPr>
        <w:t>a crescita, generalizzata,</w:t>
      </w:r>
      <w:r w:rsidR="00BC3B34">
        <w:rPr>
          <w:rFonts w:ascii="Arial" w:hAnsi="Arial"/>
          <w:sz w:val="21"/>
          <w:szCs w:val="21"/>
          <w:lang w:eastAsia="ar-SA"/>
        </w:rPr>
        <w:t xml:space="preserve"> </w:t>
      </w:r>
      <w:r w:rsidR="00FC18AF">
        <w:rPr>
          <w:rFonts w:ascii="Arial" w:hAnsi="Arial"/>
          <w:sz w:val="21"/>
          <w:szCs w:val="21"/>
          <w:lang w:eastAsia="ar-SA"/>
        </w:rPr>
        <w:t>è</w:t>
      </w:r>
      <w:r w:rsidR="00525BE0">
        <w:rPr>
          <w:rFonts w:ascii="Arial" w:hAnsi="Arial"/>
          <w:sz w:val="21"/>
          <w:szCs w:val="21"/>
          <w:lang w:eastAsia="ar-SA"/>
        </w:rPr>
        <w:t xml:space="preserve"> molto </w:t>
      </w:r>
      <w:r w:rsidR="006B4B70" w:rsidRPr="0008231C">
        <w:rPr>
          <w:rFonts w:ascii="Arial" w:hAnsi="Arial"/>
          <w:sz w:val="21"/>
          <w:szCs w:val="21"/>
          <w:lang w:eastAsia="ar-SA"/>
        </w:rPr>
        <w:t>accentuat</w:t>
      </w:r>
      <w:r w:rsidR="00B80D38">
        <w:rPr>
          <w:rFonts w:ascii="Arial" w:hAnsi="Arial"/>
          <w:sz w:val="21"/>
          <w:szCs w:val="21"/>
          <w:lang w:eastAsia="ar-SA"/>
        </w:rPr>
        <w:t>a</w:t>
      </w:r>
      <w:r w:rsidR="006B4B70" w:rsidRPr="0008231C">
        <w:rPr>
          <w:rFonts w:ascii="Arial" w:hAnsi="Arial"/>
          <w:sz w:val="21"/>
          <w:szCs w:val="21"/>
          <w:lang w:eastAsia="ar-SA"/>
        </w:rPr>
        <w:t xml:space="preserve"> per </w:t>
      </w:r>
      <w:r w:rsidR="001F1EBF" w:rsidRPr="0008231C">
        <w:rPr>
          <w:rFonts w:ascii="Arial" w:hAnsi="Arial"/>
          <w:sz w:val="21"/>
          <w:szCs w:val="21"/>
          <w:lang w:eastAsia="ar-SA"/>
        </w:rPr>
        <w:t>energia (+</w:t>
      </w:r>
      <w:r w:rsidR="007775B3">
        <w:rPr>
          <w:rFonts w:ascii="Arial" w:hAnsi="Arial"/>
          <w:sz w:val="21"/>
          <w:szCs w:val="21"/>
          <w:lang w:eastAsia="ar-SA"/>
        </w:rPr>
        <w:t>50</w:t>
      </w:r>
      <w:r w:rsidR="00683837" w:rsidRPr="0008231C">
        <w:rPr>
          <w:rFonts w:ascii="Arial" w:hAnsi="Arial"/>
          <w:sz w:val="21"/>
          <w:szCs w:val="21"/>
          <w:lang w:eastAsia="ar-SA"/>
        </w:rPr>
        <w:t>,</w:t>
      </w:r>
      <w:r w:rsidR="007775B3">
        <w:rPr>
          <w:rFonts w:ascii="Arial" w:hAnsi="Arial"/>
          <w:sz w:val="21"/>
          <w:szCs w:val="21"/>
          <w:lang w:eastAsia="ar-SA"/>
        </w:rPr>
        <w:t>3</w:t>
      </w:r>
      <w:r w:rsidR="00B10BC9" w:rsidRPr="0008231C">
        <w:rPr>
          <w:rFonts w:ascii="Arial" w:hAnsi="Arial"/>
          <w:sz w:val="21"/>
          <w:szCs w:val="21"/>
          <w:lang w:eastAsia="ar-SA"/>
        </w:rPr>
        <w:t>%)</w:t>
      </w:r>
      <w:r w:rsidR="00B80D38">
        <w:rPr>
          <w:rFonts w:ascii="Arial" w:hAnsi="Arial"/>
          <w:sz w:val="21"/>
          <w:szCs w:val="21"/>
          <w:lang w:eastAsia="ar-SA"/>
        </w:rPr>
        <w:t xml:space="preserve"> </w:t>
      </w:r>
      <w:r w:rsidR="00FC18AF">
        <w:rPr>
          <w:rFonts w:ascii="Arial" w:hAnsi="Arial"/>
          <w:sz w:val="21"/>
          <w:szCs w:val="21"/>
          <w:lang w:eastAsia="ar-SA"/>
        </w:rPr>
        <w:t>e</w:t>
      </w:r>
      <w:r w:rsidR="00B80D38">
        <w:rPr>
          <w:rFonts w:ascii="Arial" w:hAnsi="Arial"/>
          <w:sz w:val="21"/>
          <w:szCs w:val="21"/>
          <w:lang w:eastAsia="ar-SA"/>
        </w:rPr>
        <w:t xml:space="preserve"> b</w:t>
      </w:r>
      <w:r w:rsidR="007775B3">
        <w:rPr>
          <w:rFonts w:ascii="Arial" w:hAnsi="Arial"/>
          <w:sz w:val="21"/>
          <w:szCs w:val="21"/>
          <w:lang w:eastAsia="ar-SA"/>
        </w:rPr>
        <w:t>eni di consumo non durevoli (+33,3</w:t>
      </w:r>
      <w:r w:rsidR="00B80D38">
        <w:rPr>
          <w:rFonts w:ascii="Arial" w:hAnsi="Arial"/>
          <w:sz w:val="21"/>
          <w:szCs w:val="21"/>
          <w:lang w:eastAsia="ar-SA"/>
        </w:rPr>
        <w:t>%)</w:t>
      </w:r>
      <w:r w:rsidR="00B10BC9" w:rsidRPr="0008231C">
        <w:rPr>
          <w:rFonts w:ascii="Arial" w:hAnsi="Arial"/>
          <w:sz w:val="21"/>
          <w:szCs w:val="21"/>
          <w:lang w:eastAsia="ar-SA"/>
        </w:rPr>
        <w:t>.</w:t>
      </w:r>
      <w:r w:rsidR="0027636B">
        <w:rPr>
          <w:rFonts w:ascii="Arial" w:hAnsi="Arial"/>
          <w:sz w:val="21"/>
          <w:szCs w:val="21"/>
          <w:lang w:eastAsia="ar-SA"/>
        </w:rPr>
        <w:t xml:space="preserve"> </w:t>
      </w:r>
      <w:r w:rsidR="002F33E3" w:rsidRPr="0008231C">
        <w:rPr>
          <w:rFonts w:ascii="Arial" w:hAnsi="Arial"/>
          <w:sz w:val="21"/>
          <w:szCs w:val="21"/>
          <w:lang w:eastAsia="ar-SA"/>
        </w:rPr>
        <w:t xml:space="preserve">L’import </w:t>
      </w:r>
      <w:r w:rsidR="00FC18AF">
        <w:rPr>
          <w:rFonts w:ascii="Arial" w:hAnsi="Arial"/>
          <w:sz w:val="21"/>
          <w:szCs w:val="21"/>
          <w:lang w:eastAsia="ar-SA"/>
        </w:rPr>
        <w:t>registra</w:t>
      </w:r>
      <w:r w:rsidR="00F028E8" w:rsidRPr="0008231C">
        <w:rPr>
          <w:rFonts w:ascii="Arial" w:hAnsi="Arial"/>
          <w:sz w:val="21"/>
          <w:szCs w:val="21"/>
          <w:lang w:eastAsia="ar-SA"/>
        </w:rPr>
        <w:t xml:space="preserve"> un</w:t>
      </w:r>
      <w:r w:rsidR="00FC18AF">
        <w:rPr>
          <w:rFonts w:ascii="Arial" w:hAnsi="Arial"/>
          <w:sz w:val="21"/>
          <w:szCs w:val="21"/>
          <w:lang w:eastAsia="ar-SA"/>
        </w:rPr>
        <w:t>a crescita tendenziale</w:t>
      </w:r>
      <w:r w:rsidR="002F33E3" w:rsidRPr="0008231C">
        <w:rPr>
          <w:rFonts w:ascii="Arial" w:hAnsi="Arial"/>
          <w:sz w:val="21"/>
          <w:szCs w:val="21"/>
          <w:lang w:eastAsia="ar-SA"/>
        </w:rPr>
        <w:t xml:space="preserve"> </w:t>
      </w:r>
      <w:r w:rsidR="007775B3">
        <w:rPr>
          <w:rFonts w:ascii="Arial" w:hAnsi="Arial"/>
          <w:sz w:val="21"/>
          <w:szCs w:val="21"/>
          <w:lang w:eastAsia="ar-SA"/>
        </w:rPr>
        <w:t>del 62,3</w:t>
      </w:r>
      <w:r w:rsidR="00525BE0">
        <w:rPr>
          <w:rFonts w:ascii="Arial" w:hAnsi="Arial"/>
          <w:sz w:val="21"/>
          <w:szCs w:val="21"/>
          <w:lang w:eastAsia="ar-SA"/>
        </w:rPr>
        <w:t>%</w:t>
      </w:r>
      <w:r w:rsidR="002F33E3" w:rsidRPr="0008231C">
        <w:rPr>
          <w:rFonts w:ascii="Arial" w:hAnsi="Arial"/>
          <w:sz w:val="21"/>
          <w:szCs w:val="21"/>
          <w:lang w:eastAsia="ar-SA"/>
        </w:rPr>
        <w:t xml:space="preserve">, </w:t>
      </w:r>
      <w:r w:rsidR="0008231C" w:rsidRPr="0008231C">
        <w:rPr>
          <w:rFonts w:ascii="Arial" w:hAnsi="Arial"/>
          <w:sz w:val="21"/>
          <w:szCs w:val="21"/>
          <w:lang w:eastAsia="ar-SA"/>
        </w:rPr>
        <w:t>anch’ess</w:t>
      </w:r>
      <w:r w:rsidR="00FC18AF">
        <w:rPr>
          <w:rFonts w:ascii="Arial" w:hAnsi="Arial"/>
          <w:sz w:val="21"/>
          <w:szCs w:val="21"/>
          <w:lang w:eastAsia="ar-SA"/>
        </w:rPr>
        <w:t>a</w:t>
      </w:r>
      <w:r w:rsidR="0008231C" w:rsidRPr="0008231C">
        <w:rPr>
          <w:rFonts w:ascii="Arial" w:hAnsi="Arial"/>
          <w:sz w:val="21"/>
          <w:szCs w:val="21"/>
          <w:lang w:eastAsia="ar-SA"/>
        </w:rPr>
        <w:t xml:space="preserve"> </w:t>
      </w:r>
      <w:r w:rsidR="00B15421">
        <w:rPr>
          <w:rFonts w:ascii="Arial" w:hAnsi="Arial"/>
          <w:sz w:val="21"/>
          <w:szCs w:val="21"/>
          <w:lang w:eastAsia="ar-SA"/>
        </w:rPr>
        <w:t>diffus</w:t>
      </w:r>
      <w:r w:rsidR="00FC18AF">
        <w:rPr>
          <w:rFonts w:ascii="Arial" w:hAnsi="Arial"/>
          <w:sz w:val="21"/>
          <w:szCs w:val="21"/>
          <w:lang w:eastAsia="ar-SA"/>
        </w:rPr>
        <w:t>a</w:t>
      </w:r>
      <w:r w:rsidR="00B15421">
        <w:rPr>
          <w:rFonts w:ascii="Arial" w:hAnsi="Arial"/>
          <w:sz w:val="21"/>
          <w:szCs w:val="21"/>
          <w:lang w:eastAsia="ar-SA"/>
        </w:rPr>
        <w:t xml:space="preserve"> </w:t>
      </w:r>
      <w:r w:rsidR="00FC18AF">
        <w:rPr>
          <w:rFonts w:ascii="Arial" w:hAnsi="Arial"/>
          <w:sz w:val="21"/>
          <w:szCs w:val="21"/>
          <w:lang w:eastAsia="ar-SA"/>
        </w:rPr>
        <w:t xml:space="preserve">e </w:t>
      </w:r>
      <w:r w:rsidR="005D6DDF">
        <w:rPr>
          <w:rFonts w:ascii="Arial" w:hAnsi="Arial"/>
          <w:sz w:val="21"/>
          <w:szCs w:val="21"/>
          <w:lang w:eastAsia="ar-SA"/>
        </w:rPr>
        <w:t>molto</w:t>
      </w:r>
      <w:r w:rsidR="002F33E3" w:rsidRPr="0008231C">
        <w:rPr>
          <w:rFonts w:ascii="Arial" w:hAnsi="Arial"/>
          <w:sz w:val="21"/>
          <w:szCs w:val="21"/>
          <w:lang w:eastAsia="ar-SA"/>
        </w:rPr>
        <w:t xml:space="preserve"> </w:t>
      </w:r>
      <w:r w:rsidR="00FE29A6" w:rsidRPr="0008231C">
        <w:rPr>
          <w:rFonts w:ascii="Arial" w:hAnsi="Arial"/>
          <w:sz w:val="21"/>
          <w:szCs w:val="21"/>
          <w:lang w:eastAsia="ar-SA"/>
        </w:rPr>
        <w:t>elevat</w:t>
      </w:r>
      <w:r w:rsidR="00FC18AF">
        <w:rPr>
          <w:rFonts w:ascii="Arial" w:hAnsi="Arial"/>
          <w:sz w:val="21"/>
          <w:szCs w:val="21"/>
          <w:lang w:eastAsia="ar-SA"/>
        </w:rPr>
        <w:t>a</w:t>
      </w:r>
      <w:r w:rsidR="00FE29A6" w:rsidRPr="0008231C">
        <w:rPr>
          <w:rFonts w:ascii="Arial" w:hAnsi="Arial"/>
          <w:sz w:val="21"/>
          <w:szCs w:val="21"/>
          <w:lang w:eastAsia="ar-SA"/>
        </w:rPr>
        <w:t xml:space="preserve"> </w:t>
      </w:r>
      <w:r w:rsidR="00DE6DCD" w:rsidRPr="0008231C">
        <w:rPr>
          <w:rFonts w:ascii="Arial" w:hAnsi="Arial"/>
          <w:sz w:val="21"/>
          <w:szCs w:val="21"/>
          <w:lang w:eastAsia="ar-SA"/>
        </w:rPr>
        <w:t xml:space="preserve">per energia </w:t>
      </w:r>
      <w:r w:rsidR="002269AE">
        <w:rPr>
          <w:rFonts w:ascii="Arial" w:hAnsi="Arial"/>
          <w:sz w:val="21"/>
          <w:szCs w:val="21"/>
          <w:lang w:eastAsia="ar-SA"/>
        </w:rPr>
        <w:t>(</w:t>
      </w:r>
      <w:r w:rsidR="007775B3">
        <w:rPr>
          <w:rFonts w:ascii="Arial" w:hAnsi="Arial"/>
          <w:sz w:val="21"/>
          <w:szCs w:val="21"/>
          <w:lang w:eastAsia="ar-SA"/>
        </w:rPr>
        <w:t>+176,9</w:t>
      </w:r>
      <w:r w:rsidR="00F028E8" w:rsidRPr="0008231C">
        <w:rPr>
          <w:rFonts w:ascii="Arial" w:hAnsi="Arial"/>
          <w:sz w:val="21"/>
          <w:szCs w:val="21"/>
          <w:lang w:eastAsia="ar-SA"/>
        </w:rPr>
        <w:t>%)</w:t>
      </w:r>
      <w:r w:rsidR="000469E5" w:rsidRPr="0008231C">
        <w:rPr>
          <w:rFonts w:ascii="Arial" w:hAnsi="Arial"/>
          <w:sz w:val="21"/>
          <w:szCs w:val="21"/>
          <w:lang w:eastAsia="ar-SA"/>
        </w:rPr>
        <w:t>.</w:t>
      </w:r>
    </w:p>
    <w:p w14:paraId="1C253E16" w14:textId="43065F07" w:rsidR="0018754B" w:rsidRPr="000E4C04" w:rsidRDefault="006B4B70" w:rsidP="000E4C04">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18754B">
        <w:rPr>
          <w:rFonts w:ascii="Arial" w:hAnsi="Arial"/>
          <w:sz w:val="21"/>
          <w:szCs w:val="21"/>
          <w:lang w:eastAsia="ar-SA"/>
        </w:rPr>
        <w:t>A</w:t>
      </w:r>
      <w:r w:rsidR="008B0FB9">
        <w:rPr>
          <w:rFonts w:ascii="Arial" w:hAnsi="Arial"/>
          <w:sz w:val="21"/>
          <w:szCs w:val="21"/>
          <w:lang w:eastAsia="ar-SA"/>
        </w:rPr>
        <w:t xml:space="preserve"> settembre </w:t>
      </w:r>
      <w:r w:rsidRPr="0018754B">
        <w:rPr>
          <w:rFonts w:ascii="Arial" w:hAnsi="Arial"/>
          <w:sz w:val="21"/>
          <w:szCs w:val="21"/>
          <w:lang w:eastAsia="ar-SA"/>
        </w:rPr>
        <w:t>2022 il disavanzo commerciale con</w:t>
      </w:r>
      <w:r w:rsidR="00823E9B" w:rsidRPr="0018754B">
        <w:rPr>
          <w:rFonts w:ascii="Arial" w:hAnsi="Arial"/>
          <w:sz w:val="21"/>
          <w:szCs w:val="21"/>
          <w:lang w:eastAsia="ar-SA"/>
        </w:rPr>
        <w:t xml:space="preserve"> i paesi extra Ue è pari a</w:t>
      </w:r>
      <w:r w:rsidR="00875135">
        <w:rPr>
          <w:rFonts w:ascii="Arial" w:hAnsi="Arial"/>
          <w:sz w:val="21"/>
          <w:szCs w:val="21"/>
          <w:lang w:eastAsia="ar-SA"/>
        </w:rPr>
        <w:t xml:space="preserve"> </w:t>
      </w:r>
      <w:r w:rsidR="007C4FE8">
        <w:rPr>
          <w:rFonts w:ascii="Arial" w:hAnsi="Arial"/>
          <w:sz w:val="21"/>
          <w:szCs w:val="21"/>
          <w:lang w:eastAsia="ar-SA"/>
        </w:rPr>
        <w:t>-</w:t>
      </w:r>
      <w:r w:rsidR="007775B3">
        <w:rPr>
          <w:rFonts w:ascii="Arial" w:hAnsi="Arial"/>
          <w:sz w:val="21"/>
          <w:szCs w:val="21"/>
          <w:lang w:eastAsia="ar-SA"/>
        </w:rPr>
        <w:t>5.440</w:t>
      </w:r>
      <w:r w:rsidRPr="0018754B">
        <w:rPr>
          <w:rFonts w:ascii="Arial" w:hAnsi="Arial"/>
          <w:sz w:val="21"/>
          <w:szCs w:val="21"/>
          <w:lang w:eastAsia="ar-SA"/>
        </w:rPr>
        <w:t xml:space="preserve"> milioni</w:t>
      </w:r>
      <w:r w:rsidR="004A55E8" w:rsidRPr="0018754B">
        <w:rPr>
          <w:rFonts w:ascii="Arial" w:hAnsi="Arial"/>
          <w:sz w:val="21"/>
          <w:szCs w:val="21"/>
          <w:lang w:eastAsia="ar-SA"/>
        </w:rPr>
        <w:t xml:space="preserve">, a fronte di un </w:t>
      </w:r>
      <w:r w:rsidR="00CF1724">
        <w:rPr>
          <w:rFonts w:ascii="Arial" w:hAnsi="Arial"/>
          <w:sz w:val="21"/>
          <w:szCs w:val="21"/>
          <w:lang w:eastAsia="ar-SA"/>
        </w:rPr>
        <w:t>avanzo di 1.</w:t>
      </w:r>
      <w:r w:rsidR="007775B3">
        <w:rPr>
          <w:rFonts w:ascii="Arial" w:hAnsi="Arial"/>
          <w:sz w:val="21"/>
          <w:szCs w:val="21"/>
          <w:lang w:eastAsia="ar-SA"/>
        </w:rPr>
        <w:t>063</w:t>
      </w:r>
      <w:r w:rsidRPr="0018754B">
        <w:rPr>
          <w:rFonts w:ascii="Arial" w:hAnsi="Arial"/>
          <w:sz w:val="21"/>
          <w:szCs w:val="21"/>
          <w:lang w:eastAsia="ar-SA"/>
        </w:rPr>
        <w:t xml:space="preserve"> milioni dello stesso mese del</w:t>
      </w:r>
      <w:r w:rsidR="003204A0" w:rsidRPr="0018754B">
        <w:rPr>
          <w:rFonts w:ascii="Arial" w:hAnsi="Arial"/>
          <w:sz w:val="21"/>
          <w:szCs w:val="21"/>
          <w:lang w:eastAsia="ar-SA"/>
        </w:rPr>
        <w:t xml:space="preserve"> 2021. Il deficit energetico</w:t>
      </w:r>
      <w:r w:rsidR="00EC7D47">
        <w:rPr>
          <w:rFonts w:ascii="Arial" w:hAnsi="Arial"/>
          <w:sz w:val="21"/>
          <w:szCs w:val="21"/>
          <w:lang w:eastAsia="ar-SA"/>
        </w:rPr>
        <w:t xml:space="preserve"> raggiunge</w:t>
      </w:r>
      <w:r w:rsidR="007C4FE8">
        <w:rPr>
          <w:rFonts w:ascii="Arial" w:hAnsi="Arial"/>
          <w:sz w:val="21"/>
          <w:szCs w:val="21"/>
          <w:lang w:eastAsia="ar-SA"/>
        </w:rPr>
        <w:t xml:space="preserve">, in valore assoluto, </w:t>
      </w:r>
      <w:r w:rsidR="00EC7D47">
        <w:rPr>
          <w:rFonts w:ascii="Arial" w:hAnsi="Arial"/>
          <w:sz w:val="21"/>
          <w:szCs w:val="21"/>
          <w:lang w:eastAsia="ar-SA"/>
        </w:rPr>
        <w:t xml:space="preserve">i </w:t>
      </w:r>
      <w:r w:rsidR="000E4C04">
        <w:rPr>
          <w:rFonts w:ascii="Arial" w:hAnsi="Arial"/>
          <w:sz w:val="21"/>
          <w:szCs w:val="21"/>
          <w:lang w:eastAsia="ar-SA"/>
        </w:rPr>
        <w:t>12.096</w:t>
      </w:r>
      <w:r w:rsidRPr="0018754B">
        <w:rPr>
          <w:rFonts w:ascii="Arial" w:hAnsi="Arial"/>
          <w:sz w:val="21"/>
          <w:szCs w:val="21"/>
          <w:lang w:eastAsia="ar-SA"/>
        </w:rPr>
        <w:t xml:space="preserve"> milioni</w:t>
      </w:r>
      <w:r w:rsidR="00EC7D47">
        <w:rPr>
          <w:rFonts w:ascii="Arial" w:hAnsi="Arial"/>
          <w:sz w:val="21"/>
          <w:szCs w:val="21"/>
          <w:lang w:eastAsia="ar-SA"/>
        </w:rPr>
        <w:t xml:space="preserve"> (era pari a </w:t>
      </w:r>
      <w:r w:rsidR="0021532E">
        <w:rPr>
          <w:rFonts w:ascii="Arial" w:hAnsi="Arial"/>
          <w:sz w:val="21"/>
          <w:szCs w:val="21"/>
          <w:lang w:eastAsia="ar-SA"/>
        </w:rPr>
        <w:t>-</w:t>
      </w:r>
      <w:r w:rsidR="00A90A01">
        <w:rPr>
          <w:rFonts w:ascii="Arial" w:hAnsi="Arial"/>
          <w:sz w:val="21"/>
          <w:szCs w:val="21"/>
          <w:lang w:eastAsia="ar-SA"/>
        </w:rPr>
        <w:t>4</w:t>
      </w:r>
      <w:r w:rsidR="00F804F2" w:rsidRPr="0018754B">
        <w:rPr>
          <w:rFonts w:ascii="Arial" w:hAnsi="Arial"/>
          <w:sz w:val="21"/>
          <w:szCs w:val="21"/>
          <w:lang w:eastAsia="ar-SA"/>
        </w:rPr>
        <w:t>.</w:t>
      </w:r>
      <w:r w:rsidR="00A90A01">
        <w:rPr>
          <w:rFonts w:ascii="Arial" w:hAnsi="Arial"/>
          <w:sz w:val="21"/>
          <w:szCs w:val="21"/>
          <w:lang w:eastAsia="ar-SA"/>
        </w:rPr>
        <w:t>034</w:t>
      </w:r>
      <w:r w:rsidRPr="000E4C04">
        <w:rPr>
          <w:rFonts w:ascii="Arial" w:hAnsi="Arial"/>
          <w:sz w:val="21"/>
          <w:szCs w:val="21"/>
          <w:lang w:eastAsia="ar-SA"/>
        </w:rPr>
        <w:t xml:space="preserve"> milioni</w:t>
      </w:r>
      <w:r w:rsidR="00EC7D47" w:rsidRPr="000E4C04">
        <w:rPr>
          <w:rFonts w:ascii="Arial" w:hAnsi="Arial"/>
          <w:sz w:val="21"/>
          <w:szCs w:val="21"/>
          <w:lang w:eastAsia="ar-SA"/>
        </w:rPr>
        <w:t xml:space="preserve"> un anno prima</w:t>
      </w:r>
      <w:r w:rsidR="0018754B" w:rsidRPr="000E4C04">
        <w:rPr>
          <w:rFonts w:ascii="Arial" w:hAnsi="Arial"/>
          <w:sz w:val="21"/>
          <w:szCs w:val="21"/>
          <w:lang w:eastAsia="ar-SA"/>
        </w:rPr>
        <w:t>)</w:t>
      </w:r>
      <w:r w:rsidR="005D6DDF">
        <w:rPr>
          <w:rFonts w:ascii="Arial" w:hAnsi="Arial"/>
          <w:sz w:val="21"/>
          <w:szCs w:val="21"/>
          <w:lang w:eastAsia="ar-SA"/>
        </w:rPr>
        <w:t xml:space="preserve"> </w:t>
      </w:r>
      <w:r w:rsidR="0093029A">
        <w:rPr>
          <w:rFonts w:ascii="Arial" w:hAnsi="Arial"/>
          <w:sz w:val="21"/>
          <w:szCs w:val="21"/>
          <w:lang w:eastAsia="ar-SA"/>
        </w:rPr>
        <w:t>m</w:t>
      </w:r>
      <w:r w:rsidR="00AA6234">
        <w:rPr>
          <w:rFonts w:ascii="Arial" w:hAnsi="Arial"/>
          <w:sz w:val="21"/>
          <w:szCs w:val="21"/>
          <w:lang w:eastAsia="ar-SA"/>
        </w:rPr>
        <w:t>entre</w:t>
      </w:r>
      <w:r w:rsidR="005C4BE6">
        <w:rPr>
          <w:rFonts w:ascii="Arial" w:hAnsi="Arial"/>
          <w:sz w:val="21"/>
          <w:szCs w:val="21"/>
          <w:lang w:eastAsia="ar-SA"/>
        </w:rPr>
        <w:t xml:space="preserve"> </w:t>
      </w:r>
      <w:r w:rsidR="005D6DDF">
        <w:rPr>
          <w:rFonts w:ascii="Arial" w:hAnsi="Arial"/>
          <w:sz w:val="21"/>
          <w:szCs w:val="21"/>
          <w:lang w:eastAsia="ar-SA"/>
        </w:rPr>
        <w:t>l</w:t>
      </w:r>
      <w:r w:rsidR="00B10BC9" w:rsidRPr="000E4C04">
        <w:rPr>
          <w:rFonts w:ascii="Arial" w:hAnsi="Arial"/>
          <w:sz w:val="21"/>
          <w:szCs w:val="21"/>
          <w:lang w:eastAsia="ar-SA"/>
        </w:rPr>
        <w:t>’avanzo nell’interscambio di prodotti</w:t>
      </w:r>
      <w:r w:rsidR="0093507A" w:rsidRPr="000E4C04">
        <w:rPr>
          <w:rFonts w:ascii="Arial" w:hAnsi="Arial"/>
          <w:sz w:val="21"/>
          <w:szCs w:val="21"/>
          <w:lang w:eastAsia="ar-SA"/>
        </w:rPr>
        <w:t xml:space="preserve"> non energetici</w:t>
      </w:r>
      <w:r w:rsidR="00CF1724" w:rsidRPr="000E4C04">
        <w:rPr>
          <w:rFonts w:ascii="Arial" w:hAnsi="Arial"/>
          <w:sz w:val="21"/>
          <w:szCs w:val="21"/>
          <w:lang w:eastAsia="ar-SA"/>
        </w:rPr>
        <w:t xml:space="preserve"> </w:t>
      </w:r>
      <w:r w:rsidR="00A90A01">
        <w:rPr>
          <w:rFonts w:ascii="Arial" w:hAnsi="Arial"/>
          <w:sz w:val="21"/>
          <w:szCs w:val="21"/>
          <w:lang w:eastAsia="ar-SA"/>
        </w:rPr>
        <w:t>aumenta</w:t>
      </w:r>
      <w:r w:rsidR="00EC7D47" w:rsidRPr="000E4C04">
        <w:rPr>
          <w:rFonts w:ascii="Arial" w:hAnsi="Arial"/>
          <w:sz w:val="21"/>
          <w:szCs w:val="21"/>
          <w:lang w:eastAsia="ar-SA"/>
        </w:rPr>
        <w:t xml:space="preserve"> da </w:t>
      </w:r>
      <w:r w:rsidR="00A90A01">
        <w:rPr>
          <w:rFonts w:ascii="Arial" w:hAnsi="Arial"/>
          <w:sz w:val="21"/>
          <w:szCs w:val="21"/>
          <w:lang w:eastAsia="ar-SA"/>
        </w:rPr>
        <w:t>5</w:t>
      </w:r>
      <w:r w:rsidR="00EC7D47" w:rsidRPr="000E4C04">
        <w:rPr>
          <w:rFonts w:ascii="Arial" w:hAnsi="Arial"/>
          <w:sz w:val="21"/>
          <w:szCs w:val="21"/>
          <w:lang w:eastAsia="ar-SA"/>
        </w:rPr>
        <w:t>.</w:t>
      </w:r>
      <w:r w:rsidR="00A90A01">
        <w:rPr>
          <w:rFonts w:ascii="Arial" w:hAnsi="Arial"/>
          <w:sz w:val="21"/>
          <w:szCs w:val="21"/>
          <w:lang w:eastAsia="ar-SA"/>
        </w:rPr>
        <w:t>096</w:t>
      </w:r>
      <w:r w:rsidR="00EC7D47" w:rsidRPr="000E4C04">
        <w:rPr>
          <w:rFonts w:ascii="Arial" w:hAnsi="Arial"/>
          <w:sz w:val="21"/>
          <w:szCs w:val="21"/>
          <w:lang w:eastAsia="ar-SA"/>
        </w:rPr>
        <w:t xml:space="preserve"> milioni per </w:t>
      </w:r>
      <w:r w:rsidR="008B0FB9" w:rsidRPr="000E4C04">
        <w:rPr>
          <w:rFonts w:ascii="Arial" w:hAnsi="Arial"/>
          <w:sz w:val="21"/>
          <w:szCs w:val="21"/>
          <w:lang w:eastAsia="ar-SA"/>
        </w:rPr>
        <w:t xml:space="preserve">settembre </w:t>
      </w:r>
      <w:r w:rsidR="00EC7D47" w:rsidRPr="000E4C04">
        <w:rPr>
          <w:rFonts w:ascii="Arial" w:hAnsi="Arial"/>
          <w:sz w:val="21"/>
          <w:szCs w:val="21"/>
          <w:lang w:eastAsia="ar-SA"/>
        </w:rPr>
        <w:t xml:space="preserve">2021 </w:t>
      </w:r>
      <w:r w:rsidR="0018754B" w:rsidRPr="000E4C04">
        <w:rPr>
          <w:rFonts w:ascii="Arial" w:hAnsi="Arial"/>
          <w:sz w:val="21"/>
          <w:szCs w:val="21"/>
          <w:lang w:eastAsia="ar-SA"/>
        </w:rPr>
        <w:t xml:space="preserve">a </w:t>
      </w:r>
      <w:r w:rsidR="00A90A01">
        <w:rPr>
          <w:rFonts w:ascii="Arial" w:hAnsi="Arial"/>
          <w:sz w:val="21"/>
          <w:szCs w:val="21"/>
          <w:lang w:eastAsia="ar-SA"/>
        </w:rPr>
        <w:t>6</w:t>
      </w:r>
      <w:r w:rsidR="0018754B" w:rsidRPr="000E4C04">
        <w:rPr>
          <w:rFonts w:ascii="Arial" w:hAnsi="Arial"/>
          <w:sz w:val="21"/>
          <w:szCs w:val="21"/>
          <w:lang w:eastAsia="ar-SA"/>
        </w:rPr>
        <w:t>.</w:t>
      </w:r>
      <w:r w:rsidR="00A90A01">
        <w:rPr>
          <w:rFonts w:ascii="Arial" w:hAnsi="Arial"/>
          <w:sz w:val="21"/>
          <w:szCs w:val="21"/>
          <w:lang w:eastAsia="ar-SA"/>
        </w:rPr>
        <w:t>656</w:t>
      </w:r>
      <w:r w:rsidR="0018754B" w:rsidRPr="000E4C04">
        <w:rPr>
          <w:rFonts w:ascii="Arial" w:hAnsi="Arial"/>
          <w:sz w:val="21"/>
          <w:szCs w:val="21"/>
          <w:lang w:eastAsia="ar-SA"/>
        </w:rPr>
        <w:t xml:space="preserve"> milioni</w:t>
      </w:r>
      <w:r w:rsidR="00EC7D47" w:rsidRPr="000E4C04">
        <w:rPr>
          <w:rFonts w:ascii="Arial" w:hAnsi="Arial"/>
          <w:sz w:val="21"/>
          <w:szCs w:val="21"/>
          <w:lang w:eastAsia="ar-SA"/>
        </w:rPr>
        <w:t xml:space="preserve"> per </w:t>
      </w:r>
      <w:r w:rsidR="008B0FB9" w:rsidRPr="000E4C04">
        <w:rPr>
          <w:rFonts w:ascii="Arial" w:hAnsi="Arial"/>
          <w:sz w:val="21"/>
          <w:szCs w:val="21"/>
          <w:lang w:eastAsia="ar-SA"/>
        </w:rPr>
        <w:t xml:space="preserve">settembre </w:t>
      </w:r>
      <w:r w:rsidR="00EC7D47" w:rsidRPr="000E4C04">
        <w:rPr>
          <w:rFonts w:ascii="Arial" w:hAnsi="Arial"/>
          <w:sz w:val="21"/>
          <w:szCs w:val="21"/>
          <w:lang w:eastAsia="ar-SA"/>
        </w:rPr>
        <w:t>2022</w:t>
      </w:r>
      <w:r w:rsidR="0018754B" w:rsidRPr="000E4C04">
        <w:rPr>
          <w:rFonts w:ascii="Arial" w:hAnsi="Arial"/>
          <w:sz w:val="21"/>
          <w:szCs w:val="21"/>
          <w:lang w:eastAsia="ar-SA"/>
        </w:rPr>
        <w:t>.</w:t>
      </w:r>
    </w:p>
    <w:p w14:paraId="21401F92" w14:textId="18FA1B9C" w:rsidR="00B10BC9" w:rsidRPr="0086368E" w:rsidRDefault="00B10BC9" w:rsidP="00C35C46">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86368E">
        <w:rPr>
          <w:rFonts w:ascii="Arial" w:hAnsi="Arial"/>
          <w:sz w:val="21"/>
          <w:szCs w:val="21"/>
          <w:lang w:eastAsia="ar-SA"/>
        </w:rPr>
        <w:t>A</w:t>
      </w:r>
      <w:r w:rsidR="008B0FB9">
        <w:rPr>
          <w:rFonts w:ascii="Arial" w:hAnsi="Arial"/>
          <w:sz w:val="21"/>
          <w:szCs w:val="21"/>
          <w:lang w:eastAsia="ar-SA"/>
        </w:rPr>
        <w:t xml:space="preserve"> settembre </w:t>
      </w:r>
      <w:r w:rsidR="00737562" w:rsidRPr="0086368E">
        <w:rPr>
          <w:rFonts w:ascii="Arial" w:hAnsi="Arial"/>
          <w:sz w:val="21"/>
          <w:szCs w:val="21"/>
          <w:lang w:eastAsia="ar-SA"/>
        </w:rPr>
        <w:t>2022</w:t>
      </w:r>
      <w:r w:rsidR="00AC7BC9" w:rsidRPr="0086368E">
        <w:rPr>
          <w:rFonts w:ascii="Arial" w:hAnsi="Arial"/>
          <w:sz w:val="21"/>
          <w:szCs w:val="21"/>
          <w:lang w:eastAsia="ar-SA"/>
        </w:rPr>
        <w:t xml:space="preserve"> si r</w:t>
      </w:r>
      <w:r w:rsidR="00770709" w:rsidRPr="0086368E">
        <w:rPr>
          <w:rFonts w:ascii="Arial" w:hAnsi="Arial"/>
          <w:sz w:val="21"/>
          <w:szCs w:val="21"/>
          <w:lang w:eastAsia="ar-SA"/>
        </w:rPr>
        <w:t>ilevano</w:t>
      </w:r>
      <w:r w:rsidR="00AC7BC9" w:rsidRPr="0086368E">
        <w:rPr>
          <w:rFonts w:ascii="Arial" w:hAnsi="Arial"/>
          <w:sz w:val="21"/>
          <w:szCs w:val="21"/>
          <w:lang w:eastAsia="ar-SA"/>
        </w:rPr>
        <w:t xml:space="preserve"> </w:t>
      </w:r>
      <w:r w:rsidRPr="0086368E">
        <w:rPr>
          <w:rFonts w:ascii="Arial" w:hAnsi="Arial"/>
          <w:sz w:val="21"/>
          <w:szCs w:val="21"/>
          <w:lang w:eastAsia="ar-SA"/>
        </w:rPr>
        <w:t>aument</w:t>
      </w:r>
      <w:r w:rsidR="00A518D4" w:rsidRPr="0086368E">
        <w:rPr>
          <w:rFonts w:ascii="Arial" w:hAnsi="Arial"/>
          <w:sz w:val="21"/>
          <w:szCs w:val="21"/>
          <w:lang w:eastAsia="ar-SA"/>
        </w:rPr>
        <w:t>i</w:t>
      </w:r>
      <w:r w:rsidRPr="0086368E">
        <w:rPr>
          <w:rFonts w:ascii="Arial" w:hAnsi="Arial"/>
          <w:sz w:val="21"/>
          <w:szCs w:val="21"/>
          <w:lang w:eastAsia="ar-SA"/>
        </w:rPr>
        <w:t xml:space="preserve"> su base annua </w:t>
      </w:r>
      <w:r w:rsidR="00991D22" w:rsidRPr="0086368E">
        <w:rPr>
          <w:rFonts w:ascii="Arial" w:hAnsi="Arial"/>
          <w:sz w:val="21"/>
          <w:szCs w:val="21"/>
          <w:lang w:eastAsia="ar-SA"/>
        </w:rPr>
        <w:t>del</w:t>
      </w:r>
      <w:r w:rsidR="001C1BB0">
        <w:rPr>
          <w:rFonts w:ascii="Arial" w:hAnsi="Arial"/>
          <w:sz w:val="21"/>
          <w:szCs w:val="21"/>
          <w:lang w:eastAsia="ar-SA"/>
        </w:rPr>
        <w:t>le esportazioni</w:t>
      </w:r>
      <w:r w:rsidR="00991D22" w:rsidRPr="0086368E">
        <w:rPr>
          <w:rFonts w:ascii="Arial" w:hAnsi="Arial"/>
          <w:sz w:val="21"/>
          <w:szCs w:val="21"/>
          <w:lang w:eastAsia="ar-SA"/>
        </w:rPr>
        <w:t xml:space="preserve"> </w:t>
      </w:r>
      <w:r w:rsidR="00AC7BC9" w:rsidRPr="0086368E">
        <w:rPr>
          <w:rFonts w:ascii="Arial" w:hAnsi="Arial"/>
          <w:sz w:val="21"/>
          <w:szCs w:val="21"/>
          <w:lang w:eastAsia="ar-SA"/>
        </w:rPr>
        <w:t>verso</w:t>
      </w:r>
      <w:r w:rsidR="004070CC">
        <w:rPr>
          <w:rFonts w:ascii="Arial" w:hAnsi="Arial"/>
          <w:sz w:val="21"/>
          <w:szCs w:val="21"/>
          <w:lang w:eastAsia="ar-SA"/>
        </w:rPr>
        <w:t xml:space="preserve"> </w:t>
      </w:r>
      <w:r w:rsidR="00A82D1E">
        <w:rPr>
          <w:rFonts w:ascii="Arial" w:hAnsi="Arial"/>
          <w:sz w:val="21"/>
          <w:szCs w:val="21"/>
          <w:lang w:eastAsia="ar-SA"/>
        </w:rPr>
        <w:t xml:space="preserve">quasi tutti </w:t>
      </w:r>
      <w:r w:rsidR="00E551BE">
        <w:rPr>
          <w:rFonts w:ascii="Arial" w:hAnsi="Arial"/>
          <w:sz w:val="21"/>
          <w:szCs w:val="21"/>
          <w:lang w:eastAsia="ar-SA"/>
        </w:rPr>
        <w:t xml:space="preserve">i </w:t>
      </w:r>
      <w:r w:rsidRPr="0086368E">
        <w:rPr>
          <w:rFonts w:ascii="Arial" w:hAnsi="Arial"/>
          <w:sz w:val="21"/>
          <w:szCs w:val="21"/>
          <w:lang w:eastAsia="ar-SA"/>
        </w:rPr>
        <w:t xml:space="preserve">principali paesi partner extra Ue27; </w:t>
      </w:r>
      <w:r w:rsidR="00991D22" w:rsidRPr="0086368E">
        <w:rPr>
          <w:rFonts w:ascii="Arial" w:hAnsi="Arial"/>
          <w:sz w:val="21"/>
          <w:szCs w:val="21"/>
          <w:lang w:eastAsia="ar-SA"/>
        </w:rPr>
        <w:t>i</w:t>
      </w:r>
      <w:r w:rsidRPr="0086368E">
        <w:rPr>
          <w:rFonts w:ascii="Arial" w:hAnsi="Arial"/>
          <w:sz w:val="21"/>
          <w:szCs w:val="21"/>
          <w:lang w:eastAsia="ar-SA"/>
        </w:rPr>
        <w:t xml:space="preserve"> più ampi riguardano</w:t>
      </w:r>
      <w:r w:rsidR="00B27DDF" w:rsidRPr="0086368E">
        <w:rPr>
          <w:rFonts w:ascii="Arial" w:hAnsi="Arial"/>
          <w:sz w:val="21"/>
          <w:szCs w:val="21"/>
          <w:lang w:eastAsia="ar-SA"/>
        </w:rPr>
        <w:t xml:space="preserve"> </w:t>
      </w:r>
      <w:r w:rsidR="00225162">
        <w:rPr>
          <w:rFonts w:ascii="Arial" w:hAnsi="Arial"/>
          <w:sz w:val="21"/>
          <w:szCs w:val="21"/>
          <w:lang w:eastAsia="ar-SA"/>
        </w:rPr>
        <w:t>Turchia (+</w:t>
      </w:r>
      <w:r w:rsidR="00810B84">
        <w:rPr>
          <w:rFonts w:ascii="Arial" w:hAnsi="Arial"/>
          <w:sz w:val="21"/>
          <w:szCs w:val="21"/>
          <w:lang w:eastAsia="ar-SA"/>
        </w:rPr>
        <w:t>49,7</w:t>
      </w:r>
      <w:r w:rsidR="00EF53AE">
        <w:rPr>
          <w:rFonts w:ascii="Arial" w:hAnsi="Arial"/>
          <w:sz w:val="21"/>
          <w:szCs w:val="21"/>
          <w:lang w:eastAsia="ar-SA"/>
        </w:rPr>
        <w:t xml:space="preserve">%), </w:t>
      </w:r>
      <w:r w:rsidR="00810B84">
        <w:rPr>
          <w:rFonts w:ascii="Arial" w:hAnsi="Arial"/>
          <w:sz w:val="21"/>
          <w:szCs w:val="21"/>
          <w:lang w:eastAsia="ar-SA"/>
        </w:rPr>
        <w:t>paesi OPEC (+49</w:t>
      </w:r>
      <w:r w:rsidR="00EF53AE">
        <w:rPr>
          <w:rFonts w:ascii="Arial" w:hAnsi="Arial"/>
          <w:sz w:val="21"/>
          <w:szCs w:val="21"/>
          <w:lang w:eastAsia="ar-SA"/>
        </w:rPr>
        <w:t>,</w:t>
      </w:r>
      <w:r w:rsidR="00810B84">
        <w:rPr>
          <w:rFonts w:ascii="Arial" w:hAnsi="Arial"/>
          <w:sz w:val="21"/>
          <w:szCs w:val="21"/>
          <w:lang w:eastAsia="ar-SA"/>
        </w:rPr>
        <w:t>0</w:t>
      </w:r>
      <w:r w:rsidR="00EF53AE">
        <w:rPr>
          <w:rFonts w:ascii="Arial" w:hAnsi="Arial"/>
          <w:sz w:val="21"/>
          <w:szCs w:val="21"/>
          <w:lang w:eastAsia="ar-SA"/>
        </w:rPr>
        <w:t>%)</w:t>
      </w:r>
      <w:r w:rsidR="00457F5D">
        <w:rPr>
          <w:rFonts w:ascii="Arial" w:hAnsi="Arial"/>
          <w:sz w:val="21"/>
          <w:szCs w:val="21"/>
          <w:lang w:eastAsia="ar-SA"/>
        </w:rPr>
        <w:t xml:space="preserve">, </w:t>
      </w:r>
      <w:r w:rsidR="00810B84">
        <w:rPr>
          <w:rFonts w:ascii="Arial" w:hAnsi="Arial"/>
          <w:sz w:val="21"/>
          <w:szCs w:val="21"/>
          <w:lang w:eastAsia="ar-SA"/>
        </w:rPr>
        <w:t>Stati Uniti (+48,5%) e paesi ASEAN (+35</w:t>
      </w:r>
      <w:r w:rsidR="00457F5D">
        <w:rPr>
          <w:rFonts w:ascii="Arial" w:hAnsi="Arial"/>
          <w:sz w:val="21"/>
          <w:szCs w:val="21"/>
          <w:lang w:eastAsia="ar-SA"/>
        </w:rPr>
        <w:t>,1%)</w:t>
      </w:r>
      <w:r w:rsidR="0029581D">
        <w:rPr>
          <w:rFonts w:ascii="Arial" w:hAnsi="Arial"/>
          <w:sz w:val="21"/>
          <w:szCs w:val="21"/>
          <w:lang w:eastAsia="ar-SA"/>
        </w:rPr>
        <w:t xml:space="preserve">. </w:t>
      </w:r>
      <w:r w:rsidR="0053297B">
        <w:rPr>
          <w:rFonts w:ascii="Arial" w:hAnsi="Arial"/>
          <w:sz w:val="21"/>
          <w:szCs w:val="21"/>
          <w:lang w:eastAsia="ar-SA"/>
        </w:rPr>
        <w:t>Si accentua</w:t>
      </w:r>
      <w:r w:rsidR="00BE0CBB">
        <w:rPr>
          <w:rFonts w:ascii="Arial" w:hAnsi="Arial"/>
          <w:sz w:val="21"/>
          <w:szCs w:val="21"/>
          <w:lang w:eastAsia="ar-SA"/>
        </w:rPr>
        <w:t xml:space="preserve"> la contrazione</w:t>
      </w:r>
      <w:r w:rsidR="001C1BB0">
        <w:rPr>
          <w:rFonts w:ascii="Arial" w:hAnsi="Arial"/>
          <w:sz w:val="21"/>
          <w:szCs w:val="21"/>
          <w:lang w:eastAsia="ar-SA"/>
        </w:rPr>
        <w:t xml:space="preserve"> dell</w:t>
      </w:r>
      <w:r w:rsidR="005C4BE6">
        <w:rPr>
          <w:rFonts w:ascii="Arial" w:hAnsi="Arial"/>
          <w:sz w:val="21"/>
          <w:szCs w:val="21"/>
          <w:lang w:eastAsia="ar-SA"/>
        </w:rPr>
        <w:t>’export</w:t>
      </w:r>
      <w:r w:rsidR="001C1BB0">
        <w:rPr>
          <w:rFonts w:ascii="Arial" w:hAnsi="Arial"/>
          <w:sz w:val="21"/>
          <w:szCs w:val="21"/>
          <w:lang w:eastAsia="ar-SA"/>
        </w:rPr>
        <w:t xml:space="preserve"> </w:t>
      </w:r>
      <w:r w:rsidR="00801495" w:rsidRPr="0086368E">
        <w:rPr>
          <w:rFonts w:ascii="Arial" w:hAnsi="Arial"/>
          <w:sz w:val="21"/>
          <w:szCs w:val="21"/>
          <w:lang w:eastAsia="ar-SA"/>
        </w:rPr>
        <w:t xml:space="preserve">verso </w:t>
      </w:r>
      <w:r w:rsidR="00073E58">
        <w:rPr>
          <w:rFonts w:ascii="Arial" w:hAnsi="Arial"/>
          <w:sz w:val="21"/>
          <w:szCs w:val="21"/>
          <w:lang w:eastAsia="ar-SA"/>
        </w:rPr>
        <w:t xml:space="preserve">la </w:t>
      </w:r>
      <w:r w:rsidR="00801495" w:rsidRPr="0086368E">
        <w:rPr>
          <w:rFonts w:ascii="Arial" w:hAnsi="Arial"/>
          <w:sz w:val="21"/>
          <w:szCs w:val="21"/>
          <w:lang w:eastAsia="ar-SA"/>
        </w:rPr>
        <w:t>Russia</w:t>
      </w:r>
      <w:r w:rsidR="0093507A">
        <w:rPr>
          <w:rFonts w:ascii="Arial" w:hAnsi="Arial"/>
          <w:sz w:val="21"/>
          <w:szCs w:val="21"/>
          <w:lang w:eastAsia="ar-SA"/>
        </w:rPr>
        <w:t xml:space="preserve"> </w:t>
      </w:r>
      <w:r w:rsidR="0029581D">
        <w:rPr>
          <w:rFonts w:ascii="Arial" w:hAnsi="Arial"/>
          <w:sz w:val="21"/>
          <w:szCs w:val="21"/>
          <w:lang w:eastAsia="ar-SA"/>
        </w:rPr>
        <w:t>(-</w:t>
      </w:r>
      <w:r w:rsidR="00810B84">
        <w:rPr>
          <w:rFonts w:ascii="Arial" w:hAnsi="Arial"/>
          <w:sz w:val="21"/>
          <w:szCs w:val="21"/>
          <w:lang w:eastAsia="ar-SA"/>
        </w:rPr>
        <w:t>34</w:t>
      </w:r>
      <w:r w:rsidR="0029581D">
        <w:rPr>
          <w:rFonts w:ascii="Arial" w:hAnsi="Arial"/>
          <w:sz w:val="21"/>
          <w:szCs w:val="21"/>
          <w:lang w:eastAsia="ar-SA"/>
        </w:rPr>
        <w:t>,</w:t>
      </w:r>
      <w:r w:rsidR="00810B84">
        <w:rPr>
          <w:rFonts w:ascii="Arial" w:hAnsi="Arial"/>
          <w:sz w:val="21"/>
          <w:szCs w:val="21"/>
          <w:lang w:eastAsia="ar-SA"/>
        </w:rPr>
        <w:t>8</w:t>
      </w:r>
      <w:r w:rsidR="0093507A" w:rsidRPr="0086368E">
        <w:rPr>
          <w:rFonts w:ascii="Arial" w:hAnsi="Arial"/>
          <w:sz w:val="21"/>
          <w:szCs w:val="21"/>
          <w:lang w:eastAsia="ar-SA"/>
        </w:rPr>
        <w:t>%)</w:t>
      </w:r>
      <w:r w:rsidR="00801495" w:rsidRPr="0086368E">
        <w:rPr>
          <w:rFonts w:ascii="Arial" w:hAnsi="Arial"/>
          <w:sz w:val="21"/>
          <w:szCs w:val="21"/>
          <w:lang w:eastAsia="ar-SA"/>
        </w:rPr>
        <w:t>.</w:t>
      </w:r>
    </w:p>
    <w:p w14:paraId="1BC7C44F" w14:textId="6A9EC62A" w:rsidR="000C71A0" w:rsidRDefault="006B4B70" w:rsidP="000B2B36">
      <w:pPr>
        <w:pStyle w:val="Corpotesto"/>
        <w:numPr>
          <w:ilvl w:val="0"/>
          <w:numId w:val="20"/>
        </w:numPr>
        <w:tabs>
          <w:tab w:val="left" w:pos="284"/>
          <w:tab w:val="left" w:pos="567"/>
          <w:tab w:val="num" w:pos="4733"/>
        </w:tabs>
        <w:suppressAutoHyphens/>
        <w:spacing w:after="60" w:line="230" w:lineRule="exact"/>
        <w:ind w:left="284" w:hanging="284"/>
        <w:jc w:val="both"/>
        <w:rPr>
          <w:rFonts w:ascii="Arial" w:hAnsi="Arial"/>
          <w:sz w:val="21"/>
          <w:szCs w:val="21"/>
          <w:lang w:eastAsia="ar-SA"/>
        </w:rPr>
      </w:pPr>
      <w:r w:rsidRPr="000C71A0">
        <w:rPr>
          <w:rFonts w:ascii="Arial" w:hAnsi="Arial"/>
          <w:sz w:val="21"/>
          <w:szCs w:val="21"/>
          <w:lang w:eastAsia="ar-SA"/>
        </w:rPr>
        <w:t xml:space="preserve">Gli acquisti </w:t>
      </w:r>
      <w:r w:rsidR="0074504B" w:rsidRPr="000C71A0">
        <w:rPr>
          <w:rFonts w:ascii="Arial" w:hAnsi="Arial"/>
          <w:sz w:val="21"/>
          <w:szCs w:val="21"/>
          <w:lang w:eastAsia="ar-SA"/>
        </w:rPr>
        <w:t>da</w:t>
      </w:r>
      <w:r w:rsidR="00144917" w:rsidRPr="000C71A0">
        <w:rPr>
          <w:rFonts w:ascii="Arial" w:hAnsi="Arial"/>
          <w:sz w:val="21"/>
          <w:szCs w:val="21"/>
          <w:lang w:eastAsia="ar-SA"/>
        </w:rPr>
        <w:t xml:space="preserve"> </w:t>
      </w:r>
      <w:r w:rsidR="00D526BF" w:rsidRPr="000C71A0">
        <w:rPr>
          <w:rFonts w:ascii="Arial" w:hAnsi="Arial"/>
          <w:sz w:val="21"/>
          <w:szCs w:val="21"/>
          <w:lang w:eastAsia="ar-SA"/>
        </w:rPr>
        <w:t>paesi OPEC (+</w:t>
      </w:r>
      <w:r w:rsidR="000C71A0">
        <w:rPr>
          <w:rFonts w:ascii="Arial" w:hAnsi="Arial"/>
          <w:sz w:val="21"/>
          <w:szCs w:val="21"/>
          <w:lang w:eastAsia="ar-SA"/>
        </w:rPr>
        <w:t>112</w:t>
      </w:r>
      <w:r w:rsidR="000C71A0" w:rsidRPr="000C71A0">
        <w:rPr>
          <w:rFonts w:ascii="Arial" w:hAnsi="Arial"/>
          <w:sz w:val="21"/>
          <w:szCs w:val="21"/>
          <w:lang w:eastAsia="ar-SA"/>
        </w:rPr>
        <w:t>,</w:t>
      </w:r>
      <w:r w:rsidR="000C71A0">
        <w:rPr>
          <w:rFonts w:ascii="Arial" w:hAnsi="Arial"/>
          <w:sz w:val="21"/>
          <w:szCs w:val="21"/>
          <w:lang w:eastAsia="ar-SA"/>
        </w:rPr>
        <w:t>0</w:t>
      </w:r>
      <w:r w:rsidR="00E551BE" w:rsidRPr="000C71A0">
        <w:rPr>
          <w:rFonts w:ascii="Arial" w:hAnsi="Arial"/>
          <w:sz w:val="21"/>
          <w:szCs w:val="21"/>
          <w:lang w:eastAsia="ar-SA"/>
        </w:rPr>
        <w:t>%)</w:t>
      </w:r>
      <w:r w:rsidR="000C71A0" w:rsidRPr="000C71A0">
        <w:rPr>
          <w:rFonts w:ascii="Arial" w:hAnsi="Arial"/>
          <w:sz w:val="21"/>
          <w:szCs w:val="21"/>
          <w:lang w:eastAsia="ar-SA"/>
        </w:rPr>
        <w:t>, Stati Uniti (+</w:t>
      </w:r>
      <w:r w:rsidR="000C71A0">
        <w:rPr>
          <w:rFonts w:ascii="Arial" w:hAnsi="Arial"/>
          <w:sz w:val="21"/>
          <w:szCs w:val="21"/>
          <w:lang w:eastAsia="ar-SA"/>
        </w:rPr>
        <w:t>90</w:t>
      </w:r>
      <w:r w:rsidR="000C71A0" w:rsidRPr="000C71A0">
        <w:rPr>
          <w:rFonts w:ascii="Arial" w:hAnsi="Arial"/>
          <w:sz w:val="21"/>
          <w:szCs w:val="21"/>
          <w:lang w:eastAsia="ar-SA"/>
        </w:rPr>
        <w:t>,</w:t>
      </w:r>
      <w:r w:rsidR="000C71A0">
        <w:rPr>
          <w:rFonts w:ascii="Arial" w:hAnsi="Arial"/>
          <w:sz w:val="21"/>
          <w:szCs w:val="21"/>
          <w:lang w:eastAsia="ar-SA"/>
        </w:rPr>
        <w:t>1</w:t>
      </w:r>
      <w:r w:rsidR="000C71A0" w:rsidRPr="000C71A0">
        <w:rPr>
          <w:rFonts w:ascii="Arial" w:hAnsi="Arial"/>
          <w:sz w:val="21"/>
          <w:szCs w:val="21"/>
          <w:lang w:eastAsia="ar-SA"/>
        </w:rPr>
        <w:t>%) e</w:t>
      </w:r>
      <w:r w:rsidR="00E551BE" w:rsidRPr="000C71A0">
        <w:rPr>
          <w:rFonts w:ascii="Arial" w:hAnsi="Arial"/>
          <w:sz w:val="21"/>
          <w:szCs w:val="21"/>
          <w:lang w:eastAsia="ar-SA"/>
        </w:rPr>
        <w:t xml:space="preserve"> </w:t>
      </w:r>
      <w:r w:rsidR="000C71A0" w:rsidRPr="000C71A0">
        <w:rPr>
          <w:rFonts w:ascii="Arial" w:hAnsi="Arial"/>
          <w:sz w:val="21"/>
          <w:szCs w:val="21"/>
          <w:lang w:eastAsia="ar-SA"/>
        </w:rPr>
        <w:t>Svizzera (+</w:t>
      </w:r>
      <w:r w:rsidR="005D1FC3">
        <w:rPr>
          <w:rFonts w:ascii="Arial" w:hAnsi="Arial"/>
          <w:sz w:val="21"/>
          <w:szCs w:val="21"/>
          <w:lang w:eastAsia="ar-SA"/>
        </w:rPr>
        <w:t>74</w:t>
      </w:r>
      <w:r w:rsidR="000C71A0" w:rsidRPr="000C71A0">
        <w:rPr>
          <w:rFonts w:ascii="Arial" w:hAnsi="Arial"/>
          <w:sz w:val="21"/>
          <w:szCs w:val="21"/>
          <w:lang w:eastAsia="ar-SA"/>
        </w:rPr>
        <w:t>,</w:t>
      </w:r>
      <w:r w:rsidR="005D1FC3">
        <w:rPr>
          <w:rFonts w:ascii="Arial" w:hAnsi="Arial"/>
          <w:sz w:val="21"/>
          <w:szCs w:val="21"/>
          <w:lang w:eastAsia="ar-SA"/>
        </w:rPr>
        <w:t>4</w:t>
      </w:r>
      <w:r w:rsidR="0053297B">
        <w:rPr>
          <w:rFonts w:ascii="Arial" w:hAnsi="Arial"/>
          <w:sz w:val="21"/>
          <w:szCs w:val="21"/>
          <w:lang w:eastAsia="ar-SA"/>
        </w:rPr>
        <w:t>%)</w:t>
      </w:r>
      <w:r w:rsidR="000C71A0" w:rsidRPr="000C71A0">
        <w:rPr>
          <w:rFonts w:ascii="Arial" w:hAnsi="Arial"/>
          <w:sz w:val="21"/>
          <w:szCs w:val="21"/>
          <w:lang w:eastAsia="ar-SA"/>
        </w:rPr>
        <w:t xml:space="preserve"> </w:t>
      </w:r>
      <w:r w:rsidR="00E551BE" w:rsidRPr="000C71A0">
        <w:rPr>
          <w:rFonts w:ascii="Arial" w:hAnsi="Arial"/>
          <w:sz w:val="21"/>
          <w:szCs w:val="21"/>
          <w:lang w:eastAsia="ar-SA"/>
        </w:rPr>
        <w:t>registrano incrementi tendenziali molto più ampi della media delle importazioni dai paesi extra Ue27</w:t>
      </w:r>
      <w:r w:rsidR="004D6180" w:rsidRPr="000C71A0">
        <w:rPr>
          <w:rFonts w:ascii="Arial" w:hAnsi="Arial"/>
          <w:sz w:val="21"/>
          <w:szCs w:val="21"/>
          <w:lang w:eastAsia="ar-SA"/>
        </w:rPr>
        <w:t xml:space="preserve">. </w:t>
      </w:r>
    </w:p>
    <w:p w14:paraId="2B9AF610" w14:textId="59C2DB65" w:rsidR="00F40206" w:rsidRPr="000C71A0" w:rsidRDefault="00F40206" w:rsidP="000C71A0">
      <w:pPr>
        <w:pStyle w:val="Corpotesto"/>
        <w:tabs>
          <w:tab w:val="left" w:pos="284"/>
          <w:tab w:val="left" w:pos="567"/>
        </w:tabs>
        <w:suppressAutoHyphens/>
        <w:spacing w:line="230" w:lineRule="exact"/>
        <w:ind w:left="284"/>
        <w:jc w:val="both"/>
        <w:rPr>
          <w:rFonts w:ascii="Arial" w:hAnsi="Arial"/>
          <w:sz w:val="21"/>
          <w:szCs w:val="21"/>
          <w:lang w:eastAsia="ar-SA"/>
        </w:rPr>
      </w:pPr>
      <w:r w:rsidRPr="00126FCA">
        <w:rPr>
          <w:rFonts w:ascii="Arial" w:hAnsi="Arial"/>
          <w:noProof/>
          <w:sz w:val="21"/>
          <w:szCs w:val="21"/>
          <w:highlight w:val="yellow"/>
        </w:rPr>
        <w:drawing>
          <wp:anchor distT="0" distB="0" distL="114300" distR="114300" simplePos="0" relativeHeight="251664384" behindDoc="0" locked="0" layoutInCell="1" allowOverlap="1" wp14:anchorId="0542C6D8" wp14:editId="6C5DB8EC">
            <wp:simplePos x="0" y="0"/>
            <wp:positionH relativeFrom="column">
              <wp:posOffset>2540</wp:posOffset>
            </wp:positionH>
            <wp:positionV relativeFrom="paragraph">
              <wp:posOffset>96520</wp:posOffset>
            </wp:positionV>
            <wp:extent cx="844550" cy="844550"/>
            <wp:effectExtent l="0" t="0" r="0" b="0"/>
            <wp:wrapNone/>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margin">
              <wp14:pctWidth>0</wp14:pctWidth>
            </wp14:sizeRelH>
            <wp14:sizeRelV relativeFrom="margin">
              <wp14:pctHeight>0</wp14:pctHeight>
            </wp14:sizeRelV>
          </wp:anchor>
        </w:drawing>
      </w:r>
    </w:p>
    <w:p w14:paraId="2E8D8DBD" w14:textId="4C903682" w:rsidR="00451459" w:rsidRPr="003E2B95" w:rsidRDefault="00451459" w:rsidP="00D56B7E">
      <w:pPr>
        <w:pStyle w:val="Corpotesto"/>
        <w:tabs>
          <w:tab w:val="left" w:pos="284"/>
          <w:tab w:val="left" w:pos="567"/>
        </w:tabs>
        <w:suppressAutoHyphens/>
        <w:spacing w:after="120" w:line="230" w:lineRule="exact"/>
        <w:ind w:left="284"/>
        <w:jc w:val="both"/>
        <w:rPr>
          <w:rFonts w:ascii="Arial" w:hAnsi="Arial"/>
          <w:sz w:val="21"/>
          <w:szCs w:val="21"/>
          <w:lang w:eastAsia="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4"/>
        <w:gridCol w:w="3282"/>
      </w:tblGrid>
      <w:tr w:rsidR="00FF7EF0" w14:paraId="3EC82C20" w14:textId="77777777" w:rsidTr="00FA69DA">
        <w:trPr>
          <w:trHeight w:val="115"/>
        </w:trPr>
        <w:tc>
          <w:tcPr>
            <w:tcW w:w="6924" w:type="dxa"/>
            <w:vMerge w:val="restart"/>
            <w:tcBorders>
              <w:top w:val="nil"/>
              <w:left w:val="single" w:sz="4" w:space="0" w:color="FFFFFF"/>
              <w:right w:val="single" w:sz="48" w:space="0" w:color="FFFFFF"/>
            </w:tcBorders>
            <w:shd w:val="clear" w:color="auto" w:fill="D9D9D9"/>
          </w:tcPr>
          <w:p w14:paraId="648DB330" w14:textId="0710B3E3" w:rsidR="003937B2" w:rsidRPr="008B7A21" w:rsidRDefault="003937B2" w:rsidP="00C474B1">
            <w:pPr>
              <w:pStyle w:val="NormaleWeb"/>
              <w:spacing w:before="40" w:after="40"/>
              <w:jc w:val="both"/>
              <w:rPr>
                <w:rFonts w:ascii="Arial" w:hAnsi="Arial" w:cs="Arial"/>
                <w:sz w:val="4"/>
                <w:szCs w:val="4"/>
              </w:rPr>
            </w:pPr>
          </w:p>
          <w:p w14:paraId="3F599E6F" w14:textId="3518D461" w:rsidR="005C4BE6" w:rsidRPr="005C4BE6" w:rsidRDefault="00E100C0" w:rsidP="00AA6234">
            <w:pPr>
              <w:pStyle w:val="NormaleWeb"/>
              <w:shd w:val="clear" w:color="auto" w:fill="D8D8D8"/>
              <w:spacing w:after="160"/>
              <w:jc w:val="both"/>
              <w:rPr>
                <w:rFonts w:ascii="Calibri" w:hAnsi="Calibri"/>
                <w:color w:val="E22316"/>
                <w:sz w:val="56"/>
                <w:szCs w:val="56"/>
              </w:rPr>
            </w:pPr>
            <w:r>
              <w:rPr>
                <w:rFonts w:ascii="Arial" w:hAnsi="Arial" w:cs="Arial"/>
                <w:sz w:val="21"/>
                <w:szCs w:val="21"/>
              </w:rPr>
              <w:t xml:space="preserve">                    </w:t>
            </w:r>
            <w:r w:rsidR="00613228">
              <w:rPr>
                <w:rFonts w:ascii="Arial" w:hAnsi="Arial" w:cs="Arial"/>
                <w:sz w:val="21"/>
                <w:szCs w:val="21"/>
              </w:rPr>
              <w:t xml:space="preserve"> </w:t>
            </w:r>
            <w:r w:rsidR="00613228" w:rsidRPr="00613228">
              <w:rPr>
                <w:rFonts w:ascii="Calibri" w:hAnsi="Calibri"/>
                <w:color w:val="E22316"/>
                <w:sz w:val="56"/>
                <w:szCs w:val="56"/>
              </w:rPr>
              <w:t>Il commento</w:t>
            </w:r>
          </w:p>
          <w:p w14:paraId="1E2DF313" w14:textId="55D334F2" w:rsidR="009B6ED2" w:rsidRDefault="00BE0CBB" w:rsidP="00AA6234">
            <w:pPr>
              <w:pStyle w:val="NormaleWeb"/>
              <w:shd w:val="clear" w:color="auto" w:fill="D8D8D8"/>
              <w:spacing w:after="60"/>
              <w:ind w:left="57"/>
              <w:jc w:val="both"/>
              <w:rPr>
                <w:rFonts w:ascii="Arial" w:hAnsi="Arial" w:cs="Arial"/>
                <w:iCs/>
                <w:sz w:val="21"/>
                <w:szCs w:val="21"/>
                <w:highlight w:val="lightGray"/>
              </w:rPr>
            </w:pPr>
            <w:r>
              <w:rPr>
                <w:rFonts w:ascii="Arial" w:hAnsi="Arial" w:cs="Arial"/>
                <w:iCs/>
                <w:sz w:val="21"/>
                <w:szCs w:val="21"/>
                <w:highlight w:val="lightGray"/>
              </w:rPr>
              <w:t>A settembre,</w:t>
            </w:r>
            <w:r w:rsidR="009B6ED2">
              <w:rPr>
                <w:rFonts w:ascii="Arial" w:hAnsi="Arial" w:cs="Arial"/>
                <w:iCs/>
                <w:sz w:val="21"/>
                <w:szCs w:val="21"/>
                <w:highlight w:val="lightGray"/>
              </w:rPr>
              <w:t xml:space="preserve"> l’export verso i paesi extra Ue </w:t>
            </w:r>
            <w:r w:rsidR="00452A24">
              <w:rPr>
                <w:rFonts w:ascii="Arial" w:hAnsi="Arial" w:cs="Arial"/>
                <w:iCs/>
                <w:sz w:val="21"/>
                <w:szCs w:val="21"/>
                <w:highlight w:val="lightGray"/>
              </w:rPr>
              <w:t>torna a crescere su</w:t>
            </w:r>
            <w:r w:rsidR="009B6ED2">
              <w:rPr>
                <w:rFonts w:ascii="Arial" w:hAnsi="Arial" w:cs="Arial"/>
                <w:iCs/>
                <w:sz w:val="21"/>
                <w:szCs w:val="21"/>
                <w:highlight w:val="lightGray"/>
              </w:rPr>
              <w:t xml:space="preserve"> base mensile, trainato dalle vendite di beni</w:t>
            </w:r>
            <w:r w:rsidR="000B15F6">
              <w:rPr>
                <w:rFonts w:ascii="Arial" w:hAnsi="Arial" w:cs="Arial"/>
                <w:iCs/>
                <w:sz w:val="21"/>
                <w:szCs w:val="21"/>
                <w:highlight w:val="lightGray"/>
              </w:rPr>
              <w:t xml:space="preserve"> strumentali</w:t>
            </w:r>
            <w:r w:rsidR="000B2B36">
              <w:rPr>
                <w:rFonts w:ascii="Arial" w:hAnsi="Arial" w:cs="Arial"/>
                <w:iCs/>
                <w:sz w:val="21"/>
                <w:szCs w:val="21"/>
                <w:highlight w:val="lightGray"/>
              </w:rPr>
              <w:t xml:space="preserve">, </w:t>
            </w:r>
            <w:r w:rsidR="000B15F6">
              <w:rPr>
                <w:rFonts w:ascii="Arial" w:hAnsi="Arial" w:cs="Arial"/>
                <w:iCs/>
                <w:sz w:val="21"/>
                <w:szCs w:val="21"/>
                <w:highlight w:val="lightGray"/>
              </w:rPr>
              <w:t xml:space="preserve">beni di </w:t>
            </w:r>
            <w:r w:rsidR="009B6ED2">
              <w:rPr>
                <w:rFonts w:ascii="Arial" w:hAnsi="Arial" w:cs="Arial"/>
                <w:iCs/>
                <w:sz w:val="21"/>
                <w:szCs w:val="21"/>
                <w:highlight w:val="lightGray"/>
              </w:rPr>
              <w:t xml:space="preserve">consumo </w:t>
            </w:r>
            <w:r w:rsidR="000B15F6">
              <w:rPr>
                <w:rFonts w:ascii="Arial" w:hAnsi="Arial" w:cs="Arial"/>
                <w:iCs/>
                <w:sz w:val="21"/>
                <w:szCs w:val="21"/>
                <w:highlight w:val="lightGray"/>
              </w:rPr>
              <w:t xml:space="preserve">non </w:t>
            </w:r>
            <w:r w:rsidR="009B6ED2">
              <w:rPr>
                <w:rFonts w:ascii="Arial" w:hAnsi="Arial" w:cs="Arial"/>
                <w:iCs/>
                <w:sz w:val="21"/>
                <w:szCs w:val="21"/>
                <w:highlight w:val="lightGray"/>
              </w:rPr>
              <w:t>durevoli</w:t>
            </w:r>
            <w:r w:rsidR="00FC18AF">
              <w:rPr>
                <w:rFonts w:ascii="Arial" w:hAnsi="Arial" w:cs="Arial"/>
                <w:iCs/>
                <w:sz w:val="21"/>
                <w:szCs w:val="21"/>
                <w:highlight w:val="lightGray"/>
              </w:rPr>
              <w:t xml:space="preserve"> e beni intermedi</w:t>
            </w:r>
            <w:r w:rsidR="009B6ED2">
              <w:rPr>
                <w:rFonts w:ascii="Arial" w:hAnsi="Arial" w:cs="Arial"/>
                <w:iCs/>
                <w:sz w:val="21"/>
                <w:szCs w:val="21"/>
                <w:highlight w:val="lightGray"/>
              </w:rPr>
              <w:t xml:space="preserve">. Nella media del terzo trimestre dell’anno, la dinamica congiunturale è positiva. </w:t>
            </w:r>
          </w:p>
          <w:p w14:paraId="58ADF3CC" w14:textId="682E640A" w:rsidR="009B6ED2" w:rsidRDefault="009B6ED2" w:rsidP="000B2B36">
            <w:pPr>
              <w:pStyle w:val="NormaleWeb"/>
              <w:shd w:val="clear" w:color="auto" w:fill="D8D8D8"/>
              <w:spacing w:after="60"/>
              <w:ind w:left="57"/>
              <w:jc w:val="both"/>
              <w:rPr>
                <w:rFonts w:ascii="Arial" w:hAnsi="Arial" w:cs="Arial"/>
                <w:iCs/>
                <w:sz w:val="21"/>
                <w:szCs w:val="21"/>
                <w:highlight w:val="lightGray"/>
              </w:rPr>
            </w:pPr>
            <w:r>
              <w:rPr>
                <w:rFonts w:ascii="Arial" w:hAnsi="Arial" w:cs="Arial"/>
                <w:iCs/>
                <w:sz w:val="21"/>
                <w:szCs w:val="21"/>
                <w:highlight w:val="lightGray"/>
              </w:rPr>
              <w:t xml:space="preserve">Su base annua, la crescita dell’export </w:t>
            </w:r>
            <w:r w:rsidR="009E5F12">
              <w:rPr>
                <w:rFonts w:ascii="Arial" w:hAnsi="Arial" w:cs="Arial"/>
                <w:iCs/>
                <w:sz w:val="21"/>
                <w:szCs w:val="21"/>
                <w:highlight w:val="lightGray"/>
              </w:rPr>
              <w:t xml:space="preserve">accelera </w:t>
            </w:r>
            <w:r w:rsidR="0093029A">
              <w:rPr>
                <w:rFonts w:ascii="Arial" w:hAnsi="Arial" w:cs="Arial"/>
                <w:iCs/>
                <w:sz w:val="21"/>
                <w:szCs w:val="21"/>
                <w:highlight w:val="lightGray"/>
              </w:rPr>
              <w:t>ancora</w:t>
            </w:r>
            <w:r>
              <w:rPr>
                <w:rFonts w:ascii="Arial" w:hAnsi="Arial" w:cs="Arial"/>
                <w:iCs/>
                <w:sz w:val="21"/>
                <w:szCs w:val="21"/>
                <w:highlight w:val="lightGray"/>
              </w:rPr>
              <w:t xml:space="preserve"> (+26,9%, era +22,1% ad agosto)</w:t>
            </w:r>
            <w:r w:rsidR="000B15F6">
              <w:rPr>
                <w:rFonts w:ascii="Arial" w:hAnsi="Arial" w:cs="Arial"/>
                <w:iCs/>
                <w:sz w:val="21"/>
                <w:szCs w:val="21"/>
                <w:highlight w:val="lightGray"/>
              </w:rPr>
              <w:t>,</w:t>
            </w:r>
            <w:r>
              <w:rPr>
                <w:rFonts w:ascii="Arial" w:hAnsi="Arial" w:cs="Arial"/>
                <w:iCs/>
                <w:sz w:val="21"/>
                <w:szCs w:val="21"/>
                <w:highlight w:val="lightGray"/>
              </w:rPr>
              <w:t xml:space="preserve"> spiegata per oltre un terzo dalle maggiori vendite di beni di consumo non durevoli. La crescita dell’import</w:t>
            </w:r>
            <w:r w:rsidR="000B15F6">
              <w:rPr>
                <w:rFonts w:ascii="Arial" w:hAnsi="Arial" w:cs="Arial"/>
                <w:iCs/>
                <w:sz w:val="21"/>
                <w:szCs w:val="21"/>
                <w:highlight w:val="lightGray"/>
              </w:rPr>
              <w:t xml:space="preserve">, </w:t>
            </w:r>
            <w:r w:rsidR="00FF239B">
              <w:rPr>
                <w:rFonts w:ascii="Arial" w:hAnsi="Arial" w:cs="Arial"/>
                <w:iCs/>
                <w:sz w:val="21"/>
                <w:szCs w:val="21"/>
                <w:highlight w:val="lightGray"/>
              </w:rPr>
              <w:t>sempre</w:t>
            </w:r>
            <w:r w:rsidR="000B15F6">
              <w:rPr>
                <w:rFonts w:ascii="Arial" w:hAnsi="Arial" w:cs="Arial"/>
                <w:iCs/>
                <w:sz w:val="21"/>
                <w:szCs w:val="21"/>
                <w:highlight w:val="lightGray"/>
              </w:rPr>
              <w:t xml:space="preserve"> molto sostenuta</w:t>
            </w:r>
            <w:r w:rsidR="00FF239B">
              <w:rPr>
                <w:rFonts w:ascii="Arial" w:hAnsi="Arial" w:cs="Arial"/>
                <w:iCs/>
                <w:sz w:val="21"/>
                <w:szCs w:val="21"/>
                <w:highlight w:val="lightGray"/>
              </w:rPr>
              <w:t xml:space="preserve"> e condizionata dalla componente energetica</w:t>
            </w:r>
            <w:r w:rsidR="000B15F6">
              <w:rPr>
                <w:rFonts w:ascii="Arial" w:hAnsi="Arial" w:cs="Arial"/>
                <w:iCs/>
                <w:sz w:val="21"/>
                <w:szCs w:val="21"/>
                <w:highlight w:val="lightGray"/>
              </w:rPr>
              <w:t xml:space="preserve">, </w:t>
            </w:r>
            <w:r w:rsidR="00FC18AF">
              <w:rPr>
                <w:rFonts w:ascii="Arial" w:hAnsi="Arial" w:cs="Arial"/>
                <w:iCs/>
                <w:sz w:val="21"/>
                <w:szCs w:val="21"/>
                <w:highlight w:val="lightGray"/>
              </w:rPr>
              <w:t xml:space="preserve">rallenta </w:t>
            </w:r>
            <w:r w:rsidR="00BE0CBB">
              <w:rPr>
                <w:rFonts w:ascii="Arial" w:hAnsi="Arial" w:cs="Arial"/>
                <w:iCs/>
                <w:sz w:val="21"/>
                <w:szCs w:val="21"/>
                <w:highlight w:val="lightGray"/>
              </w:rPr>
              <w:t>e si riporta</w:t>
            </w:r>
            <w:r w:rsidR="000B15F6">
              <w:rPr>
                <w:rFonts w:ascii="Arial" w:hAnsi="Arial" w:cs="Arial"/>
                <w:iCs/>
                <w:sz w:val="21"/>
                <w:szCs w:val="21"/>
                <w:highlight w:val="lightGray"/>
              </w:rPr>
              <w:t xml:space="preserve"> sui livelli di aprile</w:t>
            </w:r>
            <w:r w:rsidR="005C4BE6">
              <w:rPr>
                <w:rFonts w:ascii="Arial" w:hAnsi="Arial" w:cs="Arial"/>
                <w:iCs/>
                <w:sz w:val="21"/>
                <w:szCs w:val="21"/>
                <w:highlight w:val="lightGray"/>
              </w:rPr>
              <w:t>,</w:t>
            </w:r>
            <w:r w:rsidR="000B15F6">
              <w:rPr>
                <w:rFonts w:ascii="Arial" w:hAnsi="Arial" w:cs="Arial"/>
                <w:iCs/>
                <w:sz w:val="21"/>
                <w:szCs w:val="21"/>
                <w:highlight w:val="lightGray"/>
              </w:rPr>
              <w:t xml:space="preserve"> dopo il picco </w:t>
            </w:r>
            <w:r w:rsidR="0093029A">
              <w:rPr>
                <w:rFonts w:ascii="Arial" w:hAnsi="Arial" w:cs="Arial"/>
                <w:iCs/>
                <w:sz w:val="21"/>
                <w:szCs w:val="21"/>
                <w:highlight w:val="lightGray"/>
              </w:rPr>
              <w:t>di</w:t>
            </w:r>
            <w:r w:rsidR="000B15F6">
              <w:rPr>
                <w:rFonts w:ascii="Arial" w:hAnsi="Arial" w:cs="Arial"/>
                <w:iCs/>
                <w:sz w:val="21"/>
                <w:szCs w:val="21"/>
                <w:highlight w:val="lightGray"/>
              </w:rPr>
              <w:t xml:space="preserve"> agosto</w:t>
            </w:r>
            <w:r>
              <w:rPr>
                <w:rFonts w:ascii="Arial" w:hAnsi="Arial" w:cs="Arial"/>
                <w:iCs/>
                <w:sz w:val="21"/>
                <w:szCs w:val="21"/>
                <w:highlight w:val="lightGray"/>
              </w:rPr>
              <w:t xml:space="preserve">. </w:t>
            </w:r>
          </w:p>
          <w:p w14:paraId="672E6913" w14:textId="4BB23F26" w:rsidR="00BE0CBB" w:rsidRDefault="00015266" w:rsidP="000B2B36">
            <w:pPr>
              <w:pStyle w:val="NormaleWeb"/>
              <w:shd w:val="clear" w:color="auto" w:fill="D8D8D8"/>
              <w:spacing w:after="60"/>
              <w:ind w:left="57"/>
              <w:jc w:val="both"/>
              <w:rPr>
                <w:rFonts w:ascii="Arial" w:hAnsi="Arial" w:cs="Arial"/>
                <w:iCs/>
                <w:sz w:val="21"/>
                <w:szCs w:val="21"/>
                <w:highlight w:val="lightGray"/>
              </w:rPr>
            </w:pPr>
            <w:r>
              <w:rPr>
                <w:rFonts w:ascii="Arial" w:hAnsi="Arial" w:cs="Arial"/>
                <w:iCs/>
                <w:sz w:val="21"/>
                <w:szCs w:val="21"/>
                <w:highlight w:val="lightGray"/>
              </w:rPr>
              <w:t>I</w:t>
            </w:r>
            <w:r w:rsidR="000B15F6">
              <w:rPr>
                <w:rFonts w:ascii="Arial" w:hAnsi="Arial" w:cs="Arial"/>
                <w:iCs/>
                <w:sz w:val="21"/>
                <w:szCs w:val="21"/>
                <w:highlight w:val="lightGray"/>
              </w:rPr>
              <w:t>l deficit energetico supera i</w:t>
            </w:r>
            <w:r w:rsidR="000B2B36">
              <w:rPr>
                <w:rFonts w:ascii="Arial" w:hAnsi="Arial" w:cs="Arial"/>
                <w:iCs/>
                <w:sz w:val="21"/>
                <w:szCs w:val="21"/>
                <w:highlight w:val="lightGray"/>
              </w:rPr>
              <w:t xml:space="preserve"> 12 miliardi in valore assoluto</w:t>
            </w:r>
            <w:r w:rsidR="000B15F6">
              <w:rPr>
                <w:rFonts w:ascii="Arial" w:hAnsi="Arial" w:cs="Arial"/>
                <w:iCs/>
                <w:sz w:val="21"/>
                <w:szCs w:val="21"/>
                <w:highlight w:val="lightGray"/>
              </w:rPr>
              <w:t xml:space="preserve"> ma </w:t>
            </w:r>
            <w:r w:rsidR="00BE0CBB">
              <w:rPr>
                <w:rFonts w:ascii="Arial" w:hAnsi="Arial" w:cs="Arial"/>
                <w:iCs/>
                <w:sz w:val="21"/>
                <w:szCs w:val="21"/>
                <w:highlight w:val="lightGray"/>
              </w:rPr>
              <w:t>l’avanzo nell’interscambio di prodotti non energetici aumenta e il disavanzo commerciale</w:t>
            </w:r>
            <w:r w:rsidR="006108F3">
              <w:rPr>
                <w:rFonts w:ascii="Arial" w:hAnsi="Arial" w:cs="Arial"/>
                <w:iCs/>
                <w:sz w:val="21"/>
                <w:szCs w:val="21"/>
                <w:highlight w:val="lightGray"/>
              </w:rPr>
              <w:t xml:space="preserve"> </w:t>
            </w:r>
            <w:r w:rsidR="006108F3">
              <w:rPr>
                <w:rFonts w:ascii="Arial" w:hAnsi="Arial" w:cs="Arial"/>
                <w:iCs/>
                <w:sz w:val="21"/>
                <w:szCs w:val="21"/>
              </w:rPr>
              <w:t>(</w:t>
            </w:r>
            <w:r w:rsidR="006108F3" w:rsidRPr="006108F3">
              <w:rPr>
                <w:rFonts w:ascii="Arial" w:hAnsi="Arial" w:cs="Arial"/>
                <w:iCs/>
                <w:sz w:val="21"/>
                <w:szCs w:val="21"/>
              </w:rPr>
              <w:t>-5.440</w:t>
            </w:r>
            <w:r w:rsidR="00B34A89">
              <w:rPr>
                <w:rFonts w:ascii="Arial" w:hAnsi="Arial" w:cs="Arial"/>
                <w:iCs/>
                <w:sz w:val="21"/>
                <w:szCs w:val="21"/>
              </w:rPr>
              <w:t xml:space="preserve"> milioni</w:t>
            </w:r>
            <w:r w:rsidR="006108F3">
              <w:rPr>
                <w:rFonts w:ascii="Arial" w:hAnsi="Arial" w:cs="Arial"/>
                <w:iCs/>
                <w:sz w:val="21"/>
                <w:szCs w:val="21"/>
              </w:rPr>
              <w:t>)</w:t>
            </w:r>
            <w:r w:rsidR="00BE0CBB">
              <w:rPr>
                <w:rFonts w:ascii="Arial" w:hAnsi="Arial" w:cs="Arial"/>
                <w:iCs/>
                <w:sz w:val="21"/>
                <w:szCs w:val="21"/>
                <w:highlight w:val="lightGray"/>
              </w:rPr>
              <w:t xml:space="preserve">, seppur ampio, si riduce </w:t>
            </w:r>
            <w:r w:rsidR="000B2B36">
              <w:rPr>
                <w:rFonts w:ascii="Arial" w:hAnsi="Arial" w:cs="Arial"/>
                <w:iCs/>
                <w:sz w:val="21"/>
                <w:szCs w:val="21"/>
                <w:highlight w:val="lightGray"/>
              </w:rPr>
              <w:t>nel confronto con</w:t>
            </w:r>
            <w:r w:rsidR="00BE0CBB">
              <w:rPr>
                <w:rFonts w:ascii="Arial" w:hAnsi="Arial" w:cs="Arial"/>
                <w:iCs/>
                <w:sz w:val="21"/>
                <w:szCs w:val="21"/>
                <w:highlight w:val="lightGray"/>
              </w:rPr>
              <w:t xml:space="preserve"> agosto</w:t>
            </w:r>
            <w:r w:rsidR="000B2B36">
              <w:rPr>
                <w:rFonts w:ascii="Arial" w:hAnsi="Arial" w:cs="Arial"/>
                <w:iCs/>
                <w:sz w:val="21"/>
                <w:szCs w:val="21"/>
                <w:highlight w:val="lightGray"/>
              </w:rPr>
              <w:t xml:space="preserve"> (era -7.762 milioni)</w:t>
            </w:r>
            <w:r w:rsidR="005C4BE6">
              <w:rPr>
                <w:rFonts w:ascii="Arial" w:hAnsi="Arial" w:cs="Arial"/>
                <w:iCs/>
                <w:sz w:val="21"/>
                <w:szCs w:val="21"/>
                <w:highlight w:val="lightGray"/>
              </w:rPr>
              <w:t>.</w:t>
            </w:r>
          </w:p>
          <w:p w14:paraId="2AED37D9" w14:textId="102D76E4" w:rsidR="00614479" w:rsidRPr="00B41643" w:rsidRDefault="00452A24" w:rsidP="00E36F99">
            <w:pPr>
              <w:pStyle w:val="NormaleWeb"/>
              <w:shd w:val="clear" w:color="auto" w:fill="D8D8D8"/>
              <w:spacing w:after="60"/>
              <w:ind w:left="57"/>
              <w:jc w:val="both"/>
              <w:rPr>
                <w:rFonts w:ascii="ArialMT" w:hAnsi="ArialMT"/>
                <w:sz w:val="21"/>
                <w:szCs w:val="21"/>
              </w:rPr>
            </w:pPr>
            <w:r>
              <w:rPr>
                <w:rFonts w:ascii="Arial" w:hAnsi="Arial" w:cs="Arial"/>
                <w:iCs/>
                <w:sz w:val="21"/>
                <w:szCs w:val="21"/>
                <w:highlight w:val="lightGray"/>
              </w:rPr>
              <w:t>Ne</w:t>
            </w:r>
            <w:r w:rsidR="00015266">
              <w:rPr>
                <w:rFonts w:ascii="Arial" w:hAnsi="Arial" w:cs="Arial"/>
                <w:iCs/>
                <w:sz w:val="21"/>
                <w:szCs w:val="21"/>
                <w:highlight w:val="lightGray"/>
              </w:rPr>
              <w:t>l complesso dei</w:t>
            </w:r>
            <w:r>
              <w:rPr>
                <w:rFonts w:ascii="Arial" w:hAnsi="Arial" w:cs="Arial"/>
                <w:iCs/>
                <w:sz w:val="21"/>
                <w:szCs w:val="21"/>
                <w:highlight w:val="lightGray"/>
              </w:rPr>
              <w:t xml:space="preserve"> primi nove mesi dell’anno, il disavan</w:t>
            </w:r>
            <w:r w:rsidR="00DD0E40">
              <w:rPr>
                <w:rFonts w:ascii="Arial" w:hAnsi="Arial" w:cs="Arial"/>
                <w:iCs/>
                <w:sz w:val="21"/>
                <w:szCs w:val="21"/>
                <w:highlight w:val="lightGray"/>
              </w:rPr>
              <w:t xml:space="preserve">zo commerciale </w:t>
            </w:r>
            <w:r w:rsidR="00465164">
              <w:rPr>
                <w:rFonts w:ascii="Arial" w:hAnsi="Arial" w:cs="Arial"/>
                <w:iCs/>
                <w:sz w:val="21"/>
                <w:szCs w:val="21"/>
                <w:highlight w:val="lightGray"/>
              </w:rPr>
              <w:t>con</w:t>
            </w:r>
            <w:r w:rsidR="00015266">
              <w:rPr>
                <w:rFonts w:ascii="Arial" w:hAnsi="Arial" w:cs="Arial"/>
                <w:iCs/>
                <w:sz w:val="21"/>
                <w:szCs w:val="21"/>
                <w:highlight w:val="lightGray"/>
              </w:rPr>
              <w:t xml:space="preserve"> i paesi extra Ue </w:t>
            </w:r>
            <w:r w:rsidR="00DD0E40">
              <w:rPr>
                <w:rFonts w:ascii="Arial" w:hAnsi="Arial" w:cs="Arial"/>
                <w:iCs/>
                <w:sz w:val="21"/>
                <w:szCs w:val="21"/>
                <w:highlight w:val="lightGray"/>
              </w:rPr>
              <w:t>supera i 28</w:t>
            </w:r>
            <w:r w:rsidR="00015266">
              <w:rPr>
                <w:rFonts w:ascii="Arial" w:hAnsi="Arial" w:cs="Arial"/>
                <w:iCs/>
                <w:sz w:val="21"/>
                <w:szCs w:val="21"/>
                <w:highlight w:val="lightGray"/>
              </w:rPr>
              <w:t xml:space="preserve"> miliardi, </w:t>
            </w:r>
            <w:r w:rsidR="00E36F99">
              <w:rPr>
                <w:rFonts w:ascii="Arial" w:hAnsi="Arial" w:cs="Arial"/>
                <w:iCs/>
                <w:sz w:val="21"/>
                <w:szCs w:val="21"/>
                <w:highlight w:val="lightGray"/>
              </w:rPr>
              <w:t>negativamente condizionato</w:t>
            </w:r>
            <w:r w:rsidR="00015266">
              <w:rPr>
                <w:rFonts w:ascii="Arial" w:hAnsi="Arial" w:cs="Arial"/>
                <w:iCs/>
                <w:sz w:val="21"/>
                <w:szCs w:val="21"/>
                <w:highlight w:val="lightGray"/>
              </w:rPr>
              <w:t xml:space="preserve"> da un deficit energetico che sfiora</w:t>
            </w:r>
            <w:r w:rsidR="00465164">
              <w:rPr>
                <w:rFonts w:ascii="Arial" w:hAnsi="Arial" w:cs="Arial"/>
                <w:iCs/>
                <w:sz w:val="21"/>
                <w:szCs w:val="21"/>
                <w:highlight w:val="lightGray"/>
              </w:rPr>
              <w:t>, nello stesso periodo,</w:t>
            </w:r>
            <w:r w:rsidR="00015266">
              <w:rPr>
                <w:rFonts w:ascii="Arial" w:hAnsi="Arial" w:cs="Arial"/>
                <w:iCs/>
                <w:sz w:val="21"/>
                <w:szCs w:val="21"/>
                <w:highlight w:val="lightGray"/>
              </w:rPr>
              <w:t xml:space="preserve"> gli 84 miliardi.</w:t>
            </w:r>
          </w:p>
        </w:tc>
        <w:tc>
          <w:tcPr>
            <w:tcW w:w="3282" w:type="dxa"/>
            <w:tcBorders>
              <w:top w:val="nil"/>
              <w:left w:val="single" w:sz="48" w:space="0" w:color="FFFFFF"/>
              <w:bottom w:val="single" w:sz="36" w:space="0" w:color="FFFFFF"/>
              <w:right w:val="single" w:sz="36" w:space="0" w:color="FFFFFF"/>
            </w:tcBorders>
            <w:shd w:val="clear" w:color="auto" w:fill="E31C18"/>
          </w:tcPr>
          <w:p w14:paraId="69844DE8" w14:textId="77777777" w:rsidR="00FF7EF0" w:rsidRDefault="00FF7EF0" w:rsidP="00FA69DA">
            <w:pPr>
              <w:pStyle w:val="Paragrafobase"/>
              <w:spacing w:before="200" w:line="320" w:lineRule="exact"/>
              <w:ind w:left="176"/>
              <w:rPr>
                <w:rFonts w:ascii="Calibri" w:hAnsi="Calibri" w:cs="Arial"/>
                <w:b/>
                <w:color w:val="FFFFFF"/>
                <w:sz w:val="28"/>
                <w:szCs w:val="28"/>
              </w:rPr>
            </w:pPr>
            <w:r>
              <w:rPr>
                <w:rFonts w:ascii="Calibri" w:hAnsi="Calibri" w:cs="Arial"/>
                <w:b/>
                <w:noProof/>
                <w:color w:val="FFFFFF"/>
                <w:sz w:val="32"/>
                <w:szCs w:val="32"/>
              </w:rPr>
              <w:drawing>
                <wp:anchor distT="0" distB="0" distL="114300" distR="114300" simplePos="0" relativeHeight="251661312" behindDoc="0" locked="0" layoutInCell="1" allowOverlap="1" wp14:anchorId="2A1DED0D" wp14:editId="591BDC45">
                  <wp:simplePos x="0" y="0"/>
                  <wp:positionH relativeFrom="column">
                    <wp:posOffset>1350645</wp:posOffset>
                  </wp:positionH>
                  <wp:positionV relativeFrom="paragraph">
                    <wp:posOffset>-92075</wp:posOffset>
                  </wp:positionV>
                  <wp:extent cx="657225" cy="638175"/>
                  <wp:effectExtent l="0" t="0" r="9525" b="9525"/>
                  <wp:wrapNone/>
                  <wp:docPr id="221" name="Immagine 3" descr="Descrizione: iconeComunicati-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iconeComunicati-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anchor>
              </w:drawing>
            </w:r>
            <w:r>
              <w:rPr>
                <w:rFonts w:ascii="Calibri" w:hAnsi="Calibri" w:cs="Arial"/>
                <w:b/>
                <w:color w:val="FFFFFF"/>
                <w:sz w:val="28"/>
                <w:szCs w:val="28"/>
              </w:rPr>
              <w:t>PROSSIMA</w:t>
            </w:r>
          </w:p>
          <w:p w14:paraId="13ADA177" w14:textId="77777777" w:rsidR="00FF7EF0" w:rsidRDefault="00FF7EF0" w:rsidP="00FA69DA">
            <w:pPr>
              <w:pStyle w:val="Paragrafobase"/>
              <w:spacing w:line="320" w:lineRule="exact"/>
              <w:ind w:left="175"/>
              <w:rPr>
                <w:rFonts w:ascii="Arial Narrow" w:hAnsi="Arial Narrow" w:cs="Arial"/>
                <w:b/>
                <w:color w:val="FFFFFF"/>
                <w:sz w:val="28"/>
                <w:szCs w:val="28"/>
              </w:rPr>
            </w:pPr>
            <w:r>
              <w:rPr>
                <w:rFonts w:ascii="Calibri" w:hAnsi="Calibri" w:cs="Arial"/>
                <w:b/>
                <w:color w:val="FFFFFF"/>
                <w:sz w:val="28"/>
                <w:szCs w:val="28"/>
              </w:rPr>
              <w:t>DIFFUSIONE</w:t>
            </w:r>
          </w:p>
          <w:p w14:paraId="07180017" w14:textId="53667458" w:rsidR="00FF7EF0" w:rsidRDefault="005271E8" w:rsidP="0023747B">
            <w:pPr>
              <w:pStyle w:val="Paragrafobase"/>
              <w:spacing w:before="120" w:after="120" w:line="160" w:lineRule="atLeast"/>
              <w:ind w:left="176"/>
              <w:rPr>
                <w:rFonts w:ascii="Arial" w:hAnsi="Arial" w:cs="Arial"/>
                <w:sz w:val="21"/>
                <w:szCs w:val="21"/>
              </w:rPr>
            </w:pPr>
            <w:r>
              <w:rPr>
                <w:rFonts w:ascii="Arial Narrow" w:hAnsi="Arial Narrow" w:cs="Arial"/>
                <w:color w:val="FFFFFF"/>
                <w:sz w:val="22"/>
                <w:szCs w:val="22"/>
              </w:rPr>
              <w:t>2</w:t>
            </w:r>
            <w:r w:rsidR="0023747B">
              <w:rPr>
                <w:rFonts w:ascii="Arial Narrow" w:hAnsi="Arial Narrow" w:cs="Arial"/>
                <w:color w:val="FFFFFF"/>
                <w:sz w:val="22"/>
                <w:szCs w:val="22"/>
              </w:rPr>
              <w:t>5</w:t>
            </w:r>
            <w:r w:rsidR="00C513AD">
              <w:rPr>
                <w:rFonts w:ascii="Arial Narrow" w:hAnsi="Arial Narrow" w:cs="Arial"/>
                <w:color w:val="FFFFFF"/>
                <w:sz w:val="22"/>
                <w:szCs w:val="22"/>
              </w:rPr>
              <w:t xml:space="preserve"> </w:t>
            </w:r>
            <w:r w:rsidR="0023747B">
              <w:rPr>
                <w:rFonts w:ascii="Arial Narrow" w:hAnsi="Arial Narrow" w:cs="Arial"/>
                <w:color w:val="FFFFFF"/>
                <w:sz w:val="22"/>
                <w:szCs w:val="22"/>
              </w:rPr>
              <w:t>Novembre</w:t>
            </w:r>
            <w:r w:rsidR="00FF7EF0">
              <w:rPr>
                <w:rFonts w:ascii="Arial Narrow" w:hAnsi="Arial Narrow" w:cs="Arial"/>
                <w:color w:val="FFFFFF"/>
                <w:sz w:val="22"/>
                <w:szCs w:val="22"/>
              </w:rPr>
              <w:t xml:space="preserve"> 202</w:t>
            </w:r>
            <w:r w:rsidR="00A84EFB">
              <w:rPr>
                <w:rFonts w:ascii="Arial Narrow" w:hAnsi="Arial Narrow" w:cs="Arial"/>
                <w:color w:val="FFFFFF"/>
                <w:sz w:val="22"/>
                <w:szCs w:val="22"/>
              </w:rPr>
              <w:t>2</w:t>
            </w:r>
          </w:p>
        </w:tc>
      </w:tr>
      <w:tr w:rsidR="00FF7EF0" w14:paraId="2D3DB1CB" w14:textId="77777777" w:rsidTr="00FA69DA">
        <w:trPr>
          <w:trHeight w:val="115"/>
        </w:trPr>
        <w:tc>
          <w:tcPr>
            <w:tcW w:w="6924" w:type="dxa"/>
            <w:vMerge/>
            <w:tcBorders>
              <w:left w:val="single" w:sz="4" w:space="0" w:color="FFFFFF"/>
              <w:right w:val="single" w:sz="48" w:space="0" w:color="FFFFFF"/>
            </w:tcBorders>
            <w:shd w:val="clear" w:color="auto" w:fill="D9D9D9"/>
          </w:tcPr>
          <w:p w14:paraId="2051A331" w14:textId="77777777" w:rsidR="00FF7EF0" w:rsidRDefault="00FF7EF0" w:rsidP="00FA69DA">
            <w:pPr>
              <w:tabs>
                <w:tab w:val="left" w:pos="284"/>
                <w:tab w:val="left" w:pos="709"/>
              </w:tabs>
              <w:spacing w:after="120"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FFFFFF"/>
          </w:tcPr>
          <w:p w14:paraId="76EE40ED" w14:textId="77777777" w:rsidR="00FF7EF0" w:rsidRDefault="00FF7EF0" w:rsidP="00FA69DA">
            <w:pPr>
              <w:pStyle w:val="Paragrafobase"/>
              <w:spacing w:before="120" w:line="240" w:lineRule="exact"/>
              <w:ind w:left="175"/>
              <w:rPr>
                <w:rFonts w:ascii="Arial" w:hAnsi="Arial" w:cs="Arial"/>
                <w:sz w:val="21"/>
                <w:szCs w:val="21"/>
              </w:rPr>
            </w:pPr>
            <w:r>
              <w:rPr>
                <w:rFonts w:ascii="Arial Narrow" w:hAnsi="Arial Narrow" w:cs="Arial"/>
                <w:noProof/>
                <w:color w:val="FFFFFF"/>
                <w:sz w:val="22"/>
                <w:szCs w:val="22"/>
              </w:rPr>
              <w:drawing>
                <wp:anchor distT="0" distB="0" distL="114300" distR="114300" simplePos="0" relativeHeight="251662336" behindDoc="0" locked="0" layoutInCell="1" allowOverlap="1" wp14:anchorId="1CDE2706" wp14:editId="118BD07F">
                  <wp:simplePos x="0" y="0"/>
                  <wp:positionH relativeFrom="column">
                    <wp:posOffset>1388745</wp:posOffset>
                  </wp:positionH>
                  <wp:positionV relativeFrom="paragraph">
                    <wp:posOffset>142240</wp:posOffset>
                  </wp:positionV>
                  <wp:extent cx="647700" cy="628650"/>
                  <wp:effectExtent l="0" t="0" r="0" b="0"/>
                  <wp:wrapNone/>
                  <wp:docPr id="220" name="Immagine 9" descr="Descrizione: iconeComunicat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iconeComunicati-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noFill/>
                          <a:ln>
                            <a:noFill/>
                          </a:ln>
                        </pic:spPr>
                      </pic:pic>
                    </a:graphicData>
                  </a:graphic>
                </wp:anchor>
              </w:drawing>
            </w:r>
          </w:p>
        </w:tc>
      </w:tr>
      <w:tr w:rsidR="00FF7EF0" w:rsidRPr="00CD1632" w14:paraId="7DEDE2AC" w14:textId="77777777" w:rsidTr="00FA69DA">
        <w:trPr>
          <w:trHeight w:val="1873"/>
        </w:trPr>
        <w:tc>
          <w:tcPr>
            <w:tcW w:w="6924" w:type="dxa"/>
            <w:vMerge/>
            <w:tcBorders>
              <w:left w:val="single" w:sz="4" w:space="0" w:color="FFFFFF"/>
              <w:bottom w:val="nil"/>
              <w:right w:val="single" w:sz="48" w:space="0" w:color="FFFFFF"/>
            </w:tcBorders>
            <w:shd w:val="clear" w:color="auto" w:fill="D9D9D9"/>
          </w:tcPr>
          <w:p w14:paraId="32DA8F97" w14:textId="77777777" w:rsidR="00FF7EF0" w:rsidRDefault="00FF7EF0" w:rsidP="00FA69DA">
            <w:pPr>
              <w:tabs>
                <w:tab w:val="left" w:pos="284"/>
                <w:tab w:val="left" w:pos="709"/>
              </w:tabs>
              <w:spacing w:after="120"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E31C18"/>
          </w:tcPr>
          <w:p w14:paraId="05C35B57" w14:textId="77777777" w:rsidR="00FF7EF0" w:rsidRPr="006176BE" w:rsidRDefault="00FF7EF0" w:rsidP="00FA69DA">
            <w:pPr>
              <w:pStyle w:val="Paragrafobase"/>
              <w:spacing w:before="160" w:line="320" w:lineRule="exact"/>
              <w:ind w:left="175"/>
              <w:rPr>
                <w:rFonts w:ascii="Calibri" w:hAnsi="Calibri" w:cs="Arial"/>
                <w:b/>
                <w:color w:val="FFFFFF"/>
                <w:sz w:val="28"/>
                <w:szCs w:val="28"/>
                <w:lang w:val="en-US"/>
              </w:rPr>
            </w:pPr>
            <w:r w:rsidRPr="006176BE">
              <w:rPr>
                <w:rFonts w:ascii="Calibri" w:hAnsi="Calibri" w:cs="Arial"/>
                <w:b/>
                <w:color w:val="FFFFFF"/>
                <w:sz w:val="28"/>
                <w:szCs w:val="28"/>
                <w:lang w:val="en-US"/>
              </w:rPr>
              <w:t>Link utili</w:t>
            </w:r>
          </w:p>
          <w:p w14:paraId="3293D706" w14:textId="77777777" w:rsidR="00FF7EF0" w:rsidRPr="006176BE" w:rsidRDefault="00FF7EF0" w:rsidP="00FA69DA">
            <w:pPr>
              <w:pStyle w:val="Paragrafobase"/>
              <w:spacing w:before="100" w:line="240" w:lineRule="exact"/>
              <w:ind w:left="176"/>
              <w:rPr>
                <w:rStyle w:val="Collegamentoipertestuale"/>
                <w:rFonts w:cs="Arial"/>
                <w:color w:val="FFFFFF"/>
                <w:lang w:val="en-US"/>
              </w:rPr>
            </w:pPr>
          </w:p>
          <w:p w14:paraId="290796EE" w14:textId="77777777" w:rsidR="00CD1632" w:rsidRPr="006176BE" w:rsidRDefault="00AD4825" w:rsidP="00CD1632">
            <w:pPr>
              <w:pStyle w:val="Paragrafobase"/>
              <w:spacing w:before="100" w:line="240" w:lineRule="exact"/>
              <w:ind w:left="176"/>
              <w:rPr>
                <w:rFonts w:ascii="Arial" w:hAnsi="Arial" w:cs="Arial"/>
                <w:color w:val="FFFFFF" w:themeColor="background1"/>
                <w:sz w:val="20"/>
                <w:szCs w:val="20"/>
                <w:lang w:val="en-US"/>
              </w:rPr>
            </w:pPr>
            <w:hyperlink r:id="rId16" w:history="1">
              <w:r w:rsidR="00CD1632" w:rsidRPr="006176BE">
                <w:rPr>
                  <w:rStyle w:val="Collegamentoipertestuale"/>
                  <w:rFonts w:ascii="Arial Narrow" w:hAnsi="Arial Narrow" w:cs="Arial"/>
                  <w:color w:val="FFFFFF" w:themeColor="background1"/>
                  <w:sz w:val="22"/>
                  <w:szCs w:val="22"/>
                  <w:lang w:val="en-US"/>
                </w:rPr>
                <w:t>http://dati.istat.it</w:t>
              </w:r>
            </w:hyperlink>
          </w:p>
          <w:p w14:paraId="5696890B" w14:textId="77777777" w:rsidR="00CD1632" w:rsidRDefault="00AD4825" w:rsidP="00CD1632">
            <w:pPr>
              <w:pStyle w:val="Paragrafobase"/>
              <w:spacing w:before="100" w:line="240" w:lineRule="exact"/>
              <w:ind w:left="176"/>
              <w:rPr>
                <w:rStyle w:val="Collegamentoipertestuale"/>
                <w:rFonts w:ascii="Arial Narrow" w:hAnsi="Arial Narrow" w:cs="Arial"/>
                <w:color w:val="FFFFFF"/>
                <w:sz w:val="22"/>
                <w:szCs w:val="22"/>
                <w:lang w:val="en-US"/>
              </w:rPr>
            </w:pPr>
            <w:hyperlink r:id="rId17" w:history="1">
              <w:r w:rsidR="00CD1632" w:rsidRPr="006F2EB6">
                <w:rPr>
                  <w:rStyle w:val="Collegamentoipertestuale"/>
                  <w:rFonts w:ascii="Arial Narrow" w:hAnsi="Arial Narrow" w:cs="Arial"/>
                  <w:color w:val="FFFFFF"/>
                  <w:sz w:val="22"/>
                  <w:szCs w:val="22"/>
                  <w:lang w:val="en-US"/>
                </w:rPr>
                <w:t>http://www.istat.it/it/congiuntura</w:t>
              </w:r>
            </w:hyperlink>
          </w:p>
          <w:p w14:paraId="7E12D05A" w14:textId="082034CE" w:rsidR="00212E55" w:rsidRPr="00A44785" w:rsidRDefault="00AD4825" w:rsidP="00CD1632">
            <w:pPr>
              <w:pStyle w:val="Paragrafobase"/>
              <w:spacing w:before="100" w:line="240" w:lineRule="exact"/>
              <w:ind w:left="176"/>
              <w:rPr>
                <w:rFonts w:ascii="Arial Narrow" w:hAnsi="Arial Narrow" w:cs="Arial"/>
                <w:color w:val="FFFFFF"/>
                <w:sz w:val="22"/>
                <w:szCs w:val="20"/>
                <w:u w:val="single"/>
                <w:lang w:val="en-US"/>
              </w:rPr>
            </w:pPr>
            <w:hyperlink r:id="rId18" w:history="1">
              <w:r w:rsidR="00212E55" w:rsidRPr="00A44785">
                <w:rPr>
                  <w:rStyle w:val="Collegamentoipertestuale"/>
                  <w:rFonts w:ascii="Arial Narrow" w:hAnsi="Arial Narrow" w:cs="Arial"/>
                  <w:color w:val="FFFFFF"/>
                  <w:sz w:val="22"/>
                  <w:szCs w:val="20"/>
                  <w:lang w:val="en-US"/>
                </w:rPr>
                <w:t>https://www.coeweb.istat.it</w:t>
              </w:r>
            </w:hyperlink>
          </w:p>
          <w:p w14:paraId="2EF81296" w14:textId="77777777" w:rsidR="00FF7EF0" w:rsidRDefault="00FF7EF0" w:rsidP="00FA69DA">
            <w:pPr>
              <w:pStyle w:val="Paragrafobase"/>
              <w:spacing w:before="120" w:line="240" w:lineRule="exact"/>
              <w:ind w:left="175"/>
              <w:rPr>
                <w:rFonts w:ascii="Arial" w:hAnsi="Arial" w:cs="Arial"/>
                <w:sz w:val="21"/>
                <w:szCs w:val="21"/>
                <w:lang w:val="en-US"/>
              </w:rPr>
            </w:pPr>
          </w:p>
        </w:tc>
      </w:tr>
    </w:tbl>
    <w:p w14:paraId="50BBC040" w14:textId="77777777" w:rsidR="00A651E1" w:rsidRDefault="00A651E1">
      <w:pPr>
        <w:pStyle w:val="Paragrafobase"/>
        <w:spacing w:line="260" w:lineRule="exact"/>
        <w:rPr>
          <w:rFonts w:ascii="Arial" w:hAnsi="Arial" w:cs="Arial"/>
          <w:color w:val="auto"/>
          <w:sz w:val="21"/>
          <w:szCs w:val="21"/>
          <w:lang w:val="en-US"/>
        </w:rPr>
        <w:sectPr w:rsidR="00A651E1" w:rsidSect="00962644">
          <w:headerReference w:type="default" r:id="rId19"/>
          <w:pgSz w:w="11907" w:h="16840"/>
          <w:pgMar w:top="1870" w:right="851" w:bottom="567" w:left="851" w:header="284" w:footer="204" w:gutter="0"/>
          <w:cols w:space="720"/>
        </w:sectPr>
      </w:pPr>
    </w:p>
    <w:p w14:paraId="4DCB362F" w14:textId="77777777" w:rsidR="00CD5409" w:rsidRPr="00CD1632" w:rsidRDefault="00CD5409">
      <w:pPr>
        <w:tabs>
          <w:tab w:val="left" w:pos="7230"/>
        </w:tabs>
        <w:rPr>
          <w:rFonts w:ascii="Arial Narrow" w:hAnsi="Arial Narrow" w:cs="Arial"/>
          <w:b/>
          <w:bCs/>
          <w:color w:val="E42618"/>
          <w:sz w:val="22"/>
          <w:szCs w:val="22"/>
          <w:lang w:val="en-US"/>
        </w:rPr>
      </w:pPr>
    </w:p>
    <w:p w14:paraId="07EA883D" w14:textId="5C757F42" w:rsidR="00A651E1" w:rsidRPr="00AE5C79" w:rsidRDefault="00E777A0">
      <w:pPr>
        <w:tabs>
          <w:tab w:val="left" w:pos="7230"/>
        </w:tabs>
        <w:rPr>
          <w:rFonts w:ascii="Arial Narrow" w:hAnsi="Arial Narrow" w:cs="Arial"/>
          <w:color w:val="5F5F5F"/>
          <w:sz w:val="20"/>
        </w:rPr>
      </w:pPr>
      <w:r>
        <w:rPr>
          <w:rFonts w:ascii="Arial Narrow" w:hAnsi="Arial Narrow" w:cs="Arial"/>
          <w:b/>
          <w:bCs/>
          <w:color w:val="E42618"/>
          <w:sz w:val="22"/>
          <w:szCs w:val="22"/>
        </w:rPr>
        <w:t>FIGURA 1</w:t>
      </w:r>
      <w:r>
        <w:rPr>
          <w:rStyle w:val="001TitoGraRed"/>
          <w:b/>
          <w:color w:val="E42618"/>
        </w:rPr>
        <w:t>.</w:t>
      </w:r>
      <w:r>
        <w:rPr>
          <w:rFonts w:ascii="Arial Narrow" w:hAnsi="Arial Narrow" w:cs="Arial"/>
          <w:b/>
          <w:bCs/>
          <w:color w:val="5F5F5F"/>
          <w:sz w:val="22"/>
          <w:szCs w:val="22"/>
        </w:rPr>
        <w:t xml:space="preserve"> FLUSSI COMMERCIALI CON I PAESI EXTRA UE</w:t>
      </w:r>
      <w:r w:rsidR="006D23B8">
        <w:rPr>
          <w:rFonts w:ascii="Arial Narrow" w:hAnsi="Arial Narrow" w:cs="Arial"/>
          <w:b/>
          <w:bCs/>
          <w:color w:val="5F5F5F"/>
          <w:sz w:val="22"/>
          <w:szCs w:val="22"/>
        </w:rPr>
        <w:t xml:space="preserve">27 </w:t>
      </w:r>
      <w:r>
        <w:rPr>
          <w:rFonts w:ascii="Arial Narrow" w:hAnsi="Arial Narrow" w:cs="Arial"/>
          <w:b/>
          <w:bCs/>
          <w:color w:val="5F5F5F"/>
          <w:sz w:val="22"/>
          <w:szCs w:val="22"/>
        </w:rPr>
        <w:t>E SALDO COMMERCIALE</w:t>
      </w:r>
      <w:r>
        <w:rPr>
          <w:rFonts w:ascii="Arial Narrow" w:hAnsi="Arial Narrow" w:cs="Arial"/>
          <w:b/>
          <w:bCs/>
          <w:color w:val="5F5F5F"/>
          <w:sz w:val="22"/>
          <w:szCs w:val="22"/>
        </w:rPr>
        <w:br/>
      </w:r>
      <w:r w:rsidRPr="00AE5C79">
        <w:rPr>
          <w:rFonts w:ascii="Arial Narrow" w:hAnsi="Arial Narrow" w:cs="Arial"/>
          <w:color w:val="5F5F5F"/>
          <w:sz w:val="20"/>
        </w:rPr>
        <w:t>Gennaio 201</w:t>
      </w:r>
      <w:r w:rsidR="0073728C">
        <w:rPr>
          <w:rFonts w:ascii="Arial Narrow" w:hAnsi="Arial Narrow" w:cs="Arial"/>
          <w:color w:val="5F5F5F"/>
          <w:sz w:val="20"/>
        </w:rPr>
        <w:t>7</w:t>
      </w:r>
      <w:r w:rsidRPr="00AE5C79">
        <w:rPr>
          <w:rFonts w:ascii="Arial Narrow" w:hAnsi="Arial Narrow" w:cs="Arial"/>
          <w:color w:val="5F5F5F"/>
          <w:sz w:val="20"/>
        </w:rPr>
        <w:t xml:space="preserve"> - </w:t>
      </w:r>
      <w:r w:rsidR="0023747B">
        <w:rPr>
          <w:rFonts w:ascii="Arial Narrow" w:hAnsi="Arial Narrow" w:cs="Arial"/>
          <w:color w:val="5F5F5F"/>
          <w:sz w:val="20"/>
        </w:rPr>
        <w:t>settembre</w:t>
      </w:r>
      <w:r w:rsidR="0073728C">
        <w:rPr>
          <w:rFonts w:ascii="Arial Narrow" w:hAnsi="Arial Narrow" w:cs="Arial"/>
          <w:color w:val="5F5F5F"/>
          <w:sz w:val="20"/>
        </w:rPr>
        <w:t xml:space="preserve"> 2022</w:t>
      </w:r>
      <w:r w:rsidRPr="00AE5C79">
        <w:rPr>
          <w:rFonts w:ascii="Arial Narrow" w:hAnsi="Arial Narrow" w:cs="Arial"/>
          <w:color w:val="5F5F5F"/>
          <w:sz w:val="20"/>
        </w:rPr>
        <w:t>, importazioni ed esportazioni mensili, medie mobili a tre mesi (scala sinistra) e saldi (scala destra), in miliardi di euro. Dati destagionalizzati</w:t>
      </w:r>
    </w:p>
    <w:p w14:paraId="4B79337F" w14:textId="138E1EE1" w:rsidR="00A651E1" w:rsidRDefault="00EC2607">
      <w:pPr>
        <w:tabs>
          <w:tab w:val="left" w:pos="7230"/>
        </w:tabs>
        <w:spacing w:after="120"/>
        <w:rPr>
          <w:rFonts w:ascii="Arial Narrow" w:hAnsi="Arial Narrow" w:cs="Arial"/>
          <w:color w:val="5F5F5F"/>
        </w:rPr>
      </w:pPr>
      <w:r>
        <w:rPr>
          <w:noProof/>
        </w:rPr>
        <w:drawing>
          <wp:inline distT="0" distB="0" distL="0" distR="0" wp14:anchorId="4E434779" wp14:editId="27A95FA2">
            <wp:extent cx="6480175" cy="3230880"/>
            <wp:effectExtent l="0" t="0" r="0" b="762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B976D7" w14:textId="77777777" w:rsidR="00A651E1" w:rsidRDefault="00A651E1">
      <w:pPr>
        <w:tabs>
          <w:tab w:val="left" w:pos="7230"/>
        </w:tabs>
        <w:rPr>
          <w:rFonts w:ascii="Arial Narrow" w:hAnsi="Arial Narrow" w:cs="Arial"/>
          <w:b/>
          <w:bCs/>
          <w:color w:val="E42618"/>
          <w:sz w:val="2"/>
          <w:szCs w:val="22"/>
        </w:rPr>
      </w:pPr>
    </w:p>
    <w:p w14:paraId="7D10D890" w14:textId="77777777" w:rsidR="00CD5409" w:rsidRDefault="00CD5409">
      <w:pPr>
        <w:tabs>
          <w:tab w:val="left" w:pos="7230"/>
        </w:tabs>
        <w:rPr>
          <w:rFonts w:ascii="Arial Narrow" w:hAnsi="Arial Narrow" w:cs="Arial"/>
          <w:b/>
          <w:bCs/>
          <w:color w:val="E42618"/>
          <w:sz w:val="22"/>
          <w:szCs w:val="22"/>
        </w:rPr>
      </w:pPr>
    </w:p>
    <w:p w14:paraId="0A5110F0" w14:textId="25F5613F" w:rsidR="00A651E1" w:rsidRPr="00AE5C79" w:rsidRDefault="00E777A0">
      <w:pPr>
        <w:tabs>
          <w:tab w:val="left" w:pos="7230"/>
        </w:tabs>
        <w:rPr>
          <w:rFonts w:ascii="Arial Narrow" w:hAnsi="Arial Narrow" w:cs="Arial"/>
          <w:color w:val="5F5F5F"/>
          <w:sz w:val="20"/>
        </w:rPr>
      </w:pPr>
      <w:r>
        <w:rPr>
          <w:rFonts w:ascii="Arial Narrow" w:hAnsi="Arial Narrow" w:cs="Arial"/>
          <w:b/>
          <w:bCs/>
          <w:color w:val="E42618"/>
          <w:sz w:val="22"/>
          <w:szCs w:val="22"/>
        </w:rPr>
        <w:t>FIGURA 2</w:t>
      </w:r>
      <w:r>
        <w:rPr>
          <w:rStyle w:val="001TitoGraRed"/>
          <w:b/>
          <w:color w:val="E42618"/>
        </w:rPr>
        <w:t>.</w:t>
      </w:r>
      <w:r>
        <w:rPr>
          <w:rFonts w:ascii="Arial Narrow" w:hAnsi="Arial Narrow" w:cs="Arial"/>
          <w:b/>
          <w:bCs/>
          <w:color w:val="5F5F5F"/>
          <w:sz w:val="22"/>
          <w:szCs w:val="22"/>
        </w:rPr>
        <w:t xml:space="preserve"> FLUSSI COMMERCIALI CON I PAESI EXTRA UE</w:t>
      </w:r>
      <w:r w:rsidR="006D23B8">
        <w:rPr>
          <w:rFonts w:ascii="Arial Narrow" w:hAnsi="Arial Narrow" w:cs="Arial"/>
          <w:b/>
          <w:bCs/>
          <w:color w:val="5F5F5F"/>
          <w:sz w:val="22"/>
          <w:szCs w:val="22"/>
        </w:rPr>
        <w:t>27</w:t>
      </w:r>
      <w:r>
        <w:rPr>
          <w:rFonts w:ascii="Arial Narrow" w:hAnsi="Arial Narrow" w:cs="Arial"/>
          <w:b/>
          <w:bCs/>
          <w:color w:val="5F5F5F"/>
          <w:sz w:val="22"/>
          <w:szCs w:val="22"/>
        </w:rPr>
        <w:t>, VARIAZIONI PERCENTUALI TENDENZIALI</w:t>
      </w:r>
      <w:r>
        <w:rPr>
          <w:rFonts w:ascii="Arial Narrow" w:hAnsi="Arial Narrow" w:cs="Arial"/>
          <w:b/>
          <w:bCs/>
          <w:color w:val="5F5F5F"/>
          <w:sz w:val="22"/>
          <w:szCs w:val="22"/>
        </w:rPr>
        <w:br/>
      </w:r>
      <w:r w:rsidRPr="00AE5C79">
        <w:rPr>
          <w:rFonts w:ascii="Arial Narrow" w:hAnsi="Arial Narrow" w:cs="Arial"/>
          <w:color w:val="5F5F5F"/>
          <w:sz w:val="20"/>
        </w:rPr>
        <w:t>Gennaio 201</w:t>
      </w:r>
      <w:r w:rsidR="0073728C">
        <w:rPr>
          <w:rFonts w:ascii="Arial Narrow" w:hAnsi="Arial Narrow" w:cs="Arial"/>
          <w:color w:val="5F5F5F"/>
          <w:sz w:val="20"/>
        </w:rPr>
        <w:t>8</w:t>
      </w:r>
      <w:r w:rsidRPr="00AE5C79">
        <w:rPr>
          <w:rFonts w:ascii="Arial Narrow" w:hAnsi="Arial Narrow" w:cs="Arial"/>
          <w:color w:val="5F5F5F"/>
          <w:sz w:val="20"/>
        </w:rPr>
        <w:t xml:space="preserve"> - </w:t>
      </w:r>
      <w:r w:rsidR="0023747B">
        <w:rPr>
          <w:rFonts w:ascii="Arial Narrow" w:hAnsi="Arial Narrow" w:cs="Arial"/>
          <w:color w:val="5F5F5F"/>
          <w:sz w:val="20"/>
        </w:rPr>
        <w:t xml:space="preserve">settembre </w:t>
      </w:r>
      <w:r w:rsidR="0073728C">
        <w:rPr>
          <w:rFonts w:ascii="Arial Narrow" w:hAnsi="Arial Narrow" w:cs="Arial"/>
          <w:color w:val="5F5F5F"/>
          <w:sz w:val="20"/>
        </w:rPr>
        <w:t>2022</w:t>
      </w:r>
      <w:r w:rsidRPr="00AE5C79">
        <w:rPr>
          <w:rFonts w:ascii="Arial Narrow" w:hAnsi="Arial Narrow" w:cs="Arial"/>
          <w:color w:val="5F5F5F"/>
          <w:sz w:val="20"/>
        </w:rPr>
        <w:t>, dati grezzi</w:t>
      </w:r>
    </w:p>
    <w:p w14:paraId="63038E25" w14:textId="4B105864" w:rsidR="00A651E1" w:rsidRDefault="00EC2607">
      <w:pPr>
        <w:tabs>
          <w:tab w:val="left" w:pos="7230"/>
        </w:tabs>
        <w:rPr>
          <w:rFonts w:cs="Arial"/>
          <w:color w:val="5F5F5F"/>
        </w:rPr>
      </w:pPr>
      <w:r>
        <w:rPr>
          <w:noProof/>
        </w:rPr>
        <w:drawing>
          <wp:inline distT="0" distB="0" distL="0" distR="0" wp14:anchorId="4D1BC806" wp14:editId="7BF0C1F6">
            <wp:extent cx="6660000" cy="2196000"/>
            <wp:effectExtent l="0" t="0" r="7620" b="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70FBCF" w14:textId="77777777" w:rsidR="00A651E1" w:rsidRDefault="00A651E1">
      <w:pPr>
        <w:pStyle w:val="Corpotesto"/>
        <w:spacing w:after="120" w:line="240" w:lineRule="auto"/>
        <w:rPr>
          <w:rStyle w:val="001TitoGraRed"/>
          <w:rFonts w:ascii="Arial Narrow" w:hAnsi="Arial Narrow"/>
          <w:b/>
          <w:color w:val="E42618"/>
          <w:sz w:val="2"/>
          <w:szCs w:val="22"/>
        </w:rPr>
      </w:pPr>
    </w:p>
    <w:p w14:paraId="7B78E9EB" w14:textId="77777777" w:rsidR="00A651E1" w:rsidRDefault="00A651E1">
      <w:pPr>
        <w:pStyle w:val="Corpotesto"/>
        <w:spacing w:after="120" w:line="240" w:lineRule="auto"/>
        <w:rPr>
          <w:rStyle w:val="001TitoGraRed"/>
          <w:rFonts w:ascii="Arial Narrow" w:hAnsi="Arial Narrow"/>
          <w:b/>
          <w:color w:val="E42618"/>
          <w:sz w:val="2"/>
          <w:szCs w:val="22"/>
        </w:rPr>
      </w:pPr>
    </w:p>
    <w:p w14:paraId="68B2E5A3" w14:textId="77777777" w:rsidR="00CD5409" w:rsidRDefault="00CD5409">
      <w:pPr>
        <w:pStyle w:val="Corpotesto"/>
        <w:spacing w:line="240" w:lineRule="auto"/>
        <w:ind w:right="-142"/>
        <w:rPr>
          <w:rStyle w:val="001TitoGraRed"/>
          <w:rFonts w:ascii="Arial Narrow" w:hAnsi="Arial Narrow"/>
          <w:b/>
          <w:color w:val="E42618"/>
          <w:sz w:val="22"/>
          <w:szCs w:val="22"/>
        </w:rPr>
      </w:pPr>
    </w:p>
    <w:p w14:paraId="3220956D" w14:textId="77777777" w:rsidR="00A651E1" w:rsidRDefault="00E777A0">
      <w:pPr>
        <w:pStyle w:val="Corpotesto"/>
        <w:spacing w:line="240" w:lineRule="auto"/>
        <w:ind w:right="-142"/>
        <w:rPr>
          <w:rFonts w:ascii="Arial Narrow" w:hAnsi="Arial Narrow" w:cs="Arial"/>
          <w:b/>
          <w:color w:val="5F5F5F"/>
          <w:sz w:val="22"/>
        </w:rPr>
      </w:pPr>
      <w:r>
        <w:rPr>
          <w:rStyle w:val="001TitoGraRed"/>
          <w:rFonts w:ascii="Arial Narrow" w:hAnsi="Arial Narrow"/>
          <w:b/>
          <w:color w:val="E42618"/>
          <w:sz w:val="22"/>
          <w:szCs w:val="22"/>
        </w:rPr>
        <w:t>PROSPETTO 1</w:t>
      </w:r>
      <w:r>
        <w:rPr>
          <w:rStyle w:val="001TitoGraRed"/>
          <w:b/>
          <w:color w:val="E42618"/>
        </w:rPr>
        <w:t>.</w:t>
      </w:r>
      <w:r>
        <w:rPr>
          <w:rFonts w:ascii="Arial Narrow" w:hAnsi="Arial Narrow" w:cs="Arial"/>
          <w:color w:val="5F5F5F"/>
          <w:sz w:val="22"/>
          <w:szCs w:val="22"/>
        </w:rPr>
        <w:t xml:space="preserve"> </w:t>
      </w:r>
      <w:r>
        <w:rPr>
          <w:rFonts w:ascii="Arial Narrow" w:hAnsi="Arial Narrow" w:cs="Arial"/>
          <w:b/>
          <w:color w:val="5F5F5F"/>
          <w:sz w:val="22"/>
          <w:szCs w:val="22"/>
        </w:rPr>
        <w:t>ESPORTAZIONI, IMPORTAZIONI E SALDI DELLA BILANCIA COMMERCIALE CON I PAESI EXTRA UE</w:t>
      </w:r>
      <w:r w:rsidR="006D23B8">
        <w:rPr>
          <w:rFonts w:ascii="Arial Narrow" w:hAnsi="Arial Narrow" w:cs="Arial"/>
          <w:b/>
          <w:color w:val="5F5F5F"/>
          <w:sz w:val="22"/>
          <w:szCs w:val="22"/>
        </w:rPr>
        <w:t xml:space="preserve">27 </w:t>
      </w:r>
      <w:r>
        <w:rPr>
          <w:rFonts w:ascii="Arial Narrow" w:hAnsi="Arial Narrow" w:cs="Arial"/>
          <w:b/>
          <w:color w:val="5F5F5F"/>
          <w:sz w:val="22"/>
          <w:szCs w:val="22"/>
        </w:rPr>
        <w:t>(a)</w:t>
      </w:r>
      <w:r>
        <w:rPr>
          <w:rFonts w:ascii="Arial Narrow" w:hAnsi="Arial Narrow" w:cs="Arial"/>
          <w:color w:val="5F5F5F"/>
          <w:sz w:val="22"/>
          <w:szCs w:val="22"/>
        </w:rPr>
        <w:t xml:space="preserve">, </w:t>
      </w:r>
      <w:r>
        <w:rPr>
          <w:rFonts w:ascii="Arial Narrow" w:hAnsi="Arial Narrow" w:cs="Arial"/>
          <w:b/>
          <w:color w:val="5F5F5F"/>
          <w:sz w:val="22"/>
          <w:szCs w:val="22"/>
        </w:rPr>
        <w:t xml:space="preserve">VALORI ASSOLUTI E </w:t>
      </w:r>
      <w:r>
        <w:rPr>
          <w:rFonts w:ascii="Arial Narrow" w:hAnsi="Arial Narrow" w:cs="Arial"/>
          <w:b/>
          <w:color w:val="5F5F5F"/>
          <w:sz w:val="22"/>
        </w:rPr>
        <w:t>VARIAZIONI PERCENTUALI CONGIUNTURALI E TENDENZIALI</w:t>
      </w:r>
    </w:p>
    <w:p w14:paraId="27115010" w14:textId="2354C17E" w:rsidR="00A651E1" w:rsidRPr="00AE5C79" w:rsidRDefault="0023747B">
      <w:pPr>
        <w:pStyle w:val="Corpotesto"/>
        <w:spacing w:after="120" w:line="240" w:lineRule="auto"/>
        <w:ind w:right="-143"/>
        <w:rPr>
          <w:rFonts w:ascii="Arial Narrow" w:hAnsi="Arial Narrow" w:cs="Arial"/>
          <w:b/>
          <w:sz w:val="18"/>
          <w:szCs w:val="22"/>
        </w:rPr>
      </w:pPr>
      <w:r>
        <w:rPr>
          <w:rFonts w:ascii="Arial Narrow" w:hAnsi="Arial Narrow" w:cs="Arial"/>
          <w:color w:val="5F5F5F"/>
          <w:sz w:val="20"/>
        </w:rPr>
        <w:t>Settembre</w:t>
      </w:r>
      <w:r w:rsidR="0073728C">
        <w:rPr>
          <w:rFonts w:ascii="Arial Narrow" w:hAnsi="Arial Narrow" w:cs="Arial"/>
          <w:color w:val="5F5F5F"/>
          <w:sz w:val="20"/>
        </w:rPr>
        <w:t xml:space="preserve"> 2022</w:t>
      </w:r>
      <w:r w:rsidR="00E777A0" w:rsidRPr="00AE5C79">
        <w:rPr>
          <w:rFonts w:ascii="Arial Narrow" w:hAnsi="Arial Narrow" w:cs="Arial"/>
          <w:color w:val="5F5F5F"/>
          <w:sz w:val="20"/>
        </w:rPr>
        <w:t>, dati destagionalizzati e grezzi, valori in milioni di euro</w:t>
      </w:r>
    </w:p>
    <w:tbl>
      <w:tblPr>
        <w:tblW w:w="10206" w:type="dxa"/>
        <w:jc w:val="center"/>
        <w:tblBorders>
          <w:top w:val="single" w:sz="4" w:space="0" w:color="auto"/>
          <w:bottom w:val="single" w:sz="4" w:space="0" w:color="auto"/>
          <w:insideH w:val="single" w:sz="4" w:space="0" w:color="auto"/>
        </w:tblBorders>
        <w:tblLayout w:type="fixed"/>
        <w:tblCellMar>
          <w:left w:w="70" w:type="dxa"/>
          <w:right w:w="70" w:type="dxa"/>
        </w:tblCellMar>
        <w:tblLook w:val="0200" w:firstRow="0" w:lastRow="0" w:firstColumn="0" w:lastColumn="0" w:noHBand="1" w:noVBand="0"/>
      </w:tblPr>
      <w:tblGrid>
        <w:gridCol w:w="1560"/>
        <w:gridCol w:w="1277"/>
        <w:gridCol w:w="14"/>
        <w:gridCol w:w="944"/>
        <w:gridCol w:w="1167"/>
        <w:gridCol w:w="858"/>
        <w:gridCol w:w="1552"/>
        <w:gridCol w:w="1291"/>
        <w:gridCol w:w="1543"/>
      </w:tblGrid>
      <w:tr w:rsidR="0035032B" w14:paraId="0CDF5A0E" w14:textId="77777777" w:rsidTr="004B739E">
        <w:trPr>
          <w:trHeight w:val="255"/>
          <w:jc w:val="center"/>
        </w:trPr>
        <w:tc>
          <w:tcPr>
            <w:tcW w:w="1560" w:type="dxa"/>
            <w:vMerge w:val="restart"/>
            <w:vAlign w:val="bottom"/>
          </w:tcPr>
          <w:p w14:paraId="315DD932" w14:textId="77777777" w:rsidR="0035032B" w:rsidRDefault="0035032B" w:rsidP="004B739E">
            <w:pPr>
              <w:spacing w:before="40" w:after="20"/>
              <w:rPr>
                <w:rFonts w:ascii="Arial Narrow" w:hAnsi="Arial Narrow"/>
                <w:sz w:val="18"/>
              </w:rPr>
            </w:pPr>
            <w:r>
              <w:rPr>
                <w:rFonts w:ascii="Arial Narrow" w:hAnsi="Arial Narrow"/>
                <w:sz w:val="18"/>
              </w:rPr>
              <w:t> </w:t>
            </w:r>
          </w:p>
        </w:tc>
        <w:tc>
          <w:tcPr>
            <w:tcW w:w="3402" w:type="dxa"/>
            <w:gridSpan w:val="4"/>
            <w:shd w:val="clear" w:color="auto" w:fill="D9D9D9"/>
            <w:vAlign w:val="center"/>
          </w:tcPr>
          <w:p w14:paraId="78621B04" w14:textId="77777777" w:rsidR="0035032B" w:rsidRDefault="0035032B" w:rsidP="004B739E">
            <w:pPr>
              <w:spacing w:before="40" w:after="20"/>
              <w:jc w:val="center"/>
              <w:rPr>
                <w:rFonts w:ascii="Arial Narrow" w:hAnsi="Arial Narrow"/>
                <w:b/>
                <w:sz w:val="18"/>
              </w:rPr>
            </w:pPr>
            <w:r>
              <w:rPr>
                <w:rFonts w:ascii="Arial Narrow" w:hAnsi="Arial Narrow"/>
                <w:b/>
                <w:sz w:val="18"/>
              </w:rPr>
              <w:t>DATI DESTAGIONALIZZATI</w:t>
            </w:r>
          </w:p>
        </w:tc>
        <w:tc>
          <w:tcPr>
            <w:tcW w:w="5244" w:type="dxa"/>
            <w:gridSpan w:val="4"/>
            <w:vAlign w:val="center"/>
          </w:tcPr>
          <w:p w14:paraId="66B37012" w14:textId="77777777" w:rsidR="0035032B" w:rsidRDefault="0035032B" w:rsidP="004B739E">
            <w:pPr>
              <w:spacing w:before="40" w:after="20"/>
              <w:jc w:val="center"/>
              <w:rPr>
                <w:rFonts w:ascii="Arial Narrow" w:hAnsi="Arial Narrow"/>
                <w:b/>
                <w:sz w:val="18"/>
              </w:rPr>
            </w:pPr>
            <w:r>
              <w:rPr>
                <w:rFonts w:ascii="Arial Narrow" w:hAnsi="Arial Narrow"/>
                <w:b/>
                <w:sz w:val="18"/>
              </w:rPr>
              <w:t>DATI GREZZI</w:t>
            </w:r>
          </w:p>
        </w:tc>
      </w:tr>
      <w:tr w:rsidR="0035032B" w14:paraId="60794B16" w14:textId="77777777" w:rsidTr="004B739E">
        <w:trPr>
          <w:trHeight w:val="255"/>
          <w:jc w:val="center"/>
        </w:trPr>
        <w:tc>
          <w:tcPr>
            <w:tcW w:w="1560" w:type="dxa"/>
            <w:vMerge/>
            <w:vAlign w:val="bottom"/>
          </w:tcPr>
          <w:p w14:paraId="6F8E73B2" w14:textId="77777777" w:rsidR="0035032B" w:rsidRDefault="0035032B" w:rsidP="004B739E">
            <w:pPr>
              <w:spacing w:before="40" w:after="20"/>
              <w:rPr>
                <w:rFonts w:ascii="Arial Narrow" w:hAnsi="Arial Narrow"/>
                <w:sz w:val="18"/>
              </w:rPr>
            </w:pPr>
          </w:p>
        </w:tc>
        <w:tc>
          <w:tcPr>
            <w:tcW w:w="1277" w:type="dxa"/>
            <w:shd w:val="clear" w:color="auto" w:fill="FFFFFF"/>
            <w:vAlign w:val="center"/>
          </w:tcPr>
          <w:p w14:paraId="46F95EBD" w14:textId="77777777" w:rsidR="0035032B" w:rsidRDefault="0035032B" w:rsidP="004B739E">
            <w:pPr>
              <w:spacing w:before="40" w:after="20"/>
              <w:jc w:val="center"/>
              <w:rPr>
                <w:rFonts w:ascii="Arial Narrow" w:hAnsi="Arial Narrow"/>
                <w:b/>
                <w:sz w:val="18"/>
              </w:rPr>
            </w:pPr>
            <w:r>
              <w:rPr>
                <w:rFonts w:ascii="Arial Narrow" w:hAnsi="Arial Narrow"/>
                <w:b/>
                <w:sz w:val="18"/>
              </w:rPr>
              <w:t>Milioni di euro</w:t>
            </w:r>
          </w:p>
        </w:tc>
        <w:tc>
          <w:tcPr>
            <w:tcW w:w="2125" w:type="dxa"/>
            <w:gridSpan w:val="3"/>
            <w:shd w:val="clear" w:color="auto" w:fill="D9D9D9"/>
            <w:vAlign w:val="center"/>
          </w:tcPr>
          <w:p w14:paraId="67B441DD" w14:textId="77777777" w:rsidR="0035032B" w:rsidRDefault="0035032B" w:rsidP="004B739E">
            <w:pPr>
              <w:spacing w:before="40" w:after="20"/>
              <w:jc w:val="center"/>
              <w:rPr>
                <w:rFonts w:ascii="Arial Narrow" w:hAnsi="Arial Narrow"/>
                <w:b/>
                <w:sz w:val="18"/>
              </w:rPr>
            </w:pPr>
            <w:r>
              <w:rPr>
                <w:rFonts w:ascii="Arial Narrow" w:hAnsi="Arial Narrow"/>
                <w:b/>
                <w:sz w:val="18"/>
              </w:rPr>
              <w:t>Variazioni %</w:t>
            </w:r>
          </w:p>
        </w:tc>
        <w:tc>
          <w:tcPr>
            <w:tcW w:w="2410" w:type="dxa"/>
            <w:gridSpan w:val="2"/>
            <w:shd w:val="clear" w:color="auto" w:fill="FFFFFF"/>
            <w:vAlign w:val="center"/>
          </w:tcPr>
          <w:p w14:paraId="094FA6E3" w14:textId="77777777" w:rsidR="0035032B" w:rsidRDefault="0035032B" w:rsidP="004B739E">
            <w:pPr>
              <w:spacing w:before="40" w:after="20"/>
              <w:jc w:val="center"/>
              <w:rPr>
                <w:rFonts w:ascii="Arial Narrow" w:hAnsi="Arial Narrow"/>
                <w:b/>
                <w:sz w:val="18"/>
              </w:rPr>
            </w:pPr>
            <w:r>
              <w:rPr>
                <w:rFonts w:ascii="Arial Narrow" w:hAnsi="Arial Narrow"/>
                <w:b/>
                <w:sz w:val="18"/>
              </w:rPr>
              <w:t>Milioni di euro</w:t>
            </w:r>
          </w:p>
        </w:tc>
        <w:tc>
          <w:tcPr>
            <w:tcW w:w="2834" w:type="dxa"/>
            <w:gridSpan w:val="2"/>
            <w:shd w:val="clear" w:color="auto" w:fill="D9D9D9"/>
            <w:vAlign w:val="center"/>
          </w:tcPr>
          <w:p w14:paraId="4FC1FFA5" w14:textId="77777777" w:rsidR="0035032B" w:rsidRDefault="0035032B" w:rsidP="004B739E">
            <w:pPr>
              <w:jc w:val="center"/>
            </w:pPr>
            <w:r>
              <w:rPr>
                <w:rFonts w:ascii="Arial Narrow" w:hAnsi="Arial Narrow"/>
                <w:b/>
                <w:sz w:val="18"/>
              </w:rPr>
              <w:t>Variazioni %</w:t>
            </w:r>
          </w:p>
        </w:tc>
      </w:tr>
      <w:tr w:rsidR="0035032B" w14:paraId="5ED77204" w14:textId="77777777" w:rsidTr="004B739E">
        <w:trPr>
          <w:trHeight w:val="255"/>
          <w:jc w:val="center"/>
        </w:trPr>
        <w:tc>
          <w:tcPr>
            <w:tcW w:w="1560" w:type="dxa"/>
            <w:vMerge/>
            <w:vAlign w:val="bottom"/>
          </w:tcPr>
          <w:p w14:paraId="28426548" w14:textId="77777777" w:rsidR="0035032B" w:rsidRDefault="0035032B" w:rsidP="004B739E">
            <w:pPr>
              <w:spacing w:before="40" w:after="20"/>
              <w:rPr>
                <w:rFonts w:ascii="Arial Narrow" w:hAnsi="Arial Narrow"/>
                <w:sz w:val="18"/>
              </w:rPr>
            </w:pPr>
          </w:p>
        </w:tc>
        <w:tc>
          <w:tcPr>
            <w:tcW w:w="1291" w:type="dxa"/>
            <w:gridSpan w:val="2"/>
            <w:shd w:val="clear" w:color="auto" w:fill="FFFFFF"/>
            <w:vAlign w:val="center"/>
          </w:tcPr>
          <w:p w14:paraId="16345047" w14:textId="7D6FCA2D" w:rsidR="0035032B" w:rsidRDefault="00061A6E" w:rsidP="004B739E">
            <w:pPr>
              <w:spacing w:before="40" w:after="20"/>
              <w:jc w:val="center"/>
              <w:rPr>
                <w:rFonts w:ascii="Arial Narrow" w:hAnsi="Arial Narrow"/>
                <w:sz w:val="18"/>
                <w:szCs w:val="18"/>
              </w:rPr>
            </w:pPr>
            <w:r>
              <w:rPr>
                <w:rFonts w:ascii="Arial Narrow" w:hAnsi="Arial Narrow"/>
                <w:sz w:val="18"/>
                <w:szCs w:val="18"/>
              </w:rPr>
              <w:t>set</w:t>
            </w:r>
            <w:r w:rsidR="0035032B">
              <w:rPr>
                <w:rFonts w:ascii="Arial Narrow" w:hAnsi="Arial Narrow"/>
                <w:sz w:val="18"/>
                <w:szCs w:val="18"/>
              </w:rPr>
              <w:t xml:space="preserve"> 2022</w:t>
            </w:r>
          </w:p>
        </w:tc>
        <w:tc>
          <w:tcPr>
            <w:tcW w:w="944" w:type="dxa"/>
            <w:shd w:val="clear" w:color="auto" w:fill="FFFFFF"/>
            <w:vAlign w:val="center"/>
          </w:tcPr>
          <w:p w14:paraId="6FF87474" w14:textId="3E16D9C0" w:rsidR="0035032B" w:rsidRDefault="0023747B" w:rsidP="004B739E">
            <w:pPr>
              <w:spacing w:before="40" w:after="20"/>
              <w:jc w:val="center"/>
              <w:rPr>
                <w:rFonts w:ascii="Arial Narrow" w:hAnsi="Arial Narrow"/>
                <w:sz w:val="18"/>
                <w:szCs w:val="18"/>
                <w:u w:val="single"/>
              </w:rPr>
            </w:pPr>
            <w:r>
              <w:rPr>
                <w:rFonts w:ascii="Arial Narrow" w:hAnsi="Arial Narrow"/>
                <w:sz w:val="18"/>
                <w:szCs w:val="18"/>
                <w:u w:val="single"/>
              </w:rPr>
              <w:t>set</w:t>
            </w:r>
            <w:r w:rsidR="0035032B">
              <w:rPr>
                <w:rFonts w:ascii="Arial Narrow" w:hAnsi="Arial Narrow"/>
                <w:sz w:val="18"/>
                <w:szCs w:val="18"/>
                <w:u w:val="single"/>
              </w:rPr>
              <w:t xml:space="preserve"> 22</w:t>
            </w:r>
          </w:p>
          <w:p w14:paraId="29987CFB" w14:textId="5F4C96C7" w:rsidR="0035032B" w:rsidRDefault="0023747B" w:rsidP="004B739E">
            <w:pPr>
              <w:spacing w:before="40" w:after="20"/>
              <w:jc w:val="center"/>
              <w:rPr>
                <w:rFonts w:ascii="Arial Narrow" w:hAnsi="Arial Narrow"/>
                <w:sz w:val="18"/>
                <w:szCs w:val="18"/>
                <w:u w:val="single"/>
              </w:rPr>
            </w:pPr>
            <w:r>
              <w:rPr>
                <w:rFonts w:ascii="Arial Narrow" w:hAnsi="Arial Narrow"/>
                <w:sz w:val="18"/>
                <w:szCs w:val="18"/>
              </w:rPr>
              <w:t>ago</w:t>
            </w:r>
            <w:r w:rsidR="0035032B">
              <w:rPr>
                <w:rFonts w:ascii="Arial Narrow" w:hAnsi="Arial Narrow"/>
                <w:sz w:val="18"/>
                <w:szCs w:val="18"/>
              </w:rPr>
              <w:t xml:space="preserve"> 22</w:t>
            </w:r>
          </w:p>
        </w:tc>
        <w:tc>
          <w:tcPr>
            <w:tcW w:w="1167" w:type="dxa"/>
            <w:shd w:val="clear" w:color="auto" w:fill="FFFFFF"/>
            <w:vAlign w:val="center"/>
          </w:tcPr>
          <w:p w14:paraId="59FF5FF4" w14:textId="4EED8ACB" w:rsidR="0035032B" w:rsidRDefault="0023747B" w:rsidP="004B739E">
            <w:pPr>
              <w:spacing w:before="40" w:after="20"/>
              <w:jc w:val="center"/>
              <w:rPr>
                <w:rFonts w:ascii="Arial Narrow" w:hAnsi="Arial Narrow"/>
                <w:sz w:val="18"/>
                <w:szCs w:val="18"/>
                <w:u w:val="single"/>
              </w:rPr>
            </w:pPr>
            <w:proofErr w:type="spellStart"/>
            <w:r>
              <w:rPr>
                <w:rFonts w:ascii="Arial Narrow" w:hAnsi="Arial Narrow"/>
                <w:sz w:val="18"/>
                <w:szCs w:val="18"/>
                <w:u w:val="single"/>
              </w:rPr>
              <w:t>lug</w:t>
            </w:r>
            <w:proofErr w:type="spellEnd"/>
            <w:r w:rsidR="006B4B70">
              <w:rPr>
                <w:rFonts w:ascii="Arial Narrow" w:hAnsi="Arial Narrow"/>
                <w:sz w:val="18"/>
                <w:szCs w:val="18"/>
                <w:u w:val="single"/>
              </w:rPr>
              <w:t>-</w:t>
            </w:r>
            <w:r w:rsidR="00061A6E">
              <w:rPr>
                <w:rFonts w:ascii="Arial Narrow" w:hAnsi="Arial Narrow"/>
                <w:sz w:val="18"/>
                <w:szCs w:val="18"/>
                <w:u w:val="single"/>
              </w:rPr>
              <w:t>set</w:t>
            </w:r>
            <w:r w:rsidR="0035032B">
              <w:rPr>
                <w:rFonts w:ascii="Arial Narrow" w:hAnsi="Arial Narrow"/>
                <w:sz w:val="18"/>
                <w:szCs w:val="18"/>
                <w:u w:val="single"/>
              </w:rPr>
              <w:t xml:space="preserve"> 22</w:t>
            </w:r>
          </w:p>
          <w:p w14:paraId="35110B61" w14:textId="64845DEF" w:rsidR="0035032B" w:rsidRDefault="0023747B" w:rsidP="0023747B">
            <w:pPr>
              <w:spacing w:before="40" w:after="20"/>
              <w:jc w:val="center"/>
              <w:rPr>
                <w:rFonts w:ascii="Arial Narrow" w:hAnsi="Arial Narrow"/>
                <w:sz w:val="18"/>
                <w:szCs w:val="18"/>
              </w:rPr>
            </w:pPr>
            <w:r>
              <w:rPr>
                <w:rFonts w:ascii="Arial Narrow" w:hAnsi="Arial Narrow"/>
                <w:sz w:val="18"/>
                <w:szCs w:val="18"/>
              </w:rPr>
              <w:t>apr</w:t>
            </w:r>
            <w:r w:rsidR="0035032B">
              <w:rPr>
                <w:rFonts w:ascii="Arial Narrow" w:hAnsi="Arial Narrow"/>
                <w:sz w:val="18"/>
                <w:szCs w:val="18"/>
              </w:rPr>
              <w:t>-</w:t>
            </w:r>
            <w:r>
              <w:rPr>
                <w:rFonts w:ascii="Arial Narrow" w:hAnsi="Arial Narrow"/>
                <w:sz w:val="18"/>
                <w:szCs w:val="18"/>
              </w:rPr>
              <w:t>giu</w:t>
            </w:r>
            <w:r w:rsidR="0035032B">
              <w:rPr>
                <w:rFonts w:ascii="Arial Narrow" w:hAnsi="Arial Narrow"/>
                <w:sz w:val="18"/>
                <w:szCs w:val="18"/>
              </w:rPr>
              <w:t xml:space="preserve"> 2</w:t>
            </w:r>
            <w:r w:rsidR="00AF654C">
              <w:rPr>
                <w:rFonts w:ascii="Arial Narrow" w:hAnsi="Arial Narrow"/>
                <w:sz w:val="18"/>
                <w:szCs w:val="18"/>
              </w:rPr>
              <w:t>2</w:t>
            </w:r>
          </w:p>
        </w:tc>
        <w:tc>
          <w:tcPr>
            <w:tcW w:w="858" w:type="dxa"/>
            <w:shd w:val="clear" w:color="auto" w:fill="FFFFFF"/>
            <w:vAlign w:val="center"/>
          </w:tcPr>
          <w:p w14:paraId="69EE45C1" w14:textId="19D5E84D" w:rsidR="0035032B" w:rsidRDefault="00061A6E" w:rsidP="004B739E">
            <w:pPr>
              <w:spacing w:before="40" w:after="20"/>
              <w:jc w:val="center"/>
              <w:rPr>
                <w:rFonts w:ascii="Arial Narrow" w:hAnsi="Arial Narrow"/>
                <w:sz w:val="18"/>
                <w:szCs w:val="18"/>
              </w:rPr>
            </w:pPr>
            <w:r>
              <w:rPr>
                <w:rFonts w:ascii="Arial Narrow" w:hAnsi="Arial Narrow"/>
                <w:sz w:val="18"/>
                <w:szCs w:val="18"/>
              </w:rPr>
              <w:t>set</w:t>
            </w:r>
            <w:r w:rsidR="0035032B">
              <w:rPr>
                <w:rFonts w:ascii="Arial Narrow" w:hAnsi="Arial Narrow"/>
                <w:sz w:val="18"/>
                <w:szCs w:val="18"/>
              </w:rPr>
              <w:t xml:space="preserve"> 2022</w:t>
            </w:r>
          </w:p>
        </w:tc>
        <w:tc>
          <w:tcPr>
            <w:tcW w:w="1552" w:type="dxa"/>
            <w:shd w:val="clear" w:color="auto" w:fill="FFFFFF"/>
            <w:vAlign w:val="center"/>
          </w:tcPr>
          <w:p w14:paraId="74F6DBD2" w14:textId="11661AC3" w:rsidR="0035032B" w:rsidRDefault="0035032B" w:rsidP="0023747B">
            <w:pPr>
              <w:spacing w:before="40" w:after="20"/>
              <w:jc w:val="center"/>
              <w:rPr>
                <w:rFonts w:ascii="Arial Narrow" w:hAnsi="Arial Narrow"/>
                <w:sz w:val="18"/>
                <w:szCs w:val="18"/>
              </w:rPr>
            </w:pPr>
            <w:proofErr w:type="spellStart"/>
            <w:r>
              <w:rPr>
                <w:rFonts w:ascii="Arial Narrow" w:hAnsi="Arial Narrow"/>
                <w:sz w:val="18"/>
                <w:szCs w:val="18"/>
              </w:rPr>
              <w:t>gen</w:t>
            </w:r>
            <w:proofErr w:type="spellEnd"/>
            <w:r>
              <w:rPr>
                <w:rFonts w:ascii="Arial Narrow" w:hAnsi="Arial Narrow"/>
                <w:sz w:val="18"/>
                <w:szCs w:val="18"/>
              </w:rPr>
              <w:t>-</w:t>
            </w:r>
            <w:r w:rsidR="00061A6E">
              <w:rPr>
                <w:rFonts w:ascii="Arial Narrow" w:hAnsi="Arial Narrow"/>
                <w:sz w:val="18"/>
                <w:szCs w:val="18"/>
              </w:rPr>
              <w:t>set</w:t>
            </w:r>
            <w:r>
              <w:rPr>
                <w:rFonts w:ascii="Arial Narrow" w:hAnsi="Arial Narrow"/>
                <w:sz w:val="18"/>
                <w:szCs w:val="18"/>
              </w:rPr>
              <w:t xml:space="preserve"> 22</w:t>
            </w:r>
          </w:p>
        </w:tc>
        <w:tc>
          <w:tcPr>
            <w:tcW w:w="1291" w:type="dxa"/>
            <w:shd w:val="clear" w:color="auto" w:fill="FFFFFF"/>
            <w:vAlign w:val="center"/>
          </w:tcPr>
          <w:p w14:paraId="3D5BF7E8" w14:textId="49EE06E7" w:rsidR="0035032B" w:rsidRDefault="00061A6E" w:rsidP="004B739E">
            <w:pPr>
              <w:spacing w:before="40" w:after="20"/>
              <w:jc w:val="center"/>
              <w:rPr>
                <w:rFonts w:ascii="Arial Narrow" w:hAnsi="Arial Narrow"/>
                <w:sz w:val="18"/>
                <w:szCs w:val="18"/>
                <w:u w:val="single"/>
              </w:rPr>
            </w:pPr>
            <w:r>
              <w:rPr>
                <w:rFonts w:ascii="Arial Narrow" w:hAnsi="Arial Narrow"/>
                <w:sz w:val="18"/>
                <w:szCs w:val="18"/>
                <w:u w:val="single"/>
              </w:rPr>
              <w:t>set</w:t>
            </w:r>
            <w:r w:rsidR="0035032B">
              <w:rPr>
                <w:rFonts w:ascii="Arial Narrow" w:hAnsi="Arial Narrow"/>
                <w:sz w:val="18"/>
                <w:szCs w:val="18"/>
                <w:u w:val="single"/>
              </w:rPr>
              <w:t xml:space="preserve"> 22</w:t>
            </w:r>
          </w:p>
          <w:p w14:paraId="0C42596C" w14:textId="52F73AB5" w:rsidR="0035032B" w:rsidRDefault="00061A6E" w:rsidP="004B739E">
            <w:pPr>
              <w:spacing w:before="40" w:after="20"/>
              <w:jc w:val="center"/>
              <w:rPr>
                <w:rFonts w:ascii="Arial Narrow" w:hAnsi="Arial Narrow"/>
                <w:sz w:val="18"/>
                <w:szCs w:val="18"/>
                <w:u w:val="single"/>
              </w:rPr>
            </w:pPr>
            <w:r>
              <w:rPr>
                <w:rFonts w:ascii="Arial Narrow" w:hAnsi="Arial Narrow"/>
                <w:sz w:val="18"/>
                <w:szCs w:val="18"/>
              </w:rPr>
              <w:t>set</w:t>
            </w:r>
            <w:r w:rsidR="0035032B">
              <w:rPr>
                <w:rFonts w:ascii="Arial Narrow" w:hAnsi="Arial Narrow"/>
                <w:sz w:val="18"/>
                <w:szCs w:val="18"/>
              </w:rPr>
              <w:t xml:space="preserve"> 21</w:t>
            </w:r>
          </w:p>
        </w:tc>
        <w:tc>
          <w:tcPr>
            <w:tcW w:w="1543" w:type="dxa"/>
            <w:shd w:val="clear" w:color="auto" w:fill="FFFFFF"/>
            <w:vAlign w:val="center"/>
          </w:tcPr>
          <w:p w14:paraId="686D4B6A" w14:textId="68A99917" w:rsidR="0035032B" w:rsidRDefault="0035032B" w:rsidP="004B739E">
            <w:pPr>
              <w:spacing w:before="40" w:after="20"/>
              <w:jc w:val="center"/>
              <w:rPr>
                <w:rFonts w:ascii="Arial Narrow" w:hAnsi="Arial Narrow"/>
                <w:sz w:val="18"/>
                <w:szCs w:val="18"/>
                <w:u w:val="single"/>
              </w:rPr>
            </w:pPr>
            <w:proofErr w:type="spellStart"/>
            <w:r>
              <w:rPr>
                <w:rFonts w:ascii="Arial Narrow" w:hAnsi="Arial Narrow"/>
                <w:sz w:val="18"/>
                <w:szCs w:val="18"/>
                <w:u w:val="single"/>
              </w:rPr>
              <w:t>gen</w:t>
            </w:r>
            <w:proofErr w:type="spellEnd"/>
            <w:r>
              <w:rPr>
                <w:rFonts w:ascii="Arial Narrow" w:hAnsi="Arial Narrow"/>
                <w:sz w:val="18"/>
                <w:szCs w:val="18"/>
                <w:u w:val="single"/>
              </w:rPr>
              <w:t>-</w:t>
            </w:r>
            <w:r w:rsidR="00AA6234">
              <w:rPr>
                <w:rFonts w:ascii="Arial Narrow" w:hAnsi="Arial Narrow"/>
                <w:sz w:val="18"/>
                <w:szCs w:val="18"/>
                <w:u w:val="single"/>
              </w:rPr>
              <w:t>set</w:t>
            </w:r>
            <w:r>
              <w:rPr>
                <w:rFonts w:ascii="Arial Narrow" w:hAnsi="Arial Narrow"/>
                <w:sz w:val="18"/>
                <w:szCs w:val="18"/>
                <w:u w:val="single"/>
              </w:rPr>
              <w:t xml:space="preserve"> 22</w:t>
            </w:r>
          </w:p>
          <w:p w14:paraId="43F310C7" w14:textId="50E39228" w:rsidR="0035032B" w:rsidRDefault="0035032B" w:rsidP="0023747B">
            <w:pPr>
              <w:spacing w:before="40" w:after="20"/>
              <w:jc w:val="center"/>
              <w:rPr>
                <w:rFonts w:ascii="Arial Narrow" w:hAnsi="Arial Narrow"/>
                <w:sz w:val="18"/>
                <w:szCs w:val="18"/>
                <w:u w:val="single"/>
              </w:rPr>
            </w:pPr>
            <w:proofErr w:type="spellStart"/>
            <w:r>
              <w:rPr>
                <w:rFonts w:ascii="Arial Narrow" w:hAnsi="Arial Narrow"/>
                <w:sz w:val="18"/>
                <w:szCs w:val="18"/>
              </w:rPr>
              <w:t>gen</w:t>
            </w:r>
            <w:proofErr w:type="spellEnd"/>
            <w:r>
              <w:rPr>
                <w:rFonts w:ascii="Arial Narrow" w:hAnsi="Arial Narrow"/>
                <w:sz w:val="18"/>
                <w:szCs w:val="18"/>
              </w:rPr>
              <w:t>-</w:t>
            </w:r>
            <w:r w:rsidR="00AA6234">
              <w:rPr>
                <w:rFonts w:ascii="Arial Narrow" w:hAnsi="Arial Narrow"/>
                <w:sz w:val="18"/>
                <w:szCs w:val="18"/>
              </w:rPr>
              <w:t>set</w:t>
            </w:r>
            <w:r>
              <w:rPr>
                <w:rFonts w:ascii="Arial Narrow" w:hAnsi="Arial Narrow"/>
                <w:sz w:val="18"/>
                <w:szCs w:val="18"/>
              </w:rPr>
              <w:t xml:space="preserve"> 21</w:t>
            </w:r>
          </w:p>
        </w:tc>
      </w:tr>
      <w:tr w:rsidR="00EC2607" w:rsidRPr="00994790" w14:paraId="07174D1A" w14:textId="77777777" w:rsidTr="004B739E">
        <w:trPr>
          <w:trHeight w:val="255"/>
          <w:jc w:val="center"/>
        </w:trPr>
        <w:tc>
          <w:tcPr>
            <w:tcW w:w="1560" w:type="dxa"/>
            <w:vAlign w:val="bottom"/>
          </w:tcPr>
          <w:p w14:paraId="0A3DE77C" w14:textId="77777777" w:rsidR="00EC2607" w:rsidRDefault="00EC2607" w:rsidP="00EC2607">
            <w:pPr>
              <w:spacing w:before="40"/>
              <w:rPr>
                <w:rFonts w:ascii="Arial Narrow" w:hAnsi="Arial Narrow"/>
                <w:sz w:val="18"/>
              </w:rPr>
            </w:pPr>
            <w:r>
              <w:rPr>
                <w:rFonts w:ascii="Arial Narrow" w:hAnsi="Arial Narrow"/>
                <w:sz w:val="18"/>
              </w:rPr>
              <w:t>Esportazioni</w:t>
            </w:r>
          </w:p>
        </w:tc>
        <w:tc>
          <w:tcPr>
            <w:tcW w:w="1291" w:type="dxa"/>
            <w:gridSpan w:val="2"/>
            <w:shd w:val="clear" w:color="auto" w:fill="D9D9D9"/>
            <w:vAlign w:val="bottom"/>
          </w:tcPr>
          <w:p w14:paraId="03E64655" w14:textId="3E51543E" w:rsidR="00EC2607" w:rsidRDefault="00EC2607" w:rsidP="00EC2607">
            <w:pPr>
              <w:jc w:val="center"/>
              <w:rPr>
                <w:rFonts w:ascii="Arial Narrow" w:hAnsi="Arial Narrow"/>
                <w:sz w:val="18"/>
                <w:szCs w:val="18"/>
              </w:rPr>
            </w:pPr>
            <w:r>
              <w:rPr>
                <w:rFonts w:ascii="Arial Narrow" w:hAnsi="Arial Narrow"/>
                <w:sz w:val="18"/>
                <w:szCs w:val="18"/>
              </w:rPr>
              <w:t>+25.721</w:t>
            </w:r>
          </w:p>
        </w:tc>
        <w:tc>
          <w:tcPr>
            <w:tcW w:w="944" w:type="dxa"/>
            <w:shd w:val="clear" w:color="auto" w:fill="FFFFFF"/>
            <w:vAlign w:val="bottom"/>
          </w:tcPr>
          <w:p w14:paraId="3424ECE4" w14:textId="5E5760BC" w:rsidR="00EC2607" w:rsidRDefault="00EC2607" w:rsidP="00EC2607">
            <w:pPr>
              <w:jc w:val="center"/>
              <w:rPr>
                <w:rFonts w:ascii="Arial Narrow" w:hAnsi="Arial Narrow"/>
                <w:sz w:val="18"/>
                <w:szCs w:val="18"/>
              </w:rPr>
            </w:pPr>
            <w:r>
              <w:rPr>
                <w:rFonts w:ascii="Arial Narrow" w:hAnsi="Arial Narrow"/>
                <w:sz w:val="18"/>
                <w:szCs w:val="18"/>
              </w:rPr>
              <w:t>+5,9</w:t>
            </w:r>
          </w:p>
        </w:tc>
        <w:tc>
          <w:tcPr>
            <w:tcW w:w="1167" w:type="dxa"/>
            <w:shd w:val="clear" w:color="auto" w:fill="D9D9D9"/>
            <w:vAlign w:val="bottom"/>
          </w:tcPr>
          <w:p w14:paraId="07A0C1A5" w14:textId="4634C8EB" w:rsidR="00EC2607" w:rsidRDefault="00EC2607" w:rsidP="00EC2607">
            <w:pPr>
              <w:jc w:val="center"/>
              <w:rPr>
                <w:rFonts w:ascii="Arial Narrow" w:hAnsi="Arial Narrow"/>
                <w:sz w:val="18"/>
                <w:szCs w:val="18"/>
              </w:rPr>
            </w:pPr>
            <w:r>
              <w:rPr>
                <w:rFonts w:ascii="Arial Narrow" w:hAnsi="Arial Narrow"/>
                <w:sz w:val="18"/>
                <w:szCs w:val="18"/>
              </w:rPr>
              <w:t>+3,4</w:t>
            </w:r>
          </w:p>
        </w:tc>
        <w:tc>
          <w:tcPr>
            <w:tcW w:w="858" w:type="dxa"/>
            <w:shd w:val="clear" w:color="auto" w:fill="FFFFFF"/>
            <w:vAlign w:val="bottom"/>
          </w:tcPr>
          <w:p w14:paraId="3D31901D" w14:textId="6E1013F1" w:rsidR="00EC2607" w:rsidRDefault="00EC2607" w:rsidP="00EC2607">
            <w:pPr>
              <w:jc w:val="center"/>
              <w:rPr>
                <w:rFonts w:ascii="Arial Narrow" w:hAnsi="Arial Narrow"/>
                <w:sz w:val="18"/>
                <w:szCs w:val="18"/>
              </w:rPr>
            </w:pPr>
            <w:r>
              <w:rPr>
                <w:rFonts w:ascii="Arial Narrow" w:hAnsi="Arial Narrow"/>
                <w:sz w:val="18"/>
                <w:szCs w:val="18"/>
              </w:rPr>
              <w:t>+25.701</w:t>
            </w:r>
          </w:p>
        </w:tc>
        <w:tc>
          <w:tcPr>
            <w:tcW w:w="1552" w:type="dxa"/>
            <w:shd w:val="clear" w:color="auto" w:fill="D9D9D9"/>
            <w:vAlign w:val="bottom"/>
          </w:tcPr>
          <w:p w14:paraId="317272B7" w14:textId="387FD9B1" w:rsidR="00EC2607" w:rsidRDefault="00EC2607" w:rsidP="00EC2607">
            <w:pPr>
              <w:jc w:val="center"/>
              <w:rPr>
                <w:rFonts w:ascii="Arial Narrow" w:hAnsi="Arial Narrow"/>
                <w:sz w:val="18"/>
                <w:szCs w:val="18"/>
              </w:rPr>
            </w:pPr>
            <w:r>
              <w:rPr>
                <w:rFonts w:ascii="Arial Narrow" w:hAnsi="Arial Narrow"/>
                <w:sz w:val="18"/>
                <w:szCs w:val="18"/>
              </w:rPr>
              <w:t>+214.690</w:t>
            </w:r>
          </w:p>
        </w:tc>
        <w:tc>
          <w:tcPr>
            <w:tcW w:w="1291" w:type="dxa"/>
            <w:shd w:val="clear" w:color="auto" w:fill="FFFFFF"/>
            <w:vAlign w:val="bottom"/>
          </w:tcPr>
          <w:p w14:paraId="0EA7A994" w14:textId="78B1E6AD" w:rsidR="00EC2607" w:rsidRDefault="00EC2607" w:rsidP="00EC2607">
            <w:pPr>
              <w:jc w:val="center"/>
              <w:rPr>
                <w:rFonts w:ascii="Arial Narrow" w:hAnsi="Arial Narrow"/>
                <w:sz w:val="18"/>
                <w:szCs w:val="18"/>
              </w:rPr>
            </w:pPr>
            <w:r>
              <w:rPr>
                <w:rFonts w:ascii="Arial Narrow" w:hAnsi="Arial Narrow"/>
                <w:sz w:val="18"/>
                <w:szCs w:val="18"/>
              </w:rPr>
              <w:t>+26,9</w:t>
            </w:r>
          </w:p>
        </w:tc>
        <w:tc>
          <w:tcPr>
            <w:tcW w:w="1543" w:type="dxa"/>
            <w:shd w:val="clear" w:color="auto" w:fill="D9D9D9"/>
            <w:vAlign w:val="bottom"/>
          </w:tcPr>
          <w:p w14:paraId="51215719" w14:textId="72C2C024" w:rsidR="00EC2607" w:rsidRDefault="00EC2607" w:rsidP="00EC2607">
            <w:pPr>
              <w:jc w:val="center"/>
              <w:rPr>
                <w:rFonts w:ascii="Arial Narrow" w:hAnsi="Arial Narrow"/>
                <w:sz w:val="18"/>
                <w:szCs w:val="18"/>
              </w:rPr>
            </w:pPr>
            <w:r>
              <w:rPr>
                <w:rFonts w:ascii="Arial Narrow" w:hAnsi="Arial Narrow"/>
                <w:sz w:val="18"/>
                <w:szCs w:val="18"/>
              </w:rPr>
              <w:t>+20,4</w:t>
            </w:r>
          </w:p>
        </w:tc>
      </w:tr>
      <w:tr w:rsidR="00EC2607" w:rsidRPr="00994790" w14:paraId="33E72EA6" w14:textId="77777777" w:rsidTr="004B739E">
        <w:trPr>
          <w:trHeight w:val="255"/>
          <w:jc w:val="center"/>
        </w:trPr>
        <w:tc>
          <w:tcPr>
            <w:tcW w:w="1560" w:type="dxa"/>
            <w:vAlign w:val="bottom"/>
          </w:tcPr>
          <w:p w14:paraId="23F58AF4" w14:textId="77777777" w:rsidR="00EC2607" w:rsidRDefault="00EC2607" w:rsidP="00EC2607">
            <w:pPr>
              <w:spacing w:before="40"/>
              <w:rPr>
                <w:rFonts w:ascii="Arial Narrow" w:hAnsi="Arial Narrow"/>
                <w:sz w:val="18"/>
              </w:rPr>
            </w:pPr>
            <w:r>
              <w:rPr>
                <w:rFonts w:ascii="Arial Narrow" w:hAnsi="Arial Narrow"/>
                <w:sz w:val="18"/>
              </w:rPr>
              <w:t>Importazioni</w:t>
            </w:r>
          </w:p>
        </w:tc>
        <w:tc>
          <w:tcPr>
            <w:tcW w:w="1291" w:type="dxa"/>
            <w:gridSpan w:val="2"/>
            <w:shd w:val="clear" w:color="auto" w:fill="D9D9D9"/>
            <w:vAlign w:val="bottom"/>
          </w:tcPr>
          <w:p w14:paraId="1DE08870" w14:textId="4CAF80E0" w:rsidR="00EC2607" w:rsidRDefault="00EC2607" w:rsidP="00EC2607">
            <w:pPr>
              <w:jc w:val="center"/>
              <w:rPr>
                <w:rFonts w:ascii="Arial Narrow" w:hAnsi="Arial Narrow"/>
                <w:sz w:val="18"/>
                <w:szCs w:val="18"/>
              </w:rPr>
            </w:pPr>
            <w:r>
              <w:rPr>
                <w:rFonts w:ascii="Arial Narrow" w:hAnsi="Arial Narrow"/>
                <w:sz w:val="18"/>
                <w:szCs w:val="18"/>
              </w:rPr>
              <w:t>+30.502</w:t>
            </w:r>
          </w:p>
        </w:tc>
        <w:tc>
          <w:tcPr>
            <w:tcW w:w="944" w:type="dxa"/>
            <w:shd w:val="clear" w:color="auto" w:fill="FFFFFF"/>
            <w:vAlign w:val="bottom"/>
          </w:tcPr>
          <w:p w14:paraId="49DEE357" w14:textId="240BA694" w:rsidR="00EC2607" w:rsidRDefault="00EC2607" w:rsidP="00EC2607">
            <w:pPr>
              <w:jc w:val="center"/>
              <w:rPr>
                <w:rFonts w:ascii="Arial Narrow" w:hAnsi="Arial Narrow"/>
                <w:sz w:val="18"/>
                <w:szCs w:val="18"/>
              </w:rPr>
            </w:pPr>
            <w:r>
              <w:rPr>
                <w:rFonts w:ascii="Arial Narrow" w:hAnsi="Arial Narrow"/>
                <w:sz w:val="18"/>
                <w:szCs w:val="18"/>
              </w:rPr>
              <w:t>+0,3</w:t>
            </w:r>
          </w:p>
        </w:tc>
        <w:tc>
          <w:tcPr>
            <w:tcW w:w="1167" w:type="dxa"/>
            <w:shd w:val="clear" w:color="auto" w:fill="D9D9D9"/>
            <w:vAlign w:val="bottom"/>
          </w:tcPr>
          <w:p w14:paraId="06C4525B" w14:textId="69CED629" w:rsidR="00EC2607" w:rsidRDefault="00EC2607" w:rsidP="00EC2607">
            <w:pPr>
              <w:jc w:val="center"/>
              <w:rPr>
                <w:rFonts w:ascii="Arial Narrow" w:hAnsi="Arial Narrow"/>
                <w:sz w:val="18"/>
                <w:szCs w:val="18"/>
              </w:rPr>
            </w:pPr>
            <w:r>
              <w:rPr>
                <w:rFonts w:ascii="Arial Narrow" w:hAnsi="Arial Narrow"/>
                <w:sz w:val="18"/>
                <w:szCs w:val="18"/>
              </w:rPr>
              <w:t>+11,7</w:t>
            </w:r>
          </w:p>
        </w:tc>
        <w:tc>
          <w:tcPr>
            <w:tcW w:w="858" w:type="dxa"/>
            <w:shd w:val="clear" w:color="auto" w:fill="FFFFFF"/>
            <w:vAlign w:val="bottom"/>
          </w:tcPr>
          <w:p w14:paraId="3498270E" w14:textId="37B3A11A" w:rsidR="00EC2607" w:rsidRDefault="00EC2607" w:rsidP="00EC2607">
            <w:pPr>
              <w:jc w:val="center"/>
              <w:rPr>
                <w:rFonts w:ascii="Arial Narrow" w:hAnsi="Arial Narrow"/>
                <w:sz w:val="18"/>
                <w:szCs w:val="18"/>
              </w:rPr>
            </w:pPr>
            <w:r>
              <w:rPr>
                <w:rFonts w:ascii="Arial Narrow" w:hAnsi="Arial Narrow"/>
                <w:sz w:val="18"/>
                <w:szCs w:val="18"/>
              </w:rPr>
              <w:t>+31.141</w:t>
            </w:r>
          </w:p>
        </w:tc>
        <w:tc>
          <w:tcPr>
            <w:tcW w:w="1552" w:type="dxa"/>
            <w:shd w:val="clear" w:color="auto" w:fill="D9D9D9"/>
            <w:vAlign w:val="bottom"/>
          </w:tcPr>
          <w:p w14:paraId="4C1F0E31" w14:textId="65ACCB58" w:rsidR="00EC2607" w:rsidRDefault="00EC2607" w:rsidP="00EC2607">
            <w:pPr>
              <w:jc w:val="center"/>
              <w:rPr>
                <w:rFonts w:ascii="Arial Narrow" w:hAnsi="Arial Narrow"/>
                <w:sz w:val="18"/>
                <w:szCs w:val="18"/>
              </w:rPr>
            </w:pPr>
            <w:r>
              <w:rPr>
                <w:rFonts w:ascii="Arial Narrow" w:hAnsi="Arial Narrow"/>
                <w:sz w:val="18"/>
                <w:szCs w:val="18"/>
              </w:rPr>
              <w:t>+242.908</w:t>
            </w:r>
          </w:p>
        </w:tc>
        <w:tc>
          <w:tcPr>
            <w:tcW w:w="1291" w:type="dxa"/>
            <w:shd w:val="clear" w:color="auto" w:fill="FFFFFF"/>
            <w:vAlign w:val="bottom"/>
          </w:tcPr>
          <w:p w14:paraId="5E7039ED" w14:textId="301960F4" w:rsidR="00EC2607" w:rsidRDefault="00EC2607" w:rsidP="00EC2607">
            <w:pPr>
              <w:jc w:val="center"/>
              <w:rPr>
                <w:rFonts w:ascii="Arial Narrow" w:hAnsi="Arial Narrow"/>
                <w:sz w:val="18"/>
                <w:szCs w:val="18"/>
              </w:rPr>
            </w:pPr>
            <w:r>
              <w:rPr>
                <w:rFonts w:ascii="Arial Narrow" w:hAnsi="Arial Narrow"/>
                <w:sz w:val="18"/>
                <w:szCs w:val="18"/>
              </w:rPr>
              <w:t>+62,3</w:t>
            </w:r>
          </w:p>
        </w:tc>
        <w:tc>
          <w:tcPr>
            <w:tcW w:w="1543" w:type="dxa"/>
            <w:shd w:val="clear" w:color="auto" w:fill="D9D9D9"/>
            <w:vAlign w:val="bottom"/>
          </w:tcPr>
          <w:p w14:paraId="126B27EB" w14:textId="6E2E69CC" w:rsidR="00EC2607" w:rsidRDefault="00EC2607" w:rsidP="00EC2607">
            <w:pPr>
              <w:jc w:val="center"/>
              <w:rPr>
                <w:rFonts w:ascii="Arial Narrow" w:hAnsi="Arial Narrow"/>
                <w:sz w:val="18"/>
                <w:szCs w:val="18"/>
              </w:rPr>
            </w:pPr>
            <w:r>
              <w:rPr>
                <w:rFonts w:ascii="Arial Narrow" w:hAnsi="Arial Narrow"/>
                <w:sz w:val="18"/>
                <w:szCs w:val="18"/>
              </w:rPr>
              <w:t>+68,5</w:t>
            </w:r>
          </w:p>
        </w:tc>
      </w:tr>
      <w:tr w:rsidR="00EC2607" w:rsidRPr="00994790" w14:paraId="3C3138FF" w14:textId="77777777" w:rsidTr="004B739E">
        <w:trPr>
          <w:trHeight w:val="255"/>
          <w:jc w:val="center"/>
        </w:trPr>
        <w:tc>
          <w:tcPr>
            <w:tcW w:w="1560" w:type="dxa"/>
            <w:vAlign w:val="bottom"/>
          </w:tcPr>
          <w:p w14:paraId="46F56CB2" w14:textId="77777777" w:rsidR="00EC2607" w:rsidRDefault="00EC2607" w:rsidP="00EC2607">
            <w:pPr>
              <w:spacing w:before="40"/>
              <w:rPr>
                <w:rFonts w:ascii="Arial Narrow" w:hAnsi="Arial Narrow"/>
                <w:sz w:val="18"/>
              </w:rPr>
            </w:pPr>
            <w:r>
              <w:rPr>
                <w:rFonts w:ascii="Arial Narrow" w:hAnsi="Arial Narrow"/>
                <w:sz w:val="18"/>
              </w:rPr>
              <w:t>Saldo</w:t>
            </w:r>
          </w:p>
        </w:tc>
        <w:tc>
          <w:tcPr>
            <w:tcW w:w="1291" w:type="dxa"/>
            <w:gridSpan w:val="2"/>
            <w:shd w:val="clear" w:color="auto" w:fill="D9D9D9"/>
            <w:vAlign w:val="bottom"/>
          </w:tcPr>
          <w:p w14:paraId="5057D310" w14:textId="0D213A2A" w:rsidR="00EC2607" w:rsidRDefault="00EC2607" w:rsidP="00EC2607">
            <w:pPr>
              <w:jc w:val="center"/>
              <w:rPr>
                <w:rFonts w:ascii="Arial Narrow" w:hAnsi="Arial Narrow"/>
                <w:sz w:val="18"/>
                <w:szCs w:val="18"/>
              </w:rPr>
            </w:pPr>
            <w:r>
              <w:rPr>
                <w:rFonts w:ascii="Arial Narrow" w:hAnsi="Arial Narrow"/>
                <w:sz w:val="18"/>
                <w:szCs w:val="18"/>
              </w:rPr>
              <w:t>-4.781</w:t>
            </w:r>
          </w:p>
        </w:tc>
        <w:tc>
          <w:tcPr>
            <w:tcW w:w="944" w:type="dxa"/>
            <w:shd w:val="clear" w:color="auto" w:fill="FFFFFF"/>
            <w:vAlign w:val="bottom"/>
          </w:tcPr>
          <w:p w14:paraId="5448E3F4" w14:textId="5D8C8669" w:rsidR="00EC2607" w:rsidRDefault="00EC2607" w:rsidP="00EC2607">
            <w:pPr>
              <w:jc w:val="center"/>
              <w:rPr>
                <w:rFonts w:ascii="Arial Narrow" w:hAnsi="Arial Narrow"/>
                <w:sz w:val="18"/>
                <w:szCs w:val="18"/>
              </w:rPr>
            </w:pPr>
            <w:r>
              <w:rPr>
                <w:rFonts w:ascii="Arial Narrow" w:hAnsi="Arial Narrow"/>
                <w:sz w:val="18"/>
                <w:szCs w:val="18"/>
              </w:rPr>
              <w:t> </w:t>
            </w:r>
          </w:p>
        </w:tc>
        <w:tc>
          <w:tcPr>
            <w:tcW w:w="1167" w:type="dxa"/>
            <w:shd w:val="clear" w:color="auto" w:fill="D9D9D9"/>
            <w:vAlign w:val="bottom"/>
          </w:tcPr>
          <w:p w14:paraId="0B5DEB00" w14:textId="60A238F3" w:rsidR="00EC2607" w:rsidRDefault="00EC2607" w:rsidP="00EC2607">
            <w:pPr>
              <w:jc w:val="center"/>
              <w:rPr>
                <w:rFonts w:ascii="Arial Narrow" w:hAnsi="Arial Narrow"/>
                <w:sz w:val="18"/>
                <w:szCs w:val="18"/>
              </w:rPr>
            </w:pPr>
            <w:r>
              <w:rPr>
                <w:rFonts w:ascii="Arial Narrow" w:hAnsi="Arial Narrow"/>
                <w:sz w:val="18"/>
                <w:szCs w:val="18"/>
              </w:rPr>
              <w:t> </w:t>
            </w:r>
          </w:p>
        </w:tc>
        <w:tc>
          <w:tcPr>
            <w:tcW w:w="858" w:type="dxa"/>
            <w:shd w:val="clear" w:color="auto" w:fill="FFFFFF"/>
            <w:vAlign w:val="bottom"/>
          </w:tcPr>
          <w:p w14:paraId="2D0D0CEF" w14:textId="36ADFD9B" w:rsidR="00EC2607" w:rsidRDefault="00EC2607" w:rsidP="00EC2607">
            <w:pPr>
              <w:jc w:val="center"/>
              <w:rPr>
                <w:rFonts w:ascii="Arial Narrow" w:hAnsi="Arial Narrow"/>
                <w:sz w:val="18"/>
                <w:szCs w:val="18"/>
              </w:rPr>
            </w:pPr>
            <w:r>
              <w:rPr>
                <w:rFonts w:ascii="Arial Narrow" w:hAnsi="Arial Narrow"/>
                <w:sz w:val="18"/>
                <w:szCs w:val="18"/>
              </w:rPr>
              <w:t>-5.440</w:t>
            </w:r>
          </w:p>
        </w:tc>
        <w:tc>
          <w:tcPr>
            <w:tcW w:w="1552" w:type="dxa"/>
            <w:shd w:val="clear" w:color="auto" w:fill="D9D9D9"/>
            <w:vAlign w:val="bottom"/>
          </w:tcPr>
          <w:p w14:paraId="68B5ED8F" w14:textId="76AA3690" w:rsidR="00EC2607" w:rsidRDefault="00EC2607" w:rsidP="00EC2607">
            <w:pPr>
              <w:jc w:val="center"/>
              <w:rPr>
                <w:rFonts w:ascii="Arial Narrow" w:hAnsi="Arial Narrow"/>
                <w:sz w:val="18"/>
                <w:szCs w:val="18"/>
              </w:rPr>
            </w:pPr>
            <w:r>
              <w:rPr>
                <w:rFonts w:ascii="Arial Narrow" w:hAnsi="Arial Narrow"/>
                <w:sz w:val="18"/>
                <w:szCs w:val="18"/>
              </w:rPr>
              <w:t>-28.219</w:t>
            </w:r>
          </w:p>
        </w:tc>
        <w:tc>
          <w:tcPr>
            <w:tcW w:w="1291" w:type="dxa"/>
            <w:shd w:val="clear" w:color="auto" w:fill="FFFFFF"/>
            <w:vAlign w:val="bottom"/>
          </w:tcPr>
          <w:p w14:paraId="266784C1" w14:textId="34876D9A" w:rsidR="00EC2607" w:rsidRDefault="00EC2607" w:rsidP="00EC2607">
            <w:pPr>
              <w:jc w:val="center"/>
              <w:rPr>
                <w:rFonts w:ascii="Arial Narrow" w:hAnsi="Arial Narrow"/>
                <w:sz w:val="18"/>
                <w:szCs w:val="18"/>
              </w:rPr>
            </w:pPr>
            <w:r>
              <w:rPr>
                <w:rFonts w:ascii="Arial Narrow" w:hAnsi="Arial Narrow"/>
                <w:sz w:val="18"/>
                <w:szCs w:val="18"/>
              </w:rPr>
              <w:t> </w:t>
            </w:r>
          </w:p>
        </w:tc>
        <w:tc>
          <w:tcPr>
            <w:tcW w:w="1543" w:type="dxa"/>
            <w:shd w:val="clear" w:color="auto" w:fill="D9D9D9"/>
            <w:vAlign w:val="bottom"/>
          </w:tcPr>
          <w:p w14:paraId="6C5CB8FA" w14:textId="5911203E" w:rsidR="00EC2607" w:rsidRDefault="00EC2607" w:rsidP="00EC2607">
            <w:pPr>
              <w:jc w:val="center"/>
              <w:rPr>
                <w:rFonts w:ascii="Arial Narrow" w:hAnsi="Arial Narrow"/>
                <w:sz w:val="18"/>
                <w:szCs w:val="18"/>
              </w:rPr>
            </w:pPr>
            <w:r>
              <w:rPr>
                <w:rFonts w:ascii="Arial Narrow" w:hAnsi="Arial Narrow"/>
                <w:sz w:val="18"/>
                <w:szCs w:val="18"/>
              </w:rPr>
              <w:t> </w:t>
            </w:r>
          </w:p>
        </w:tc>
      </w:tr>
    </w:tbl>
    <w:p w14:paraId="160FE34F" w14:textId="68E7D5BF" w:rsidR="00A651E1" w:rsidRDefault="00E32477">
      <w:pPr>
        <w:pStyle w:val="Corpotesto"/>
        <w:numPr>
          <w:ilvl w:val="0"/>
          <w:numId w:val="23"/>
        </w:numPr>
        <w:tabs>
          <w:tab w:val="left" w:pos="284"/>
        </w:tabs>
        <w:spacing w:before="60" w:after="120" w:line="240" w:lineRule="auto"/>
        <w:ind w:left="0" w:firstLine="0"/>
        <w:jc w:val="both"/>
        <w:rPr>
          <w:rFonts w:ascii="Arial Narrow" w:hAnsi="Arial Narrow" w:cs="Arial"/>
          <w:b/>
          <w:sz w:val="15"/>
        </w:rPr>
      </w:pPr>
      <w:r>
        <w:rPr>
          <w:rFonts w:ascii="Arial Narrow" w:hAnsi="Arial Narrow" w:cs="Arial"/>
          <w:sz w:val="15"/>
        </w:rPr>
        <w:t>D</w:t>
      </w:r>
      <w:r w:rsidR="00E777A0">
        <w:rPr>
          <w:rFonts w:ascii="Arial Narrow" w:hAnsi="Arial Narrow" w:cs="Arial"/>
          <w:sz w:val="15"/>
        </w:rPr>
        <w:t>ati provvisori.</w:t>
      </w:r>
    </w:p>
    <w:p w14:paraId="7A9008E4" w14:textId="77777777" w:rsidR="006B6065" w:rsidRDefault="006B6065">
      <w:pPr>
        <w:rPr>
          <w:rStyle w:val="001TitoGraRed"/>
          <w:rFonts w:ascii="Arial Narrow" w:hAnsi="Arial Narrow"/>
          <w:b/>
          <w:color w:val="E42618"/>
          <w:sz w:val="22"/>
          <w:szCs w:val="22"/>
        </w:rPr>
      </w:pPr>
    </w:p>
    <w:p w14:paraId="02B1FFB4" w14:textId="4FD162EE" w:rsidR="00A651E1" w:rsidRDefault="00E777A0">
      <w:pPr>
        <w:rPr>
          <w:rFonts w:ascii="Arial Narrow" w:hAnsi="Arial Narrow" w:cs="Arial"/>
          <w:b/>
          <w:bCs/>
          <w:color w:val="5F5F5F"/>
          <w:sz w:val="22"/>
          <w:szCs w:val="22"/>
        </w:rPr>
      </w:pPr>
      <w:r>
        <w:rPr>
          <w:rStyle w:val="001TitoGraRed"/>
          <w:rFonts w:ascii="Arial Narrow" w:hAnsi="Arial Narrow"/>
          <w:b/>
          <w:color w:val="E42618"/>
          <w:sz w:val="22"/>
          <w:szCs w:val="22"/>
        </w:rPr>
        <w:t>FIGURA 3.</w:t>
      </w:r>
      <w:r>
        <w:rPr>
          <w:rFonts w:ascii="Arial Narrow" w:hAnsi="Arial Narrow"/>
          <w:b/>
          <w:sz w:val="22"/>
          <w:szCs w:val="22"/>
        </w:rPr>
        <w:t xml:space="preserve"> </w:t>
      </w:r>
      <w:r>
        <w:rPr>
          <w:rFonts w:ascii="Arial Narrow" w:hAnsi="Arial Narrow" w:cs="Arial"/>
          <w:b/>
          <w:bCs/>
          <w:color w:val="5F5F5F"/>
          <w:sz w:val="22"/>
          <w:szCs w:val="22"/>
        </w:rPr>
        <w:t>PRINCIPALI PARTNER COMMERCIALI EXTRA</w:t>
      </w:r>
      <w:r w:rsidR="002603B8">
        <w:rPr>
          <w:rFonts w:ascii="Arial Narrow" w:hAnsi="Arial Narrow" w:cs="Arial"/>
          <w:b/>
          <w:bCs/>
          <w:color w:val="5F5F5F"/>
          <w:sz w:val="22"/>
          <w:szCs w:val="22"/>
        </w:rPr>
        <w:t xml:space="preserve"> </w:t>
      </w:r>
      <w:r>
        <w:rPr>
          <w:rFonts w:ascii="Arial Narrow" w:hAnsi="Arial Narrow" w:cs="Arial"/>
          <w:b/>
          <w:bCs/>
          <w:color w:val="5F5F5F"/>
          <w:sz w:val="22"/>
          <w:szCs w:val="22"/>
        </w:rPr>
        <w:t>UE</w:t>
      </w:r>
      <w:r w:rsidR="006A6DA2">
        <w:rPr>
          <w:rFonts w:ascii="Arial Narrow" w:hAnsi="Arial Narrow" w:cs="Arial"/>
          <w:b/>
          <w:bCs/>
          <w:color w:val="5F5F5F"/>
          <w:sz w:val="22"/>
          <w:szCs w:val="22"/>
        </w:rPr>
        <w:t xml:space="preserve">27 </w:t>
      </w:r>
      <w:r w:rsidR="00041A5D">
        <w:rPr>
          <w:rFonts w:ascii="Arial Narrow" w:hAnsi="Arial Narrow" w:cs="Arial"/>
          <w:b/>
          <w:bCs/>
          <w:color w:val="5F5F5F"/>
          <w:sz w:val="22"/>
          <w:szCs w:val="22"/>
        </w:rPr>
        <w:t>(</w:t>
      </w:r>
      <w:r w:rsidR="00E32477">
        <w:rPr>
          <w:rFonts w:ascii="Arial Narrow" w:hAnsi="Arial Narrow" w:cs="Arial"/>
          <w:b/>
          <w:bCs/>
          <w:color w:val="5F5F5F"/>
          <w:sz w:val="22"/>
          <w:szCs w:val="22"/>
        </w:rPr>
        <w:t>a</w:t>
      </w:r>
      <w:r w:rsidR="00041A5D">
        <w:rPr>
          <w:rFonts w:ascii="Arial Narrow" w:hAnsi="Arial Narrow" w:cs="Arial"/>
          <w:b/>
          <w:bCs/>
          <w:color w:val="5F5F5F"/>
          <w:sz w:val="22"/>
          <w:szCs w:val="22"/>
        </w:rPr>
        <w:t>)</w:t>
      </w:r>
      <w:r>
        <w:rPr>
          <w:rFonts w:ascii="Arial Narrow" w:hAnsi="Arial Narrow" w:cs="Arial"/>
          <w:b/>
          <w:bCs/>
          <w:color w:val="5F5F5F"/>
          <w:sz w:val="22"/>
          <w:szCs w:val="22"/>
        </w:rPr>
        <w:t xml:space="preserve">: CONTRIBUTI ALLA VARIAZIONE TENDENZIALE DELLE ESPORTAZIONI E VARIAZIONI PERCENTUALI TENDENZIALI </w:t>
      </w:r>
    </w:p>
    <w:p w14:paraId="01AB4D06" w14:textId="128A0D65" w:rsidR="00A651E1" w:rsidRDefault="0023747B">
      <w:pPr>
        <w:tabs>
          <w:tab w:val="left" w:pos="1365"/>
        </w:tabs>
      </w:pPr>
      <w:r>
        <w:rPr>
          <w:rFonts w:ascii="Arial Narrow" w:hAnsi="Arial Narrow" w:cs="Arial"/>
          <w:color w:val="5F5F5F"/>
          <w:sz w:val="20"/>
        </w:rPr>
        <w:t xml:space="preserve">Settembre </w:t>
      </w:r>
      <w:r w:rsidR="0030302D">
        <w:rPr>
          <w:rFonts w:ascii="Arial Narrow" w:hAnsi="Arial Narrow" w:cs="Arial"/>
          <w:color w:val="5F5F5F"/>
          <w:sz w:val="20"/>
        </w:rPr>
        <w:t>202</w:t>
      </w:r>
      <w:r w:rsidR="008E367C">
        <w:rPr>
          <w:rFonts w:ascii="Arial Narrow" w:hAnsi="Arial Narrow" w:cs="Arial"/>
          <w:color w:val="5F5F5F"/>
          <w:sz w:val="20"/>
        </w:rPr>
        <w:t>2</w:t>
      </w:r>
      <w:r w:rsidR="008B2278" w:rsidRPr="008B2278">
        <w:rPr>
          <w:noProof/>
        </w:rPr>
        <w:t xml:space="preserve"> </w:t>
      </w:r>
      <w:r w:rsidR="00EC2607">
        <w:rPr>
          <w:noProof/>
        </w:rPr>
        <w:drawing>
          <wp:inline distT="0" distB="0" distL="0" distR="0" wp14:anchorId="5530A93E" wp14:editId="1CE9109D">
            <wp:extent cx="6660000" cy="2160000"/>
            <wp:effectExtent l="0" t="0" r="7620" b="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B68E3D" w14:textId="780BD49A" w:rsidR="00A651E1" w:rsidRPr="009C2B9D" w:rsidRDefault="00041A5D" w:rsidP="00E32477">
      <w:pPr>
        <w:pStyle w:val="Corpotesto"/>
        <w:numPr>
          <w:ilvl w:val="0"/>
          <w:numId w:val="29"/>
        </w:numPr>
        <w:tabs>
          <w:tab w:val="left" w:pos="284"/>
        </w:tabs>
        <w:spacing w:before="60" w:after="120" w:line="240" w:lineRule="auto"/>
        <w:jc w:val="both"/>
        <w:rPr>
          <w:rFonts w:cs="Arial"/>
          <w:sz w:val="15"/>
        </w:rPr>
      </w:pPr>
      <w:r w:rsidRPr="009C2B9D">
        <w:rPr>
          <w:rFonts w:cs="Arial"/>
          <w:sz w:val="15"/>
        </w:rPr>
        <w:t xml:space="preserve">Il dato </w:t>
      </w:r>
      <w:r w:rsidR="009C2B9D" w:rsidRPr="009C2B9D">
        <w:rPr>
          <w:rFonts w:cs="Arial"/>
          <w:sz w:val="15"/>
        </w:rPr>
        <w:t xml:space="preserve">preliminare </w:t>
      </w:r>
      <w:r w:rsidRPr="009C2B9D">
        <w:rPr>
          <w:rFonts w:cs="Arial"/>
          <w:sz w:val="15"/>
        </w:rPr>
        <w:t xml:space="preserve">del Regno Unito </w:t>
      </w:r>
      <w:r w:rsidR="00897276" w:rsidRPr="009C2B9D">
        <w:rPr>
          <w:rFonts w:cs="Arial"/>
          <w:sz w:val="15"/>
        </w:rPr>
        <w:t>non comprende l’Irlanda del Nord</w:t>
      </w:r>
      <w:r w:rsidRPr="009C2B9D">
        <w:rPr>
          <w:rFonts w:cs="Arial"/>
          <w:sz w:val="15"/>
        </w:rPr>
        <w:t xml:space="preserve"> (</w:t>
      </w:r>
      <w:r w:rsidR="006D23B8" w:rsidRPr="009C2B9D">
        <w:rPr>
          <w:rFonts w:cs="Arial"/>
          <w:sz w:val="15"/>
        </w:rPr>
        <w:t xml:space="preserve">si </w:t>
      </w:r>
      <w:r w:rsidRPr="009C2B9D">
        <w:rPr>
          <w:rFonts w:cs="Arial"/>
          <w:sz w:val="15"/>
        </w:rPr>
        <w:t>ved</w:t>
      </w:r>
      <w:r w:rsidR="006D23B8" w:rsidRPr="009C2B9D">
        <w:rPr>
          <w:rFonts w:cs="Arial"/>
          <w:sz w:val="15"/>
        </w:rPr>
        <w:t>a</w:t>
      </w:r>
      <w:r w:rsidRPr="009C2B9D">
        <w:rPr>
          <w:rFonts w:cs="Arial"/>
          <w:sz w:val="15"/>
        </w:rPr>
        <w:t xml:space="preserve"> </w:t>
      </w:r>
      <w:r w:rsidR="005D5D9F" w:rsidRPr="009C2B9D">
        <w:rPr>
          <w:rFonts w:cs="Arial"/>
          <w:sz w:val="15"/>
        </w:rPr>
        <w:t xml:space="preserve">la </w:t>
      </w:r>
      <w:r w:rsidR="006D23B8" w:rsidRPr="009C2B9D">
        <w:rPr>
          <w:rFonts w:cs="Arial"/>
          <w:sz w:val="15"/>
        </w:rPr>
        <w:t>N</w:t>
      </w:r>
      <w:r w:rsidRPr="009C2B9D">
        <w:rPr>
          <w:rFonts w:cs="Arial"/>
          <w:sz w:val="15"/>
        </w:rPr>
        <w:t>ota metodologica).</w:t>
      </w:r>
    </w:p>
    <w:p w14:paraId="2D7B8755" w14:textId="77777777" w:rsidR="009B710E" w:rsidRPr="009B710E" w:rsidRDefault="009B710E">
      <w:pPr>
        <w:rPr>
          <w:rStyle w:val="001TitoGraRed"/>
          <w:rFonts w:ascii="Arial Narrow" w:hAnsi="Arial Narrow"/>
          <w:b/>
          <w:color w:val="E42618"/>
          <w:sz w:val="14"/>
          <w:szCs w:val="22"/>
        </w:rPr>
      </w:pPr>
    </w:p>
    <w:p w14:paraId="77039D85" w14:textId="23BE4ACA" w:rsidR="00A651E1" w:rsidRDefault="00E777A0">
      <w:pPr>
        <w:rPr>
          <w:color w:val="5F5F5F"/>
        </w:rPr>
      </w:pPr>
      <w:r>
        <w:rPr>
          <w:rStyle w:val="001TitoGraRed"/>
          <w:rFonts w:ascii="Arial Narrow" w:hAnsi="Arial Narrow"/>
          <w:b/>
          <w:color w:val="E42618"/>
          <w:sz w:val="22"/>
          <w:szCs w:val="22"/>
        </w:rPr>
        <w:t>FIGURA 4.</w:t>
      </w:r>
      <w:r>
        <w:rPr>
          <w:rFonts w:ascii="Arial Narrow" w:hAnsi="Arial Narrow"/>
          <w:b/>
          <w:sz w:val="22"/>
          <w:szCs w:val="22"/>
        </w:rPr>
        <w:t xml:space="preserve"> </w:t>
      </w:r>
      <w:r>
        <w:rPr>
          <w:rFonts w:ascii="Arial Narrow" w:hAnsi="Arial Narrow" w:cs="Arial"/>
          <w:b/>
          <w:bCs/>
          <w:color w:val="5F5F5F"/>
          <w:sz w:val="22"/>
          <w:szCs w:val="22"/>
        </w:rPr>
        <w:t>PRINCIPALI PARTNER COMMERCIALI EXTRA</w:t>
      </w:r>
      <w:r w:rsidR="002603B8">
        <w:rPr>
          <w:rFonts w:ascii="Arial Narrow" w:hAnsi="Arial Narrow" w:cs="Arial"/>
          <w:b/>
          <w:bCs/>
          <w:color w:val="5F5F5F"/>
          <w:sz w:val="22"/>
          <w:szCs w:val="22"/>
        </w:rPr>
        <w:t xml:space="preserve"> </w:t>
      </w:r>
      <w:r>
        <w:rPr>
          <w:rFonts w:ascii="Arial Narrow" w:hAnsi="Arial Narrow" w:cs="Arial"/>
          <w:b/>
          <w:bCs/>
          <w:color w:val="5F5F5F"/>
          <w:sz w:val="22"/>
          <w:szCs w:val="22"/>
        </w:rPr>
        <w:t>UE</w:t>
      </w:r>
      <w:r w:rsidR="00041A5D">
        <w:rPr>
          <w:rFonts w:ascii="Arial Narrow" w:hAnsi="Arial Narrow" w:cs="Arial"/>
          <w:b/>
          <w:bCs/>
          <w:color w:val="5F5F5F"/>
          <w:sz w:val="22"/>
          <w:szCs w:val="22"/>
        </w:rPr>
        <w:t xml:space="preserve"> </w:t>
      </w:r>
      <w:r w:rsidR="006A6DA2">
        <w:rPr>
          <w:rFonts w:ascii="Arial Narrow" w:hAnsi="Arial Narrow" w:cs="Arial"/>
          <w:b/>
          <w:bCs/>
          <w:color w:val="5F5F5F"/>
          <w:sz w:val="22"/>
          <w:szCs w:val="22"/>
        </w:rPr>
        <w:t xml:space="preserve">27 </w:t>
      </w:r>
      <w:r w:rsidR="00E32477">
        <w:rPr>
          <w:rFonts w:ascii="Arial Narrow" w:hAnsi="Arial Narrow" w:cs="Arial"/>
          <w:b/>
          <w:bCs/>
          <w:color w:val="5F5F5F"/>
          <w:sz w:val="22"/>
          <w:szCs w:val="22"/>
        </w:rPr>
        <w:t>(a</w:t>
      </w:r>
      <w:r w:rsidR="00041A5D">
        <w:rPr>
          <w:rFonts w:ascii="Arial Narrow" w:hAnsi="Arial Narrow" w:cs="Arial"/>
          <w:b/>
          <w:bCs/>
          <w:color w:val="5F5F5F"/>
          <w:sz w:val="22"/>
          <w:szCs w:val="22"/>
        </w:rPr>
        <w:t>)</w:t>
      </w:r>
      <w:r>
        <w:rPr>
          <w:rFonts w:ascii="Arial Narrow" w:hAnsi="Arial Narrow" w:cs="Arial"/>
          <w:b/>
          <w:bCs/>
          <w:color w:val="5F5F5F"/>
          <w:sz w:val="22"/>
          <w:szCs w:val="22"/>
        </w:rPr>
        <w:t>: CONTRIBUTI ALLA VARIAZIONE TENDENZIALE DELLE IMPORTAZIONI E VARIAZIONI PERCENTUALI TENDENZIALI</w:t>
      </w:r>
      <w:r>
        <w:rPr>
          <w:color w:val="5F5F5F"/>
        </w:rPr>
        <w:t xml:space="preserve"> </w:t>
      </w:r>
    </w:p>
    <w:p w14:paraId="60BEE8C2" w14:textId="41FE1922" w:rsidR="00436314" w:rsidRDefault="0023747B">
      <w:pPr>
        <w:rPr>
          <w:rFonts w:ascii="Arial Narrow" w:hAnsi="Arial Narrow" w:cs="Arial"/>
          <w:color w:val="5F5F5F"/>
        </w:rPr>
      </w:pPr>
      <w:r>
        <w:rPr>
          <w:rFonts w:ascii="Arial Narrow" w:hAnsi="Arial Narrow" w:cs="Arial"/>
          <w:color w:val="5F5F5F"/>
          <w:sz w:val="20"/>
        </w:rPr>
        <w:t xml:space="preserve">Settembre </w:t>
      </w:r>
      <w:r w:rsidR="0030302D">
        <w:rPr>
          <w:rFonts w:ascii="Arial Narrow" w:hAnsi="Arial Narrow" w:cs="Arial"/>
          <w:color w:val="5F5F5F"/>
          <w:sz w:val="20"/>
        </w:rPr>
        <w:t>202</w:t>
      </w:r>
      <w:r w:rsidR="008E367C">
        <w:rPr>
          <w:rFonts w:ascii="Arial Narrow" w:hAnsi="Arial Narrow" w:cs="Arial"/>
          <w:color w:val="5F5F5F"/>
          <w:sz w:val="20"/>
        </w:rPr>
        <w:t>2</w:t>
      </w:r>
    </w:p>
    <w:p w14:paraId="16F4349E" w14:textId="1B009CC2" w:rsidR="00436314" w:rsidRDefault="00EC2607">
      <w:r>
        <w:rPr>
          <w:noProof/>
        </w:rPr>
        <w:drawing>
          <wp:inline distT="0" distB="0" distL="0" distR="0" wp14:anchorId="018A8DE8" wp14:editId="73AEF730">
            <wp:extent cx="6660000" cy="2160000"/>
            <wp:effectExtent l="0" t="0" r="7620" b="0"/>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935895" w14:textId="62D825CC" w:rsidR="00041A5D" w:rsidRPr="009C2B9D" w:rsidRDefault="00041A5D" w:rsidP="00E32477">
      <w:pPr>
        <w:pStyle w:val="Corpotesto"/>
        <w:numPr>
          <w:ilvl w:val="0"/>
          <w:numId w:val="30"/>
        </w:numPr>
        <w:tabs>
          <w:tab w:val="left" w:pos="284"/>
        </w:tabs>
        <w:spacing w:before="60" w:after="120" w:line="240" w:lineRule="auto"/>
        <w:jc w:val="both"/>
        <w:rPr>
          <w:rFonts w:cs="Arial"/>
          <w:sz w:val="15"/>
        </w:rPr>
      </w:pPr>
      <w:r w:rsidRPr="009C2B9D">
        <w:rPr>
          <w:rFonts w:cs="Arial"/>
          <w:sz w:val="15"/>
        </w:rPr>
        <w:t xml:space="preserve">Il dato </w:t>
      </w:r>
      <w:r w:rsidR="009C2B9D" w:rsidRPr="009C2B9D">
        <w:rPr>
          <w:rFonts w:cs="Arial"/>
          <w:sz w:val="15"/>
        </w:rPr>
        <w:t xml:space="preserve">preliminare </w:t>
      </w:r>
      <w:r w:rsidRPr="009C2B9D">
        <w:rPr>
          <w:rFonts w:cs="Arial"/>
          <w:sz w:val="15"/>
        </w:rPr>
        <w:t xml:space="preserve">del Regno Unito </w:t>
      </w:r>
      <w:r w:rsidR="00897276" w:rsidRPr="009C2B9D">
        <w:rPr>
          <w:rFonts w:cs="Arial"/>
          <w:sz w:val="15"/>
        </w:rPr>
        <w:t xml:space="preserve">non comprende l’Irlanda del Nord </w:t>
      </w:r>
      <w:r w:rsidRPr="009C2B9D">
        <w:rPr>
          <w:rFonts w:cs="Arial"/>
          <w:sz w:val="15"/>
        </w:rPr>
        <w:t>(</w:t>
      </w:r>
      <w:r w:rsidR="005D5D9F" w:rsidRPr="009C2B9D">
        <w:rPr>
          <w:rFonts w:cs="Arial"/>
          <w:sz w:val="15"/>
        </w:rPr>
        <w:t xml:space="preserve">si </w:t>
      </w:r>
      <w:r w:rsidRPr="009C2B9D">
        <w:rPr>
          <w:rFonts w:cs="Arial"/>
          <w:sz w:val="15"/>
        </w:rPr>
        <w:t>ved</w:t>
      </w:r>
      <w:r w:rsidR="005D5D9F" w:rsidRPr="009C2B9D">
        <w:rPr>
          <w:rFonts w:cs="Arial"/>
          <w:sz w:val="15"/>
        </w:rPr>
        <w:t>a</w:t>
      </w:r>
      <w:r w:rsidRPr="009C2B9D">
        <w:rPr>
          <w:rFonts w:cs="Arial"/>
          <w:sz w:val="15"/>
        </w:rPr>
        <w:t xml:space="preserve"> </w:t>
      </w:r>
      <w:r w:rsidR="005D5D9F" w:rsidRPr="009C2B9D">
        <w:rPr>
          <w:rFonts w:cs="Arial"/>
          <w:sz w:val="15"/>
        </w:rPr>
        <w:t>la N</w:t>
      </w:r>
      <w:r w:rsidRPr="009C2B9D">
        <w:rPr>
          <w:rFonts w:cs="Arial"/>
          <w:sz w:val="15"/>
        </w:rPr>
        <w:t>ota metodologica).</w:t>
      </w:r>
    </w:p>
    <w:p w14:paraId="7CBA1508" w14:textId="77777777" w:rsidR="00A651E1" w:rsidRPr="009B710E" w:rsidRDefault="00A651E1">
      <w:pPr>
        <w:rPr>
          <w:rStyle w:val="001TitoGraRed"/>
          <w:rFonts w:ascii="Arial Narrow" w:hAnsi="Arial Narrow"/>
          <w:b/>
          <w:color w:val="E42618"/>
          <w:sz w:val="14"/>
          <w:szCs w:val="22"/>
        </w:rPr>
      </w:pPr>
    </w:p>
    <w:p w14:paraId="09C5C9FF" w14:textId="7654073D" w:rsidR="00A651E1" w:rsidRDefault="00E777A0" w:rsidP="00BD1526">
      <w:pPr>
        <w:outlineLvl w:val="0"/>
        <w:rPr>
          <w:rFonts w:ascii="Arial Narrow" w:hAnsi="Arial Narrow" w:cs="Arial"/>
          <w:b/>
          <w:bCs/>
          <w:color w:val="5F5F5F"/>
          <w:sz w:val="22"/>
          <w:szCs w:val="22"/>
        </w:rPr>
      </w:pPr>
      <w:r>
        <w:rPr>
          <w:rStyle w:val="001TitoGraRed"/>
          <w:rFonts w:ascii="Arial Narrow" w:hAnsi="Arial Narrow"/>
          <w:b/>
          <w:color w:val="E42618"/>
          <w:sz w:val="22"/>
          <w:szCs w:val="22"/>
        </w:rPr>
        <w:t>FIGURA 5.</w:t>
      </w:r>
      <w:r>
        <w:t xml:space="preserve"> </w:t>
      </w:r>
      <w:r>
        <w:rPr>
          <w:rFonts w:ascii="Arial Narrow" w:hAnsi="Arial Narrow" w:cs="Arial"/>
          <w:b/>
          <w:bCs/>
          <w:color w:val="5F5F5F"/>
          <w:sz w:val="22"/>
          <w:szCs w:val="22"/>
        </w:rPr>
        <w:t>PRINCIPALI PARTNER COMMERCIALI EXTRA</w:t>
      </w:r>
      <w:r w:rsidR="002603B8">
        <w:rPr>
          <w:rFonts w:ascii="Arial Narrow" w:hAnsi="Arial Narrow" w:cs="Arial"/>
          <w:b/>
          <w:bCs/>
          <w:color w:val="5F5F5F"/>
          <w:sz w:val="22"/>
          <w:szCs w:val="22"/>
        </w:rPr>
        <w:t xml:space="preserve"> </w:t>
      </w:r>
      <w:r>
        <w:rPr>
          <w:rFonts w:ascii="Arial Narrow" w:hAnsi="Arial Narrow" w:cs="Arial"/>
          <w:b/>
          <w:bCs/>
          <w:color w:val="5F5F5F"/>
          <w:sz w:val="22"/>
          <w:szCs w:val="22"/>
        </w:rPr>
        <w:t>UE</w:t>
      </w:r>
      <w:r w:rsidR="006A6DA2">
        <w:rPr>
          <w:rFonts w:ascii="Arial Narrow" w:hAnsi="Arial Narrow" w:cs="Arial"/>
          <w:b/>
          <w:bCs/>
          <w:color w:val="5F5F5F"/>
          <w:sz w:val="22"/>
          <w:szCs w:val="22"/>
        </w:rPr>
        <w:t xml:space="preserve">27 </w:t>
      </w:r>
      <w:r w:rsidR="00041A5D">
        <w:rPr>
          <w:rFonts w:ascii="Arial Narrow" w:hAnsi="Arial Narrow" w:cs="Arial"/>
          <w:b/>
          <w:bCs/>
          <w:color w:val="5F5F5F"/>
          <w:sz w:val="22"/>
          <w:szCs w:val="22"/>
        </w:rPr>
        <w:t>(</w:t>
      </w:r>
      <w:r w:rsidR="00E32477">
        <w:rPr>
          <w:rFonts w:ascii="Arial Narrow" w:hAnsi="Arial Narrow" w:cs="Arial"/>
          <w:b/>
          <w:bCs/>
          <w:color w:val="5F5F5F"/>
          <w:sz w:val="22"/>
          <w:szCs w:val="22"/>
        </w:rPr>
        <w:t>a</w:t>
      </w:r>
      <w:r w:rsidR="00041A5D">
        <w:rPr>
          <w:rFonts w:ascii="Arial Narrow" w:hAnsi="Arial Narrow" w:cs="Arial"/>
          <w:b/>
          <w:bCs/>
          <w:color w:val="5F5F5F"/>
          <w:sz w:val="22"/>
          <w:szCs w:val="22"/>
        </w:rPr>
        <w:t>)</w:t>
      </w:r>
      <w:r>
        <w:rPr>
          <w:rFonts w:ascii="Arial Narrow" w:hAnsi="Arial Narrow" w:cs="Arial"/>
          <w:b/>
          <w:bCs/>
          <w:color w:val="5F5F5F"/>
          <w:sz w:val="22"/>
          <w:szCs w:val="22"/>
        </w:rPr>
        <w:t>: SALDI COMMERCIALI IN MILIONI DI EURO</w:t>
      </w:r>
    </w:p>
    <w:p w14:paraId="03E2F94F" w14:textId="72418E54" w:rsidR="00A651E1" w:rsidRDefault="0023747B">
      <w:r>
        <w:rPr>
          <w:rFonts w:ascii="Arial Narrow" w:hAnsi="Arial Narrow" w:cs="Arial"/>
          <w:color w:val="5F5F5F"/>
          <w:sz w:val="20"/>
        </w:rPr>
        <w:t xml:space="preserve">Settembre </w:t>
      </w:r>
      <w:r w:rsidR="0030302D">
        <w:rPr>
          <w:rFonts w:ascii="Arial Narrow" w:hAnsi="Arial Narrow" w:cs="Arial"/>
          <w:color w:val="5F5F5F"/>
          <w:sz w:val="20"/>
        </w:rPr>
        <w:t>202</w:t>
      </w:r>
      <w:r w:rsidR="008E367C">
        <w:rPr>
          <w:rFonts w:ascii="Arial Narrow" w:hAnsi="Arial Narrow" w:cs="Arial"/>
          <w:color w:val="5F5F5F"/>
          <w:sz w:val="20"/>
        </w:rPr>
        <w:t>2</w:t>
      </w:r>
      <w:r w:rsidR="008B2278" w:rsidRPr="008B2278">
        <w:rPr>
          <w:noProof/>
        </w:rPr>
        <w:t xml:space="preserve"> </w:t>
      </w:r>
      <w:r w:rsidR="00EC2607">
        <w:rPr>
          <w:noProof/>
        </w:rPr>
        <w:drawing>
          <wp:inline distT="0" distB="0" distL="0" distR="0" wp14:anchorId="57FE2227" wp14:editId="048BC177">
            <wp:extent cx="6660000" cy="2160000"/>
            <wp:effectExtent l="0" t="0" r="7620" b="0"/>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82EB9F" w14:textId="19C85849" w:rsidR="00041A5D" w:rsidRPr="009C2B9D" w:rsidRDefault="00041A5D" w:rsidP="00E32477">
      <w:pPr>
        <w:pStyle w:val="Corpotesto"/>
        <w:numPr>
          <w:ilvl w:val="0"/>
          <w:numId w:val="31"/>
        </w:numPr>
        <w:tabs>
          <w:tab w:val="left" w:pos="284"/>
        </w:tabs>
        <w:spacing w:before="60" w:after="120" w:line="240" w:lineRule="auto"/>
        <w:jc w:val="both"/>
        <w:rPr>
          <w:rFonts w:cs="Arial"/>
          <w:sz w:val="15"/>
        </w:rPr>
      </w:pPr>
      <w:r w:rsidRPr="009C2B9D">
        <w:rPr>
          <w:rFonts w:cs="Arial"/>
          <w:sz w:val="15"/>
        </w:rPr>
        <w:t xml:space="preserve">Il dato </w:t>
      </w:r>
      <w:r w:rsidR="009C2B9D" w:rsidRPr="009C2B9D">
        <w:rPr>
          <w:rFonts w:cs="Arial"/>
          <w:sz w:val="15"/>
        </w:rPr>
        <w:t xml:space="preserve">preliminare </w:t>
      </w:r>
      <w:r w:rsidRPr="009C2B9D">
        <w:rPr>
          <w:rFonts w:cs="Arial"/>
          <w:sz w:val="15"/>
        </w:rPr>
        <w:t>del Regno Unito</w:t>
      </w:r>
      <w:r w:rsidR="005D5D9F" w:rsidRPr="009C2B9D">
        <w:rPr>
          <w:rFonts w:cs="Arial"/>
          <w:sz w:val="15"/>
        </w:rPr>
        <w:t xml:space="preserve"> </w:t>
      </w:r>
      <w:r w:rsidR="00897276" w:rsidRPr="009C2B9D">
        <w:rPr>
          <w:rFonts w:cs="Arial"/>
          <w:sz w:val="15"/>
        </w:rPr>
        <w:t xml:space="preserve">non comprende l’Irlanda del Nord </w:t>
      </w:r>
      <w:r w:rsidRPr="009C2B9D">
        <w:rPr>
          <w:rFonts w:cs="Arial"/>
          <w:sz w:val="15"/>
        </w:rPr>
        <w:t>(</w:t>
      </w:r>
      <w:r w:rsidR="005D5D9F" w:rsidRPr="009C2B9D">
        <w:rPr>
          <w:rFonts w:cs="Arial"/>
          <w:sz w:val="15"/>
        </w:rPr>
        <w:t xml:space="preserve">si </w:t>
      </w:r>
      <w:r w:rsidRPr="009C2B9D">
        <w:rPr>
          <w:rFonts w:cs="Arial"/>
          <w:sz w:val="15"/>
        </w:rPr>
        <w:t>ved</w:t>
      </w:r>
      <w:r w:rsidR="005D5D9F" w:rsidRPr="009C2B9D">
        <w:rPr>
          <w:rFonts w:cs="Arial"/>
          <w:sz w:val="15"/>
        </w:rPr>
        <w:t>a la</w:t>
      </w:r>
      <w:r w:rsidRPr="009C2B9D">
        <w:rPr>
          <w:rFonts w:cs="Arial"/>
          <w:sz w:val="15"/>
        </w:rPr>
        <w:t xml:space="preserve"> </w:t>
      </w:r>
      <w:r w:rsidR="005D5D9F" w:rsidRPr="009C2B9D">
        <w:rPr>
          <w:rFonts w:cs="Arial"/>
          <w:sz w:val="15"/>
        </w:rPr>
        <w:t>N</w:t>
      </w:r>
      <w:r w:rsidRPr="009C2B9D">
        <w:rPr>
          <w:rFonts w:cs="Arial"/>
          <w:sz w:val="15"/>
        </w:rPr>
        <w:t xml:space="preserve">ota metodologica). </w:t>
      </w:r>
    </w:p>
    <w:p w14:paraId="7A95F4C5" w14:textId="77777777" w:rsidR="0030302D" w:rsidRDefault="0030302D">
      <w:pPr>
        <w:pStyle w:val="Corpotesto"/>
        <w:spacing w:line="240" w:lineRule="auto"/>
        <w:jc w:val="both"/>
        <w:rPr>
          <w:rStyle w:val="001TitoGraRed"/>
          <w:rFonts w:ascii="Arial Narrow" w:hAnsi="Arial Narrow"/>
          <w:b/>
          <w:color w:val="E42618"/>
          <w:sz w:val="22"/>
          <w:szCs w:val="22"/>
        </w:rPr>
      </w:pPr>
    </w:p>
    <w:p w14:paraId="55D9AEA3" w14:textId="77777777" w:rsidR="009C2B9D" w:rsidRDefault="009C2B9D">
      <w:pPr>
        <w:pStyle w:val="Corpotesto"/>
        <w:spacing w:line="240" w:lineRule="auto"/>
        <w:jc w:val="both"/>
        <w:rPr>
          <w:rStyle w:val="001TitoGraRed"/>
          <w:rFonts w:ascii="Arial Narrow" w:hAnsi="Arial Narrow"/>
          <w:b/>
          <w:color w:val="E42618"/>
          <w:sz w:val="22"/>
          <w:szCs w:val="22"/>
        </w:rPr>
      </w:pPr>
    </w:p>
    <w:p w14:paraId="65DC2ABE" w14:textId="2A45E11C" w:rsidR="00A651E1" w:rsidRDefault="00E777A0">
      <w:pPr>
        <w:pStyle w:val="Corpotesto"/>
        <w:spacing w:line="240" w:lineRule="auto"/>
        <w:jc w:val="both"/>
        <w:rPr>
          <w:rFonts w:ascii="Arial" w:hAnsi="Arial" w:cs="Arial"/>
          <w:sz w:val="17"/>
        </w:rPr>
      </w:pPr>
      <w:r>
        <w:rPr>
          <w:rStyle w:val="001TitoGraRed"/>
          <w:rFonts w:ascii="Arial Narrow" w:hAnsi="Arial Narrow"/>
          <w:b/>
          <w:color w:val="E42618"/>
          <w:sz w:val="22"/>
          <w:szCs w:val="22"/>
        </w:rPr>
        <w:t>PROSPETTO 2.</w:t>
      </w:r>
      <w:r>
        <w:rPr>
          <w:rFonts w:ascii="Arial Narrow" w:hAnsi="Arial Narrow" w:cs="Arial"/>
          <w:color w:val="5F5F5F"/>
          <w:sz w:val="22"/>
          <w:szCs w:val="22"/>
        </w:rPr>
        <w:t xml:space="preserve"> </w:t>
      </w:r>
      <w:r>
        <w:rPr>
          <w:rFonts w:ascii="Arial Narrow" w:hAnsi="Arial Narrow" w:cs="Arial"/>
          <w:b/>
          <w:color w:val="5F5F5F"/>
          <w:sz w:val="22"/>
          <w:szCs w:val="22"/>
        </w:rPr>
        <w:t>ESPORTAZIONI</w:t>
      </w:r>
      <w:r>
        <w:rPr>
          <w:rFonts w:ascii="Arial Narrow" w:hAnsi="Arial Narrow" w:cs="Arial"/>
          <w:color w:val="5F5F5F"/>
          <w:sz w:val="22"/>
          <w:szCs w:val="22"/>
        </w:rPr>
        <w:t xml:space="preserve">, </w:t>
      </w:r>
      <w:r>
        <w:rPr>
          <w:rFonts w:ascii="Arial Narrow" w:hAnsi="Arial Narrow" w:cs="Arial"/>
          <w:b/>
          <w:color w:val="5F5F5F"/>
          <w:sz w:val="22"/>
          <w:szCs w:val="22"/>
        </w:rPr>
        <w:t>IMPORTAZIONI E SALDI DELLA BILANCIA COMMERCIALE CON I PAESI EXTRA UE</w:t>
      </w:r>
      <w:r w:rsidR="006A6DA2">
        <w:rPr>
          <w:rFonts w:ascii="Arial Narrow" w:hAnsi="Arial Narrow" w:cs="Arial"/>
          <w:b/>
          <w:color w:val="5F5F5F"/>
          <w:sz w:val="22"/>
          <w:szCs w:val="22"/>
        </w:rPr>
        <w:t xml:space="preserve">27 </w:t>
      </w:r>
      <w:r>
        <w:rPr>
          <w:rFonts w:ascii="Arial Narrow" w:hAnsi="Arial Narrow" w:cs="Arial"/>
          <w:b/>
          <w:color w:val="5F5F5F"/>
          <w:sz w:val="22"/>
          <w:szCs w:val="22"/>
        </w:rPr>
        <w:t>PER RAGGRUPPAMENTO PRINCIPALE DI INDUSTRIE</w:t>
      </w:r>
      <w:r w:rsidR="002F15C9">
        <w:rPr>
          <w:rFonts w:ascii="Arial Narrow" w:hAnsi="Arial Narrow" w:cs="Arial"/>
          <w:b/>
          <w:color w:val="5F5F5F"/>
          <w:sz w:val="22"/>
          <w:szCs w:val="22"/>
        </w:rPr>
        <w:t xml:space="preserve"> (a)</w:t>
      </w:r>
    </w:p>
    <w:p w14:paraId="4A609A8F" w14:textId="507C8214" w:rsidR="00A651E1" w:rsidRPr="00AE5C79" w:rsidRDefault="0023747B" w:rsidP="00BD1526">
      <w:pPr>
        <w:pStyle w:val="Corpotesto"/>
        <w:spacing w:after="120" w:line="240" w:lineRule="auto"/>
        <w:jc w:val="both"/>
        <w:outlineLvl w:val="0"/>
        <w:rPr>
          <w:rFonts w:ascii="Arial Narrow" w:hAnsi="Arial Narrow" w:cs="Arial"/>
          <w:color w:val="5F5F5F"/>
          <w:sz w:val="20"/>
        </w:rPr>
      </w:pPr>
      <w:r>
        <w:rPr>
          <w:rFonts w:ascii="Arial Narrow" w:hAnsi="Arial Narrow" w:cs="Arial"/>
          <w:color w:val="5F5F5F"/>
          <w:sz w:val="20"/>
        </w:rPr>
        <w:t xml:space="preserve">Settembre </w:t>
      </w:r>
      <w:r w:rsidR="008E367C">
        <w:rPr>
          <w:rFonts w:ascii="Arial Narrow" w:hAnsi="Arial Narrow" w:cs="Arial"/>
          <w:color w:val="5F5F5F"/>
          <w:sz w:val="20"/>
        </w:rPr>
        <w:t>2022</w:t>
      </w:r>
      <w:r w:rsidR="00E777A0" w:rsidRPr="00AE5C79">
        <w:rPr>
          <w:rFonts w:ascii="Arial Narrow" w:hAnsi="Arial Narrow" w:cs="Arial"/>
          <w:color w:val="5F5F5F"/>
          <w:sz w:val="20"/>
        </w:rPr>
        <w:t>, dati destagionalizzati e grezzi, variazioni percentuali congiunturali e tendenziali e saldi</w:t>
      </w:r>
    </w:p>
    <w:tbl>
      <w:tblPr>
        <w:tblW w:w="10562"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1625"/>
        <w:gridCol w:w="712"/>
        <w:gridCol w:w="1137"/>
        <w:gridCol w:w="633"/>
        <w:gridCol w:w="994"/>
        <w:gridCol w:w="6"/>
        <w:gridCol w:w="705"/>
        <w:gridCol w:w="1206"/>
        <w:gridCol w:w="731"/>
        <w:gridCol w:w="970"/>
        <w:gridCol w:w="850"/>
        <w:gridCol w:w="993"/>
      </w:tblGrid>
      <w:tr w:rsidR="00BB48EF" w14:paraId="667D6993" w14:textId="77777777" w:rsidTr="00831CA5">
        <w:trPr>
          <w:trHeight w:val="255"/>
        </w:trPr>
        <w:tc>
          <w:tcPr>
            <w:tcW w:w="1625" w:type="dxa"/>
            <w:vMerge w:val="restart"/>
            <w:vAlign w:val="center"/>
          </w:tcPr>
          <w:p w14:paraId="12F70DF6" w14:textId="77777777" w:rsidR="00BB48EF" w:rsidRDefault="00BB48EF" w:rsidP="004B739E">
            <w:pPr>
              <w:spacing w:before="40" w:after="20"/>
              <w:rPr>
                <w:rFonts w:ascii="Arial Narrow" w:hAnsi="Arial Narrow"/>
                <w:b/>
                <w:sz w:val="18"/>
              </w:rPr>
            </w:pPr>
            <w:r>
              <w:rPr>
                <w:rFonts w:ascii="Arial Narrow" w:hAnsi="Arial Narrow"/>
                <w:b/>
                <w:sz w:val="18"/>
              </w:rPr>
              <w:t xml:space="preserve">RAGGRUPPAMENTI PRINCIPALI </w:t>
            </w:r>
            <w:r>
              <w:rPr>
                <w:rFonts w:ascii="Arial Narrow" w:hAnsi="Arial Narrow"/>
                <w:b/>
                <w:sz w:val="18"/>
              </w:rPr>
              <w:br/>
              <w:t>DI INDUSTRIE</w:t>
            </w:r>
          </w:p>
        </w:tc>
        <w:tc>
          <w:tcPr>
            <w:tcW w:w="3476" w:type="dxa"/>
            <w:gridSpan w:val="4"/>
            <w:shd w:val="clear" w:color="auto" w:fill="D9D9D9"/>
            <w:vAlign w:val="center"/>
          </w:tcPr>
          <w:p w14:paraId="2ADF48A5" w14:textId="77777777" w:rsidR="00BB48EF" w:rsidRDefault="00BB48EF" w:rsidP="004B739E">
            <w:pPr>
              <w:spacing w:before="40" w:after="20"/>
              <w:jc w:val="center"/>
              <w:rPr>
                <w:rFonts w:ascii="Arial Narrow" w:hAnsi="Arial Narrow"/>
                <w:sz w:val="18"/>
              </w:rPr>
            </w:pPr>
            <w:r>
              <w:rPr>
                <w:rFonts w:ascii="Arial Narrow" w:hAnsi="Arial Narrow" w:cs="Arial"/>
                <w:b/>
                <w:sz w:val="18"/>
              </w:rPr>
              <w:t>ESPORTAZIONI</w:t>
            </w:r>
          </w:p>
        </w:tc>
        <w:tc>
          <w:tcPr>
            <w:tcW w:w="3618" w:type="dxa"/>
            <w:gridSpan w:val="5"/>
            <w:shd w:val="clear" w:color="auto" w:fill="FFFFFF"/>
            <w:vAlign w:val="center"/>
          </w:tcPr>
          <w:p w14:paraId="52F2B735" w14:textId="77777777" w:rsidR="00BB48EF" w:rsidRDefault="00BB48EF" w:rsidP="004B739E">
            <w:pPr>
              <w:spacing w:before="40" w:after="20"/>
              <w:jc w:val="center"/>
              <w:rPr>
                <w:rFonts w:ascii="Arial Narrow" w:hAnsi="Arial Narrow" w:cs="Arial"/>
                <w:b/>
                <w:sz w:val="18"/>
              </w:rPr>
            </w:pPr>
            <w:r>
              <w:rPr>
                <w:rFonts w:ascii="Arial Narrow" w:hAnsi="Arial Narrow" w:cs="Arial"/>
                <w:b/>
                <w:sz w:val="18"/>
              </w:rPr>
              <w:t>IMPORTAZIONI</w:t>
            </w:r>
          </w:p>
        </w:tc>
        <w:tc>
          <w:tcPr>
            <w:tcW w:w="1843" w:type="dxa"/>
            <w:gridSpan w:val="2"/>
            <w:shd w:val="clear" w:color="auto" w:fill="D9D9D9"/>
            <w:vAlign w:val="center"/>
          </w:tcPr>
          <w:p w14:paraId="446B6138" w14:textId="77777777" w:rsidR="00BB48EF" w:rsidRDefault="00BB48EF" w:rsidP="004B739E">
            <w:pPr>
              <w:spacing w:before="40" w:after="20"/>
              <w:jc w:val="center"/>
              <w:rPr>
                <w:rFonts w:ascii="Arial Narrow" w:hAnsi="Arial Narrow" w:cs="Arial"/>
                <w:b/>
                <w:sz w:val="18"/>
              </w:rPr>
            </w:pPr>
            <w:r>
              <w:rPr>
                <w:rFonts w:ascii="Arial Narrow" w:hAnsi="Arial Narrow" w:cs="Arial"/>
                <w:b/>
                <w:sz w:val="18"/>
              </w:rPr>
              <w:t>SALDI</w:t>
            </w:r>
          </w:p>
        </w:tc>
      </w:tr>
      <w:tr w:rsidR="00BB48EF" w14:paraId="7AC1784E" w14:textId="77777777" w:rsidTr="00831CA5">
        <w:trPr>
          <w:trHeight w:val="255"/>
        </w:trPr>
        <w:tc>
          <w:tcPr>
            <w:tcW w:w="1625" w:type="dxa"/>
            <w:vMerge/>
            <w:vAlign w:val="center"/>
          </w:tcPr>
          <w:p w14:paraId="74480A23" w14:textId="77777777" w:rsidR="00BB48EF" w:rsidRDefault="00BB48EF" w:rsidP="004B739E">
            <w:pPr>
              <w:spacing w:before="40" w:after="20"/>
              <w:rPr>
                <w:rFonts w:ascii="Arial Narrow" w:hAnsi="Arial Narrow"/>
                <w:sz w:val="18"/>
              </w:rPr>
            </w:pPr>
          </w:p>
        </w:tc>
        <w:tc>
          <w:tcPr>
            <w:tcW w:w="1849" w:type="dxa"/>
            <w:gridSpan w:val="2"/>
            <w:shd w:val="clear" w:color="auto" w:fill="FFFFFF"/>
            <w:vAlign w:val="center"/>
          </w:tcPr>
          <w:p w14:paraId="0AB9C379" w14:textId="77777777" w:rsidR="00BB48EF" w:rsidRDefault="00BB48EF" w:rsidP="004B739E">
            <w:pPr>
              <w:spacing w:before="40" w:after="20"/>
              <w:jc w:val="center"/>
              <w:rPr>
                <w:rFonts w:ascii="Arial Narrow" w:hAnsi="Arial Narrow"/>
                <w:b/>
                <w:sz w:val="18"/>
              </w:rPr>
            </w:pPr>
            <w:r>
              <w:rPr>
                <w:rFonts w:ascii="Arial Narrow" w:hAnsi="Arial Narrow"/>
                <w:b/>
                <w:sz w:val="18"/>
              </w:rPr>
              <w:t>Dati destagionalizzati</w:t>
            </w:r>
          </w:p>
        </w:tc>
        <w:tc>
          <w:tcPr>
            <w:tcW w:w="1633" w:type="dxa"/>
            <w:gridSpan w:val="3"/>
            <w:shd w:val="clear" w:color="auto" w:fill="D9D9D9"/>
            <w:vAlign w:val="center"/>
          </w:tcPr>
          <w:p w14:paraId="138CBC05" w14:textId="77777777" w:rsidR="00BB48EF" w:rsidRDefault="00BB48EF" w:rsidP="004B739E">
            <w:pPr>
              <w:spacing w:before="40" w:after="20"/>
              <w:jc w:val="center"/>
              <w:rPr>
                <w:rFonts w:ascii="Arial Narrow" w:hAnsi="Arial Narrow"/>
                <w:b/>
                <w:sz w:val="18"/>
              </w:rPr>
            </w:pPr>
            <w:r>
              <w:rPr>
                <w:rFonts w:ascii="Arial Narrow" w:hAnsi="Arial Narrow"/>
                <w:b/>
                <w:sz w:val="18"/>
              </w:rPr>
              <w:t>Dati grezzi</w:t>
            </w:r>
          </w:p>
        </w:tc>
        <w:tc>
          <w:tcPr>
            <w:tcW w:w="1911" w:type="dxa"/>
            <w:gridSpan w:val="2"/>
            <w:shd w:val="clear" w:color="auto" w:fill="FFFFFF"/>
            <w:vAlign w:val="center"/>
          </w:tcPr>
          <w:p w14:paraId="1915D519" w14:textId="77777777" w:rsidR="00BB48EF" w:rsidRDefault="00BB48EF" w:rsidP="004B739E">
            <w:pPr>
              <w:spacing w:before="40" w:after="20"/>
              <w:jc w:val="center"/>
              <w:rPr>
                <w:rFonts w:ascii="Arial Narrow" w:hAnsi="Arial Narrow"/>
                <w:b/>
                <w:sz w:val="18"/>
              </w:rPr>
            </w:pPr>
            <w:r>
              <w:rPr>
                <w:rFonts w:ascii="Arial Narrow" w:hAnsi="Arial Narrow"/>
                <w:b/>
                <w:sz w:val="18"/>
              </w:rPr>
              <w:t>Dati destagionalizzati</w:t>
            </w:r>
          </w:p>
        </w:tc>
        <w:tc>
          <w:tcPr>
            <w:tcW w:w="1701" w:type="dxa"/>
            <w:gridSpan w:val="2"/>
            <w:shd w:val="clear" w:color="auto" w:fill="D9D9D9"/>
            <w:vAlign w:val="center"/>
          </w:tcPr>
          <w:p w14:paraId="759CEC48" w14:textId="77777777" w:rsidR="00BB48EF" w:rsidRDefault="00BB48EF" w:rsidP="004B739E">
            <w:pPr>
              <w:spacing w:before="40" w:after="20"/>
              <w:jc w:val="center"/>
              <w:rPr>
                <w:rFonts w:ascii="Arial Narrow" w:hAnsi="Arial Narrow"/>
                <w:b/>
                <w:sz w:val="18"/>
              </w:rPr>
            </w:pPr>
            <w:r>
              <w:rPr>
                <w:rFonts w:ascii="Arial Narrow" w:hAnsi="Arial Narrow"/>
                <w:b/>
                <w:sz w:val="18"/>
              </w:rPr>
              <w:t>Dati grezzi</w:t>
            </w:r>
          </w:p>
        </w:tc>
        <w:tc>
          <w:tcPr>
            <w:tcW w:w="1843" w:type="dxa"/>
            <w:gridSpan w:val="2"/>
            <w:shd w:val="clear" w:color="auto" w:fill="FFFFFF"/>
            <w:vAlign w:val="center"/>
          </w:tcPr>
          <w:p w14:paraId="20217BF2" w14:textId="77777777" w:rsidR="00BB48EF" w:rsidRDefault="00BB48EF" w:rsidP="004B739E">
            <w:pPr>
              <w:spacing w:before="40" w:after="20"/>
              <w:jc w:val="center"/>
              <w:rPr>
                <w:rFonts w:ascii="Arial Narrow" w:hAnsi="Arial Narrow"/>
                <w:b/>
                <w:sz w:val="18"/>
              </w:rPr>
            </w:pPr>
            <w:r>
              <w:rPr>
                <w:rFonts w:ascii="Arial Narrow" w:hAnsi="Arial Narrow"/>
                <w:b/>
                <w:sz w:val="18"/>
              </w:rPr>
              <w:t>Dati grezzi</w:t>
            </w:r>
          </w:p>
          <w:p w14:paraId="3F9CBB12" w14:textId="77777777" w:rsidR="00BB48EF" w:rsidRDefault="00BB48EF" w:rsidP="004B739E">
            <w:pPr>
              <w:spacing w:before="40" w:after="20"/>
              <w:jc w:val="center"/>
              <w:rPr>
                <w:rFonts w:ascii="Arial Narrow" w:hAnsi="Arial Narrow"/>
                <w:b/>
                <w:sz w:val="18"/>
              </w:rPr>
            </w:pPr>
            <w:r>
              <w:rPr>
                <w:rFonts w:ascii="Arial Narrow" w:hAnsi="Arial Narrow"/>
                <w:b/>
                <w:sz w:val="18"/>
              </w:rPr>
              <w:t>Milioni di euro</w:t>
            </w:r>
          </w:p>
        </w:tc>
      </w:tr>
      <w:tr w:rsidR="0023747B" w14:paraId="04508C22" w14:textId="77777777" w:rsidTr="00831CA5">
        <w:trPr>
          <w:trHeight w:val="267"/>
        </w:trPr>
        <w:tc>
          <w:tcPr>
            <w:tcW w:w="1625" w:type="dxa"/>
            <w:vMerge/>
            <w:vAlign w:val="center"/>
          </w:tcPr>
          <w:p w14:paraId="6B312F36" w14:textId="77777777" w:rsidR="0023747B" w:rsidRDefault="0023747B" w:rsidP="0023747B">
            <w:pPr>
              <w:spacing w:before="40" w:after="20"/>
              <w:rPr>
                <w:rFonts w:ascii="Arial Narrow" w:hAnsi="Arial Narrow"/>
                <w:sz w:val="18"/>
              </w:rPr>
            </w:pPr>
          </w:p>
        </w:tc>
        <w:tc>
          <w:tcPr>
            <w:tcW w:w="712" w:type="dxa"/>
            <w:vMerge w:val="restart"/>
            <w:shd w:val="clear" w:color="auto" w:fill="FFFFFF"/>
            <w:vAlign w:val="center"/>
          </w:tcPr>
          <w:p w14:paraId="40999DBD" w14:textId="723EE3FC" w:rsidR="0023747B" w:rsidRDefault="00AA6234" w:rsidP="0023747B">
            <w:pPr>
              <w:spacing w:before="40" w:after="20"/>
              <w:jc w:val="center"/>
              <w:rPr>
                <w:rFonts w:ascii="Arial Narrow" w:hAnsi="Arial Narrow"/>
                <w:sz w:val="18"/>
                <w:szCs w:val="18"/>
                <w:u w:val="single"/>
              </w:rPr>
            </w:pPr>
            <w:r>
              <w:rPr>
                <w:rFonts w:ascii="Arial Narrow" w:hAnsi="Arial Narrow"/>
                <w:sz w:val="18"/>
                <w:szCs w:val="18"/>
                <w:u w:val="single"/>
              </w:rPr>
              <w:t>set</w:t>
            </w:r>
            <w:r w:rsidR="0023747B">
              <w:rPr>
                <w:rFonts w:ascii="Arial Narrow" w:hAnsi="Arial Narrow"/>
                <w:sz w:val="18"/>
                <w:szCs w:val="18"/>
                <w:u w:val="single"/>
              </w:rPr>
              <w:t xml:space="preserve"> 22</w:t>
            </w:r>
          </w:p>
          <w:p w14:paraId="1A157421" w14:textId="60452850" w:rsidR="0023747B" w:rsidRDefault="0023747B" w:rsidP="0023747B">
            <w:pPr>
              <w:spacing w:before="40" w:after="20"/>
              <w:jc w:val="center"/>
              <w:rPr>
                <w:rFonts w:ascii="Arial Narrow" w:hAnsi="Arial Narrow"/>
                <w:sz w:val="18"/>
                <w:szCs w:val="18"/>
                <w:u w:val="single"/>
              </w:rPr>
            </w:pPr>
            <w:r>
              <w:rPr>
                <w:rFonts w:ascii="Arial Narrow" w:hAnsi="Arial Narrow"/>
                <w:sz w:val="18"/>
                <w:szCs w:val="18"/>
              </w:rPr>
              <w:t>ago 22</w:t>
            </w:r>
          </w:p>
        </w:tc>
        <w:tc>
          <w:tcPr>
            <w:tcW w:w="1137" w:type="dxa"/>
            <w:vMerge w:val="restart"/>
            <w:shd w:val="clear" w:color="auto" w:fill="FFFFFF"/>
            <w:vAlign w:val="center"/>
          </w:tcPr>
          <w:p w14:paraId="20D609B2" w14:textId="68721AF8" w:rsidR="0023747B" w:rsidRDefault="00AA6234" w:rsidP="0023747B">
            <w:pPr>
              <w:spacing w:before="40" w:after="20"/>
              <w:jc w:val="center"/>
              <w:rPr>
                <w:rFonts w:ascii="Arial Narrow" w:hAnsi="Arial Narrow"/>
                <w:sz w:val="18"/>
                <w:szCs w:val="18"/>
                <w:u w:val="single"/>
              </w:rPr>
            </w:pPr>
            <w:proofErr w:type="spellStart"/>
            <w:r>
              <w:rPr>
                <w:rFonts w:ascii="Arial Narrow" w:hAnsi="Arial Narrow"/>
                <w:sz w:val="18"/>
                <w:szCs w:val="18"/>
                <w:u w:val="single"/>
              </w:rPr>
              <w:t>lug</w:t>
            </w:r>
            <w:proofErr w:type="spellEnd"/>
            <w:r>
              <w:rPr>
                <w:rFonts w:ascii="Arial Narrow" w:hAnsi="Arial Narrow"/>
                <w:sz w:val="18"/>
                <w:szCs w:val="18"/>
                <w:u w:val="single"/>
              </w:rPr>
              <w:t xml:space="preserve">-set </w:t>
            </w:r>
            <w:r w:rsidR="0023747B">
              <w:rPr>
                <w:rFonts w:ascii="Arial Narrow" w:hAnsi="Arial Narrow"/>
                <w:sz w:val="18"/>
                <w:szCs w:val="18"/>
                <w:u w:val="single"/>
              </w:rPr>
              <w:t>22</w:t>
            </w:r>
          </w:p>
          <w:p w14:paraId="6F366CBB" w14:textId="4E3EA92F" w:rsidR="0023747B" w:rsidRDefault="0023747B" w:rsidP="0023747B">
            <w:pPr>
              <w:spacing w:before="40" w:after="20"/>
              <w:jc w:val="center"/>
              <w:rPr>
                <w:rFonts w:ascii="Arial Narrow" w:hAnsi="Arial Narrow"/>
                <w:sz w:val="18"/>
                <w:szCs w:val="18"/>
              </w:rPr>
            </w:pPr>
            <w:r>
              <w:rPr>
                <w:rFonts w:ascii="Arial Narrow" w:hAnsi="Arial Narrow"/>
                <w:sz w:val="18"/>
                <w:szCs w:val="18"/>
              </w:rPr>
              <w:t>apr-giu 22</w:t>
            </w:r>
          </w:p>
        </w:tc>
        <w:tc>
          <w:tcPr>
            <w:tcW w:w="633" w:type="dxa"/>
            <w:vMerge w:val="restart"/>
            <w:shd w:val="clear" w:color="auto" w:fill="FFFFFF"/>
            <w:vAlign w:val="center"/>
          </w:tcPr>
          <w:p w14:paraId="4DF64A81" w14:textId="2A7C58E1" w:rsidR="0023747B" w:rsidRDefault="00AA6234" w:rsidP="0023747B">
            <w:pPr>
              <w:spacing w:before="40" w:after="20"/>
              <w:jc w:val="center"/>
              <w:rPr>
                <w:rFonts w:ascii="Arial Narrow" w:hAnsi="Arial Narrow"/>
                <w:sz w:val="18"/>
                <w:szCs w:val="18"/>
                <w:u w:val="single"/>
              </w:rPr>
            </w:pPr>
            <w:r>
              <w:rPr>
                <w:rFonts w:ascii="Arial Narrow" w:hAnsi="Arial Narrow"/>
                <w:sz w:val="18"/>
                <w:szCs w:val="18"/>
                <w:u w:val="single"/>
              </w:rPr>
              <w:t>set</w:t>
            </w:r>
            <w:r w:rsidR="0023747B">
              <w:rPr>
                <w:rFonts w:ascii="Arial Narrow" w:hAnsi="Arial Narrow"/>
                <w:sz w:val="18"/>
                <w:szCs w:val="18"/>
                <w:u w:val="single"/>
              </w:rPr>
              <w:t xml:space="preserve"> 22</w:t>
            </w:r>
          </w:p>
          <w:p w14:paraId="23E6A3F1" w14:textId="1038EBE0" w:rsidR="0023747B" w:rsidRDefault="0023747B" w:rsidP="00AA6234">
            <w:pPr>
              <w:spacing w:before="40" w:after="20"/>
              <w:jc w:val="center"/>
              <w:rPr>
                <w:rFonts w:ascii="Arial Narrow" w:hAnsi="Arial Narrow"/>
                <w:sz w:val="18"/>
                <w:szCs w:val="18"/>
                <w:u w:val="single"/>
              </w:rPr>
            </w:pPr>
            <w:r>
              <w:rPr>
                <w:rFonts w:ascii="Arial Narrow" w:hAnsi="Arial Narrow"/>
                <w:sz w:val="18"/>
                <w:szCs w:val="18"/>
              </w:rPr>
              <w:t>set 21</w:t>
            </w:r>
          </w:p>
        </w:tc>
        <w:tc>
          <w:tcPr>
            <w:tcW w:w="1000" w:type="dxa"/>
            <w:gridSpan w:val="2"/>
            <w:vMerge w:val="restart"/>
            <w:shd w:val="clear" w:color="auto" w:fill="FFFFFF"/>
            <w:vAlign w:val="center"/>
          </w:tcPr>
          <w:p w14:paraId="6B861B12" w14:textId="17F3748F" w:rsidR="0023747B" w:rsidRDefault="0023747B" w:rsidP="0023747B">
            <w:pPr>
              <w:spacing w:before="40" w:after="20"/>
              <w:jc w:val="center"/>
              <w:rPr>
                <w:rFonts w:ascii="Arial Narrow" w:hAnsi="Arial Narrow"/>
                <w:sz w:val="18"/>
                <w:szCs w:val="18"/>
                <w:u w:val="single"/>
              </w:rPr>
            </w:pPr>
            <w:proofErr w:type="spellStart"/>
            <w:r>
              <w:rPr>
                <w:rFonts w:ascii="Arial Narrow" w:hAnsi="Arial Narrow"/>
                <w:sz w:val="18"/>
                <w:szCs w:val="18"/>
                <w:u w:val="single"/>
              </w:rPr>
              <w:t>gen</w:t>
            </w:r>
            <w:proofErr w:type="spellEnd"/>
            <w:r>
              <w:rPr>
                <w:rFonts w:ascii="Arial Narrow" w:hAnsi="Arial Narrow"/>
                <w:sz w:val="18"/>
                <w:szCs w:val="18"/>
                <w:u w:val="single"/>
              </w:rPr>
              <w:t>-set 22</w:t>
            </w:r>
          </w:p>
          <w:p w14:paraId="5341AC68" w14:textId="333D6C84" w:rsidR="0023747B" w:rsidRDefault="00AA6234" w:rsidP="0023747B">
            <w:pPr>
              <w:spacing w:before="40" w:after="20"/>
              <w:jc w:val="center"/>
              <w:rPr>
                <w:rFonts w:ascii="Arial Narrow" w:hAnsi="Arial Narrow"/>
                <w:sz w:val="18"/>
                <w:szCs w:val="18"/>
                <w:u w:val="single"/>
              </w:rPr>
            </w:pPr>
            <w:proofErr w:type="spellStart"/>
            <w:r>
              <w:rPr>
                <w:rFonts w:ascii="Arial Narrow" w:hAnsi="Arial Narrow"/>
                <w:sz w:val="18"/>
                <w:szCs w:val="18"/>
              </w:rPr>
              <w:t>gen</w:t>
            </w:r>
            <w:proofErr w:type="spellEnd"/>
            <w:r>
              <w:rPr>
                <w:rFonts w:ascii="Arial Narrow" w:hAnsi="Arial Narrow"/>
                <w:sz w:val="18"/>
                <w:szCs w:val="18"/>
              </w:rPr>
              <w:t>-set</w:t>
            </w:r>
            <w:r w:rsidR="0023747B">
              <w:rPr>
                <w:rFonts w:ascii="Arial Narrow" w:hAnsi="Arial Narrow"/>
                <w:sz w:val="18"/>
                <w:szCs w:val="18"/>
              </w:rPr>
              <w:t xml:space="preserve"> 21</w:t>
            </w:r>
          </w:p>
        </w:tc>
        <w:tc>
          <w:tcPr>
            <w:tcW w:w="705" w:type="dxa"/>
            <w:vMerge w:val="restart"/>
            <w:shd w:val="clear" w:color="auto" w:fill="FFFFFF"/>
            <w:vAlign w:val="center"/>
          </w:tcPr>
          <w:p w14:paraId="51D2AB57" w14:textId="3FB671D4" w:rsidR="0023747B" w:rsidRDefault="00AA6234" w:rsidP="0023747B">
            <w:pPr>
              <w:spacing w:before="40" w:after="20"/>
              <w:jc w:val="center"/>
              <w:rPr>
                <w:rFonts w:ascii="Arial Narrow" w:hAnsi="Arial Narrow"/>
                <w:sz w:val="18"/>
                <w:szCs w:val="18"/>
                <w:u w:val="single"/>
              </w:rPr>
            </w:pPr>
            <w:r>
              <w:rPr>
                <w:rFonts w:ascii="Arial Narrow" w:hAnsi="Arial Narrow"/>
                <w:sz w:val="18"/>
                <w:szCs w:val="18"/>
                <w:u w:val="single"/>
              </w:rPr>
              <w:t>set</w:t>
            </w:r>
            <w:r w:rsidR="0023747B">
              <w:rPr>
                <w:rFonts w:ascii="Arial Narrow" w:hAnsi="Arial Narrow"/>
                <w:sz w:val="18"/>
                <w:szCs w:val="18"/>
                <w:u w:val="single"/>
              </w:rPr>
              <w:t xml:space="preserve"> 22</w:t>
            </w:r>
          </w:p>
          <w:p w14:paraId="5B53E65F" w14:textId="1A040359" w:rsidR="0023747B" w:rsidRDefault="0023747B" w:rsidP="0023747B">
            <w:pPr>
              <w:spacing w:before="40" w:after="20"/>
              <w:jc w:val="center"/>
              <w:rPr>
                <w:rFonts w:ascii="Arial Narrow" w:hAnsi="Arial Narrow"/>
                <w:sz w:val="18"/>
                <w:szCs w:val="18"/>
                <w:u w:val="single"/>
              </w:rPr>
            </w:pPr>
            <w:r>
              <w:rPr>
                <w:rFonts w:ascii="Arial Narrow" w:hAnsi="Arial Narrow"/>
                <w:sz w:val="18"/>
                <w:szCs w:val="18"/>
              </w:rPr>
              <w:t>ago 22</w:t>
            </w:r>
          </w:p>
        </w:tc>
        <w:tc>
          <w:tcPr>
            <w:tcW w:w="1206" w:type="dxa"/>
            <w:vMerge w:val="restart"/>
            <w:shd w:val="clear" w:color="auto" w:fill="FFFFFF"/>
            <w:vAlign w:val="center"/>
          </w:tcPr>
          <w:p w14:paraId="71239911" w14:textId="5ED282D0" w:rsidR="0023747B" w:rsidRDefault="00AA6234" w:rsidP="0023747B">
            <w:pPr>
              <w:spacing w:before="40" w:after="20"/>
              <w:jc w:val="center"/>
              <w:rPr>
                <w:rFonts w:ascii="Arial Narrow" w:hAnsi="Arial Narrow"/>
                <w:sz w:val="18"/>
                <w:szCs w:val="18"/>
                <w:u w:val="single"/>
              </w:rPr>
            </w:pPr>
            <w:proofErr w:type="spellStart"/>
            <w:r>
              <w:rPr>
                <w:rFonts w:ascii="Arial Narrow" w:hAnsi="Arial Narrow"/>
                <w:sz w:val="18"/>
                <w:szCs w:val="18"/>
                <w:u w:val="single"/>
              </w:rPr>
              <w:t>lug</w:t>
            </w:r>
            <w:proofErr w:type="spellEnd"/>
            <w:r>
              <w:rPr>
                <w:rFonts w:ascii="Arial Narrow" w:hAnsi="Arial Narrow"/>
                <w:sz w:val="18"/>
                <w:szCs w:val="18"/>
                <w:u w:val="single"/>
              </w:rPr>
              <w:t>-set</w:t>
            </w:r>
            <w:r w:rsidR="0023747B">
              <w:rPr>
                <w:rFonts w:ascii="Arial Narrow" w:hAnsi="Arial Narrow"/>
                <w:sz w:val="18"/>
                <w:szCs w:val="18"/>
                <w:u w:val="single"/>
              </w:rPr>
              <w:t xml:space="preserve"> 22</w:t>
            </w:r>
          </w:p>
          <w:p w14:paraId="3C555AAA" w14:textId="7DB41A42" w:rsidR="0023747B" w:rsidRDefault="0023747B" w:rsidP="0023747B">
            <w:pPr>
              <w:spacing w:before="40" w:after="20"/>
              <w:jc w:val="center"/>
              <w:rPr>
                <w:rFonts w:ascii="Arial Narrow" w:hAnsi="Arial Narrow"/>
                <w:sz w:val="18"/>
                <w:szCs w:val="18"/>
              </w:rPr>
            </w:pPr>
            <w:r>
              <w:rPr>
                <w:rFonts w:ascii="Arial Narrow" w:hAnsi="Arial Narrow"/>
                <w:sz w:val="18"/>
                <w:szCs w:val="18"/>
              </w:rPr>
              <w:t>apr-giu 22</w:t>
            </w:r>
          </w:p>
        </w:tc>
        <w:tc>
          <w:tcPr>
            <w:tcW w:w="731" w:type="dxa"/>
            <w:vMerge w:val="restart"/>
            <w:shd w:val="clear" w:color="auto" w:fill="FFFFFF"/>
            <w:vAlign w:val="center"/>
          </w:tcPr>
          <w:p w14:paraId="6525137E" w14:textId="7238F877" w:rsidR="0023747B" w:rsidRDefault="0023747B" w:rsidP="0023747B">
            <w:pPr>
              <w:spacing w:before="40" w:after="20"/>
              <w:jc w:val="center"/>
              <w:rPr>
                <w:rFonts w:ascii="Arial Narrow" w:hAnsi="Arial Narrow"/>
                <w:sz w:val="18"/>
                <w:szCs w:val="18"/>
                <w:u w:val="single"/>
              </w:rPr>
            </w:pPr>
            <w:r>
              <w:rPr>
                <w:rFonts w:ascii="Arial Narrow" w:hAnsi="Arial Narrow"/>
                <w:sz w:val="18"/>
                <w:szCs w:val="18"/>
                <w:u w:val="single"/>
              </w:rPr>
              <w:t>set 22</w:t>
            </w:r>
          </w:p>
          <w:p w14:paraId="30E5EF9C" w14:textId="0409AD74" w:rsidR="0023747B" w:rsidRDefault="0023747B" w:rsidP="00AA6234">
            <w:pPr>
              <w:spacing w:before="40" w:after="20"/>
              <w:jc w:val="center"/>
              <w:rPr>
                <w:rFonts w:ascii="Arial Narrow" w:hAnsi="Arial Narrow"/>
                <w:sz w:val="18"/>
                <w:szCs w:val="18"/>
                <w:u w:val="single"/>
              </w:rPr>
            </w:pPr>
            <w:r>
              <w:rPr>
                <w:rFonts w:ascii="Arial Narrow" w:hAnsi="Arial Narrow"/>
                <w:sz w:val="18"/>
                <w:szCs w:val="18"/>
              </w:rPr>
              <w:t>set 21</w:t>
            </w:r>
          </w:p>
        </w:tc>
        <w:tc>
          <w:tcPr>
            <w:tcW w:w="970" w:type="dxa"/>
            <w:vMerge w:val="restart"/>
            <w:shd w:val="clear" w:color="auto" w:fill="FFFFFF"/>
            <w:vAlign w:val="center"/>
          </w:tcPr>
          <w:p w14:paraId="7DA1601B" w14:textId="14B985D9" w:rsidR="0023747B" w:rsidRDefault="0023747B" w:rsidP="0023747B">
            <w:pPr>
              <w:spacing w:before="40" w:after="20"/>
              <w:jc w:val="center"/>
              <w:rPr>
                <w:rFonts w:ascii="Arial Narrow" w:hAnsi="Arial Narrow"/>
                <w:sz w:val="18"/>
                <w:szCs w:val="18"/>
                <w:u w:val="single"/>
              </w:rPr>
            </w:pPr>
            <w:proofErr w:type="spellStart"/>
            <w:r>
              <w:rPr>
                <w:rFonts w:ascii="Arial Narrow" w:hAnsi="Arial Narrow"/>
                <w:sz w:val="18"/>
                <w:szCs w:val="18"/>
                <w:u w:val="single"/>
              </w:rPr>
              <w:t>gen</w:t>
            </w:r>
            <w:proofErr w:type="spellEnd"/>
            <w:r>
              <w:rPr>
                <w:rFonts w:ascii="Arial Narrow" w:hAnsi="Arial Narrow"/>
                <w:sz w:val="18"/>
                <w:szCs w:val="18"/>
                <w:u w:val="single"/>
              </w:rPr>
              <w:t>-set 22</w:t>
            </w:r>
          </w:p>
          <w:p w14:paraId="4BB9709A" w14:textId="5539514B" w:rsidR="0023747B" w:rsidRDefault="00AA6234" w:rsidP="0023747B">
            <w:pPr>
              <w:spacing w:before="40" w:after="20"/>
              <w:jc w:val="center"/>
              <w:rPr>
                <w:rFonts w:ascii="Arial Narrow" w:hAnsi="Arial Narrow"/>
                <w:sz w:val="18"/>
                <w:szCs w:val="18"/>
                <w:u w:val="single"/>
              </w:rPr>
            </w:pPr>
            <w:proofErr w:type="spellStart"/>
            <w:r>
              <w:rPr>
                <w:rFonts w:ascii="Arial Narrow" w:hAnsi="Arial Narrow"/>
                <w:sz w:val="18"/>
                <w:szCs w:val="18"/>
              </w:rPr>
              <w:t>gen</w:t>
            </w:r>
            <w:proofErr w:type="spellEnd"/>
            <w:r>
              <w:rPr>
                <w:rFonts w:ascii="Arial Narrow" w:hAnsi="Arial Narrow"/>
                <w:sz w:val="18"/>
                <w:szCs w:val="18"/>
              </w:rPr>
              <w:t>-set</w:t>
            </w:r>
            <w:r w:rsidR="0023747B">
              <w:rPr>
                <w:rFonts w:ascii="Arial Narrow" w:hAnsi="Arial Narrow"/>
                <w:sz w:val="18"/>
                <w:szCs w:val="18"/>
              </w:rPr>
              <w:t xml:space="preserve"> 21</w:t>
            </w:r>
          </w:p>
        </w:tc>
        <w:tc>
          <w:tcPr>
            <w:tcW w:w="850" w:type="dxa"/>
            <w:vMerge w:val="restart"/>
            <w:shd w:val="clear" w:color="auto" w:fill="FFFFFF"/>
            <w:vAlign w:val="center"/>
          </w:tcPr>
          <w:p w14:paraId="2421A475" w14:textId="5C8E6529" w:rsidR="0023747B" w:rsidRDefault="00AA6234" w:rsidP="0023747B">
            <w:pPr>
              <w:spacing w:before="40" w:after="20"/>
              <w:jc w:val="center"/>
              <w:rPr>
                <w:rFonts w:ascii="Arial Narrow" w:hAnsi="Arial Narrow"/>
                <w:sz w:val="18"/>
                <w:szCs w:val="18"/>
              </w:rPr>
            </w:pPr>
            <w:r>
              <w:rPr>
                <w:rFonts w:ascii="Arial Narrow" w:hAnsi="Arial Narrow"/>
                <w:sz w:val="18"/>
                <w:szCs w:val="18"/>
              </w:rPr>
              <w:t>set</w:t>
            </w:r>
            <w:r w:rsidR="0023747B">
              <w:rPr>
                <w:rFonts w:ascii="Arial Narrow" w:hAnsi="Arial Narrow"/>
                <w:sz w:val="18"/>
                <w:szCs w:val="18"/>
              </w:rPr>
              <w:t xml:space="preserve"> 2022</w:t>
            </w:r>
          </w:p>
        </w:tc>
        <w:tc>
          <w:tcPr>
            <w:tcW w:w="993" w:type="dxa"/>
            <w:vMerge w:val="restart"/>
            <w:shd w:val="clear" w:color="auto" w:fill="FFFFFF"/>
            <w:vAlign w:val="center"/>
          </w:tcPr>
          <w:p w14:paraId="39AEDC91" w14:textId="685C6E22" w:rsidR="0023747B" w:rsidRDefault="00AA6234" w:rsidP="0023747B">
            <w:pPr>
              <w:spacing w:before="40" w:after="20"/>
              <w:jc w:val="center"/>
              <w:rPr>
                <w:rFonts w:ascii="Arial Narrow" w:hAnsi="Arial Narrow"/>
                <w:sz w:val="18"/>
                <w:szCs w:val="18"/>
              </w:rPr>
            </w:pPr>
            <w:proofErr w:type="spellStart"/>
            <w:r>
              <w:rPr>
                <w:rFonts w:ascii="Arial Narrow" w:hAnsi="Arial Narrow"/>
                <w:sz w:val="18"/>
                <w:szCs w:val="18"/>
              </w:rPr>
              <w:t>gen</w:t>
            </w:r>
            <w:proofErr w:type="spellEnd"/>
            <w:r>
              <w:rPr>
                <w:rFonts w:ascii="Arial Narrow" w:hAnsi="Arial Narrow"/>
                <w:sz w:val="18"/>
                <w:szCs w:val="18"/>
              </w:rPr>
              <w:t>-set</w:t>
            </w:r>
            <w:r w:rsidR="0023747B">
              <w:rPr>
                <w:rFonts w:ascii="Arial Narrow" w:hAnsi="Arial Narrow"/>
                <w:sz w:val="18"/>
                <w:szCs w:val="18"/>
              </w:rPr>
              <w:t xml:space="preserve"> 22</w:t>
            </w:r>
          </w:p>
        </w:tc>
      </w:tr>
      <w:tr w:rsidR="00BB48EF" w14:paraId="063A3310" w14:textId="77777777" w:rsidTr="00831CA5">
        <w:trPr>
          <w:trHeight w:val="427"/>
        </w:trPr>
        <w:tc>
          <w:tcPr>
            <w:tcW w:w="1625" w:type="dxa"/>
            <w:vMerge/>
            <w:tcBorders>
              <w:bottom w:val="single" w:sz="4" w:space="0" w:color="auto"/>
            </w:tcBorders>
            <w:vAlign w:val="center"/>
          </w:tcPr>
          <w:p w14:paraId="211CA595" w14:textId="77777777" w:rsidR="00BB48EF" w:rsidRDefault="00BB48EF" w:rsidP="004B739E">
            <w:pPr>
              <w:spacing w:before="40" w:after="20"/>
              <w:rPr>
                <w:rFonts w:ascii="Arial Narrow" w:hAnsi="Arial Narrow"/>
                <w:sz w:val="18"/>
              </w:rPr>
            </w:pPr>
          </w:p>
        </w:tc>
        <w:tc>
          <w:tcPr>
            <w:tcW w:w="712" w:type="dxa"/>
            <w:vMerge/>
            <w:tcBorders>
              <w:bottom w:val="single" w:sz="4" w:space="0" w:color="auto"/>
            </w:tcBorders>
            <w:shd w:val="clear" w:color="auto" w:fill="FFFFFF"/>
            <w:vAlign w:val="center"/>
          </w:tcPr>
          <w:p w14:paraId="63090591" w14:textId="77777777" w:rsidR="00BB48EF" w:rsidRDefault="00BB48EF" w:rsidP="004B739E">
            <w:pPr>
              <w:spacing w:before="40" w:after="20"/>
              <w:jc w:val="center"/>
              <w:rPr>
                <w:sz w:val="16"/>
                <w:lang w:eastAsia="ar-SA"/>
              </w:rPr>
            </w:pPr>
          </w:p>
        </w:tc>
        <w:tc>
          <w:tcPr>
            <w:tcW w:w="1137" w:type="dxa"/>
            <w:vMerge/>
            <w:tcBorders>
              <w:bottom w:val="single" w:sz="4" w:space="0" w:color="auto"/>
            </w:tcBorders>
            <w:shd w:val="clear" w:color="auto" w:fill="FFFFFF"/>
            <w:vAlign w:val="center"/>
          </w:tcPr>
          <w:p w14:paraId="6C276D9B" w14:textId="77777777" w:rsidR="00BB48EF" w:rsidRDefault="00BB48EF" w:rsidP="004B739E">
            <w:pPr>
              <w:spacing w:before="40" w:after="20"/>
              <w:jc w:val="center"/>
              <w:rPr>
                <w:rFonts w:ascii="Arial Narrow" w:hAnsi="Arial Narrow"/>
                <w:sz w:val="16"/>
              </w:rPr>
            </w:pPr>
          </w:p>
        </w:tc>
        <w:tc>
          <w:tcPr>
            <w:tcW w:w="633" w:type="dxa"/>
            <w:vMerge/>
            <w:tcBorders>
              <w:bottom w:val="single" w:sz="4" w:space="0" w:color="auto"/>
            </w:tcBorders>
            <w:shd w:val="clear" w:color="auto" w:fill="FFFFFF"/>
            <w:vAlign w:val="center"/>
          </w:tcPr>
          <w:p w14:paraId="3FA4BCA8" w14:textId="77777777" w:rsidR="00BB48EF" w:rsidRDefault="00BB48EF" w:rsidP="004B739E">
            <w:pPr>
              <w:spacing w:before="40" w:after="20"/>
              <w:jc w:val="center"/>
              <w:rPr>
                <w:sz w:val="16"/>
                <w:lang w:eastAsia="ar-SA"/>
              </w:rPr>
            </w:pPr>
          </w:p>
        </w:tc>
        <w:tc>
          <w:tcPr>
            <w:tcW w:w="1000" w:type="dxa"/>
            <w:gridSpan w:val="2"/>
            <w:vMerge/>
            <w:tcBorders>
              <w:bottom w:val="single" w:sz="4" w:space="0" w:color="auto"/>
            </w:tcBorders>
            <w:shd w:val="clear" w:color="auto" w:fill="FFFFFF"/>
            <w:vAlign w:val="center"/>
          </w:tcPr>
          <w:p w14:paraId="2DE661DB" w14:textId="77777777" w:rsidR="00BB48EF" w:rsidRDefault="00BB48EF" w:rsidP="004B739E">
            <w:pPr>
              <w:spacing w:before="40" w:after="20"/>
              <w:jc w:val="center"/>
              <w:rPr>
                <w:rFonts w:ascii="Arial Narrow" w:hAnsi="Arial Narrow"/>
                <w:sz w:val="16"/>
              </w:rPr>
            </w:pPr>
          </w:p>
        </w:tc>
        <w:tc>
          <w:tcPr>
            <w:tcW w:w="705" w:type="dxa"/>
            <w:vMerge/>
            <w:tcBorders>
              <w:bottom w:val="single" w:sz="4" w:space="0" w:color="auto"/>
            </w:tcBorders>
            <w:shd w:val="clear" w:color="auto" w:fill="FFFFFF"/>
            <w:vAlign w:val="center"/>
          </w:tcPr>
          <w:p w14:paraId="7A44ECD1" w14:textId="77777777" w:rsidR="00BB48EF" w:rsidRDefault="00BB48EF" w:rsidP="004B739E">
            <w:pPr>
              <w:spacing w:before="40" w:after="20"/>
              <w:jc w:val="center"/>
              <w:rPr>
                <w:sz w:val="16"/>
                <w:lang w:eastAsia="ar-SA"/>
              </w:rPr>
            </w:pPr>
          </w:p>
        </w:tc>
        <w:tc>
          <w:tcPr>
            <w:tcW w:w="1206" w:type="dxa"/>
            <w:vMerge/>
            <w:tcBorders>
              <w:bottom w:val="single" w:sz="4" w:space="0" w:color="auto"/>
            </w:tcBorders>
            <w:shd w:val="clear" w:color="auto" w:fill="FFFFFF"/>
            <w:vAlign w:val="center"/>
          </w:tcPr>
          <w:p w14:paraId="413DFB19" w14:textId="77777777" w:rsidR="00BB48EF" w:rsidRDefault="00BB48EF" w:rsidP="004B739E">
            <w:pPr>
              <w:spacing w:before="40" w:after="20"/>
              <w:jc w:val="center"/>
              <w:rPr>
                <w:rFonts w:ascii="Arial Narrow" w:hAnsi="Arial Narrow"/>
                <w:sz w:val="16"/>
              </w:rPr>
            </w:pPr>
          </w:p>
        </w:tc>
        <w:tc>
          <w:tcPr>
            <w:tcW w:w="731" w:type="dxa"/>
            <w:vMerge/>
            <w:tcBorders>
              <w:bottom w:val="single" w:sz="4" w:space="0" w:color="auto"/>
            </w:tcBorders>
            <w:shd w:val="clear" w:color="auto" w:fill="FFFFFF"/>
            <w:vAlign w:val="center"/>
          </w:tcPr>
          <w:p w14:paraId="01D6BA97" w14:textId="77777777" w:rsidR="00BB48EF" w:rsidRDefault="00BB48EF" w:rsidP="004B739E">
            <w:pPr>
              <w:spacing w:before="40" w:after="20"/>
              <w:jc w:val="center"/>
              <w:rPr>
                <w:sz w:val="16"/>
                <w:lang w:eastAsia="ar-SA"/>
              </w:rPr>
            </w:pPr>
          </w:p>
        </w:tc>
        <w:tc>
          <w:tcPr>
            <w:tcW w:w="970" w:type="dxa"/>
            <w:vMerge/>
            <w:tcBorders>
              <w:bottom w:val="single" w:sz="4" w:space="0" w:color="auto"/>
            </w:tcBorders>
            <w:shd w:val="clear" w:color="auto" w:fill="FFFFFF"/>
            <w:vAlign w:val="center"/>
          </w:tcPr>
          <w:p w14:paraId="25C0D16E" w14:textId="77777777" w:rsidR="00BB48EF" w:rsidRDefault="00BB48EF" w:rsidP="004B739E">
            <w:pPr>
              <w:spacing w:before="40" w:after="20"/>
              <w:jc w:val="center"/>
              <w:rPr>
                <w:rFonts w:ascii="Arial Narrow" w:hAnsi="Arial Narrow"/>
                <w:sz w:val="16"/>
              </w:rPr>
            </w:pPr>
          </w:p>
        </w:tc>
        <w:tc>
          <w:tcPr>
            <w:tcW w:w="850" w:type="dxa"/>
            <w:vMerge/>
            <w:tcBorders>
              <w:bottom w:val="single" w:sz="4" w:space="0" w:color="auto"/>
            </w:tcBorders>
            <w:shd w:val="clear" w:color="auto" w:fill="FFFFFF"/>
            <w:vAlign w:val="center"/>
          </w:tcPr>
          <w:p w14:paraId="712F20A2" w14:textId="77777777" w:rsidR="00BB48EF" w:rsidRDefault="00BB48EF" w:rsidP="004B739E">
            <w:pPr>
              <w:spacing w:before="40" w:after="20"/>
              <w:jc w:val="center"/>
              <w:rPr>
                <w:rFonts w:ascii="Arial Narrow" w:hAnsi="Arial Narrow"/>
                <w:sz w:val="16"/>
              </w:rPr>
            </w:pPr>
          </w:p>
        </w:tc>
        <w:tc>
          <w:tcPr>
            <w:tcW w:w="993" w:type="dxa"/>
            <w:vMerge/>
            <w:tcBorders>
              <w:bottom w:val="single" w:sz="4" w:space="0" w:color="auto"/>
            </w:tcBorders>
            <w:shd w:val="clear" w:color="auto" w:fill="FFFFFF"/>
            <w:vAlign w:val="center"/>
          </w:tcPr>
          <w:p w14:paraId="3803D61F" w14:textId="77777777" w:rsidR="00BB48EF" w:rsidRDefault="00BB48EF" w:rsidP="004B739E">
            <w:pPr>
              <w:spacing w:before="40" w:after="20"/>
              <w:jc w:val="center"/>
              <w:rPr>
                <w:rFonts w:ascii="Arial Narrow" w:hAnsi="Arial Narrow"/>
                <w:sz w:val="16"/>
              </w:rPr>
            </w:pPr>
          </w:p>
        </w:tc>
      </w:tr>
      <w:tr w:rsidR="00EC2607" w:rsidRPr="005D27EB" w14:paraId="4AFA6DA2" w14:textId="77777777" w:rsidTr="00EC2607">
        <w:trPr>
          <w:trHeight w:val="255"/>
        </w:trPr>
        <w:tc>
          <w:tcPr>
            <w:tcW w:w="1625" w:type="dxa"/>
          </w:tcPr>
          <w:p w14:paraId="01C5B173" w14:textId="77777777" w:rsidR="00EC2607" w:rsidRDefault="00EC2607" w:rsidP="00EC2607">
            <w:pPr>
              <w:spacing w:before="40"/>
              <w:rPr>
                <w:rFonts w:ascii="Arial Narrow" w:hAnsi="Arial Narrow"/>
                <w:sz w:val="18"/>
              </w:rPr>
            </w:pPr>
            <w:r>
              <w:rPr>
                <w:rFonts w:ascii="Arial Narrow" w:hAnsi="Arial Narrow"/>
                <w:sz w:val="18"/>
              </w:rPr>
              <w:t>Beni di consumo</w:t>
            </w:r>
          </w:p>
        </w:tc>
        <w:tc>
          <w:tcPr>
            <w:tcW w:w="712" w:type="dxa"/>
            <w:shd w:val="clear" w:color="auto" w:fill="D9D9D9"/>
            <w:vAlign w:val="center"/>
          </w:tcPr>
          <w:p w14:paraId="18354AF1" w14:textId="61F43096" w:rsidR="00EC2607" w:rsidRDefault="00EC2607" w:rsidP="00EC2607">
            <w:pPr>
              <w:jc w:val="center"/>
              <w:rPr>
                <w:rFonts w:ascii="Arial Narrow" w:hAnsi="Arial Narrow"/>
                <w:sz w:val="18"/>
                <w:szCs w:val="18"/>
              </w:rPr>
            </w:pPr>
            <w:r>
              <w:rPr>
                <w:rFonts w:ascii="Arial Narrow" w:hAnsi="Arial Narrow"/>
                <w:sz w:val="18"/>
                <w:szCs w:val="18"/>
              </w:rPr>
              <w:t>+5,9</w:t>
            </w:r>
          </w:p>
        </w:tc>
        <w:tc>
          <w:tcPr>
            <w:tcW w:w="1137" w:type="dxa"/>
            <w:shd w:val="clear" w:color="auto" w:fill="FFFFFF"/>
            <w:vAlign w:val="center"/>
          </w:tcPr>
          <w:p w14:paraId="4F88C1F0" w14:textId="39621695" w:rsidR="00EC2607" w:rsidRDefault="00EC2607" w:rsidP="00EC2607">
            <w:pPr>
              <w:jc w:val="center"/>
              <w:rPr>
                <w:rFonts w:ascii="Arial Narrow" w:hAnsi="Arial Narrow"/>
                <w:sz w:val="18"/>
                <w:szCs w:val="18"/>
              </w:rPr>
            </w:pPr>
            <w:r>
              <w:rPr>
                <w:rFonts w:ascii="Arial Narrow" w:hAnsi="Arial Narrow"/>
                <w:sz w:val="18"/>
                <w:szCs w:val="18"/>
              </w:rPr>
              <w:t>+3,0</w:t>
            </w:r>
          </w:p>
        </w:tc>
        <w:tc>
          <w:tcPr>
            <w:tcW w:w="633" w:type="dxa"/>
            <w:shd w:val="clear" w:color="auto" w:fill="D9D9D9"/>
            <w:vAlign w:val="center"/>
          </w:tcPr>
          <w:p w14:paraId="4C85027B" w14:textId="0EDABDF2" w:rsidR="00EC2607" w:rsidRDefault="00EC2607" w:rsidP="00EC2607">
            <w:pPr>
              <w:jc w:val="center"/>
              <w:rPr>
                <w:rFonts w:ascii="Arial Narrow" w:hAnsi="Arial Narrow"/>
                <w:sz w:val="18"/>
                <w:szCs w:val="18"/>
              </w:rPr>
            </w:pPr>
            <w:r>
              <w:rPr>
                <w:rFonts w:ascii="Arial Narrow" w:hAnsi="Arial Narrow"/>
                <w:sz w:val="18"/>
                <w:szCs w:val="18"/>
              </w:rPr>
              <w:t>+31,6</w:t>
            </w:r>
          </w:p>
        </w:tc>
        <w:tc>
          <w:tcPr>
            <w:tcW w:w="1000" w:type="dxa"/>
            <w:gridSpan w:val="2"/>
            <w:shd w:val="clear" w:color="auto" w:fill="FFFFFF"/>
            <w:vAlign w:val="center"/>
          </w:tcPr>
          <w:p w14:paraId="25BD10E9" w14:textId="6C07B74B" w:rsidR="00EC2607" w:rsidRDefault="00EC2607" w:rsidP="00EC2607">
            <w:pPr>
              <w:jc w:val="center"/>
              <w:rPr>
                <w:rFonts w:ascii="Arial Narrow" w:hAnsi="Arial Narrow"/>
                <w:sz w:val="18"/>
                <w:szCs w:val="18"/>
              </w:rPr>
            </w:pPr>
            <w:r>
              <w:rPr>
                <w:rFonts w:ascii="Arial Narrow" w:hAnsi="Arial Narrow"/>
                <w:sz w:val="18"/>
                <w:szCs w:val="18"/>
              </w:rPr>
              <w:t>+23,1</w:t>
            </w:r>
          </w:p>
        </w:tc>
        <w:tc>
          <w:tcPr>
            <w:tcW w:w="705" w:type="dxa"/>
            <w:shd w:val="clear" w:color="auto" w:fill="D9D9D9"/>
            <w:vAlign w:val="center"/>
          </w:tcPr>
          <w:p w14:paraId="613E8785" w14:textId="21DC3BD8" w:rsidR="00EC2607" w:rsidRDefault="00EC2607" w:rsidP="00EC2607">
            <w:pPr>
              <w:jc w:val="center"/>
              <w:rPr>
                <w:rFonts w:ascii="Arial Narrow" w:hAnsi="Arial Narrow"/>
                <w:sz w:val="18"/>
                <w:szCs w:val="18"/>
              </w:rPr>
            </w:pPr>
            <w:r>
              <w:rPr>
                <w:rFonts w:ascii="Arial Narrow" w:hAnsi="Arial Narrow"/>
                <w:sz w:val="18"/>
                <w:szCs w:val="18"/>
              </w:rPr>
              <w:t>-1,4</w:t>
            </w:r>
          </w:p>
        </w:tc>
        <w:tc>
          <w:tcPr>
            <w:tcW w:w="1206" w:type="dxa"/>
            <w:shd w:val="clear" w:color="auto" w:fill="FFFFFF"/>
            <w:vAlign w:val="center"/>
          </w:tcPr>
          <w:p w14:paraId="36E1E118" w14:textId="60A05247" w:rsidR="00EC2607" w:rsidRDefault="00EC2607" w:rsidP="00EC2607">
            <w:pPr>
              <w:jc w:val="center"/>
              <w:rPr>
                <w:rFonts w:ascii="Arial Narrow" w:hAnsi="Arial Narrow"/>
                <w:sz w:val="18"/>
                <w:szCs w:val="18"/>
              </w:rPr>
            </w:pPr>
            <w:r>
              <w:rPr>
                <w:rFonts w:ascii="Arial Narrow" w:hAnsi="Arial Narrow"/>
                <w:sz w:val="18"/>
                <w:szCs w:val="18"/>
              </w:rPr>
              <w:t>+4,9</w:t>
            </w:r>
          </w:p>
        </w:tc>
        <w:tc>
          <w:tcPr>
            <w:tcW w:w="731" w:type="dxa"/>
            <w:shd w:val="clear" w:color="auto" w:fill="D9D9D9"/>
            <w:vAlign w:val="center"/>
          </w:tcPr>
          <w:p w14:paraId="12851F27" w14:textId="5B7457AE" w:rsidR="00EC2607" w:rsidRDefault="00EC2607" w:rsidP="00EC2607">
            <w:pPr>
              <w:jc w:val="center"/>
              <w:rPr>
                <w:rFonts w:ascii="Arial Narrow" w:hAnsi="Arial Narrow"/>
                <w:sz w:val="18"/>
                <w:szCs w:val="18"/>
              </w:rPr>
            </w:pPr>
            <w:r>
              <w:rPr>
                <w:rFonts w:ascii="Arial Narrow" w:hAnsi="Arial Narrow"/>
                <w:sz w:val="18"/>
                <w:szCs w:val="18"/>
              </w:rPr>
              <w:t>+23,9</w:t>
            </w:r>
          </w:p>
        </w:tc>
        <w:tc>
          <w:tcPr>
            <w:tcW w:w="970" w:type="dxa"/>
            <w:shd w:val="clear" w:color="auto" w:fill="FFFFFF"/>
            <w:vAlign w:val="center"/>
          </w:tcPr>
          <w:p w14:paraId="1808CEF2" w14:textId="5E3E71F7" w:rsidR="00EC2607" w:rsidRDefault="00EC2607" w:rsidP="00EC2607">
            <w:pPr>
              <w:jc w:val="center"/>
              <w:rPr>
                <w:rFonts w:ascii="Arial Narrow" w:hAnsi="Arial Narrow"/>
                <w:sz w:val="18"/>
                <w:szCs w:val="18"/>
              </w:rPr>
            </w:pPr>
            <w:r>
              <w:rPr>
                <w:rFonts w:ascii="Arial Narrow" w:hAnsi="Arial Narrow"/>
                <w:sz w:val="18"/>
                <w:szCs w:val="18"/>
              </w:rPr>
              <w:t>+30,6</w:t>
            </w:r>
          </w:p>
        </w:tc>
        <w:tc>
          <w:tcPr>
            <w:tcW w:w="850" w:type="dxa"/>
            <w:shd w:val="clear" w:color="auto" w:fill="D9D9D9"/>
            <w:vAlign w:val="center"/>
          </w:tcPr>
          <w:p w14:paraId="24F7E119" w14:textId="4C422089" w:rsidR="00EC2607" w:rsidRDefault="00EC2607" w:rsidP="00EC2607">
            <w:pPr>
              <w:jc w:val="center"/>
              <w:rPr>
                <w:rFonts w:ascii="Arial Narrow" w:hAnsi="Arial Narrow"/>
                <w:sz w:val="18"/>
                <w:szCs w:val="18"/>
              </w:rPr>
            </w:pPr>
            <w:r>
              <w:rPr>
                <w:rFonts w:ascii="Arial Narrow" w:hAnsi="Arial Narrow"/>
                <w:sz w:val="18"/>
                <w:szCs w:val="18"/>
              </w:rPr>
              <w:t>+3.808</w:t>
            </w:r>
          </w:p>
        </w:tc>
        <w:tc>
          <w:tcPr>
            <w:tcW w:w="993" w:type="dxa"/>
            <w:shd w:val="clear" w:color="auto" w:fill="FFFFFF"/>
            <w:vAlign w:val="center"/>
          </w:tcPr>
          <w:p w14:paraId="548344FD" w14:textId="7D88C014" w:rsidR="00EC2607" w:rsidRDefault="00EC2607" w:rsidP="00EC2607">
            <w:pPr>
              <w:jc w:val="center"/>
              <w:rPr>
                <w:rFonts w:ascii="Arial Narrow" w:hAnsi="Arial Narrow"/>
                <w:sz w:val="18"/>
                <w:szCs w:val="18"/>
              </w:rPr>
            </w:pPr>
            <w:r>
              <w:rPr>
                <w:rFonts w:ascii="Arial Narrow" w:hAnsi="Arial Narrow"/>
                <w:sz w:val="18"/>
                <w:szCs w:val="18"/>
              </w:rPr>
              <w:t>+30.718</w:t>
            </w:r>
          </w:p>
        </w:tc>
      </w:tr>
      <w:tr w:rsidR="00EC2607" w:rsidRPr="005D27EB" w14:paraId="789AB03C" w14:textId="77777777" w:rsidTr="00EC2607">
        <w:trPr>
          <w:trHeight w:val="255"/>
        </w:trPr>
        <w:tc>
          <w:tcPr>
            <w:tcW w:w="1625" w:type="dxa"/>
          </w:tcPr>
          <w:p w14:paraId="044CC3E3" w14:textId="77777777" w:rsidR="00EC2607" w:rsidRDefault="00EC2607" w:rsidP="00EC2607">
            <w:pPr>
              <w:spacing w:before="40"/>
              <w:rPr>
                <w:rFonts w:ascii="Arial Narrow" w:hAnsi="Arial Narrow"/>
                <w:sz w:val="18"/>
              </w:rPr>
            </w:pPr>
            <w:r>
              <w:rPr>
                <w:rFonts w:ascii="Arial Narrow" w:hAnsi="Arial Narrow"/>
                <w:sz w:val="18"/>
              </w:rPr>
              <w:t xml:space="preserve"> durevoli</w:t>
            </w:r>
          </w:p>
        </w:tc>
        <w:tc>
          <w:tcPr>
            <w:tcW w:w="712" w:type="dxa"/>
            <w:shd w:val="clear" w:color="auto" w:fill="D9D9D9"/>
            <w:vAlign w:val="center"/>
          </w:tcPr>
          <w:p w14:paraId="10037B63" w14:textId="15808F6E" w:rsidR="00EC2607" w:rsidRDefault="00EC2607" w:rsidP="00EC2607">
            <w:pPr>
              <w:jc w:val="center"/>
              <w:rPr>
                <w:rFonts w:ascii="Arial Narrow" w:hAnsi="Arial Narrow"/>
                <w:sz w:val="18"/>
                <w:szCs w:val="18"/>
              </w:rPr>
            </w:pPr>
            <w:r>
              <w:rPr>
                <w:rFonts w:ascii="Arial Narrow" w:hAnsi="Arial Narrow"/>
                <w:sz w:val="18"/>
                <w:szCs w:val="18"/>
              </w:rPr>
              <w:t>+7,6</w:t>
            </w:r>
          </w:p>
        </w:tc>
        <w:tc>
          <w:tcPr>
            <w:tcW w:w="1137" w:type="dxa"/>
            <w:shd w:val="clear" w:color="auto" w:fill="FFFFFF"/>
            <w:vAlign w:val="center"/>
          </w:tcPr>
          <w:p w14:paraId="70A146F9" w14:textId="461275E9" w:rsidR="00EC2607" w:rsidRDefault="00EC2607" w:rsidP="00EC2607">
            <w:pPr>
              <w:jc w:val="center"/>
              <w:rPr>
                <w:rFonts w:ascii="Arial Narrow" w:hAnsi="Arial Narrow"/>
                <w:sz w:val="18"/>
                <w:szCs w:val="18"/>
              </w:rPr>
            </w:pPr>
            <w:r>
              <w:rPr>
                <w:rFonts w:ascii="Arial Narrow" w:hAnsi="Arial Narrow"/>
                <w:sz w:val="18"/>
                <w:szCs w:val="18"/>
              </w:rPr>
              <w:t>+1,9</w:t>
            </w:r>
          </w:p>
        </w:tc>
        <w:tc>
          <w:tcPr>
            <w:tcW w:w="633" w:type="dxa"/>
            <w:shd w:val="clear" w:color="auto" w:fill="D9D9D9"/>
            <w:vAlign w:val="center"/>
          </w:tcPr>
          <w:p w14:paraId="762CBFA1" w14:textId="0408B2FF" w:rsidR="00EC2607" w:rsidRDefault="00EC2607" w:rsidP="00EC2607">
            <w:pPr>
              <w:jc w:val="center"/>
              <w:rPr>
                <w:rFonts w:ascii="Arial Narrow" w:hAnsi="Arial Narrow"/>
                <w:sz w:val="18"/>
                <w:szCs w:val="18"/>
              </w:rPr>
            </w:pPr>
            <w:r>
              <w:rPr>
                <w:rFonts w:ascii="Arial Narrow" w:hAnsi="Arial Narrow"/>
                <w:sz w:val="18"/>
                <w:szCs w:val="18"/>
              </w:rPr>
              <w:t>+24,4</w:t>
            </w:r>
          </w:p>
        </w:tc>
        <w:tc>
          <w:tcPr>
            <w:tcW w:w="1000" w:type="dxa"/>
            <w:gridSpan w:val="2"/>
            <w:shd w:val="clear" w:color="auto" w:fill="FFFFFF"/>
            <w:vAlign w:val="center"/>
          </w:tcPr>
          <w:p w14:paraId="2DC08963" w14:textId="6E593BEA" w:rsidR="00EC2607" w:rsidRDefault="00EC2607" w:rsidP="00EC2607">
            <w:pPr>
              <w:jc w:val="center"/>
              <w:rPr>
                <w:rFonts w:ascii="Arial Narrow" w:hAnsi="Arial Narrow"/>
                <w:sz w:val="18"/>
                <w:szCs w:val="18"/>
              </w:rPr>
            </w:pPr>
            <w:r>
              <w:rPr>
                <w:rFonts w:ascii="Arial Narrow" w:hAnsi="Arial Narrow"/>
                <w:sz w:val="18"/>
                <w:szCs w:val="18"/>
              </w:rPr>
              <w:t>+19,9</w:t>
            </w:r>
          </w:p>
        </w:tc>
        <w:tc>
          <w:tcPr>
            <w:tcW w:w="705" w:type="dxa"/>
            <w:shd w:val="clear" w:color="auto" w:fill="D9D9D9"/>
            <w:vAlign w:val="center"/>
          </w:tcPr>
          <w:p w14:paraId="4E636538" w14:textId="17B31BA7" w:rsidR="00EC2607" w:rsidRDefault="00EC2607" w:rsidP="00EC2607">
            <w:pPr>
              <w:jc w:val="center"/>
              <w:rPr>
                <w:rFonts w:ascii="Arial Narrow" w:hAnsi="Arial Narrow"/>
                <w:sz w:val="18"/>
                <w:szCs w:val="18"/>
              </w:rPr>
            </w:pPr>
            <w:r>
              <w:rPr>
                <w:rFonts w:ascii="Arial Narrow" w:hAnsi="Arial Narrow"/>
                <w:sz w:val="18"/>
                <w:szCs w:val="18"/>
              </w:rPr>
              <w:t>-3,6</w:t>
            </w:r>
          </w:p>
        </w:tc>
        <w:tc>
          <w:tcPr>
            <w:tcW w:w="1206" w:type="dxa"/>
            <w:shd w:val="clear" w:color="auto" w:fill="FFFFFF"/>
            <w:vAlign w:val="center"/>
          </w:tcPr>
          <w:p w14:paraId="562EEF68" w14:textId="0CD85A49" w:rsidR="00EC2607" w:rsidRDefault="00EC2607" w:rsidP="00EC2607">
            <w:pPr>
              <w:jc w:val="center"/>
              <w:rPr>
                <w:rFonts w:ascii="Arial Narrow" w:hAnsi="Arial Narrow"/>
                <w:sz w:val="18"/>
                <w:szCs w:val="18"/>
              </w:rPr>
            </w:pPr>
            <w:r>
              <w:rPr>
                <w:rFonts w:ascii="Arial Narrow" w:hAnsi="Arial Narrow"/>
                <w:sz w:val="18"/>
                <w:szCs w:val="18"/>
              </w:rPr>
              <w:t>+2,2</w:t>
            </w:r>
          </w:p>
        </w:tc>
        <w:tc>
          <w:tcPr>
            <w:tcW w:w="731" w:type="dxa"/>
            <w:shd w:val="clear" w:color="auto" w:fill="D9D9D9"/>
            <w:vAlign w:val="center"/>
          </w:tcPr>
          <w:p w14:paraId="61A34F5B" w14:textId="69ADFBEE" w:rsidR="00EC2607" w:rsidRDefault="00EC2607" w:rsidP="00EC2607">
            <w:pPr>
              <w:jc w:val="center"/>
              <w:rPr>
                <w:rFonts w:ascii="Arial Narrow" w:hAnsi="Arial Narrow"/>
                <w:sz w:val="18"/>
                <w:szCs w:val="18"/>
              </w:rPr>
            </w:pPr>
            <w:r>
              <w:rPr>
                <w:rFonts w:ascii="Arial Narrow" w:hAnsi="Arial Narrow"/>
                <w:sz w:val="18"/>
                <w:szCs w:val="18"/>
              </w:rPr>
              <w:t>-1,0</w:t>
            </w:r>
          </w:p>
        </w:tc>
        <w:tc>
          <w:tcPr>
            <w:tcW w:w="970" w:type="dxa"/>
            <w:shd w:val="clear" w:color="auto" w:fill="FFFFFF"/>
            <w:vAlign w:val="center"/>
          </w:tcPr>
          <w:p w14:paraId="51284973" w14:textId="62DA0461" w:rsidR="00EC2607" w:rsidRDefault="00EC2607" w:rsidP="00EC2607">
            <w:pPr>
              <w:jc w:val="center"/>
              <w:rPr>
                <w:rFonts w:ascii="Arial Narrow" w:hAnsi="Arial Narrow"/>
                <w:sz w:val="18"/>
                <w:szCs w:val="18"/>
              </w:rPr>
            </w:pPr>
            <w:r>
              <w:rPr>
                <w:rFonts w:ascii="Arial Narrow" w:hAnsi="Arial Narrow"/>
                <w:sz w:val="18"/>
                <w:szCs w:val="18"/>
              </w:rPr>
              <w:t>+13,6</w:t>
            </w:r>
          </w:p>
        </w:tc>
        <w:tc>
          <w:tcPr>
            <w:tcW w:w="850" w:type="dxa"/>
            <w:shd w:val="clear" w:color="auto" w:fill="D9D9D9"/>
            <w:vAlign w:val="center"/>
          </w:tcPr>
          <w:p w14:paraId="11969021" w14:textId="17BB338E" w:rsidR="00EC2607" w:rsidRDefault="00EC2607" w:rsidP="00EC2607">
            <w:pPr>
              <w:jc w:val="center"/>
              <w:rPr>
                <w:rFonts w:ascii="Arial Narrow" w:hAnsi="Arial Narrow"/>
                <w:sz w:val="18"/>
                <w:szCs w:val="18"/>
              </w:rPr>
            </w:pPr>
            <w:r>
              <w:rPr>
                <w:rFonts w:ascii="Arial Narrow" w:hAnsi="Arial Narrow"/>
                <w:sz w:val="18"/>
                <w:szCs w:val="18"/>
              </w:rPr>
              <w:t>+919</w:t>
            </w:r>
          </w:p>
        </w:tc>
        <w:tc>
          <w:tcPr>
            <w:tcW w:w="993" w:type="dxa"/>
            <w:shd w:val="clear" w:color="auto" w:fill="FFFFFF"/>
            <w:vAlign w:val="center"/>
          </w:tcPr>
          <w:p w14:paraId="5824032D" w14:textId="662BA765" w:rsidR="00EC2607" w:rsidRDefault="00EC2607" w:rsidP="00EC2607">
            <w:pPr>
              <w:jc w:val="center"/>
              <w:rPr>
                <w:rFonts w:ascii="Arial Narrow" w:hAnsi="Arial Narrow"/>
                <w:sz w:val="18"/>
                <w:szCs w:val="18"/>
              </w:rPr>
            </w:pPr>
            <w:r>
              <w:rPr>
                <w:rFonts w:ascii="Arial Narrow" w:hAnsi="Arial Narrow"/>
                <w:sz w:val="18"/>
                <w:szCs w:val="18"/>
              </w:rPr>
              <w:t>+7.399</w:t>
            </w:r>
          </w:p>
        </w:tc>
      </w:tr>
      <w:tr w:rsidR="00EC2607" w:rsidRPr="005D27EB" w14:paraId="5A6F6566" w14:textId="77777777" w:rsidTr="00EC2607">
        <w:trPr>
          <w:trHeight w:val="255"/>
        </w:trPr>
        <w:tc>
          <w:tcPr>
            <w:tcW w:w="1625" w:type="dxa"/>
          </w:tcPr>
          <w:p w14:paraId="6167D44C" w14:textId="77777777" w:rsidR="00EC2607" w:rsidRDefault="00EC2607" w:rsidP="00EC2607">
            <w:pPr>
              <w:spacing w:before="40"/>
              <w:rPr>
                <w:rFonts w:ascii="Arial Narrow" w:hAnsi="Arial Narrow"/>
                <w:sz w:val="18"/>
              </w:rPr>
            </w:pPr>
            <w:r>
              <w:rPr>
                <w:rFonts w:ascii="Arial Narrow" w:hAnsi="Arial Narrow"/>
                <w:sz w:val="18"/>
              </w:rPr>
              <w:t xml:space="preserve"> non durevoli</w:t>
            </w:r>
          </w:p>
        </w:tc>
        <w:tc>
          <w:tcPr>
            <w:tcW w:w="712" w:type="dxa"/>
            <w:shd w:val="clear" w:color="auto" w:fill="D9D9D9"/>
            <w:vAlign w:val="center"/>
          </w:tcPr>
          <w:p w14:paraId="67485407" w14:textId="241792C0" w:rsidR="00EC2607" w:rsidRDefault="00EC2607" w:rsidP="00EC2607">
            <w:pPr>
              <w:jc w:val="center"/>
              <w:rPr>
                <w:rFonts w:ascii="Arial Narrow" w:hAnsi="Arial Narrow"/>
                <w:sz w:val="18"/>
                <w:szCs w:val="18"/>
              </w:rPr>
            </w:pPr>
            <w:r>
              <w:rPr>
                <w:rFonts w:ascii="Arial Narrow" w:hAnsi="Arial Narrow"/>
                <w:sz w:val="18"/>
                <w:szCs w:val="18"/>
              </w:rPr>
              <w:t>+5,6</w:t>
            </w:r>
          </w:p>
        </w:tc>
        <w:tc>
          <w:tcPr>
            <w:tcW w:w="1137" w:type="dxa"/>
            <w:shd w:val="clear" w:color="auto" w:fill="FFFFFF"/>
            <w:vAlign w:val="center"/>
          </w:tcPr>
          <w:p w14:paraId="5CCC8A60" w14:textId="4F8CF588" w:rsidR="00EC2607" w:rsidRDefault="00EC2607" w:rsidP="00EC2607">
            <w:pPr>
              <w:jc w:val="center"/>
              <w:rPr>
                <w:rFonts w:ascii="Arial Narrow" w:hAnsi="Arial Narrow"/>
                <w:sz w:val="18"/>
                <w:szCs w:val="18"/>
              </w:rPr>
            </w:pPr>
            <w:r>
              <w:rPr>
                <w:rFonts w:ascii="Arial Narrow" w:hAnsi="Arial Narrow"/>
                <w:sz w:val="18"/>
                <w:szCs w:val="18"/>
              </w:rPr>
              <w:t>+3,3</w:t>
            </w:r>
          </w:p>
        </w:tc>
        <w:tc>
          <w:tcPr>
            <w:tcW w:w="633" w:type="dxa"/>
            <w:shd w:val="clear" w:color="auto" w:fill="D9D9D9"/>
            <w:vAlign w:val="center"/>
          </w:tcPr>
          <w:p w14:paraId="2DE56C0D" w14:textId="35F3D482" w:rsidR="00EC2607" w:rsidRDefault="00EC2607" w:rsidP="00EC2607">
            <w:pPr>
              <w:jc w:val="center"/>
              <w:rPr>
                <w:rFonts w:ascii="Arial Narrow" w:hAnsi="Arial Narrow"/>
                <w:sz w:val="18"/>
                <w:szCs w:val="18"/>
              </w:rPr>
            </w:pPr>
            <w:r>
              <w:rPr>
                <w:rFonts w:ascii="Arial Narrow" w:hAnsi="Arial Narrow"/>
                <w:sz w:val="18"/>
                <w:szCs w:val="18"/>
              </w:rPr>
              <w:t>+33,3</w:t>
            </w:r>
          </w:p>
        </w:tc>
        <w:tc>
          <w:tcPr>
            <w:tcW w:w="1000" w:type="dxa"/>
            <w:gridSpan w:val="2"/>
            <w:shd w:val="clear" w:color="auto" w:fill="FFFFFF"/>
            <w:vAlign w:val="center"/>
          </w:tcPr>
          <w:p w14:paraId="556F0D22" w14:textId="4DFA3781" w:rsidR="00EC2607" w:rsidRDefault="00EC2607" w:rsidP="00EC2607">
            <w:pPr>
              <w:jc w:val="center"/>
              <w:rPr>
                <w:rFonts w:ascii="Arial Narrow" w:hAnsi="Arial Narrow"/>
                <w:sz w:val="18"/>
                <w:szCs w:val="18"/>
              </w:rPr>
            </w:pPr>
            <w:r>
              <w:rPr>
                <w:rFonts w:ascii="Arial Narrow" w:hAnsi="Arial Narrow"/>
                <w:sz w:val="18"/>
                <w:szCs w:val="18"/>
              </w:rPr>
              <w:t>+23,8</w:t>
            </w:r>
          </w:p>
        </w:tc>
        <w:tc>
          <w:tcPr>
            <w:tcW w:w="705" w:type="dxa"/>
            <w:shd w:val="clear" w:color="auto" w:fill="D9D9D9"/>
            <w:vAlign w:val="center"/>
          </w:tcPr>
          <w:p w14:paraId="2057A619" w14:textId="2AC5B5BB" w:rsidR="00EC2607" w:rsidRDefault="00EC2607" w:rsidP="00EC2607">
            <w:pPr>
              <w:jc w:val="center"/>
              <w:rPr>
                <w:rFonts w:ascii="Arial Narrow" w:hAnsi="Arial Narrow"/>
                <w:sz w:val="18"/>
                <w:szCs w:val="18"/>
              </w:rPr>
            </w:pPr>
            <w:r>
              <w:rPr>
                <w:rFonts w:ascii="Arial Narrow" w:hAnsi="Arial Narrow"/>
                <w:sz w:val="18"/>
                <w:szCs w:val="18"/>
              </w:rPr>
              <w:t>-1,1</w:t>
            </w:r>
          </w:p>
        </w:tc>
        <w:tc>
          <w:tcPr>
            <w:tcW w:w="1206" w:type="dxa"/>
            <w:shd w:val="clear" w:color="auto" w:fill="FFFFFF"/>
            <w:vAlign w:val="center"/>
          </w:tcPr>
          <w:p w14:paraId="5D8BD144" w14:textId="1DF18086" w:rsidR="00EC2607" w:rsidRDefault="00EC2607" w:rsidP="00EC2607">
            <w:pPr>
              <w:jc w:val="center"/>
              <w:rPr>
                <w:rFonts w:ascii="Arial Narrow" w:hAnsi="Arial Narrow"/>
                <w:sz w:val="18"/>
                <w:szCs w:val="18"/>
              </w:rPr>
            </w:pPr>
            <w:r>
              <w:rPr>
                <w:rFonts w:ascii="Arial Narrow" w:hAnsi="Arial Narrow"/>
                <w:sz w:val="18"/>
                <w:szCs w:val="18"/>
              </w:rPr>
              <w:t>+5,4</w:t>
            </w:r>
          </w:p>
        </w:tc>
        <w:tc>
          <w:tcPr>
            <w:tcW w:w="731" w:type="dxa"/>
            <w:shd w:val="clear" w:color="auto" w:fill="D9D9D9"/>
            <w:vAlign w:val="center"/>
          </w:tcPr>
          <w:p w14:paraId="57E802C8" w14:textId="21BD78B9" w:rsidR="00EC2607" w:rsidRDefault="00EC2607" w:rsidP="00EC2607">
            <w:pPr>
              <w:jc w:val="center"/>
              <w:rPr>
                <w:rFonts w:ascii="Arial Narrow" w:hAnsi="Arial Narrow"/>
                <w:sz w:val="18"/>
                <w:szCs w:val="18"/>
              </w:rPr>
            </w:pPr>
            <w:r>
              <w:rPr>
                <w:rFonts w:ascii="Arial Narrow" w:hAnsi="Arial Narrow"/>
                <w:sz w:val="18"/>
                <w:szCs w:val="18"/>
              </w:rPr>
              <w:t>+29,1</w:t>
            </w:r>
          </w:p>
        </w:tc>
        <w:tc>
          <w:tcPr>
            <w:tcW w:w="970" w:type="dxa"/>
            <w:shd w:val="clear" w:color="auto" w:fill="FFFFFF"/>
            <w:vAlign w:val="center"/>
          </w:tcPr>
          <w:p w14:paraId="7ABF8DC4" w14:textId="62A0A392" w:rsidR="00EC2607" w:rsidRDefault="00EC2607" w:rsidP="00EC2607">
            <w:pPr>
              <w:jc w:val="center"/>
              <w:rPr>
                <w:rFonts w:ascii="Arial Narrow" w:hAnsi="Arial Narrow"/>
                <w:sz w:val="18"/>
                <w:szCs w:val="18"/>
              </w:rPr>
            </w:pPr>
            <w:r>
              <w:rPr>
                <w:rFonts w:ascii="Arial Narrow" w:hAnsi="Arial Narrow"/>
                <w:sz w:val="18"/>
                <w:szCs w:val="18"/>
              </w:rPr>
              <w:t>+34,3</w:t>
            </w:r>
          </w:p>
        </w:tc>
        <w:tc>
          <w:tcPr>
            <w:tcW w:w="850" w:type="dxa"/>
            <w:shd w:val="clear" w:color="auto" w:fill="D9D9D9"/>
            <w:vAlign w:val="center"/>
          </w:tcPr>
          <w:p w14:paraId="21AE939D" w14:textId="43DF1669" w:rsidR="00EC2607" w:rsidRDefault="00EC2607" w:rsidP="00EC2607">
            <w:pPr>
              <w:jc w:val="center"/>
              <w:rPr>
                <w:rFonts w:ascii="Arial Narrow" w:hAnsi="Arial Narrow"/>
                <w:sz w:val="18"/>
                <w:szCs w:val="18"/>
              </w:rPr>
            </w:pPr>
            <w:r>
              <w:rPr>
                <w:rFonts w:ascii="Arial Narrow" w:hAnsi="Arial Narrow"/>
                <w:sz w:val="18"/>
                <w:szCs w:val="18"/>
              </w:rPr>
              <w:t>+2.888</w:t>
            </w:r>
          </w:p>
        </w:tc>
        <w:tc>
          <w:tcPr>
            <w:tcW w:w="993" w:type="dxa"/>
            <w:shd w:val="clear" w:color="auto" w:fill="FFFFFF"/>
            <w:vAlign w:val="center"/>
          </w:tcPr>
          <w:p w14:paraId="4161A7CE" w14:textId="1A07BCFF" w:rsidR="00EC2607" w:rsidRDefault="00EC2607" w:rsidP="00EC2607">
            <w:pPr>
              <w:jc w:val="center"/>
              <w:rPr>
                <w:rFonts w:ascii="Arial Narrow" w:hAnsi="Arial Narrow"/>
                <w:sz w:val="18"/>
                <w:szCs w:val="18"/>
              </w:rPr>
            </w:pPr>
            <w:r>
              <w:rPr>
                <w:rFonts w:ascii="Arial Narrow" w:hAnsi="Arial Narrow"/>
                <w:sz w:val="18"/>
                <w:szCs w:val="18"/>
              </w:rPr>
              <w:t>+23.319</w:t>
            </w:r>
          </w:p>
        </w:tc>
      </w:tr>
      <w:tr w:rsidR="00EC2607" w:rsidRPr="005D27EB" w14:paraId="12488B25" w14:textId="77777777" w:rsidTr="00EC2607">
        <w:trPr>
          <w:trHeight w:val="255"/>
        </w:trPr>
        <w:tc>
          <w:tcPr>
            <w:tcW w:w="1625" w:type="dxa"/>
          </w:tcPr>
          <w:p w14:paraId="7E91D28B" w14:textId="77777777" w:rsidR="00EC2607" w:rsidRDefault="00EC2607" w:rsidP="00EC2607">
            <w:pPr>
              <w:spacing w:before="40"/>
              <w:rPr>
                <w:rFonts w:ascii="Arial Narrow" w:hAnsi="Arial Narrow"/>
                <w:sz w:val="18"/>
              </w:rPr>
            </w:pPr>
            <w:r>
              <w:rPr>
                <w:rFonts w:ascii="Arial Narrow" w:hAnsi="Arial Narrow"/>
                <w:sz w:val="18"/>
              </w:rPr>
              <w:t>Beni strumentali</w:t>
            </w:r>
          </w:p>
        </w:tc>
        <w:tc>
          <w:tcPr>
            <w:tcW w:w="712" w:type="dxa"/>
            <w:shd w:val="clear" w:color="auto" w:fill="D9D9D9"/>
            <w:vAlign w:val="center"/>
          </w:tcPr>
          <w:p w14:paraId="3B470C31" w14:textId="38E7F9A2" w:rsidR="00EC2607" w:rsidRDefault="00EC2607" w:rsidP="00EC2607">
            <w:pPr>
              <w:jc w:val="center"/>
              <w:rPr>
                <w:rFonts w:ascii="Arial Narrow" w:hAnsi="Arial Narrow"/>
                <w:sz w:val="18"/>
                <w:szCs w:val="18"/>
              </w:rPr>
            </w:pPr>
            <w:r>
              <w:rPr>
                <w:rFonts w:ascii="Arial Narrow" w:hAnsi="Arial Narrow"/>
                <w:sz w:val="18"/>
                <w:szCs w:val="18"/>
              </w:rPr>
              <w:t>+7,3</w:t>
            </w:r>
          </w:p>
        </w:tc>
        <w:tc>
          <w:tcPr>
            <w:tcW w:w="1137" w:type="dxa"/>
            <w:shd w:val="clear" w:color="auto" w:fill="FFFFFF"/>
            <w:vAlign w:val="center"/>
          </w:tcPr>
          <w:p w14:paraId="2FAB8AA5" w14:textId="31FF7D1D" w:rsidR="00EC2607" w:rsidRDefault="00EC2607" w:rsidP="00EC2607">
            <w:pPr>
              <w:jc w:val="center"/>
              <w:rPr>
                <w:rFonts w:ascii="Arial Narrow" w:hAnsi="Arial Narrow"/>
                <w:sz w:val="18"/>
                <w:szCs w:val="18"/>
              </w:rPr>
            </w:pPr>
            <w:r>
              <w:rPr>
                <w:rFonts w:ascii="Arial Narrow" w:hAnsi="Arial Narrow"/>
                <w:sz w:val="18"/>
                <w:szCs w:val="18"/>
              </w:rPr>
              <w:t>+6,3</w:t>
            </w:r>
          </w:p>
        </w:tc>
        <w:tc>
          <w:tcPr>
            <w:tcW w:w="633" w:type="dxa"/>
            <w:shd w:val="clear" w:color="auto" w:fill="D9D9D9"/>
            <w:vAlign w:val="center"/>
          </w:tcPr>
          <w:p w14:paraId="62F2A36C" w14:textId="1E5B6992" w:rsidR="00EC2607" w:rsidRDefault="00EC2607" w:rsidP="00EC2607">
            <w:pPr>
              <w:jc w:val="center"/>
              <w:rPr>
                <w:rFonts w:ascii="Arial Narrow" w:hAnsi="Arial Narrow"/>
                <w:sz w:val="18"/>
                <w:szCs w:val="18"/>
              </w:rPr>
            </w:pPr>
            <w:r>
              <w:rPr>
                <w:rFonts w:ascii="Arial Narrow" w:hAnsi="Arial Narrow"/>
                <w:sz w:val="18"/>
                <w:szCs w:val="18"/>
              </w:rPr>
              <w:t>+18,5</w:t>
            </w:r>
          </w:p>
        </w:tc>
        <w:tc>
          <w:tcPr>
            <w:tcW w:w="1000" w:type="dxa"/>
            <w:gridSpan w:val="2"/>
            <w:shd w:val="clear" w:color="auto" w:fill="FFFFFF"/>
            <w:vAlign w:val="center"/>
          </w:tcPr>
          <w:p w14:paraId="11744B04" w14:textId="453A28DD" w:rsidR="00EC2607" w:rsidRDefault="00EC2607" w:rsidP="00EC2607">
            <w:pPr>
              <w:jc w:val="center"/>
              <w:rPr>
                <w:rFonts w:ascii="Arial Narrow" w:hAnsi="Arial Narrow"/>
                <w:sz w:val="18"/>
                <w:szCs w:val="18"/>
              </w:rPr>
            </w:pPr>
            <w:r>
              <w:rPr>
                <w:rFonts w:ascii="Arial Narrow" w:hAnsi="Arial Narrow"/>
                <w:sz w:val="18"/>
                <w:szCs w:val="18"/>
              </w:rPr>
              <w:t>+11,3</w:t>
            </w:r>
          </w:p>
        </w:tc>
        <w:tc>
          <w:tcPr>
            <w:tcW w:w="705" w:type="dxa"/>
            <w:shd w:val="clear" w:color="auto" w:fill="D9D9D9"/>
            <w:vAlign w:val="center"/>
          </w:tcPr>
          <w:p w14:paraId="356E97B2" w14:textId="78CE1E4D" w:rsidR="00EC2607" w:rsidRDefault="00EC2607" w:rsidP="00EC2607">
            <w:pPr>
              <w:jc w:val="center"/>
              <w:rPr>
                <w:rFonts w:ascii="Arial Narrow" w:hAnsi="Arial Narrow"/>
                <w:sz w:val="18"/>
                <w:szCs w:val="18"/>
              </w:rPr>
            </w:pPr>
            <w:r>
              <w:rPr>
                <w:rFonts w:ascii="Arial Narrow" w:hAnsi="Arial Narrow"/>
                <w:sz w:val="18"/>
                <w:szCs w:val="18"/>
              </w:rPr>
              <w:t>+1,1</w:t>
            </w:r>
          </w:p>
        </w:tc>
        <w:tc>
          <w:tcPr>
            <w:tcW w:w="1206" w:type="dxa"/>
            <w:shd w:val="clear" w:color="auto" w:fill="FFFFFF"/>
            <w:vAlign w:val="center"/>
          </w:tcPr>
          <w:p w14:paraId="6EBE46D3" w14:textId="008373F1" w:rsidR="00EC2607" w:rsidRDefault="00EC2607" w:rsidP="00EC2607">
            <w:pPr>
              <w:jc w:val="center"/>
              <w:rPr>
                <w:rFonts w:ascii="Arial Narrow" w:hAnsi="Arial Narrow"/>
                <w:sz w:val="18"/>
                <w:szCs w:val="18"/>
              </w:rPr>
            </w:pPr>
            <w:r>
              <w:rPr>
                <w:rFonts w:ascii="Arial Narrow" w:hAnsi="Arial Narrow"/>
                <w:sz w:val="18"/>
                <w:szCs w:val="18"/>
              </w:rPr>
              <w:t>+10,8</w:t>
            </w:r>
          </w:p>
        </w:tc>
        <w:tc>
          <w:tcPr>
            <w:tcW w:w="731" w:type="dxa"/>
            <w:shd w:val="clear" w:color="auto" w:fill="D9D9D9"/>
            <w:vAlign w:val="center"/>
          </w:tcPr>
          <w:p w14:paraId="14B01194" w14:textId="7B56716D" w:rsidR="00EC2607" w:rsidRDefault="00EC2607" w:rsidP="00EC2607">
            <w:pPr>
              <w:jc w:val="center"/>
              <w:rPr>
                <w:rFonts w:ascii="Arial Narrow" w:hAnsi="Arial Narrow"/>
                <w:sz w:val="18"/>
                <w:szCs w:val="18"/>
              </w:rPr>
            </w:pPr>
            <w:r>
              <w:rPr>
                <w:rFonts w:ascii="Arial Narrow" w:hAnsi="Arial Narrow"/>
                <w:sz w:val="18"/>
                <w:szCs w:val="18"/>
              </w:rPr>
              <w:t>+35,5</w:t>
            </w:r>
          </w:p>
        </w:tc>
        <w:tc>
          <w:tcPr>
            <w:tcW w:w="970" w:type="dxa"/>
            <w:shd w:val="clear" w:color="auto" w:fill="FFFFFF"/>
            <w:vAlign w:val="center"/>
          </w:tcPr>
          <w:p w14:paraId="419F173C" w14:textId="48890F87" w:rsidR="00EC2607" w:rsidRDefault="00EC2607" w:rsidP="00EC2607">
            <w:pPr>
              <w:jc w:val="center"/>
              <w:rPr>
                <w:rFonts w:ascii="Arial Narrow" w:hAnsi="Arial Narrow"/>
                <w:sz w:val="18"/>
                <w:szCs w:val="18"/>
              </w:rPr>
            </w:pPr>
            <w:r>
              <w:rPr>
                <w:rFonts w:ascii="Arial Narrow" w:hAnsi="Arial Narrow"/>
                <w:sz w:val="18"/>
                <w:szCs w:val="18"/>
              </w:rPr>
              <w:t>+24,7</w:t>
            </w:r>
          </w:p>
        </w:tc>
        <w:tc>
          <w:tcPr>
            <w:tcW w:w="850" w:type="dxa"/>
            <w:shd w:val="clear" w:color="auto" w:fill="D9D9D9"/>
            <w:vAlign w:val="center"/>
          </w:tcPr>
          <w:p w14:paraId="0F4B22AE" w14:textId="33C0DBF0" w:rsidR="00EC2607" w:rsidRDefault="00EC2607" w:rsidP="00EC2607">
            <w:pPr>
              <w:jc w:val="center"/>
              <w:rPr>
                <w:rFonts w:ascii="Arial Narrow" w:hAnsi="Arial Narrow"/>
                <w:sz w:val="18"/>
                <w:szCs w:val="18"/>
              </w:rPr>
            </w:pPr>
            <w:r>
              <w:rPr>
                <w:rFonts w:ascii="Arial Narrow" w:hAnsi="Arial Narrow"/>
                <w:sz w:val="18"/>
                <w:szCs w:val="18"/>
              </w:rPr>
              <w:t>+3.772</w:t>
            </w:r>
          </w:p>
        </w:tc>
        <w:tc>
          <w:tcPr>
            <w:tcW w:w="993" w:type="dxa"/>
            <w:shd w:val="clear" w:color="auto" w:fill="FFFFFF"/>
            <w:vAlign w:val="center"/>
          </w:tcPr>
          <w:p w14:paraId="507E246F" w14:textId="23A8A131" w:rsidR="00EC2607" w:rsidRDefault="00EC2607" w:rsidP="00EC2607">
            <w:pPr>
              <w:jc w:val="center"/>
              <w:rPr>
                <w:rFonts w:ascii="Arial Narrow" w:hAnsi="Arial Narrow"/>
                <w:sz w:val="18"/>
                <w:szCs w:val="18"/>
              </w:rPr>
            </w:pPr>
            <w:r>
              <w:rPr>
                <w:rFonts w:ascii="Arial Narrow" w:hAnsi="Arial Narrow"/>
                <w:sz w:val="18"/>
                <w:szCs w:val="18"/>
              </w:rPr>
              <w:t>+36.972</w:t>
            </w:r>
          </w:p>
        </w:tc>
      </w:tr>
      <w:tr w:rsidR="00EC2607" w:rsidRPr="005D27EB" w14:paraId="0104B156" w14:textId="77777777" w:rsidTr="00EC2607">
        <w:trPr>
          <w:trHeight w:val="255"/>
        </w:trPr>
        <w:tc>
          <w:tcPr>
            <w:tcW w:w="1625" w:type="dxa"/>
          </w:tcPr>
          <w:p w14:paraId="040ED599" w14:textId="77777777" w:rsidR="00EC2607" w:rsidRDefault="00EC2607" w:rsidP="00EC2607">
            <w:pPr>
              <w:spacing w:before="40"/>
              <w:rPr>
                <w:rFonts w:ascii="Arial Narrow" w:hAnsi="Arial Narrow"/>
                <w:sz w:val="18"/>
              </w:rPr>
            </w:pPr>
            <w:r>
              <w:rPr>
                <w:rFonts w:ascii="Arial Narrow" w:hAnsi="Arial Narrow"/>
                <w:sz w:val="18"/>
              </w:rPr>
              <w:t>Beni intermedi</w:t>
            </w:r>
          </w:p>
        </w:tc>
        <w:tc>
          <w:tcPr>
            <w:tcW w:w="712" w:type="dxa"/>
            <w:shd w:val="clear" w:color="auto" w:fill="D9D9D9"/>
            <w:vAlign w:val="center"/>
          </w:tcPr>
          <w:p w14:paraId="4825092D" w14:textId="6D987662" w:rsidR="00EC2607" w:rsidRDefault="00EC2607" w:rsidP="00EC2607">
            <w:pPr>
              <w:jc w:val="center"/>
              <w:rPr>
                <w:rFonts w:ascii="Arial Narrow" w:hAnsi="Arial Narrow"/>
                <w:sz w:val="18"/>
                <w:szCs w:val="18"/>
              </w:rPr>
            </w:pPr>
            <w:r>
              <w:rPr>
                <w:rFonts w:ascii="Arial Narrow" w:hAnsi="Arial Narrow"/>
                <w:sz w:val="18"/>
                <w:szCs w:val="18"/>
              </w:rPr>
              <w:t>+5,4</w:t>
            </w:r>
          </w:p>
        </w:tc>
        <w:tc>
          <w:tcPr>
            <w:tcW w:w="1137" w:type="dxa"/>
            <w:shd w:val="clear" w:color="auto" w:fill="FFFFFF"/>
            <w:vAlign w:val="center"/>
          </w:tcPr>
          <w:p w14:paraId="4FDDDED6" w14:textId="3509F4F7" w:rsidR="00EC2607" w:rsidRDefault="00EC2607" w:rsidP="00EC2607">
            <w:pPr>
              <w:jc w:val="center"/>
              <w:rPr>
                <w:rFonts w:ascii="Arial Narrow" w:hAnsi="Arial Narrow"/>
                <w:sz w:val="18"/>
                <w:szCs w:val="18"/>
              </w:rPr>
            </w:pPr>
            <w:r>
              <w:rPr>
                <w:rFonts w:ascii="Arial Narrow" w:hAnsi="Arial Narrow"/>
                <w:sz w:val="18"/>
                <w:szCs w:val="18"/>
              </w:rPr>
              <w:t>+3,3</w:t>
            </w:r>
          </w:p>
        </w:tc>
        <w:tc>
          <w:tcPr>
            <w:tcW w:w="633" w:type="dxa"/>
            <w:shd w:val="clear" w:color="auto" w:fill="D9D9D9"/>
            <w:vAlign w:val="center"/>
          </w:tcPr>
          <w:p w14:paraId="0DBA8944" w14:textId="6AD7C8AB" w:rsidR="00EC2607" w:rsidRDefault="00EC2607" w:rsidP="00EC2607">
            <w:pPr>
              <w:jc w:val="center"/>
              <w:rPr>
                <w:rFonts w:ascii="Arial Narrow" w:hAnsi="Arial Narrow"/>
                <w:sz w:val="18"/>
                <w:szCs w:val="18"/>
              </w:rPr>
            </w:pPr>
            <w:r>
              <w:rPr>
                <w:rFonts w:ascii="Arial Narrow" w:hAnsi="Arial Narrow"/>
                <w:sz w:val="18"/>
                <w:szCs w:val="18"/>
              </w:rPr>
              <w:t>+27,9</w:t>
            </w:r>
          </w:p>
        </w:tc>
        <w:tc>
          <w:tcPr>
            <w:tcW w:w="1000" w:type="dxa"/>
            <w:gridSpan w:val="2"/>
            <w:shd w:val="clear" w:color="auto" w:fill="FFFFFF"/>
            <w:vAlign w:val="center"/>
          </w:tcPr>
          <w:p w14:paraId="4830C128" w14:textId="1C5A5C52" w:rsidR="00EC2607" w:rsidRDefault="00EC2607" w:rsidP="00EC2607">
            <w:pPr>
              <w:jc w:val="center"/>
              <w:rPr>
                <w:rFonts w:ascii="Arial Narrow" w:hAnsi="Arial Narrow"/>
                <w:sz w:val="18"/>
                <w:szCs w:val="18"/>
              </w:rPr>
            </w:pPr>
            <w:r>
              <w:rPr>
                <w:rFonts w:ascii="Arial Narrow" w:hAnsi="Arial Narrow"/>
                <w:sz w:val="18"/>
                <w:szCs w:val="18"/>
              </w:rPr>
              <w:t>+18,5</w:t>
            </w:r>
          </w:p>
        </w:tc>
        <w:tc>
          <w:tcPr>
            <w:tcW w:w="705" w:type="dxa"/>
            <w:shd w:val="clear" w:color="auto" w:fill="D9D9D9"/>
            <w:vAlign w:val="center"/>
          </w:tcPr>
          <w:p w14:paraId="116EF200" w14:textId="0AE85F14" w:rsidR="00EC2607" w:rsidRDefault="00EC2607" w:rsidP="00EC2607">
            <w:pPr>
              <w:jc w:val="center"/>
              <w:rPr>
                <w:rFonts w:ascii="Arial Narrow" w:hAnsi="Arial Narrow"/>
                <w:sz w:val="18"/>
                <w:szCs w:val="18"/>
              </w:rPr>
            </w:pPr>
            <w:r>
              <w:rPr>
                <w:rFonts w:ascii="Arial Narrow" w:hAnsi="Arial Narrow"/>
                <w:sz w:val="18"/>
                <w:szCs w:val="18"/>
              </w:rPr>
              <w:t>-6,3</w:t>
            </w:r>
          </w:p>
        </w:tc>
        <w:tc>
          <w:tcPr>
            <w:tcW w:w="1206" w:type="dxa"/>
            <w:shd w:val="clear" w:color="auto" w:fill="FFFFFF"/>
            <w:vAlign w:val="center"/>
          </w:tcPr>
          <w:p w14:paraId="6846B500" w14:textId="4265FCA3" w:rsidR="00EC2607" w:rsidRDefault="00EC2607" w:rsidP="00EC2607">
            <w:pPr>
              <w:jc w:val="center"/>
              <w:rPr>
                <w:rFonts w:ascii="Arial Narrow" w:hAnsi="Arial Narrow"/>
                <w:sz w:val="18"/>
                <w:szCs w:val="18"/>
              </w:rPr>
            </w:pPr>
            <w:r>
              <w:rPr>
                <w:rFonts w:ascii="Arial Narrow" w:hAnsi="Arial Narrow"/>
                <w:sz w:val="18"/>
                <w:szCs w:val="18"/>
              </w:rPr>
              <w:t>+1,0</w:t>
            </w:r>
          </w:p>
        </w:tc>
        <w:tc>
          <w:tcPr>
            <w:tcW w:w="731" w:type="dxa"/>
            <w:shd w:val="clear" w:color="auto" w:fill="D9D9D9"/>
            <w:vAlign w:val="center"/>
          </w:tcPr>
          <w:p w14:paraId="7B9ABA61" w14:textId="719BADBF" w:rsidR="00EC2607" w:rsidRDefault="00EC2607" w:rsidP="00EC2607">
            <w:pPr>
              <w:jc w:val="center"/>
              <w:rPr>
                <w:rFonts w:ascii="Arial Narrow" w:hAnsi="Arial Narrow"/>
                <w:sz w:val="18"/>
                <w:szCs w:val="18"/>
              </w:rPr>
            </w:pPr>
            <w:r>
              <w:rPr>
                <w:rFonts w:ascii="Arial Narrow" w:hAnsi="Arial Narrow"/>
                <w:sz w:val="18"/>
                <w:szCs w:val="18"/>
              </w:rPr>
              <w:t>+19,2</w:t>
            </w:r>
          </w:p>
        </w:tc>
        <w:tc>
          <w:tcPr>
            <w:tcW w:w="970" w:type="dxa"/>
            <w:shd w:val="clear" w:color="auto" w:fill="FFFFFF"/>
            <w:vAlign w:val="center"/>
          </w:tcPr>
          <w:p w14:paraId="79ED2554" w14:textId="59D90128" w:rsidR="00EC2607" w:rsidRDefault="00EC2607" w:rsidP="00EC2607">
            <w:pPr>
              <w:jc w:val="center"/>
              <w:rPr>
                <w:rFonts w:ascii="Arial Narrow" w:hAnsi="Arial Narrow"/>
                <w:sz w:val="18"/>
                <w:szCs w:val="18"/>
              </w:rPr>
            </w:pPr>
            <w:r>
              <w:rPr>
                <w:rFonts w:ascii="Arial Narrow" w:hAnsi="Arial Narrow"/>
                <w:sz w:val="18"/>
                <w:szCs w:val="18"/>
              </w:rPr>
              <w:t>+36,2</w:t>
            </w:r>
          </w:p>
        </w:tc>
        <w:tc>
          <w:tcPr>
            <w:tcW w:w="850" w:type="dxa"/>
            <w:shd w:val="clear" w:color="auto" w:fill="D9D9D9"/>
            <w:vAlign w:val="center"/>
          </w:tcPr>
          <w:p w14:paraId="19BDFEBB" w14:textId="41AB9AF0" w:rsidR="00EC2607" w:rsidRDefault="00EC2607" w:rsidP="00EC2607">
            <w:pPr>
              <w:jc w:val="center"/>
              <w:rPr>
                <w:rFonts w:ascii="Arial Narrow" w:hAnsi="Arial Narrow"/>
                <w:sz w:val="18"/>
                <w:szCs w:val="18"/>
              </w:rPr>
            </w:pPr>
            <w:r>
              <w:rPr>
                <w:rFonts w:ascii="Arial Narrow" w:hAnsi="Arial Narrow"/>
                <w:sz w:val="18"/>
                <w:szCs w:val="18"/>
              </w:rPr>
              <w:t>-923</w:t>
            </w:r>
          </w:p>
        </w:tc>
        <w:tc>
          <w:tcPr>
            <w:tcW w:w="993" w:type="dxa"/>
            <w:shd w:val="clear" w:color="auto" w:fill="FFFFFF"/>
            <w:vAlign w:val="center"/>
          </w:tcPr>
          <w:p w14:paraId="28E1FF1D" w14:textId="5EE7D01D" w:rsidR="00EC2607" w:rsidRDefault="00EC2607" w:rsidP="00EC2607">
            <w:pPr>
              <w:jc w:val="center"/>
              <w:rPr>
                <w:rFonts w:ascii="Arial Narrow" w:hAnsi="Arial Narrow"/>
                <w:sz w:val="18"/>
                <w:szCs w:val="18"/>
              </w:rPr>
            </w:pPr>
            <w:r>
              <w:rPr>
                <w:rFonts w:ascii="Arial Narrow" w:hAnsi="Arial Narrow"/>
                <w:sz w:val="18"/>
                <w:szCs w:val="18"/>
              </w:rPr>
              <w:t>-12.249</w:t>
            </w:r>
          </w:p>
        </w:tc>
      </w:tr>
      <w:tr w:rsidR="00EC2607" w:rsidRPr="005D27EB" w14:paraId="3BF0A35B" w14:textId="77777777" w:rsidTr="00EC2607">
        <w:trPr>
          <w:trHeight w:val="255"/>
        </w:trPr>
        <w:tc>
          <w:tcPr>
            <w:tcW w:w="1625" w:type="dxa"/>
          </w:tcPr>
          <w:p w14:paraId="2C13F3C1" w14:textId="77777777" w:rsidR="00EC2607" w:rsidRDefault="00EC2607" w:rsidP="00EC2607">
            <w:pPr>
              <w:spacing w:before="40"/>
              <w:rPr>
                <w:rFonts w:ascii="Arial Narrow" w:hAnsi="Arial Narrow"/>
                <w:sz w:val="18"/>
              </w:rPr>
            </w:pPr>
            <w:r>
              <w:rPr>
                <w:rFonts w:ascii="Arial Narrow" w:hAnsi="Arial Narrow"/>
                <w:sz w:val="18"/>
              </w:rPr>
              <w:t>Energia</w:t>
            </w:r>
          </w:p>
        </w:tc>
        <w:tc>
          <w:tcPr>
            <w:tcW w:w="712" w:type="dxa"/>
            <w:shd w:val="clear" w:color="auto" w:fill="D9D9D9"/>
            <w:vAlign w:val="center"/>
          </w:tcPr>
          <w:p w14:paraId="147AFFD8" w14:textId="479C9019" w:rsidR="00EC2607" w:rsidRDefault="00EC2607" w:rsidP="00EC2607">
            <w:pPr>
              <w:jc w:val="center"/>
              <w:rPr>
                <w:rFonts w:ascii="Arial Narrow" w:hAnsi="Arial Narrow"/>
                <w:sz w:val="18"/>
                <w:szCs w:val="18"/>
              </w:rPr>
            </w:pPr>
            <w:r>
              <w:rPr>
                <w:rFonts w:ascii="Arial Narrow" w:hAnsi="Arial Narrow"/>
                <w:sz w:val="18"/>
                <w:szCs w:val="18"/>
              </w:rPr>
              <w:t>-1,5</w:t>
            </w:r>
          </w:p>
        </w:tc>
        <w:tc>
          <w:tcPr>
            <w:tcW w:w="1137" w:type="dxa"/>
            <w:shd w:val="clear" w:color="auto" w:fill="FFFFFF"/>
            <w:vAlign w:val="center"/>
          </w:tcPr>
          <w:p w14:paraId="4DB5C072" w14:textId="2504CE6E" w:rsidR="00EC2607" w:rsidRDefault="00EC2607" w:rsidP="00EC2607">
            <w:pPr>
              <w:jc w:val="center"/>
              <w:rPr>
                <w:rFonts w:ascii="Arial Narrow" w:hAnsi="Arial Narrow"/>
                <w:sz w:val="18"/>
                <w:szCs w:val="18"/>
              </w:rPr>
            </w:pPr>
            <w:r>
              <w:rPr>
                <w:rFonts w:ascii="Arial Narrow" w:hAnsi="Arial Narrow"/>
                <w:sz w:val="18"/>
                <w:szCs w:val="18"/>
              </w:rPr>
              <w:t>-8,2</w:t>
            </w:r>
          </w:p>
        </w:tc>
        <w:tc>
          <w:tcPr>
            <w:tcW w:w="633" w:type="dxa"/>
            <w:shd w:val="clear" w:color="auto" w:fill="D9D9D9"/>
            <w:vAlign w:val="center"/>
          </w:tcPr>
          <w:p w14:paraId="50A4B5BC" w14:textId="192E641F" w:rsidR="00EC2607" w:rsidRDefault="00EC2607" w:rsidP="00EC2607">
            <w:pPr>
              <w:jc w:val="center"/>
              <w:rPr>
                <w:rFonts w:ascii="Arial Narrow" w:hAnsi="Arial Narrow"/>
                <w:sz w:val="18"/>
                <w:szCs w:val="18"/>
              </w:rPr>
            </w:pPr>
            <w:r>
              <w:rPr>
                <w:rFonts w:ascii="Arial Narrow" w:hAnsi="Arial Narrow"/>
                <w:sz w:val="18"/>
                <w:szCs w:val="18"/>
              </w:rPr>
              <w:t>+50,3</w:t>
            </w:r>
          </w:p>
        </w:tc>
        <w:tc>
          <w:tcPr>
            <w:tcW w:w="1000" w:type="dxa"/>
            <w:gridSpan w:val="2"/>
            <w:shd w:val="clear" w:color="auto" w:fill="FFFFFF"/>
            <w:vAlign w:val="center"/>
          </w:tcPr>
          <w:p w14:paraId="59DCC70F" w14:textId="249E6225" w:rsidR="00EC2607" w:rsidRDefault="00EC2607" w:rsidP="00EC2607">
            <w:pPr>
              <w:jc w:val="center"/>
              <w:rPr>
                <w:rFonts w:ascii="Arial Narrow" w:hAnsi="Arial Narrow"/>
                <w:sz w:val="18"/>
                <w:szCs w:val="18"/>
              </w:rPr>
            </w:pPr>
            <w:r>
              <w:rPr>
                <w:rFonts w:ascii="Arial Narrow" w:hAnsi="Arial Narrow"/>
                <w:sz w:val="18"/>
                <w:szCs w:val="18"/>
              </w:rPr>
              <w:t>+109,2</w:t>
            </w:r>
          </w:p>
        </w:tc>
        <w:tc>
          <w:tcPr>
            <w:tcW w:w="705" w:type="dxa"/>
            <w:shd w:val="clear" w:color="auto" w:fill="D9D9D9"/>
            <w:vAlign w:val="center"/>
          </w:tcPr>
          <w:p w14:paraId="05CD7B85" w14:textId="5847184D" w:rsidR="00EC2607" w:rsidRDefault="00EC2607" w:rsidP="00EC2607">
            <w:pPr>
              <w:jc w:val="center"/>
              <w:rPr>
                <w:rFonts w:ascii="Arial Narrow" w:hAnsi="Arial Narrow"/>
                <w:sz w:val="18"/>
                <w:szCs w:val="18"/>
              </w:rPr>
            </w:pPr>
            <w:r>
              <w:rPr>
                <w:rFonts w:ascii="Arial Narrow" w:hAnsi="Arial Narrow"/>
                <w:sz w:val="18"/>
                <w:szCs w:val="18"/>
              </w:rPr>
              <w:t>+4,9</w:t>
            </w:r>
          </w:p>
        </w:tc>
        <w:tc>
          <w:tcPr>
            <w:tcW w:w="1206" w:type="dxa"/>
            <w:shd w:val="clear" w:color="auto" w:fill="FFFFFF"/>
            <w:vAlign w:val="center"/>
          </w:tcPr>
          <w:p w14:paraId="37085477" w14:textId="493AAA18" w:rsidR="00EC2607" w:rsidRDefault="00EC2607" w:rsidP="00EC2607">
            <w:pPr>
              <w:jc w:val="center"/>
              <w:rPr>
                <w:rFonts w:ascii="Arial Narrow" w:hAnsi="Arial Narrow"/>
                <w:sz w:val="18"/>
                <w:szCs w:val="18"/>
              </w:rPr>
            </w:pPr>
            <w:r>
              <w:rPr>
                <w:rFonts w:ascii="Arial Narrow" w:hAnsi="Arial Narrow"/>
                <w:sz w:val="18"/>
                <w:szCs w:val="18"/>
              </w:rPr>
              <w:t>+23,0</w:t>
            </w:r>
          </w:p>
        </w:tc>
        <w:tc>
          <w:tcPr>
            <w:tcW w:w="731" w:type="dxa"/>
            <w:shd w:val="clear" w:color="auto" w:fill="D9D9D9"/>
            <w:vAlign w:val="center"/>
          </w:tcPr>
          <w:p w14:paraId="559D2714" w14:textId="0376FC32" w:rsidR="00EC2607" w:rsidRDefault="00EC2607" w:rsidP="00EC2607">
            <w:pPr>
              <w:jc w:val="center"/>
              <w:rPr>
                <w:rFonts w:ascii="Arial Narrow" w:hAnsi="Arial Narrow"/>
                <w:sz w:val="18"/>
                <w:szCs w:val="18"/>
              </w:rPr>
            </w:pPr>
            <w:r>
              <w:rPr>
                <w:rFonts w:ascii="Arial Narrow" w:hAnsi="Arial Narrow"/>
                <w:sz w:val="18"/>
                <w:szCs w:val="18"/>
              </w:rPr>
              <w:t>+176,9</w:t>
            </w:r>
          </w:p>
        </w:tc>
        <w:tc>
          <w:tcPr>
            <w:tcW w:w="970" w:type="dxa"/>
            <w:shd w:val="clear" w:color="auto" w:fill="FFFFFF"/>
            <w:vAlign w:val="center"/>
          </w:tcPr>
          <w:p w14:paraId="08F11FE8" w14:textId="078373DF" w:rsidR="00EC2607" w:rsidRDefault="00EC2607" w:rsidP="00EC2607">
            <w:pPr>
              <w:jc w:val="center"/>
              <w:rPr>
                <w:rFonts w:ascii="Arial Narrow" w:hAnsi="Arial Narrow"/>
                <w:sz w:val="18"/>
                <w:szCs w:val="18"/>
              </w:rPr>
            </w:pPr>
            <w:r>
              <w:rPr>
                <w:rFonts w:ascii="Arial Narrow" w:hAnsi="Arial Narrow"/>
                <w:sz w:val="18"/>
                <w:szCs w:val="18"/>
              </w:rPr>
              <w:t>+197,1</w:t>
            </w:r>
          </w:p>
        </w:tc>
        <w:tc>
          <w:tcPr>
            <w:tcW w:w="850" w:type="dxa"/>
            <w:shd w:val="clear" w:color="auto" w:fill="D9D9D9"/>
            <w:vAlign w:val="center"/>
          </w:tcPr>
          <w:p w14:paraId="2561C181" w14:textId="12DDF92C" w:rsidR="00EC2607" w:rsidRDefault="00EC2607" w:rsidP="00EC2607">
            <w:pPr>
              <w:jc w:val="center"/>
              <w:rPr>
                <w:rFonts w:ascii="Arial Narrow" w:hAnsi="Arial Narrow"/>
                <w:sz w:val="18"/>
                <w:szCs w:val="18"/>
              </w:rPr>
            </w:pPr>
            <w:r>
              <w:rPr>
                <w:rFonts w:ascii="Arial Narrow" w:hAnsi="Arial Narrow"/>
                <w:sz w:val="18"/>
                <w:szCs w:val="18"/>
              </w:rPr>
              <w:t>-12.096</w:t>
            </w:r>
          </w:p>
        </w:tc>
        <w:tc>
          <w:tcPr>
            <w:tcW w:w="993" w:type="dxa"/>
            <w:shd w:val="clear" w:color="auto" w:fill="FFFFFF"/>
            <w:vAlign w:val="center"/>
          </w:tcPr>
          <w:p w14:paraId="32492A83" w14:textId="45D646BF" w:rsidR="00EC2607" w:rsidRDefault="00EC2607" w:rsidP="00EC2607">
            <w:pPr>
              <w:jc w:val="center"/>
              <w:rPr>
                <w:rFonts w:ascii="Arial Narrow" w:hAnsi="Arial Narrow"/>
                <w:sz w:val="18"/>
                <w:szCs w:val="18"/>
              </w:rPr>
            </w:pPr>
            <w:r>
              <w:rPr>
                <w:rFonts w:ascii="Arial Narrow" w:hAnsi="Arial Narrow"/>
                <w:sz w:val="18"/>
                <w:szCs w:val="18"/>
              </w:rPr>
              <w:t>-83.660</w:t>
            </w:r>
          </w:p>
        </w:tc>
      </w:tr>
      <w:tr w:rsidR="00EC2607" w:rsidRPr="005D27EB" w14:paraId="603F57BE" w14:textId="77777777" w:rsidTr="00EC2607">
        <w:trPr>
          <w:trHeight w:val="255"/>
        </w:trPr>
        <w:tc>
          <w:tcPr>
            <w:tcW w:w="1625" w:type="dxa"/>
            <w:vAlign w:val="center"/>
          </w:tcPr>
          <w:p w14:paraId="19B7A3A4" w14:textId="77777777" w:rsidR="00EC2607" w:rsidRDefault="00EC2607" w:rsidP="00EC2607">
            <w:pPr>
              <w:spacing w:before="40"/>
              <w:rPr>
                <w:rFonts w:ascii="Arial Narrow" w:hAnsi="Arial Narrow"/>
                <w:sz w:val="18"/>
              </w:rPr>
            </w:pPr>
            <w:r>
              <w:rPr>
                <w:rFonts w:ascii="Arial Narrow" w:hAnsi="Arial Narrow"/>
                <w:sz w:val="18"/>
              </w:rPr>
              <w:t>Totale al netto dell’energia</w:t>
            </w:r>
          </w:p>
        </w:tc>
        <w:tc>
          <w:tcPr>
            <w:tcW w:w="712" w:type="dxa"/>
            <w:shd w:val="clear" w:color="auto" w:fill="D9D9D9"/>
            <w:vAlign w:val="center"/>
          </w:tcPr>
          <w:p w14:paraId="350D8C4B" w14:textId="758DE073" w:rsidR="00EC2607" w:rsidRDefault="00EC2607" w:rsidP="00EC2607">
            <w:pPr>
              <w:jc w:val="center"/>
              <w:rPr>
                <w:rFonts w:ascii="Arial Narrow" w:hAnsi="Arial Narrow"/>
                <w:sz w:val="18"/>
                <w:szCs w:val="18"/>
              </w:rPr>
            </w:pPr>
            <w:r>
              <w:rPr>
                <w:rFonts w:ascii="Arial Narrow" w:hAnsi="Arial Narrow"/>
                <w:sz w:val="18"/>
                <w:szCs w:val="18"/>
              </w:rPr>
              <w:t>+6,2</w:t>
            </w:r>
          </w:p>
        </w:tc>
        <w:tc>
          <w:tcPr>
            <w:tcW w:w="1137" w:type="dxa"/>
            <w:shd w:val="clear" w:color="auto" w:fill="FFFFFF"/>
            <w:vAlign w:val="center"/>
          </w:tcPr>
          <w:p w14:paraId="63CBD82F" w14:textId="1C41C31B" w:rsidR="00EC2607" w:rsidRDefault="00EC2607" w:rsidP="00EC2607">
            <w:pPr>
              <w:jc w:val="center"/>
              <w:rPr>
                <w:rFonts w:ascii="Arial Narrow" w:hAnsi="Arial Narrow"/>
                <w:sz w:val="18"/>
                <w:szCs w:val="18"/>
              </w:rPr>
            </w:pPr>
            <w:r>
              <w:rPr>
                <w:rFonts w:ascii="Arial Narrow" w:hAnsi="Arial Narrow"/>
                <w:sz w:val="18"/>
                <w:szCs w:val="18"/>
              </w:rPr>
              <w:t>+4,2</w:t>
            </w:r>
          </w:p>
        </w:tc>
        <w:tc>
          <w:tcPr>
            <w:tcW w:w="633" w:type="dxa"/>
            <w:shd w:val="clear" w:color="auto" w:fill="D9D9D9"/>
            <w:vAlign w:val="center"/>
          </w:tcPr>
          <w:p w14:paraId="1E317318" w14:textId="28CF4149" w:rsidR="00EC2607" w:rsidRDefault="00EC2607" w:rsidP="00EC2607">
            <w:pPr>
              <w:jc w:val="center"/>
              <w:rPr>
                <w:rFonts w:ascii="Arial Narrow" w:hAnsi="Arial Narrow"/>
                <w:sz w:val="18"/>
                <w:szCs w:val="18"/>
              </w:rPr>
            </w:pPr>
            <w:r>
              <w:rPr>
                <w:rFonts w:ascii="Arial Narrow" w:hAnsi="Arial Narrow"/>
                <w:sz w:val="18"/>
                <w:szCs w:val="18"/>
              </w:rPr>
              <w:t>+26,0</w:t>
            </w:r>
          </w:p>
        </w:tc>
        <w:tc>
          <w:tcPr>
            <w:tcW w:w="1000" w:type="dxa"/>
            <w:gridSpan w:val="2"/>
            <w:shd w:val="clear" w:color="auto" w:fill="FFFFFF"/>
            <w:vAlign w:val="center"/>
          </w:tcPr>
          <w:p w14:paraId="6A192866" w14:textId="0381137E" w:rsidR="00EC2607" w:rsidRDefault="00EC2607" w:rsidP="00EC2607">
            <w:pPr>
              <w:jc w:val="center"/>
              <w:rPr>
                <w:rFonts w:ascii="Arial Narrow" w:hAnsi="Arial Narrow"/>
                <w:sz w:val="18"/>
                <w:szCs w:val="18"/>
              </w:rPr>
            </w:pPr>
            <w:r>
              <w:rPr>
                <w:rFonts w:ascii="Arial Narrow" w:hAnsi="Arial Narrow"/>
                <w:sz w:val="18"/>
                <w:szCs w:val="18"/>
              </w:rPr>
              <w:t>+17,5</w:t>
            </w:r>
          </w:p>
        </w:tc>
        <w:tc>
          <w:tcPr>
            <w:tcW w:w="705" w:type="dxa"/>
            <w:shd w:val="clear" w:color="auto" w:fill="D9D9D9"/>
            <w:vAlign w:val="center"/>
          </w:tcPr>
          <w:p w14:paraId="622FB23C" w14:textId="62DC242C" w:rsidR="00EC2607" w:rsidRDefault="00EC2607" w:rsidP="00EC2607">
            <w:pPr>
              <w:jc w:val="center"/>
              <w:rPr>
                <w:rFonts w:ascii="Arial Narrow" w:hAnsi="Arial Narrow"/>
                <w:sz w:val="18"/>
                <w:szCs w:val="18"/>
              </w:rPr>
            </w:pPr>
            <w:r>
              <w:rPr>
                <w:rFonts w:ascii="Arial Narrow" w:hAnsi="Arial Narrow"/>
                <w:sz w:val="18"/>
                <w:szCs w:val="18"/>
              </w:rPr>
              <w:t>-3,0</w:t>
            </w:r>
          </w:p>
        </w:tc>
        <w:tc>
          <w:tcPr>
            <w:tcW w:w="1206" w:type="dxa"/>
            <w:shd w:val="clear" w:color="auto" w:fill="FFFFFF"/>
            <w:vAlign w:val="center"/>
          </w:tcPr>
          <w:p w14:paraId="5AD59830" w14:textId="55A83EBD" w:rsidR="00EC2607" w:rsidRDefault="00EC2607" w:rsidP="00EC2607">
            <w:pPr>
              <w:jc w:val="center"/>
              <w:rPr>
                <w:rFonts w:ascii="Arial Narrow" w:hAnsi="Arial Narrow"/>
                <w:sz w:val="18"/>
                <w:szCs w:val="18"/>
              </w:rPr>
            </w:pPr>
            <w:r>
              <w:rPr>
                <w:rFonts w:ascii="Arial Narrow" w:hAnsi="Arial Narrow"/>
                <w:sz w:val="18"/>
                <w:szCs w:val="18"/>
              </w:rPr>
              <w:t>+4,4</w:t>
            </w:r>
          </w:p>
        </w:tc>
        <w:tc>
          <w:tcPr>
            <w:tcW w:w="731" w:type="dxa"/>
            <w:shd w:val="clear" w:color="auto" w:fill="D9D9D9"/>
            <w:vAlign w:val="center"/>
          </w:tcPr>
          <w:p w14:paraId="4F3C54F6" w14:textId="4D8FF4C7" w:rsidR="00EC2607" w:rsidRDefault="00EC2607" w:rsidP="00EC2607">
            <w:pPr>
              <w:jc w:val="center"/>
              <w:rPr>
                <w:rFonts w:ascii="Arial Narrow" w:hAnsi="Arial Narrow"/>
                <w:sz w:val="18"/>
                <w:szCs w:val="18"/>
              </w:rPr>
            </w:pPr>
            <w:r>
              <w:rPr>
                <w:rFonts w:ascii="Arial Narrow" w:hAnsi="Arial Narrow"/>
                <w:sz w:val="18"/>
                <w:szCs w:val="18"/>
              </w:rPr>
              <w:t>+24,4</w:t>
            </w:r>
          </w:p>
        </w:tc>
        <w:tc>
          <w:tcPr>
            <w:tcW w:w="970" w:type="dxa"/>
            <w:shd w:val="clear" w:color="auto" w:fill="FFFFFF"/>
            <w:vAlign w:val="center"/>
          </w:tcPr>
          <w:p w14:paraId="58942DF1" w14:textId="071A077A" w:rsidR="00EC2607" w:rsidRDefault="00EC2607" w:rsidP="00EC2607">
            <w:pPr>
              <w:jc w:val="center"/>
              <w:rPr>
                <w:rFonts w:ascii="Arial Narrow" w:hAnsi="Arial Narrow"/>
                <w:sz w:val="18"/>
                <w:szCs w:val="18"/>
              </w:rPr>
            </w:pPr>
            <w:r>
              <w:rPr>
                <w:rFonts w:ascii="Arial Narrow" w:hAnsi="Arial Narrow"/>
                <w:sz w:val="18"/>
                <w:szCs w:val="18"/>
              </w:rPr>
              <w:t>+31,7</w:t>
            </w:r>
          </w:p>
        </w:tc>
        <w:tc>
          <w:tcPr>
            <w:tcW w:w="850" w:type="dxa"/>
            <w:shd w:val="clear" w:color="auto" w:fill="D9D9D9"/>
            <w:vAlign w:val="center"/>
          </w:tcPr>
          <w:p w14:paraId="47B368D1" w14:textId="1334C72E" w:rsidR="00EC2607" w:rsidRDefault="00EC2607" w:rsidP="00EC2607">
            <w:pPr>
              <w:jc w:val="center"/>
              <w:rPr>
                <w:rFonts w:ascii="Arial Narrow" w:hAnsi="Arial Narrow"/>
                <w:sz w:val="18"/>
                <w:szCs w:val="18"/>
              </w:rPr>
            </w:pPr>
            <w:r>
              <w:rPr>
                <w:rFonts w:ascii="Arial Narrow" w:hAnsi="Arial Narrow"/>
                <w:sz w:val="18"/>
                <w:szCs w:val="18"/>
              </w:rPr>
              <w:t>+6.656</w:t>
            </w:r>
          </w:p>
        </w:tc>
        <w:tc>
          <w:tcPr>
            <w:tcW w:w="993" w:type="dxa"/>
            <w:shd w:val="clear" w:color="auto" w:fill="FFFFFF"/>
            <w:vAlign w:val="center"/>
          </w:tcPr>
          <w:p w14:paraId="48C8F3D7" w14:textId="5F25EE36" w:rsidR="00EC2607" w:rsidRDefault="00EC2607" w:rsidP="00EC2607">
            <w:pPr>
              <w:jc w:val="center"/>
              <w:rPr>
                <w:rFonts w:ascii="Arial Narrow" w:hAnsi="Arial Narrow"/>
                <w:sz w:val="18"/>
                <w:szCs w:val="18"/>
              </w:rPr>
            </w:pPr>
            <w:r>
              <w:rPr>
                <w:rFonts w:ascii="Arial Narrow" w:hAnsi="Arial Narrow"/>
                <w:sz w:val="18"/>
                <w:szCs w:val="18"/>
              </w:rPr>
              <w:t>+55.441</w:t>
            </w:r>
          </w:p>
        </w:tc>
      </w:tr>
      <w:tr w:rsidR="00EC2607" w:rsidRPr="005D27EB" w14:paraId="71525998" w14:textId="77777777" w:rsidTr="00EC2607">
        <w:trPr>
          <w:trHeight w:val="247"/>
        </w:trPr>
        <w:tc>
          <w:tcPr>
            <w:tcW w:w="1625" w:type="dxa"/>
            <w:tcBorders>
              <w:bottom w:val="single" w:sz="4" w:space="0" w:color="auto"/>
            </w:tcBorders>
            <w:shd w:val="clear" w:color="auto" w:fill="E42618"/>
          </w:tcPr>
          <w:p w14:paraId="79160FA7" w14:textId="77777777" w:rsidR="00EC2607" w:rsidRPr="005D27EB" w:rsidRDefault="00EC2607" w:rsidP="00EC2607">
            <w:pPr>
              <w:spacing w:before="40"/>
              <w:rPr>
                <w:rFonts w:ascii="Arial Narrow" w:hAnsi="Arial Narrow"/>
                <w:b/>
                <w:color w:val="FFFFFF" w:themeColor="background1"/>
                <w:sz w:val="18"/>
              </w:rPr>
            </w:pPr>
            <w:r w:rsidRPr="005D27EB">
              <w:rPr>
                <w:rFonts w:ascii="Arial Narrow" w:hAnsi="Arial Narrow"/>
                <w:b/>
                <w:color w:val="FFFFFF" w:themeColor="background1"/>
                <w:sz w:val="18"/>
              </w:rPr>
              <w:t>Totale</w:t>
            </w:r>
          </w:p>
        </w:tc>
        <w:tc>
          <w:tcPr>
            <w:tcW w:w="712" w:type="dxa"/>
            <w:tcBorders>
              <w:bottom w:val="single" w:sz="4" w:space="0" w:color="auto"/>
            </w:tcBorders>
            <w:shd w:val="clear" w:color="auto" w:fill="E42618"/>
            <w:vAlign w:val="center"/>
          </w:tcPr>
          <w:p w14:paraId="5E636EA1" w14:textId="5C492939"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+5,9</w:t>
            </w:r>
          </w:p>
        </w:tc>
        <w:tc>
          <w:tcPr>
            <w:tcW w:w="1137" w:type="dxa"/>
            <w:tcBorders>
              <w:bottom w:val="single" w:sz="4" w:space="0" w:color="auto"/>
            </w:tcBorders>
            <w:shd w:val="clear" w:color="auto" w:fill="E42618"/>
            <w:vAlign w:val="center"/>
          </w:tcPr>
          <w:p w14:paraId="27980529" w14:textId="335D7904"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+3,4</w:t>
            </w:r>
          </w:p>
        </w:tc>
        <w:tc>
          <w:tcPr>
            <w:tcW w:w="633" w:type="dxa"/>
            <w:tcBorders>
              <w:bottom w:val="single" w:sz="4" w:space="0" w:color="auto"/>
            </w:tcBorders>
            <w:shd w:val="clear" w:color="auto" w:fill="E42618"/>
            <w:vAlign w:val="center"/>
          </w:tcPr>
          <w:p w14:paraId="0E0AB43D" w14:textId="0C0AD3D1"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+26,9</w:t>
            </w:r>
          </w:p>
        </w:tc>
        <w:tc>
          <w:tcPr>
            <w:tcW w:w="1000" w:type="dxa"/>
            <w:gridSpan w:val="2"/>
            <w:tcBorders>
              <w:bottom w:val="single" w:sz="4" w:space="0" w:color="auto"/>
            </w:tcBorders>
            <w:shd w:val="clear" w:color="auto" w:fill="E42618"/>
            <w:vAlign w:val="center"/>
          </w:tcPr>
          <w:p w14:paraId="4BB1406E" w14:textId="647A61EE"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+20,4</w:t>
            </w:r>
          </w:p>
        </w:tc>
        <w:tc>
          <w:tcPr>
            <w:tcW w:w="705" w:type="dxa"/>
            <w:tcBorders>
              <w:bottom w:val="single" w:sz="4" w:space="0" w:color="auto"/>
            </w:tcBorders>
            <w:shd w:val="clear" w:color="auto" w:fill="E42618"/>
            <w:vAlign w:val="center"/>
          </w:tcPr>
          <w:p w14:paraId="6A01A59C" w14:textId="559EBDEF"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+0,3</w:t>
            </w:r>
          </w:p>
        </w:tc>
        <w:tc>
          <w:tcPr>
            <w:tcW w:w="1206" w:type="dxa"/>
            <w:tcBorders>
              <w:bottom w:val="single" w:sz="4" w:space="0" w:color="auto"/>
            </w:tcBorders>
            <w:shd w:val="clear" w:color="auto" w:fill="E42618"/>
            <w:vAlign w:val="center"/>
          </w:tcPr>
          <w:p w14:paraId="5C3B2FDB" w14:textId="2313343E"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+11,7</w:t>
            </w:r>
          </w:p>
        </w:tc>
        <w:tc>
          <w:tcPr>
            <w:tcW w:w="731" w:type="dxa"/>
            <w:tcBorders>
              <w:bottom w:val="single" w:sz="4" w:space="0" w:color="auto"/>
            </w:tcBorders>
            <w:shd w:val="clear" w:color="auto" w:fill="E42618"/>
            <w:vAlign w:val="center"/>
          </w:tcPr>
          <w:p w14:paraId="65A7CAC2" w14:textId="3C0A4B15"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+62,3</w:t>
            </w:r>
          </w:p>
        </w:tc>
        <w:tc>
          <w:tcPr>
            <w:tcW w:w="970" w:type="dxa"/>
            <w:tcBorders>
              <w:bottom w:val="single" w:sz="4" w:space="0" w:color="auto"/>
            </w:tcBorders>
            <w:shd w:val="clear" w:color="auto" w:fill="E42618"/>
            <w:vAlign w:val="center"/>
          </w:tcPr>
          <w:p w14:paraId="711A6B63" w14:textId="01C398B4"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+68,5</w:t>
            </w:r>
          </w:p>
        </w:tc>
        <w:tc>
          <w:tcPr>
            <w:tcW w:w="850" w:type="dxa"/>
            <w:tcBorders>
              <w:bottom w:val="single" w:sz="4" w:space="0" w:color="auto"/>
            </w:tcBorders>
            <w:shd w:val="clear" w:color="auto" w:fill="E42618"/>
            <w:vAlign w:val="center"/>
          </w:tcPr>
          <w:p w14:paraId="1D9698EC" w14:textId="0B0A0B6F"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-5.440</w:t>
            </w:r>
          </w:p>
        </w:tc>
        <w:tc>
          <w:tcPr>
            <w:tcW w:w="993" w:type="dxa"/>
            <w:tcBorders>
              <w:bottom w:val="single" w:sz="4" w:space="0" w:color="auto"/>
            </w:tcBorders>
            <w:shd w:val="clear" w:color="auto" w:fill="E42618"/>
            <w:vAlign w:val="center"/>
          </w:tcPr>
          <w:p w14:paraId="35755533" w14:textId="19F46854" w:rsidR="00EC2607" w:rsidRDefault="00EC2607" w:rsidP="00EC2607">
            <w:pPr>
              <w:jc w:val="center"/>
              <w:rPr>
                <w:rFonts w:ascii="Arial Narrow" w:hAnsi="Arial Narrow"/>
                <w:b/>
                <w:bCs/>
                <w:color w:val="FFFFFF"/>
                <w:sz w:val="18"/>
                <w:szCs w:val="18"/>
              </w:rPr>
            </w:pPr>
            <w:r>
              <w:rPr>
                <w:rFonts w:ascii="Arial Narrow" w:hAnsi="Arial Narrow"/>
                <w:b/>
                <w:bCs/>
                <w:color w:val="FFFFFF"/>
                <w:sz w:val="18"/>
                <w:szCs w:val="18"/>
              </w:rPr>
              <w:t>-28.219</w:t>
            </w:r>
          </w:p>
        </w:tc>
      </w:tr>
    </w:tbl>
    <w:p w14:paraId="29967D75" w14:textId="0D82CEC9" w:rsidR="002F15C9" w:rsidRPr="000B5DFE" w:rsidRDefault="00E32477" w:rsidP="000B5DFE">
      <w:pPr>
        <w:pStyle w:val="Corpotesto"/>
        <w:numPr>
          <w:ilvl w:val="0"/>
          <w:numId w:val="27"/>
        </w:numPr>
        <w:tabs>
          <w:tab w:val="left" w:pos="284"/>
        </w:tabs>
        <w:spacing w:before="60" w:after="120" w:line="240" w:lineRule="auto"/>
        <w:ind w:left="1276" w:hanging="1276"/>
        <w:jc w:val="both"/>
        <w:rPr>
          <w:rFonts w:ascii="Arial Narrow" w:hAnsi="Arial Narrow" w:cs="Arial"/>
          <w:sz w:val="15"/>
        </w:rPr>
      </w:pPr>
      <w:r>
        <w:rPr>
          <w:rFonts w:ascii="Arial Narrow" w:hAnsi="Arial Narrow" w:cs="Arial"/>
          <w:sz w:val="15"/>
        </w:rPr>
        <w:t>D</w:t>
      </w:r>
      <w:r w:rsidR="002F15C9">
        <w:rPr>
          <w:rFonts w:ascii="Arial Narrow" w:hAnsi="Arial Narrow" w:cs="Arial"/>
          <w:sz w:val="15"/>
        </w:rPr>
        <w:t>ati provvisori.</w:t>
      </w:r>
    </w:p>
    <w:p w14:paraId="0D57CB92" w14:textId="77777777" w:rsidR="007A37FD" w:rsidRDefault="007A37FD"/>
    <w:p w14:paraId="7C296040" w14:textId="77777777" w:rsidR="007A37FD" w:rsidRDefault="007A37FD" w:rsidP="007A37FD"/>
    <w:p w14:paraId="5A5E6AA3" w14:textId="77777777" w:rsidR="00A651E1" w:rsidRPr="007A37FD" w:rsidRDefault="00A651E1" w:rsidP="007A37FD">
      <w:pPr>
        <w:sectPr w:rsidR="00A651E1" w:rsidRPr="007A37FD">
          <w:headerReference w:type="default" r:id="rId25"/>
          <w:footerReference w:type="default" r:id="rId26"/>
          <w:pgSz w:w="11907" w:h="16840"/>
          <w:pgMar w:top="567" w:right="851" w:bottom="680" w:left="851" w:header="567" w:footer="567" w:gutter="0"/>
          <w:cols w:space="720"/>
        </w:sectPr>
      </w:pPr>
    </w:p>
    <w:p w14:paraId="732DE4ED" w14:textId="77777777" w:rsidR="00A651E1" w:rsidRDefault="00A651E1">
      <w:pPr>
        <w:spacing w:after="120"/>
        <w:jc w:val="both"/>
        <w:rPr>
          <w:rFonts w:ascii="Arial" w:hAnsi="Arial" w:cs="Arial"/>
          <w:b/>
        </w:rPr>
      </w:pPr>
    </w:p>
    <w:p w14:paraId="42B43FA6"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Contributo alla variazione tendenziale dell’indice generale</w:t>
      </w:r>
      <w:r w:rsidRPr="00B77592">
        <w:rPr>
          <w:rFonts w:ascii="Arial" w:hAnsi="Arial" w:cs="Arial"/>
          <w:sz w:val="20"/>
          <w:szCs w:val="20"/>
        </w:rPr>
        <w:t xml:space="preserve">: misura l’incidenza delle variazioni delle importazioni e delle esportazioni dei singoli aggregati merceologici o geografici sull’aumento o sulla diminuzione dei flussi aggregati. </w:t>
      </w:r>
    </w:p>
    <w:p w14:paraId="17FA9E58"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Dati corretti per gli effetti di calendario</w:t>
      </w:r>
      <w:r w:rsidRPr="00B77592">
        <w:rPr>
          <w:rFonts w:ascii="Arial" w:hAnsi="Arial" w:cs="Arial"/>
          <w:sz w:val="20"/>
          <w:szCs w:val="20"/>
        </w:rPr>
        <w:t>: dati depurati mediante apposite tecniche statistiche dalla variabilità attribuibile alla composizione del calendario nei singoli periodi (mesi o trimestri) dell’anno, dovuta al diverso numero di giorni lavorativi o di giorni specifici della settimana in essi contenuti, nonché dell’anno bisestile. Il ricorso a tale trasformazione dei dati consente di cogliere in maniera più adeguata sia le variazioni tendenziali (calcolate rispetto allo stesso periodo dell'anno precedente), sia le variazioni medie annue.</w:t>
      </w:r>
    </w:p>
    <w:p w14:paraId="0499640C"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Dati destagionalizzati</w:t>
      </w:r>
      <w:r w:rsidRPr="00B77592">
        <w:rPr>
          <w:rFonts w:ascii="Arial" w:hAnsi="Arial" w:cs="Arial"/>
          <w:sz w:val="20"/>
          <w:szCs w:val="20"/>
        </w:rPr>
        <w:t>: dati depurati mediante apposite tecniche statistiche dalle fluttuazioni attribuibili alla componente stagionale (dovute a fattori meteorologici, consuetudinari, legislativi, ecc.) e, se significativi, dagli effetti di calendario. Questa trasformazione dei dati è la più idonea a cogliere l’evoluzione congiunturale di un indicatore.</w:t>
      </w:r>
    </w:p>
    <w:p w14:paraId="0B9FDE2E"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Esportazioni</w:t>
      </w:r>
      <w:r w:rsidRPr="00B77592">
        <w:rPr>
          <w:rFonts w:ascii="Arial" w:hAnsi="Arial" w:cs="Arial"/>
          <w:sz w:val="20"/>
          <w:szCs w:val="20"/>
        </w:rPr>
        <w:t>: includono tutti i beni (nazionali o nazionalizzati, nuovi o usati) che, a titolo oneroso o gratuito, escono dal territorio economico del Paese per essere destinati al resto del mondo. Esse sono valutate al valore FOB (free on board), che corrisponde al prezzo di mercato alla frontiera del Paese esportatore. Questo prezzo comprende il prezzo ex-fabrica, i margini commerciali, le spese di trasporto internazionale e gli eventuali diritti all'esportazione.</w:t>
      </w:r>
    </w:p>
    <w:p w14:paraId="0F1B3892"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Importazioni</w:t>
      </w:r>
      <w:r w:rsidRPr="00B77592">
        <w:rPr>
          <w:rFonts w:ascii="Arial" w:hAnsi="Arial" w:cs="Arial"/>
          <w:sz w:val="20"/>
          <w:szCs w:val="20"/>
        </w:rPr>
        <w:t>: comprendono tutti i beni (nuovi o usati) che, a titolo oneroso o gratuito, entrano nel territorio economico del Paese in provenienza dal Resto del mondo. Esse possono essere valutate al valore CIF (cost, insurance, freight), che comprende: il valore FOB dei beni, le spese di trasporto e le attività assicurative tra la frontiera del Paese esportatore e la frontiera del Paese importatore.</w:t>
      </w:r>
    </w:p>
    <w:p w14:paraId="2255F2D0" w14:textId="6700F957" w:rsidR="00A651E1" w:rsidRPr="00F576FF" w:rsidRDefault="00E777A0">
      <w:pPr>
        <w:spacing w:after="120"/>
        <w:jc w:val="both"/>
        <w:rPr>
          <w:rFonts w:ascii="Arial" w:hAnsi="Arial" w:cs="Arial"/>
          <w:strike/>
          <w:sz w:val="20"/>
          <w:szCs w:val="20"/>
        </w:rPr>
      </w:pPr>
      <w:r w:rsidRPr="00B77592">
        <w:rPr>
          <w:rFonts w:ascii="Arial" w:hAnsi="Arial" w:cs="Arial"/>
          <w:b/>
          <w:sz w:val="20"/>
          <w:szCs w:val="20"/>
        </w:rPr>
        <w:t>Paesi extra Ue</w:t>
      </w:r>
      <w:r w:rsidRPr="00B77592">
        <w:rPr>
          <w:rFonts w:ascii="Arial" w:hAnsi="Arial" w:cs="Arial"/>
          <w:sz w:val="20"/>
          <w:szCs w:val="20"/>
        </w:rPr>
        <w:t>: tutti i paesi non appartenenti all’Unione europea</w:t>
      </w:r>
      <w:r w:rsidR="00A0309B">
        <w:rPr>
          <w:rFonts w:ascii="Arial" w:hAnsi="Arial" w:cs="Arial"/>
          <w:sz w:val="20"/>
          <w:szCs w:val="20"/>
        </w:rPr>
        <w:t>.</w:t>
      </w:r>
    </w:p>
    <w:p w14:paraId="5650CAC3"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Variazione congiunturale</w:t>
      </w:r>
      <w:r w:rsidRPr="00B77592">
        <w:rPr>
          <w:rFonts w:ascii="Arial" w:hAnsi="Arial" w:cs="Arial"/>
          <w:sz w:val="20"/>
          <w:szCs w:val="20"/>
        </w:rPr>
        <w:t>: variazione percentuale rispetto al mese o al periodo precedente.</w:t>
      </w:r>
    </w:p>
    <w:p w14:paraId="747F7354"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Variazione tendenziale</w:t>
      </w:r>
      <w:r w:rsidRPr="00B77592">
        <w:rPr>
          <w:rFonts w:ascii="Arial" w:hAnsi="Arial" w:cs="Arial"/>
          <w:sz w:val="20"/>
          <w:szCs w:val="20"/>
        </w:rPr>
        <w:t>: variazione percentuale rispetto allo stesso mese o periodo dell’anno precedente.</w:t>
      </w:r>
    </w:p>
    <w:p w14:paraId="58784B36" w14:textId="77777777" w:rsidR="00A651E1" w:rsidRPr="00B77592" w:rsidRDefault="00A651E1">
      <w:pPr>
        <w:spacing w:after="120"/>
        <w:jc w:val="both"/>
        <w:rPr>
          <w:rFonts w:ascii="Arial" w:hAnsi="Arial" w:cs="Arial"/>
          <w:sz w:val="20"/>
          <w:szCs w:val="20"/>
        </w:rPr>
      </w:pPr>
    </w:p>
    <w:p w14:paraId="19EA2D76" w14:textId="77777777" w:rsidR="00A651E1" w:rsidRPr="00826A5F" w:rsidRDefault="00E777A0" w:rsidP="00BD1526">
      <w:pPr>
        <w:pStyle w:val="A"/>
        <w:spacing w:after="120"/>
        <w:outlineLvl w:val="0"/>
        <w:rPr>
          <w:rFonts w:ascii="Arial" w:hAnsi="Arial" w:cs="Arial"/>
          <w:sz w:val="22"/>
          <w:szCs w:val="20"/>
        </w:rPr>
      </w:pPr>
      <w:r w:rsidRPr="00826A5F">
        <w:rPr>
          <w:rFonts w:ascii="Arial" w:hAnsi="Arial" w:cs="Arial"/>
          <w:sz w:val="22"/>
          <w:szCs w:val="20"/>
        </w:rPr>
        <w:t>Definizioni delle aree geografiche e geoeconomiche</w:t>
      </w:r>
    </w:p>
    <w:p w14:paraId="47DECF59" w14:textId="17F6F722" w:rsidR="00A651E1" w:rsidRPr="00B77592" w:rsidRDefault="00E777A0">
      <w:pPr>
        <w:spacing w:after="120"/>
        <w:jc w:val="both"/>
        <w:rPr>
          <w:rFonts w:ascii="Arial" w:hAnsi="Arial" w:cs="Arial"/>
          <w:sz w:val="20"/>
          <w:szCs w:val="20"/>
        </w:rPr>
      </w:pPr>
      <w:r w:rsidRPr="00B77592">
        <w:rPr>
          <w:rFonts w:ascii="Arial" w:hAnsi="Arial" w:cs="Arial"/>
          <w:b/>
          <w:sz w:val="20"/>
          <w:szCs w:val="20"/>
        </w:rPr>
        <w:t>Paesi europei non Ue</w:t>
      </w:r>
      <w:r w:rsidRPr="00B77592">
        <w:rPr>
          <w:rFonts w:ascii="Arial" w:hAnsi="Arial" w:cs="Arial"/>
          <w:sz w:val="20"/>
          <w:szCs w:val="20"/>
        </w:rPr>
        <w:t xml:space="preserve">: comprende Albania, Andorra, Bielorussia, Bosnia-Erzegovina, Fær Øer, Gibilterra, Islanda, Kosovo, Liechtenstein, </w:t>
      </w:r>
      <w:r w:rsidR="00FB52D3">
        <w:rPr>
          <w:rFonts w:ascii="Arial" w:hAnsi="Arial" w:cs="Arial"/>
          <w:sz w:val="20"/>
          <w:szCs w:val="20"/>
        </w:rPr>
        <w:t>Macedonia del Nord,</w:t>
      </w:r>
      <w:r w:rsidR="00FB52D3" w:rsidRPr="00B77592">
        <w:rPr>
          <w:rFonts w:ascii="Arial" w:hAnsi="Arial" w:cs="Arial"/>
          <w:sz w:val="20"/>
          <w:szCs w:val="20"/>
        </w:rPr>
        <w:t xml:space="preserve"> </w:t>
      </w:r>
      <w:r w:rsidRPr="00B77592">
        <w:rPr>
          <w:rFonts w:ascii="Arial" w:hAnsi="Arial" w:cs="Arial"/>
          <w:sz w:val="20"/>
          <w:szCs w:val="20"/>
        </w:rPr>
        <w:t xml:space="preserve">Montenegro, Norvegia, </w:t>
      </w:r>
      <w:r w:rsidR="004E4AC6">
        <w:rPr>
          <w:rFonts w:ascii="Arial" w:hAnsi="Arial" w:cs="Arial"/>
          <w:sz w:val="20"/>
          <w:szCs w:val="20"/>
        </w:rPr>
        <w:t xml:space="preserve">Regno Unito, </w:t>
      </w:r>
      <w:r w:rsidRPr="00B77592">
        <w:rPr>
          <w:rFonts w:ascii="Arial" w:hAnsi="Arial" w:cs="Arial"/>
          <w:sz w:val="20"/>
          <w:szCs w:val="20"/>
        </w:rPr>
        <w:t>Repubblica moldova, Russia, Santa Sede (Stato della Città del Vaticano), Serbia, Svizzera, Turchia, Ucraina.</w:t>
      </w:r>
    </w:p>
    <w:p w14:paraId="49C56E1C"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Africa settentrionale</w:t>
      </w:r>
      <w:r w:rsidRPr="00B77592">
        <w:rPr>
          <w:rFonts w:ascii="Arial" w:hAnsi="Arial" w:cs="Arial"/>
          <w:sz w:val="20"/>
          <w:szCs w:val="20"/>
        </w:rPr>
        <w:t>: comprende Algeria, Egitto</w:t>
      </w:r>
      <w:r w:rsidR="003B57EB">
        <w:rPr>
          <w:rFonts w:ascii="Arial" w:hAnsi="Arial" w:cs="Arial"/>
          <w:sz w:val="20"/>
          <w:szCs w:val="20"/>
        </w:rPr>
        <w:t xml:space="preserve">, </w:t>
      </w:r>
      <w:r w:rsidRPr="00B77592">
        <w:rPr>
          <w:rFonts w:ascii="Arial" w:hAnsi="Arial" w:cs="Arial"/>
          <w:sz w:val="20"/>
          <w:szCs w:val="20"/>
        </w:rPr>
        <w:t>Ceuta, Libia, Marocco, Melilla, Sahara Occidentale, Tunisia.</w:t>
      </w:r>
    </w:p>
    <w:p w14:paraId="361E0DC7"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Altri paesi africani</w:t>
      </w:r>
      <w:r w:rsidRPr="00B77592">
        <w:rPr>
          <w:rFonts w:ascii="Arial" w:hAnsi="Arial" w:cs="Arial"/>
          <w:sz w:val="20"/>
          <w:szCs w:val="20"/>
        </w:rPr>
        <w:t xml:space="preserve">: comprende Angola, Benin, Botswana, Burkina Faso, Burundi, Camerun, Capo Verde, Ciad, Comore, Congo, Costa d’Avorio, Eritrea, Etiopia, Gabon, Gambia, Ghana, Gibuti, Guinea, Guinea equatoriale, Guinea-Bissau, Kenya, Lesotho, Liberia, Madagascar, Malawi, Mali, Mauritania, Maurizio, Mayotte, Mozambico, Namibia, Niger, Nigeria, Repubblica Centrafricana, Repubblica democratica del Congo, Repubblica unita di Tanzania, Ruanda, Sant’Elena-Ascensione e Tristan da Cunha, São Tomé e Principe, Seychelles, Senegal, Sierra Leone, Somalia, Sud Africa, Sudan, Sud Sudan, Swaziland, Territorio britannico dell’ Oceano Indiano, Togo, Uganda, Zambia, Zimbabwe. </w:t>
      </w:r>
    </w:p>
    <w:p w14:paraId="3A034A75"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America settentrionale</w:t>
      </w:r>
      <w:r w:rsidRPr="00B77592">
        <w:rPr>
          <w:rFonts w:ascii="Arial" w:hAnsi="Arial" w:cs="Arial"/>
          <w:sz w:val="20"/>
          <w:szCs w:val="20"/>
        </w:rPr>
        <w:t>: comprende Canada, Groenlandia, Saint-Pierre e Miquelon, Stati Uniti.</w:t>
      </w:r>
    </w:p>
    <w:p w14:paraId="2B4C4911"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America centro-meridionale</w:t>
      </w:r>
      <w:r w:rsidRPr="00B77592">
        <w:rPr>
          <w:rFonts w:ascii="Arial" w:hAnsi="Arial" w:cs="Arial"/>
          <w:sz w:val="20"/>
          <w:szCs w:val="20"/>
        </w:rPr>
        <w:t xml:space="preserve">: comprende Anguilla, Antigua e Barbuda, Argentina, Aruba, Bahama, Barbados, Belize, Bermuda, Bolivia, Bonaire, Sint Eustatius e Saba, Brasile, Cile, Colombia, Costa Rica, Cuba, Curaçao, Dominica, Ecuador, El Salvador, Giamaica, Grenada, Guatemala, Guyana, Haiti, Honduras, Isole Cayman, Isole Falkland, Isole Turks e Caicos, Isole Vergini Americane, Isole Vergini Britanniche, Messico, Montserrat, Nicaragua, Panama, Paraguay, Perù, Repubblica dominicana, Saint-Barthélemy, Saint Kitts e Nevis, Saint Vincente e le Grenadine, Santa Lucia, Sint Maarten, Suriname, Trinidad e Tobago, Uruguay, Venezuela. </w:t>
      </w:r>
    </w:p>
    <w:p w14:paraId="289BCD7F"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Medio Oriente</w:t>
      </w:r>
      <w:r w:rsidRPr="00B77592">
        <w:rPr>
          <w:rFonts w:ascii="Arial" w:hAnsi="Arial" w:cs="Arial"/>
          <w:sz w:val="20"/>
          <w:szCs w:val="20"/>
        </w:rPr>
        <w:t xml:space="preserve">: comprende Arabia Saudita, Armenia, Azerbaigian, Bahrein, Emirati Arabi Uniti, Georgia, Giordania, Iraq, Israele, Kuwait, Libano, Oman, Qatar, Repubblica islamica dell’Iran, Siria, Territorio palestinese occupato, Yemen. </w:t>
      </w:r>
    </w:p>
    <w:p w14:paraId="37E6E876" w14:textId="40A01401" w:rsidR="00A651E1" w:rsidRDefault="00E777A0">
      <w:pPr>
        <w:spacing w:after="120"/>
        <w:jc w:val="both"/>
        <w:rPr>
          <w:rFonts w:ascii="Arial" w:hAnsi="Arial" w:cs="Arial"/>
          <w:sz w:val="20"/>
          <w:szCs w:val="20"/>
        </w:rPr>
      </w:pPr>
      <w:r w:rsidRPr="00B77592">
        <w:rPr>
          <w:rFonts w:ascii="Arial" w:hAnsi="Arial" w:cs="Arial"/>
          <w:b/>
          <w:sz w:val="20"/>
          <w:szCs w:val="20"/>
        </w:rPr>
        <w:t>Altri paesi asiatici</w:t>
      </w:r>
      <w:r w:rsidRPr="00B77592">
        <w:rPr>
          <w:rFonts w:ascii="Arial" w:hAnsi="Arial" w:cs="Arial"/>
          <w:sz w:val="20"/>
          <w:szCs w:val="20"/>
        </w:rPr>
        <w:t>: comprende Afghanistan, Bangladesh, Bhutan, Birmania, Brunei, Cambogia, Cina, Corea del Nord, Corea del Sud, Filippine, Giappone, Hong Kong, India, Indonesia, Kazakistan, Kirghizistan, Laos, Macao, Malaysia, Maldive, Mongolia, Nepal, Pakistan, Singapore, Sri Lanka, Tagikistan, Taiwan, Thailandia, Timor-Leste, Turkmenistan, Uzbekistan, Vietnam.</w:t>
      </w:r>
    </w:p>
    <w:p w14:paraId="582C3EF5" w14:textId="4D15E209" w:rsidR="009C2B9D" w:rsidRDefault="009C2B9D">
      <w:pPr>
        <w:spacing w:after="120"/>
        <w:jc w:val="both"/>
        <w:rPr>
          <w:rFonts w:ascii="Arial" w:hAnsi="Arial" w:cs="Arial"/>
          <w:sz w:val="20"/>
          <w:szCs w:val="20"/>
        </w:rPr>
      </w:pPr>
    </w:p>
    <w:p w14:paraId="5B8D4C48" w14:textId="77777777" w:rsidR="009C2B9D" w:rsidRPr="00B77592" w:rsidRDefault="009C2B9D">
      <w:pPr>
        <w:spacing w:after="120"/>
        <w:jc w:val="both"/>
        <w:rPr>
          <w:rFonts w:ascii="Arial" w:hAnsi="Arial" w:cs="Arial"/>
          <w:sz w:val="20"/>
          <w:szCs w:val="20"/>
        </w:rPr>
      </w:pPr>
    </w:p>
    <w:p w14:paraId="3070CEFC"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Oceania e altri territori</w:t>
      </w:r>
      <w:r w:rsidRPr="00B77592">
        <w:rPr>
          <w:rFonts w:ascii="Arial" w:hAnsi="Arial" w:cs="Arial"/>
          <w:sz w:val="20"/>
          <w:szCs w:val="20"/>
        </w:rPr>
        <w:t>: comprende Antartide, Australia, Figi, Georgia del Sud e Isole Sandwich australi, Isola di Bouvet, Isola Christmas, Isole Cocos (Keeling), Isole Cook, Isole Heard e McDonald, Isole Marianne settentrionali, Isole Marshall, Isole minori periferiche degli Stati Uniti, Isola Norfolk, Isole Pitcairn, Isole Salomone, Kiribati, Nauru, Niue, Nuova Caledonia, Nuova Zelanda, Palau, Papua Nuova Guinea, Polinesia francese, Samoa, Samoa americane, Stati Federati di Micronesia, Terre australi e antartiche francesi, Tokelau, Tonga, Tuvalu, Vanuatu, Wallis e Futuna, Provviste e dotazioni di bordo, Paesi e territori non specificati, Paesi e territori non specificati per ragioni commerciali o militari.</w:t>
      </w:r>
    </w:p>
    <w:p w14:paraId="72C16466"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ASEAN (Associazione delle Nazioni del Sud-Est Asiatico)</w:t>
      </w:r>
      <w:r w:rsidRPr="00B77592">
        <w:rPr>
          <w:rFonts w:ascii="Arial" w:hAnsi="Arial" w:cs="Arial"/>
          <w:sz w:val="20"/>
          <w:szCs w:val="20"/>
        </w:rPr>
        <w:t xml:space="preserve">: comprende Brunei, Cambogia, Filippine, Indonesia, Laos, Malaysia, Birmania, Singapore, Thailandia, Vietnam. </w:t>
      </w:r>
    </w:p>
    <w:p w14:paraId="00358882" w14:textId="5054A66F" w:rsidR="00A651E1" w:rsidRPr="00B77592" w:rsidRDefault="00E777A0">
      <w:pPr>
        <w:spacing w:after="120"/>
        <w:jc w:val="both"/>
        <w:rPr>
          <w:rFonts w:ascii="Arial" w:hAnsi="Arial" w:cs="Arial"/>
          <w:sz w:val="20"/>
          <w:szCs w:val="20"/>
        </w:rPr>
      </w:pPr>
      <w:r w:rsidRPr="00B77592">
        <w:rPr>
          <w:rFonts w:ascii="Arial" w:hAnsi="Arial" w:cs="Arial"/>
          <w:b/>
          <w:sz w:val="20"/>
          <w:szCs w:val="20"/>
        </w:rPr>
        <w:t>OPEC</w:t>
      </w:r>
      <w:r w:rsidRPr="00B77592">
        <w:rPr>
          <w:rFonts w:ascii="Arial" w:hAnsi="Arial" w:cs="Arial"/>
          <w:sz w:val="20"/>
          <w:szCs w:val="20"/>
        </w:rPr>
        <w:t>: comprende Algeria, Angola, Arabia Saudita, Emirati Arabi Uniti</w:t>
      </w:r>
      <w:r w:rsidR="00407A14" w:rsidRPr="00B77592">
        <w:rPr>
          <w:rFonts w:ascii="Arial" w:hAnsi="Arial" w:cs="Arial"/>
          <w:sz w:val="20"/>
          <w:szCs w:val="20"/>
        </w:rPr>
        <w:t xml:space="preserve">, Iraq, Kuwait, Libia, Nigeria, </w:t>
      </w:r>
      <w:r w:rsidRPr="00B77592">
        <w:rPr>
          <w:rFonts w:ascii="Arial" w:hAnsi="Arial" w:cs="Arial"/>
          <w:sz w:val="20"/>
          <w:szCs w:val="20"/>
        </w:rPr>
        <w:t>Repubblica</w:t>
      </w:r>
      <w:r w:rsidR="00A32F3F">
        <w:rPr>
          <w:rFonts w:ascii="Arial" w:hAnsi="Arial" w:cs="Arial"/>
          <w:sz w:val="20"/>
          <w:szCs w:val="20"/>
        </w:rPr>
        <w:t xml:space="preserve"> islamica dell’Iran, Venezuela</w:t>
      </w:r>
      <w:r w:rsidR="00A80CCA" w:rsidRPr="00B77592">
        <w:rPr>
          <w:rFonts w:ascii="Arial" w:hAnsi="Arial" w:cs="Arial"/>
          <w:sz w:val="20"/>
          <w:szCs w:val="20"/>
        </w:rPr>
        <w:t xml:space="preserve">, </w:t>
      </w:r>
      <w:r w:rsidR="007D5291" w:rsidRPr="00B77592">
        <w:rPr>
          <w:rFonts w:ascii="Arial" w:hAnsi="Arial" w:cs="Arial"/>
          <w:sz w:val="20"/>
          <w:szCs w:val="20"/>
        </w:rPr>
        <w:t xml:space="preserve">Gabon, </w:t>
      </w:r>
      <w:r w:rsidR="00CF3DE7" w:rsidRPr="00B77592">
        <w:rPr>
          <w:rFonts w:ascii="Arial" w:hAnsi="Arial" w:cs="Arial"/>
          <w:sz w:val="20"/>
          <w:szCs w:val="20"/>
        </w:rPr>
        <w:t>Guinea Equatoriale</w:t>
      </w:r>
      <w:r w:rsidR="00A80CCA" w:rsidRPr="00B77592">
        <w:rPr>
          <w:rFonts w:ascii="Arial" w:hAnsi="Arial" w:cs="Arial"/>
          <w:sz w:val="20"/>
          <w:szCs w:val="20"/>
        </w:rPr>
        <w:t xml:space="preserve"> </w:t>
      </w:r>
      <w:r w:rsidR="00407A14" w:rsidRPr="00B77592">
        <w:rPr>
          <w:rFonts w:ascii="Arial" w:hAnsi="Arial" w:cs="Arial"/>
          <w:sz w:val="20"/>
          <w:szCs w:val="20"/>
        </w:rPr>
        <w:t>e Congo</w:t>
      </w:r>
      <w:r w:rsidRPr="00B77592">
        <w:rPr>
          <w:rFonts w:ascii="Arial" w:hAnsi="Arial" w:cs="Arial"/>
          <w:sz w:val="20"/>
          <w:szCs w:val="20"/>
        </w:rPr>
        <w:t>.</w:t>
      </w:r>
    </w:p>
    <w:p w14:paraId="20C282A0"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Mercosur</w:t>
      </w:r>
      <w:r w:rsidRPr="00B77592">
        <w:rPr>
          <w:rFonts w:ascii="Arial" w:hAnsi="Arial" w:cs="Arial"/>
          <w:sz w:val="20"/>
          <w:szCs w:val="20"/>
        </w:rPr>
        <w:t>: comprende Brasile, Paraguay, Uruguay, Argentina.</w:t>
      </w:r>
    </w:p>
    <w:p w14:paraId="6119EBB9" w14:textId="77777777" w:rsidR="00A651E1" w:rsidRPr="00210529" w:rsidRDefault="00A651E1">
      <w:pPr>
        <w:spacing w:after="120" w:line="240" w:lineRule="exact"/>
        <w:jc w:val="both"/>
        <w:rPr>
          <w:rFonts w:cs="Arial"/>
          <w:color w:val="FF0000"/>
          <w:sz w:val="20"/>
          <w:szCs w:val="20"/>
        </w:rPr>
        <w:sectPr w:rsidR="00A651E1" w:rsidRPr="00210529">
          <w:headerReference w:type="default" r:id="rId27"/>
          <w:pgSz w:w="11907" w:h="16840"/>
          <w:pgMar w:top="567" w:right="851" w:bottom="680" w:left="851" w:header="567" w:footer="567" w:gutter="0"/>
          <w:cols w:space="720"/>
        </w:sectPr>
      </w:pPr>
    </w:p>
    <w:p w14:paraId="3A74F7E4" w14:textId="77777777" w:rsidR="00A651E1" w:rsidRPr="00993765" w:rsidRDefault="00A651E1">
      <w:pPr>
        <w:pStyle w:val="A"/>
        <w:spacing w:after="120"/>
        <w:rPr>
          <w:rFonts w:ascii="Arial" w:hAnsi="Arial" w:cs="Arial"/>
          <w:b w:val="0"/>
          <w:sz w:val="20"/>
        </w:rPr>
      </w:pPr>
    </w:p>
    <w:p w14:paraId="3456BDF2" w14:textId="77777777" w:rsidR="00A651E1" w:rsidRPr="003F5831" w:rsidRDefault="00E777A0" w:rsidP="00BD1526">
      <w:pPr>
        <w:pStyle w:val="A"/>
        <w:spacing w:after="120"/>
        <w:outlineLvl w:val="0"/>
        <w:rPr>
          <w:rFonts w:ascii="Arial" w:hAnsi="Arial" w:cs="Arial"/>
          <w:sz w:val="22"/>
          <w:szCs w:val="20"/>
        </w:rPr>
      </w:pPr>
      <w:r w:rsidRPr="003F5831">
        <w:rPr>
          <w:rFonts w:ascii="Arial" w:hAnsi="Arial" w:cs="Arial"/>
          <w:sz w:val="22"/>
          <w:szCs w:val="20"/>
        </w:rPr>
        <w:t>Fonti utilizzate e quadro normativo di riferimento</w:t>
      </w:r>
    </w:p>
    <w:p w14:paraId="7EC1B7C4" w14:textId="437C18AD"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L’indagine del commercio con i paesi extra Ue è effettuata secondo la normativa comunitaria</w:t>
      </w:r>
      <w:r w:rsidR="00BA60AD">
        <w:rPr>
          <w:rFonts w:ascii="Arial" w:hAnsi="Arial" w:cs="Arial"/>
          <w:b w:val="0"/>
          <w:sz w:val="20"/>
          <w:szCs w:val="20"/>
        </w:rPr>
        <w:t xml:space="preserve">: </w:t>
      </w:r>
      <w:r w:rsidR="00BA60AD" w:rsidRPr="00BA60AD">
        <w:rPr>
          <w:rFonts w:ascii="Arial" w:hAnsi="Arial" w:cs="Arial"/>
          <w:b w:val="0"/>
          <w:sz w:val="20"/>
          <w:szCs w:val="20"/>
        </w:rPr>
        <w:t>Regolamento (UE) 2019/2152 del Parlamento europeo e del Consiglio relativo alle statistiche europee sulle imprese</w:t>
      </w:r>
      <w:r w:rsidR="00BA60AD">
        <w:rPr>
          <w:rFonts w:ascii="Arial" w:hAnsi="Arial" w:cs="Arial"/>
          <w:b w:val="0"/>
          <w:sz w:val="20"/>
          <w:szCs w:val="20"/>
        </w:rPr>
        <w:t xml:space="preserve">; </w:t>
      </w:r>
      <w:r w:rsidR="00AF02B8" w:rsidRPr="00AF02B8">
        <w:rPr>
          <w:rFonts w:ascii="Arial" w:hAnsi="Arial" w:cs="Arial"/>
          <w:b w:val="0"/>
          <w:sz w:val="20"/>
          <w:szCs w:val="20"/>
        </w:rPr>
        <w:t>Regolamento di esecuzione (UE) 2020/1197 della Commissione che stabilisce le specifiche tecniche e le modalità a norma del regolamento (UE) 2019/2152; Regolamento delegato (UE) 2021/1704 della Commissione che integra il regolamento (UE) 2019/2152 specificando ulteriormente i dettagli delle informazioni statistiche che devono essere fornite dalle autorità fiscali e doganali e che ne modifica gli allegati V e VI</w:t>
      </w:r>
      <w:r w:rsidR="00AF02B8">
        <w:rPr>
          <w:rFonts w:ascii="Arial" w:hAnsi="Arial" w:cs="Arial"/>
          <w:b w:val="0"/>
          <w:sz w:val="20"/>
          <w:szCs w:val="20"/>
        </w:rPr>
        <w:t xml:space="preserve">; </w:t>
      </w:r>
      <w:r w:rsidR="00AF02B8" w:rsidRPr="00AF02B8">
        <w:rPr>
          <w:rFonts w:ascii="Arial" w:hAnsi="Arial" w:cs="Arial"/>
          <w:b w:val="0"/>
          <w:sz w:val="20"/>
          <w:szCs w:val="20"/>
        </w:rPr>
        <w:t xml:space="preserve">Regolamento di esecuzione (UE) 2021/1225 della </w:t>
      </w:r>
      <w:r w:rsidR="001F6211" w:rsidRPr="00AF02B8">
        <w:rPr>
          <w:rFonts w:ascii="Arial" w:hAnsi="Arial" w:cs="Arial"/>
          <w:b w:val="0"/>
          <w:sz w:val="20"/>
          <w:szCs w:val="20"/>
        </w:rPr>
        <w:t>Commissione</w:t>
      </w:r>
      <w:r w:rsidR="00AF02B8" w:rsidRPr="00AF02B8">
        <w:rPr>
          <w:rFonts w:ascii="Arial" w:hAnsi="Arial" w:cs="Arial"/>
          <w:b w:val="0"/>
          <w:sz w:val="20"/>
          <w:szCs w:val="20"/>
        </w:rPr>
        <w:t xml:space="preserve"> che specifica le modalità degli scambi di dati a norma del regolamento (UE) 2019/2152 e che modifica il regolamento di esecuzione (UE) 2020/1197 per quanto riguarda lo Stato membro di esportazione extra-UE e gli obblighi delle unità rispondenti</w:t>
      </w:r>
      <w:r w:rsidR="00AF02B8">
        <w:rPr>
          <w:rFonts w:ascii="Arial" w:hAnsi="Arial" w:cs="Arial"/>
          <w:b w:val="0"/>
          <w:sz w:val="20"/>
          <w:szCs w:val="20"/>
        </w:rPr>
        <w:t>.</w:t>
      </w:r>
      <w:r w:rsidR="00BA60AD">
        <w:rPr>
          <w:rFonts w:ascii="Arial" w:hAnsi="Arial" w:cs="Arial"/>
          <w:b w:val="0"/>
          <w:sz w:val="20"/>
          <w:szCs w:val="20"/>
        </w:rPr>
        <w:t xml:space="preserve"> </w:t>
      </w:r>
      <w:r w:rsidRPr="00B77592">
        <w:rPr>
          <w:rFonts w:ascii="Arial" w:hAnsi="Arial" w:cs="Arial"/>
          <w:b w:val="0"/>
          <w:sz w:val="20"/>
          <w:szCs w:val="20"/>
        </w:rPr>
        <w:t xml:space="preserve">Trova applicazione in sede nazionale con opportuni provvedimenti emanati dall’Agenzia delle Dogane. </w:t>
      </w:r>
    </w:p>
    <w:p w14:paraId="68B3C5A6"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 xml:space="preserve">L'indagine ha periodicità mensile ed è effettuata elaborando dati provenienti da una base dati di tipo fiscale-amministrativo (Documento Amministrativo Unico – DAU) coerente con le definizioni e le classificazioni di tipo statistico. Questi vengono successivamente armonizzati e validati attraverso un processo di controllo e revisione esperta svolto dall’Istituto. </w:t>
      </w:r>
    </w:p>
    <w:p w14:paraId="53B25D6D" w14:textId="77777777" w:rsidR="00A651E1" w:rsidRPr="00B77592" w:rsidRDefault="00E777A0">
      <w:pPr>
        <w:pStyle w:val="A"/>
        <w:spacing w:after="120"/>
        <w:rPr>
          <w:rFonts w:ascii="Arial" w:hAnsi="Arial" w:cs="Arial"/>
          <w:sz w:val="20"/>
          <w:szCs w:val="20"/>
        </w:rPr>
      </w:pPr>
      <w:r w:rsidRPr="00B77592">
        <w:rPr>
          <w:rFonts w:ascii="Arial" w:hAnsi="Arial" w:cs="Arial"/>
          <w:b w:val="0"/>
          <w:sz w:val="20"/>
          <w:szCs w:val="20"/>
        </w:rPr>
        <w:t>Conformemente alla normativa comunitaria, dal 2000 le esportazioni e le importazioni al di sotto delle soglie di esclusione (operazioni commerciali di valore inferiore a 1.000 euro a partire dal 2010) vengono inserite nelle statistiche del commercio estero con i paesi extra Ue mensilmente in forma aggregata.</w:t>
      </w:r>
    </w:p>
    <w:p w14:paraId="17651726" w14:textId="5C8BE08F" w:rsidR="003C293E" w:rsidRPr="00B577D3" w:rsidRDefault="00B05DDB" w:rsidP="00B05DDB">
      <w:pPr>
        <w:pStyle w:val="A"/>
        <w:spacing w:after="120"/>
        <w:rPr>
          <w:rFonts w:ascii="Arial" w:hAnsi="Arial" w:cs="Arial"/>
          <w:b w:val="0"/>
          <w:sz w:val="20"/>
          <w:szCs w:val="20"/>
        </w:rPr>
      </w:pPr>
      <w:r w:rsidRPr="00B577D3">
        <w:rPr>
          <w:rFonts w:ascii="Arial" w:hAnsi="Arial" w:cs="Arial"/>
          <w:b w:val="0"/>
          <w:sz w:val="20"/>
          <w:szCs w:val="20"/>
        </w:rPr>
        <w:t>Dal 1° gennaio 2021, il Regno Unito non è più parte del territorio doganale e fiscale (IVA e accise) dell’Unione europea e le relazioni economiche tra i due sistemi, dopo la Brexit, sono disciplinate dall’accordo raggiunto tra le parti il 24 dicembre 2020. Tuttavia, sulla base di quanto previsto dal Protocollo su Irlanda/Irlanda del Nord - già allegato all’Accordo di recesso Regno Unito/Ue – al fine di evitare una front</w:t>
      </w:r>
      <w:r w:rsidR="001A34E1" w:rsidRPr="00B577D3">
        <w:rPr>
          <w:rFonts w:ascii="Arial" w:hAnsi="Arial" w:cs="Arial"/>
          <w:b w:val="0"/>
          <w:sz w:val="20"/>
          <w:szCs w:val="20"/>
        </w:rPr>
        <w:t>iera</w:t>
      </w:r>
      <w:r w:rsidRPr="00B577D3">
        <w:rPr>
          <w:rFonts w:ascii="Arial" w:hAnsi="Arial" w:cs="Arial"/>
          <w:b w:val="0"/>
          <w:sz w:val="20"/>
          <w:szCs w:val="20"/>
        </w:rPr>
        <w:t xml:space="preserve"> fisica tra i due </w:t>
      </w:r>
      <w:r w:rsidR="003C293E" w:rsidRPr="00B577D3">
        <w:rPr>
          <w:rFonts w:ascii="Arial" w:hAnsi="Arial" w:cs="Arial"/>
          <w:b w:val="0"/>
          <w:sz w:val="20"/>
          <w:szCs w:val="20"/>
        </w:rPr>
        <w:t>t</w:t>
      </w:r>
      <w:r w:rsidRPr="00B577D3">
        <w:rPr>
          <w:rFonts w:ascii="Arial" w:hAnsi="Arial" w:cs="Arial"/>
          <w:b w:val="0"/>
          <w:sz w:val="20"/>
          <w:szCs w:val="20"/>
        </w:rPr>
        <w:t xml:space="preserve">erritori, l’Irlanda del Nord resta soggetta alla normativa </w:t>
      </w:r>
      <w:r w:rsidR="00E01B83">
        <w:rPr>
          <w:rFonts w:ascii="Arial" w:hAnsi="Arial" w:cs="Arial"/>
          <w:b w:val="0"/>
          <w:sz w:val="20"/>
          <w:szCs w:val="20"/>
        </w:rPr>
        <w:t>dell’Ue</w:t>
      </w:r>
      <w:r w:rsidRPr="00B577D3">
        <w:rPr>
          <w:rFonts w:ascii="Arial" w:hAnsi="Arial" w:cs="Arial"/>
          <w:b w:val="0"/>
          <w:sz w:val="20"/>
          <w:szCs w:val="20"/>
        </w:rPr>
        <w:t xml:space="preserve"> in materia di IVA per gli scambi commerciali di beni. </w:t>
      </w:r>
    </w:p>
    <w:p w14:paraId="26E5F91B" w14:textId="013E3CD2" w:rsidR="00716789" w:rsidRPr="00B577D3" w:rsidRDefault="00B05DDB" w:rsidP="00B05DDB">
      <w:pPr>
        <w:pStyle w:val="A"/>
        <w:spacing w:after="120"/>
        <w:rPr>
          <w:rFonts w:ascii="Arial" w:hAnsi="Arial" w:cs="Arial"/>
          <w:b w:val="0"/>
          <w:sz w:val="20"/>
          <w:szCs w:val="20"/>
        </w:rPr>
      </w:pPr>
      <w:r w:rsidRPr="00B577D3">
        <w:rPr>
          <w:rFonts w:ascii="Arial" w:hAnsi="Arial" w:cs="Arial"/>
          <w:b w:val="0"/>
          <w:sz w:val="20"/>
          <w:szCs w:val="20"/>
        </w:rPr>
        <w:t>In termini di rilevazione dei dati di commercio estero, questo implica che dal 1° gennaio 2021 i flussi commerciali da e verso</w:t>
      </w:r>
      <w:r w:rsidR="002925B2">
        <w:rPr>
          <w:rFonts w:ascii="Arial" w:hAnsi="Arial" w:cs="Arial"/>
          <w:b w:val="0"/>
          <w:sz w:val="20"/>
          <w:szCs w:val="20"/>
        </w:rPr>
        <w:t xml:space="preserve"> la Gran Bretagna sono desunti </w:t>
      </w:r>
      <w:r w:rsidRPr="00B577D3">
        <w:rPr>
          <w:rFonts w:ascii="Arial" w:hAnsi="Arial" w:cs="Arial"/>
          <w:b w:val="0"/>
          <w:sz w:val="20"/>
          <w:szCs w:val="20"/>
        </w:rPr>
        <w:t xml:space="preserve">dalle dichiarazioni doganali (DAU), quelli da e verso l’Irlanda del Nord dalle dichiarazioni Intrastat. </w:t>
      </w:r>
    </w:p>
    <w:p w14:paraId="718FB0CF" w14:textId="11C418F0" w:rsidR="006A6DA2" w:rsidRDefault="00B05DDB" w:rsidP="001D1158">
      <w:pPr>
        <w:pStyle w:val="A"/>
        <w:spacing w:after="240"/>
        <w:rPr>
          <w:rFonts w:ascii="Arial" w:hAnsi="Arial" w:cs="Arial"/>
          <w:b w:val="0"/>
          <w:sz w:val="20"/>
          <w:szCs w:val="20"/>
        </w:rPr>
      </w:pPr>
      <w:r w:rsidRPr="00B577D3">
        <w:rPr>
          <w:rFonts w:ascii="Arial" w:hAnsi="Arial" w:cs="Arial"/>
          <w:b w:val="0"/>
          <w:sz w:val="20"/>
          <w:szCs w:val="20"/>
        </w:rPr>
        <w:t>Stante la diversa tempistica di ricezione delle fonti Intrastat ed Extrastat, che non rende disponibili le dichiarazioni Intrastat al momento della prima pubblicazione dei dati di commercio estero extra Ue, i dati preliminari del Regno Unito e, quindi dell’area extra Ue27,</w:t>
      </w:r>
      <w:r w:rsidR="00635CD8" w:rsidRPr="00B577D3">
        <w:rPr>
          <w:rFonts w:ascii="Arial" w:hAnsi="Arial" w:cs="Arial"/>
          <w:b w:val="0"/>
          <w:sz w:val="20"/>
          <w:szCs w:val="20"/>
        </w:rPr>
        <w:t xml:space="preserve"> diffusi nel presente comunicato,</w:t>
      </w:r>
      <w:r w:rsidRPr="00B577D3">
        <w:rPr>
          <w:rFonts w:ascii="Arial" w:hAnsi="Arial" w:cs="Arial"/>
          <w:b w:val="0"/>
          <w:sz w:val="20"/>
          <w:szCs w:val="20"/>
        </w:rPr>
        <w:t xml:space="preserve"> non comprendono</w:t>
      </w:r>
      <w:r w:rsidR="00341D1E" w:rsidRPr="00B577D3">
        <w:rPr>
          <w:rFonts w:ascii="Arial" w:hAnsi="Arial" w:cs="Arial"/>
          <w:b w:val="0"/>
          <w:sz w:val="20"/>
          <w:szCs w:val="20"/>
        </w:rPr>
        <w:t xml:space="preserve"> i dati di interscambio con</w:t>
      </w:r>
      <w:r w:rsidRPr="00B577D3">
        <w:rPr>
          <w:rFonts w:ascii="Arial" w:hAnsi="Arial" w:cs="Arial"/>
          <w:b w:val="0"/>
          <w:sz w:val="20"/>
          <w:szCs w:val="20"/>
        </w:rPr>
        <w:t xml:space="preserve"> l’Irlanda del Nord. Questi sono inclusi</w:t>
      </w:r>
      <w:r w:rsidR="00341D1E" w:rsidRPr="00B577D3">
        <w:rPr>
          <w:rFonts w:ascii="Arial" w:hAnsi="Arial" w:cs="Arial"/>
          <w:b w:val="0"/>
          <w:sz w:val="20"/>
          <w:szCs w:val="20"/>
        </w:rPr>
        <w:t xml:space="preserve"> nei dati di commercio estero extra Ue in occasione della </w:t>
      </w:r>
      <w:r w:rsidRPr="00B577D3">
        <w:rPr>
          <w:rFonts w:ascii="Arial" w:hAnsi="Arial" w:cs="Arial"/>
          <w:b w:val="0"/>
          <w:sz w:val="20"/>
          <w:szCs w:val="20"/>
        </w:rPr>
        <w:t xml:space="preserve">prima revisione nel mese successivo </w:t>
      </w:r>
      <w:r w:rsidR="00341D1E" w:rsidRPr="00B577D3">
        <w:rPr>
          <w:rFonts w:ascii="Arial" w:hAnsi="Arial" w:cs="Arial"/>
          <w:b w:val="0"/>
          <w:sz w:val="20"/>
          <w:szCs w:val="20"/>
        </w:rPr>
        <w:t xml:space="preserve">e diffusi </w:t>
      </w:r>
      <w:r w:rsidR="001A34E1" w:rsidRPr="00B577D3">
        <w:rPr>
          <w:rFonts w:ascii="Arial" w:hAnsi="Arial" w:cs="Arial"/>
          <w:b w:val="0"/>
          <w:sz w:val="20"/>
          <w:szCs w:val="20"/>
        </w:rPr>
        <w:t>nel</w:t>
      </w:r>
      <w:r w:rsidR="009C2B9D" w:rsidRPr="00B577D3">
        <w:rPr>
          <w:rFonts w:ascii="Arial" w:hAnsi="Arial" w:cs="Arial"/>
          <w:b w:val="0"/>
          <w:sz w:val="20"/>
          <w:szCs w:val="20"/>
        </w:rPr>
        <w:t xml:space="preserve"> </w:t>
      </w:r>
      <w:r w:rsidRPr="00B577D3">
        <w:rPr>
          <w:rFonts w:ascii="Arial" w:hAnsi="Arial" w:cs="Arial"/>
          <w:b w:val="0"/>
          <w:sz w:val="20"/>
          <w:szCs w:val="20"/>
        </w:rPr>
        <w:t>Comunicato Stampa Commercio con l’estero e prezzi all’import.</w:t>
      </w:r>
    </w:p>
    <w:p w14:paraId="163F9F51" w14:textId="77777777" w:rsidR="00F211F7" w:rsidRDefault="00F211F7" w:rsidP="00F211F7">
      <w:pPr>
        <w:pStyle w:val="A"/>
        <w:spacing w:after="120"/>
        <w:rPr>
          <w:rFonts w:ascii="Arial" w:hAnsi="Arial" w:cs="Arial"/>
          <w:b w:val="0"/>
          <w:sz w:val="20"/>
          <w:szCs w:val="20"/>
        </w:rPr>
      </w:pPr>
      <w:r w:rsidRPr="00B77592">
        <w:rPr>
          <w:rFonts w:ascii="Arial" w:hAnsi="Arial" w:cs="Arial"/>
          <w:b w:val="0"/>
          <w:sz w:val="20"/>
          <w:szCs w:val="20"/>
        </w:rPr>
        <w:t>A partire dal mese di Settembre 2011 è stata implementata una nuova metodologia di produzione delle statistiche sugli scambi con l’estero di gas naturale allo stato gassoso e di energia elettrica, che si basa sull’impiego diretto di fonti informative alternative</w:t>
      </w:r>
      <w:r w:rsidRPr="00B77592">
        <w:rPr>
          <w:rStyle w:val="Rimandonotaapidipagina"/>
          <w:rFonts w:ascii="Arial" w:hAnsi="Arial" w:cs="Arial"/>
          <w:b w:val="0"/>
          <w:sz w:val="20"/>
          <w:szCs w:val="20"/>
        </w:rPr>
        <w:footnoteReference w:id="2"/>
      </w:r>
      <w:r w:rsidRPr="00B77592">
        <w:rPr>
          <w:rFonts w:ascii="Arial" w:hAnsi="Arial" w:cs="Arial"/>
          <w:b w:val="0"/>
          <w:sz w:val="20"/>
          <w:szCs w:val="20"/>
        </w:rPr>
        <w:t xml:space="preserve"> ai dati statistico-doganali solo per quanto riguarda la misurazione degli scambi complessivi in quantità, mentre per le altre variabili di analisi e classificazione richieste dai regolamenti statistici comunitari (dati in valore monetario e allocazione geografica dei flussi con l’estero per “paese statistico”) sono stati adottati opportuni criteri di stima (per maggiori dettagli si veda la nota sulle revisioni straordinarie allegata al Comunicato Commercio con l’estero riferito al mese di Settembre 2011 </w:t>
      </w:r>
      <w:hyperlink r:id="rId28" w:history="1">
        <w:r w:rsidRPr="00B77592">
          <w:rPr>
            <w:rStyle w:val="Collegamentoipertestuale"/>
            <w:rFonts w:ascii="Arial" w:hAnsi="Arial" w:cs="Arial"/>
            <w:b w:val="0"/>
            <w:sz w:val="20"/>
            <w:szCs w:val="20"/>
          </w:rPr>
          <w:t>www.istat.it/it/archivio/45225</w:t>
        </w:r>
      </w:hyperlink>
      <w:r w:rsidRPr="00B77592">
        <w:rPr>
          <w:rFonts w:ascii="Arial" w:hAnsi="Arial" w:cs="Arial"/>
          <w:b w:val="0"/>
          <w:sz w:val="20"/>
          <w:szCs w:val="20"/>
        </w:rPr>
        <w:t>). La modifica introdotta ha comportato la conseguente revisione dei dati relativi ai periodi precedenti.</w:t>
      </w:r>
    </w:p>
    <w:p w14:paraId="015E08EB" w14:textId="751E174A" w:rsidR="00F211F7" w:rsidRPr="00C35C46" w:rsidRDefault="00F211F7" w:rsidP="00F211F7">
      <w:pPr>
        <w:pStyle w:val="A"/>
        <w:spacing w:after="120"/>
        <w:rPr>
          <w:rFonts w:ascii="Arial" w:hAnsi="Arial" w:cs="Arial"/>
          <w:b w:val="0"/>
          <w:sz w:val="20"/>
          <w:szCs w:val="20"/>
        </w:rPr>
      </w:pPr>
      <w:r w:rsidRPr="00C35C46">
        <w:rPr>
          <w:rFonts w:ascii="Arial" w:hAnsi="Arial" w:cs="Arial"/>
          <w:sz w:val="20"/>
          <w:szCs w:val="20"/>
        </w:rPr>
        <w:t>Si segnala che, dal mese di aprile 2022</w:t>
      </w:r>
      <w:r w:rsidRPr="00C35C46">
        <w:rPr>
          <w:rFonts w:ascii="Arial" w:hAnsi="Arial" w:cs="Arial"/>
          <w:b w:val="0"/>
          <w:sz w:val="20"/>
          <w:szCs w:val="20"/>
        </w:rPr>
        <w:t xml:space="preserve">, a seguito di modifiche introdotte nella procedura di stima delle importazioni di gas naturale allo stato gassoso, i valori monetari delle importazioni extra Ue27 – con riguardo, in particolare, al raggruppamento Energia e ad alcuni principali paesi partner –, potranno essere soggetti a revisioni più ampie di quelle usuali. </w:t>
      </w:r>
    </w:p>
    <w:p w14:paraId="345CDB61" w14:textId="54538286" w:rsidR="00F211F7" w:rsidRPr="00C35C46" w:rsidRDefault="00F211F7" w:rsidP="00F211F7">
      <w:pPr>
        <w:pStyle w:val="A"/>
        <w:spacing w:after="120"/>
        <w:rPr>
          <w:rFonts w:ascii="Arial" w:hAnsi="Arial" w:cs="Arial"/>
          <w:b w:val="0"/>
          <w:sz w:val="20"/>
          <w:szCs w:val="20"/>
        </w:rPr>
      </w:pPr>
      <w:r w:rsidRPr="00C35C46">
        <w:rPr>
          <w:rFonts w:ascii="Arial" w:hAnsi="Arial" w:cs="Arial"/>
          <w:b w:val="0"/>
          <w:sz w:val="20"/>
          <w:szCs w:val="20"/>
        </w:rPr>
        <w:t>I valori preliminari delle importazioni extra Ue27 di gas naturale allo stato gassoso, si baseranno, come di consueto, sulla procedura che utilizza i dati di quantità da fonte Snam Rete Gas S.p.a. relativi al mese di riferimento e i dati di prezzo (valore medio unitario) più aggiornati disponibili al momento della diffusione. Questi ultimi sono desunti dalle dichiarazioni doganali depositate nel mese di riferimento, che, nel rispetto degli adempimenti doganali relativi all’importazione di gas naturale a mezzo gasdotto, riferiscono a movimentazioni avvenute nel mese precedente. In occasione della prima revisione, diffusa con il Comunicato Stampa Commercio estero e prezzi all’import, grazie alle modifiche introdotte nel processo di lavorazione, le stime sui valori di import di gas naturale allo stato gassoso si baseranno sui dati di prezzo del mese di riferimento (dati che si rendono disponibili con la fornitura delle dichiarazioni doganali del mese successivo).</w:t>
      </w:r>
    </w:p>
    <w:p w14:paraId="32F64926" w14:textId="77777777" w:rsidR="00F211F7" w:rsidRDefault="00F211F7" w:rsidP="00F211F7">
      <w:pPr>
        <w:pStyle w:val="A"/>
        <w:spacing w:after="120"/>
        <w:rPr>
          <w:rFonts w:ascii="Arial" w:hAnsi="Arial" w:cs="Arial"/>
          <w:sz w:val="20"/>
          <w:szCs w:val="20"/>
          <w:highlight w:val="yellow"/>
        </w:rPr>
      </w:pPr>
    </w:p>
    <w:p w14:paraId="0DFF6CAA" w14:textId="006ABDB4" w:rsidR="00F211F7" w:rsidRPr="00C35C46" w:rsidRDefault="00F211F7" w:rsidP="00F211F7">
      <w:pPr>
        <w:pStyle w:val="A"/>
        <w:spacing w:after="120"/>
        <w:rPr>
          <w:rFonts w:ascii="Arial" w:hAnsi="Arial" w:cs="Arial"/>
          <w:b w:val="0"/>
          <w:sz w:val="20"/>
          <w:szCs w:val="20"/>
        </w:rPr>
      </w:pPr>
      <w:r w:rsidRPr="00C35C46">
        <w:rPr>
          <w:rFonts w:ascii="Arial" w:hAnsi="Arial" w:cs="Arial"/>
          <w:b w:val="0"/>
          <w:sz w:val="20"/>
          <w:szCs w:val="20"/>
        </w:rPr>
        <w:t>Si anticipa, che in occasione del consolidamento dei dati del 2021 che verrà effettuato a ottobre 2022, i valori di import di gas naturale allo stato gassoso saranno rivisti applicando la</w:t>
      </w:r>
      <w:r w:rsidR="002E25EC" w:rsidRPr="00C35C46">
        <w:rPr>
          <w:rFonts w:ascii="Arial" w:hAnsi="Arial" w:cs="Arial"/>
          <w:b w:val="0"/>
          <w:sz w:val="20"/>
          <w:szCs w:val="20"/>
        </w:rPr>
        <w:t xml:space="preserve"> nuova procedura. In tale occas</w:t>
      </w:r>
      <w:r w:rsidRPr="00C35C46">
        <w:rPr>
          <w:rFonts w:ascii="Arial" w:hAnsi="Arial" w:cs="Arial"/>
          <w:b w:val="0"/>
          <w:sz w:val="20"/>
          <w:szCs w:val="20"/>
        </w:rPr>
        <w:t>ione, verranno contestualmente rivisti anche i dati dei primi tre mesi del 2022.</w:t>
      </w:r>
    </w:p>
    <w:p w14:paraId="307EE152" w14:textId="77777777" w:rsidR="00A651E1" w:rsidRPr="00B77592" w:rsidRDefault="00A651E1" w:rsidP="00F211F7">
      <w:pPr>
        <w:pStyle w:val="Corpotesto"/>
        <w:spacing w:line="240" w:lineRule="auto"/>
        <w:rPr>
          <w:rFonts w:ascii="Arial" w:hAnsi="Arial" w:cs="Arial"/>
          <w:sz w:val="20"/>
          <w:szCs w:val="20"/>
          <w:lang w:eastAsia="ar-SA"/>
        </w:rPr>
      </w:pPr>
    </w:p>
    <w:p w14:paraId="0E96E4D4" w14:textId="77777777" w:rsidR="00A651E1" w:rsidRPr="003F5831" w:rsidRDefault="00E777A0" w:rsidP="00BD1526">
      <w:pPr>
        <w:pStyle w:val="A"/>
        <w:spacing w:after="120"/>
        <w:outlineLvl w:val="0"/>
        <w:rPr>
          <w:rFonts w:ascii="Arial" w:hAnsi="Arial" w:cs="Arial"/>
          <w:sz w:val="22"/>
          <w:szCs w:val="20"/>
        </w:rPr>
      </w:pPr>
      <w:r w:rsidRPr="003F5831">
        <w:rPr>
          <w:rFonts w:ascii="Arial" w:hAnsi="Arial" w:cs="Arial"/>
          <w:sz w:val="22"/>
          <w:szCs w:val="20"/>
        </w:rPr>
        <w:t>Popolazione di riferimento e classificazioni utilizzate</w:t>
      </w:r>
    </w:p>
    <w:p w14:paraId="4DD54AEB" w14:textId="06AD1755" w:rsidR="00A651E1" w:rsidRPr="00B77592" w:rsidRDefault="00E777A0">
      <w:pPr>
        <w:spacing w:after="120"/>
        <w:jc w:val="both"/>
        <w:rPr>
          <w:rFonts w:ascii="Arial" w:hAnsi="Arial" w:cs="Arial"/>
          <w:sz w:val="20"/>
          <w:szCs w:val="20"/>
        </w:rPr>
      </w:pPr>
      <w:r w:rsidRPr="00B77592">
        <w:rPr>
          <w:rFonts w:ascii="Arial" w:hAnsi="Arial" w:cs="Arial"/>
          <w:sz w:val="20"/>
          <w:szCs w:val="20"/>
        </w:rPr>
        <w:t>L’oggetto dell’indagine sono tutte le merci a esclusione dell’oro monetario, del software personalizzato, degli strumenti di pagamento aventi corso legale e valori, delle merci destinate alla riparazione. Nel rispetto dei Regolamenti comunitari, gli scambi commerciali di beni con paesi extra U</w:t>
      </w:r>
      <w:r w:rsidR="00E52308">
        <w:rPr>
          <w:rFonts w:ascii="Arial" w:hAnsi="Arial" w:cs="Arial"/>
          <w:sz w:val="20"/>
          <w:szCs w:val="20"/>
        </w:rPr>
        <w:t>e</w:t>
      </w:r>
      <w:r w:rsidRPr="00B77592">
        <w:rPr>
          <w:rFonts w:ascii="Arial" w:hAnsi="Arial" w:cs="Arial"/>
          <w:sz w:val="20"/>
          <w:szCs w:val="20"/>
        </w:rPr>
        <w:t xml:space="preserve"> sono classificati secondo il paese di origine per le importazioni e il paese di destinazione per le esportazioni.</w:t>
      </w:r>
    </w:p>
    <w:p w14:paraId="0AA7F22A"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I dati diffusi mensilmente riguardano i valori monetari, le variazioni tendenziali e quelle congiunturali relativi alle variabili che descrivono i flussi commerciali con l’estero. </w:t>
      </w:r>
    </w:p>
    <w:p w14:paraId="6801F219"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I valori monetari a prezzi correnti si riferiscono alle importazioni ed esportazioni di merci rilevate o stimate in termini di valore statistico (Cif, Fob).</w:t>
      </w:r>
    </w:p>
    <w:p w14:paraId="20901D4F" w14:textId="65874FA0"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Le principali classificazioni utilizzate nella produzione delle statistiche del commercio con l’estero sono definite a partire dall</w:t>
      </w:r>
      <w:r w:rsidR="002925B2">
        <w:rPr>
          <w:rFonts w:ascii="Arial" w:hAnsi="Arial" w:cs="Arial"/>
          <w:b w:val="0"/>
          <w:sz w:val="20"/>
          <w:szCs w:val="20"/>
        </w:rPr>
        <w:t>e</w:t>
      </w:r>
      <w:r w:rsidRPr="00B77592">
        <w:rPr>
          <w:rFonts w:ascii="Arial" w:hAnsi="Arial" w:cs="Arial"/>
          <w:b w:val="0"/>
          <w:sz w:val="20"/>
          <w:szCs w:val="20"/>
        </w:rPr>
        <w:t xml:space="preserve"> informazioni elementari riguardanti la tipologia delle merci, il paese statistico e la provincia di provenienza o destinazione delle merci. La Nomenclatura Combinata è la classificazione utilizzata per l’indagine dei prodotti a livello comunitario. Definita e aggiornata annualmente dall’Unione Europea, desume la sua codifica dal Sistema Armonizzato (SA). </w:t>
      </w:r>
    </w:p>
    <w:p w14:paraId="53C1265B" w14:textId="3E5BFB4B"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La classificazione utilizzata per definire le aree geografiche e le aree geoeconomiche di appartenenza dei paesi è la Geonomenclatura dei paesi e territori per le statistiche del commercio estero dell’Unione e del commercio tra i suoi Stati membri, stabilita da Eurostat.</w:t>
      </w:r>
    </w:p>
    <w:p w14:paraId="33E955EA"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 partire da gennaio 2009 i raggruppamenti di merci dell’interscambio commerciale sono definiti sulla base della classificazione delle attività economiche Ateco 2007 opportunamente adattata alle statistiche sul commercio estero. L’Ateco 2007, infatti, costituisce la versione nazionale della nomenclatura europea Nace rev. 2, pubblicata sull’Official Journal il 2 dicembre 2006 (Regolamento (CE) n.1893/2006 del P</w:t>
      </w:r>
      <w:r w:rsidR="000F72C6">
        <w:rPr>
          <w:rFonts w:ascii="Arial" w:hAnsi="Arial" w:cs="Arial"/>
          <w:sz w:val="20"/>
          <w:szCs w:val="20"/>
        </w:rPr>
        <w:t>arlamento europeo</w:t>
      </w:r>
      <w:r w:rsidRPr="00B77592">
        <w:rPr>
          <w:rFonts w:ascii="Arial" w:hAnsi="Arial" w:cs="Arial"/>
          <w:sz w:val="20"/>
          <w:szCs w:val="20"/>
        </w:rPr>
        <w:t xml:space="preserve"> e del Consiglio del 20/12/2006), con la quale coincide fino alla quarta cifra.</w:t>
      </w:r>
    </w:p>
    <w:p w14:paraId="1991B838"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Ai fini di fornire le informazioni a un livello di dettaglio idoneo ad analizzare l’interscambio commerciale italiano, i dati sono rilasciati secondo un’opportuna disaggregazione intermedia delle sezioni.</w:t>
      </w:r>
    </w:p>
    <w:p w14:paraId="0654F764"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Nel corso dell’anno 2003, l’Istat ha modificato, per i dati di commercio estero così come per tutti gli indicatori congiunturali dell’industria, la classificazione delle aggregazioni per destinazione economica dei prodotti “Raggruppamenti Principali di Industrie (RPI)”, definiti dal Regolamento della Commissione n.586/2001 (G.U. delle Comunità europee del 27/03/2001). A seguito dell'entrata in vigore della Nace rev. 2 tale Regolamento è stato modificato dal Regolamento (CE) n.656/2007 del 14/06/2007.</w:t>
      </w:r>
    </w:p>
    <w:p w14:paraId="04A36FE7"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I Raggruppamenti Principali di Industrie sono:</w:t>
      </w:r>
    </w:p>
    <w:p w14:paraId="0D08A9B8"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di consumo durevoli;</w:t>
      </w:r>
    </w:p>
    <w:p w14:paraId="20639F2F"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di consumo non durevoli;</w:t>
      </w:r>
    </w:p>
    <w:p w14:paraId="28DE8F6A"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strumentali;</w:t>
      </w:r>
    </w:p>
    <w:p w14:paraId="7D3097F7"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intermedi;</w:t>
      </w:r>
    </w:p>
    <w:p w14:paraId="4C42E35A" w14:textId="77777777" w:rsidR="00A651E1" w:rsidRPr="00B77592" w:rsidRDefault="00E777A0">
      <w:pPr>
        <w:pStyle w:val="A"/>
        <w:numPr>
          <w:ilvl w:val="0"/>
          <w:numId w:val="21"/>
        </w:numPr>
        <w:tabs>
          <w:tab w:val="clear" w:pos="2534"/>
          <w:tab w:val="num" w:pos="567"/>
        </w:tabs>
        <w:spacing w:after="120"/>
        <w:ind w:left="567" w:hanging="567"/>
        <w:rPr>
          <w:rFonts w:ascii="Arial" w:hAnsi="Arial" w:cs="Arial"/>
          <w:b w:val="0"/>
          <w:sz w:val="20"/>
          <w:szCs w:val="20"/>
        </w:rPr>
      </w:pPr>
      <w:r w:rsidRPr="00B77592">
        <w:rPr>
          <w:rFonts w:ascii="Arial" w:hAnsi="Arial" w:cs="Arial"/>
          <w:b w:val="0"/>
          <w:sz w:val="20"/>
          <w:szCs w:val="20"/>
        </w:rPr>
        <w:t>Energia.</w:t>
      </w:r>
    </w:p>
    <w:p w14:paraId="3D18E104" w14:textId="77777777" w:rsidR="00A651E1" w:rsidRPr="00B77592" w:rsidRDefault="00E777A0" w:rsidP="00F211F7">
      <w:pPr>
        <w:pStyle w:val="Corpotesto"/>
        <w:spacing w:after="240"/>
        <w:rPr>
          <w:rFonts w:ascii="Arial" w:hAnsi="Arial" w:cs="Arial"/>
          <w:b/>
          <w:sz w:val="20"/>
          <w:szCs w:val="20"/>
        </w:rPr>
      </w:pPr>
      <w:r w:rsidRPr="00B77592">
        <w:rPr>
          <w:rFonts w:ascii="Arial" w:hAnsi="Arial" w:cs="Arial"/>
          <w:sz w:val="20"/>
          <w:szCs w:val="20"/>
        </w:rPr>
        <w:t xml:space="preserve">La classificazione RPI è stata adattata alle statistiche sul commercio con l’estero. </w:t>
      </w:r>
    </w:p>
    <w:p w14:paraId="7E7D30D0" w14:textId="77777777" w:rsidR="00A651E1" w:rsidRPr="003F5831" w:rsidRDefault="00E777A0" w:rsidP="006018AD">
      <w:pPr>
        <w:spacing w:before="120" w:after="120"/>
        <w:jc w:val="both"/>
        <w:outlineLvl w:val="0"/>
        <w:rPr>
          <w:rFonts w:ascii="Arial" w:hAnsi="Arial" w:cs="Arial"/>
          <w:b/>
          <w:sz w:val="22"/>
          <w:szCs w:val="20"/>
        </w:rPr>
      </w:pPr>
      <w:r w:rsidRPr="003F5831">
        <w:rPr>
          <w:rFonts w:ascii="Arial" w:hAnsi="Arial" w:cs="Arial"/>
          <w:b/>
          <w:sz w:val="22"/>
          <w:szCs w:val="20"/>
        </w:rPr>
        <w:t>Strumenti di elaborazione dei dati</w:t>
      </w:r>
    </w:p>
    <w:p w14:paraId="35A7B6CB" w14:textId="77777777" w:rsidR="009C2B9D" w:rsidRPr="00B77592" w:rsidRDefault="009C2B9D" w:rsidP="009C2B9D">
      <w:pPr>
        <w:pStyle w:val="A"/>
        <w:spacing w:after="120"/>
        <w:rPr>
          <w:rFonts w:ascii="Arial" w:hAnsi="Arial" w:cs="Arial"/>
          <w:b w:val="0"/>
          <w:sz w:val="20"/>
          <w:szCs w:val="20"/>
        </w:rPr>
      </w:pPr>
      <w:r w:rsidRPr="00B77592">
        <w:rPr>
          <w:rFonts w:ascii="Arial" w:hAnsi="Arial" w:cs="Arial"/>
          <w:b w:val="0"/>
          <w:sz w:val="20"/>
          <w:szCs w:val="20"/>
        </w:rPr>
        <w:t>Oltre ai dati grezzi, vengono pubblicati anche i dati depurati d</w:t>
      </w:r>
      <w:r>
        <w:rPr>
          <w:rFonts w:ascii="Arial" w:hAnsi="Arial" w:cs="Arial"/>
          <w:b w:val="0"/>
          <w:sz w:val="20"/>
          <w:szCs w:val="20"/>
        </w:rPr>
        <w:t>a</w:t>
      </w:r>
      <w:r w:rsidRPr="00B77592">
        <w:rPr>
          <w:rFonts w:ascii="Arial" w:hAnsi="Arial" w:cs="Arial"/>
          <w:b w:val="0"/>
          <w:sz w:val="20"/>
          <w:szCs w:val="20"/>
        </w:rPr>
        <w:t>lla componente stagionale e dagli effetti di calendario. Tali dati sono ottenuti attraverso la procedura TRAMO-SEATS per Linux (versione di febbraio 2010).</w:t>
      </w:r>
    </w:p>
    <w:p w14:paraId="7E1C54F8" w14:textId="05D5D224" w:rsidR="009C2B9D" w:rsidRDefault="009C2B9D" w:rsidP="009C2B9D">
      <w:pPr>
        <w:pStyle w:val="A"/>
        <w:spacing w:after="120"/>
        <w:rPr>
          <w:rFonts w:ascii="Arial" w:hAnsi="Arial" w:cs="Arial"/>
          <w:b w:val="0"/>
          <w:sz w:val="20"/>
          <w:szCs w:val="20"/>
        </w:rPr>
      </w:pPr>
      <w:r w:rsidRPr="00B77592">
        <w:rPr>
          <w:rFonts w:ascii="Arial" w:hAnsi="Arial" w:cs="Arial"/>
          <w:b w:val="0"/>
          <w:sz w:val="20"/>
          <w:szCs w:val="20"/>
        </w:rPr>
        <w:t>A partire dai dati mensili del 2012 sono state introdotte alcune sostanziali innovazioni di processo e di prodotto nelle procedure di destagionalizzazione finalizzate a migliorare l’accuratezza delle stime prodotte e a fornire agli utenti un più ampio dettaglio degli indicatori statistici per l’analisi congiunturale del commercio con l’estero, rendendo disponibili nuove serie destagionalizzate a livello di raggruppamenti principali di industrie (RPI).</w:t>
      </w:r>
    </w:p>
    <w:p w14:paraId="1FF4BC63" w14:textId="77777777" w:rsidR="009C2B9D" w:rsidRDefault="009C2B9D" w:rsidP="009C2B9D">
      <w:pPr>
        <w:pStyle w:val="A"/>
        <w:spacing w:after="120"/>
        <w:rPr>
          <w:rFonts w:ascii="Arial" w:hAnsi="Arial" w:cs="Arial"/>
          <w:b w:val="0"/>
          <w:sz w:val="20"/>
          <w:szCs w:val="20"/>
        </w:rPr>
      </w:pPr>
      <w:r w:rsidRPr="00B77592">
        <w:rPr>
          <w:rFonts w:ascii="Arial" w:hAnsi="Arial" w:cs="Arial"/>
          <w:b w:val="0"/>
          <w:sz w:val="20"/>
          <w:szCs w:val="20"/>
        </w:rPr>
        <w:t>I dati destagionalizzati sono soggetti a revisione ogni mese. I modelli utilizzati vengono verificati, in occasione delle revisioni delle serie grezze. Le specifiche utilizzate dall'Istat nell'ambito della procedura TRAMO-SEATS sono disponibili per gli utenti che ne facciano richiesta per proprie finalità di analisi.</w:t>
      </w:r>
    </w:p>
    <w:p w14:paraId="3263422B" w14:textId="77777777" w:rsidR="00F211F7" w:rsidRDefault="00F211F7" w:rsidP="009C2B9D">
      <w:pPr>
        <w:pStyle w:val="A"/>
        <w:spacing w:after="120"/>
        <w:rPr>
          <w:rFonts w:ascii="Arial" w:hAnsi="Arial" w:cs="Arial"/>
          <w:b w:val="0"/>
          <w:sz w:val="20"/>
          <w:szCs w:val="20"/>
        </w:rPr>
      </w:pPr>
    </w:p>
    <w:p w14:paraId="0AEBD30C" w14:textId="535D03AF" w:rsidR="009C2B9D" w:rsidRPr="004A6591" w:rsidRDefault="009C2B9D" w:rsidP="009C2B9D">
      <w:pPr>
        <w:pStyle w:val="A"/>
        <w:spacing w:after="120"/>
        <w:rPr>
          <w:rFonts w:ascii="Arial" w:hAnsi="Arial" w:cs="Arial"/>
          <w:b w:val="0"/>
          <w:sz w:val="20"/>
          <w:szCs w:val="20"/>
        </w:rPr>
      </w:pPr>
      <w:r w:rsidRPr="004A6591">
        <w:rPr>
          <w:rFonts w:ascii="Arial" w:hAnsi="Arial" w:cs="Arial"/>
          <w:b w:val="0"/>
          <w:sz w:val="20"/>
          <w:szCs w:val="20"/>
        </w:rPr>
        <w:t xml:space="preserve">Al fine di gestire le discontinuità prodotte dalla crisi Covid-19 sulle serie storiche da marzo 2020 è stata operata una revisione dei modelli di destagionalizzazione, coerentemente alle linee guida metodologiche indicate da Eurostat, disponibili alla pagina web </w:t>
      </w:r>
      <w:hyperlink r:id="rId29" w:history="1">
        <w:r w:rsidRPr="004A6591">
          <w:rPr>
            <w:rStyle w:val="Collegamentoipertestuale"/>
            <w:rFonts w:ascii="Arial" w:hAnsi="Arial" w:cs="Arial"/>
            <w:b w:val="0"/>
            <w:sz w:val="20"/>
            <w:szCs w:val="20"/>
          </w:rPr>
          <w:t>Covid-19: Support for statisticians</w:t>
        </w:r>
      </w:hyperlink>
      <w:r w:rsidRPr="004A6591">
        <w:rPr>
          <w:rFonts w:ascii="Arial" w:hAnsi="Arial" w:cs="Arial"/>
          <w:b w:val="0"/>
          <w:sz w:val="20"/>
          <w:szCs w:val="20"/>
        </w:rPr>
        <w:t xml:space="preserve">. </w:t>
      </w:r>
    </w:p>
    <w:p w14:paraId="76F3B93B" w14:textId="36992F0B" w:rsidR="00A3250C" w:rsidRDefault="00A3250C" w:rsidP="0048020F">
      <w:pPr>
        <w:pStyle w:val="A"/>
        <w:spacing w:after="120"/>
        <w:rPr>
          <w:rFonts w:ascii="Arial" w:hAnsi="Arial" w:cs="Arial"/>
          <w:b w:val="0"/>
          <w:sz w:val="20"/>
          <w:szCs w:val="20"/>
        </w:rPr>
      </w:pPr>
      <w:r w:rsidRPr="00AF02B8">
        <w:rPr>
          <w:rFonts w:ascii="Arial" w:hAnsi="Arial" w:cs="Arial"/>
          <w:b w:val="0"/>
          <w:sz w:val="20"/>
          <w:szCs w:val="20"/>
        </w:rPr>
        <w:t>Pertanto, nelle serie storiche si è tenuto conto – a partire da marzo 2020 – dell’ampiezza inusuale delle variazioni dei flussi commerciali extra comunitari inserendo nei modelli statistici di destagionalizzazione, ove statisticamente significativi, regressori aggiuntivi</w:t>
      </w:r>
      <w:r w:rsidR="00096F61" w:rsidRPr="00AF02B8">
        <w:rPr>
          <w:rFonts w:ascii="Arial" w:hAnsi="Arial" w:cs="Arial"/>
          <w:b w:val="0"/>
          <w:sz w:val="20"/>
          <w:szCs w:val="20"/>
        </w:rPr>
        <w:t>. Non appena le informazioni disponibili lo consentiranno, si procederà alla revisione dei modelli</w:t>
      </w:r>
      <w:r w:rsidRPr="00AF02B8">
        <w:rPr>
          <w:rFonts w:ascii="Arial" w:hAnsi="Arial" w:cs="Arial"/>
          <w:b w:val="0"/>
          <w:sz w:val="20"/>
          <w:szCs w:val="20"/>
        </w:rPr>
        <w:t>.</w:t>
      </w:r>
    </w:p>
    <w:p w14:paraId="7658ACF3" w14:textId="77777777" w:rsidR="006E372E" w:rsidRDefault="006E372E" w:rsidP="00091C8D">
      <w:pPr>
        <w:jc w:val="both"/>
        <w:outlineLvl w:val="0"/>
        <w:rPr>
          <w:rFonts w:ascii="Arial" w:hAnsi="Arial" w:cs="Arial"/>
          <w:b/>
          <w:sz w:val="22"/>
          <w:szCs w:val="20"/>
        </w:rPr>
      </w:pPr>
    </w:p>
    <w:p w14:paraId="071F9F71" w14:textId="53A5DA06" w:rsidR="00A651E1" w:rsidRPr="003F5831" w:rsidRDefault="00E777A0" w:rsidP="00BD1526">
      <w:pPr>
        <w:spacing w:after="120"/>
        <w:jc w:val="both"/>
        <w:outlineLvl w:val="0"/>
        <w:rPr>
          <w:rFonts w:ascii="Arial" w:hAnsi="Arial" w:cs="Arial"/>
          <w:b/>
          <w:sz w:val="22"/>
          <w:szCs w:val="20"/>
        </w:rPr>
      </w:pPr>
      <w:r w:rsidRPr="003F5831">
        <w:rPr>
          <w:rFonts w:ascii="Arial" w:hAnsi="Arial" w:cs="Arial"/>
          <w:b/>
          <w:sz w:val="22"/>
          <w:szCs w:val="20"/>
        </w:rPr>
        <w:t>Tempestività nel rilascio e revisione dei dati</w:t>
      </w:r>
    </w:p>
    <w:p w14:paraId="76072F0E" w14:textId="31BCED04" w:rsidR="006B4B70" w:rsidRDefault="00E777A0" w:rsidP="009C2B9D">
      <w:pPr>
        <w:spacing w:after="120"/>
        <w:jc w:val="both"/>
        <w:rPr>
          <w:rFonts w:ascii="Arial" w:hAnsi="Arial" w:cs="Arial"/>
          <w:sz w:val="20"/>
          <w:szCs w:val="20"/>
        </w:rPr>
      </w:pPr>
      <w:r w:rsidRPr="00B77592">
        <w:rPr>
          <w:rFonts w:ascii="Arial" w:hAnsi="Arial" w:cs="Arial"/>
          <w:sz w:val="20"/>
          <w:szCs w:val="20"/>
        </w:rPr>
        <w:t>I dati sono diffusi a circa 25 giorni dal mese di riferimento.</w:t>
      </w:r>
    </w:p>
    <w:p w14:paraId="372CB171" w14:textId="35937BF5" w:rsidR="009C2B9D" w:rsidRDefault="00E777A0" w:rsidP="009C2B9D">
      <w:pPr>
        <w:spacing w:after="120"/>
        <w:jc w:val="both"/>
        <w:rPr>
          <w:rFonts w:ascii="Arial" w:hAnsi="Arial" w:cs="Arial"/>
          <w:sz w:val="20"/>
          <w:szCs w:val="20"/>
          <w:highlight w:val="yellow"/>
        </w:rPr>
      </w:pPr>
      <w:r w:rsidRPr="00B77592">
        <w:rPr>
          <w:rFonts w:ascii="Arial" w:hAnsi="Arial" w:cs="Arial"/>
          <w:sz w:val="20"/>
          <w:szCs w:val="20"/>
        </w:rPr>
        <w:t xml:space="preserve">Al momento della prima pubblicazione, i dati sono di natura provvisoria e sono soggetti a una prima revisione nel mese successivo, al fine di recepire ulteriori informazioni che si rendono disponibili successivamente alla loro diffusione, per </w:t>
      </w:r>
      <w:r w:rsidR="000F72C6">
        <w:rPr>
          <w:rFonts w:ascii="Arial" w:hAnsi="Arial" w:cs="Arial"/>
          <w:sz w:val="20"/>
          <w:szCs w:val="20"/>
        </w:rPr>
        <w:t xml:space="preserve">poi </w:t>
      </w:r>
      <w:r w:rsidRPr="00B77592">
        <w:rPr>
          <w:rFonts w:ascii="Arial" w:hAnsi="Arial" w:cs="Arial"/>
          <w:sz w:val="20"/>
          <w:szCs w:val="20"/>
        </w:rPr>
        <w:t xml:space="preserve">essere definitivamente consolidati nel mese di </w:t>
      </w:r>
      <w:r w:rsidR="002925B2">
        <w:rPr>
          <w:rFonts w:ascii="Arial" w:hAnsi="Arial" w:cs="Arial"/>
          <w:sz w:val="20"/>
          <w:szCs w:val="20"/>
        </w:rPr>
        <w:t>o</w:t>
      </w:r>
      <w:r w:rsidRPr="00B77592">
        <w:rPr>
          <w:rFonts w:ascii="Arial" w:hAnsi="Arial" w:cs="Arial"/>
          <w:sz w:val="20"/>
          <w:szCs w:val="20"/>
        </w:rPr>
        <w:t>ttobre dell’anno successivo.</w:t>
      </w:r>
      <w:r w:rsidR="00B544DA">
        <w:rPr>
          <w:rFonts w:ascii="Arial" w:hAnsi="Arial" w:cs="Arial"/>
          <w:sz w:val="20"/>
          <w:szCs w:val="20"/>
        </w:rPr>
        <w:t xml:space="preserve"> </w:t>
      </w:r>
    </w:p>
    <w:p w14:paraId="703F9124" w14:textId="553E7C47" w:rsidR="00635CD8" w:rsidRPr="00380D75" w:rsidRDefault="009C2B9D" w:rsidP="009C2B9D">
      <w:pPr>
        <w:spacing w:after="120"/>
        <w:jc w:val="both"/>
        <w:rPr>
          <w:rFonts w:ascii="Arial" w:hAnsi="Arial" w:cs="Arial"/>
          <w:sz w:val="20"/>
          <w:szCs w:val="20"/>
        </w:rPr>
      </w:pPr>
      <w:r w:rsidRPr="00380D75">
        <w:rPr>
          <w:rFonts w:ascii="Arial" w:hAnsi="Arial" w:cs="Arial"/>
          <w:sz w:val="20"/>
          <w:szCs w:val="20"/>
        </w:rPr>
        <w:t xml:space="preserve">Si ricorda che, al momento della prima pubblicazione, i dati del Regno Unito e quindi dell’area extra Ue27 non incorporano i dati </w:t>
      </w:r>
      <w:r w:rsidR="00635CD8" w:rsidRPr="00380D75">
        <w:rPr>
          <w:rFonts w:ascii="Arial" w:hAnsi="Arial" w:cs="Arial"/>
          <w:sz w:val="20"/>
          <w:szCs w:val="20"/>
        </w:rPr>
        <w:t xml:space="preserve">di interscambio con </w:t>
      </w:r>
      <w:r w:rsidRPr="00380D75">
        <w:rPr>
          <w:rFonts w:ascii="Arial" w:hAnsi="Arial" w:cs="Arial"/>
          <w:sz w:val="20"/>
          <w:szCs w:val="20"/>
        </w:rPr>
        <w:t>l’Irlanda del Nord.</w:t>
      </w:r>
      <w:r w:rsidR="00557121" w:rsidRPr="00380D75">
        <w:rPr>
          <w:rFonts w:ascii="Arial" w:hAnsi="Arial" w:cs="Arial"/>
          <w:sz w:val="20"/>
          <w:szCs w:val="20"/>
        </w:rPr>
        <w:t xml:space="preserve"> </w:t>
      </w:r>
      <w:r w:rsidR="00635CD8" w:rsidRPr="00380D75">
        <w:rPr>
          <w:rFonts w:ascii="Arial" w:hAnsi="Arial" w:cs="Arial"/>
          <w:sz w:val="20"/>
          <w:szCs w:val="20"/>
        </w:rPr>
        <w:t xml:space="preserve">Questi sono inclusi nei dati di commercio estero extra Ue in occasione della prima revisione nel mese successivo e </w:t>
      </w:r>
      <w:r w:rsidR="00380D75" w:rsidRPr="00380D75">
        <w:rPr>
          <w:rFonts w:ascii="Arial" w:hAnsi="Arial" w:cs="Arial"/>
          <w:sz w:val="20"/>
          <w:szCs w:val="20"/>
        </w:rPr>
        <w:t>sono diffusi</w:t>
      </w:r>
      <w:r w:rsidR="00635CD8" w:rsidRPr="00380D75">
        <w:rPr>
          <w:rFonts w:ascii="Arial" w:hAnsi="Arial" w:cs="Arial"/>
          <w:sz w:val="20"/>
          <w:szCs w:val="20"/>
        </w:rPr>
        <w:t xml:space="preserve"> </w:t>
      </w:r>
      <w:r w:rsidR="001A34E1" w:rsidRPr="00380D75">
        <w:rPr>
          <w:rFonts w:ascii="Arial" w:hAnsi="Arial" w:cs="Arial"/>
          <w:sz w:val="20"/>
          <w:szCs w:val="20"/>
        </w:rPr>
        <w:t>nel</w:t>
      </w:r>
      <w:r w:rsidR="00635CD8" w:rsidRPr="00380D75">
        <w:rPr>
          <w:rFonts w:ascii="Arial" w:hAnsi="Arial" w:cs="Arial"/>
          <w:sz w:val="20"/>
          <w:szCs w:val="20"/>
        </w:rPr>
        <w:t xml:space="preserve"> Comunicato Stampa Commercio con l’estero e prezzi all’import</w:t>
      </w:r>
      <w:r w:rsidR="00557121" w:rsidRPr="00380D75">
        <w:rPr>
          <w:rFonts w:ascii="Arial" w:hAnsi="Arial" w:cs="Arial"/>
          <w:sz w:val="20"/>
          <w:szCs w:val="20"/>
        </w:rPr>
        <w:t>.</w:t>
      </w:r>
    </w:p>
    <w:p w14:paraId="5BE5E8F4"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Per ulteriori informazioni sulle revisioni degli indicatori congiunturali, consultare la </w:t>
      </w:r>
      <w:hyperlink r:id="rId30" w:history="1">
        <w:r w:rsidRPr="00B77592">
          <w:rPr>
            <w:rStyle w:val="Collegamentoipertestuale"/>
            <w:rFonts w:ascii="Arial" w:hAnsi="Arial" w:cs="Arial"/>
            <w:sz w:val="20"/>
            <w:szCs w:val="20"/>
          </w:rPr>
          <w:t>sezione dedicata</w:t>
        </w:r>
      </w:hyperlink>
      <w:r w:rsidRPr="00B77592">
        <w:rPr>
          <w:rFonts w:ascii="Arial" w:hAnsi="Arial" w:cs="Arial"/>
          <w:sz w:val="20"/>
          <w:szCs w:val="20"/>
        </w:rPr>
        <w:t xml:space="preserve"> sul sito Istat. Fare riferimento, in particolare, alla </w:t>
      </w:r>
      <w:hyperlink r:id="rId31" w:history="1">
        <w:r w:rsidRPr="00B77592">
          <w:rPr>
            <w:rStyle w:val="Collegamentoipertestuale"/>
            <w:rFonts w:ascii="Arial" w:hAnsi="Arial" w:cs="Arial"/>
            <w:sz w:val="20"/>
            <w:szCs w:val="20"/>
          </w:rPr>
          <w:t>scheda</w:t>
        </w:r>
      </w:hyperlink>
      <w:r w:rsidRPr="00B77592">
        <w:rPr>
          <w:rFonts w:ascii="Arial" w:hAnsi="Arial" w:cs="Arial"/>
          <w:sz w:val="20"/>
          <w:szCs w:val="20"/>
        </w:rPr>
        <w:t xml:space="preserve"> relativa alle politiche di revisione degli indicatori del commercio estero extra UE.</w:t>
      </w:r>
    </w:p>
    <w:p w14:paraId="1E26B94D" w14:textId="77777777" w:rsidR="00A651E1" w:rsidRPr="00B77592" w:rsidRDefault="00A651E1" w:rsidP="00091C8D">
      <w:pPr>
        <w:jc w:val="both"/>
        <w:rPr>
          <w:rFonts w:ascii="Arial" w:hAnsi="Arial" w:cs="Arial"/>
          <w:sz w:val="20"/>
          <w:szCs w:val="20"/>
        </w:rPr>
      </w:pPr>
    </w:p>
    <w:p w14:paraId="4E9F7E96" w14:textId="77777777" w:rsidR="00A651E1" w:rsidRPr="003F5831" w:rsidRDefault="00E777A0" w:rsidP="00BD1526">
      <w:pPr>
        <w:spacing w:after="120"/>
        <w:jc w:val="both"/>
        <w:outlineLvl w:val="0"/>
        <w:rPr>
          <w:rFonts w:ascii="Arial" w:hAnsi="Arial" w:cs="Arial"/>
          <w:b/>
          <w:sz w:val="22"/>
          <w:szCs w:val="20"/>
        </w:rPr>
      </w:pPr>
      <w:r w:rsidRPr="003F5831">
        <w:rPr>
          <w:rFonts w:ascii="Arial" w:hAnsi="Arial" w:cs="Arial"/>
          <w:b/>
          <w:sz w:val="22"/>
          <w:szCs w:val="20"/>
        </w:rPr>
        <w:t>Riservatezza</w:t>
      </w:r>
    </w:p>
    <w:p w14:paraId="57C8227F"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 partire dall'anno 2000, l'Istat ha definito nuove procedure per il trattamento e la diffusione dei dati personali relativi agli scambi di merci con l'estero e ai soggetti importatori ed esportatori, compatibili con l'attuale quadro normativo nazionale (</w:t>
      </w:r>
      <w:r w:rsidR="000F72C6">
        <w:rPr>
          <w:rFonts w:ascii="Arial" w:hAnsi="Arial" w:cs="Arial"/>
          <w:sz w:val="20"/>
          <w:szCs w:val="20"/>
        </w:rPr>
        <w:t>L</w:t>
      </w:r>
      <w:r w:rsidRPr="00B77592">
        <w:rPr>
          <w:rFonts w:ascii="Arial" w:hAnsi="Arial" w:cs="Arial"/>
          <w:sz w:val="20"/>
          <w:szCs w:val="20"/>
        </w:rPr>
        <w:t>egge 675/96, D.lgs.322/89, 281/99 e 196/03).</w:t>
      </w:r>
    </w:p>
    <w:p w14:paraId="33E05275"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Per quanto riguarda le statistiche relative alle merci, l'Istat, oltre a tutelare le informazioni riservate secondo il principio della riservatezza passiva, ha definito un </w:t>
      </w:r>
      <w:hyperlink r:id="rId32" w:history="1">
        <w:r w:rsidRPr="00B77592">
          <w:rPr>
            <w:rFonts w:ascii="Arial" w:hAnsi="Arial" w:cs="Arial"/>
            <w:sz w:val="20"/>
            <w:szCs w:val="20"/>
          </w:rPr>
          <w:t>piano per la diffusione</w:t>
        </w:r>
      </w:hyperlink>
      <w:r w:rsidRPr="00B77592">
        <w:rPr>
          <w:rFonts w:ascii="Arial" w:hAnsi="Arial" w:cs="Arial"/>
          <w:sz w:val="20"/>
          <w:szCs w:val="20"/>
        </w:rPr>
        <w:t xml:space="preserve"> delle statistiche del commercio con l'estero. Tale piano disciplina le possibilità di incrocio tra variabili in funzione di particolari livelli di dettaglio merceologico, goegrafico o territoriale riducendo entro soglie ragionevoli il rischio di identificazione dei soggetti indirettamente interessati.</w:t>
      </w:r>
    </w:p>
    <w:p w14:paraId="3FC810B2"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In particolare, le procedure consentono di ridurre fortemente il rischio di identificazione, indiretta e accidentale, di dati confidenziali e nel contempo di limitare la perdita di informazione fornita agli utenti esterni.</w:t>
      </w:r>
    </w:p>
    <w:p w14:paraId="79354D5C" w14:textId="77777777" w:rsidR="00A651E1" w:rsidRPr="00B77592" w:rsidRDefault="00E777A0">
      <w:pPr>
        <w:spacing w:after="120"/>
        <w:jc w:val="both"/>
        <w:rPr>
          <w:rStyle w:val="Collegamentoipertestuale"/>
          <w:rFonts w:ascii="Arial" w:hAnsi="Arial" w:cs="Arial"/>
          <w:sz w:val="20"/>
          <w:szCs w:val="20"/>
        </w:rPr>
      </w:pPr>
      <w:r w:rsidRPr="00B77592">
        <w:rPr>
          <w:rFonts w:ascii="Arial" w:hAnsi="Arial" w:cs="Arial"/>
          <w:sz w:val="20"/>
          <w:szCs w:val="20"/>
        </w:rPr>
        <w:t xml:space="preserve">Ulteriori informazioni sulla tutela della riservatezza sono disponibili al seguente link </w:t>
      </w:r>
      <w:hyperlink r:id="rId33" w:history="1">
        <w:r w:rsidRPr="00B77592">
          <w:rPr>
            <w:rStyle w:val="Collegamentoipertestuale"/>
            <w:rFonts w:ascii="Arial" w:hAnsi="Arial" w:cs="Arial"/>
            <w:sz w:val="20"/>
            <w:szCs w:val="20"/>
          </w:rPr>
          <w:t>https://www.coeweb.istat.it/</w:t>
        </w:r>
      </w:hyperlink>
    </w:p>
    <w:p w14:paraId="0CE5B451" w14:textId="77777777" w:rsidR="00A651E1" w:rsidRPr="00B77592" w:rsidRDefault="00A651E1" w:rsidP="00091C8D">
      <w:pPr>
        <w:jc w:val="both"/>
        <w:rPr>
          <w:rStyle w:val="Collegamentoipertestuale"/>
          <w:rFonts w:ascii="Arial" w:hAnsi="Arial" w:cs="Arial"/>
          <w:color w:val="auto"/>
          <w:sz w:val="20"/>
          <w:szCs w:val="20"/>
        </w:rPr>
      </w:pPr>
    </w:p>
    <w:p w14:paraId="63433E7F" w14:textId="77777777" w:rsidR="00A651E1" w:rsidRPr="003F5831" w:rsidRDefault="00E777A0" w:rsidP="00BD1526">
      <w:pPr>
        <w:spacing w:after="120"/>
        <w:jc w:val="both"/>
        <w:outlineLvl w:val="0"/>
        <w:rPr>
          <w:rFonts w:ascii="Arial" w:hAnsi="Arial" w:cs="Arial"/>
          <w:b/>
          <w:sz w:val="22"/>
          <w:szCs w:val="20"/>
        </w:rPr>
      </w:pPr>
      <w:r w:rsidRPr="003F5831">
        <w:rPr>
          <w:rFonts w:ascii="Arial" w:hAnsi="Arial" w:cs="Arial"/>
          <w:b/>
          <w:sz w:val="22"/>
          <w:szCs w:val="20"/>
        </w:rPr>
        <w:t>Diffusione dei dati</w:t>
      </w:r>
    </w:p>
    <w:p w14:paraId="25C17B62"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I dati sono disponibili su Coeweb, </w:t>
      </w:r>
      <w:hyperlink r:id="rId34" w:history="1">
        <w:r w:rsidRPr="00B77592">
          <w:rPr>
            <w:rStyle w:val="Collegamentoipertestuale"/>
            <w:rFonts w:ascii="Arial" w:hAnsi="Arial" w:cs="Arial"/>
            <w:sz w:val="20"/>
            <w:szCs w:val="20"/>
          </w:rPr>
          <w:t>https://www.coeweb.istat.it/</w:t>
        </w:r>
      </w:hyperlink>
      <w:r w:rsidRPr="00B77592">
        <w:rPr>
          <w:rFonts w:ascii="Arial" w:hAnsi="Arial" w:cs="Arial"/>
          <w:sz w:val="20"/>
          <w:szCs w:val="20"/>
        </w:rPr>
        <w:t>, il datawarehouse completamente dedicato alle statistiche del commercio con l'estero, nel mese successivo all’uscita del comunicato. La banca dati fornisce, con cadenza mensile, un ricco patrimonio informativo sui flussi commerciali dell'Italia con il resto del mondo e contiene informazioni e serie storiche dal 1991.</w:t>
      </w:r>
    </w:p>
    <w:p w14:paraId="0AA73200"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Comunicati stampa commercio estero:</w:t>
      </w:r>
    </w:p>
    <w:p w14:paraId="4B35E3D8" w14:textId="77777777" w:rsidR="00A651E1" w:rsidRPr="00B77592" w:rsidRDefault="00AD4825">
      <w:pPr>
        <w:pStyle w:val="Paragrafoelenco"/>
        <w:numPr>
          <w:ilvl w:val="0"/>
          <w:numId w:val="24"/>
        </w:numPr>
        <w:spacing w:after="120"/>
        <w:ind w:left="426" w:hanging="426"/>
        <w:jc w:val="both"/>
        <w:rPr>
          <w:rFonts w:ascii="Arial" w:hAnsi="Arial" w:cs="Arial"/>
          <w:sz w:val="20"/>
          <w:szCs w:val="20"/>
        </w:rPr>
      </w:pPr>
      <w:hyperlink r:id="rId35" w:history="1">
        <w:r w:rsidR="00E777A0" w:rsidRPr="00B77592">
          <w:rPr>
            <w:rStyle w:val="Collegamentoipertestuale"/>
            <w:rFonts w:ascii="Arial" w:hAnsi="Arial" w:cs="Arial"/>
            <w:sz w:val="20"/>
            <w:szCs w:val="20"/>
          </w:rPr>
          <w:t>Commercio estero e prezzi all’import</w:t>
        </w:r>
      </w:hyperlink>
    </w:p>
    <w:p w14:paraId="6D72B7FF" w14:textId="77777777" w:rsidR="00A651E1" w:rsidRPr="00B77592" w:rsidRDefault="00AD4825">
      <w:pPr>
        <w:pStyle w:val="Paragrafoelenco"/>
        <w:numPr>
          <w:ilvl w:val="0"/>
          <w:numId w:val="24"/>
        </w:numPr>
        <w:spacing w:after="120"/>
        <w:ind w:left="426" w:hanging="426"/>
        <w:jc w:val="both"/>
        <w:rPr>
          <w:rFonts w:ascii="Arial" w:hAnsi="Arial" w:cs="Arial"/>
          <w:sz w:val="20"/>
          <w:szCs w:val="20"/>
        </w:rPr>
      </w:pPr>
      <w:hyperlink r:id="rId36" w:history="1">
        <w:r w:rsidR="00E777A0" w:rsidRPr="00B77592">
          <w:rPr>
            <w:rStyle w:val="Collegamentoipertestuale"/>
            <w:rFonts w:ascii="Arial" w:hAnsi="Arial" w:cs="Arial"/>
            <w:sz w:val="20"/>
            <w:szCs w:val="20"/>
          </w:rPr>
          <w:t>Commercio estero con i paesi extra UE</w:t>
        </w:r>
      </w:hyperlink>
    </w:p>
    <w:p w14:paraId="6509AC5E" w14:textId="77777777" w:rsidR="00A651E1" w:rsidRPr="00B77592" w:rsidRDefault="00AD4825">
      <w:pPr>
        <w:pStyle w:val="Paragrafoelenco"/>
        <w:numPr>
          <w:ilvl w:val="0"/>
          <w:numId w:val="24"/>
        </w:numPr>
        <w:spacing w:after="120"/>
        <w:ind w:left="426" w:hanging="426"/>
        <w:jc w:val="both"/>
        <w:rPr>
          <w:rFonts w:ascii="Arial" w:hAnsi="Arial" w:cs="Arial"/>
          <w:sz w:val="20"/>
          <w:szCs w:val="20"/>
        </w:rPr>
      </w:pPr>
      <w:hyperlink r:id="rId37" w:history="1">
        <w:r w:rsidR="00E777A0" w:rsidRPr="00B77592">
          <w:rPr>
            <w:rStyle w:val="Collegamentoipertestuale"/>
            <w:rFonts w:ascii="Arial" w:hAnsi="Arial" w:cs="Arial"/>
            <w:sz w:val="20"/>
            <w:szCs w:val="20"/>
          </w:rPr>
          <w:t>Le esportazioni delle regioni italiane</w:t>
        </w:r>
      </w:hyperlink>
    </w:p>
    <w:p w14:paraId="3F26805E" w14:textId="77777777" w:rsidR="009E5E77" w:rsidRPr="006E372E" w:rsidRDefault="009E5E77" w:rsidP="00FA1CF6">
      <w:pPr>
        <w:jc w:val="both"/>
        <w:rPr>
          <w:rFonts w:ascii="Arial" w:hAnsi="Arial" w:cs="Arial"/>
          <w:sz w:val="10"/>
          <w:szCs w:val="10"/>
        </w:rPr>
      </w:pPr>
    </w:p>
    <w:p w14:paraId="43177768" w14:textId="5F778592" w:rsidR="00A651E1" w:rsidRPr="00B77592" w:rsidRDefault="00E777A0">
      <w:pPr>
        <w:spacing w:after="120"/>
        <w:jc w:val="both"/>
        <w:rPr>
          <w:rFonts w:ascii="Arial" w:hAnsi="Arial" w:cs="Arial"/>
          <w:sz w:val="20"/>
          <w:szCs w:val="20"/>
        </w:rPr>
      </w:pPr>
      <w:r w:rsidRPr="00B77592">
        <w:rPr>
          <w:rFonts w:ascii="Arial" w:hAnsi="Arial" w:cs="Arial"/>
          <w:sz w:val="20"/>
          <w:szCs w:val="20"/>
        </w:rPr>
        <w:t>Altri link utili:</w:t>
      </w:r>
    </w:p>
    <w:p w14:paraId="764CA1C7" w14:textId="7BDF2A6B" w:rsidR="00A651E1" w:rsidRDefault="00AD4825">
      <w:pPr>
        <w:spacing w:after="120"/>
        <w:jc w:val="both"/>
        <w:rPr>
          <w:rFonts w:ascii="Arial" w:hAnsi="Arial" w:cs="Arial"/>
          <w:sz w:val="20"/>
          <w:szCs w:val="20"/>
        </w:rPr>
      </w:pPr>
      <w:hyperlink r:id="rId38" w:history="1">
        <w:r w:rsidR="00E777A0" w:rsidRPr="00B77592">
          <w:rPr>
            <w:rStyle w:val="Collegamentoipertestuale"/>
            <w:rFonts w:ascii="Arial" w:hAnsi="Arial" w:cs="Arial"/>
            <w:sz w:val="20"/>
            <w:szCs w:val="20"/>
          </w:rPr>
          <w:t>Nota informativa</w:t>
        </w:r>
      </w:hyperlink>
      <w:r w:rsidR="00E777A0" w:rsidRPr="00B77592">
        <w:rPr>
          <w:rFonts w:ascii="Arial" w:hAnsi="Arial" w:cs="Arial"/>
          <w:sz w:val="20"/>
          <w:szCs w:val="20"/>
        </w:rPr>
        <w:t xml:space="preserve"> sul nuovo sistema di produzione delle statistiche sugli scambi con l’estero di gas naturale ed energia elettrica del 15/11/2011.</w:t>
      </w:r>
    </w:p>
    <w:p w14:paraId="0ECF620C" w14:textId="65D39AC5" w:rsidR="006B4B70" w:rsidRDefault="006B4B70">
      <w:pPr>
        <w:spacing w:after="120"/>
        <w:jc w:val="both"/>
        <w:rPr>
          <w:rFonts w:ascii="Arial" w:hAnsi="Arial" w:cs="Arial"/>
          <w:sz w:val="20"/>
          <w:szCs w:val="20"/>
        </w:rPr>
      </w:pPr>
    </w:p>
    <w:p w14:paraId="01E5657E" w14:textId="7D897BA2" w:rsidR="00F211F7" w:rsidRDefault="00F211F7">
      <w:pPr>
        <w:spacing w:after="120"/>
        <w:jc w:val="both"/>
        <w:rPr>
          <w:rFonts w:ascii="Arial" w:hAnsi="Arial" w:cs="Arial"/>
          <w:sz w:val="20"/>
          <w:szCs w:val="20"/>
        </w:rPr>
      </w:pPr>
    </w:p>
    <w:p w14:paraId="1E58FCCD" w14:textId="77777777" w:rsidR="00F211F7" w:rsidRPr="006E372E" w:rsidRDefault="00F211F7">
      <w:pPr>
        <w:spacing w:after="120"/>
        <w:jc w:val="both"/>
        <w:rPr>
          <w:rFonts w:ascii="Arial" w:hAnsi="Arial" w:cs="Arial"/>
          <w:sz w:val="20"/>
          <w:szCs w:val="20"/>
        </w:rPr>
      </w:pPr>
    </w:p>
    <w:p w14:paraId="7A2A949B" w14:textId="77777777" w:rsidR="006B4B70" w:rsidRPr="00E8033F" w:rsidRDefault="006B4B70">
      <w:pPr>
        <w:spacing w:after="120"/>
        <w:jc w:val="both"/>
        <w:rPr>
          <w:rFonts w:ascii="Arial" w:hAnsi="Arial" w:cs="Arial"/>
          <w:sz w:val="10"/>
          <w:szCs w:val="10"/>
        </w:rPr>
      </w:pPr>
    </w:p>
    <w:p w14:paraId="1AD8D0DB" w14:textId="77777777" w:rsidR="00EF4437" w:rsidRPr="002300D8" w:rsidRDefault="00EF4437" w:rsidP="00EF4437">
      <w:pPr>
        <w:pStyle w:val="NormaleWeb"/>
        <w:spacing w:after="120"/>
        <w:rPr>
          <w:rFonts w:ascii="Arial" w:hAnsi="Arial" w:cs="Arial"/>
          <w:color w:val="CD242F"/>
          <w:sz w:val="36"/>
          <w:szCs w:val="36"/>
        </w:rPr>
      </w:pPr>
      <w:r w:rsidRPr="002300D8">
        <w:rPr>
          <w:rFonts w:ascii="Arial" w:hAnsi="Arial" w:cs="Arial"/>
          <w:bCs/>
          <w:color w:val="CD242F"/>
          <w:sz w:val="36"/>
          <w:szCs w:val="36"/>
        </w:rPr>
        <w:t>Per chiarimenti tecnici e metodologici</w:t>
      </w:r>
    </w:p>
    <w:tbl>
      <w:tblPr>
        <w:tblW w:w="4851" w:type="dxa"/>
        <w:tblBorders>
          <w:top w:val="dotted" w:sz="4" w:space="0" w:color="808080"/>
        </w:tblBorders>
        <w:tblLook w:val="04A0" w:firstRow="1" w:lastRow="0" w:firstColumn="1" w:lastColumn="0" w:noHBand="0" w:noVBand="1"/>
      </w:tblPr>
      <w:tblGrid>
        <w:gridCol w:w="4851"/>
      </w:tblGrid>
      <w:tr w:rsidR="00EF4437" w:rsidRPr="00E655EB" w14:paraId="6AC85FE4" w14:textId="77777777" w:rsidTr="0066317D">
        <w:trPr>
          <w:trHeight w:val="1134"/>
        </w:trPr>
        <w:tc>
          <w:tcPr>
            <w:tcW w:w="4851" w:type="dxa"/>
            <w:shd w:val="clear" w:color="auto" w:fill="auto"/>
            <w:tcMar>
              <w:top w:w="170" w:type="dxa"/>
              <w:left w:w="0" w:type="dxa"/>
              <w:right w:w="0" w:type="dxa"/>
            </w:tcMar>
          </w:tcPr>
          <w:p w14:paraId="0AD12DD7" w14:textId="77777777" w:rsidR="00EF4437" w:rsidRPr="00E655EB" w:rsidRDefault="00EF4437" w:rsidP="0066317D">
            <w:pPr>
              <w:pStyle w:val="NormaleWeb"/>
              <w:spacing w:after="120"/>
              <w:rPr>
                <w:rFonts w:ascii="Arial" w:hAnsi="Arial" w:cs="Arial"/>
                <w:b/>
                <w:bCs/>
                <w:color w:val="CD242F"/>
                <w:sz w:val="22"/>
                <w:szCs w:val="22"/>
              </w:rPr>
            </w:pPr>
            <w:r>
              <w:rPr>
                <w:rFonts w:ascii="Arial" w:hAnsi="Arial" w:cs="Arial"/>
                <w:b/>
                <w:bCs/>
                <w:color w:val="CD242F"/>
                <w:sz w:val="22"/>
                <w:szCs w:val="22"/>
              </w:rPr>
              <w:t>Mirella Morrone</w:t>
            </w:r>
          </w:p>
          <w:p w14:paraId="15D84123" w14:textId="77777777" w:rsidR="00EF4437" w:rsidRPr="00E655EB" w:rsidRDefault="00EF4437" w:rsidP="0066317D">
            <w:pPr>
              <w:pStyle w:val="NormaleWeb"/>
              <w:rPr>
                <w:rFonts w:ascii="Arial" w:hAnsi="Arial" w:cs="Arial"/>
                <w:color w:val="000000"/>
              </w:rPr>
            </w:pPr>
            <w:r>
              <w:rPr>
                <w:rFonts w:ascii="Arial" w:hAnsi="Arial" w:cs="Arial"/>
                <w:color w:val="000000"/>
              </w:rPr>
              <w:t xml:space="preserve">tel. +39 </w:t>
            </w:r>
            <w:r w:rsidRPr="00E655EB">
              <w:rPr>
                <w:rFonts w:ascii="Arial" w:hAnsi="Arial" w:cs="Arial"/>
                <w:color w:val="000000"/>
              </w:rPr>
              <w:t>06 4673.</w:t>
            </w:r>
            <w:r>
              <w:rPr>
                <w:rFonts w:ascii="Arial" w:hAnsi="Arial" w:cs="Arial"/>
                <w:color w:val="000000"/>
              </w:rPr>
              <w:t>6353</w:t>
            </w:r>
          </w:p>
          <w:p w14:paraId="24479FC0" w14:textId="77777777" w:rsidR="00EF4437" w:rsidRPr="00E655EB" w:rsidRDefault="00AD4825" w:rsidP="0066317D">
            <w:pPr>
              <w:pStyle w:val="NormaleWeb"/>
              <w:spacing w:after="120"/>
              <w:rPr>
                <w:rFonts w:ascii="Arial" w:hAnsi="Arial" w:cs="Arial"/>
                <w:color w:val="000000"/>
              </w:rPr>
            </w:pPr>
            <w:hyperlink r:id="rId39" w:history="1">
              <w:r w:rsidR="00EF4437" w:rsidRPr="003E2D10">
                <w:rPr>
                  <w:rStyle w:val="Collegamentoipertestuale"/>
                  <w:rFonts w:ascii="Arial" w:hAnsi="Arial" w:cs="Arial"/>
                </w:rPr>
                <w:t>mimorron@istat.it</w:t>
              </w:r>
            </w:hyperlink>
          </w:p>
        </w:tc>
      </w:tr>
    </w:tbl>
    <w:p w14:paraId="2413912F" w14:textId="373BC15B" w:rsidR="00EF4437" w:rsidRPr="00B77592" w:rsidRDefault="00EF4437">
      <w:pPr>
        <w:spacing w:after="120"/>
        <w:jc w:val="both"/>
        <w:rPr>
          <w:rFonts w:ascii="Arial" w:hAnsi="Arial" w:cs="Arial"/>
          <w:sz w:val="20"/>
          <w:szCs w:val="20"/>
        </w:rPr>
      </w:pPr>
    </w:p>
    <w:sectPr w:rsidR="00EF4437" w:rsidRPr="00B77592" w:rsidSect="008C286E">
      <w:headerReference w:type="default" r:id="rId40"/>
      <w:pgSz w:w="11907" w:h="16840"/>
      <w:pgMar w:top="567" w:right="851" w:bottom="680"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F036" w14:textId="77777777" w:rsidR="00AD4825" w:rsidRDefault="00AD4825">
      <w:r>
        <w:separator/>
      </w:r>
    </w:p>
  </w:endnote>
  <w:endnote w:type="continuationSeparator" w:id="0">
    <w:p w14:paraId="7C432346" w14:textId="77777777" w:rsidR="00AD4825" w:rsidRDefault="00AD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imes-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MT">
    <w:altName w:val="Times New Roman"/>
    <w:panose1 w:val="020B0604020202020204"/>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4B51" w14:textId="77777777" w:rsidR="001E7FE4" w:rsidRDefault="001E7FE4">
    <w:pPr>
      <w:pStyle w:val="Pidipagina"/>
      <w:ind w:left="1560"/>
      <w:rPr>
        <w:rFonts w:ascii="Calibri" w:hAnsi="Calibri"/>
      </w:rPr>
    </w:pPr>
  </w:p>
  <w:p w14:paraId="26295BD0" w14:textId="1F4AB738" w:rsidR="001E7FE4" w:rsidRDefault="001E7FE4">
    <w:pPr>
      <w:pStyle w:val="Pidipagina"/>
      <w:ind w:left="1560"/>
    </w:pPr>
    <w:r w:rsidRPr="00826A5F">
      <w:rPr>
        <w:rFonts w:ascii="Calibri" w:hAnsi="Calibri"/>
        <w:b/>
        <w:noProof/>
        <w:color w:val="E42618"/>
        <w:szCs w:val="28"/>
      </w:rPr>
      <w:drawing>
        <wp:anchor distT="0" distB="0" distL="114300" distR="114300" simplePos="0" relativeHeight="251655680" behindDoc="0" locked="0" layoutInCell="1" allowOverlap="1" wp14:anchorId="74874337" wp14:editId="042A7977">
          <wp:simplePos x="0" y="0"/>
          <wp:positionH relativeFrom="column">
            <wp:posOffset>13335</wp:posOffset>
          </wp:positionH>
          <wp:positionV relativeFrom="paragraph">
            <wp:posOffset>-107950</wp:posOffset>
          </wp:positionV>
          <wp:extent cx="943610" cy="390525"/>
          <wp:effectExtent l="0" t="0" r="8890" b="9525"/>
          <wp:wrapNone/>
          <wp:docPr id="27" name="Immagine 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anchor>
      </w:drawing>
    </w:r>
    <w:r w:rsidRPr="00826A5F">
      <w:rPr>
        <w:rStyle w:val="Numeropagina"/>
        <w:rFonts w:ascii="Calibri" w:hAnsi="Calibri"/>
        <w:b/>
        <w:color w:val="E42618"/>
        <w:szCs w:val="28"/>
      </w:rPr>
      <w:t>|</w:t>
    </w:r>
    <w:r w:rsidRPr="00826A5F">
      <w:rPr>
        <w:rStyle w:val="Numeropagina"/>
        <w:rFonts w:ascii="Calibri" w:hAnsi="Calibri"/>
        <w:color w:val="E31C18"/>
        <w:szCs w:val="28"/>
      </w:rPr>
      <w:t xml:space="preserve"> </w:t>
    </w:r>
    <w:r w:rsidRPr="00826A5F">
      <w:rPr>
        <w:color w:val="5F5F5F"/>
      </w:rPr>
      <w:fldChar w:fldCharType="begin"/>
    </w:r>
    <w:r w:rsidRPr="00826A5F">
      <w:rPr>
        <w:color w:val="5F5F5F"/>
      </w:rPr>
      <w:instrText>PAGE   \* MERGEFORMAT</w:instrText>
    </w:r>
    <w:r w:rsidRPr="00826A5F">
      <w:rPr>
        <w:color w:val="5F5F5F"/>
      </w:rPr>
      <w:fldChar w:fldCharType="separate"/>
    </w:r>
    <w:r w:rsidR="00CD1632" w:rsidRPr="00CD1632">
      <w:rPr>
        <w:rFonts w:ascii="Calibri" w:hAnsi="Calibri"/>
        <w:noProof/>
        <w:color w:val="5F5F5F"/>
      </w:rPr>
      <w:t>2</w:t>
    </w:r>
    <w:r w:rsidRPr="00826A5F">
      <w:rPr>
        <w:color w:val="5F5F5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25A57" w14:textId="77777777" w:rsidR="00AD4825" w:rsidRDefault="00AD4825">
      <w:r>
        <w:separator/>
      </w:r>
    </w:p>
  </w:footnote>
  <w:footnote w:type="continuationSeparator" w:id="0">
    <w:p w14:paraId="7EB073BD" w14:textId="77777777" w:rsidR="00AD4825" w:rsidRDefault="00AD4825">
      <w:r>
        <w:continuationSeparator/>
      </w:r>
    </w:p>
  </w:footnote>
  <w:footnote w:id="1">
    <w:p w14:paraId="2E81767E" w14:textId="6E5AF7C7" w:rsidR="00B10BC9" w:rsidRPr="006F2EB6" w:rsidRDefault="00B10BC9" w:rsidP="00B10BC9">
      <w:pPr>
        <w:pStyle w:val="Testonotaapidipagina"/>
        <w:jc w:val="both"/>
        <w:rPr>
          <w:rFonts w:ascii="Arial" w:hAnsi="Arial" w:cs="Arial"/>
          <w:sz w:val="16"/>
          <w:szCs w:val="16"/>
        </w:rPr>
      </w:pPr>
      <w:r w:rsidRPr="006F2EB6">
        <w:rPr>
          <w:rStyle w:val="Rimandonotaapidipagina"/>
          <w:rFonts w:ascii="Arial" w:hAnsi="Arial" w:cs="Arial"/>
          <w:sz w:val="16"/>
          <w:szCs w:val="16"/>
        </w:rPr>
        <w:footnoteRef/>
      </w:r>
      <w:r w:rsidRPr="006F2EB6">
        <w:rPr>
          <w:rFonts w:ascii="Arial" w:hAnsi="Arial" w:cs="Arial"/>
          <w:sz w:val="16"/>
          <w:szCs w:val="16"/>
        </w:rPr>
        <w:t xml:space="preserve"> </w:t>
      </w:r>
      <w:r w:rsidRPr="001A34E1">
        <w:rPr>
          <w:rFonts w:ascii="Arial" w:hAnsi="Arial" w:cs="Arial"/>
          <w:sz w:val="16"/>
          <w:szCs w:val="16"/>
        </w:rPr>
        <w:t>Come spiegato nella Nota metodologica</w:t>
      </w:r>
      <w:r>
        <w:rPr>
          <w:rFonts w:ascii="Arial" w:hAnsi="Arial" w:cs="Arial"/>
          <w:sz w:val="16"/>
          <w:szCs w:val="16"/>
        </w:rPr>
        <w:t xml:space="preserve"> (pag. 7)</w:t>
      </w:r>
      <w:r w:rsidRPr="001A34E1">
        <w:rPr>
          <w:rFonts w:ascii="Arial" w:hAnsi="Arial" w:cs="Arial"/>
          <w:sz w:val="16"/>
          <w:szCs w:val="16"/>
        </w:rPr>
        <w:t xml:space="preserve">, i valori preliminari extra Ue27 incorporano i dati di interscambio del Regno Unito, relativi alla Gran Bretagna mentre non includono i dati dell’Irlanda del Nord. Questi </w:t>
      </w:r>
      <w:r>
        <w:rPr>
          <w:rFonts w:ascii="Arial" w:hAnsi="Arial" w:cs="Arial"/>
          <w:sz w:val="16"/>
          <w:szCs w:val="16"/>
        </w:rPr>
        <w:t>saranno</w:t>
      </w:r>
      <w:r w:rsidRPr="001A34E1">
        <w:rPr>
          <w:rFonts w:ascii="Arial" w:hAnsi="Arial" w:cs="Arial"/>
          <w:sz w:val="16"/>
          <w:szCs w:val="16"/>
        </w:rPr>
        <w:t xml:space="preserve"> inclusi nei dati di commercio estero extra Ue27 in occasione della prima revisione </w:t>
      </w:r>
      <w:r>
        <w:rPr>
          <w:rFonts w:ascii="Arial" w:hAnsi="Arial" w:cs="Arial"/>
          <w:sz w:val="16"/>
          <w:szCs w:val="16"/>
        </w:rPr>
        <w:t xml:space="preserve">effettuata </w:t>
      </w:r>
      <w:r w:rsidRPr="001A34E1">
        <w:rPr>
          <w:rFonts w:ascii="Arial" w:hAnsi="Arial" w:cs="Arial"/>
          <w:sz w:val="16"/>
          <w:szCs w:val="16"/>
        </w:rPr>
        <w:t>nel mese successivo</w:t>
      </w:r>
      <w:r>
        <w:rPr>
          <w:rFonts w:ascii="Arial" w:hAnsi="Arial" w:cs="Arial"/>
          <w:sz w:val="16"/>
          <w:szCs w:val="16"/>
        </w:rPr>
        <w:t xml:space="preserve">, con </w:t>
      </w:r>
      <w:r w:rsidRPr="001A34E1">
        <w:rPr>
          <w:rFonts w:ascii="Arial" w:hAnsi="Arial" w:cs="Arial"/>
          <w:sz w:val="16"/>
          <w:szCs w:val="16"/>
        </w:rPr>
        <w:t>diffusione nel Comunicato Stampa Commercio con l’estero e prezzi all’import.</w:t>
      </w:r>
      <w:r w:rsidR="00884E96">
        <w:rPr>
          <w:rFonts w:ascii="Arial" w:hAnsi="Arial" w:cs="Arial"/>
          <w:sz w:val="16"/>
          <w:szCs w:val="16"/>
        </w:rPr>
        <w:t xml:space="preserve"> </w:t>
      </w:r>
    </w:p>
  </w:footnote>
  <w:footnote w:id="2">
    <w:p w14:paraId="21CF98DB" w14:textId="63F3EC09" w:rsidR="00F211F7" w:rsidRDefault="00F211F7" w:rsidP="00F211F7">
      <w:pPr>
        <w:pStyle w:val="Testonotaapidipagina"/>
        <w:rPr>
          <w:rFonts w:ascii="Arial" w:hAnsi="Arial" w:cs="Arial"/>
          <w:sz w:val="16"/>
        </w:rPr>
      </w:pPr>
      <w:r>
        <w:rPr>
          <w:rStyle w:val="Rimandonotaapidipagina"/>
          <w:rFonts w:ascii="Arial" w:hAnsi="Arial" w:cs="Arial"/>
          <w:sz w:val="16"/>
        </w:rPr>
        <w:footnoteRef/>
      </w:r>
      <w:r>
        <w:rPr>
          <w:rFonts w:ascii="Arial" w:hAnsi="Arial" w:cs="Arial"/>
          <w:sz w:val="16"/>
        </w:rPr>
        <w:t xml:space="preserve"> Le fonti utilizzate sono le seguenti: Terna S.p.</w:t>
      </w:r>
      <w:r w:rsidR="00C506C2">
        <w:rPr>
          <w:rFonts w:ascii="Arial" w:hAnsi="Arial" w:cs="Arial"/>
          <w:sz w:val="16"/>
        </w:rPr>
        <w:t>a</w:t>
      </w:r>
      <w:r>
        <w:rPr>
          <w:rFonts w:ascii="Arial" w:hAnsi="Arial" w:cs="Arial"/>
          <w:sz w:val="16"/>
        </w:rPr>
        <w:t xml:space="preserve">., Borse elettriche europee, Snam Rete Gas </w:t>
      </w:r>
      <w:r w:rsidR="00C506C2">
        <w:rPr>
          <w:rFonts w:ascii="Arial" w:hAnsi="Arial" w:cs="Arial"/>
          <w:sz w:val="16"/>
        </w:rPr>
        <w:t>S.p.a.</w:t>
      </w:r>
      <w:r>
        <w:rPr>
          <w:rFonts w:ascii="Arial" w:hAnsi="Arial" w:cs="Arial"/>
          <w:sz w:val="16"/>
        </w:rPr>
        <w:t>, Ministero dello Sviluppo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E546" w14:textId="617B9E2F" w:rsidR="001E7FE4" w:rsidRDefault="001E7FE4" w:rsidP="00962644">
    <w:pPr>
      <w:pStyle w:val="Intestazione"/>
      <w:rPr>
        <w:sz w:val="20"/>
        <w:szCs w:val="20"/>
      </w:rPr>
    </w:pPr>
    <w:r>
      <w:rPr>
        <w:noProof/>
      </w:rPr>
      <w:drawing>
        <wp:anchor distT="0" distB="0" distL="114300" distR="114300" simplePos="0" relativeHeight="251664896" behindDoc="1" locked="0" layoutInCell="1" allowOverlap="1" wp14:anchorId="42C0592D" wp14:editId="3E6AC938">
          <wp:simplePos x="0" y="0"/>
          <wp:positionH relativeFrom="column">
            <wp:posOffset>12065</wp:posOffset>
          </wp:positionH>
          <wp:positionV relativeFrom="paragraph">
            <wp:posOffset>-142240</wp:posOffset>
          </wp:positionV>
          <wp:extent cx="5343525" cy="1137920"/>
          <wp:effectExtent l="0" t="0" r="9525" b="5080"/>
          <wp:wrapNone/>
          <wp:docPr id="6" name="Immagine 6" descr="iconeComunicatiRoss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coneComunicatiRosso-01"/>
                  <pic:cNvPicPr>
                    <a:picLocks noChangeArrowheads="1"/>
                  </pic:cNvPicPr>
                </pic:nvPicPr>
                <pic:blipFill>
                  <a:blip r:embed="rId1">
                    <a:extLst>
                      <a:ext uri="{28A0092B-C50C-407E-A947-70E740481C1C}">
                        <a14:useLocalDpi xmlns:a14="http://schemas.microsoft.com/office/drawing/2010/main" val="0"/>
                      </a:ext>
                    </a:extLst>
                  </a:blip>
                  <a:srcRect l="5" t="-12706" r="16052" b="7286"/>
                  <a:stretch>
                    <a:fillRect/>
                  </a:stretch>
                </pic:blipFill>
                <pic:spPr bwMode="auto">
                  <a:xfrm>
                    <a:off x="0" y="0"/>
                    <a:ext cx="5343525" cy="11379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14:anchorId="2C3683BB" wp14:editId="536A3534">
              <wp:simplePos x="0" y="0"/>
              <wp:positionH relativeFrom="column">
                <wp:posOffset>5434965</wp:posOffset>
              </wp:positionH>
              <wp:positionV relativeFrom="paragraph">
                <wp:posOffset>363855</wp:posOffset>
              </wp:positionV>
              <wp:extent cx="994410" cy="701675"/>
              <wp:effectExtent l="0" t="0" r="0" b="317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701675"/>
                      </a:xfrm>
                      <a:prstGeom prst="rect">
                        <a:avLst/>
                      </a:prstGeom>
                      <a:solidFill>
                        <a:sysClr val="window" lastClr="FFFFFF"/>
                      </a:solidFill>
                      <a:ln w="6350">
                        <a:noFill/>
                      </a:ln>
                    </wps:spPr>
                    <wps:txbx>
                      <w:txbxContent>
                        <w:p w14:paraId="2CD45D4F" w14:textId="77777777" w:rsidR="001E7FE4" w:rsidRPr="004342C5" w:rsidRDefault="001E7FE4" w:rsidP="00962644">
                          <w:pPr>
                            <w:spacing w:after="120" w:line="180" w:lineRule="exact"/>
                            <w:rPr>
                              <w:rFonts w:ascii="Arial Narrow" w:hAnsi="Arial Narrow"/>
                              <w:sz w:val="18"/>
                              <w:szCs w:val="18"/>
                            </w:rPr>
                          </w:pPr>
                          <w:r w:rsidRPr="004342C5">
                            <w:rPr>
                              <w:rFonts w:ascii="Arial Narrow" w:hAnsi="Arial Narrow"/>
                              <w:sz w:val="18"/>
                              <w:szCs w:val="18"/>
                            </w:rPr>
                            <w:t>http://www.istat.it</w:t>
                          </w:r>
                        </w:p>
                        <w:p w14:paraId="6A0C6980" w14:textId="77777777" w:rsidR="001E7FE4" w:rsidRDefault="001E7FE4" w:rsidP="00962644">
                          <w:pPr>
                            <w:spacing w:after="120" w:line="180" w:lineRule="exact"/>
                            <w:rPr>
                              <w:rFonts w:ascii="Arial Narrow" w:hAnsi="Arial Narrow"/>
                              <w:b/>
                              <w:bCs/>
                              <w:sz w:val="18"/>
                              <w:szCs w:val="18"/>
                              <w:lang w:val="en-US"/>
                            </w:rPr>
                          </w:pPr>
                          <w:r w:rsidRPr="004342C5">
                            <w:rPr>
                              <w:rFonts w:ascii="Arial Narrow" w:hAnsi="Arial Narrow"/>
                              <w:b/>
                              <w:bCs/>
                              <w:sz w:val="18"/>
                              <w:szCs w:val="18"/>
                            </w:rPr>
                            <w:t>Ufficio Stampa</w:t>
                          </w:r>
                          <w:r w:rsidRPr="004342C5">
                            <w:rPr>
                              <w:rFonts w:ascii="Arial Narrow" w:hAnsi="Arial Narrow"/>
                              <w:b/>
                              <w:bCs/>
                              <w:sz w:val="18"/>
                              <w:szCs w:val="18"/>
                            </w:rPr>
                            <w:br/>
                          </w:r>
                          <w:r w:rsidRPr="004342C5">
                            <w:rPr>
                              <w:rFonts w:ascii="Arial Narrow" w:hAnsi="Arial Narrow"/>
                              <w:sz w:val="18"/>
                              <w:szCs w:val="18"/>
                            </w:rPr>
                            <w:t xml:space="preserve">tel. </w:t>
                          </w:r>
                          <w:r>
                            <w:rPr>
                              <w:rFonts w:ascii="Arial Narrow" w:hAnsi="Arial Narrow"/>
                              <w:sz w:val="18"/>
                              <w:szCs w:val="18"/>
                              <w:lang w:val="en-US"/>
                            </w:rPr>
                            <w:t>+39 06 4673.2243/4</w:t>
                          </w:r>
                        </w:p>
                        <w:p w14:paraId="7938507A" w14:textId="77777777" w:rsidR="001E7FE4" w:rsidRDefault="001E7FE4" w:rsidP="00962644">
                          <w:pPr>
                            <w:spacing w:after="120" w:line="180" w:lineRule="exact"/>
                            <w:rPr>
                              <w:rFonts w:ascii="Arial Narrow" w:hAnsi="Arial Narrow"/>
                              <w:b/>
                              <w:bCs/>
                              <w:color w:val="7F7F7F"/>
                              <w:sz w:val="18"/>
                              <w:szCs w:val="18"/>
                              <w:lang w:val="en-US"/>
                            </w:rPr>
                          </w:pPr>
                          <w:r>
                            <w:rPr>
                              <w:rFonts w:ascii="Arial Narrow" w:hAnsi="Arial Narrow"/>
                              <w:b/>
                              <w:bCs/>
                              <w:color w:val="7F7F7F"/>
                              <w:sz w:val="18"/>
                              <w:szCs w:val="18"/>
                              <w:lang w:val="en-US"/>
                            </w:rPr>
                            <w:t>ufficiostampa@istat.it</w:t>
                          </w:r>
                        </w:p>
                        <w:p w14:paraId="007457A1" w14:textId="77777777" w:rsidR="001E7FE4" w:rsidRDefault="001E7FE4" w:rsidP="00962644">
                          <w:pPr>
                            <w:rPr>
                              <w:rFonts w:ascii="Arial Narrow" w:hAnsi="Arial Narrow"/>
                              <w:b/>
                              <w:bCs/>
                              <w:color w:val="7F7F7F"/>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683BB" id="_x0000_t202" coordsize="21600,21600" o:spt="202" path="m,l,21600r21600,l21600,xe">
              <v:stroke joinstyle="miter"/>
              <v:path gradientshapeok="t" o:connecttype="rect"/>
            </v:shapetype>
            <v:shape id="Casella di testo 36" o:spid="_x0000_s1027" type="#_x0000_t202" style="position:absolute;margin-left:427.95pt;margin-top:28.65pt;width:78.3pt;height:5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" fillcolor="window" stroked="f" strokeweight=".5pt">
              <v:path arrowok="t"/>
              <v:textbox inset="0,0,0,0">
                <w:txbxContent>
                  <w:p w14:paraId="2CD45D4F" w14:textId="77777777" w:rsidR="001E7FE4" w:rsidRPr="004342C5" w:rsidRDefault="001E7FE4" w:rsidP="00962644">
                    <w:pPr>
                      <w:spacing w:after="120" w:line="180" w:lineRule="exact"/>
                      <w:rPr>
                        <w:rFonts w:ascii="Arial Narrow" w:hAnsi="Arial Narrow"/>
                        <w:sz w:val="18"/>
                        <w:szCs w:val="18"/>
                      </w:rPr>
                    </w:pPr>
                    <w:r w:rsidRPr="004342C5">
                      <w:rPr>
                        <w:rFonts w:ascii="Arial Narrow" w:hAnsi="Arial Narrow"/>
                        <w:sz w:val="18"/>
                        <w:szCs w:val="18"/>
                      </w:rPr>
                      <w:t>http://www.istat.it</w:t>
                    </w:r>
                  </w:p>
                  <w:p w14:paraId="6A0C6980" w14:textId="77777777" w:rsidR="001E7FE4" w:rsidRDefault="001E7FE4" w:rsidP="00962644">
                    <w:pPr>
                      <w:spacing w:after="120" w:line="180" w:lineRule="exact"/>
                      <w:rPr>
                        <w:rFonts w:ascii="Arial Narrow" w:hAnsi="Arial Narrow"/>
                        <w:b/>
                        <w:bCs/>
                        <w:sz w:val="18"/>
                        <w:szCs w:val="18"/>
                        <w:lang w:val="en-US"/>
                      </w:rPr>
                    </w:pPr>
                    <w:r w:rsidRPr="004342C5">
                      <w:rPr>
                        <w:rFonts w:ascii="Arial Narrow" w:hAnsi="Arial Narrow"/>
                        <w:b/>
                        <w:bCs/>
                        <w:sz w:val="18"/>
                        <w:szCs w:val="18"/>
                      </w:rPr>
                      <w:t>Ufficio Stampa</w:t>
                    </w:r>
                    <w:r w:rsidRPr="004342C5">
                      <w:rPr>
                        <w:rFonts w:ascii="Arial Narrow" w:hAnsi="Arial Narrow"/>
                        <w:b/>
                        <w:bCs/>
                        <w:sz w:val="18"/>
                        <w:szCs w:val="18"/>
                      </w:rPr>
                      <w:br/>
                    </w:r>
                    <w:r w:rsidRPr="004342C5">
                      <w:rPr>
                        <w:rFonts w:ascii="Arial Narrow" w:hAnsi="Arial Narrow"/>
                        <w:sz w:val="18"/>
                        <w:szCs w:val="18"/>
                      </w:rPr>
                      <w:t xml:space="preserve">tel. </w:t>
                    </w:r>
                    <w:r>
                      <w:rPr>
                        <w:rFonts w:ascii="Arial Narrow" w:hAnsi="Arial Narrow"/>
                        <w:sz w:val="18"/>
                        <w:szCs w:val="18"/>
                        <w:lang w:val="en-US"/>
                      </w:rPr>
                      <w:t>+39 06 4673.2243/4</w:t>
                    </w:r>
                  </w:p>
                  <w:p w14:paraId="7938507A" w14:textId="77777777" w:rsidR="001E7FE4" w:rsidRDefault="001E7FE4" w:rsidP="00962644">
                    <w:pPr>
                      <w:spacing w:after="120" w:line="180" w:lineRule="exact"/>
                      <w:rPr>
                        <w:rFonts w:ascii="Arial Narrow" w:hAnsi="Arial Narrow"/>
                        <w:b/>
                        <w:bCs/>
                        <w:color w:val="7F7F7F"/>
                        <w:sz w:val="18"/>
                        <w:szCs w:val="18"/>
                        <w:lang w:val="en-US"/>
                      </w:rPr>
                    </w:pPr>
                    <w:r>
                      <w:rPr>
                        <w:rFonts w:ascii="Arial Narrow" w:hAnsi="Arial Narrow"/>
                        <w:b/>
                        <w:bCs/>
                        <w:color w:val="7F7F7F"/>
                        <w:sz w:val="18"/>
                        <w:szCs w:val="18"/>
                        <w:lang w:val="en-US"/>
                      </w:rPr>
                      <w:t>ufficiostampa@istat.it</w:t>
                    </w:r>
                  </w:p>
                  <w:p w14:paraId="007457A1" w14:textId="77777777" w:rsidR="001E7FE4" w:rsidRDefault="001E7FE4" w:rsidP="00962644">
                    <w:pPr>
                      <w:rPr>
                        <w:rFonts w:ascii="Arial Narrow" w:hAnsi="Arial Narrow"/>
                        <w:b/>
                        <w:bCs/>
                        <w:color w:val="7F7F7F"/>
                        <w:sz w:val="18"/>
                        <w:szCs w:val="18"/>
                        <w:lang w:val="en-US"/>
                      </w:rPr>
                    </w:pPr>
                  </w:p>
                </w:txbxContent>
              </v:textbox>
            </v:shape>
          </w:pict>
        </mc:Fallback>
      </mc:AlternateContent>
    </w:r>
    <w:r>
      <w:rPr>
        <w:noProof/>
      </w:rPr>
      <mc:AlternateContent>
        <mc:Choice Requires="wps">
          <w:drawing>
            <wp:anchor distT="4294967295" distB="4294967295" distL="114300" distR="114300" simplePos="0" relativeHeight="251663872" behindDoc="0" locked="0" layoutInCell="1" allowOverlap="1" wp14:anchorId="3C735DAC" wp14:editId="30DD5E16">
              <wp:simplePos x="0" y="0"/>
              <wp:positionH relativeFrom="column">
                <wp:posOffset>0</wp:posOffset>
              </wp:positionH>
              <wp:positionV relativeFrom="paragraph">
                <wp:posOffset>1082039</wp:posOffset>
              </wp:positionV>
              <wp:extent cx="6414770" cy="0"/>
              <wp:effectExtent l="0" t="0" r="24130" b="19050"/>
              <wp:wrapNone/>
              <wp:docPr id="37" name="Connettore dirit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4770" cy="0"/>
                      </a:xfrm>
                      <a:prstGeom prst="line">
                        <a:avLst/>
                      </a:prstGeom>
                      <a:noFill/>
                      <a:ln w="952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w:pict>
            <v:line w14:anchorId="4D9D8FDB" id="Connettore diritto 37"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5.2pt" to="505.1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" strokecolor="#7f7f7f">
              <v:stroke joinstyle="miter"/>
              <o:lock v:ext="edit" shapetype="f"/>
            </v:line>
          </w:pict>
        </mc:Fallback>
      </mc:AlternateContent>
    </w:r>
  </w:p>
  <w:p w14:paraId="7EA54556" w14:textId="5E705088" w:rsidR="001E7FE4" w:rsidRDefault="001E7FE4" w:rsidP="00962644">
    <w:pPr>
      <w:pStyle w:val="Intestazione"/>
    </w:pPr>
    <w:r>
      <w:rPr>
        <w:noProof/>
      </w:rPr>
      <mc:AlternateContent>
        <mc:Choice Requires="wps">
          <w:drawing>
            <wp:anchor distT="0" distB="0" distL="114300" distR="114300" simplePos="0" relativeHeight="251660800" behindDoc="0" locked="0" layoutInCell="1" allowOverlap="1" wp14:anchorId="2BB27B9D" wp14:editId="788CBF9C">
              <wp:simplePos x="0" y="0"/>
              <wp:positionH relativeFrom="column">
                <wp:posOffset>4041140</wp:posOffset>
              </wp:positionH>
              <wp:positionV relativeFrom="paragraph">
                <wp:posOffset>73660</wp:posOffset>
              </wp:positionV>
              <wp:extent cx="1228725" cy="285750"/>
              <wp:effectExtent l="0" t="0" r="28575"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85750"/>
                      </a:xfrm>
                      <a:prstGeom prst="rect">
                        <a:avLst/>
                      </a:prstGeom>
                      <a:solidFill>
                        <a:srgbClr val="FFFFFF"/>
                      </a:solidFill>
                      <a:ln w="9525">
                        <a:solidFill>
                          <a:srgbClr val="FFFFFF"/>
                        </a:solidFill>
                        <a:miter lim="800000"/>
                        <a:headEnd/>
                        <a:tailEnd/>
                      </a:ln>
                    </wps:spPr>
                    <wps:txbx>
                      <w:txbxContent>
                        <w:p w14:paraId="50C11F75" w14:textId="0F5C70D5" w:rsidR="001E7FE4" w:rsidRPr="00826A5F" w:rsidRDefault="001E7FE4" w:rsidP="00F45E29">
                          <w:pPr>
                            <w:ind w:left="-142" w:right="-195"/>
                            <w:rPr>
                              <w:rFonts w:ascii="Arial Narrow" w:hAnsi="Arial Narrow"/>
                              <w:b/>
                              <w:color w:val="5F5F5F"/>
                              <w:sz w:val="26"/>
                              <w:szCs w:val="26"/>
                            </w:rPr>
                          </w:pPr>
                          <w:r>
                            <w:rPr>
                              <w:rFonts w:ascii="Arial Narrow" w:hAnsi="Arial Narrow"/>
                              <w:b/>
                              <w:color w:val="5F5F5F"/>
                              <w:sz w:val="26"/>
                              <w:szCs w:val="26"/>
                            </w:rPr>
                            <w:t xml:space="preserve"> </w:t>
                          </w:r>
                          <w:r w:rsidR="00831CA5">
                            <w:rPr>
                              <w:rFonts w:ascii="Arial Narrow" w:hAnsi="Arial Narrow"/>
                              <w:b/>
                              <w:color w:val="0D0D0D" w:themeColor="text1" w:themeTint="F2"/>
                              <w:sz w:val="26"/>
                              <w:szCs w:val="26"/>
                            </w:rPr>
                            <w:t>2</w:t>
                          </w:r>
                          <w:r w:rsidR="0023747B">
                            <w:rPr>
                              <w:rFonts w:ascii="Arial Narrow" w:hAnsi="Arial Narrow"/>
                              <w:b/>
                              <w:color w:val="0D0D0D" w:themeColor="text1" w:themeTint="F2"/>
                              <w:sz w:val="26"/>
                              <w:szCs w:val="26"/>
                            </w:rPr>
                            <w:t>6</w:t>
                          </w:r>
                          <w:r w:rsidRPr="00030F1C">
                            <w:rPr>
                              <w:rFonts w:ascii="Arial Narrow" w:hAnsi="Arial Narrow"/>
                              <w:b/>
                              <w:color w:val="0D0D0D" w:themeColor="text1" w:themeTint="F2"/>
                              <w:sz w:val="26"/>
                              <w:szCs w:val="26"/>
                            </w:rPr>
                            <w:t xml:space="preserve"> </w:t>
                          </w:r>
                          <w:r w:rsidR="0023747B">
                            <w:rPr>
                              <w:rFonts w:ascii="Arial Narrow" w:hAnsi="Arial Narrow"/>
                              <w:b/>
                              <w:color w:val="0D0D0D" w:themeColor="text1" w:themeTint="F2"/>
                              <w:sz w:val="26"/>
                              <w:szCs w:val="26"/>
                            </w:rPr>
                            <w:t>otto</w:t>
                          </w:r>
                          <w:r w:rsidR="005D270B">
                            <w:rPr>
                              <w:rFonts w:ascii="Arial Narrow" w:hAnsi="Arial Narrow"/>
                              <w:b/>
                              <w:color w:val="0D0D0D" w:themeColor="text1" w:themeTint="F2"/>
                              <w:sz w:val="26"/>
                              <w:szCs w:val="26"/>
                            </w:rPr>
                            <w:t>bre</w:t>
                          </w:r>
                          <w:r w:rsidR="00694F75">
                            <w:rPr>
                              <w:rFonts w:ascii="Arial Narrow" w:hAnsi="Arial Narrow"/>
                              <w:b/>
                              <w:color w:val="0D0D0D" w:themeColor="text1" w:themeTint="F2"/>
                              <w:sz w:val="26"/>
                              <w:szCs w:val="26"/>
                            </w:rPr>
                            <w:t xml:space="preserve"> </w:t>
                          </w:r>
                          <w:r w:rsidRPr="00030F1C">
                            <w:rPr>
                              <w:rFonts w:ascii="Arial Narrow" w:hAnsi="Arial Narrow"/>
                              <w:b/>
                              <w:color w:val="0D0D0D" w:themeColor="text1" w:themeTint="F2"/>
                              <w:sz w:val="26"/>
                              <w:szCs w:val="26"/>
                            </w:rPr>
                            <w:t>202</w:t>
                          </w:r>
                          <w:r w:rsidR="00443741">
                            <w:rPr>
                              <w:rFonts w:ascii="Arial Narrow" w:hAnsi="Arial Narrow"/>
                              <w:b/>
                              <w:color w:val="0D0D0D" w:themeColor="text1" w:themeTint="F2"/>
                              <w:sz w:val="26"/>
                              <w:szCs w:val="2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27B9D" id="Text Box 4" o:spid="_x0000_s1028" type="#_x0000_t202" style="position:absolute;margin-left:318.2pt;margin-top:5.8pt;width:96.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" strokecolor="white">
              <v:textbox>
                <w:txbxContent>
                  <w:p w14:paraId="50C11F75" w14:textId="0F5C70D5" w:rsidR="001E7FE4" w:rsidRPr="00826A5F" w:rsidRDefault="001E7FE4" w:rsidP="00F45E29">
                    <w:pPr>
                      <w:ind w:left="-142" w:right="-195"/>
                      <w:rPr>
                        <w:rFonts w:ascii="Arial Narrow" w:hAnsi="Arial Narrow"/>
                        <w:b/>
                        <w:color w:val="5F5F5F"/>
                        <w:sz w:val="26"/>
                        <w:szCs w:val="26"/>
                      </w:rPr>
                    </w:pPr>
                    <w:r>
                      <w:rPr>
                        <w:rFonts w:ascii="Arial Narrow" w:hAnsi="Arial Narrow"/>
                        <w:b/>
                        <w:color w:val="5F5F5F"/>
                        <w:sz w:val="26"/>
                        <w:szCs w:val="26"/>
                      </w:rPr>
                      <w:t xml:space="preserve"> </w:t>
                    </w:r>
                    <w:r w:rsidR="00831CA5">
                      <w:rPr>
                        <w:rFonts w:ascii="Arial Narrow" w:hAnsi="Arial Narrow"/>
                        <w:b/>
                        <w:color w:val="0D0D0D" w:themeColor="text1" w:themeTint="F2"/>
                        <w:sz w:val="26"/>
                        <w:szCs w:val="26"/>
                      </w:rPr>
                      <w:t>2</w:t>
                    </w:r>
                    <w:r w:rsidR="0023747B">
                      <w:rPr>
                        <w:rFonts w:ascii="Arial Narrow" w:hAnsi="Arial Narrow"/>
                        <w:b/>
                        <w:color w:val="0D0D0D" w:themeColor="text1" w:themeTint="F2"/>
                        <w:sz w:val="26"/>
                        <w:szCs w:val="26"/>
                      </w:rPr>
                      <w:t>6</w:t>
                    </w:r>
                    <w:r w:rsidRPr="00030F1C">
                      <w:rPr>
                        <w:rFonts w:ascii="Arial Narrow" w:hAnsi="Arial Narrow"/>
                        <w:b/>
                        <w:color w:val="0D0D0D" w:themeColor="text1" w:themeTint="F2"/>
                        <w:sz w:val="26"/>
                        <w:szCs w:val="26"/>
                      </w:rPr>
                      <w:t xml:space="preserve"> </w:t>
                    </w:r>
                    <w:r w:rsidR="0023747B">
                      <w:rPr>
                        <w:rFonts w:ascii="Arial Narrow" w:hAnsi="Arial Narrow"/>
                        <w:b/>
                        <w:color w:val="0D0D0D" w:themeColor="text1" w:themeTint="F2"/>
                        <w:sz w:val="26"/>
                        <w:szCs w:val="26"/>
                      </w:rPr>
                      <w:t>otto</w:t>
                    </w:r>
                    <w:r w:rsidR="005D270B">
                      <w:rPr>
                        <w:rFonts w:ascii="Arial Narrow" w:hAnsi="Arial Narrow"/>
                        <w:b/>
                        <w:color w:val="0D0D0D" w:themeColor="text1" w:themeTint="F2"/>
                        <w:sz w:val="26"/>
                        <w:szCs w:val="26"/>
                      </w:rPr>
                      <w:t>bre</w:t>
                    </w:r>
                    <w:r w:rsidR="00694F75">
                      <w:rPr>
                        <w:rFonts w:ascii="Arial Narrow" w:hAnsi="Arial Narrow"/>
                        <w:b/>
                        <w:color w:val="0D0D0D" w:themeColor="text1" w:themeTint="F2"/>
                        <w:sz w:val="26"/>
                        <w:szCs w:val="26"/>
                      </w:rPr>
                      <w:t xml:space="preserve"> </w:t>
                    </w:r>
                    <w:r w:rsidRPr="00030F1C">
                      <w:rPr>
                        <w:rFonts w:ascii="Arial Narrow" w:hAnsi="Arial Narrow"/>
                        <w:b/>
                        <w:color w:val="0D0D0D" w:themeColor="text1" w:themeTint="F2"/>
                        <w:sz w:val="26"/>
                        <w:szCs w:val="26"/>
                      </w:rPr>
                      <w:t>202</w:t>
                    </w:r>
                    <w:r w:rsidR="00443741">
                      <w:rPr>
                        <w:rFonts w:ascii="Arial Narrow" w:hAnsi="Arial Narrow"/>
                        <w:b/>
                        <w:color w:val="0D0D0D" w:themeColor="text1" w:themeTint="F2"/>
                        <w:sz w:val="26"/>
                        <w:szCs w:val="26"/>
                      </w:rPr>
                      <w:t>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7971" w14:textId="77777777" w:rsidR="001E7FE4" w:rsidRDefault="001E7FE4">
    <w:pPr>
      <w:pStyle w:val="Intestazione"/>
    </w:pPr>
    <w:r>
      <w:rPr>
        <w:noProof/>
      </w:rPr>
      <mc:AlternateContent>
        <mc:Choice Requires="wps">
          <w:drawing>
            <wp:anchor distT="0" distB="0" distL="114300" distR="114300" simplePos="0" relativeHeight="251656704" behindDoc="0" locked="0" layoutInCell="1" allowOverlap="1" wp14:anchorId="36D02F9F" wp14:editId="6BBFB090">
              <wp:simplePos x="0" y="0"/>
              <wp:positionH relativeFrom="column">
                <wp:posOffset>549275</wp:posOffset>
              </wp:positionH>
              <wp:positionV relativeFrom="paragraph">
                <wp:posOffset>63500</wp:posOffset>
              </wp:positionV>
              <wp:extent cx="1314450" cy="262890"/>
              <wp:effectExtent l="0" t="0" r="19050" b="228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2890"/>
                      </a:xfrm>
                      <a:prstGeom prst="rect">
                        <a:avLst/>
                      </a:prstGeom>
                      <a:solidFill>
                        <a:srgbClr val="FFFFFF"/>
                      </a:solidFill>
                      <a:ln w="9525">
                        <a:solidFill>
                          <a:srgbClr val="FFFFFF"/>
                        </a:solidFill>
                        <a:miter lim="800000"/>
                        <a:headEnd/>
                        <a:tailEnd/>
                      </a:ln>
                    </wps:spPr>
                    <wps:txbx>
                      <w:txbxContent>
                        <w:p w14:paraId="1692775B" w14:textId="77777777" w:rsidR="001E7FE4" w:rsidRPr="00826A5F" w:rsidRDefault="001E7FE4">
                          <w:pPr>
                            <w:pStyle w:val="Intestazione"/>
                            <w:spacing w:line="200" w:lineRule="exact"/>
                            <w:rPr>
                              <w:rFonts w:ascii="Arial Narrow" w:hAnsi="Arial Narrow"/>
                              <w:b/>
                              <w:color w:val="808080"/>
                              <w:sz w:val="20"/>
                            </w:rPr>
                          </w:pPr>
                          <w:r w:rsidRPr="00826A5F">
                            <w:rPr>
                              <w:rFonts w:ascii="Arial Narrow" w:hAnsi="Arial Narrow"/>
                              <w:b/>
                              <w:color w:val="808080"/>
                              <w:sz w:val="20"/>
                            </w:rPr>
                            <w:t>COMMERCIO ESTERO EXTRA UE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D02F9F" id="_x0000_t202" coordsize="21600,21600" o:spt="202" path="m,l,21600r21600,l21600,xe">
              <v:stroke joinstyle="miter"/>
              <v:path gradientshapeok="t" o:connecttype="rect"/>
            </v:shapetype>
            <v:shape id="Text Box 3" o:spid="_x0000_s1029" type="#_x0000_t202" style="position:absolute;margin-left:43.25pt;margin-top:5pt;width:103.5pt;height:20.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" strokecolor="white">
              <v:textbox style="mso-fit-shape-to-text:t" inset="0,0,0,0">
                <w:txbxContent>
                  <w:p w14:paraId="1692775B" w14:textId="77777777" w:rsidR="001E7FE4" w:rsidRPr="00826A5F" w:rsidRDefault="001E7FE4">
                    <w:pPr>
                      <w:pStyle w:val="Intestazione"/>
                      <w:spacing w:line="200" w:lineRule="exact"/>
                      <w:rPr>
                        <w:rFonts w:ascii="Arial Narrow" w:hAnsi="Arial Narrow"/>
                        <w:b/>
                        <w:color w:val="808080"/>
                        <w:sz w:val="20"/>
                      </w:rPr>
                    </w:pPr>
                    <w:r w:rsidRPr="00826A5F">
                      <w:rPr>
                        <w:rFonts w:ascii="Arial Narrow" w:hAnsi="Arial Narrow"/>
                        <w:b/>
                        <w:color w:val="808080"/>
                        <w:sz w:val="20"/>
                      </w:rPr>
                      <w:t>COMMERCIO ESTERO EXTRA UE</w:t>
                    </w:r>
                  </w:p>
                </w:txbxContent>
              </v:textbox>
            </v:shape>
          </w:pict>
        </mc:Fallback>
      </mc:AlternateContent>
    </w:r>
    <w:r>
      <w:rPr>
        <w:noProof/>
      </w:rPr>
      <w:drawing>
        <wp:inline distT="0" distB="0" distL="0" distR="0" wp14:anchorId="33E5814B" wp14:editId="069DF331">
          <wp:extent cx="6522720" cy="594360"/>
          <wp:effectExtent l="0" t="0" r="0" b="0"/>
          <wp:docPr id="26" name="Immagine 26" descr="iconeComunicati-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2720" cy="594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363B" w14:textId="77777777" w:rsidR="001E7FE4" w:rsidRDefault="001E7FE4">
    <w:pPr>
      <w:pStyle w:val="Intestazione"/>
    </w:pPr>
    <w:r>
      <w:rPr>
        <w:noProof/>
      </w:rPr>
      <mc:AlternateContent>
        <mc:Choice Requires="wps">
          <w:drawing>
            <wp:anchor distT="0" distB="0" distL="114300" distR="114300" simplePos="0" relativeHeight="251659776" behindDoc="0" locked="0" layoutInCell="1" allowOverlap="1" wp14:anchorId="6C826DAB" wp14:editId="62B6361A">
              <wp:simplePos x="0" y="0"/>
              <wp:positionH relativeFrom="column">
                <wp:posOffset>536575</wp:posOffset>
              </wp:positionH>
              <wp:positionV relativeFrom="paragraph">
                <wp:posOffset>41910</wp:posOffset>
              </wp:positionV>
              <wp:extent cx="1292225" cy="389890"/>
              <wp:effectExtent l="0" t="0" r="2222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89890"/>
                      </a:xfrm>
                      <a:prstGeom prst="rect">
                        <a:avLst/>
                      </a:prstGeom>
                      <a:solidFill>
                        <a:srgbClr val="FFFFFF"/>
                      </a:solidFill>
                      <a:ln w="9525">
                        <a:solidFill>
                          <a:srgbClr val="FFFFFF"/>
                        </a:solidFill>
                        <a:miter lim="800000"/>
                        <a:headEnd/>
                        <a:tailEnd/>
                      </a:ln>
                    </wps:spPr>
                    <wps:txbx>
                      <w:txbxContent>
                        <w:p w14:paraId="022B511B" w14:textId="77777777" w:rsidR="001E7FE4" w:rsidRPr="00B23A5A" w:rsidRDefault="001E7FE4">
                          <w:pPr>
                            <w:pStyle w:val="Intestazione"/>
                            <w:spacing w:line="200" w:lineRule="exact"/>
                            <w:rPr>
                              <w:rFonts w:ascii="Arial Narrow" w:hAnsi="Arial Narrow"/>
                              <w:b/>
                              <w:color w:val="999999"/>
                              <w:sz w:val="20"/>
                            </w:rPr>
                          </w:pPr>
                          <w:r w:rsidRPr="00B23A5A">
                            <w:rPr>
                              <w:rFonts w:ascii="Arial Narrow" w:hAnsi="Arial Narrow"/>
                              <w:b/>
                              <w:color w:val="999999"/>
                              <w:sz w:val="20"/>
                            </w:rPr>
                            <w:t>COMMERCIO ESTERO EXTRA UE</w:t>
                          </w:r>
                        </w:p>
                        <w:p w14:paraId="52D33666" w14:textId="77777777" w:rsidR="001E7FE4" w:rsidRDefault="001E7FE4">
                          <w:pPr>
                            <w:pStyle w:val="Intestazione"/>
                            <w:spacing w:line="200" w:lineRule="exact"/>
                            <w:rPr>
                              <w:rFonts w:ascii="Arial Narrow" w:hAnsi="Arial Narrow"/>
                              <w:b/>
                              <w:color w:val="999999"/>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826DAB" id="_x0000_t202" coordsize="21600,21600" o:spt="202" path="m,l,21600r21600,l21600,xe">
              <v:stroke joinstyle="miter"/>
              <v:path gradientshapeok="t" o:connecttype="rect"/>
            </v:shapetype>
            <v:shape id="Text Box 2" o:spid="_x0000_s1030" type="#_x0000_t202" style="position:absolute;margin-left:42.25pt;margin-top:3.3pt;width:101.75pt;height:30.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" strokecolor="white">
              <v:textbox style="mso-fit-shape-to-text:t" inset="0,0,0,0">
                <w:txbxContent>
                  <w:p w14:paraId="022B511B" w14:textId="77777777" w:rsidR="001E7FE4" w:rsidRPr="00B23A5A" w:rsidRDefault="001E7FE4">
                    <w:pPr>
                      <w:pStyle w:val="Intestazione"/>
                      <w:spacing w:line="200" w:lineRule="exact"/>
                      <w:rPr>
                        <w:rFonts w:ascii="Arial Narrow" w:hAnsi="Arial Narrow"/>
                        <w:b/>
                        <w:color w:val="999999"/>
                        <w:sz w:val="20"/>
                      </w:rPr>
                    </w:pPr>
                    <w:r w:rsidRPr="00B23A5A">
                      <w:rPr>
                        <w:rFonts w:ascii="Arial Narrow" w:hAnsi="Arial Narrow"/>
                        <w:b/>
                        <w:color w:val="999999"/>
                        <w:sz w:val="20"/>
                      </w:rPr>
                      <w:t>COMMERCIO ESTERO EXTRA UE</w:t>
                    </w:r>
                  </w:p>
                  <w:p w14:paraId="52D33666" w14:textId="77777777" w:rsidR="001E7FE4" w:rsidRDefault="001E7FE4">
                    <w:pPr>
                      <w:pStyle w:val="Intestazione"/>
                      <w:spacing w:line="200" w:lineRule="exact"/>
                      <w:rPr>
                        <w:rFonts w:ascii="Arial Narrow" w:hAnsi="Arial Narrow"/>
                        <w:b/>
                        <w:color w:val="999999"/>
                      </w:rPr>
                    </w:pPr>
                  </w:p>
                </w:txbxContent>
              </v:textbox>
            </v:shape>
          </w:pict>
        </mc:Fallback>
      </mc:AlternateContent>
    </w:r>
    <w:r>
      <w:rPr>
        <w:noProof/>
      </w:rPr>
      <w:drawing>
        <wp:inline distT="0" distB="0" distL="0" distR="0" wp14:anchorId="03465C64" wp14:editId="3D530CBE">
          <wp:extent cx="6484620" cy="586740"/>
          <wp:effectExtent l="0" t="0" r="0" b="3810"/>
          <wp:docPr id="8" name="Immagine 8" descr="iconeComunicati-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eComunicati-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4620" cy="5867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0C8F" w14:textId="77777777" w:rsidR="001E7FE4" w:rsidRDefault="001E7FE4">
    <w:pPr>
      <w:pStyle w:val="Intestazione"/>
    </w:pPr>
    <w:r>
      <w:rPr>
        <w:noProof/>
      </w:rPr>
      <mc:AlternateContent>
        <mc:Choice Requires="wps">
          <w:drawing>
            <wp:anchor distT="0" distB="0" distL="114300" distR="114300" simplePos="0" relativeHeight="251657728" behindDoc="0" locked="0" layoutInCell="1" allowOverlap="1" wp14:anchorId="361CB981" wp14:editId="07056A99">
              <wp:simplePos x="0" y="0"/>
              <wp:positionH relativeFrom="column">
                <wp:posOffset>530225</wp:posOffset>
              </wp:positionH>
              <wp:positionV relativeFrom="paragraph">
                <wp:posOffset>74295</wp:posOffset>
              </wp:positionV>
              <wp:extent cx="1238250" cy="389890"/>
              <wp:effectExtent l="0" t="0" r="19050" b="1016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89890"/>
                      </a:xfrm>
                      <a:prstGeom prst="rect">
                        <a:avLst/>
                      </a:prstGeom>
                      <a:solidFill>
                        <a:srgbClr val="FFFFFF"/>
                      </a:solidFill>
                      <a:ln w="9525">
                        <a:solidFill>
                          <a:srgbClr val="FFFFFF"/>
                        </a:solidFill>
                        <a:miter lim="800000"/>
                        <a:headEnd/>
                        <a:tailEnd/>
                      </a:ln>
                    </wps:spPr>
                    <wps:txbx>
                      <w:txbxContent>
                        <w:p w14:paraId="63ED256E" w14:textId="77777777" w:rsidR="001E7FE4" w:rsidRPr="00B23A5A" w:rsidRDefault="001E7FE4">
                          <w:pPr>
                            <w:pStyle w:val="Intestazione"/>
                            <w:spacing w:line="200" w:lineRule="exact"/>
                            <w:rPr>
                              <w:rFonts w:ascii="Arial Narrow" w:hAnsi="Arial Narrow"/>
                              <w:b/>
                              <w:color w:val="808080"/>
                              <w:sz w:val="20"/>
                            </w:rPr>
                          </w:pPr>
                          <w:r w:rsidRPr="00B23A5A">
                            <w:rPr>
                              <w:rFonts w:ascii="Arial Narrow" w:hAnsi="Arial Narrow"/>
                              <w:b/>
                              <w:color w:val="808080"/>
                              <w:sz w:val="20"/>
                            </w:rPr>
                            <w:t>COMMERCIO ESTERO EXTRA UE</w:t>
                          </w:r>
                        </w:p>
                        <w:p w14:paraId="1BC1E4B3" w14:textId="77777777" w:rsidR="001E7FE4" w:rsidRDefault="001E7FE4">
                          <w:pPr>
                            <w:pStyle w:val="Intestazione"/>
                            <w:spacing w:line="200" w:lineRule="exact"/>
                            <w:rPr>
                              <w:rFonts w:ascii="Arial Narrow" w:hAnsi="Arial Narrow"/>
                              <w:b/>
                              <w:color w:val="999999"/>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1CB981" id="_x0000_t202" coordsize="21600,21600" o:spt="202" path="m,l,21600r21600,l21600,xe">
              <v:stroke joinstyle="miter"/>
              <v:path gradientshapeok="t" o:connecttype="rect"/>
            </v:shapetype>
            <v:shape id="Text Box 1" o:spid="_x0000_s1031" type="#_x0000_t202" style="position:absolute;margin-left:41.75pt;margin-top:5.85pt;width:97.5pt;height:30.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" strokecolor="white">
              <v:textbox style="mso-fit-shape-to-text:t" inset="0,0,0,0">
                <w:txbxContent>
                  <w:p w14:paraId="63ED256E" w14:textId="77777777" w:rsidR="001E7FE4" w:rsidRPr="00B23A5A" w:rsidRDefault="001E7FE4">
                    <w:pPr>
                      <w:pStyle w:val="Intestazione"/>
                      <w:spacing w:line="200" w:lineRule="exact"/>
                      <w:rPr>
                        <w:rFonts w:ascii="Arial Narrow" w:hAnsi="Arial Narrow"/>
                        <w:b/>
                        <w:color w:val="808080"/>
                        <w:sz w:val="20"/>
                      </w:rPr>
                    </w:pPr>
                    <w:r w:rsidRPr="00B23A5A">
                      <w:rPr>
                        <w:rFonts w:ascii="Arial Narrow" w:hAnsi="Arial Narrow"/>
                        <w:b/>
                        <w:color w:val="808080"/>
                        <w:sz w:val="20"/>
                      </w:rPr>
                      <w:t>COMMERCIO ESTERO EXTRA UE</w:t>
                    </w:r>
                  </w:p>
                  <w:p w14:paraId="1BC1E4B3" w14:textId="77777777" w:rsidR="001E7FE4" w:rsidRDefault="001E7FE4">
                    <w:pPr>
                      <w:pStyle w:val="Intestazione"/>
                      <w:spacing w:line="200" w:lineRule="exact"/>
                      <w:rPr>
                        <w:rFonts w:ascii="Arial Narrow" w:hAnsi="Arial Narrow"/>
                        <w:b/>
                        <w:color w:val="999999"/>
                      </w:rPr>
                    </w:pPr>
                  </w:p>
                </w:txbxContent>
              </v:textbox>
            </v:shape>
          </w:pict>
        </mc:Fallback>
      </mc:AlternateContent>
    </w:r>
    <w:r>
      <w:rPr>
        <w:noProof/>
      </w:rPr>
      <w:drawing>
        <wp:inline distT="0" distB="0" distL="0" distR="0" wp14:anchorId="75D73629" wp14:editId="5C45C724">
          <wp:extent cx="6484620" cy="586740"/>
          <wp:effectExtent l="0" t="0" r="0" b="3810"/>
          <wp:docPr id="9" name="Immagine 9" descr="iconeComunicat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eComunicati-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462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0.15pt;height:80.25pt" o:bullet="t">
        <v:imagedata r:id="rId1" o:title=""/>
      </v:shape>
    </w:pict>
  </w:numPicBullet>
  <w:numPicBullet w:numPicBulletId="1">
    <w:pict>
      <v:shape w14:anchorId="1DB58C85" id="_x0000_i1057" type="#_x0000_t75" style="width:93.8pt;height:93.8pt" o:bullet="t">
        <v:imagedata r:id="rId2" o:title=""/>
      </v:shape>
    </w:pict>
  </w:numPicBullet>
  <w:abstractNum w:abstractNumId="0" w15:restartNumberingAfterBreak="0">
    <w:nsid w:val="00A61C4B"/>
    <w:multiLevelType w:val="hybridMultilevel"/>
    <w:tmpl w:val="E0ACEAB2"/>
    <w:lvl w:ilvl="0" w:tplc="55DC58FE">
      <w:start w:val="1"/>
      <w:numFmt w:val="lowerLetter"/>
      <w:lvlText w:val="(%1)"/>
      <w:lvlJc w:val="left"/>
      <w:pPr>
        <w:ind w:left="360" w:hanging="360"/>
      </w:pPr>
      <w:rPr>
        <w:rFonts w:cs="Times New Roman"/>
        <w:b w:val="0"/>
      </w:rPr>
    </w:lvl>
    <w:lvl w:ilvl="1" w:tplc="38B0214A">
      <w:start w:val="1"/>
      <w:numFmt w:val="lowerLetter"/>
      <w:lvlText w:val="%2."/>
      <w:lvlJc w:val="left"/>
      <w:pPr>
        <w:ind w:left="1080" w:hanging="360"/>
      </w:pPr>
      <w:rPr>
        <w:rFonts w:cs="Times New Roman"/>
      </w:rPr>
    </w:lvl>
    <w:lvl w:ilvl="2" w:tplc="68DE6A2A">
      <w:start w:val="1"/>
      <w:numFmt w:val="lowerRoman"/>
      <w:lvlText w:val="%3."/>
      <w:lvlJc w:val="right"/>
      <w:pPr>
        <w:ind w:left="1800" w:hanging="180"/>
      </w:pPr>
      <w:rPr>
        <w:rFonts w:cs="Times New Roman"/>
      </w:rPr>
    </w:lvl>
    <w:lvl w:ilvl="3" w:tplc="5906B76C">
      <w:start w:val="1"/>
      <w:numFmt w:val="decimal"/>
      <w:lvlText w:val="%4."/>
      <w:lvlJc w:val="left"/>
      <w:pPr>
        <w:ind w:left="2520" w:hanging="360"/>
      </w:pPr>
      <w:rPr>
        <w:rFonts w:cs="Times New Roman"/>
      </w:rPr>
    </w:lvl>
    <w:lvl w:ilvl="4" w:tplc="53205C18">
      <w:start w:val="1"/>
      <w:numFmt w:val="lowerLetter"/>
      <w:lvlText w:val="%5."/>
      <w:lvlJc w:val="left"/>
      <w:pPr>
        <w:ind w:left="3240" w:hanging="360"/>
      </w:pPr>
      <w:rPr>
        <w:rFonts w:cs="Times New Roman"/>
      </w:rPr>
    </w:lvl>
    <w:lvl w:ilvl="5" w:tplc="93A84296">
      <w:start w:val="1"/>
      <w:numFmt w:val="lowerRoman"/>
      <w:lvlText w:val="%6."/>
      <w:lvlJc w:val="right"/>
      <w:pPr>
        <w:ind w:left="3960" w:hanging="180"/>
      </w:pPr>
      <w:rPr>
        <w:rFonts w:cs="Times New Roman"/>
      </w:rPr>
    </w:lvl>
    <w:lvl w:ilvl="6" w:tplc="FFC6F268">
      <w:start w:val="1"/>
      <w:numFmt w:val="decimal"/>
      <w:lvlText w:val="%7."/>
      <w:lvlJc w:val="left"/>
      <w:pPr>
        <w:ind w:left="4680" w:hanging="360"/>
      </w:pPr>
      <w:rPr>
        <w:rFonts w:cs="Times New Roman"/>
      </w:rPr>
    </w:lvl>
    <w:lvl w:ilvl="7" w:tplc="45C271E2">
      <w:start w:val="1"/>
      <w:numFmt w:val="lowerLetter"/>
      <w:lvlText w:val="%8."/>
      <w:lvlJc w:val="left"/>
      <w:pPr>
        <w:ind w:left="5400" w:hanging="360"/>
      </w:pPr>
      <w:rPr>
        <w:rFonts w:cs="Times New Roman"/>
      </w:rPr>
    </w:lvl>
    <w:lvl w:ilvl="8" w:tplc="786643A4">
      <w:start w:val="1"/>
      <w:numFmt w:val="lowerRoman"/>
      <w:lvlText w:val="%9."/>
      <w:lvlJc w:val="right"/>
      <w:pPr>
        <w:ind w:left="6120" w:hanging="180"/>
      </w:pPr>
      <w:rPr>
        <w:rFonts w:cs="Times New Roman"/>
      </w:rPr>
    </w:lvl>
  </w:abstractNum>
  <w:abstractNum w:abstractNumId="1" w15:restartNumberingAfterBreak="0">
    <w:nsid w:val="05A70A2F"/>
    <w:multiLevelType w:val="hybridMultilevel"/>
    <w:tmpl w:val="C824C3CC"/>
    <w:lvl w:ilvl="0" w:tplc="84B80C2A">
      <w:start w:val="1"/>
      <w:numFmt w:val="lowerLetter"/>
      <w:lvlText w:val="(%1)"/>
      <w:lvlJc w:val="left"/>
      <w:pPr>
        <w:ind w:left="217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D2104"/>
    <w:multiLevelType w:val="multilevel"/>
    <w:tmpl w:val="82F0A0DC"/>
    <w:lvl w:ilvl="0">
      <w:start w:val="1"/>
      <w:numFmt w:val="bullet"/>
      <w:lvlText w:val=""/>
      <w:lvlPicBulletId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3" w15:restartNumberingAfterBreak="0">
    <w:nsid w:val="105D7034"/>
    <w:multiLevelType w:val="multilevel"/>
    <w:tmpl w:val="A102325C"/>
    <w:lvl w:ilvl="0">
      <w:start w:val="1"/>
      <w:numFmt w:val="bullet"/>
      <w:lvlText w:val=""/>
      <w:lvlPicBulletId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4" w15:restartNumberingAfterBreak="0">
    <w:nsid w:val="154B18D6"/>
    <w:multiLevelType w:val="hybridMultilevel"/>
    <w:tmpl w:val="084A7D70"/>
    <w:lvl w:ilvl="0" w:tplc="96D60A54">
      <w:start w:val="1"/>
      <w:numFmt w:val="bullet"/>
      <w:lvlText w:val=""/>
      <w:lvlJc w:val="left"/>
      <w:pPr>
        <w:ind w:left="720" w:hanging="360"/>
      </w:pPr>
      <w:rPr>
        <w:rFonts w:ascii="Wingdings" w:hAnsi="Wingdings"/>
        <w:b/>
        <w:i w:val="0"/>
        <w:color w:val="FF0000"/>
        <w:sz w:val="18"/>
      </w:rPr>
    </w:lvl>
    <w:lvl w:ilvl="1" w:tplc="7610E30A">
      <w:start w:val="1"/>
      <w:numFmt w:val="bullet"/>
      <w:lvlText w:val="o"/>
      <w:lvlJc w:val="left"/>
      <w:pPr>
        <w:ind w:left="1440" w:hanging="360"/>
      </w:pPr>
      <w:rPr>
        <w:rFonts w:ascii="Courier New" w:hAnsi="Courier New" w:cs="Courier New"/>
      </w:rPr>
    </w:lvl>
    <w:lvl w:ilvl="2" w:tplc="7968F25E">
      <w:start w:val="1"/>
      <w:numFmt w:val="bullet"/>
      <w:lvlText w:val=""/>
      <w:lvlJc w:val="left"/>
      <w:pPr>
        <w:ind w:left="2160" w:hanging="360"/>
      </w:pPr>
      <w:rPr>
        <w:rFonts w:ascii="Wingdings" w:hAnsi="Wingdings"/>
      </w:rPr>
    </w:lvl>
    <w:lvl w:ilvl="3" w:tplc="7FA2ED40">
      <w:start w:val="1"/>
      <w:numFmt w:val="bullet"/>
      <w:lvlText w:val=""/>
      <w:lvlJc w:val="left"/>
      <w:pPr>
        <w:ind w:left="2880" w:hanging="360"/>
      </w:pPr>
      <w:rPr>
        <w:rFonts w:ascii="Symbol" w:hAnsi="Symbol"/>
      </w:rPr>
    </w:lvl>
    <w:lvl w:ilvl="4" w:tplc="6ABAC890">
      <w:start w:val="1"/>
      <w:numFmt w:val="bullet"/>
      <w:lvlText w:val="o"/>
      <w:lvlJc w:val="left"/>
      <w:pPr>
        <w:ind w:left="3600" w:hanging="360"/>
      </w:pPr>
      <w:rPr>
        <w:rFonts w:ascii="Courier New" w:hAnsi="Courier New" w:cs="Courier New"/>
      </w:rPr>
    </w:lvl>
    <w:lvl w:ilvl="5" w:tplc="B574BEF6">
      <w:start w:val="1"/>
      <w:numFmt w:val="bullet"/>
      <w:lvlText w:val=""/>
      <w:lvlJc w:val="left"/>
      <w:pPr>
        <w:ind w:left="4320" w:hanging="360"/>
      </w:pPr>
      <w:rPr>
        <w:rFonts w:ascii="Wingdings" w:hAnsi="Wingdings"/>
      </w:rPr>
    </w:lvl>
    <w:lvl w:ilvl="6" w:tplc="9AA2E1E2">
      <w:start w:val="1"/>
      <w:numFmt w:val="bullet"/>
      <w:lvlText w:val=""/>
      <w:lvlJc w:val="left"/>
      <w:pPr>
        <w:ind w:left="5040" w:hanging="360"/>
      </w:pPr>
      <w:rPr>
        <w:rFonts w:ascii="Symbol" w:hAnsi="Symbol"/>
      </w:rPr>
    </w:lvl>
    <w:lvl w:ilvl="7" w:tplc="1F98787E">
      <w:start w:val="1"/>
      <w:numFmt w:val="bullet"/>
      <w:lvlText w:val="o"/>
      <w:lvlJc w:val="left"/>
      <w:pPr>
        <w:ind w:left="5760" w:hanging="360"/>
      </w:pPr>
      <w:rPr>
        <w:rFonts w:ascii="Courier New" w:hAnsi="Courier New" w:cs="Courier New"/>
      </w:rPr>
    </w:lvl>
    <w:lvl w:ilvl="8" w:tplc="1680A77A">
      <w:start w:val="1"/>
      <w:numFmt w:val="bullet"/>
      <w:lvlText w:val=""/>
      <w:lvlJc w:val="left"/>
      <w:pPr>
        <w:ind w:left="6480" w:hanging="360"/>
      </w:pPr>
      <w:rPr>
        <w:rFonts w:ascii="Wingdings" w:hAnsi="Wingdings"/>
      </w:rPr>
    </w:lvl>
  </w:abstractNum>
  <w:abstractNum w:abstractNumId="5" w15:restartNumberingAfterBreak="0">
    <w:nsid w:val="156631CD"/>
    <w:multiLevelType w:val="hybridMultilevel"/>
    <w:tmpl w:val="9F308CDC"/>
    <w:lvl w:ilvl="0" w:tplc="4FA4B7CC">
      <w:start w:val="1"/>
      <w:numFmt w:val="bullet"/>
      <w:lvlText w:val=""/>
      <w:lvlJc w:val="left"/>
      <w:pPr>
        <w:tabs>
          <w:tab w:val="num" w:pos="340"/>
        </w:tabs>
        <w:ind w:left="0" w:firstLine="0"/>
      </w:pPr>
      <w:rPr>
        <w:rFonts w:ascii="Wingdings" w:hAnsi="Wingdings"/>
        <w:b w:val="0"/>
        <w:i w:val="0"/>
        <w:color w:val="FF0000"/>
        <w:spacing w:val="0"/>
        <w:sz w:val="24"/>
      </w:rPr>
    </w:lvl>
    <w:lvl w:ilvl="1" w:tplc="B192E29C">
      <w:start w:val="1"/>
      <w:numFmt w:val="bullet"/>
      <w:lvlText w:val="o"/>
      <w:lvlJc w:val="left"/>
      <w:pPr>
        <w:tabs>
          <w:tab w:val="num" w:pos="1440"/>
        </w:tabs>
        <w:ind w:left="1440" w:hanging="360"/>
      </w:pPr>
      <w:rPr>
        <w:rFonts w:ascii="Courier New" w:hAnsi="Courier New" w:cs="Courier New"/>
      </w:rPr>
    </w:lvl>
    <w:lvl w:ilvl="2" w:tplc="2C226184">
      <w:start w:val="1"/>
      <w:numFmt w:val="bullet"/>
      <w:lvlText w:val=""/>
      <w:lvlJc w:val="left"/>
      <w:pPr>
        <w:tabs>
          <w:tab w:val="num" w:pos="2160"/>
        </w:tabs>
        <w:ind w:left="2160" w:hanging="360"/>
      </w:pPr>
      <w:rPr>
        <w:rFonts w:ascii="Wingdings" w:hAnsi="Wingdings"/>
      </w:rPr>
    </w:lvl>
    <w:lvl w:ilvl="3" w:tplc="6B40F0A8">
      <w:start w:val="1"/>
      <w:numFmt w:val="bullet"/>
      <w:lvlText w:val=""/>
      <w:lvlJc w:val="left"/>
      <w:pPr>
        <w:tabs>
          <w:tab w:val="num" w:pos="2880"/>
        </w:tabs>
        <w:ind w:left="2880" w:hanging="360"/>
      </w:pPr>
      <w:rPr>
        <w:rFonts w:ascii="Symbol" w:hAnsi="Symbol"/>
      </w:rPr>
    </w:lvl>
    <w:lvl w:ilvl="4" w:tplc="08FAD4F6">
      <w:start w:val="1"/>
      <w:numFmt w:val="bullet"/>
      <w:lvlText w:val="o"/>
      <w:lvlJc w:val="left"/>
      <w:pPr>
        <w:tabs>
          <w:tab w:val="num" w:pos="3600"/>
        </w:tabs>
        <w:ind w:left="3600" w:hanging="360"/>
      </w:pPr>
      <w:rPr>
        <w:rFonts w:ascii="Courier New" w:hAnsi="Courier New" w:cs="Courier New"/>
      </w:rPr>
    </w:lvl>
    <w:lvl w:ilvl="5" w:tplc="6E74C1D4">
      <w:start w:val="1"/>
      <w:numFmt w:val="bullet"/>
      <w:lvlText w:val=""/>
      <w:lvlJc w:val="left"/>
      <w:pPr>
        <w:tabs>
          <w:tab w:val="num" w:pos="4320"/>
        </w:tabs>
        <w:ind w:left="4320" w:hanging="360"/>
      </w:pPr>
      <w:rPr>
        <w:rFonts w:ascii="Wingdings" w:hAnsi="Wingdings"/>
      </w:rPr>
    </w:lvl>
    <w:lvl w:ilvl="6" w:tplc="58FAFDA6">
      <w:start w:val="1"/>
      <w:numFmt w:val="bullet"/>
      <w:lvlText w:val=""/>
      <w:lvlJc w:val="left"/>
      <w:pPr>
        <w:tabs>
          <w:tab w:val="num" w:pos="5040"/>
        </w:tabs>
        <w:ind w:left="5040" w:hanging="360"/>
      </w:pPr>
      <w:rPr>
        <w:rFonts w:ascii="Symbol" w:hAnsi="Symbol"/>
      </w:rPr>
    </w:lvl>
    <w:lvl w:ilvl="7" w:tplc="87DC7F2C">
      <w:start w:val="1"/>
      <w:numFmt w:val="bullet"/>
      <w:lvlText w:val="o"/>
      <w:lvlJc w:val="left"/>
      <w:pPr>
        <w:tabs>
          <w:tab w:val="num" w:pos="5760"/>
        </w:tabs>
        <w:ind w:left="5760" w:hanging="360"/>
      </w:pPr>
      <w:rPr>
        <w:rFonts w:ascii="Courier New" w:hAnsi="Courier New" w:cs="Courier New"/>
      </w:rPr>
    </w:lvl>
    <w:lvl w:ilvl="8" w:tplc="38240A62">
      <w:start w:val="1"/>
      <w:numFmt w:val="bullet"/>
      <w:lvlText w:val=""/>
      <w:lvlJc w:val="left"/>
      <w:pPr>
        <w:tabs>
          <w:tab w:val="num" w:pos="6480"/>
        </w:tabs>
        <w:ind w:left="6480" w:hanging="360"/>
      </w:pPr>
      <w:rPr>
        <w:rFonts w:ascii="Wingdings" w:hAnsi="Wingdings"/>
      </w:rPr>
    </w:lvl>
  </w:abstractNum>
  <w:abstractNum w:abstractNumId="6" w15:restartNumberingAfterBreak="0">
    <w:nsid w:val="16B421E4"/>
    <w:multiLevelType w:val="hybridMultilevel"/>
    <w:tmpl w:val="C10466C8"/>
    <w:lvl w:ilvl="0" w:tplc="E77AB5FC">
      <w:start w:val="1"/>
      <w:numFmt w:val="lowerLetter"/>
      <w:lvlText w:val="(%1)"/>
      <w:lvlJc w:val="left"/>
      <w:pPr>
        <w:ind w:left="36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220CBC"/>
    <w:multiLevelType w:val="hybridMultilevel"/>
    <w:tmpl w:val="8692084A"/>
    <w:lvl w:ilvl="0" w:tplc="50F40AD4">
      <w:start w:val="1"/>
      <w:numFmt w:val="bullet"/>
      <w:lvlText w:val=""/>
      <w:lvlPicBulletId w:val="0"/>
      <w:lvlJc w:val="left"/>
      <w:pPr>
        <w:tabs>
          <w:tab w:val="num" w:pos="2534"/>
        </w:tabs>
        <w:ind w:left="2534" w:hanging="360"/>
      </w:pPr>
      <w:rPr>
        <w:rFonts w:ascii="Symbol" w:hAnsi="Symbol"/>
        <w:color w:val="E42618"/>
      </w:rPr>
    </w:lvl>
    <w:lvl w:ilvl="1" w:tplc="A6EC593C">
      <w:start w:val="1"/>
      <w:numFmt w:val="bullet"/>
      <w:lvlText w:val="o"/>
      <w:lvlJc w:val="left"/>
      <w:pPr>
        <w:tabs>
          <w:tab w:val="num" w:pos="3254"/>
        </w:tabs>
        <w:ind w:left="3254" w:hanging="360"/>
      </w:pPr>
      <w:rPr>
        <w:rFonts w:ascii="Courier New" w:hAnsi="Courier New"/>
      </w:rPr>
    </w:lvl>
    <w:lvl w:ilvl="2" w:tplc="ECD6587A">
      <w:start w:val="1"/>
      <w:numFmt w:val="bullet"/>
      <w:lvlText w:val=""/>
      <w:lvlJc w:val="left"/>
      <w:pPr>
        <w:tabs>
          <w:tab w:val="num" w:pos="3974"/>
        </w:tabs>
        <w:ind w:left="3974" w:hanging="360"/>
      </w:pPr>
      <w:rPr>
        <w:rFonts w:ascii="Wingdings" w:hAnsi="Wingdings"/>
      </w:rPr>
    </w:lvl>
    <w:lvl w:ilvl="3" w:tplc="C53292A2">
      <w:start w:val="1"/>
      <w:numFmt w:val="bullet"/>
      <w:lvlText w:val=""/>
      <w:lvlJc w:val="left"/>
      <w:pPr>
        <w:tabs>
          <w:tab w:val="num" w:pos="4694"/>
        </w:tabs>
        <w:ind w:left="4694" w:hanging="360"/>
      </w:pPr>
      <w:rPr>
        <w:rFonts w:ascii="Symbol" w:hAnsi="Symbol"/>
      </w:rPr>
    </w:lvl>
    <w:lvl w:ilvl="4" w:tplc="B9B4DC82">
      <w:start w:val="1"/>
      <w:numFmt w:val="bullet"/>
      <w:lvlText w:val="o"/>
      <w:lvlJc w:val="left"/>
      <w:pPr>
        <w:tabs>
          <w:tab w:val="num" w:pos="5414"/>
        </w:tabs>
        <w:ind w:left="5414" w:hanging="360"/>
      </w:pPr>
      <w:rPr>
        <w:rFonts w:ascii="Courier New" w:hAnsi="Courier New"/>
      </w:rPr>
    </w:lvl>
    <w:lvl w:ilvl="5" w:tplc="17E04826">
      <w:start w:val="1"/>
      <w:numFmt w:val="bullet"/>
      <w:lvlText w:val=""/>
      <w:lvlJc w:val="left"/>
      <w:pPr>
        <w:tabs>
          <w:tab w:val="num" w:pos="6134"/>
        </w:tabs>
        <w:ind w:left="6134" w:hanging="360"/>
      </w:pPr>
      <w:rPr>
        <w:rFonts w:ascii="Wingdings" w:hAnsi="Wingdings"/>
      </w:rPr>
    </w:lvl>
    <w:lvl w:ilvl="6" w:tplc="272AC674">
      <w:start w:val="1"/>
      <w:numFmt w:val="bullet"/>
      <w:lvlText w:val=""/>
      <w:lvlJc w:val="left"/>
      <w:pPr>
        <w:tabs>
          <w:tab w:val="num" w:pos="6854"/>
        </w:tabs>
        <w:ind w:left="6854" w:hanging="360"/>
      </w:pPr>
      <w:rPr>
        <w:rFonts w:ascii="Symbol" w:hAnsi="Symbol"/>
      </w:rPr>
    </w:lvl>
    <w:lvl w:ilvl="7" w:tplc="EEC8FFCC">
      <w:start w:val="1"/>
      <w:numFmt w:val="bullet"/>
      <w:lvlText w:val="o"/>
      <w:lvlJc w:val="left"/>
      <w:pPr>
        <w:tabs>
          <w:tab w:val="num" w:pos="7574"/>
        </w:tabs>
        <w:ind w:left="7574" w:hanging="360"/>
      </w:pPr>
      <w:rPr>
        <w:rFonts w:ascii="Courier New" w:hAnsi="Courier New"/>
      </w:rPr>
    </w:lvl>
    <w:lvl w:ilvl="8" w:tplc="D6565836">
      <w:start w:val="1"/>
      <w:numFmt w:val="bullet"/>
      <w:lvlText w:val=""/>
      <w:lvlJc w:val="left"/>
      <w:pPr>
        <w:tabs>
          <w:tab w:val="num" w:pos="8294"/>
        </w:tabs>
        <w:ind w:left="8294" w:hanging="360"/>
      </w:pPr>
      <w:rPr>
        <w:rFonts w:ascii="Wingdings" w:hAnsi="Wingdings"/>
      </w:rPr>
    </w:lvl>
  </w:abstractNum>
  <w:abstractNum w:abstractNumId="8" w15:restartNumberingAfterBreak="0">
    <w:nsid w:val="1C24545E"/>
    <w:multiLevelType w:val="hybridMultilevel"/>
    <w:tmpl w:val="2BE66A3A"/>
    <w:lvl w:ilvl="0" w:tplc="6888BADE">
      <w:start w:val="1"/>
      <w:numFmt w:val="bullet"/>
      <w:lvlText w:val=""/>
      <w:lvlJc w:val="left"/>
      <w:pPr>
        <w:tabs>
          <w:tab w:val="num" w:pos="624"/>
        </w:tabs>
      </w:pPr>
      <w:rPr>
        <w:rFonts w:ascii="Webdings" w:hAnsi="Webdings" w:hint="default"/>
        <w:b w:val="0"/>
        <w:i w:val="0"/>
        <w:color w:val="E42618"/>
        <w:spacing w:val="0"/>
        <w:sz w:val="24"/>
        <w:szCs w:val="18"/>
      </w:rPr>
    </w:lvl>
    <w:lvl w:ilvl="1" w:tplc="E8FCC02E">
      <w:start w:val="1"/>
      <w:numFmt w:val="bullet"/>
      <w:lvlText w:val="o"/>
      <w:lvlJc w:val="left"/>
      <w:pPr>
        <w:tabs>
          <w:tab w:val="num" w:pos="1724"/>
        </w:tabs>
        <w:ind w:left="1724" w:hanging="360"/>
      </w:pPr>
      <w:rPr>
        <w:rFonts w:ascii="Courier New" w:hAnsi="Courier New"/>
      </w:rPr>
    </w:lvl>
    <w:lvl w:ilvl="2" w:tplc="57B2E412">
      <w:start w:val="1"/>
      <w:numFmt w:val="bullet"/>
      <w:lvlText w:val=""/>
      <w:lvlJc w:val="left"/>
      <w:pPr>
        <w:tabs>
          <w:tab w:val="num" w:pos="2444"/>
        </w:tabs>
        <w:ind w:left="2444" w:hanging="360"/>
      </w:pPr>
      <w:rPr>
        <w:rFonts w:ascii="Wingdings" w:hAnsi="Wingdings"/>
      </w:rPr>
    </w:lvl>
    <w:lvl w:ilvl="3" w:tplc="31BA2B30">
      <w:start w:val="1"/>
      <w:numFmt w:val="bullet"/>
      <w:lvlText w:val=""/>
      <w:lvlJc w:val="left"/>
      <w:pPr>
        <w:tabs>
          <w:tab w:val="num" w:pos="3164"/>
        </w:tabs>
        <w:ind w:left="3164" w:hanging="360"/>
      </w:pPr>
      <w:rPr>
        <w:rFonts w:ascii="Symbol" w:hAnsi="Symbol"/>
      </w:rPr>
    </w:lvl>
    <w:lvl w:ilvl="4" w:tplc="2C2276D6">
      <w:start w:val="1"/>
      <w:numFmt w:val="bullet"/>
      <w:lvlText w:val="o"/>
      <w:lvlJc w:val="left"/>
      <w:pPr>
        <w:tabs>
          <w:tab w:val="num" w:pos="3884"/>
        </w:tabs>
        <w:ind w:left="3884" w:hanging="360"/>
      </w:pPr>
      <w:rPr>
        <w:rFonts w:ascii="Courier New" w:hAnsi="Courier New"/>
      </w:rPr>
    </w:lvl>
    <w:lvl w:ilvl="5" w:tplc="85BACC6E">
      <w:start w:val="1"/>
      <w:numFmt w:val="bullet"/>
      <w:lvlText w:val=""/>
      <w:lvlJc w:val="left"/>
      <w:pPr>
        <w:tabs>
          <w:tab w:val="num" w:pos="4604"/>
        </w:tabs>
        <w:ind w:left="4604" w:hanging="360"/>
      </w:pPr>
      <w:rPr>
        <w:rFonts w:ascii="Wingdings" w:hAnsi="Wingdings"/>
      </w:rPr>
    </w:lvl>
    <w:lvl w:ilvl="6" w:tplc="1F3EF924">
      <w:start w:val="1"/>
      <w:numFmt w:val="bullet"/>
      <w:lvlText w:val=""/>
      <w:lvlJc w:val="left"/>
      <w:pPr>
        <w:tabs>
          <w:tab w:val="num" w:pos="5324"/>
        </w:tabs>
        <w:ind w:left="5324" w:hanging="360"/>
      </w:pPr>
      <w:rPr>
        <w:rFonts w:ascii="Symbol" w:hAnsi="Symbol"/>
      </w:rPr>
    </w:lvl>
    <w:lvl w:ilvl="7" w:tplc="6D82A608">
      <w:start w:val="1"/>
      <w:numFmt w:val="bullet"/>
      <w:lvlText w:val="o"/>
      <w:lvlJc w:val="left"/>
      <w:pPr>
        <w:tabs>
          <w:tab w:val="num" w:pos="6044"/>
        </w:tabs>
        <w:ind w:left="6044" w:hanging="360"/>
      </w:pPr>
      <w:rPr>
        <w:rFonts w:ascii="Courier New" w:hAnsi="Courier New"/>
      </w:rPr>
    </w:lvl>
    <w:lvl w:ilvl="8" w:tplc="11E84114">
      <w:start w:val="1"/>
      <w:numFmt w:val="bullet"/>
      <w:lvlText w:val=""/>
      <w:lvlJc w:val="left"/>
      <w:pPr>
        <w:tabs>
          <w:tab w:val="num" w:pos="6764"/>
        </w:tabs>
        <w:ind w:left="6764" w:hanging="360"/>
      </w:pPr>
      <w:rPr>
        <w:rFonts w:ascii="Wingdings" w:hAnsi="Wingdings"/>
      </w:rPr>
    </w:lvl>
  </w:abstractNum>
  <w:abstractNum w:abstractNumId="9" w15:restartNumberingAfterBreak="0">
    <w:nsid w:val="1E9E51FA"/>
    <w:multiLevelType w:val="hybridMultilevel"/>
    <w:tmpl w:val="5CE0707E"/>
    <w:lvl w:ilvl="0" w:tplc="FB4AE9E6">
      <w:start w:val="1"/>
      <w:numFmt w:val="bullet"/>
      <w:lvlText w:val=""/>
      <w:lvlPicBulletId w:val="0"/>
      <w:lvlJc w:val="left"/>
      <w:pPr>
        <w:tabs>
          <w:tab w:val="num" w:pos="720"/>
        </w:tabs>
        <w:ind w:left="720" w:hanging="360"/>
      </w:pPr>
      <w:rPr>
        <w:rFonts w:ascii="Symbol" w:hAnsi="Symbol"/>
      </w:rPr>
    </w:lvl>
    <w:lvl w:ilvl="1" w:tplc="9E9C2CD4">
      <w:start w:val="1"/>
      <w:numFmt w:val="bullet"/>
      <w:lvlText w:val=""/>
      <w:lvlJc w:val="left"/>
      <w:pPr>
        <w:tabs>
          <w:tab w:val="num" w:pos="1440"/>
        </w:tabs>
        <w:ind w:left="1440" w:hanging="360"/>
      </w:pPr>
      <w:rPr>
        <w:rFonts w:ascii="Symbol" w:hAnsi="Symbol"/>
      </w:rPr>
    </w:lvl>
    <w:lvl w:ilvl="2" w:tplc="296A2E42">
      <w:start w:val="1"/>
      <w:numFmt w:val="bullet"/>
      <w:lvlText w:val=""/>
      <w:lvlJc w:val="left"/>
      <w:pPr>
        <w:tabs>
          <w:tab w:val="num" w:pos="2160"/>
        </w:tabs>
        <w:ind w:left="2160" w:hanging="360"/>
      </w:pPr>
      <w:rPr>
        <w:rFonts w:ascii="Symbol" w:hAnsi="Symbol"/>
      </w:rPr>
    </w:lvl>
    <w:lvl w:ilvl="3" w:tplc="17DA73F2">
      <w:start w:val="1"/>
      <w:numFmt w:val="bullet"/>
      <w:lvlText w:val=""/>
      <w:lvlJc w:val="left"/>
      <w:pPr>
        <w:tabs>
          <w:tab w:val="num" w:pos="2880"/>
        </w:tabs>
        <w:ind w:left="2880" w:hanging="360"/>
      </w:pPr>
      <w:rPr>
        <w:rFonts w:ascii="Symbol" w:hAnsi="Symbol"/>
      </w:rPr>
    </w:lvl>
    <w:lvl w:ilvl="4" w:tplc="7BDAF212">
      <w:start w:val="1"/>
      <w:numFmt w:val="bullet"/>
      <w:lvlText w:val=""/>
      <w:lvlJc w:val="left"/>
      <w:pPr>
        <w:tabs>
          <w:tab w:val="num" w:pos="3600"/>
        </w:tabs>
        <w:ind w:left="3600" w:hanging="360"/>
      </w:pPr>
      <w:rPr>
        <w:rFonts w:ascii="Symbol" w:hAnsi="Symbol"/>
      </w:rPr>
    </w:lvl>
    <w:lvl w:ilvl="5" w:tplc="5E148CD4">
      <w:start w:val="1"/>
      <w:numFmt w:val="bullet"/>
      <w:lvlText w:val=""/>
      <w:lvlJc w:val="left"/>
      <w:pPr>
        <w:tabs>
          <w:tab w:val="num" w:pos="4320"/>
        </w:tabs>
        <w:ind w:left="4320" w:hanging="360"/>
      </w:pPr>
      <w:rPr>
        <w:rFonts w:ascii="Symbol" w:hAnsi="Symbol"/>
      </w:rPr>
    </w:lvl>
    <w:lvl w:ilvl="6" w:tplc="022E1762">
      <w:start w:val="1"/>
      <w:numFmt w:val="bullet"/>
      <w:lvlText w:val=""/>
      <w:lvlJc w:val="left"/>
      <w:pPr>
        <w:tabs>
          <w:tab w:val="num" w:pos="5040"/>
        </w:tabs>
        <w:ind w:left="5040" w:hanging="360"/>
      </w:pPr>
      <w:rPr>
        <w:rFonts w:ascii="Symbol" w:hAnsi="Symbol"/>
      </w:rPr>
    </w:lvl>
    <w:lvl w:ilvl="7" w:tplc="6B366274">
      <w:start w:val="1"/>
      <w:numFmt w:val="bullet"/>
      <w:lvlText w:val=""/>
      <w:lvlJc w:val="left"/>
      <w:pPr>
        <w:tabs>
          <w:tab w:val="num" w:pos="5760"/>
        </w:tabs>
        <w:ind w:left="5760" w:hanging="360"/>
      </w:pPr>
      <w:rPr>
        <w:rFonts w:ascii="Symbol" w:hAnsi="Symbol"/>
      </w:rPr>
    </w:lvl>
    <w:lvl w:ilvl="8" w:tplc="8D06C764">
      <w:start w:val="1"/>
      <w:numFmt w:val="bullet"/>
      <w:lvlText w:val=""/>
      <w:lvlJc w:val="left"/>
      <w:pPr>
        <w:tabs>
          <w:tab w:val="num" w:pos="6480"/>
        </w:tabs>
        <w:ind w:left="6480" w:hanging="360"/>
      </w:pPr>
      <w:rPr>
        <w:rFonts w:ascii="Symbol" w:hAnsi="Symbol"/>
      </w:rPr>
    </w:lvl>
  </w:abstractNum>
  <w:abstractNum w:abstractNumId="10" w15:restartNumberingAfterBreak="0">
    <w:nsid w:val="21892FCA"/>
    <w:multiLevelType w:val="hybridMultilevel"/>
    <w:tmpl w:val="19564044"/>
    <w:lvl w:ilvl="0" w:tplc="F5CE9E4A">
      <w:start w:val="1"/>
      <w:numFmt w:val="bullet"/>
      <w:lvlText w:val=""/>
      <w:lvlPicBulletId w:val="0"/>
      <w:lvlJc w:val="left"/>
      <w:pPr>
        <w:tabs>
          <w:tab w:val="num" w:pos="720"/>
        </w:tabs>
        <w:ind w:left="720" w:hanging="360"/>
      </w:pPr>
      <w:rPr>
        <w:rFonts w:ascii="Symbol" w:hAnsi="Symbol"/>
      </w:rPr>
    </w:lvl>
    <w:lvl w:ilvl="1" w:tplc="EEE2048A">
      <w:start w:val="1"/>
      <w:numFmt w:val="bullet"/>
      <w:lvlText w:val=""/>
      <w:lvlJc w:val="left"/>
      <w:pPr>
        <w:tabs>
          <w:tab w:val="num" w:pos="1440"/>
        </w:tabs>
        <w:ind w:left="1440" w:hanging="360"/>
      </w:pPr>
      <w:rPr>
        <w:rFonts w:ascii="Symbol" w:hAnsi="Symbol"/>
      </w:rPr>
    </w:lvl>
    <w:lvl w:ilvl="2" w:tplc="8A764058">
      <w:start w:val="1"/>
      <w:numFmt w:val="bullet"/>
      <w:lvlText w:val=""/>
      <w:lvlJc w:val="left"/>
      <w:pPr>
        <w:tabs>
          <w:tab w:val="num" w:pos="2160"/>
        </w:tabs>
        <w:ind w:left="2160" w:hanging="360"/>
      </w:pPr>
      <w:rPr>
        <w:rFonts w:ascii="Symbol" w:hAnsi="Symbol"/>
      </w:rPr>
    </w:lvl>
    <w:lvl w:ilvl="3" w:tplc="C49E8544">
      <w:start w:val="1"/>
      <w:numFmt w:val="bullet"/>
      <w:lvlText w:val=""/>
      <w:lvlJc w:val="left"/>
      <w:pPr>
        <w:tabs>
          <w:tab w:val="num" w:pos="2880"/>
        </w:tabs>
        <w:ind w:left="2880" w:hanging="360"/>
      </w:pPr>
      <w:rPr>
        <w:rFonts w:ascii="Symbol" w:hAnsi="Symbol"/>
      </w:rPr>
    </w:lvl>
    <w:lvl w:ilvl="4" w:tplc="216EFBF8">
      <w:start w:val="1"/>
      <w:numFmt w:val="bullet"/>
      <w:lvlText w:val=""/>
      <w:lvlJc w:val="left"/>
      <w:pPr>
        <w:tabs>
          <w:tab w:val="num" w:pos="3600"/>
        </w:tabs>
        <w:ind w:left="3600" w:hanging="360"/>
      </w:pPr>
      <w:rPr>
        <w:rFonts w:ascii="Symbol" w:hAnsi="Symbol"/>
      </w:rPr>
    </w:lvl>
    <w:lvl w:ilvl="5" w:tplc="DFD23F68">
      <w:start w:val="1"/>
      <w:numFmt w:val="bullet"/>
      <w:lvlText w:val=""/>
      <w:lvlJc w:val="left"/>
      <w:pPr>
        <w:tabs>
          <w:tab w:val="num" w:pos="4320"/>
        </w:tabs>
        <w:ind w:left="4320" w:hanging="360"/>
      </w:pPr>
      <w:rPr>
        <w:rFonts w:ascii="Symbol" w:hAnsi="Symbol"/>
      </w:rPr>
    </w:lvl>
    <w:lvl w:ilvl="6" w:tplc="D6E22452">
      <w:start w:val="1"/>
      <w:numFmt w:val="bullet"/>
      <w:lvlText w:val=""/>
      <w:lvlJc w:val="left"/>
      <w:pPr>
        <w:tabs>
          <w:tab w:val="num" w:pos="5040"/>
        </w:tabs>
        <w:ind w:left="5040" w:hanging="360"/>
      </w:pPr>
      <w:rPr>
        <w:rFonts w:ascii="Symbol" w:hAnsi="Symbol"/>
      </w:rPr>
    </w:lvl>
    <w:lvl w:ilvl="7" w:tplc="C740704A">
      <w:start w:val="1"/>
      <w:numFmt w:val="bullet"/>
      <w:lvlText w:val=""/>
      <w:lvlJc w:val="left"/>
      <w:pPr>
        <w:tabs>
          <w:tab w:val="num" w:pos="5760"/>
        </w:tabs>
        <w:ind w:left="5760" w:hanging="360"/>
      </w:pPr>
      <w:rPr>
        <w:rFonts w:ascii="Symbol" w:hAnsi="Symbol"/>
      </w:rPr>
    </w:lvl>
    <w:lvl w:ilvl="8" w:tplc="1EDAD48A">
      <w:start w:val="1"/>
      <w:numFmt w:val="bullet"/>
      <w:lvlText w:val=""/>
      <w:lvlJc w:val="left"/>
      <w:pPr>
        <w:tabs>
          <w:tab w:val="num" w:pos="6480"/>
        </w:tabs>
        <w:ind w:left="6480" w:hanging="360"/>
      </w:pPr>
      <w:rPr>
        <w:rFonts w:ascii="Symbol" w:hAnsi="Symbol"/>
      </w:rPr>
    </w:lvl>
  </w:abstractNum>
  <w:abstractNum w:abstractNumId="11" w15:restartNumberingAfterBreak="0">
    <w:nsid w:val="225D021C"/>
    <w:multiLevelType w:val="hybridMultilevel"/>
    <w:tmpl w:val="35321296"/>
    <w:lvl w:ilvl="0" w:tplc="7EFCE64A">
      <w:start w:val="1"/>
      <w:numFmt w:val="bullet"/>
      <w:lvlText w:val=""/>
      <w:lvlJc w:val="left"/>
      <w:pPr>
        <w:tabs>
          <w:tab w:val="num" w:pos="720"/>
        </w:tabs>
        <w:ind w:left="720" w:hanging="360"/>
      </w:pPr>
      <w:rPr>
        <w:rFonts w:ascii="Symbol" w:hAnsi="Symbol"/>
      </w:rPr>
    </w:lvl>
    <w:lvl w:ilvl="1" w:tplc="581225C4">
      <w:start w:val="1"/>
      <w:numFmt w:val="lowerLetter"/>
      <w:lvlText w:val="%2."/>
      <w:lvlJc w:val="left"/>
      <w:pPr>
        <w:tabs>
          <w:tab w:val="num" w:pos="1440"/>
        </w:tabs>
        <w:ind w:left="1440" w:hanging="360"/>
      </w:pPr>
    </w:lvl>
    <w:lvl w:ilvl="2" w:tplc="5E4E34D8">
      <w:start w:val="1"/>
      <w:numFmt w:val="lowerRoman"/>
      <w:lvlText w:val="%3."/>
      <w:lvlJc w:val="right"/>
      <w:pPr>
        <w:tabs>
          <w:tab w:val="num" w:pos="2160"/>
        </w:tabs>
        <w:ind w:left="2160" w:hanging="180"/>
      </w:pPr>
    </w:lvl>
    <w:lvl w:ilvl="3" w:tplc="89445CDC">
      <w:start w:val="1"/>
      <w:numFmt w:val="decimal"/>
      <w:lvlText w:val="%4."/>
      <w:lvlJc w:val="left"/>
      <w:pPr>
        <w:tabs>
          <w:tab w:val="num" w:pos="2880"/>
        </w:tabs>
        <w:ind w:left="2880" w:hanging="360"/>
      </w:pPr>
    </w:lvl>
    <w:lvl w:ilvl="4" w:tplc="E18A12BA">
      <w:start w:val="1"/>
      <w:numFmt w:val="lowerLetter"/>
      <w:lvlText w:val="%5."/>
      <w:lvlJc w:val="left"/>
      <w:pPr>
        <w:tabs>
          <w:tab w:val="num" w:pos="3600"/>
        </w:tabs>
        <w:ind w:left="3600" w:hanging="360"/>
      </w:pPr>
    </w:lvl>
    <w:lvl w:ilvl="5" w:tplc="E686378C">
      <w:start w:val="1"/>
      <w:numFmt w:val="lowerRoman"/>
      <w:lvlText w:val="%6."/>
      <w:lvlJc w:val="right"/>
      <w:pPr>
        <w:tabs>
          <w:tab w:val="num" w:pos="4320"/>
        </w:tabs>
        <w:ind w:left="4320" w:hanging="180"/>
      </w:pPr>
    </w:lvl>
    <w:lvl w:ilvl="6" w:tplc="6016AE32">
      <w:start w:val="1"/>
      <w:numFmt w:val="decimal"/>
      <w:lvlText w:val="%7."/>
      <w:lvlJc w:val="left"/>
      <w:pPr>
        <w:tabs>
          <w:tab w:val="num" w:pos="5040"/>
        </w:tabs>
        <w:ind w:left="5040" w:hanging="360"/>
      </w:pPr>
    </w:lvl>
    <w:lvl w:ilvl="7" w:tplc="3B9891C0">
      <w:start w:val="1"/>
      <w:numFmt w:val="lowerLetter"/>
      <w:lvlText w:val="%8."/>
      <w:lvlJc w:val="left"/>
      <w:pPr>
        <w:tabs>
          <w:tab w:val="num" w:pos="5760"/>
        </w:tabs>
        <w:ind w:left="5760" w:hanging="360"/>
      </w:pPr>
    </w:lvl>
    <w:lvl w:ilvl="8" w:tplc="EEA00058">
      <w:start w:val="1"/>
      <w:numFmt w:val="lowerRoman"/>
      <w:lvlText w:val="%9."/>
      <w:lvlJc w:val="right"/>
      <w:pPr>
        <w:tabs>
          <w:tab w:val="num" w:pos="6480"/>
        </w:tabs>
        <w:ind w:left="6480" w:hanging="180"/>
      </w:pPr>
    </w:lvl>
  </w:abstractNum>
  <w:abstractNum w:abstractNumId="12" w15:restartNumberingAfterBreak="0">
    <w:nsid w:val="28DE7CE3"/>
    <w:multiLevelType w:val="hybridMultilevel"/>
    <w:tmpl w:val="E28EFB74"/>
    <w:lvl w:ilvl="0" w:tplc="3F900930">
      <w:start w:val="1"/>
      <w:numFmt w:val="bullet"/>
      <w:lvlText w:val=""/>
      <w:lvlPicBulletId w:val="0"/>
      <w:lvlJc w:val="left"/>
      <w:pPr>
        <w:ind w:left="2534" w:hanging="360"/>
      </w:pPr>
      <w:rPr>
        <w:rFonts w:ascii="Symbol" w:hAnsi="Symbol"/>
      </w:rPr>
    </w:lvl>
    <w:lvl w:ilvl="1" w:tplc="BF50F02E">
      <w:start w:val="1"/>
      <w:numFmt w:val="bullet"/>
      <w:lvlText w:val="o"/>
      <w:lvlJc w:val="left"/>
      <w:pPr>
        <w:ind w:left="3254" w:hanging="360"/>
      </w:pPr>
      <w:rPr>
        <w:rFonts w:ascii="Courier New" w:hAnsi="Courier New" w:cs="Courier New"/>
      </w:rPr>
    </w:lvl>
    <w:lvl w:ilvl="2" w:tplc="DC44BFF2">
      <w:start w:val="1"/>
      <w:numFmt w:val="bullet"/>
      <w:lvlText w:val=""/>
      <w:lvlJc w:val="left"/>
      <w:pPr>
        <w:ind w:left="3974" w:hanging="360"/>
      </w:pPr>
      <w:rPr>
        <w:rFonts w:ascii="Wingdings" w:hAnsi="Wingdings"/>
      </w:rPr>
    </w:lvl>
    <w:lvl w:ilvl="3" w:tplc="394212DC">
      <w:start w:val="1"/>
      <w:numFmt w:val="bullet"/>
      <w:lvlText w:val=""/>
      <w:lvlJc w:val="left"/>
      <w:pPr>
        <w:ind w:left="4694" w:hanging="360"/>
      </w:pPr>
      <w:rPr>
        <w:rFonts w:ascii="Symbol" w:hAnsi="Symbol"/>
      </w:rPr>
    </w:lvl>
    <w:lvl w:ilvl="4" w:tplc="CC12554E">
      <w:start w:val="1"/>
      <w:numFmt w:val="bullet"/>
      <w:lvlText w:val="o"/>
      <w:lvlJc w:val="left"/>
      <w:pPr>
        <w:ind w:left="5414" w:hanging="360"/>
      </w:pPr>
      <w:rPr>
        <w:rFonts w:ascii="Courier New" w:hAnsi="Courier New" w:cs="Courier New"/>
      </w:rPr>
    </w:lvl>
    <w:lvl w:ilvl="5" w:tplc="F8DC90C6">
      <w:start w:val="1"/>
      <w:numFmt w:val="bullet"/>
      <w:lvlText w:val=""/>
      <w:lvlJc w:val="left"/>
      <w:pPr>
        <w:ind w:left="6134" w:hanging="360"/>
      </w:pPr>
      <w:rPr>
        <w:rFonts w:ascii="Wingdings" w:hAnsi="Wingdings"/>
      </w:rPr>
    </w:lvl>
    <w:lvl w:ilvl="6" w:tplc="6E3EC7FE">
      <w:start w:val="1"/>
      <w:numFmt w:val="bullet"/>
      <w:lvlText w:val=""/>
      <w:lvlJc w:val="left"/>
      <w:pPr>
        <w:ind w:left="6854" w:hanging="360"/>
      </w:pPr>
      <w:rPr>
        <w:rFonts w:ascii="Symbol" w:hAnsi="Symbol"/>
      </w:rPr>
    </w:lvl>
    <w:lvl w:ilvl="7" w:tplc="074072D0">
      <w:start w:val="1"/>
      <w:numFmt w:val="bullet"/>
      <w:lvlText w:val="o"/>
      <w:lvlJc w:val="left"/>
      <w:pPr>
        <w:ind w:left="7574" w:hanging="360"/>
      </w:pPr>
      <w:rPr>
        <w:rFonts w:ascii="Courier New" w:hAnsi="Courier New" w:cs="Courier New"/>
      </w:rPr>
    </w:lvl>
    <w:lvl w:ilvl="8" w:tplc="14902D3C">
      <w:start w:val="1"/>
      <w:numFmt w:val="bullet"/>
      <w:lvlText w:val=""/>
      <w:lvlJc w:val="left"/>
      <w:pPr>
        <w:ind w:left="8294" w:hanging="360"/>
      </w:pPr>
      <w:rPr>
        <w:rFonts w:ascii="Wingdings" w:hAnsi="Wingdings"/>
      </w:rPr>
    </w:lvl>
  </w:abstractNum>
  <w:abstractNum w:abstractNumId="13" w15:restartNumberingAfterBreak="0">
    <w:nsid w:val="306F5895"/>
    <w:multiLevelType w:val="multilevel"/>
    <w:tmpl w:val="08180012"/>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cs="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14" w15:restartNumberingAfterBreak="0">
    <w:nsid w:val="32FE67FB"/>
    <w:multiLevelType w:val="hybridMultilevel"/>
    <w:tmpl w:val="AD92383E"/>
    <w:lvl w:ilvl="0" w:tplc="0AEC8420">
      <w:start w:val="1"/>
      <w:numFmt w:val="bullet"/>
      <w:lvlText w:val=""/>
      <w:lvlJc w:val="left"/>
      <w:pPr>
        <w:ind w:left="2534" w:hanging="360"/>
      </w:pPr>
      <w:rPr>
        <w:rFonts w:ascii="Symbol" w:hAnsi="Symbol"/>
      </w:rPr>
    </w:lvl>
    <w:lvl w:ilvl="1" w:tplc="57106E76">
      <w:start w:val="1"/>
      <w:numFmt w:val="bullet"/>
      <w:lvlText w:val="o"/>
      <w:lvlJc w:val="left"/>
      <w:pPr>
        <w:ind w:left="3254" w:hanging="360"/>
      </w:pPr>
      <w:rPr>
        <w:rFonts w:ascii="Courier New" w:hAnsi="Courier New" w:cs="Courier New"/>
      </w:rPr>
    </w:lvl>
    <w:lvl w:ilvl="2" w:tplc="3FAACDFE">
      <w:start w:val="1"/>
      <w:numFmt w:val="bullet"/>
      <w:lvlText w:val=""/>
      <w:lvlJc w:val="left"/>
      <w:pPr>
        <w:ind w:left="3974" w:hanging="360"/>
      </w:pPr>
      <w:rPr>
        <w:rFonts w:ascii="Wingdings" w:hAnsi="Wingdings"/>
      </w:rPr>
    </w:lvl>
    <w:lvl w:ilvl="3" w:tplc="49C43C24">
      <w:start w:val="1"/>
      <w:numFmt w:val="bullet"/>
      <w:lvlText w:val=""/>
      <w:lvlJc w:val="left"/>
      <w:pPr>
        <w:ind w:left="4694" w:hanging="360"/>
      </w:pPr>
      <w:rPr>
        <w:rFonts w:ascii="Symbol" w:hAnsi="Symbol"/>
      </w:rPr>
    </w:lvl>
    <w:lvl w:ilvl="4" w:tplc="C2E6756E">
      <w:start w:val="1"/>
      <w:numFmt w:val="bullet"/>
      <w:lvlText w:val="o"/>
      <w:lvlJc w:val="left"/>
      <w:pPr>
        <w:ind w:left="5414" w:hanging="360"/>
      </w:pPr>
      <w:rPr>
        <w:rFonts w:ascii="Courier New" w:hAnsi="Courier New" w:cs="Courier New"/>
      </w:rPr>
    </w:lvl>
    <w:lvl w:ilvl="5" w:tplc="83DC12A6">
      <w:start w:val="1"/>
      <w:numFmt w:val="bullet"/>
      <w:lvlText w:val=""/>
      <w:lvlJc w:val="left"/>
      <w:pPr>
        <w:ind w:left="6134" w:hanging="360"/>
      </w:pPr>
      <w:rPr>
        <w:rFonts w:ascii="Wingdings" w:hAnsi="Wingdings"/>
      </w:rPr>
    </w:lvl>
    <w:lvl w:ilvl="6" w:tplc="D9CAA386">
      <w:start w:val="1"/>
      <w:numFmt w:val="bullet"/>
      <w:lvlText w:val=""/>
      <w:lvlJc w:val="left"/>
      <w:pPr>
        <w:ind w:left="6854" w:hanging="360"/>
      </w:pPr>
      <w:rPr>
        <w:rFonts w:ascii="Symbol" w:hAnsi="Symbol"/>
      </w:rPr>
    </w:lvl>
    <w:lvl w:ilvl="7" w:tplc="DCA06648">
      <w:start w:val="1"/>
      <w:numFmt w:val="bullet"/>
      <w:lvlText w:val="o"/>
      <w:lvlJc w:val="left"/>
      <w:pPr>
        <w:ind w:left="7574" w:hanging="360"/>
      </w:pPr>
      <w:rPr>
        <w:rFonts w:ascii="Courier New" w:hAnsi="Courier New" w:cs="Courier New"/>
      </w:rPr>
    </w:lvl>
    <w:lvl w:ilvl="8" w:tplc="3A3EE25A">
      <w:start w:val="1"/>
      <w:numFmt w:val="bullet"/>
      <w:lvlText w:val=""/>
      <w:lvlJc w:val="left"/>
      <w:pPr>
        <w:ind w:left="8294" w:hanging="360"/>
      </w:pPr>
      <w:rPr>
        <w:rFonts w:ascii="Wingdings" w:hAnsi="Wingdings"/>
      </w:rPr>
    </w:lvl>
  </w:abstractNum>
  <w:abstractNum w:abstractNumId="15" w15:restartNumberingAfterBreak="0">
    <w:nsid w:val="3B876B76"/>
    <w:multiLevelType w:val="hybridMultilevel"/>
    <w:tmpl w:val="CA7EBB5E"/>
    <w:lvl w:ilvl="0" w:tplc="B762B160">
      <w:start w:val="1"/>
      <w:numFmt w:val="bullet"/>
      <w:lvlText w:val=""/>
      <w:lvlJc w:val="left"/>
      <w:pPr>
        <w:tabs>
          <w:tab w:val="num" w:pos="340"/>
        </w:tabs>
      </w:pPr>
      <w:rPr>
        <w:rFonts w:ascii="Webdings" w:hAnsi="Webdings"/>
        <w:b w:val="0"/>
        <w:i w:val="0"/>
        <w:color w:val="E42618"/>
        <w:spacing w:val="0"/>
        <w:sz w:val="24"/>
        <w:szCs w:val="18"/>
      </w:rPr>
    </w:lvl>
    <w:lvl w:ilvl="1" w:tplc="4C468400">
      <w:start w:val="1"/>
      <w:numFmt w:val="bullet"/>
      <w:lvlText w:val="o"/>
      <w:lvlJc w:val="left"/>
      <w:pPr>
        <w:tabs>
          <w:tab w:val="num" w:pos="1440"/>
        </w:tabs>
        <w:ind w:left="1440" w:hanging="360"/>
      </w:pPr>
      <w:rPr>
        <w:rFonts w:ascii="Courier New" w:hAnsi="Courier New"/>
      </w:rPr>
    </w:lvl>
    <w:lvl w:ilvl="2" w:tplc="6D3638B2">
      <w:start w:val="1"/>
      <w:numFmt w:val="bullet"/>
      <w:lvlText w:val=""/>
      <w:lvlJc w:val="left"/>
      <w:pPr>
        <w:tabs>
          <w:tab w:val="num" w:pos="2160"/>
        </w:tabs>
        <w:ind w:left="2160" w:hanging="360"/>
      </w:pPr>
      <w:rPr>
        <w:rFonts w:ascii="Wingdings" w:hAnsi="Wingdings"/>
      </w:rPr>
    </w:lvl>
    <w:lvl w:ilvl="3" w:tplc="7B829CBE">
      <w:start w:val="1"/>
      <w:numFmt w:val="bullet"/>
      <w:lvlText w:val=""/>
      <w:lvlJc w:val="left"/>
      <w:pPr>
        <w:tabs>
          <w:tab w:val="num" w:pos="2880"/>
        </w:tabs>
        <w:ind w:left="2880" w:hanging="360"/>
      </w:pPr>
      <w:rPr>
        <w:rFonts w:ascii="Symbol" w:hAnsi="Symbol"/>
      </w:rPr>
    </w:lvl>
    <w:lvl w:ilvl="4" w:tplc="AC1ADE14">
      <w:start w:val="1"/>
      <w:numFmt w:val="bullet"/>
      <w:lvlText w:val="o"/>
      <w:lvlJc w:val="left"/>
      <w:pPr>
        <w:tabs>
          <w:tab w:val="num" w:pos="3600"/>
        </w:tabs>
        <w:ind w:left="3600" w:hanging="360"/>
      </w:pPr>
      <w:rPr>
        <w:rFonts w:ascii="Courier New" w:hAnsi="Courier New"/>
      </w:rPr>
    </w:lvl>
    <w:lvl w:ilvl="5" w:tplc="24FE8DD6">
      <w:start w:val="1"/>
      <w:numFmt w:val="bullet"/>
      <w:lvlText w:val=""/>
      <w:lvlJc w:val="left"/>
      <w:pPr>
        <w:tabs>
          <w:tab w:val="num" w:pos="4320"/>
        </w:tabs>
        <w:ind w:left="4320" w:hanging="360"/>
      </w:pPr>
      <w:rPr>
        <w:rFonts w:ascii="Wingdings" w:hAnsi="Wingdings"/>
      </w:rPr>
    </w:lvl>
    <w:lvl w:ilvl="6" w:tplc="E4A2D630">
      <w:start w:val="1"/>
      <w:numFmt w:val="bullet"/>
      <w:lvlText w:val=""/>
      <w:lvlJc w:val="left"/>
      <w:pPr>
        <w:tabs>
          <w:tab w:val="num" w:pos="5040"/>
        </w:tabs>
        <w:ind w:left="5040" w:hanging="360"/>
      </w:pPr>
      <w:rPr>
        <w:rFonts w:ascii="Symbol" w:hAnsi="Symbol"/>
      </w:rPr>
    </w:lvl>
    <w:lvl w:ilvl="7" w:tplc="A0789C62">
      <w:start w:val="1"/>
      <w:numFmt w:val="bullet"/>
      <w:lvlText w:val="o"/>
      <w:lvlJc w:val="left"/>
      <w:pPr>
        <w:tabs>
          <w:tab w:val="num" w:pos="5760"/>
        </w:tabs>
        <w:ind w:left="5760" w:hanging="360"/>
      </w:pPr>
      <w:rPr>
        <w:rFonts w:ascii="Courier New" w:hAnsi="Courier New"/>
      </w:rPr>
    </w:lvl>
    <w:lvl w:ilvl="8" w:tplc="E9AABDDE">
      <w:start w:val="1"/>
      <w:numFmt w:val="bullet"/>
      <w:lvlText w:val=""/>
      <w:lvlJc w:val="left"/>
      <w:pPr>
        <w:tabs>
          <w:tab w:val="num" w:pos="6480"/>
        </w:tabs>
        <w:ind w:left="6480" w:hanging="360"/>
      </w:pPr>
      <w:rPr>
        <w:rFonts w:ascii="Wingdings" w:hAnsi="Wingdings"/>
      </w:rPr>
    </w:lvl>
  </w:abstractNum>
  <w:abstractNum w:abstractNumId="16" w15:restartNumberingAfterBreak="0">
    <w:nsid w:val="3DC55E25"/>
    <w:multiLevelType w:val="hybridMultilevel"/>
    <w:tmpl w:val="F37ED956"/>
    <w:lvl w:ilvl="0" w:tplc="5DC011F6">
      <w:start w:val="1"/>
      <w:numFmt w:val="bullet"/>
      <w:lvlText w:val=""/>
      <w:lvlPicBulletId w:val="0"/>
      <w:lvlJc w:val="left"/>
      <w:pPr>
        <w:ind w:left="2534" w:hanging="360"/>
      </w:pPr>
      <w:rPr>
        <w:rFonts w:ascii="Symbol" w:hAnsi="Symbol"/>
      </w:rPr>
    </w:lvl>
    <w:lvl w:ilvl="1" w:tplc="4EAEFCDA">
      <w:start w:val="1"/>
      <w:numFmt w:val="bullet"/>
      <w:lvlText w:val="o"/>
      <w:lvlJc w:val="left"/>
      <w:pPr>
        <w:ind w:left="3254" w:hanging="360"/>
      </w:pPr>
      <w:rPr>
        <w:rFonts w:ascii="Courier New" w:hAnsi="Courier New" w:cs="Courier New"/>
      </w:rPr>
    </w:lvl>
    <w:lvl w:ilvl="2" w:tplc="BDB20F20">
      <w:start w:val="1"/>
      <w:numFmt w:val="bullet"/>
      <w:lvlText w:val=""/>
      <w:lvlJc w:val="left"/>
      <w:pPr>
        <w:ind w:left="3974" w:hanging="360"/>
      </w:pPr>
      <w:rPr>
        <w:rFonts w:ascii="Wingdings" w:hAnsi="Wingdings"/>
      </w:rPr>
    </w:lvl>
    <w:lvl w:ilvl="3" w:tplc="8CE497C2">
      <w:start w:val="1"/>
      <w:numFmt w:val="bullet"/>
      <w:lvlText w:val=""/>
      <w:lvlJc w:val="left"/>
      <w:pPr>
        <w:ind w:left="4694" w:hanging="360"/>
      </w:pPr>
      <w:rPr>
        <w:rFonts w:ascii="Symbol" w:hAnsi="Symbol"/>
      </w:rPr>
    </w:lvl>
    <w:lvl w:ilvl="4" w:tplc="58982EC0">
      <w:start w:val="1"/>
      <w:numFmt w:val="bullet"/>
      <w:lvlText w:val="o"/>
      <w:lvlJc w:val="left"/>
      <w:pPr>
        <w:ind w:left="5414" w:hanging="360"/>
      </w:pPr>
      <w:rPr>
        <w:rFonts w:ascii="Courier New" w:hAnsi="Courier New" w:cs="Courier New"/>
      </w:rPr>
    </w:lvl>
    <w:lvl w:ilvl="5" w:tplc="059A3C98">
      <w:start w:val="1"/>
      <w:numFmt w:val="bullet"/>
      <w:lvlText w:val=""/>
      <w:lvlJc w:val="left"/>
      <w:pPr>
        <w:ind w:left="6134" w:hanging="360"/>
      </w:pPr>
      <w:rPr>
        <w:rFonts w:ascii="Wingdings" w:hAnsi="Wingdings"/>
      </w:rPr>
    </w:lvl>
    <w:lvl w:ilvl="6" w:tplc="E15C016E">
      <w:start w:val="1"/>
      <w:numFmt w:val="bullet"/>
      <w:lvlText w:val=""/>
      <w:lvlJc w:val="left"/>
      <w:pPr>
        <w:ind w:left="6854" w:hanging="360"/>
      </w:pPr>
      <w:rPr>
        <w:rFonts w:ascii="Symbol" w:hAnsi="Symbol"/>
      </w:rPr>
    </w:lvl>
    <w:lvl w:ilvl="7" w:tplc="19CE6106">
      <w:start w:val="1"/>
      <w:numFmt w:val="bullet"/>
      <w:lvlText w:val="o"/>
      <w:lvlJc w:val="left"/>
      <w:pPr>
        <w:ind w:left="7574" w:hanging="360"/>
      </w:pPr>
      <w:rPr>
        <w:rFonts w:ascii="Courier New" w:hAnsi="Courier New" w:cs="Courier New"/>
      </w:rPr>
    </w:lvl>
    <w:lvl w:ilvl="8" w:tplc="899EDE62">
      <w:start w:val="1"/>
      <w:numFmt w:val="bullet"/>
      <w:lvlText w:val=""/>
      <w:lvlJc w:val="left"/>
      <w:pPr>
        <w:ind w:left="8294" w:hanging="360"/>
      </w:pPr>
      <w:rPr>
        <w:rFonts w:ascii="Wingdings" w:hAnsi="Wingdings"/>
      </w:rPr>
    </w:lvl>
  </w:abstractNum>
  <w:abstractNum w:abstractNumId="17" w15:restartNumberingAfterBreak="0">
    <w:nsid w:val="4417743D"/>
    <w:multiLevelType w:val="hybridMultilevel"/>
    <w:tmpl w:val="28E6672C"/>
    <w:lvl w:ilvl="0" w:tplc="8BCEC550">
      <w:start w:val="1"/>
      <w:numFmt w:val="bullet"/>
      <w:lvlText w:val=""/>
      <w:lvlJc w:val="left"/>
      <w:pPr>
        <w:ind w:left="2534" w:hanging="360"/>
      </w:pPr>
      <w:rPr>
        <w:rFonts w:ascii="Wingdings" w:hAnsi="Wingdings"/>
        <w:b/>
        <w:i w:val="0"/>
        <w:color w:val="FF0000"/>
        <w:sz w:val="18"/>
      </w:rPr>
    </w:lvl>
    <w:lvl w:ilvl="1" w:tplc="3A34462A">
      <w:start w:val="1"/>
      <w:numFmt w:val="bullet"/>
      <w:lvlText w:val="o"/>
      <w:lvlJc w:val="left"/>
      <w:pPr>
        <w:ind w:left="3254" w:hanging="360"/>
      </w:pPr>
      <w:rPr>
        <w:rFonts w:ascii="Courier New" w:hAnsi="Courier New" w:cs="Courier New"/>
      </w:rPr>
    </w:lvl>
    <w:lvl w:ilvl="2" w:tplc="3DE00996">
      <w:start w:val="1"/>
      <w:numFmt w:val="bullet"/>
      <w:lvlText w:val=""/>
      <w:lvlJc w:val="left"/>
      <w:pPr>
        <w:ind w:left="3974" w:hanging="360"/>
      </w:pPr>
      <w:rPr>
        <w:rFonts w:ascii="Wingdings" w:hAnsi="Wingdings"/>
      </w:rPr>
    </w:lvl>
    <w:lvl w:ilvl="3" w:tplc="02A4A7C2">
      <w:start w:val="1"/>
      <w:numFmt w:val="bullet"/>
      <w:lvlText w:val=""/>
      <w:lvlJc w:val="left"/>
      <w:pPr>
        <w:ind w:left="4694" w:hanging="360"/>
      </w:pPr>
      <w:rPr>
        <w:rFonts w:ascii="Symbol" w:hAnsi="Symbol"/>
      </w:rPr>
    </w:lvl>
    <w:lvl w:ilvl="4" w:tplc="67BAAEFA">
      <w:start w:val="1"/>
      <w:numFmt w:val="bullet"/>
      <w:lvlText w:val="o"/>
      <w:lvlJc w:val="left"/>
      <w:pPr>
        <w:ind w:left="5414" w:hanging="360"/>
      </w:pPr>
      <w:rPr>
        <w:rFonts w:ascii="Courier New" w:hAnsi="Courier New" w:cs="Courier New"/>
      </w:rPr>
    </w:lvl>
    <w:lvl w:ilvl="5" w:tplc="38BCE722">
      <w:start w:val="1"/>
      <w:numFmt w:val="bullet"/>
      <w:lvlText w:val=""/>
      <w:lvlJc w:val="left"/>
      <w:pPr>
        <w:ind w:left="6134" w:hanging="360"/>
      </w:pPr>
      <w:rPr>
        <w:rFonts w:ascii="Wingdings" w:hAnsi="Wingdings"/>
      </w:rPr>
    </w:lvl>
    <w:lvl w:ilvl="6" w:tplc="9B2EB5C6">
      <w:start w:val="1"/>
      <w:numFmt w:val="bullet"/>
      <w:lvlText w:val=""/>
      <w:lvlJc w:val="left"/>
      <w:pPr>
        <w:ind w:left="6854" w:hanging="360"/>
      </w:pPr>
      <w:rPr>
        <w:rFonts w:ascii="Symbol" w:hAnsi="Symbol"/>
      </w:rPr>
    </w:lvl>
    <w:lvl w:ilvl="7" w:tplc="FD766590">
      <w:start w:val="1"/>
      <w:numFmt w:val="bullet"/>
      <w:lvlText w:val="o"/>
      <w:lvlJc w:val="left"/>
      <w:pPr>
        <w:ind w:left="7574" w:hanging="360"/>
      </w:pPr>
      <w:rPr>
        <w:rFonts w:ascii="Courier New" w:hAnsi="Courier New" w:cs="Courier New"/>
      </w:rPr>
    </w:lvl>
    <w:lvl w:ilvl="8" w:tplc="AFB8B9CA">
      <w:start w:val="1"/>
      <w:numFmt w:val="bullet"/>
      <w:lvlText w:val=""/>
      <w:lvlJc w:val="left"/>
      <w:pPr>
        <w:ind w:left="8294" w:hanging="360"/>
      </w:pPr>
      <w:rPr>
        <w:rFonts w:ascii="Wingdings" w:hAnsi="Wingdings"/>
      </w:rPr>
    </w:lvl>
  </w:abstractNum>
  <w:abstractNum w:abstractNumId="18" w15:restartNumberingAfterBreak="0">
    <w:nsid w:val="4EC80B4A"/>
    <w:multiLevelType w:val="hybridMultilevel"/>
    <w:tmpl w:val="7B3AC8D8"/>
    <w:lvl w:ilvl="0" w:tplc="B0F4FEC8">
      <w:start w:val="1"/>
      <w:numFmt w:val="bullet"/>
      <w:lvlText w:val=""/>
      <w:lvlPicBulletId w:val="0"/>
      <w:lvlJc w:val="left"/>
      <w:pPr>
        <w:ind w:left="2534" w:hanging="360"/>
      </w:pPr>
      <w:rPr>
        <w:rFonts w:ascii="Symbol" w:hAnsi="Symbol"/>
      </w:rPr>
    </w:lvl>
    <w:lvl w:ilvl="1" w:tplc="D1F67C3C">
      <w:start w:val="1"/>
      <w:numFmt w:val="bullet"/>
      <w:lvlText w:val="o"/>
      <w:lvlJc w:val="left"/>
      <w:pPr>
        <w:ind w:left="3254" w:hanging="360"/>
      </w:pPr>
      <w:rPr>
        <w:rFonts w:ascii="Courier New" w:hAnsi="Courier New" w:cs="Courier New"/>
      </w:rPr>
    </w:lvl>
    <w:lvl w:ilvl="2" w:tplc="7F94D0B4">
      <w:start w:val="1"/>
      <w:numFmt w:val="bullet"/>
      <w:lvlText w:val=""/>
      <w:lvlJc w:val="left"/>
      <w:pPr>
        <w:ind w:left="3974" w:hanging="360"/>
      </w:pPr>
      <w:rPr>
        <w:rFonts w:ascii="Wingdings" w:hAnsi="Wingdings"/>
      </w:rPr>
    </w:lvl>
    <w:lvl w:ilvl="3" w:tplc="0B5E604A">
      <w:start w:val="1"/>
      <w:numFmt w:val="bullet"/>
      <w:lvlText w:val=""/>
      <w:lvlJc w:val="left"/>
      <w:pPr>
        <w:ind w:left="4694" w:hanging="360"/>
      </w:pPr>
      <w:rPr>
        <w:rFonts w:ascii="Symbol" w:hAnsi="Symbol"/>
      </w:rPr>
    </w:lvl>
    <w:lvl w:ilvl="4" w:tplc="5EB24CFA">
      <w:start w:val="1"/>
      <w:numFmt w:val="bullet"/>
      <w:lvlText w:val="o"/>
      <w:lvlJc w:val="left"/>
      <w:pPr>
        <w:ind w:left="5414" w:hanging="360"/>
      </w:pPr>
      <w:rPr>
        <w:rFonts w:ascii="Courier New" w:hAnsi="Courier New" w:cs="Courier New"/>
      </w:rPr>
    </w:lvl>
    <w:lvl w:ilvl="5" w:tplc="7E40DFEA">
      <w:start w:val="1"/>
      <w:numFmt w:val="bullet"/>
      <w:lvlText w:val=""/>
      <w:lvlJc w:val="left"/>
      <w:pPr>
        <w:ind w:left="6134" w:hanging="360"/>
      </w:pPr>
      <w:rPr>
        <w:rFonts w:ascii="Wingdings" w:hAnsi="Wingdings"/>
      </w:rPr>
    </w:lvl>
    <w:lvl w:ilvl="6" w:tplc="A0240204">
      <w:start w:val="1"/>
      <w:numFmt w:val="bullet"/>
      <w:lvlText w:val=""/>
      <w:lvlJc w:val="left"/>
      <w:pPr>
        <w:ind w:left="6854" w:hanging="360"/>
      </w:pPr>
      <w:rPr>
        <w:rFonts w:ascii="Symbol" w:hAnsi="Symbol"/>
      </w:rPr>
    </w:lvl>
    <w:lvl w:ilvl="7" w:tplc="D512D4D6">
      <w:start w:val="1"/>
      <w:numFmt w:val="bullet"/>
      <w:lvlText w:val="o"/>
      <w:lvlJc w:val="left"/>
      <w:pPr>
        <w:ind w:left="7574" w:hanging="360"/>
      </w:pPr>
      <w:rPr>
        <w:rFonts w:ascii="Courier New" w:hAnsi="Courier New" w:cs="Courier New"/>
      </w:rPr>
    </w:lvl>
    <w:lvl w:ilvl="8" w:tplc="A2FACB1E">
      <w:start w:val="1"/>
      <w:numFmt w:val="bullet"/>
      <w:lvlText w:val=""/>
      <w:lvlJc w:val="left"/>
      <w:pPr>
        <w:ind w:left="8294" w:hanging="360"/>
      </w:pPr>
      <w:rPr>
        <w:rFonts w:ascii="Wingdings" w:hAnsi="Wingdings"/>
      </w:rPr>
    </w:lvl>
  </w:abstractNum>
  <w:abstractNum w:abstractNumId="19" w15:restartNumberingAfterBreak="0">
    <w:nsid w:val="51AB46AE"/>
    <w:multiLevelType w:val="hybridMultilevel"/>
    <w:tmpl w:val="962E00F6"/>
    <w:lvl w:ilvl="0" w:tplc="B9F6AF38">
      <w:start w:val="2"/>
      <w:numFmt w:val="lowerLetter"/>
      <w:lvlText w:val="(%1)"/>
      <w:lvlJc w:val="left"/>
      <w:pPr>
        <w:ind w:left="2174"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CD5AF9"/>
    <w:multiLevelType w:val="hybridMultilevel"/>
    <w:tmpl w:val="B3347FD6"/>
    <w:lvl w:ilvl="0" w:tplc="B418AB66">
      <w:start w:val="1"/>
      <w:numFmt w:val="bullet"/>
      <w:lvlText w:val=""/>
      <w:lvlJc w:val="left"/>
      <w:pPr>
        <w:tabs>
          <w:tab w:val="num" w:pos="2534"/>
        </w:tabs>
        <w:ind w:left="2534" w:hanging="360"/>
      </w:pPr>
      <w:rPr>
        <w:rFonts w:ascii="Symbol" w:hAnsi="Symbol"/>
      </w:rPr>
    </w:lvl>
    <w:lvl w:ilvl="1" w:tplc="0ECCECF4">
      <w:start w:val="1"/>
      <w:numFmt w:val="bullet"/>
      <w:lvlText w:val="o"/>
      <w:lvlJc w:val="left"/>
      <w:pPr>
        <w:tabs>
          <w:tab w:val="num" w:pos="3254"/>
        </w:tabs>
        <w:ind w:left="3254" w:hanging="360"/>
      </w:pPr>
      <w:rPr>
        <w:rFonts w:ascii="Courier New" w:hAnsi="Courier New"/>
      </w:rPr>
    </w:lvl>
    <w:lvl w:ilvl="2" w:tplc="D97ACCE6">
      <w:start w:val="1"/>
      <w:numFmt w:val="bullet"/>
      <w:lvlText w:val=""/>
      <w:lvlJc w:val="left"/>
      <w:pPr>
        <w:tabs>
          <w:tab w:val="num" w:pos="3974"/>
        </w:tabs>
        <w:ind w:left="3974" w:hanging="360"/>
      </w:pPr>
      <w:rPr>
        <w:rFonts w:ascii="Wingdings" w:hAnsi="Wingdings"/>
      </w:rPr>
    </w:lvl>
    <w:lvl w:ilvl="3" w:tplc="0D34C114">
      <w:start w:val="1"/>
      <w:numFmt w:val="bullet"/>
      <w:lvlText w:val=""/>
      <w:lvlJc w:val="left"/>
      <w:pPr>
        <w:tabs>
          <w:tab w:val="num" w:pos="4694"/>
        </w:tabs>
        <w:ind w:left="4694" w:hanging="360"/>
      </w:pPr>
      <w:rPr>
        <w:rFonts w:ascii="Symbol" w:hAnsi="Symbol"/>
      </w:rPr>
    </w:lvl>
    <w:lvl w:ilvl="4" w:tplc="C5469EAE">
      <w:start w:val="1"/>
      <w:numFmt w:val="bullet"/>
      <w:lvlText w:val="o"/>
      <w:lvlJc w:val="left"/>
      <w:pPr>
        <w:tabs>
          <w:tab w:val="num" w:pos="5414"/>
        </w:tabs>
        <w:ind w:left="5414" w:hanging="360"/>
      </w:pPr>
      <w:rPr>
        <w:rFonts w:ascii="Courier New" w:hAnsi="Courier New"/>
      </w:rPr>
    </w:lvl>
    <w:lvl w:ilvl="5" w:tplc="1A64BCE8">
      <w:start w:val="1"/>
      <w:numFmt w:val="bullet"/>
      <w:lvlText w:val=""/>
      <w:lvlJc w:val="left"/>
      <w:pPr>
        <w:tabs>
          <w:tab w:val="num" w:pos="6134"/>
        </w:tabs>
        <w:ind w:left="6134" w:hanging="360"/>
      </w:pPr>
      <w:rPr>
        <w:rFonts w:ascii="Wingdings" w:hAnsi="Wingdings"/>
      </w:rPr>
    </w:lvl>
    <w:lvl w:ilvl="6" w:tplc="987EB73C">
      <w:start w:val="1"/>
      <w:numFmt w:val="bullet"/>
      <w:lvlText w:val=""/>
      <w:lvlJc w:val="left"/>
      <w:pPr>
        <w:tabs>
          <w:tab w:val="num" w:pos="6854"/>
        </w:tabs>
        <w:ind w:left="6854" w:hanging="360"/>
      </w:pPr>
      <w:rPr>
        <w:rFonts w:ascii="Symbol" w:hAnsi="Symbol"/>
      </w:rPr>
    </w:lvl>
    <w:lvl w:ilvl="7" w:tplc="14B23C3C">
      <w:start w:val="1"/>
      <w:numFmt w:val="bullet"/>
      <w:lvlText w:val="o"/>
      <w:lvlJc w:val="left"/>
      <w:pPr>
        <w:tabs>
          <w:tab w:val="num" w:pos="7574"/>
        </w:tabs>
        <w:ind w:left="7574" w:hanging="360"/>
      </w:pPr>
      <w:rPr>
        <w:rFonts w:ascii="Courier New" w:hAnsi="Courier New"/>
      </w:rPr>
    </w:lvl>
    <w:lvl w:ilvl="8" w:tplc="1F6CCE32">
      <w:start w:val="1"/>
      <w:numFmt w:val="bullet"/>
      <w:lvlText w:val=""/>
      <w:lvlJc w:val="left"/>
      <w:pPr>
        <w:tabs>
          <w:tab w:val="num" w:pos="8294"/>
        </w:tabs>
        <w:ind w:left="8294" w:hanging="360"/>
      </w:pPr>
      <w:rPr>
        <w:rFonts w:ascii="Wingdings" w:hAnsi="Wingdings"/>
      </w:rPr>
    </w:lvl>
  </w:abstractNum>
  <w:abstractNum w:abstractNumId="21" w15:restartNumberingAfterBreak="0">
    <w:nsid w:val="58CC5A71"/>
    <w:multiLevelType w:val="multilevel"/>
    <w:tmpl w:val="C28050EE"/>
    <w:lvl w:ilvl="0">
      <w:start w:val="1"/>
      <w:numFmt w:val="bullet"/>
      <w:lvlText w:val=""/>
      <w:lvlPicBulletId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22" w15:restartNumberingAfterBreak="0">
    <w:nsid w:val="58DF1B38"/>
    <w:multiLevelType w:val="hybridMultilevel"/>
    <w:tmpl w:val="C8A84846"/>
    <w:lvl w:ilvl="0" w:tplc="FA1ED66E">
      <w:start w:val="1"/>
      <w:numFmt w:val="bullet"/>
      <w:lvlText w:val=""/>
      <w:lvlPicBulletId w:val="0"/>
      <w:lvlJc w:val="left"/>
      <w:pPr>
        <w:ind w:left="2563" w:hanging="360"/>
      </w:pPr>
      <w:rPr>
        <w:rFonts w:ascii="Symbol" w:hAnsi="Symbol"/>
      </w:rPr>
    </w:lvl>
    <w:lvl w:ilvl="1" w:tplc="B75A92AE">
      <w:start w:val="1"/>
      <w:numFmt w:val="bullet"/>
      <w:lvlText w:val="o"/>
      <w:lvlJc w:val="left"/>
      <w:pPr>
        <w:ind w:left="3283" w:hanging="360"/>
      </w:pPr>
      <w:rPr>
        <w:rFonts w:ascii="Courier New" w:hAnsi="Courier New" w:cs="Courier New"/>
      </w:rPr>
    </w:lvl>
    <w:lvl w:ilvl="2" w:tplc="8422A15A">
      <w:start w:val="1"/>
      <w:numFmt w:val="bullet"/>
      <w:lvlText w:val=""/>
      <w:lvlJc w:val="left"/>
      <w:pPr>
        <w:ind w:left="4003" w:hanging="360"/>
      </w:pPr>
      <w:rPr>
        <w:rFonts w:ascii="Wingdings" w:hAnsi="Wingdings"/>
      </w:rPr>
    </w:lvl>
    <w:lvl w:ilvl="3" w:tplc="71A40DA6">
      <w:start w:val="1"/>
      <w:numFmt w:val="bullet"/>
      <w:lvlText w:val=""/>
      <w:lvlJc w:val="left"/>
      <w:pPr>
        <w:ind w:left="4723" w:hanging="360"/>
      </w:pPr>
      <w:rPr>
        <w:rFonts w:ascii="Symbol" w:hAnsi="Symbol"/>
      </w:rPr>
    </w:lvl>
    <w:lvl w:ilvl="4" w:tplc="FA925F30">
      <w:start w:val="1"/>
      <w:numFmt w:val="bullet"/>
      <w:lvlText w:val="o"/>
      <w:lvlJc w:val="left"/>
      <w:pPr>
        <w:ind w:left="5443" w:hanging="360"/>
      </w:pPr>
      <w:rPr>
        <w:rFonts w:ascii="Courier New" w:hAnsi="Courier New" w:cs="Courier New"/>
      </w:rPr>
    </w:lvl>
    <w:lvl w:ilvl="5" w:tplc="0DB08B1E">
      <w:start w:val="1"/>
      <w:numFmt w:val="bullet"/>
      <w:lvlText w:val=""/>
      <w:lvlJc w:val="left"/>
      <w:pPr>
        <w:ind w:left="6163" w:hanging="360"/>
      </w:pPr>
      <w:rPr>
        <w:rFonts w:ascii="Wingdings" w:hAnsi="Wingdings"/>
      </w:rPr>
    </w:lvl>
    <w:lvl w:ilvl="6" w:tplc="9488C7D8">
      <w:start w:val="1"/>
      <w:numFmt w:val="bullet"/>
      <w:lvlText w:val=""/>
      <w:lvlJc w:val="left"/>
      <w:pPr>
        <w:ind w:left="6883" w:hanging="360"/>
      </w:pPr>
      <w:rPr>
        <w:rFonts w:ascii="Symbol" w:hAnsi="Symbol"/>
      </w:rPr>
    </w:lvl>
    <w:lvl w:ilvl="7" w:tplc="67F0D520">
      <w:start w:val="1"/>
      <w:numFmt w:val="bullet"/>
      <w:lvlText w:val="o"/>
      <w:lvlJc w:val="left"/>
      <w:pPr>
        <w:ind w:left="7603" w:hanging="360"/>
      </w:pPr>
      <w:rPr>
        <w:rFonts w:ascii="Courier New" w:hAnsi="Courier New" w:cs="Courier New"/>
      </w:rPr>
    </w:lvl>
    <w:lvl w:ilvl="8" w:tplc="E8AA7662">
      <w:start w:val="1"/>
      <w:numFmt w:val="bullet"/>
      <w:lvlText w:val=""/>
      <w:lvlJc w:val="left"/>
      <w:pPr>
        <w:ind w:left="8323" w:hanging="360"/>
      </w:pPr>
      <w:rPr>
        <w:rFonts w:ascii="Wingdings" w:hAnsi="Wingdings"/>
      </w:rPr>
    </w:lvl>
  </w:abstractNum>
  <w:abstractNum w:abstractNumId="23" w15:restartNumberingAfterBreak="0">
    <w:nsid w:val="62186C4E"/>
    <w:multiLevelType w:val="hybridMultilevel"/>
    <w:tmpl w:val="584A601E"/>
    <w:lvl w:ilvl="0" w:tplc="BC48B39E">
      <w:start w:val="1"/>
      <w:numFmt w:val="bullet"/>
      <w:lvlText w:val=""/>
      <w:lvlPicBulletId w:val="1"/>
      <w:lvlJc w:val="left"/>
      <w:pPr>
        <w:tabs>
          <w:tab w:val="num" w:pos="720"/>
        </w:tabs>
        <w:ind w:left="720" w:hanging="360"/>
      </w:pPr>
      <w:rPr>
        <w:rFonts w:ascii="Symbol" w:hAnsi="Symbol"/>
      </w:rPr>
    </w:lvl>
    <w:lvl w:ilvl="1" w:tplc="65E0ABD4">
      <w:start w:val="1"/>
      <w:numFmt w:val="bullet"/>
      <w:lvlText w:val=""/>
      <w:lvlJc w:val="left"/>
      <w:pPr>
        <w:tabs>
          <w:tab w:val="num" w:pos="1440"/>
        </w:tabs>
        <w:ind w:left="1440" w:hanging="360"/>
      </w:pPr>
      <w:rPr>
        <w:rFonts w:ascii="Symbol" w:hAnsi="Symbol"/>
      </w:rPr>
    </w:lvl>
    <w:lvl w:ilvl="2" w:tplc="60480BC6">
      <w:start w:val="1"/>
      <w:numFmt w:val="bullet"/>
      <w:lvlText w:val=""/>
      <w:lvlJc w:val="left"/>
      <w:pPr>
        <w:tabs>
          <w:tab w:val="num" w:pos="2160"/>
        </w:tabs>
        <w:ind w:left="2160" w:hanging="360"/>
      </w:pPr>
      <w:rPr>
        <w:rFonts w:ascii="Symbol" w:hAnsi="Symbol"/>
      </w:rPr>
    </w:lvl>
    <w:lvl w:ilvl="3" w:tplc="0EAC628A">
      <w:start w:val="1"/>
      <w:numFmt w:val="bullet"/>
      <w:lvlText w:val=""/>
      <w:lvlJc w:val="left"/>
      <w:pPr>
        <w:tabs>
          <w:tab w:val="num" w:pos="2880"/>
        </w:tabs>
        <w:ind w:left="2880" w:hanging="360"/>
      </w:pPr>
      <w:rPr>
        <w:rFonts w:ascii="Symbol" w:hAnsi="Symbol"/>
      </w:rPr>
    </w:lvl>
    <w:lvl w:ilvl="4" w:tplc="9ECECB06">
      <w:start w:val="1"/>
      <w:numFmt w:val="bullet"/>
      <w:lvlText w:val=""/>
      <w:lvlJc w:val="left"/>
      <w:pPr>
        <w:tabs>
          <w:tab w:val="num" w:pos="3600"/>
        </w:tabs>
        <w:ind w:left="3600" w:hanging="360"/>
      </w:pPr>
      <w:rPr>
        <w:rFonts w:ascii="Symbol" w:hAnsi="Symbol"/>
      </w:rPr>
    </w:lvl>
    <w:lvl w:ilvl="5" w:tplc="626EA3DE">
      <w:start w:val="1"/>
      <w:numFmt w:val="bullet"/>
      <w:lvlText w:val=""/>
      <w:lvlJc w:val="left"/>
      <w:pPr>
        <w:tabs>
          <w:tab w:val="num" w:pos="4320"/>
        </w:tabs>
        <w:ind w:left="4320" w:hanging="360"/>
      </w:pPr>
      <w:rPr>
        <w:rFonts w:ascii="Symbol" w:hAnsi="Symbol"/>
      </w:rPr>
    </w:lvl>
    <w:lvl w:ilvl="6" w:tplc="FFF6479E">
      <w:start w:val="1"/>
      <w:numFmt w:val="bullet"/>
      <w:lvlText w:val=""/>
      <w:lvlJc w:val="left"/>
      <w:pPr>
        <w:tabs>
          <w:tab w:val="num" w:pos="5040"/>
        </w:tabs>
        <w:ind w:left="5040" w:hanging="360"/>
      </w:pPr>
      <w:rPr>
        <w:rFonts w:ascii="Symbol" w:hAnsi="Symbol"/>
      </w:rPr>
    </w:lvl>
    <w:lvl w:ilvl="7" w:tplc="D76C00E0">
      <w:start w:val="1"/>
      <w:numFmt w:val="bullet"/>
      <w:lvlText w:val=""/>
      <w:lvlJc w:val="left"/>
      <w:pPr>
        <w:tabs>
          <w:tab w:val="num" w:pos="5760"/>
        </w:tabs>
        <w:ind w:left="5760" w:hanging="360"/>
      </w:pPr>
      <w:rPr>
        <w:rFonts w:ascii="Symbol" w:hAnsi="Symbol"/>
      </w:rPr>
    </w:lvl>
    <w:lvl w:ilvl="8" w:tplc="FDC41518">
      <w:start w:val="1"/>
      <w:numFmt w:val="bullet"/>
      <w:lvlText w:val=""/>
      <w:lvlJc w:val="left"/>
      <w:pPr>
        <w:tabs>
          <w:tab w:val="num" w:pos="6480"/>
        </w:tabs>
        <w:ind w:left="6480" w:hanging="360"/>
      </w:pPr>
      <w:rPr>
        <w:rFonts w:ascii="Symbol" w:hAnsi="Symbol"/>
      </w:rPr>
    </w:lvl>
  </w:abstractNum>
  <w:abstractNum w:abstractNumId="24" w15:restartNumberingAfterBreak="0">
    <w:nsid w:val="691C1B2F"/>
    <w:multiLevelType w:val="hybridMultilevel"/>
    <w:tmpl w:val="0A4E907A"/>
    <w:lvl w:ilvl="0" w:tplc="3202FF2A">
      <w:start w:val="1"/>
      <w:numFmt w:val="bullet"/>
      <w:lvlText w:val=""/>
      <w:lvlPicBulletId w:val="0"/>
      <w:lvlJc w:val="left"/>
      <w:pPr>
        <w:ind w:left="2534" w:hanging="360"/>
      </w:pPr>
      <w:rPr>
        <w:rFonts w:ascii="Symbol" w:hAnsi="Symbol"/>
      </w:rPr>
    </w:lvl>
    <w:lvl w:ilvl="1" w:tplc="B4107BD8">
      <w:start w:val="1"/>
      <w:numFmt w:val="bullet"/>
      <w:lvlText w:val="o"/>
      <w:lvlJc w:val="left"/>
      <w:pPr>
        <w:ind w:left="3254" w:hanging="360"/>
      </w:pPr>
      <w:rPr>
        <w:rFonts w:ascii="Courier New" w:hAnsi="Courier New" w:cs="Courier New"/>
      </w:rPr>
    </w:lvl>
    <w:lvl w:ilvl="2" w:tplc="8FB82A1E">
      <w:start w:val="1"/>
      <w:numFmt w:val="bullet"/>
      <w:lvlText w:val=""/>
      <w:lvlJc w:val="left"/>
      <w:pPr>
        <w:ind w:left="3974" w:hanging="360"/>
      </w:pPr>
      <w:rPr>
        <w:rFonts w:ascii="Wingdings" w:hAnsi="Wingdings"/>
      </w:rPr>
    </w:lvl>
    <w:lvl w:ilvl="3" w:tplc="1C10F192">
      <w:start w:val="1"/>
      <w:numFmt w:val="bullet"/>
      <w:lvlText w:val=""/>
      <w:lvlJc w:val="left"/>
      <w:pPr>
        <w:ind w:left="4694" w:hanging="360"/>
      </w:pPr>
      <w:rPr>
        <w:rFonts w:ascii="Symbol" w:hAnsi="Symbol"/>
      </w:rPr>
    </w:lvl>
    <w:lvl w:ilvl="4" w:tplc="381E489C">
      <w:start w:val="1"/>
      <w:numFmt w:val="bullet"/>
      <w:lvlText w:val="o"/>
      <w:lvlJc w:val="left"/>
      <w:pPr>
        <w:ind w:left="5414" w:hanging="360"/>
      </w:pPr>
      <w:rPr>
        <w:rFonts w:ascii="Courier New" w:hAnsi="Courier New" w:cs="Courier New"/>
      </w:rPr>
    </w:lvl>
    <w:lvl w:ilvl="5" w:tplc="D7546B46">
      <w:start w:val="1"/>
      <w:numFmt w:val="bullet"/>
      <w:lvlText w:val=""/>
      <w:lvlJc w:val="left"/>
      <w:pPr>
        <w:ind w:left="6134" w:hanging="360"/>
      </w:pPr>
      <w:rPr>
        <w:rFonts w:ascii="Wingdings" w:hAnsi="Wingdings"/>
      </w:rPr>
    </w:lvl>
    <w:lvl w:ilvl="6" w:tplc="B6CE8554">
      <w:start w:val="1"/>
      <w:numFmt w:val="bullet"/>
      <w:lvlText w:val=""/>
      <w:lvlJc w:val="left"/>
      <w:pPr>
        <w:ind w:left="6854" w:hanging="360"/>
      </w:pPr>
      <w:rPr>
        <w:rFonts w:ascii="Symbol" w:hAnsi="Symbol"/>
      </w:rPr>
    </w:lvl>
    <w:lvl w:ilvl="7" w:tplc="7AAEEBAE">
      <w:start w:val="1"/>
      <w:numFmt w:val="bullet"/>
      <w:lvlText w:val="o"/>
      <w:lvlJc w:val="left"/>
      <w:pPr>
        <w:ind w:left="7574" w:hanging="360"/>
      </w:pPr>
      <w:rPr>
        <w:rFonts w:ascii="Courier New" w:hAnsi="Courier New" w:cs="Courier New"/>
      </w:rPr>
    </w:lvl>
    <w:lvl w:ilvl="8" w:tplc="2E76E07C">
      <w:start w:val="1"/>
      <w:numFmt w:val="bullet"/>
      <w:lvlText w:val=""/>
      <w:lvlJc w:val="left"/>
      <w:pPr>
        <w:ind w:left="8294" w:hanging="360"/>
      </w:pPr>
      <w:rPr>
        <w:rFonts w:ascii="Wingdings" w:hAnsi="Wingdings"/>
      </w:rPr>
    </w:lvl>
  </w:abstractNum>
  <w:abstractNum w:abstractNumId="25" w15:restartNumberingAfterBreak="0">
    <w:nsid w:val="6FA6138A"/>
    <w:multiLevelType w:val="hybridMultilevel"/>
    <w:tmpl w:val="B29EDCDC"/>
    <w:lvl w:ilvl="0" w:tplc="4D309530">
      <w:start w:val="1"/>
      <w:numFmt w:val="lowerLetter"/>
      <w:lvlText w:val="(%1)"/>
      <w:lvlJc w:val="left"/>
      <w:pPr>
        <w:ind w:left="36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B54722"/>
    <w:multiLevelType w:val="hybridMultilevel"/>
    <w:tmpl w:val="5CFA78DE"/>
    <w:lvl w:ilvl="0" w:tplc="5E2C12BE">
      <w:start w:val="1"/>
      <w:numFmt w:val="lowerLetter"/>
      <w:lvlText w:val="(%1)"/>
      <w:lvlJc w:val="left"/>
      <w:pPr>
        <w:ind w:left="2174"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180597"/>
    <w:multiLevelType w:val="hybridMultilevel"/>
    <w:tmpl w:val="211477FC"/>
    <w:lvl w:ilvl="0" w:tplc="7778D75A">
      <w:start w:val="1"/>
      <w:numFmt w:val="bullet"/>
      <w:lvlText w:val=""/>
      <w:lvlJc w:val="left"/>
      <w:pPr>
        <w:tabs>
          <w:tab w:val="num" w:pos="7428"/>
        </w:tabs>
      </w:pPr>
      <w:rPr>
        <w:rFonts w:ascii="Webdings" w:hAnsi="Webdings"/>
        <w:b w:val="0"/>
        <w:i w:val="0"/>
        <w:color w:val="E42618"/>
        <w:spacing w:val="0"/>
        <w:sz w:val="24"/>
        <w:szCs w:val="18"/>
      </w:rPr>
    </w:lvl>
    <w:lvl w:ilvl="1" w:tplc="42D446FA">
      <w:start w:val="1"/>
      <w:numFmt w:val="bullet"/>
      <w:lvlText w:val="o"/>
      <w:lvlJc w:val="left"/>
      <w:pPr>
        <w:tabs>
          <w:tab w:val="num" w:pos="1440"/>
        </w:tabs>
        <w:ind w:left="1440" w:hanging="360"/>
      </w:pPr>
      <w:rPr>
        <w:rFonts w:ascii="Courier New" w:hAnsi="Courier New"/>
      </w:rPr>
    </w:lvl>
    <w:lvl w:ilvl="2" w:tplc="5D0889FA">
      <w:start w:val="1"/>
      <w:numFmt w:val="bullet"/>
      <w:lvlText w:val=""/>
      <w:lvlJc w:val="left"/>
      <w:pPr>
        <w:tabs>
          <w:tab w:val="num" w:pos="2160"/>
        </w:tabs>
        <w:ind w:left="2160" w:hanging="360"/>
      </w:pPr>
      <w:rPr>
        <w:rFonts w:ascii="Wingdings" w:hAnsi="Wingdings"/>
      </w:rPr>
    </w:lvl>
    <w:lvl w:ilvl="3" w:tplc="B5EEF7EA">
      <w:start w:val="1"/>
      <w:numFmt w:val="bullet"/>
      <w:lvlText w:val=""/>
      <w:lvlJc w:val="left"/>
      <w:pPr>
        <w:tabs>
          <w:tab w:val="num" w:pos="2880"/>
        </w:tabs>
        <w:ind w:left="2880" w:hanging="360"/>
      </w:pPr>
      <w:rPr>
        <w:rFonts w:ascii="Symbol" w:hAnsi="Symbol"/>
      </w:rPr>
    </w:lvl>
    <w:lvl w:ilvl="4" w:tplc="6278F380">
      <w:start w:val="1"/>
      <w:numFmt w:val="bullet"/>
      <w:lvlText w:val="o"/>
      <w:lvlJc w:val="left"/>
      <w:pPr>
        <w:tabs>
          <w:tab w:val="num" w:pos="3600"/>
        </w:tabs>
        <w:ind w:left="3600" w:hanging="360"/>
      </w:pPr>
      <w:rPr>
        <w:rFonts w:ascii="Courier New" w:hAnsi="Courier New"/>
      </w:rPr>
    </w:lvl>
    <w:lvl w:ilvl="5" w:tplc="184A15FE">
      <w:start w:val="1"/>
      <w:numFmt w:val="bullet"/>
      <w:lvlText w:val=""/>
      <w:lvlJc w:val="left"/>
      <w:pPr>
        <w:tabs>
          <w:tab w:val="num" w:pos="4320"/>
        </w:tabs>
        <w:ind w:left="4320" w:hanging="360"/>
      </w:pPr>
      <w:rPr>
        <w:rFonts w:ascii="Wingdings" w:hAnsi="Wingdings"/>
      </w:rPr>
    </w:lvl>
    <w:lvl w:ilvl="6" w:tplc="2570810A">
      <w:start w:val="1"/>
      <w:numFmt w:val="bullet"/>
      <w:lvlText w:val=""/>
      <w:lvlJc w:val="left"/>
      <w:pPr>
        <w:tabs>
          <w:tab w:val="num" w:pos="5040"/>
        </w:tabs>
        <w:ind w:left="5040" w:hanging="360"/>
      </w:pPr>
      <w:rPr>
        <w:rFonts w:ascii="Symbol" w:hAnsi="Symbol"/>
      </w:rPr>
    </w:lvl>
    <w:lvl w:ilvl="7" w:tplc="E2BE1ADA">
      <w:start w:val="1"/>
      <w:numFmt w:val="bullet"/>
      <w:lvlText w:val="o"/>
      <w:lvlJc w:val="left"/>
      <w:pPr>
        <w:tabs>
          <w:tab w:val="num" w:pos="5760"/>
        </w:tabs>
        <w:ind w:left="5760" w:hanging="360"/>
      </w:pPr>
      <w:rPr>
        <w:rFonts w:ascii="Courier New" w:hAnsi="Courier New"/>
      </w:rPr>
    </w:lvl>
    <w:lvl w:ilvl="8" w:tplc="8B6634F0">
      <w:start w:val="1"/>
      <w:numFmt w:val="bullet"/>
      <w:lvlText w:val=""/>
      <w:lvlJc w:val="left"/>
      <w:pPr>
        <w:tabs>
          <w:tab w:val="num" w:pos="6480"/>
        </w:tabs>
        <w:ind w:left="6480" w:hanging="360"/>
      </w:pPr>
      <w:rPr>
        <w:rFonts w:ascii="Wingdings" w:hAnsi="Wingdings"/>
      </w:rPr>
    </w:lvl>
  </w:abstractNum>
  <w:abstractNum w:abstractNumId="28" w15:restartNumberingAfterBreak="0">
    <w:nsid w:val="72D5313B"/>
    <w:multiLevelType w:val="hybridMultilevel"/>
    <w:tmpl w:val="DA265EFA"/>
    <w:lvl w:ilvl="0" w:tplc="1D280DB6">
      <w:start w:val="1"/>
      <w:numFmt w:val="bullet"/>
      <w:lvlText w:val=""/>
      <w:lvlPicBulletId w:val="0"/>
      <w:lvlJc w:val="left"/>
      <w:pPr>
        <w:ind w:left="2534" w:hanging="360"/>
      </w:pPr>
      <w:rPr>
        <w:rFonts w:ascii="Symbol" w:hAnsi="Symbol"/>
      </w:rPr>
    </w:lvl>
    <w:lvl w:ilvl="1" w:tplc="7A90541A">
      <w:start w:val="1"/>
      <w:numFmt w:val="bullet"/>
      <w:lvlText w:val="o"/>
      <w:lvlJc w:val="left"/>
      <w:pPr>
        <w:ind w:left="3254" w:hanging="360"/>
      </w:pPr>
      <w:rPr>
        <w:rFonts w:ascii="Courier New" w:hAnsi="Courier New" w:cs="Courier New"/>
      </w:rPr>
    </w:lvl>
    <w:lvl w:ilvl="2" w:tplc="D360AD78">
      <w:start w:val="1"/>
      <w:numFmt w:val="bullet"/>
      <w:lvlText w:val=""/>
      <w:lvlJc w:val="left"/>
      <w:pPr>
        <w:ind w:left="3974" w:hanging="360"/>
      </w:pPr>
      <w:rPr>
        <w:rFonts w:ascii="Wingdings" w:hAnsi="Wingdings"/>
      </w:rPr>
    </w:lvl>
    <w:lvl w:ilvl="3" w:tplc="4F7E0D4C">
      <w:start w:val="1"/>
      <w:numFmt w:val="bullet"/>
      <w:lvlText w:val=""/>
      <w:lvlJc w:val="left"/>
      <w:pPr>
        <w:ind w:left="4694" w:hanging="360"/>
      </w:pPr>
      <w:rPr>
        <w:rFonts w:ascii="Symbol" w:hAnsi="Symbol"/>
      </w:rPr>
    </w:lvl>
    <w:lvl w:ilvl="4" w:tplc="8C8A2206">
      <w:start w:val="1"/>
      <w:numFmt w:val="bullet"/>
      <w:lvlText w:val="o"/>
      <w:lvlJc w:val="left"/>
      <w:pPr>
        <w:ind w:left="5414" w:hanging="360"/>
      </w:pPr>
      <w:rPr>
        <w:rFonts w:ascii="Courier New" w:hAnsi="Courier New" w:cs="Courier New"/>
      </w:rPr>
    </w:lvl>
    <w:lvl w:ilvl="5" w:tplc="CA54A694">
      <w:start w:val="1"/>
      <w:numFmt w:val="bullet"/>
      <w:lvlText w:val=""/>
      <w:lvlJc w:val="left"/>
      <w:pPr>
        <w:ind w:left="6134" w:hanging="360"/>
      </w:pPr>
      <w:rPr>
        <w:rFonts w:ascii="Wingdings" w:hAnsi="Wingdings"/>
      </w:rPr>
    </w:lvl>
    <w:lvl w:ilvl="6" w:tplc="F76A34AC">
      <w:start w:val="1"/>
      <w:numFmt w:val="bullet"/>
      <w:lvlText w:val=""/>
      <w:lvlJc w:val="left"/>
      <w:pPr>
        <w:ind w:left="6854" w:hanging="360"/>
      </w:pPr>
      <w:rPr>
        <w:rFonts w:ascii="Symbol" w:hAnsi="Symbol"/>
      </w:rPr>
    </w:lvl>
    <w:lvl w:ilvl="7" w:tplc="10142460">
      <w:start w:val="1"/>
      <w:numFmt w:val="bullet"/>
      <w:lvlText w:val="o"/>
      <w:lvlJc w:val="left"/>
      <w:pPr>
        <w:ind w:left="7574" w:hanging="360"/>
      </w:pPr>
      <w:rPr>
        <w:rFonts w:ascii="Courier New" w:hAnsi="Courier New" w:cs="Courier New"/>
      </w:rPr>
    </w:lvl>
    <w:lvl w:ilvl="8" w:tplc="00948126">
      <w:start w:val="1"/>
      <w:numFmt w:val="bullet"/>
      <w:lvlText w:val=""/>
      <w:lvlJc w:val="left"/>
      <w:pPr>
        <w:ind w:left="8294" w:hanging="360"/>
      </w:pPr>
      <w:rPr>
        <w:rFonts w:ascii="Wingdings" w:hAnsi="Wingdings"/>
      </w:rPr>
    </w:lvl>
  </w:abstractNum>
  <w:abstractNum w:abstractNumId="29" w15:restartNumberingAfterBreak="0">
    <w:nsid w:val="750924CB"/>
    <w:multiLevelType w:val="hybridMultilevel"/>
    <w:tmpl w:val="60228588"/>
    <w:lvl w:ilvl="0" w:tplc="1744D462">
      <w:start w:val="1"/>
      <w:numFmt w:val="bullet"/>
      <w:lvlText w:val=""/>
      <w:lvlPicBulletId w:val="0"/>
      <w:lvlJc w:val="left"/>
      <w:pPr>
        <w:tabs>
          <w:tab w:val="num" w:pos="720"/>
        </w:tabs>
        <w:ind w:left="720" w:hanging="360"/>
      </w:pPr>
      <w:rPr>
        <w:rFonts w:ascii="Symbol" w:hAnsi="Symbol"/>
      </w:rPr>
    </w:lvl>
    <w:lvl w:ilvl="1" w:tplc="2BE69FA6">
      <w:start w:val="1"/>
      <w:numFmt w:val="bullet"/>
      <w:lvlText w:val=""/>
      <w:lvlJc w:val="left"/>
      <w:pPr>
        <w:tabs>
          <w:tab w:val="num" w:pos="1440"/>
        </w:tabs>
        <w:ind w:left="1440" w:hanging="360"/>
      </w:pPr>
      <w:rPr>
        <w:rFonts w:ascii="Symbol" w:hAnsi="Symbol"/>
      </w:rPr>
    </w:lvl>
    <w:lvl w:ilvl="2" w:tplc="1D7EEA5C">
      <w:start w:val="1"/>
      <w:numFmt w:val="bullet"/>
      <w:lvlText w:val=""/>
      <w:lvlJc w:val="left"/>
      <w:pPr>
        <w:tabs>
          <w:tab w:val="num" w:pos="2160"/>
        </w:tabs>
        <w:ind w:left="2160" w:hanging="360"/>
      </w:pPr>
      <w:rPr>
        <w:rFonts w:ascii="Symbol" w:hAnsi="Symbol"/>
      </w:rPr>
    </w:lvl>
    <w:lvl w:ilvl="3" w:tplc="5A8E6AFE">
      <w:start w:val="1"/>
      <w:numFmt w:val="bullet"/>
      <w:lvlText w:val=""/>
      <w:lvlJc w:val="left"/>
      <w:pPr>
        <w:tabs>
          <w:tab w:val="num" w:pos="2880"/>
        </w:tabs>
        <w:ind w:left="2880" w:hanging="360"/>
      </w:pPr>
      <w:rPr>
        <w:rFonts w:ascii="Symbol" w:hAnsi="Symbol"/>
      </w:rPr>
    </w:lvl>
    <w:lvl w:ilvl="4" w:tplc="088AFD40">
      <w:start w:val="1"/>
      <w:numFmt w:val="bullet"/>
      <w:lvlText w:val=""/>
      <w:lvlJc w:val="left"/>
      <w:pPr>
        <w:tabs>
          <w:tab w:val="num" w:pos="3600"/>
        </w:tabs>
        <w:ind w:left="3600" w:hanging="360"/>
      </w:pPr>
      <w:rPr>
        <w:rFonts w:ascii="Symbol" w:hAnsi="Symbol"/>
      </w:rPr>
    </w:lvl>
    <w:lvl w:ilvl="5" w:tplc="05CEF3CE">
      <w:start w:val="1"/>
      <w:numFmt w:val="bullet"/>
      <w:lvlText w:val=""/>
      <w:lvlJc w:val="left"/>
      <w:pPr>
        <w:tabs>
          <w:tab w:val="num" w:pos="4320"/>
        </w:tabs>
        <w:ind w:left="4320" w:hanging="360"/>
      </w:pPr>
      <w:rPr>
        <w:rFonts w:ascii="Symbol" w:hAnsi="Symbol"/>
      </w:rPr>
    </w:lvl>
    <w:lvl w:ilvl="6" w:tplc="E6481CE0">
      <w:start w:val="1"/>
      <w:numFmt w:val="bullet"/>
      <w:lvlText w:val=""/>
      <w:lvlJc w:val="left"/>
      <w:pPr>
        <w:tabs>
          <w:tab w:val="num" w:pos="5040"/>
        </w:tabs>
        <w:ind w:left="5040" w:hanging="360"/>
      </w:pPr>
      <w:rPr>
        <w:rFonts w:ascii="Symbol" w:hAnsi="Symbol"/>
      </w:rPr>
    </w:lvl>
    <w:lvl w:ilvl="7" w:tplc="026AF7A0">
      <w:start w:val="1"/>
      <w:numFmt w:val="bullet"/>
      <w:lvlText w:val=""/>
      <w:lvlJc w:val="left"/>
      <w:pPr>
        <w:tabs>
          <w:tab w:val="num" w:pos="5760"/>
        </w:tabs>
        <w:ind w:left="5760" w:hanging="360"/>
      </w:pPr>
      <w:rPr>
        <w:rFonts w:ascii="Symbol" w:hAnsi="Symbol"/>
      </w:rPr>
    </w:lvl>
    <w:lvl w:ilvl="8" w:tplc="58B461BE">
      <w:start w:val="1"/>
      <w:numFmt w:val="bullet"/>
      <w:lvlText w:val=""/>
      <w:lvlJc w:val="left"/>
      <w:pPr>
        <w:tabs>
          <w:tab w:val="num" w:pos="6480"/>
        </w:tabs>
        <w:ind w:left="6480" w:hanging="360"/>
      </w:pPr>
      <w:rPr>
        <w:rFonts w:ascii="Symbol" w:hAnsi="Symbol"/>
      </w:rPr>
    </w:lvl>
  </w:abstractNum>
  <w:abstractNum w:abstractNumId="30" w15:restartNumberingAfterBreak="0">
    <w:nsid w:val="7DAA4176"/>
    <w:multiLevelType w:val="hybridMultilevel"/>
    <w:tmpl w:val="2F3C664A"/>
    <w:lvl w:ilvl="0" w:tplc="55087B62">
      <w:start w:val="1"/>
      <w:numFmt w:val="lowerLetter"/>
      <w:lvlText w:val="(%1)"/>
      <w:lvlJc w:val="left"/>
      <w:pPr>
        <w:ind w:left="36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9"/>
  </w:num>
  <w:num w:numId="3">
    <w:abstractNumId w:val="22"/>
  </w:num>
  <w:num w:numId="4">
    <w:abstractNumId w:val="10"/>
  </w:num>
  <w:num w:numId="5">
    <w:abstractNumId w:val="17"/>
  </w:num>
  <w:num w:numId="6">
    <w:abstractNumId w:val="21"/>
  </w:num>
  <w:num w:numId="7">
    <w:abstractNumId w:val="13"/>
  </w:num>
  <w:num w:numId="8">
    <w:abstractNumId w:val="3"/>
  </w:num>
  <w:num w:numId="9">
    <w:abstractNumId w:val="2"/>
  </w:num>
  <w:num w:numId="10">
    <w:abstractNumId w:val="28"/>
  </w:num>
  <w:num w:numId="11">
    <w:abstractNumId w:val="16"/>
  </w:num>
  <w:num w:numId="12">
    <w:abstractNumId w:val="18"/>
  </w:num>
  <w:num w:numId="13">
    <w:abstractNumId w:val="9"/>
  </w:num>
  <w:num w:numId="14">
    <w:abstractNumId w:val="12"/>
  </w:num>
  <w:num w:numId="15">
    <w:abstractNumId w:val="24"/>
  </w:num>
  <w:num w:numId="16">
    <w:abstractNumId w:val="5"/>
  </w:num>
  <w:num w:numId="17">
    <w:abstractNumId w:val="11"/>
  </w:num>
  <w:num w:numId="18">
    <w:abstractNumId w:val="4"/>
  </w:num>
  <w:num w:numId="19">
    <w:abstractNumId w:val="15"/>
  </w:num>
  <w:num w:numId="20">
    <w:abstractNumId w:val="27"/>
  </w:num>
  <w:num w:numId="21">
    <w:abstractNumId w:val="20"/>
  </w:num>
  <w:num w:numId="22">
    <w:abstractNumId w:val="7"/>
  </w:num>
  <w:num w:numId="23">
    <w:abstractNumId w:val="0"/>
  </w:num>
  <w:num w:numId="24">
    <w:abstractNumId w:val="14"/>
  </w:num>
  <w:num w:numId="25">
    <w:abstractNumId w:val="8"/>
  </w:num>
  <w:num w:numId="26">
    <w:abstractNumId w:val="1"/>
  </w:num>
  <w:num w:numId="27">
    <w:abstractNumId w:val="26"/>
  </w:num>
  <w:num w:numId="28">
    <w:abstractNumId w:val="19"/>
  </w:num>
  <w:num w:numId="29">
    <w:abstractNumId w:val="25"/>
  </w:num>
  <w:num w:numId="30">
    <w:abstractNumId w:val="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hideSpellingErrors/>
  <w:hideGrammaticalErrors/>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0"/>
  <w:activeWritingStyle w:appName="MSWord" w:lang="fi-FI"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7E"/>
    <w:rsid w:val="00000148"/>
    <w:rsid w:val="00000352"/>
    <w:rsid w:val="000004DF"/>
    <w:rsid w:val="000006C7"/>
    <w:rsid w:val="0000081F"/>
    <w:rsid w:val="000013FF"/>
    <w:rsid w:val="00001929"/>
    <w:rsid w:val="00001C85"/>
    <w:rsid w:val="000020B7"/>
    <w:rsid w:val="000020DF"/>
    <w:rsid w:val="0000242C"/>
    <w:rsid w:val="00002572"/>
    <w:rsid w:val="00002655"/>
    <w:rsid w:val="000026DF"/>
    <w:rsid w:val="000026F5"/>
    <w:rsid w:val="00002F2D"/>
    <w:rsid w:val="00003345"/>
    <w:rsid w:val="000034C8"/>
    <w:rsid w:val="00003834"/>
    <w:rsid w:val="00003AAA"/>
    <w:rsid w:val="00003AB5"/>
    <w:rsid w:val="00003AD9"/>
    <w:rsid w:val="00003EE3"/>
    <w:rsid w:val="00003F46"/>
    <w:rsid w:val="00004188"/>
    <w:rsid w:val="000041BD"/>
    <w:rsid w:val="000043D5"/>
    <w:rsid w:val="00004794"/>
    <w:rsid w:val="000049DD"/>
    <w:rsid w:val="00004DDD"/>
    <w:rsid w:val="00004DF3"/>
    <w:rsid w:val="00004E38"/>
    <w:rsid w:val="00005A6B"/>
    <w:rsid w:val="0000683C"/>
    <w:rsid w:val="0000688C"/>
    <w:rsid w:val="00006DB7"/>
    <w:rsid w:val="00007042"/>
    <w:rsid w:val="000070BF"/>
    <w:rsid w:val="000072F0"/>
    <w:rsid w:val="0000740E"/>
    <w:rsid w:val="0000797C"/>
    <w:rsid w:val="00010041"/>
    <w:rsid w:val="000100DA"/>
    <w:rsid w:val="000101B6"/>
    <w:rsid w:val="000102D5"/>
    <w:rsid w:val="00010573"/>
    <w:rsid w:val="00010822"/>
    <w:rsid w:val="0001089C"/>
    <w:rsid w:val="000108ED"/>
    <w:rsid w:val="00010957"/>
    <w:rsid w:val="000109E3"/>
    <w:rsid w:val="00010A46"/>
    <w:rsid w:val="00010B15"/>
    <w:rsid w:val="00010B3C"/>
    <w:rsid w:val="000110CB"/>
    <w:rsid w:val="000113F8"/>
    <w:rsid w:val="00011610"/>
    <w:rsid w:val="000119A0"/>
    <w:rsid w:val="000119DB"/>
    <w:rsid w:val="00011A51"/>
    <w:rsid w:val="00011DBB"/>
    <w:rsid w:val="00011F76"/>
    <w:rsid w:val="00012364"/>
    <w:rsid w:val="00012457"/>
    <w:rsid w:val="0001283C"/>
    <w:rsid w:val="00012A11"/>
    <w:rsid w:val="00012F51"/>
    <w:rsid w:val="000134A3"/>
    <w:rsid w:val="000135AB"/>
    <w:rsid w:val="00013751"/>
    <w:rsid w:val="00013995"/>
    <w:rsid w:val="00013A1E"/>
    <w:rsid w:val="00013B9E"/>
    <w:rsid w:val="00013F41"/>
    <w:rsid w:val="000143F0"/>
    <w:rsid w:val="00014927"/>
    <w:rsid w:val="00015266"/>
    <w:rsid w:val="00015D22"/>
    <w:rsid w:val="00015EAD"/>
    <w:rsid w:val="0001639C"/>
    <w:rsid w:val="000164F8"/>
    <w:rsid w:val="000168D3"/>
    <w:rsid w:val="00016B13"/>
    <w:rsid w:val="00017353"/>
    <w:rsid w:val="00017E2C"/>
    <w:rsid w:val="000205CA"/>
    <w:rsid w:val="0002065A"/>
    <w:rsid w:val="00020BAC"/>
    <w:rsid w:val="000211AD"/>
    <w:rsid w:val="000213E2"/>
    <w:rsid w:val="00021652"/>
    <w:rsid w:val="0002181D"/>
    <w:rsid w:val="000219E8"/>
    <w:rsid w:val="00021B34"/>
    <w:rsid w:val="00021CE9"/>
    <w:rsid w:val="00022197"/>
    <w:rsid w:val="00022763"/>
    <w:rsid w:val="000228CB"/>
    <w:rsid w:val="00022EA6"/>
    <w:rsid w:val="00023385"/>
    <w:rsid w:val="00023C19"/>
    <w:rsid w:val="000241B7"/>
    <w:rsid w:val="0002466F"/>
    <w:rsid w:val="00024BDA"/>
    <w:rsid w:val="00025203"/>
    <w:rsid w:val="00025294"/>
    <w:rsid w:val="000254AC"/>
    <w:rsid w:val="000255D0"/>
    <w:rsid w:val="0002574E"/>
    <w:rsid w:val="000257C6"/>
    <w:rsid w:val="00025822"/>
    <w:rsid w:val="00025AA7"/>
    <w:rsid w:val="00026388"/>
    <w:rsid w:val="00026544"/>
    <w:rsid w:val="0002663A"/>
    <w:rsid w:val="000266A7"/>
    <w:rsid w:val="00026CE1"/>
    <w:rsid w:val="00027728"/>
    <w:rsid w:val="00027BB0"/>
    <w:rsid w:val="00027BCF"/>
    <w:rsid w:val="00027FBC"/>
    <w:rsid w:val="0003046A"/>
    <w:rsid w:val="000304B3"/>
    <w:rsid w:val="00030747"/>
    <w:rsid w:val="00030BEE"/>
    <w:rsid w:val="00030F1C"/>
    <w:rsid w:val="0003114F"/>
    <w:rsid w:val="00031258"/>
    <w:rsid w:val="000317B8"/>
    <w:rsid w:val="00031864"/>
    <w:rsid w:val="00031934"/>
    <w:rsid w:val="00031B77"/>
    <w:rsid w:val="00031C2E"/>
    <w:rsid w:val="00031CA1"/>
    <w:rsid w:val="000320B7"/>
    <w:rsid w:val="000329A9"/>
    <w:rsid w:val="00032A4E"/>
    <w:rsid w:val="00033432"/>
    <w:rsid w:val="00033F4F"/>
    <w:rsid w:val="00033F5C"/>
    <w:rsid w:val="00034068"/>
    <w:rsid w:val="00034365"/>
    <w:rsid w:val="00034970"/>
    <w:rsid w:val="000349CE"/>
    <w:rsid w:val="000349D0"/>
    <w:rsid w:val="00034B21"/>
    <w:rsid w:val="00034E6E"/>
    <w:rsid w:val="000350E3"/>
    <w:rsid w:val="00035164"/>
    <w:rsid w:val="00035837"/>
    <w:rsid w:val="00035DF0"/>
    <w:rsid w:val="0003629C"/>
    <w:rsid w:val="00036321"/>
    <w:rsid w:val="000363D3"/>
    <w:rsid w:val="00036DBD"/>
    <w:rsid w:val="0003704B"/>
    <w:rsid w:val="0004002D"/>
    <w:rsid w:val="00040033"/>
    <w:rsid w:val="00040065"/>
    <w:rsid w:val="000402DE"/>
    <w:rsid w:val="000409A2"/>
    <w:rsid w:val="00040FDE"/>
    <w:rsid w:val="00041081"/>
    <w:rsid w:val="000419DB"/>
    <w:rsid w:val="00041A5D"/>
    <w:rsid w:val="00041DD2"/>
    <w:rsid w:val="00041DDD"/>
    <w:rsid w:val="00041DEF"/>
    <w:rsid w:val="00041DF5"/>
    <w:rsid w:val="000420D4"/>
    <w:rsid w:val="0004257E"/>
    <w:rsid w:val="00042B16"/>
    <w:rsid w:val="00042D21"/>
    <w:rsid w:val="00042F77"/>
    <w:rsid w:val="000431E9"/>
    <w:rsid w:val="000433C2"/>
    <w:rsid w:val="0004346C"/>
    <w:rsid w:val="00043835"/>
    <w:rsid w:val="00043C67"/>
    <w:rsid w:val="00044602"/>
    <w:rsid w:val="000446DC"/>
    <w:rsid w:val="00044806"/>
    <w:rsid w:val="00044863"/>
    <w:rsid w:val="00044BA2"/>
    <w:rsid w:val="00044EE3"/>
    <w:rsid w:val="00044EE4"/>
    <w:rsid w:val="000455A6"/>
    <w:rsid w:val="000456A7"/>
    <w:rsid w:val="000457A7"/>
    <w:rsid w:val="000459F1"/>
    <w:rsid w:val="00045B40"/>
    <w:rsid w:val="00045BC9"/>
    <w:rsid w:val="000462ED"/>
    <w:rsid w:val="00046668"/>
    <w:rsid w:val="00046881"/>
    <w:rsid w:val="00046950"/>
    <w:rsid w:val="000469E5"/>
    <w:rsid w:val="00046AF5"/>
    <w:rsid w:val="000471EF"/>
    <w:rsid w:val="00047304"/>
    <w:rsid w:val="00047435"/>
    <w:rsid w:val="000474A3"/>
    <w:rsid w:val="000477B2"/>
    <w:rsid w:val="000478E6"/>
    <w:rsid w:val="000479D4"/>
    <w:rsid w:val="00047CCE"/>
    <w:rsid w:val="00047E42"/>
    <w:rsid w:val="00050117"/>
    <w:rsid w:val="00050441"/>
    <w:rsid w:val="00050489"/>
    <w:rsid w:val="00050496"/>
    <w:rsid w:val="000504B8"/>
    <w:rsid w:val="000508D1"/>
    <w:rsid w:val="00050CFD"/>
    <w:rsid w:val="000512D1"/>
    <w:rsid w:val="0005182E"/>
    <w:rsid w:val="00051D92"/>
    <w:rsid w:val="00051E6A"/>
    <w:rsid w:val="00051FC2"/>
    <w:rsid w:val="000522BB"/>
    <w:rsid w:val="0005241D"/>
    <w:rsid w:val="00053235"/>
    <w:rsid w:val="000533DF"/>
    <w:rsid w:val="00053471"/>
    <w:rsid w:val="000537BB"/>
    <w:rsid w:val="000538A1"/>
    <w:rsid w:val="00053987"/>
    <w:rsid w:val="000541C7"/>
    <w:rsid w:val="000542AF"/>
    <w:rsid w:val="00054645"/>
    <w:rsid w:val="00055283"/>
    <w:rsid w:val="000552B2"/>
    <w:rsid w:val="0005548D"/>
    <w:rsid w:val="000557ED"/>
    <w:rsid w:val="00055E26"/>
    <w:rsid w:val="0005652D"/>
    <w:rsid w:val="000565A3"/>
    <w:rsid w:val="00056612"/>
    <w:rsid w:val="00056635"/>
    <w:rsid w:val="000567BC"/>
    <w:rsid w:val="000569E0"/>
    <w:rsid w:val="00056ACB"/>
    <w:rsid w:val="00057588"/>
    <w:rsid w:val="00057640"/>
    <w:rsid w:val="000578A2"/>
    <w:rsid w:val="00057B81"/>
    <w:rsid w:val="00057F2C"/>
    <w:rsid w:val="00060194"/>
    <w:rsid w:val="000604F0"/>
    <w:rsid w:val="00060563"/>
    <w:rsid w:val="00060769"/>
    <w:rsid w:val="000607A6"/>
    <w:rsid w:val="000607BF"/>
    <w:rsid w:val="000607C8"/>
    <w:rsid w:val="0006148E"/>
    <w:rsid w:val="000617FF"/>
    <w:rsid w:val="00061A08"/>
    <w:rsid w:val="00061A6E"/>
    <w:rsid w:val="00061BEA"/>
    <w:rsid w:val="00061DC7"/>
    <w:rsid w:val="00061E24"/>
    <w:rsid w:val="00061E48"/>
    <w:rsid w:val="00061E67"/>
    <w:rsid w:val="000620FB"/>
    <w:rsid w:val="000621DF"/>
    <w:rsid w:val="00062437"/>
    <w:rsid w:val="000624F5"/>
    <w:rsid w:val="000629AB"/>
    <w:rsid w:val="00062C7C"/>
    <w:rsid w:val="00062E45"/>
    <w:rsid w:val="00063405"/>
    <w:rsid w:val="000635CC"/>
    <w:rsid w:val="000635F7"/>
    <w:rsid w:val="000637A8"/>
    <w:rsid w:val="000639B9"/>
    <w:rsid w:val="00063D28"/>
    <w:rsid w:val="000640D5"/>
    <w:rsid w:val="000643E1"/>
    <w:rsid w:val="000643F7"/>
    <w:rsid w:val="00064404"/>
    <w:rsid w:val="00064DBF"/>
    <w:rsid w:val="00064E2A"/>
    <w:rsid w:val="000650D8"/>
    <w:rsid w:val="0006537C"/>
    <w:rsid w:val="00065467"/>
    <w:rsid w:val="000657E2"/>
    <w:rsid w:val="00065E24"/>
    <w:rsid w:val="000662FB"/>
    <w:rsid w:val="0006665B"/>
    <w:rsid w:val="00066831"/>
    <w:rsid w:val="00066B28"/>
    <w:rsid w:val="00067259"/>
    <w:rsid w:val="000677B5"/>
    <w:rsid w:val="00067AB5"/>
    <w:rsid w:val="00067F81"/>
    <w:rsid w:val="000705C2"/>
    <w:rsid w:val="0007066C"/>
    <w:rsid w:val="00070718"/>
    <w:rsid w:val="0007076D"/>
    <w:rsid w:val="000708D3"/>
    <w:rsid w:val="00070DC4"/>
    <w:rsid w:val="0007153E"/>
    <w:rsid w:val="00071857"/>
    <w:rsid w:val="00071B43"/>
    <w:rsid w:val="00071EFA"/>
    <w:rsid w:val="0007204A"/>
    <w:rsid w:val="000720F5"/>
    <w:rsid w:val="000720F8"/>
    <w:rsid w:val="00072142"/>
    <w:rsid w:val="00072398"/>
    <w:rsid w:val="00072711"/>
    <w:rsid w:val="00072728"/>
    <w:rsid w:val="00072B3F"/>
    <w:rsid w:val="00072BE2"/>
    <w:rsid w:val="000732DF"/>
    <w:rsid w:val="0007358E"/>
    <w:rsid w:val="00073872"/>
    <w:rsid w:val="000738CF"/>
    <w:rsid w:val="00073E58"/>
    <w:rsid w:val="00073F42"/>
    <w:rsid w:val="00074665"/>
    <w:rsid w:val="000746D5"/>
    <w:rsid w:val="00074709"/>
    <w:rsid w:val="000749B9"/>
    <w:rsid w:val="00074CE9"/>
    <w:rsid w:val="000755F9"/>
    <w:rsid w:val="000757EE"/>
    <w:rsid w:val="00075941"/>
    <w:rsid w:val="00075CC6"/>
    <w:rsid w:val="00075DB3"/>
    <w:rsid w:val="0007633E"/>
    <w:rsid w:val="0007650D"/>
    <w:rsid w:val="00076A61"/>
    <w:rsid w:val="00076BAA"/>
    <w:rsid w:val="00076C27"/>
    <w:rsid w:val="00076E1F"/>
    <w:rsid w:val="00077520"/>
    <w:rsid w:val="00077534"/>
    <w:rsid w:val="0007754A"/>
    <w:rsid w:val="00077592"/>
    <w:rsid w:val="00077E7D"/>
    <w:rsid w:val="00080263"/>
    <w:rsid w:val="000803AD"/>
    <w:rsid w:val="00080865"/>
    <w:rsid w:val="000809E8"/>
    <w:rsid w:val="00080F62"/>
    <w:rsid w:val="000811D8"/>
    <w:rsid w:val="0008146C"/>
    <w:rsid w:val="000817F5"/>
    <w:rsid w:val="000818DD"/>
    <w:rsid w:val="000819D4"/>
    <w:rsid w:val="0008231C"/>
    <w:rsid w:val="000828E6"/>
    <w:rsid w:val="000829B6"/>
    <w:rsid w:val="00082A62"/>
    <w:rsid w:val="00082DF0"/>
    <w:rsid w:val="00082E1E"/>
    <w:rsid w:val="00082EA3"/>
    <w:rsid w:val="00083173"/>
    <w:rsid w:val="00083429"/>
    <w:rsid w:val="0008362B"/>
    <w:rsid w:val="00083FE3"/>
    <w:rsid w:val="00084387"/>
    <w:rsid w:val="00084761"/>
    <w:rsid w:val="00084AF6"/>
    <w:rsid w:val="00084CF2"/>
    <w:rsid w:val="00084E02"/>
    <w:rsid w:val="00084EE6"/>
    <w:rsid w:val="00084F18"/>
    <w:rsid w:val="0008506C"/>
    <w:rsid w:val="00085197"/>
    <w:rsid w:val="0008519C"/>
    <w:rsid w:val="0008527C"/>
    <w:rsid w:val="0008545A"/>
    <w:rsid w:val="000858AC"/>
    <w:rsid w:val="00085926"/>
    <w:rsid w:val="00085AC2"/>
    <w:rsid w:val="00085AEB"/>
    <w:rsid w:val="00085AFD"/>
    <w:rsid w:val="00085BC7"/>
    <w:rsid w:val="00085C51"/>
    <w:rsid w:val="00085E26"/>
    <w:rsid w:val="0008600B"/>
    <w:rsid w:val="00086154"/>
    <w:rsid w:val="000867A4"/>
    <w:rsid w:val="000868F5"/>
    <w:rsid w:val="00086AE6"/>
    <w:rsid w:val="00086C83"/>
    <w:rsid w:val="000873CD"/>
    <w:rsid w:val="000876F1"/>
    <w:rsid w:val="000876FA"/>
    <w:rsid w:val="00087774"/>
    <w:rsid w:val="00087BB3"/>
    <w:rsid w:val="0009016A"/>
    <w:rsid w:val="00090558"/>
    <w:rsid w:val="00090660"/>
    <w:rsid w:val="000909B9"/>
    <w:rsid w:val="00090A07"/>
    <w:rsid w:val="00090B9F"/>
    <w:rsid w:val="00090D41"/>
    <w:rsid w:val="00090DE6"/>
    <w:rsid w:val="0009127D"/>
    <w:rsid w:val="00091965"/>
    <w:rsid w:val="00091C8D"/>
    <w:rsid w:val="00092439"/>
    <w:rsid w:val="000924D4"/>
    <w:rsid w:val="00092C29"/>
    <w:rsid w:val="00092C8C"/>
    <w:rsid w:val="00092F0E"/>
    <w:rsid w:val="00094A57"/>
    <w:rsid w:val="00094B3C"/>
    <w:rsid w:val="00094CB4"/>
    <w:rsid w:val="00094D9A"/>
    <w:rsid w:val="00095213"/>
    <w:rsid w:val="00095898"/>
    <w:rsid w:val="00095ABF"/>
    <w:rsid w:val="00096313"/>
    <w:rsid w:val="00096371"/>
    <w:rsid w:val="0009657B"/>
    <w:rsid w:val="000965C3"/>
    <w:rsid w:val="000966A1"/>
    <w:rsid w:val="00096954"/>
    <w:rsid w:val="00096C13"/>
    <w:rsid w:val="00096DB8"/>
    <w:rsid w:val="00096F61"/>
    <w:rsid w:val="000970D5"/>
    <w:rsid w:val="000972EF"/>
    <w:rsid w:val="000977C6"/>
    <w:rsid w:val="00097929"/>
    <w:rsid w:val="000A03D5"/>
    <w:rsid w:val="000A0936"/>
    <w:rsid w:val="000A09E7"/>
    <w:rsid w:val="000A0AC7"/>
    <w:rsid w:val="000A0D76"/>
    <w:rsid w:val="000A1070"/>
    <w:rsid w:val="000A123E"/>
    <w:rsid w:val="000A169F"/>
    <w:rsid w:val="000A1A26"/>
    <w:rsid w:val="000A2006"/>
    <w:rsid w:val="000A2640"/>
    <w:rsid w:val="000A27BB"/>
    <w:rsid w:val="000A2D99"/>
    <w:rsid w:val="000A2E1E"/>
    <w:rsid w:val="000A2F1D"/>
    <w:rsid w:val="000A3127"/>
    <w:rsid w:val="000A32BD"/>
    <w:rsid w:val="000A3E31"/>
    <w:rsid w:val="000A3EBA"/>
    <w:rsid w:val="000A4087"/>
    <w:rsid w:val="000A40FD"/>
    <w:rsid w:val="000A47E4"/>
    <w:rsid w:val="000A4E9A"/>
    <w:rsid w:val="000A5058"/>
    <w:rsid w:val="000A5314"/>
    <w:rsid w:val="000A5CC1"/>
    <w:rsid w:val="000A5D8F"/>
    <w:rsid w:val="000A5D99"/>
    <w:rsid w:val="000A6119"/>
    <w:rsid w:val="000A63AD"/>
    <w:rsid w:val="000A643E"/>
    <w:rsid w:val="000A6591"/>
    <w:rsid w:val="000A677A"/>
    <w:rsid w:val="000A67F1"/>
    <w:rsid w:val="000A68C0"/>
    <w:rsid w:val="000A69D2"/>
    <w:rsid w:val="000A6A6F"/>
    <w:rsid w:val="000A77D6"/>
    <w:rsid w:val="000A78EC"/>
    <w:rsid w:val="000A7B77"/>
    <w:rsid w:val="000A7B7D"/>
    <w:rsid w:val="000A7CF9"/>
    <w:rsid w:val="000B01FA"/>
    <w:rsid w:val="000B022B"/>
    <w:rsid w:val="000B02ED"/>
    <w:rsid w:val="000B05E7"/>
    <w:rsid w:val="000B0DCE"/>
    <w:rsid w:val="000B10EC"/>
    <w:rsid w:val="000B15F6"/>
    <w:rsid w:val="000B1BA4"/>
    <w:rsid w:val="000B1C7A"/>
    <w:rsid w:val="000B1F20"/>
    <w:rsid w:val="000B1F2B"/>
    <w:rsid w:val="000B27E0"/>
    <w:rsid w:val="000B2A66"/>
    <w:rsid w:val="000B2A82"/>
    <w:rsid w:val="000B2AAC"/>
    <w:rsid w:val="000B2B36"/>
    <w:rsid w:val="000B2FB6"/>
    <w:rsid w:val="000B32C5"/>
    <w:rsid w:val="000B32E4"/>
    <w:rsid w:val="000B3304"/>
    <w:rsid w:val="000B38EA"/>
    <w:rsid w:val="000B3F89"/>
    <w:rsid w:val="000B44FF"/>
    <w:rsid w:val="000B51E7"/>
    <w:rsid w:val="000B56C0"/>
    <w:rsid w:val="000B5A90"/>
    <w:rsid w:val="000B5B83"/>
    <w:rsid w:val="000B5C9D"/>
    <w:rsid w:val="000B5DC1"/>
    <w:rsid w:val="000B5DFE"/>
    <w:rsid w:val="000B5FC0"/>
    <w:rsid w:val="000B6575"/>
    <w:rsid w:val="000B6A87"/>
    <w:rsid w:val="000B6AA4"/>
    <w:rsid w:val="000B6C6C"/>
    <w:rsid w:val="000B6D0F"/>
    <w:rsid w:val="000B6E6D"/>
    <w:rsid w:val="000B72CE"/>
    <w:rsid w:val="000B72E0"/>
    <w:rsid w:val="000B7989"/>
    <w:rsid w:val="000B7C20"/>
    <w:rsid w:val="000C0226"/>
    <w:rsid w:val="000C022D"/>
    <w:rsid w:val="000C076E"/>
    <w:rsid w:val="000C099C"/>
    <w:rsid w:val="000C0C4E"/>
    <w:rsid w:val="000C0F55"/>
    <w:rsid w:val="000C1097"/>
    <w:rsid w:val="000C1526"/>
    <w:rsid w:val="000C1C3E"/>
    <w:rsid w:val="000C233C"/>
    <w:rsid w:val="000C25D8"/>
    <w:rsid w:val="000C267B"/>
    <w:rsid w:val="000C295A"/>
    <w:rsid w:val="000C2980"/>
    <w:rsid w:val="000C2FB7"/>
    <w:rsid w:val="000C35FB"/>
    <w:rsid w:val="000C3630"/>
    <w:rsid w:val="000C3699"/>
    <w:rsid w:val="000C3830"/>
    <w:rsid w:val="000C38FA"/>
    <w:rsid w:val="000C39B4"/>
    <w:rsid w:val="000C3DA5"/>
    <w:rsid w:val="000C4457"/>
    <w:rsid w:val="000C4689"/>
    <w:rsid w:val="000C482B"/>
    <w:rsid w:val="000C4D5C"/>
    <w:rsid w:val="000C4DAF"/>
    <w:rsid w:val="000C5202"/>
    <w:rsid w:val="000C52BE"/>
    <w:rsid w:val="000C53F5"/>
    <w:rsid w:val="000C5564"/>
    <w:rsid w:val="000C5602"/>
    <w:rsid w:val="000C5647"/>
    <w:rsid w:val="000C56C5"/>
    <w:rsid w:val="000C5738"/>
    <w:rsid w:val="000C5812"/>
    <w:rsid w:val="000C59C4"/>
    <w:rsid w:val="000C5B36"/>
    <w:rsid w:val="000C627A"/>
    <w:rsid w:val="000C66BD"/>
    <w:rsid w:val="000C6991"/>
    <w:rsid w:val="000C6F05"/>
    <w:rsid w:val="000C71A0"/>
    <w:rsid w:val="000C71C5"/>
    <w:rsid w:val="000C727A"/>
    <w:rsid w:val="000C7697"/>
    <w:rsid w:val="000C789E"/>
    <w:rsid w:val="000C7902"/>
    <w:rsid w:val="000C7B4C"/>
    <w:rsid w:val="000C7EF4"/>
    <w:rsid w:val="000D072A"/>
    <w:rsid w:val="000D0F51"/>
    <w:rsid w:val="000D1006"/>
    <w:rsid w:val="000D1221"/>
    <w:rsid w:val="000D1546"/>
    <w:rsid w:val="000D1B06"/>
    <w:rsid w:val="000D1E54"/>
    <w:rsid w:val="000D24E2"/>
    <w:rsid w:val="000D280E"/>
    <w:rsid w:val="000D2BA7"/>
    <w:rsid w:val="000D366B"/>
    <w:rsid w:val="000D3A7C"/>
    <w:rsid w:val="000D3CAE"/>
    <w:rsid w:val="000D425B"/>
    <w:rsid w:val="000D4568"/>
    <w:rsid w:val="000D4740"/>
    <w:rsid w:val="000D4EE8"/>
    <w:rsid w:val="000D4FE9"/>
    <w:rsid w:val="000D5383"/>
    <w:rsid w:val="000D53B8"/>
    <w:rsid w:val="000D58A4"/>
    <w:rsid w:val="000D593A"/>
    <w:rsid w:val="000D5990"/>
    <w:rsid w:val="000D5AED"/>
    <w:rsid w:val="000D61D8"/>
    <w:rsid w:val="000D6516"/>
    <w:rsid w:val="000D68E4"/>
    <w:rsid w:val="000D70FA"/>
    <w:rsid w:val="000D7279"/>
    <w:rsid w:val="000D7516"/>
    <w:rsid w:val="000D7679"/>
    <w:rsid w:val="000D7BF5"/>
    <w:rsid w:val="000E0A99"/>
    <w:rsid w:val="000E0B26"/>
    <w:rsid w:val="000E0D71"/>
    <w:rsid w:val="000E0FC9"/>
    <w:rsid w:val="000E1054"/>
    <w:rsid w:val="000E10C4"/>
    <w:rsid w:val="000E11B2"/>
    <w:rsid w:val="000E1473"/>
    <w:rsid w:val="000E15DD"/>
    <w:rsid w:val="000E162A"/>
    <w:rsid w:val="000E177D"/>
    <w:rsid w:val="000E19F0"/>
    <w:rsid w:val="000E1A5F"/>
    <w:rsid w:val="000E1E6F"/>
    <w:rsid w:val="000E2098"/>
    <w:rsid w:val="000E20BE"/>
    <w:rsid w:val="000E237E"/>
    <w:rsid w:val="000E23BF"/>
    <w:rsid w:val="000E23EF"/>
    <w:rsid w:val="000E2403"/>
    <w:rsid w:val="000E2BE0"/>
    <w:rsid w:val="000E2E1B"/>
    <w:rsid w:val="000E327D"/>
    <w:rsid w:val="000E32BE"/>
    <w:rsid w:val="000E32CD"/>
    <w:rsid w:val="000E33E6"/>
    <w:rsid w:val="000E3886"/>
    <w:rsid w:val="000E39C8"/>
    <w:rsid w:val="000E3CFC"/>
    <w:rsid w:val="000E3D7A"/>
    <w:rsid w:val="000E40CB"/>
    <w:rsid w:val="000E420F"/>
    <w:rsid w:val="000E44A9"/>
    <w:rsid w:val="000E4A6D"/>
    <w:rsid w:val="000E4C04"/>
    <w:rsid w:val="000E5429"/>
    <w:rsid w:val="000E5434"/>
    <w:rsid w:val="000E5C39"/>
    <w:rsid w:val="000E60A1"/>
    <w:rsid w:val="000E61AA"/>
    <w:rsid w:val="000E62CE"/>
    <w:rsid w:val="000E63BC"/>
    <w:rsid w:val="000E63CB"/>
    <w:rsid w:val="000E649F"/>
    <w:rsid w:val="000E66DF"/>
    <w:rsid w:val="000E6B08"/>
    <w:rsid w:val="000E6B15"/>
    <w:rsid w:val="000E6D39"/>
    <w:rsid w:val="000E70A5"/>
    <w:rsid w:val="000E7523"/>
    <w:rsid w:val="000E78BC"/>
    <w:rsid w:val="000E7C65"/>
    <w:rsid w:val="000E7F42"/>
    <w:rsid w:val="000F039B"/>
    <w:rsid w:val="000F0888"/>
    <w:rsid w:val="000F0B91"/>
    <w:rsid w:val="000F0DEA"/>
    <w:rsid w:val="000F0DFE"/>
    <w:rsid w:val="000F0F04"/>
    <w:rsid w:val="000F106A"/>
    <w:rsid w:val="000F1394"/>
    <w:rsid w:val="000F1519"/>
    <w:rsid w:val="000F1643"/>
    <w:rsid w:val="000F18A3"/>
    <w:rsid w:val="000F1921"/>
    <w:rsid w:val="000F19CA"/>
    <w:rsid w:val="000F1A51"/>
    <w:rsid w:val="000F1CEF"/>
    <w:rsid w:val="000F1D54"/>
    <w:rsid w:val="000F2058"/>
    <w:rsid w:val="000F25EE"/>
    <w:rsid w:val="000F269A"/>
    <w:rsid w:val="000F26C0"/>
    <w:rsid w:val="000F2873"/>
    <w:rsid w:val="000F2BE7"/>
    <w:rsid w:val="000F2D75"/>
    <w:rsid w:val="000F2F43"/>
    <w:rsid w:val="000F2FB2"/>
    <w:rsid w:val="000F32AC"/>
    <w:rsid w:val="000F370D"/>
    <w:rsid w:val="000F3A7C"/>
    <w:rsid w:val="000F3E1E"/>
    <w:rsid w:val="000F4259"/>
    <w:rsid w:val="000F4698"/>
    <w:rsid w:val="000F4792"/>
    <w:rsid w:val="000F4973"/>
    <w:rsid w:val="000F4D00"/>
    <w:rsid w:val="000F4FE7"/>
    <w:rsid w:val="000F5C7B"/>
    <w:rsid w:val="000F5E0E"/>
    <w:rsid w:val="000F5E41"/>
    <w:rsid w:val="000F5EC4"/>
    <w:rsid w:val="000F6161"/>
    <w:rsid w:val="000F686A"/>
    <w:rsid w:val="000F708E"/>
    <w:rsid w:val="000F72C6"/>
    <w:rsid w:val="000F7AD5"/>
    <w:rsid w:val="000F7CB4"/>
    <w:rsid w:val="000F7DA4"/>
    <w:rsid w:val="000F7DC2"/>
    <w:rsid w:val="000F7E1E"/>
    <w:rsid w:val="000F7E21"/>
    <w:rsid w:val="000F7F1D"/>
    <w:rsid w:val="000F7F64"/>
    <w:rsid w:val="000F7FAE"/>
    <w:rsid w:val="00100058"/>
    <w:rsid w:val="00100268"/>
    <w:rsid w:val="001003E1"/>
    <w:rsid w:val="00100472"/>
    <w:rsid w:val="001006B5"/>
    <w:rsid w:val="00100814"/>
    <w:rsid w:val="00100B0C"/>
    <w:rsid w:val="00100B6B"/>
    <w:rsid w:val="001010FA"/>
    <w:rsid w:val="001014D0"/>
    <w:rsid w:val="00101916"/>
    <w:rsid w:val="00101976"/>
    <w:rsid w:val="00101A55"/>
    <w:rsid w:val="00101E0C"/>
    <w:rsid w:val="00101F21"/>
    <w:rsid w:val="00101F33"/>
    <w:rsid w:val="0010203F"/>
    <w:rsid w:val="00102371"/>
    <w:rsid w:val="00102818"/>
    <w:rsid w:val="00102B06"/>
    <w:rsid w:val="00102B37"/>
    <w:rsid w:val="00102E12"/>
    <w:rsid w:val="001030AE"/>
    <w:rsid w:val="0010327A"/>
    <w:rsid w:val="00103356"/>
    <w:rsid w:val="00103433"/>
    <w:rsid w:val="001035FC"/>
    <w:rsid w:val="00103A48"/>
    <w:rsid w:val="00103ECF"/>
    <w:rsid w:val="00104168"/>
    <w:rsid w:val="00104CC6"/>
    <w:rsid w:val="00104E68"/>
    <w:rsid w:val="00104EC6"/>
    <w:rsid w:val="00104F5D"/>
    <w:rsid w:val="0010507C"/>
    <w:rsid w:val="001053BE"/>
    <w:rsid w:val="00105637"/>
    <w:rsid w:val="00105774"/>
    <w:rsid w:val="001059D3"/>
    <w:rsid w:val="00105B08"/>
    <w:rsid w:val="0010607E"/>
    <w:rsid w:val="001061DE"/>
    <w:rsid w:val="0010642A"/>
    <w:rsid w:val="0010687A"/>
    <w:rsid w:val="00106AA3"/>
    <w:rsid w:val="00106B50"/>
    <w:rsid w:val="00106D57"/>
    <w:rsid w:val="00107126"/>
    <w:rsid w:val="00107184"/>
    <w:rsid w:val="00107499"/>
    <w:rsid w:val="001075A8"/>
    <w:rsid w:val="0010788D"/>
    <w:rsid w:val="00107900"/>
    <w:rsid w:val="001079C3"/>
    <w:rsid w:val="001079F9"/>
    <w:rsid w:val="00107B24"/>
    <w:rsid w:val="00110856"/>
    <w:rsid w:val="001112CB"/>
    <w:rsid w:val="00111347"/>
    <w:rsid w:val="00111823"/>
    <w:rsid w:val="00111A6A"/>
    <w:rsid w:val="00111D49"/>
    <w:rsid w:val="0011204E"/>
    <w:rsid w:val="001124E6"/>
    <w:rsid w:val="00112A83"/>
    <w:rsid w:val="00112FD6"/>
    <w:rsid w:val="00113BDB"/>
    <w:rsid w:val="00113E20"/>
    <w:rsid w:val="00113E61"/>
    <w:rsid w:val="00113F0D"/>
    <w:rsid w:val="00114045"/>
    <w:rsid w:val="00114204"/>
    <w:rsid w:val="001143AE"/>
    <w:rsid w:val="001143D0"/>
    <w:rsid w:val="00114470"/>
    <w:rsid w:val="001145E7"/>
    <w:rsid w:val="001146BF"/>
    <w:rsid w:val="001146F4"/>
    <w:rsid w:val="001148A7"/>
    <w:rsid w:val="001148C3"/>
    <w:rsid w:val="001148FD"/>
    <w:rsid w:val="0011499F"/>
    <w:rsid w:val="00114E77"/>
    <w:rsid w:val="001151F5"/>
    <w:rsid w:val="0011562D"/>
    <w:rsid w:val="001156D5"/>
    <w:rsid w:val="00115EE6"/>
    <w:rsid w:val="00116113"/>
    <w:rsid w:val="001167F5"/>
    <w:rsid w:val="00116AF1"/>
    <w:rsid w:val="00116C1C"/>
    <w:rsid w:val="00116C75"/>
    <w:rsid w:val="00116DD5"/>
    <w:rsid w:val="001172B7"/>
    <w:rsid w:val="00117309"/>
    <w:rsid w:val="001174E2"/>
    <w:rsid w:val="00117927"/>
    <w:rsid w:val="00117AF1"/>
    <w:rsid w:val="00117BB0"/>
    <w:rsid w:val="00120030"/>
    <w:rsid w:val="0012011D"/>
    <w:rsid w:val="00120457"/>
    <w:rsid w:val="00120623"/>
    <w:rsid w:val="00120D11"/>
    <w:rsid w:val="00120D7F"/>
    <w:rsid w:val="00120F89"/>
    <w:rsid w:val="00121177"/>
    <w:rsid w:val="001216FA"/>
    <w:rsid w:val="001218FF"/>
    <w:rsid w:val="00121D1D"/>
    <w:rsid w:val="00121F1E"/>
    <w:rsid w:val="00122847"/>
    <w:rsid w:val="00122912"/>
    <w:rsid w:val="00122976"/>
    <w:rsid w:val="00122A9B"/>
    <w:rsid w:val="0012380F"/>
    <w:rsid w:val="00123A77"/>
    <w:rsid w:val="001248B9"/>
    <w:rsid w:val="001249B2"/>
    <w:rsid w:val="00124FBE"/>
    <w:rsid w:val="001252BA"/>
    <w:rsid w:val="001254C6"/>
    <w:rsid w:val="00125651"/>
    <w:rsid w:val="00125958"/>
    <w:rsid w:val="00125AC1"/>
    <w:rsid w:val="00125C51"/>
    <w:rsid w:val="00125D56"/>
    <w:rsid w:val="00125FC1"/>
    <w:rsid w:val="001261E2"/>
    <w:rsid w:val="00126235"/>
    <w:rsid w:val="001267F9"/>
    <w:rsid w:val="00126876"/>
    <w:rsid w:val="00126980"/>
    <w:rsid w:val="00126FCA"/>
    <w:rsid w:val="001273DA"/>
    <w:rsid w:val="00127771"/>
    <w:rsid w:val="00127C10"/>
    <w:rsid w:val="00127CCE"/>
    <w:rsid w:val="00127F8B"/>
    <w:rsid w:val="0013060B"/>
    <w:rsid w:val="001306A7"/>
    <w:rsid w:val="001308AD"/>
    <w:rsid w:val="00131047"/>
    <w:rsid w:val="00131084"/>
    <w:rsid w:val="0013114E"/>
    <w:rsid w:val="001315D4"/>
    <w:rsid w:val="001315EA"/>
    <w:rsid w:val="0013171C"/>
    <w:rsid w:val="001319AE"/>
    <w:rsid w:val="00131A4B"/>
    <w:rsid w:val="00132098"/>
    <w:rsid w:val="001321E2"/>
    <w:rsid w:val="0013239A"/>
    <w:rsid w:val="00132674"/>
    <w:rsid w:val="00132857"/>
    <w:rsid w:val="001329D5"/>
    <w:rsid w:val="00132A09"/>
    <w:rsid w:val="00132D0E"/>
    <w:rsid w:val="00132F27"/>
    <w:rsid w:val="00133323"/>
    <w:rsid w:val="001334D9"/>
    <w:rsid w:val="00133558"/>
    <w:rsid w:val="001335FA"/>
    <w:rsid w:val="0013399B"/>
    <w:rsid w:val="00133B6D"/>
    <w:rsid w:val="0013455F"/>
    <w:rsid w:val="00134BB2"/>
    <w:rsid w:val="00134D35"/>
    <w:rsid w:val="00135207"/>
    <w:rsid w:val="0013523C"/>
    <w:rsid w:val="001353CC"/>
    <w:rsid w:val="001353DB"/>
    <w:rsid w:val="001358CD"/>
    <w:rsid w:val="00135B41"/>
    <w:rsid w:val="00135CEF"/>
    <w:rsid w:val="00135D93"/>
    <w:rsid w:val="00135EC9"/>
    <w:rsid w:val="00136CB5"/>
    <w:rsid w:val="0013714A"/>
    <w:rsid w:val="00137191"/>
    <w:rsid w:val="001373C3"/>
    <w:rsid w:val="001376AE"/>
    <w:rsid w:val="00137940"/>
    <w:rsid w:val="00137B50"/>
    <w:rsid w:val="00137C78"/>
    <w:rsid w:val="00137FEB"/>
    <w:rsid w:val="0014041C"/>
    <w:rsid w:val="00140BAF"/>
    <w:rsid w:val="00140C00"/>
    <w:rsid w:val="00140EB2"/>
    <w:rsid w:val="0014104F"/>
    <w:rsid w:val="001418A2"/>
    <w:rsid w:val="001419EF"/>
    <w:rsid w:val="001419FF"/>
    <w:rsid w:val="00141A37"/>
    <w:rsid w:val="00141B4A"/>
    <w:rsid w:val="00141C42"/>
    <w:rsid w:val="001421E4"/>
    <w:rsid w:val="0014267D"/>
    <w:rsid w:val="00142963"/>
    <w:rsid w:val="00142F44"/>
    <w:rsid w:val="00143151"/>
    <w:rsid w:val="001431DB"/>
    <w:rsid w:val="00143799"/>
    <w:rsid w:val="00143A49"/>
    <w:rsid w:val="00143C18"/>
    <w:rsid w:val="00143CB4"/>
    <w:rsid w:val="001440DD"/>
    <w:rsid w:val="00144529"/>
    <w:rsid w:val="00144917"/>
    <w:rsid w:val="00144DF8"/>
    <w:rsid w:val="001450F7"/>
    <w:rsid w:val="00145580"/>
    <w:rsid w:val="00145738"/>
    <w:rsid w:val="00145A1D"/>
    <w:rsid w:val="00146243"/>
    <w:rsid w:val="001463B3"/>
    <w:rsid w:val="00146767"/>
    <w:rsid w:val="00147253"/>
    <w:rsid w:val="0014748A"/>
    <w:rsid w:val="00147559"/>
    <w:rsid w:val="0014774B"/>
    <w:rsid w:val="001478BA"/>
    <w:rsid w:val="00147A1C"/>
    <w:rsid w:val="00147CF6"/>
    <w:rsid w:val="00150945"/>
    <w:rsid w:val="001511A4"/>
    <w:rsid w:val="0015128D"/>
    <w:rsid w:val="00151343"/>
    <w:rsid w:val="00151539"/>
    <w:rsid w:val="001515F2"/>
    <w:rsid w:val="001516DB"/>
    <w:rsid w:val="00151BB3"/>
    <w:rsid w:val="00151CAF"/>
    <w:rsid w:val="00151E34"/>
    <w:rsid w:val="00151E44"/>
    <w:rsid w:val="00152902"/>
    <w:rsid w:val="001529BB"/>
    <w:rsid w:val="00152E56"/>
    <w:rsid w:val="001531EB"/>
    <w:rsid w:val="001532E5"/>
    <w:rsid w:val="001538D3"/>
    <w:rsid w:val="00153A3C"/>
    <w:rsid w:val="00153C7B"/>
    <w:rsid w:val="00153CB5"/>
    <w:rsid w:val="00153E1B"/>
    <w:rsid w:val="00154850"/>
    <w:rsid w:val="0015485C"/>
    <w:rsid w:val="001549DF"/>
    <w:rsid w:val="00154B63"/>
    <w:rsid w:val="00154CB3"/>
    <w:rsid w:val="00155117"/>
    <w:rsid w:val="001555D0"/>
    <w:rsid w:val="00155620"/>
    <w:rsid w:val="00155774"/>
    <w:rsid w:val="001559AA"/>
    <w:rsid w:val="00155DF1"/>
    <w:rsid w:val="0015602C"/>
    <w:rsid w:val="001566B3"/>
    <w:rsid w:val="00156B69"/>
    <w:rsid w:val="00156C7D"/>
    <w:rsid w:val="00156D13"/>
    <w:rsid w:val="00157260"/>
    <w:rsid w:val="001575D8"/>
    <w:rsid w:val="00157664"/>
    <w:rsid w:val="001600DF"/>
    <w:rsid w:val="00160180"/>
    <w:rsid w:val="001601F4"/>
    <w:rsid w:val="00160503"/>
    <w:rsid w:val="00161148"/>
    <w:rsid w:val="001611C8"/>
    <w:rsid w:val="00161230"/>
    <w:rsid w:val="00161444"/>
    <w:rsid w:val="0016149C"/>
    <w:rsid w:val="001614D8"/>
    <w:rsid w:val="00161A69"/>
    <w:rsid w:val="00161AEE"/>
    <w:rsid w:val="00161BFF"/>
    <w:rsid w:val="00162056"/>
    <w:rsid w:val="001622A4"/>
    <w:rsid w:val="001622D3"/>
    <w:rsid w:val="001625AE"/>
    <w:rsid w:val="0016293F"/>
    <w:rsid w:val="00162C0B"/>
    <w:rsid w:val="00162C1E"/>
    <w:rsid w:val="00162E48"/>
    <w:rsid w:val="00162F6A"/>
    <w:rsid w:val="0016323D"/>
    <w:rsid w:val="001632FB"/>
    <w:rsid w:val="0016343C"/>
    <w:rsid w:val="00163540"/>
    <w:rsid w:val="00163D7B"/>
    <w:rsid w:val="001645B6"/>
    <w:rsid w:val="0016485B"/>
    <w:rsid w:val="00164938"/>
    <w:rsid w:val="00164DAA"/>
    <w:rsid w:val="0016539E"/>
    <w:rsid w:val="001655DC"/>
    <w:rsid w:val="00165947"/>
    <w:rsid w:val="00165C76"/>
    <w:rsid w:val="00165E0A"/>
    <w:rsid w:val="00166045"/>
    <w:rsid w:val="001661D3"/>
    <w:rsid w:val="00166288"/>
    <w:rsid w:val="00166316"/>
    <w:rsid w:val="00166319"/>
    <w:rsid w:val="001664CA"/>
    <w:rsid w:val="00166525"/>
    <w:rsid w:val="00166889"/>
    <w:rsid w:val="00166F92"/>
    <w:rsid w:val="00166FD0"/>
    <w:rsid w:val="001671CF"/>
    <w:rsid w:val="00167687"/>
    <w:rsid w:val="00167757"/>
    <w:rsid w:val="00167891"/>
    <w:rsid w:val="00167A99"/>
    <w:rsid w:val="00167E14"/>
    <w:rsid w:val="00167FAA"/>
    <w:rsid w:val="00167FBE"/>
    <w:rsid w:val="00167FDD"/>
    <w:rsid w:val="001703A0"/>
    <w:rsid w:val="00170636"/>
    <w:rsid w:val="00170967"/>
    <w:rsid w:val="00170991"/>
    <w:rsid w:val="00170A4B"/>
    <w:rsid w:val="00170C4B"/>
    <w:rsid w:val="00170E15"/>
    <w:rsid w:val="00170E70"/>
    <w:rsid w:val="001714BE"/>
    <w:rsid w:val="0017188E"/>
    <w:rsid w:val="00172E48"/>
    <w:rsid w:val="00172EC1"/>
    <w:rsid w:val="00173151"/>
    <w:rsid w:val="001731B5"/>
    <w:rsid w:val="00173AA4"/>
    <w:rsid w:val="001741AA"/>
    <w:rsid w:val="0017468B"/>
    <w:rsid w:val="001747FB"/>
    <w:rsid w:val="00174879"/>
    <w:rsid w:val="0017489B"/>
    <w:rsid w:val="00174B36"/>
    <w:rsid w:val="00174D35"/>
    <w:rsid w:val="0017508C"/>
    <w:rsid w:val="00175120"/>
    <w:rsid w:val="00175364"/>
    <w:rsid w:val="00175805"/>
    <w:rsid w:val="00175897"/>
    <w:rsid w:val="00175B59"/>
    <w:rsid w:val="00175DBA"/>
    <w:rsid w:val="00175FBA"/>
    <w:rsid w:val="0017600F"/>
    <w:rsid w:val="00176AEB"/>
    <w:rsid w:val="00176C6D"/>
    <w:rsid w:val="00176F23"/>
    <w:rsid w:val="00176F52"/>
    <w:rsid w:val="001770F1"/>
    <w:rsid w:val="001772A7"/>
    <w:rsid w:val="001774BC"/>
    <w:rsid w:val="00177771"/>
    <w:rsid w:val="0018016F"/>
    <w:rsid w:val="00180192"/>
    <w:rsid w:val="00180464"/>
    <w:rsid w:val="00180934"/>
    <w:rsid w:val="00180A46"/>
    <w:rsid w:val="00180B19"/>
    <w:rsid w:val="00180B4B"/>
    <w:rsid w:val="00180F58"/>
    <w:rsid w:val="00181180"/>
    <w:rsid w:val="00181555"/>
    <w:rsid w:val="00181A1C"/>
    <w:rsid w:val="00182103"/>
    <w:rsid w:val="00182252"/>
    <w:rsid w:val="0018239D"/>
    <w:rsid w:val="001823B9"/>
    <w:rsid w:val="00182A18"/>
    <w:rsid w:val="00182B9D"/>
    <w:rsid w:val="0018350C"/>
    <w:rsid w:val="001835AA"/>
    <w:rsid w:val="001836BE"/>
    <w:rsid w:val="00183ACA"/>
    <w:rsid w:val="00183E53"/>
    <w:rsid w:val="00184420"/>
    <w:rsid w:val="00184632"/>
    <w:rsid w:val="00184694"/>
    <w:rsid w:val="00184EBC"/>
    <w:rsid w:val="00184ED8"/>
    <w:rsid w:val="00185048"/>
    <w:rsid w:val="001857BC"/>
    <w:rsid w:val="00185A57"/>
    <w:rsid w:val="00185DEC"/>
    <w:rsid w:val="00185F1A"/>
    <w:rsid w:val="00186029"/>
    <w:rsid w:val="00186163"/>
    <w:rsid w:val="001865C8"/>
    <w:rsid w:val="00186FBF"/>
    <w:rsid w:val="001871F1"/>
    <w:rsid w:val="001872AF"/>
    <w:rsid w:val="0018754B"/>
    <w:rsid w:val="00187799"/>
    <w:rsid w:val="00187BC3"/>
    <w:rsid w:val="00187D5A"/>
    <w:rsid w:val="00187FD8"/>
    <w:rsid w:val="00190007"/>
    <w:rsid w:val="00190077"/>
    <w:rsid w:val="00190122"/>
    <w:rsid w:val="00190333"/>
    <w:rsid w:val="001906DB"/>
    <w:rsid w:val="0019079B"/>
    <w:rsid w:val="00190B27"/>
    <w:rsid w:val="001910F4"/>
    <w:rsid w:val="00191101"/>
    <w:rsid w:val="00191237"/>
    <w:rsid w:val="0019150C"/>
    <w:rsid w:val="00191515"/>
    <w:rsid w:val="0019207F"/>
    <w:rsid w:val="00192220"/>
    <w:rsid w:val="00192293"/>
    <w:rsid w:val="001927F0"/>
    <w:rsid w:val="00192880"/>
    <w:rsid w:val="00192E96"/>
    <w:rsid w:val="00192F98"/>
    <w:rsid w:val="00193846"/>
    <w:rsid w:val="0019395E"/>
    <w:rsid w:val="00193A14"/>
    <w:rsid w:val="00193A4B"/>
    <w:rsid w:val="00193CF7"/>
    <w:rsid w:val="00193D54"/>
    <w:rsid w:val="00194384"/>
    <w:rsid w:val="0019478E"/>
    <w:rsid w:val="00194DAF"/>
    <w:rsid w:val="001952AD"/>
    <w:rsid w:val="00195425"/>
    <w:rsid w:val="001957DF"/>
    <w:rsid w:val="00195940"/>
    <w:rsid w:val="001959E9"/>
    <w:rsid w:val="00196468"/>
    <w:rsid w:val="00196693"/>
    <w:rsid w:val="0019672E"/>
    <w:rsid w:val="001967B2"/>
    <w:rsid w:val="00196AB3"/>
    <w:rsid w:val="00196C94"/>
    <w:rsid w:val="00196D70"/>
    <w:rsid w:val="001971CB"/>
    <w:rsid w:val="0019720C"/>
    <w:rsid w:val="001977AD"/>
    <w:rsid w:val="001977EB"/>
    <w:rsid w:val="00197AB3"/>
    <w:rsid w:val="00197AD3"/>
    <w:rsid w:val="00197D65"/>
    <w:rsid w:val="001A009D"/>
    <w:rsid w:val="001A047F"/>
    <w:rsid w:val="001A0668"/>
    <w:rsid w:val="001A081D"/>
    <w:rsid w:val="001A0B49"/>
    <w:rsid w:val="001A0D3B"/>
    <w:rsid w:val="001A0DEB"/>
    <w:rsid w:val="001A11E5"/>
    <w:rsid w:val="001A13B6"/>
    <w:rsid w:val="001A14D5"/>
    <w:rsid w:val="001A176F"/>
    <w:rsid w:val="001A19E6"/>
    <w:rsid w:val="001A1B79"/>
    <w:rsid w:val="001A2017"/>
    <w:rsid w:val="001A20C6"/>
    <w:rsid w:val="001A22C1"/>
    <w:rsid w:val="001A2616"/>
    <w:rsid w:val="001A28FB"/>
    <w:rsid w:val="001A2902"/>
    <w:rsid w:val="001A2E37"/>
    <w:rsid w:val="001A302B"/>
    <w:rsid w:val="001A3039"/>
    <w:rsid w:val="001A332E"/>
    <w:rsid w:val="001A34D7"/>
    <w:rsid w:val="001A34E1"/>
    <w:rsid w:val="001A35D8"/>
    <w:rsid w:val="001A3A0A"/>
    <w:rsid w:val="001A3F3F"/>
    <w:rsid w:val="001A41BF"/>
    <w:rsid w:val="001A457C"/>
    <w:rsid w:val="001A477A"/>
    <w:rsid w:val="001A4955"/>
    <w:rsid w:val="001A4AAD"/>
    <w:rsid w:val="001A4C85"/>
    <w:rsid w:val="001A4D76"/>
    <w:rsid w:val="001A5199"/>
    <w:rsid w:val="001A57C1"/>
    <w:rsid w:val="001A59C2"/>
    <w:rsid w:val="001A5AFA"/>
    <w:rsid w:val="001A5E2F"/>
    <w:rsid w:val="001A67D1"/>
    <w:rsid w:val="001A702E"/>
    <w:rsid w:val="001A7295"/>
    <w:rsid w:val="001A7AAD"/>
    <w:rsid w:val="001B000F"/>
    <w:rsid w:val="001B01CB"/>
    <w:rsid w:val="001B07B9"/>
    <w:rsid w:val="001B0ADE"/>
    <w:rsid w:val="001B10B4"/>
    <w:rsid w:val="001B1426"/>
    <w:rsid w:val="001B15BA"/>
    <w:rsid w:val="001B16A1"/>
    <w:rsid w:val="001B1A43"/>
    <w:rsid w:val="001B1C0F"/>
    <w:rsid w:val="001B20F5"/>
    <w:rsid w:val="001B28C7"/>
    <w:rsid w:val="001B29BC"/>
    <w:rsid w:val="001B2A8B"/>
    <w:rsid w:val="001B3221"/>
    <w:rsid w:val="001B374A"/>
    <w:rsid w:val="001B3775"/>
    <w:rsid w:val="001B3AD8"/>
    <w:rsid w:val="001B3DFA"/>
    <w:rsid w:val="001B43F9"/>
    <w:rsid w:val="001B4695"/>
    <w:rsid w:val="001B472B"/>
    <w:rsid w:val="001B4B8C"/>
    <w:rsid w:val="001B4C0B"/>
    <w:rsid w:val="001B5070"/>
    <w:rsid w:val="001B52C9"/>
    <w:rsid w:val="001B5337"/>
    <w:rsid w:val="001B53BC"/>
    <w:rsid w:val="001B57BC"/>
    <w:rsid w:val="001B599E"/>
    <w:rsid w:val="001B5A78"/>
    <w:rsid w:val="001B5BC6"/>
    <w:rsid w:val="001B5CAF"/>
    <w:rsid w:val="001B68EE"/>
    <w:rsid w:val="001B6B0B"/>
    <w:rsid w:val="001B7735"/>
    <w:rsid w:val="001B775D"/>
    <w:rsid w:val="001B7B68"/>
    <w:rsid w:val="001C01C8"/>
    <w:rsid w:val="001C061E"/>
    <w:rsid w:val="001C093D"/>
    <w:rsid w:val="001C0A40"/>
    <w:rsid w:val="001C0F4B"/>
    <w:rsid w:val="001C0FBC"/>
    <w:rsid w:val="001C129F"/>
    <w:rsid w:val="001C14A7"/>
    <w:rsid w:val="001C164B"/>
    <w:rsid w:val="001C1A81"/>
    <w:rsid w:val="001C1BB0"/>
    <w:rsid w:val="001C1F72"/>
    <w:rsid w:val="001C218A"/>
    <w:rsid w:val="001C2213"/>
    <w:rsid w:val="001C22EF"/>
    <w:rsid w:val="001C2A4B"/>
    <w:rsid w:val="001C2C8A"/>
    <w:rsid w:val="001C2E71"/>
    <w:rsid w:val="001C395B"/>
    <w:rsid w:val="001C3F7C"/>
    <w:rsid w:val="001C51E1"/>
    <w:rsid w:val="001C5236"/>
    <w:rsid w:val="001C5EF4"/>
    <w:rsid w:val="001C5F64"/>
    <w:rsid w:val="001C6181"/>
    <w:rsid w:val="001C6347"/>
    <w:rsid w:val="001C6CA2"/>
    <w:rsid w:val="001C736C"/>
    <w:rsid w:val="001C76F8"/>
    <w:rsid w:val="001C78BB"/>
    <w:rsid w:val="001C7A5F"/>
    <w:rsid w:val="001C7B4E"/>
    <w:rsid w:val="001D0426"/>
    <w:rsid w:val="001D07C1"/>
    <w:rsid w:val="001D0D4A"/>
    <w:rsid w:val="001D0DC3"/>
    <w:rsid w:val="001D1045"/>
    <w:rsid w:val="001D1158"/>
    <w:rsid w:val="001D169B"/>
    <w:rsid w:val="001D169D"/>
    <w:rsid w:val="001D2416"/>
    <w:rsid w:val="001D2568"/>
    <w:rsid w:val="001D2592"/>
    <w:rsid w:val="001D2613"/>
    <w:rsid w:val="001D26FF"/>
    <w:rsid w:val="001D2AA4"/>
    <w:rsid w:val="001D2C5F"/>
    <w:rsid w:val="001D3155"/>
    <w:rsid w:val="001D35C0"/>
    <w:rsid w:val="001D3A04"/>
    <w:rsid w:val="001D3A08"/>
    <w:rsid w:val="001D3C3A"/>
    <w:rsid w:val="001D4279"/>
    <w:rsid w:val="001D447C"/>
    <w:rsid w:val="001D4832"/>
    <w:rsid w:val="001D4AD4"/>
    <w:rsid w:val="001D4E3C"/>
    <w:rsid w:val="001D5006"/>
    <w:rsid w:val="001D5683"/>
    <w:rsid w:val="001D58AB"/>
    <w:rsid w:val="001D5C63"/>
    <w:rsid w:val="001D5CF9"/>
    <w:rsid w:val="001D5E51"/>
    <w:rsid w:val="001D6B45"/>
    <w:rsid w:val="001D6D6E"/>
    <w:rsid w:val="001D744B"/>
    <w:rsid w:val="001D7AFE"/>
    <w:rsid w:val="001E0000"/>
    <w:rsid w:val="001E079A"/>
    <w:rsid w:val="001E081F"/>
    <w:rsid w:val="001E08DA"/>
    <w:rsid w:val="001E0C86"/>
    <w:rsid w:val="001E0EDB"/>
    <w:rsid w:val="001E158F"/>
    <w:rsid w:val="001E15E8"/>
    <w:rsid w:val="001E16E4"/>
    <w:rsid w:val="001E16FF"/>
    <w:rsid w:val="001E1B40"/>
    <w:rsid w:val="001E1D16"/>
    <w:rsid w:val="001E1F17"/>
    <w:rsid w:val="001E24EA"/>
    <w:rsid w:val="001E2626"/>
    <w:rsid w:val="001E2EF1"/>
    <w:rsid w:val="001E2F57"/>
    <w:rsid w:val="001E3923"/>
    <w:rsid w:val="001E398F"/>
    <w:rsid w:val="001E41FD"/>
    <w:rsid w:val="001E46EB"/>
    <w:rsid w:val="001E4755"/>
    <w:rsid w:val="001E4804"/>
    <w:rsid w:val="001E4BE4"/>
    <w:rsid w:val="001E4C5D"/>
    <w:rsid w:val="001E4E6B"/>
    <w:rsid w:val="001E4ECD"/>
    <w:rsid w:val="001E4F73"/>
    <w:rsid w:val="001E51F7"/>
    <w:rsid w:val="001E531B"/>
    <w:rsid w:val="001E54C0"/>
    <w:rsid w:val="001E551F"/>
    <w:rsid w:val="001E5D07"/>
    <w:rsid w:val="001E5DAC"/>
    <w:rsid w:val="001E5EE0"/>
    <w:rsid w:val="001E6089"/>
    <w:rsid w:val="001E6682"/>
    <w:rsid w:val="001E67C4"/>
    <w:rsid w:val="001E6CB1"/>
    <w:rsid w:val="001E6DBB"/>
    <w:rsid w:val="001E6ED8"/>
    <w:rsid w:val="001E7779"/>
    <w:rsid w:val="001E779F"/>
    <w:rsid w:val="001E79F6"/>
    <w:rsid w:val="001E7A0A"/>
    <w:rsid w:val="001E7BB8"/>
    <w:rsid w:val="001E7D97"/>
    <w:rsid w:val="001E7DDE"/>
    <w:rsid w:val="001E7FE4"/>
    <w:rsid w:val="001F0235"/>
    <w:rsid w:val="001F0698"/>
    <w:rsid w:val="001F0F79"/>
    <w:rsid w:val="001F1597"/>
    <w:rsid w:val="001F173C"/>
    <w:rsid w:val="001F196B"/>
    <w:rsid w:val="001F19CD"/>
    <w:rsid w:val="001F1ABC"/>
    <w:rsid w:val="001F1ABF"/>
    <w:rsid w:val="001F1DAA"/>
    <w:rsid w:val="001F1EBF"/>
    <w:rsid w:val="001F1F6F"/>
    <w:rsid w:val="001F21EC"/>
    <w:rsid w:val="001F263A"/>
    <w:rsid w:val="001F3366"/>
    <w:rsid w:val="001F352E"/>
    <w:rsid w:val="001F38D3"/>
    <w:rsid w:val="001F3908"/>
    <w:rsid w:val="001F39AA"/>
    <w:rsid w:val="001F39B8"/>
    <w:rsid w:val="001F3E60"/>
    <w:rsid w:val="001F3E90"/>
    <w:rsid w:val="001F3EF9"/>
    <w:rsid w:val="001F4907"/>
    <w:rsid w:val="001F5063"/>
    <w:rsid w:val="001F51B8"/>
    <w:rsid w:val="001F5233"/>
    <w:rsid w:val="001F53EF"/>
    <w:rsid w:val="001F573B"/>
    <w:rsid w:val="001F5C30"/>
    <w:rsid w:val="001F5C37"/>
    <w:rsid w:val="001F5EA0"/>
    <w:rsid w:val="001F60A2"/>
    <w:rsid w:val="001F6211"/>
    <w:rsid w:val="001F6302"/>
    <w:rsid w:val="001F64D7"/>
    <w:rsid w:val="001F6630"/>
    <w:rsid w:val="001F66D3"/>
    <w:rsid w:val="001F6C99"/>
    <w:rsid w:val="001F6D61"/>
    <w:rsid w:val="001F7077"/>
    <w:rsid w:val="001F70B7"/>
    <w:rsid w:val="001F7282"/>
    <w:rsid w:val="001F7366"/>
    <w:rsid w:val="001F7498"/>
    <w:rsid w:val="001F7A72"/>
    <w:rsid w:val="001F7D1B"/>
    <w:rsid w:val="001F7DD3"/>
    <w:rsid w:val="002000EB"/>
    <w:rsid w:val="00200482"/>
    <w:rsid w:val="002005F7"/>
    <w:rsid w:val="00200A45"/>
    <w:rsid w:val="00200C03"/>
    <w:rsid w:val="00200EAC"/>
    <w:rsid w:val="00201193"/>
    <w:rsid w:val="0020164F"/>
    <w:rsid w:val="0020169C"/>
    <w:rsid w:val="00201D2E"/>
    <w:rsid w:val="002023EE"/>
    <w:rsid w:val="002027D0"/>
    <w:rsid w:val="00202FBE"/>
    <w:rsid w:val="00203061"/>
    <w:rsid w:val="002032D4"/>
    <w:rsid w:val="002033E6"/>
    <w:rsid w:val="002034BA"/>
    <w:rsid w:val="0020368C"/>
    <w:rsid w:val="002039D7"/>
    <w:rsid w:val="00203A47"/>
    <w:rsid w:val="00203B8B"/>
    <w:rsid w:val="00203C61"/>
    <w:rsid w:val="00204871"/>
    <w:rsid w:val="00204B6E"/>
    <w:rsid w:val="00204C24"/>
    <w:rsid w:val="00204C6A"/>
    <w:rsid w:val="002057AA"/>
    <w:rsid w:val="00205B5A"/>
    <w:rsid w:val="00205C76"/>
    <w:rsid w:val="002067D3"/>
    <w:rsid w:val="002068C9"/>
    <w:rsid w:val="00206BBF"/>
    <w:rsid w:val="00206E6F"/>
    <w:rsid w:val="00207188"/>
    <w:rsid w:val="002073C2"/>
    <w:rsid w:val="0020766F"/>
    <w:rsid w:val="00207BC7"/>
    <w:rsid w:val="00207EF4"/>
    <w:rsid w:val="002102EE"/>
    <w:rsid w:val="00210529"/>
    <w:rsid w:val="0021061A"/>
    <w:rsid w:val="00210DD3"/>
    <w:rsid w:val="00211045"/>
    <w:rsid w:val="0021106E"/>
    <w:rsid w:val="002110AB"/>
    <w:rsid w:val="00211448"/>
    <w:rsid w:val="00211886"/>
    <w:rsid w:val="00211BB7"/>
    <w:rsid w:val="00211DD6"/>
    <w:rsid w:val="00211EC0"/>
    <w:rsid w:val="00211EF1"/>
    <w:rsid w:val="00212367"/>
    <w:rsid w:val="00212661"/>
    <w:rsid w:val="00212680"/>
    <w:rsid w:val="00212843"/>
    <w:rsid w:val="00212E55"/>
    <w:rsid w:val="0021357B"/>
    <w:rsid w:val="002142A5"/>
    <w:rsid w:val="0021442F"/>
    <w:rsid w:val="00214777"/>
    <w:rsid w:val="0021532E"/>
    <w:rsid w:val="00215554"/>
    <w:rsid w:val="00215733"/>
    <w:rsid w:val="0021595C"/>
    <w:rsid w:val="00215FC4"/>
    <w:rsid w:val="002161F6"/>
    <w:rsid w:val="002162AA"/>
    <w:rsid w:val="002164A9"/>
    <w:rsid w:val="002165F4"/>
    <w:rsid w:val="00216B91"/>
    <w:rsid w:val="0021710A"/>
    <w:rsid w:val="002171A4"/>
    <w:rsid w:val="00217739"/>
    <w:rsid w:val="00217777"/>
    <w:rsid w:val="00217AEE"/>
    <w:rsid w:val="00217C10"/>
    <w:rsid w:val="00217C8B"/>
    <w:rsid w:val="00217CFF"/>
    <w:rsid w:val="00217D70"/>
    <w:rsid w:val="00217F9A"/>
    <w:rsid w:val="002210D5"/>
    <w:rsid w:val="00221BAA"/>
    <w:rsid w:val="00221EF9"/>
    <w:rsid w:val="002222B9"/>
    <w:rsid w:val="002222D0"/>
    <w:rsid w:val="0022261E"/>
    <w:rsid w:val="002227FF"/>
    <w:rsid w:val="0022293C"/>
    <w:rsid w:val="00222B53"/>
    <w:rsid w:val="00223A96"/>
    <w:rsid w:val="00223EEC"/>
    <w:rsid w:val="00223F3A"/>
    <w:rsid w:val="002244F6"/>
    <w:rsid w:val="002244FD"/>
    <w:rsid w:val="0022476B"/>
    <w:rsid w:val="00224A5E"/>
    <w:rsid w:val="00224BE7"/>
    <w:rsid w:val="00224C9A"/>
    <w:rsid w:val="00224DAB"/>
    <w:rsid w:val="00224DC1"/>
    <w:rsid w:val="00224E8B"/>
    <w:rsid w:val="00225129"/>
    <w:rsid w:val="00225162"/>
    <w:rsid w:val="0022535F"/>
    <w:rsid w:val="00225A63"/>
    <w:rsid w:val="00225B5B"/>
    <w:rsid w:val="00226403"/>
    <w:rsid w:val="00226461"/>
    <w:rsid w:val="00226679"/>
    <w:rsid w:val="00226782"/>
    <w:rsid w:val="0022681D"/>
    <w:rsid w:val="00226932"/>
    <w:rsid w:val="002269AE"/>
    <w:rsid w:val="002272AB"/>
    <w:rsid w:val="002273A6"/>
    <w:rsid w:val="002273C1"/>
    <w:rsid w:val="002274CB"/>
    <w:rsid w:val="00227555"/>
    <w:rsid w:val="00227C0D"/>
    <w:rsid w:val="002300AE"/>
    <w:rsid w:val="00230515"/>
    <w:rsid w:val="00230ABF"/>
    <w:rsid w:val="00230D87"/>
    <w:rsid w:val="00230E55"/>
    <w:rsid w:val="002311C5"/>
    <w:rsid w:val="00231348"/>
    <w:rsid w:val="002316C6"/>
    <w:rsid w:val="00231891"/>
    <w:rsid w:val="00231899"/>
    <w:rsid w:val="00231D89"/>
    <w:rsid w:val="00231DBD"/>
    <w:rsid w:val="00231F09"/>
    <w:rsid w:val="002320ED"/>
    <w:rsid w:val="002328F7"/>
    <w:rsid w:val="00232989"/>
    <w:rsid w:val="00232A0F"/>
    <w:rsid w:val="00232A4E"/>
    <w:rsid w:val="00232B44"/>
    <w:rsid w:val="00232E01"/>
    <w:rsid w:val="002333FA"/>
    <w:rsid w:val="0023361F"/>
    <w:rsid w:val="00233786"/>
    <w:rsid w:val="002338C4"/>
    <w:rsid w:val="00233973"/>
    <w:rsid w:val="00233A50"/>
    <w:rsid w:val="00233B11"/>
    <w:rsid w:val="00233CB0"/>
    <w:rsid w:val="002344A7"/>
    <w:rsid w:val="002345A6"/>
    <w:rsid w:val="0023484E"/>
    <w:rsid w:val="00234B37"/>
    <w:rsid w:val="00234D9F"/>
    <w:rsid w:val="00234E78"/>
    <w:rsid w:val="00234E90"/>
    <w:rsid w:val="00234F0F"/>
    <w:rsid w:val="00235347"/>
    <w:rsid w:val="00235386"/>
    <w:rsid w:val="00235A66"/>
    <w:rsid w:val="00235E3D"/>
    <w:rsid w:val="00235EFE"/>
    <w:rsid w:val="0023612D"/>
    <w:rsid w:val="002361C6"/>
    <w:rsid w:val="0023622A"/>
    <w:rsid w:val="002363B1"/>
    <w:rsid w:val="00236C97"/>
    <w:rsid w:val="0023707F"/>
    <w:rsid w:val="00237263"/>
    <w:rsid w:val="0023747B"/>
    <w:rsid w:val="00237562"/>
    <w:rsid w:val="00237750"/>
    <w:rsid w:val="00237837"/>
    <w:rsid w:val="002378A6"/>
    <w:rsid w:val="00240822"/>
    <w:rsid w:val="00240C21"/>
    <w:rsid w:val="00240CFE"/>
    <w:rsid w:val="002417D6"/>
    <w:rsid w:val="002417F9"/>
    <w:rsid w:val="00241BE0"/>
    <w:rsid w:val="00242210"/>
    <w:rsid w:val="00242821"/>
    <w:rsid w:val="00242B28"/>
    <w:rsid w:val="00242CF9"/>
    <w:rsid w:val="00242DBF"/>
    <w:rsid w:val="00243133"/>
    <w:rsid w:val="00243660"/>
    <w:rsid w:val="00243845"/>
    <w:rsid w:val="00243A79"/>
    <w:rsid w:val="00243B1E"/>
    <w:rsid w:val="002440C5"/>
    <w:rsid w:val="00244133"/>
    <w:rsid w:val="002443A9"/>
    <w:rsid w:val="00244441"/>
    <w:rsid w:val="002447BE"/>
    <w:rsid w:val="0024490E"/>
    <w:rsid w:val="00244C69"/>
    <w:rsid w:val="002450DB"/>
    <w:rsid w:val="00245E94"/>
    <w:rsid w:val="00245ECC"/>
    <w:rsid w:val="002464F7"/>
    <w:rsid w:val="00246755"/>
    <w:rsid w:val="00246CF4"/>
    <w:rsid w:val="002471C5"/>
    <w:rsid w:val="002473BB"/>
    <w:rsid w:val="0024768D"/>
    <w:rsid w:val="00247972"/>
    <w:rsid w:val="00247D0F"/>
    <w:rsid w:val="002500FB"/>
    <w:rsid w:val="0025011B"/>
    <w:rsid w:val="00250697"/>
    <w:rsid w:val="00250829"/>
    <w:rsid w:val="00250956"/>
    <w:rsid w:val="00250E8C"/>
    <w:rsid w:val="0025170A"/>
    <w:rsid w:val="00251722"/>
    <w:rsid w:val="00251B16"/>
    <w:rsid w:val="00251C42"/>
    <w:rsid w:val="0025247C"/>
    <w:rsid w:val="0025254B"/>
    <w:rsid w:val="00252594"/>
    <w:rsid w:val="00252F1D"/>
    <w:rsid w:val="002534FD"/>
    <w:rsid w:val="002538CC"/>
    <w:rsid w:val="00253E7F"/>
    <w:rsid w:val="002544E4"/>
    <w:rsid w:val="002546FF"/>
    <w:rsid w:val="00254781"/>
    <w:rsid w:val="002548DD"/>
    <w:rsid w:val="002552A6"/>
    <w:rsid w:val="00255637"/>
    <w:rsid w:val="00255B2E"/>
    <w:rsid w:val="00255F2B"/>
    <w:rsid w:val="00256025"/>
    <w:rsid w:val="0025636A"/>
    <w:rsid w:val="00256443"/>
    <w:rsid w:val="002564F9"/>
    <w:rsid w:val="00256A69"/>
    <w:rsid w:val="00256B46"/>
    <w:rsid w:val="00256C8A"/>
    <w:rsid w:val="00256CE8"/>
    <w:rsid w:val="00256E1E"/>
    <w:rsid w:val="002575E0"/>
    <w:rsid w:val="002576EC"/>
    <w:rsid w:val="002576F9"/>
    <w:rsid w:val="0025771E"/>
    <w:rsid w:val="00257872"/>
    <w:rsid w:val="00257E93"/>
    <w:rsid w:val="00257EA6"/>
    <w:rsid w:val="00257F9D"/>
    <w:rsid w:val="0026018C"/>
    <w:rsid w:val="002603B8"/>
    <w:rsid w:val="00260508"/>
    <w:rsid w:val="00260A10"/>
    <w:rsid w:val="00260A19"/>
    <w:rsid w:val="00260B0F"/>
    <w:rsid w:val="00260C44"/>
    <w:rsid w:val="00261067"/>
    <w:rsid w:val="002610AB"/>
    <w:rsid w:val="002613A5"/>
    <w:rsid w:val="00261535"/>
    <w:rsid w:val="0026158D"/>
    <w:rsid w:val="00261836"/>
    <w:rsid w:val="00261967"/>
    <w:rsid w:val="0026196A"/>
    <w:rsid w:val="002619F6"/>
    <w:rsid w:val="00261BB8"/>
    <w:rsid w:val="002621B0"/>
    <w:rsid w:val="0026234A"/>
    <w:rsid w:val="0026240F"/>
    <w:rsid w:val="00262636"/>
    <w:rsid w:val="00262C3B"/>
    <w:rsid w:val="00262CF1"/>
    <w:rsid w:val="0026356A"/>
    <w:rsid w:val="0026394E"/>
    <w:rsid w:val="002639B6"/>
    <w:rsid w:val="00263B7D"/>
    <w:rsid w:val="00263B9E"/>
    <w:rsid w:val="00263FA7"/>
    <w:rsid w:val="0026417C"/>
    <w:rsid w:val="002641E5"/>
    <w:rsid w:val="002645E0"/>
    <w:rsid w:val="0026467D"/>
    <w:rsid w:val="002646BC"/>
    <w:rsid w:val="00264C37"/>
    <w:rsid w:val="00264C3C"/>
    <w:rsid w:val="00264D1C"/>
    <w:rsid w:val="00264E53"/>
    <w:rsid w:val="002651C4"/>
    <w:rsid w:val="002652E2"/>
    <w:rsid w:val="0026533A"/>
    <w:rsid w:val="00265594"/>
    <w:rsid w:val="002656E7"/>
    <w:rsid w:val="00265A7E"/>
    <w:rsid w:val="00265EA9"/>
    <w:rsid w:val="002660E7"/>
    <w:rsid w:val="00266427"/>
    <w:rsid w:val="0026698A"/>
    <w:rsid w:val="00266A37"/>
    <w:rsid w:val="00266A4E"/>
    <w:rsid w:val="00267403"/>
    <w:rsid w:val="0026788C"/>
    <w:rsid w:val="00267F05"/>
    <w:rsid w:val="00267F3A"/>
    <w:rsid w:val="002700CC"/>
    <w:rsid w:val="002703EE"/>
    <w:rsid w:val="00270486"/>
    <w:rsid w:val="00270B1C"/>
    <w:rsid w:val="00270BA6"/>
    <w:rsid w:val="00270C84"/>
    <w:rsid w:val="00271495"/>
    <w:rsid w:val="00271BB0"/>
    <w:rsid w:val="00272239"/>
    <w:rsid w:val="0027254B"/>
    <w:rsid w:val="0027257D"/>
    <w:rsid w:val="0027272C"/>
    <w:rsid w:val="0027278D"/>
    <w:rsid w:val="002727F1"/>
    <w:rsid w:val="0027284A"/>
    <w:rsid w:val="002730D6"/>
    <w:rsid w:val="002733D4"/>
    <w:rsid w:val="0027349E"/>
    <w:rsid w:val="00273798"/>
    <w:rsid w:val="0027381D"/>
    <w:rsid w:val="0027386A"/>
    <w:rsid w:val="00273BEF"/>
    <w:rsid w:val="00273E63"/>
    <w:rsid w:val="002741FE"/>
    <w:rsid w:val="002743FA"/>
    <w:rsid w:val="0027447F"/>
    <w:rsid w:val="00274620"/>
    <w:rsid w:val="00274BBB"/>
    <w:rsid w:val="00274EB7"/>
    <w:rsid w:val="0027566E"/>
    <w:rsid w:val="00275A35"/>
    <w:rsid w:val="00275D3C"/>
    <w:rsid w:val="00275D68"/>
    <w:rsid w:val="00276171"/>
    <w:rsid w:val="0027636B"/>
    <w:rsid w:val="00276900"/>
    <w:rsid w:val="00276C62"/>
    <w:rsid w:val="0027710B"/>
    <w:rsid w:val="0027728D"/>
    <w:rsid w:val="00277339"/>
    <w:rsid w:val="0027752A"/>
    <w:rsid w:val="002776BD"/>
    <w:rsid w:val="00277C1C"/>
    <w:rsid w:val="00277D4A"/>
    <w:rsid w:val="00277E37"/>
    <w:rsid w:val="00277E82"/>
    <w:rsid w:val="00277F14"/>
    <w:rsid w:val="00280061"/>
    <w:rsid w:val="00280377"/>
    <w:rsid w:val="002804AC"/>
    <w:rsid w:val="002804DC"/>
    <w:rsid w:val="002804EB"/>
    <w:rsid w:val="00280777"/>
    <w:rsid w:val="00280956"/>
    <w:rsid w:val="00281059"/>
    <w:rsid w:val="00281554"/>
    <w:rsid w:val="00281A05"/>
    <w:rsid w:val="00281B16"/>
    <w:rsid w:val="00281C4A"/>
    <w:rsid w:val="00282045"/>
    <w:rsid w:val="00282236"/>
    <w:rsid w:val="002825F3"/>
    <w:rsid w:val="002828FD"/>
    <w:rsid w:val="00282B71"/>
    <w:rsid w:val="00283377"/>
    <w:rsid w:val="00283881"/>
    <w:rsid w:val="00283AE9"/>
    <w:rsid w:val="002840A3"/>
    <w:rsid w:val="00284AB7"/>
    <w:rsid w:val="00284D53"/>
    <w:rsid w:val="00284FBC"/>
    <w:rsid w:val="002850DB"/>
    <w:rsid w:val="00285848"/>
    <w:rsid w:val="00285BF0"/>
    <w:rsid w:val="00285D73"/>
    <w:rsid w:val="00285F5C"/>
    <w:rsid w:val="002862AB"/>
    <w:rsid w:val="002862DE"/>
    <w:rsid w:val="002864C7"/>
    <w:rsid w:val="002865EA"/>
    <w:rsid w:val="002869BD"/>
    <w:rsid w:val="00286A21"/>
    <w:rsid w:val="00286CFA"/>
    <w:rsid w:val="00287290"/>
    <w:rsid w:val="00287435"/>
    <w:rsid w:val="0028777D"/>
    <w:rsid w:val="002879FC"/>
    <w:rsid w:val="00287C9D"/>
    <w:rsid w:val="00290025"/>
    <w:rsid w:val="00290211"/>
    <w:rsid w:val="00290DD8"/>
    <w:rsid w:val="00291024"/>
    <w:rsid w:val="002916B9"/>
    <w:rsid w:val="00291C9A"/>
    <w:rsid w:val="00291DFA"/>
    <w:rsid w:val="0029200F"/>
    <w:rsid w:val="002925B2"/>
    <w:rsid w:val="00292686"/>
    <w:rsid w:val="00292729"/>
    <w:rsid w:val="00292E42"/>
    <w:rsid w:val="002930F0"/>
    <w:rsid w:val="0029317C"/>
    <w:rsid w:val="00293561"/>
    <w:rsid w:val="00293791"/>
    <w:rsid w:val="00293972"/>
    <w:rsid w:val="002939A1"/>
    <w:rsid w:val="00293E11"/>
    <w:rsid w:val="00293F69"/>
    <w:rsid w:val="00293FE1"/>
    <w:rsid w:val="00294271"/>
    <w:rsid w:val="0029428F"/>
    <w:rsid w:val="002943C8"/>
    <w:rsid w:val="002943D6"/>
    <w:rsid w:val="00294A67"/>
    <w:rsid w:val="00294CC4"/>
    <w:rsid w:val="00294DB4"/>
    <w:rsid w:val="00294E55"/>
    <w:rsid w:val="00294E58"/>
    <w:rsid w:val="00294EAB"/>
    <w:rsid w:val="002957D8"/>
    <w:rsid w:val="0029581D"/>
    <w:rsid w:val="00295CEA"/>
    <w:rsid w:val="0029661E"/>
    <w:rsid w:val="002967B4"/>
    <w:rsid w:val="00296AA9"/>
    <w:rsid w:val="00296BFD"/>
    <w:rsid w:val="00296CA0"/>
    <w:rsid w:val="00296DA2"/>
    <w:rsid w:val="00296E94"/>
    <w:rsid w:val="0029700A"/>
    <w:rsid w:val="00297699"/>
    <w:rsid w:val="00297761"/>
    <w:rsid w:val="00297796"/>
    <w:rsid w:val="002978BE"/>
    <w:rsid w:val="00297B9F"/>
    <w:rsid w:val="002A0242"/>
    <w:rsid w:val="002A0333"/>
    <w:rsid w:val="002A0347"/>
    <w:rsid w:val="002A05DD"/>
    <w:rsid w:val="002A0A1D"/>
    <w:rsid w:val="002A3035"/>
    <w:rsid w:val="002A373D"/>
    <w:rsid w:val="002A3B3A"/>
    <w:rsid w:val="002A3DE5"/>
    <w:rsid w:val="002A3E42"/>
    <w:rsid w:val="002A3E54"/>
    <w:rsid w:val="002A3E7C"/>
    <w:rsid w:val="002A3EE0"/>
    <w:rsid w:val="002A44A4"/>
    <w:rsid w:val="002A4657"/>
    <w:rsid w:val="002A484E"/>
    <w:rsid w:val="002A4A7F"/>
    <w:rsid w:val="002A5365"/>
    <w:rsid w:val="002A55BA"/>
    <w:rsid w:val="002A582E"/>
    <w:rsid w:val="002A5EB4"/>
    <w:rsid w:val="002A5EDB"/>
    <w:rsid w:val="002A629A"/>
    <w:rsid w:val="002A670F"/>
    <w:rsid w:val="002A6718"/>
    <w:rsid w:val="002A6EF8"/>
    <w:rsid w:val="002A73AA"/>
    <w:rsid w:val="002A7690"/>
    <w:rsid w:val="002A77F6"/>
    <w:rsid w:val="002A794C"/>
    <w:rsid w:val="002A7D91"/>
    <w:rsid w:val="002A7EC9"/>
    <w:rsid w:val="002B0249"/>
    <w:rsid w:val="002B03F7"/>
    <w:rsid w:val="002B042A"/>
    <w:rsid w:val="002B0804"/>
    <w:rsid w:val="002B0CB4"/>
    <w:rsid w:val="002B113A"/>
    <w:rsid w:val="002B1243"/>
    <w:rsid w:val="002B130B"/>
    <w:rsid w:val="002B1735"/>
    <w:rsid w:val="002B1812"/>
    <w:rsid w:val="002B189F"/>
    <w:rsid w:val="002B19E9"/>
    <w:rsid w:val="002B1B82"/>
    <w:rsid w:val="002B25FB"/>
    <w:rsid w:val="002B2BBB"/>
    <w:rsid w:val="002B2E17"/>
    <w:rsid w:val="002B2EEA"/>
    <w:rsid w:val="002B3064"/>
    <w:rsid w:val="002B323E"/>
    <w:rsid w:val="002B326E"/>
    <w:rsid w:val="002B3352"/>
    <w:rsid w:val="002B34FF"/>
    <w:rsid w:val="002B36A3"/>
    <w:rsid w:val="002B36D2"/>
    <w:rsid w:val="002B3890"/>
    <w:rsid w:val="002B3B93"/>
    <w:rsid w:val="002B3C30"/>
    <w:rsid w:val="002B3EB9"/>
    <w:rsid w:val="002B3F0F"/>
    <w:rsid w:val="002B4365"/>
    <w:rsid w:val="002B487A"/>
    <w:rsid w:val="002B4B55"/>
    <w:rsid w:val="002B4B86"/>
    <w:rsid w:val="002B4EA8"/>
    <w:rsid w:val="002B5075"/>
    <w:rsid w:val="002B5082"/>
    <w:rsid w:val="002B596F"/>
    <w:rsid w:val="002B5A11"/>
    <w:rsid w:val="002B5AE7"/>
    <w:rsid w:val="002B5B1A"/>
    <w:rsid w:val="002B5BCB"/>
    <w:rsid w:val="002B5D56"/>
    <w:rsid w:val="002B5EAA"/>
    <w:rsid w:val="002B645E"/>
    <w:rsid w:val="002B658D"/>
    <w:rsid w:val="002B67BE"/>
    <w:rsid w:val="002B67E5"/>
    <w:rsid w:val="002B6831"/>
    <w:rsid w:val="002B69BC"/>
    <w:rsid w:val="002B6F48"/>
    <w:rsid w:val="002B6F8C"/>
    <w:rsid w:val="002B706E"/>
    <w:rsid w:val="002B745C"/>
    <w:rsid w:val="002B7529"/>
    <w:rsid w:val="002B75CB"/>
    <w:rsid w:val="002B7983"/>
    <w:rsid w:val="002B7EBD"/>
    <w:rsid w:val="002C0029"/>
    <w:rsid w:val="002C0080"/>
    <w:rsid w:val="002C0219"/>
    <w:rsid w:val="002C03CE"/>
    <w:rsid w:val="002C0E2C"/>
    <w:rsid w:val="002C0ECE"/>
    <w:rsid w:val="002C112A"/>
    <w:rsid w:val="002C13AE"/>
    <w:rsid w:val="002C17A3"/>
    <w:rsid w:val="002C1BD4"/>
    <w:rsid w:val="002C1C92"/>
    <w:rsid w:val="002C1FF9"/>
    <w:rsid w:val="002C2097"/>
    <w:rsid w:val="002C2730"/>
    <w:rsid w:val="002C28CD"/>
    <w:rsid w:val="002C28FB"/>
    <w:rsid w:val="002C29DD"/>
    <w:rsid w:val="002C2A92"/>
    <w:rsid w:val="002C2BAC"/>
    <w:rsid w:val="002C2FD9"/>
    <w:rsid w:val="002C3122"/>
    <w:rsid w:val="002C362C"/>
    <w:rsid w:val="002C3714"/>
    <w:rsid w:val="002C384C"/>
    <w:rsid w:val="002C421F"/>
    <w:rsid w:val="002C44A8"/>
    <w:rsid w:val="002C4BCB"/>
    <w:rsid w:val="002C4F15"/>
    <w:rsid w:val="002C56AF"/>
    <w:rsid w:val="002C56CB"/>
    <w:rsid w:val="002C58F6"/>
    <w:rsid w:val="002C5BCB"/>
    <w:rsid w:val="002C5DBF"/>
    <w:rsid w:val="002C63C4"/>
    <w:rsid w:val="002C64C2"/>
    <w:rsid w:val="002C6A7C"/>
    <w:rsid w:val="002C6AB6"/>
    <w:rsid w:val="002C6C39"/>
    <w:rsid w:val="002C702C"/>
    <w:rsid w:val="002C71BF"/>
    <w:rsid w:val="002C77D8"/>
    <w:rsid w:val="002C7905"/>
    <w:rsid w:val="002C7A4F"/>
    <w:rsid w:val="002D0179"/>
    <w:rsid w:val="002D07EA"/>
    <w:rsid w:val="002D16D9"/>
    <w:rsid w:val="002D1ED1"/>
    <w:rsid w:val="002D210C"/>
    <w:rsid w:val="002D23BF"/>
    <w:rsid w:val="002D2743"/>
    <w:rsid w:val="002D293F"/>
    <w:rsid w:val="002D2978"/>
    <w:rsid w:val="002D2D74"/>
    <w:rsid w:val="002D3487"/>
    <w:rsid w:val="002D377F"/>
    <w:rsid w:val="002D37B7"/>
    <w:rsid w:val="002D3D34"/>
    <w:rsid w:val="002D4006"/>
    <w:rsid w:val="002D40B9"/>
    <w:rsid w:val="002D44D5"/>
    <w:rsid w:val="002D45C1"/>
    <w:rsid w:val="002D45DD"/>
    <w:rsid w:val="002D5472"/>
    <w:rsid w:val="002D6009"/>
    <w:rsid w:val="002D6341"/>
    <w:rsid w:val="002D66F4"/>
    <w:rsid w:val="002D7C26"/>
    <w:rsid w:val="002E0461"/>
    <w:rsid w:val="002E0647"/>
    <w:rsid w:val="002E093F"/>
    <w:rsid w:val="002E09D6"/>
    <w:rsid w:val="002E0A08"/>
    <w:rsid w:val="002E0A17"/>
    <w:rsid w:val="002E0BFA"/>
    <w:rsid w:val="002E0E0F"/>
    <w:rsid w:val="002E167C"/>
    <w:rsid w:val="002E19CD"/>
    <w:rsid w:val="002E1E79"/>
    <w:rsid w:val="002E223A"/>
    <w:rsid w:val="002E225A"/>
    <w:rsid w:val="002E22F9"/>
    <w:rsid w:val="002E25EC"/>
    <w:rsid w:val="002E27E0"/>
    <w:rsid w:val="002E2DE9"/>
    <w:rsid w:val="002E31DA"/>
    <w:rsid w:val="002E35E0"/>
    <w:rsid w:val="002E39D2"/>
    <w:rsid w:val="002E3EB2"/>
    <w:rsid w:val="002E4450"/>
    <w:rsid w:val="002E478E"/>
    <w:rsid w:val="002E4DA4"/>
    <w:rsid w:val="002E525F"/>
    <w:rsid w:val="002E52A5"/>
    <w:rsid w:val="002E5442"/>
    <w:rsid w:val="002E54A7"/>
    <w:rsid w:val="002E5B42"/>
    <w:rsid w:val="002E5B75"/>
    <w:rsid w:val="002E5E0C"/>
    <w:rsid w:val="002E60B7"/>
    <w:rsid w:val="002E61C5"/>
    <w:rsid w:val="002E62E9"/>
    <w:rsid w:val="002E6345"/>
    <w:rsid w:val="002E6375"/>
    <w:rsid w:val="002E6590"/>
    <w:rsid w:val="002E663C"/>
    <w:rsid w:val="002E6B6F"/>
    <w:rsid w:val="002E7CF9"/>
    <w:rsid w:val="002F0113"/>
    <w:rsid w:val="002F03F0"/>
    <w:rsid w:val="002F0420"/>
    <w:rsid w:val="002F06CA"/>
    <w:rsid w:val="002F0D34"/>
    <w:rsid w:val="002F0F72"/>
    <w:rsid w:val="002F1260"/>
    <w:rsid w:val="002F15C9"/>
    <w:rsid w:val="002F1774"/>
    <w:rsid w:val="002F17CD"/>
    <w:rsid w:val="002F1A01"/>
    <w:rsid w:val="002F1DAD"/>
    <w:rsid w:val="002F1EC3"/>
    <w:rsid w:val="002F1F01"/>
    <w:rsid w:val="002F204E"/>
    <w:rsid w:val="002F2062"/>
    <w:rsid w:val="002F2157"/>
    <w:rsid w:val="002F2215"/>
    <w:rsid w:val="002F2678"/>
    <w:rsid w:val="002F2796"/>
    <w:rsid w:val="002F27B8"/>
    <w:rsid w:val="002F28B7"/>
    <w:rsid w:val="002F2916"/>
    <w:rsid w:val="002F29DF"/>
    <w:rsid w:val="002F2A75"/>
    <w:rsid w:val="002F2C72"/>
    <w:rsid w:val="002F2D20"/>
    <w:rsid w:val="002F2DB7"/>
    <w:rsid w:val="002F2F67"/>
    <w:rsid w:val="002F31DC"/>
    <w:rsid w:val="002F3222"/>
    <w:rsid w:val="002F33E3"/>
    <w:rsid w:val="002F37DE"/>
    <w:rsid w:val="002F3B21"/>
    <w:rsid w:val="002F3DA7"/>
    <w:rsid w:val="002F4141"/>
    <w:rsid w:val="002F498C"/>
    <w:rsid w:val="002F4B13"/>
    <w:rsid w:val="002F4CF8"/>
    <w:rsid w:val="002F53DF"/>
    <w:rsid w:val="002F5748"/>
    <w:rsid w:val="002F57F2"/>
    <w:rsid w:val="002F5CD6"/>
    <w:rsid w:val="002F5E1F"/>
    <w:rsid w:val="002F65D8"/>
    <w:rsid w:val="002F6827"/>
    <w:rsid w:val="002F68A4"/>
    <w:rsid w:val="002F7122"/>
    <w:rsid w:val="002F72FC"/>
    <w:rsid w:val="002F7538"/>
    <w:rsid w:val="002F7D08"/>
    <w:rsid w:val="002F7D8B"/>
    <w:rsid w:val="002F7ED7"/>
    <w:rsid w:val="0030043E"/>
    <w:rsid w:val="0030088A"/>
    <w:rsid w:val="0030190B"/>
    <w:rsid w:val="00301B1B"/>
    <w:rsid w:val="00301DD8"/>
    <w:rsid w:val="00301FF5"/>
    <w:rsid w:val="0030212F"/>
    <w:rsid w:val="0030234B"/>
    <w:rsid w:val="003026B2"/>
    <w:rsid w:val="00302A3F"/>
    <w:rsid w:val="00302FF0"/>
    <w:rsid w:val="0030302D"/>
    <w:rsid w:val="00303345"/>
    <w:rsid w:val="00303350"/>
    <w:rsid w:val="00303393"/>
    <w:rsid w:val="003033F3"/>
    <w:rsid w:val="003034EF"/>
    <w:rsid w:val="003037E8"/>
    <w:rsid w:val="003038BE"/>
    <w:rsid w:val="00303AD6"/>
    <w:rsid w:val="00303B74"/>
    <w:rsid w:val="003048AB"/>
    <w:rsid w:val="00304B86"/>
    <w:rsid w:val="00304E33"/>
    <w:rsid w:val="00304EC3"/>
    <w:rsid w:val="003051F6"/>
    <w:rsid w:val="0030522F"/>
    <w:rsid w:val="00305533"/>
    <w:rsid w:val="003055A0"/>
    <w:rsid w:val="003057A5"/>
    <w:rsid w:val="00305987"/>
    <w:rsid w:val="003059DE"/>
    <w:rsid w:val="00305B0B"/>
    <w:rsid w:val="00305F64"/>
    <w:rsid w:val="0030648A"/>
    <w:rsid w:val="003072BE"/>
    <w:rsid w:val="00307485"/>
    <w:rsid w:val="003075F3"/>
    <w:rsid w:val="00307B6D"/>
    <w:rsid w:val="00307D3C"/>
    <w:rsid w:val="00307EA9"/>
    <w:rsid w:val="00307F9B"/>
    <w:rsid w:val="00310271"/>
    <w:rsid w:val="00310829"/>
    <w:rsid w:val="0031082C"/>
    <w:rsid w:val="003108B0"/>
    <w:rsid w:val="0031090A"/>
    <w:rsid w:val="00310C18"/>
    <w:rsid w:val="00311741"/>
    <w:rsid w:val="00311FF1"/>
    <w:rsid w:val="003122C6"/>
    <w:rsid w:val="00312636"/>
    <w:rsid w:val="0031271D"/>
    <w:rsid w:val="003128E3"/>
    <w:rsid w:val="00312A54"/>
    <w:rsid w:val="00313604"/>
    <w:rsid w:val="00313660"/>
    <w:rsid w:val="003137B8"/>
    <w:rsid w:val="003138A5"/>
    <w:rsid w:val="00313A64"/>
    <w:rsid w:val="00313B75"/>
    <w:rsid w:val="00313E32"/>
    <w:rsid w:val="003140F0"/>
    <w:rsid w:val="003143E5"/>
    <w:rsid w:val="00314DE9"/>
    <w:rsid w:val="00314E9E"/>
    <w:rsid w:val="003154AB"/>
    <w:rsid w:val="003155AC"/>
    <w:rsid w:val="00315C41"/>
    <w:rsid w:val="00315EBD"/>
    <w:rsid w:val="00316068"/>
    <w:rsid w:val="00316E09"/>
    <w:rsid w:val="0031766A"/>
    <w:rsid w:val="003201D6"/>
    <w:rsid w:val="003202A8"/>
    <w:rsid w:val="003204A0"/>
    <w:rsid w:val="00320550"/>
    <w:rsid w:val="00320DF2"/>
    <w:rsid w:val="00320E3E"/>
    <w:rsid w:val="00320E8D"/>
    <w:rsid w:val="003213E1"/>
    <w:rsid w:val="00321E0F"/>
    <w:rsid w:val="00322154"/>
    <w:rsid w:val="003223E5"/>
    <w:rsid w:val="003227AE"/>
    <w:rsid w:val="003229E3"/>
    <w:rsid w:val="00322CF8"/>
    <w:rsid w:val="00322DFE"/>
    <w:rsid w:val="003230EF"/>
    <w:rsid w:val="00323185"/>
    <w:rsid w:val="00323712"/>
    <w:rsid w:val="00323F4C"/>
    <w:rsid w:val="0032400C"/>
    <w:rsid w:val="00324153"/>
    <w:rsid w:val="003241B5"/>
    <w:rsid w:val="0032430C"/>
    <w:rsid w:val="00324B8F"/>
    <w:rsid w:val="00324BFC"/>
    <w:rsid w:val="00324E0A"/>
    <w:rsid w:val="003253C1"/>
    <w:rsid w:val="00325B73"/>
    <w:rsid w:val="00325E76"/>
    <w:rsid w:val="00326311"/>
    <w:rsid w:val="003266E3"/>
    <w:rsid w:val="003267AB"/>
    <w:rsid w:val="003267AE"/>
    <w:rsid w:val="00326ED5"/>
    <w:rsid w:val="00326F49"/>
    <w:rsid w:val="003273F1"/>
    <w:rsid w:val="003274D1"/>
    <w:rsid w:val="0032779B"/>
    <w:rsid w:val="003277C6"/>
    <w:rsid w:val="0032797F"/>
    <w:rsid w:val="003279B1"/>
    <w:rsid w:val="003300F5"/>
    <w:rsid w:val="0033036E"/>
    <w:rsid w:val="003309BE"/>
    <w:rsid w:val="00330CD1"/>
    <w:rsid w:val="00330F96"/>
    <w:rsid w:val="00331402"/>
    <w:rsid w:val="00331564"/>
    <w:rsid w:val="00331882"/>
    <w:rsid w:val="00331C83"/>
    <w:rsid w:val="00331F43"/>
    <w:rsid w:val="00332085"/>
    <w:rsid w:val="00332258"/>
    <w:rsid w:val="00332551"/>
    <w:rsid w:val="00332651"/>
    <w:rsid w:val="003328F0"/>
    <w:rsid w:val="00332AC0"/>
    <w:rsid w:val="00332C71"/>
    <w:rsid w:val="00332E1C"/>
    <w:rsid w:val="00332FE7"/>
    <w:rsid w:val="0033326F"/>
    <w:rsid w:val="00333759"/>
    <w:rsid w:val="00333A24"/>
    <w:rsid w:val="00334216"/>
    <w:rsid w:val="00334FEC"/>
    <w:rsid w:val="0033508B"/>
    <w:rsid w:val="00335234"/>
    <w:rsid w:val="00335389"/>
    <w:rsid w:val="003357A5"/>
    <w:rsid w:val="003358AC"/>
    <w:rsid w:val="00335917"/>
    <w:rsid w:val="00335A67"/>
    <w:rsid w:val="00335ACF"/>
    <w:rsid w:val="00335DFC"/>
    <w:rsid w:val="00335ED4"/>
    <w:rsid w:val="00336098"/>
    <w:rsid w:val="00336536"/>
    <w:rsid w:val="003369E9"/>
    <w:rsid w:val="00336AF8"/>
    <w:rsid w:val="00336D82"/>
    <w:rsid w:val="00336E00"/>
    <w:rsid w:val="00336FCE"/>
    <w:rsid w:val="003372D4"/>
    <w:rsid w:val="00337A10"/>
    <w:rsid w:val="00340316"/>
    <w:rsid w:val="00340943"/>
    <w:rsid w:val="00340D6C"/>
    <w:rsid w:val="00341201"/>
    <w:rsid w:val="00341342"/>
    <w:rsid w:val="0034151E"/>
    <w:rsid w:val="00341652"/>
    <w:rsid w:val="003417A1"/>
    <w:rsid w:val="0034196B"/>
    <w:rsid w:val="00341D1E"/>
    <w:rsid w:val="00341EDA"/>
    <w:rsid w:val="00341F7B"/>
    <w:rsid w:val="0034221D"/>
    <w:rsid w:val="00342475"/>
    <w:rsid w:val="003428A8"/>
    <w:rsid w:val="00342971"/>
    <w:rsid w:val="00342CDD"/>
    <w:rsid w:val="003433E1"/>
    <w:rsid w:val="0034376F"/>
    <w:rsid w:val="0034379A"/>
    <w:rsid w:val="00343BB5"/>
    <w:rsid w:val="00343C4C"/>
    <w:rsid w:val="00343CDF"/>
    <w:rsid w:val="00343FF2"/>
    <w:rsid w:val="003444EA"/>
    <w:rsid w:val="0034460A"/>
    <w:rsid w:val="00344820"/>
    <w:rsid w:val="00345420"/>
    <w:rsid w:val="003457E9"/>
    <w:rsid w:val="00345883"/>
    <w:rsid w:val="00345963"/>
    <w:rsid w:val="00345BFD"/>
    <w:rsid w:val="00345DA7"/>
    <w:rsid w:val="00345DEE"/>
    <w:rsid w:val="00345E28"/>
    <w:rsid w:val="00345F3F"/>
    <w:rsid w:val="003460E9"/>
    <w:rsid w:val="003466C2"/>
    <w:rsid w:val="00346AE9"/>
    <w:rsid w:val="00346CD9"/>
    <w:rsid w:val="0034718C"/>
    <w:rsid w:val="0034755D"/>
    <w:rsid w:val="0034781D"/>
    <w:rsid w:val="00347A7B"/>
    <w:rsid w:val="00347C78"/>
    <w:rsid w:val="00350215"/>
    <w:rsid w:val="0035032B"/>
    <w:rsid w:val="003506A3"/>
    <w:rsid w:val="0035073E"/>
    <w:rsid w:val="0035075B"/>
    <w:rsid w:val="003507BB"/>
    <w:rsid w:val="003508F5"/>
    <w:rsid w:val="00350968"/>
    <w:rsid w:val="00350ED6"/>
    <w:rsid w:val="00350F39"/>
    <w:rsid w:val="00351508"/>
    <w:rsid w:val="003516AB"/>
    <w:rsid w:val="003520F2"/>
    <w:rsid w:val="00352463"/>
    <w:rsid w:val="00352478"/>
    <w:rsid w:val="00352729"/>
    <w:rsid w:val="00352844"/>
    <w:rsid w:val="00352BB7"/>
    <w:rsid w:val="00352DD2"/>
    <w:rsid w:val="00352F42"/>
    <w:rsid w:val="00353066"/>
    <w:rsid w:val="003530D0"/>
    <w:rsid w:val="003534F2"/>
    <w:rsid w:val="00353A33"/>
    <w:rsid w:val="00353E53"/>
    <w:rsid w:val="00354081"/>
    <w:rsid w:val="00354271"/>
    <w:rsid w:val="00354282"/>
    <w:rsid w:val="00354501"/>
    <w:rsid w:val="003546D7"/>
    <w:rsid w:val="00355001"/>
    <w:rsid w:val="003552DE"/>
    <w:rsid w:val="003552EC"/>
    <w:rsid w:val="00355346"/>
    <w:rsid w:val="0035570E"/>
    <w:rsid w:val="0035597C"/>
    <w:rsid w:val="00355DE1"/>
    <w:rsid w:val="0035650F"/>
    <w:rsid w:val="00356BE2"/>
    <w:rsid w:val="0035733C"/>
    <w:rsid w:val="00357450"/>
    <w:rsid w:val="00357726"/>
    <w:rsid w:val="00357DB0"/>
    <w:rsid w:val="0036024D"/>
    <w:rsid w:val="003602E7"/>
    <w:rsid w:val="00360878"/>
    <w:rsid w:val="00360B72"/>
    <w:rsid w:val="0036109F"/>
    <w:rsid w:val="00361487"/>
    <w:rsid w:val="0036170C"/>
    <w:rsid w:val="00361797"/>
    <w:rsid w:val="003617E9"/>
    <w:rsid w:val="00361AD2"/>
    <w:rsid w:val="00361D18"/>
    <w:rsid w:val="00362655"/>
    <w:rsid w:val="00362B31"/>
    <w:rsid w:val="00362FBF"/>
    <w:rsid w:val="003631FB"/>
    <w:rsid w:val="00363320"/>
    <w:rsid w:val="00363362"/>
    <w:rsid w:val="0036364D"/>
    <w:rsid w:val="00363738"/>
    <w:rsid w:val="00363751"/>
    <w:rsid w:val="00363892"/>
    <w:rsid w:val="00363BA9"/>
    <w:rsid w:val="0036407B"/>
    <w:rsid w:val="003645AF"/>
    <w:rsid w:val="003646B0"/>
    <w:rsid w:val="003648BE"/>
    <w:rsid w:val="00364B65"/>
    <w:rsid w:val="00364C67"/>
    <w:rsid w:val="003652E0"/>
    <w:rsid w:val="003656F1"/>
    <w:rsid w:val="00365B4D"/>
    <w:rsid w:val="00366024"/>
    <w:rsid w:val="0036628F"/>
    <w:rsid w:val="003662D4"/>
    <w:rsid w:val="0036650E"/>
    <w:rsid w:val="0036682B"/>
    <w:rsid w:val="0036699E"/>
    <w:rsid w:val="00366B93"/>
    <w:rsid w:val="00366D2A"/>
    <w:rsid w:val="00366D35"/>
    <w:rsid w:val="003672B7"/>
    <w:rsid w:val="00367842"/>
    <w:rsid w:val="00367D65"/>
    <w:rsid w:val="00370778"/>
    <w:rsid w:val="00370950"/>
    <w:rsid w:val="00370DCA"/>
    <w:rsid w:val="00371107"/>
    <w:rsid w:val="003712E7"/>
    <w:rsid w:val="003714D1"/>
    <w:rsid w:val="003715A2"/>
    <w:rsid w:val="00371754"/>
    <w:rsid w:val="00372319"/>
    <w:rsid w:val="00372368"/>
    <w:rsid w:val="003724B5"/>
    <w:rsid w:val="00373112"/>
    <w:rsid w:val="0037390A"/>
    <w:rsid w:val="003739FC"/>
    <w:rsid w:val="00373ED7"/>
    <w:rsid w:val="00374193"/>
    <w:rsid w:val="003741F1"/>
    <w:rsid w:val="003742E8"/>
    <w:rsid w:val="00374454"/>
    <w:rsid w:val="003748F2"/>
    <w:rsid w:val="003749B0"/>
    <w:rsid w:val="00374C56"/>
    <w:rsid w:val="00374CBB"/>
    <w:rsid w:val="00375811"/>
    <w:rsid w:val="0037587C"/>
    <w:rsid w:val="0037600D"/>
    <w:rsid w:val="003760B4"/>
    <w:rsid w:val="0037618B"/>
    <w:rsid w:val="00376661"/>
    <w:rsid w:val="0037686F"/>
    <w:rsid w:val="00376C06"/>
    <w:rsid w:val="00377031"/>
    <w:rsid w:val="003771AD"/>
    <w:rsid w:val="00377691"/>
    <w:rsid w:val="003779B7"/>
    <w:rsid w:val="00377A9C"/>
    <w:rsid w:val="00377ACB"/>
    <w:rsid w:val="00377BBF"/>
    <w:rsid w:val="00377D23"/>
    <w:rsid w:val="00377EB4"/>
    <w:rsid w:val="0038003F"/>
    <w:rsid w:val="00380240"/>
    <w:rsid w:val="003802CD"/>
    <w:rsid w:val="00380621"/>
    <w:rsid w:val="00380684"/>
    <w:rsid w:val="00380D75"/>
    <w:rsid w:val="003812C2"/>
    <w:rsid w:val="0038131C"/>
    <w:rsid w:val="00381419"/>
    <w:rsid w:val="00381429"/>
    <w:rsid w:val="00381751"/>
    <w:rsid w:val="003817BC"/>
    <w:rsid w:val="00381FDD"/>
    <w:rsid w:val="003821AE"/>
    <w:rsid w:val="003825B1"/>
    <w:rsid w:val="00382C4F"/>
    <w:rsid w:val="00382C67"/>
    <w:rsid w:val="00382DFD"/>
    <w:rsid w:val="0038303E"/>
    <w:rsid w:val="003830F2"/>
    <w:rsid w:val="003831BB"/>
    <w:rsid w:val="00383416"/>
    <w:rsid w:val="0038342A"/>
    <w:rsid w:val="003837C5"/>
    <w:rsid w:val="0038386C"/>
    <w:rsid w:val="00383A84"/>
    <w:rsid w:val="00383AEB"/>
    <w:rsid w:val="00383F44"/>
    <w:rsid w:val="003847D3"/>
    <w:rsid w:val="003847DB"/>
    <w:rsid w:val="003847F8"/>
    <w:rsid w:val="00384DCF"/>
    <w:rsid w:val="003852D5"/>
    <w:rsid w:val="0038543F"/>
    <w:rsid w:val="003856D2"/>
    <w:rsid w:val="0038587C"/>
    <w:rsid w:val="003858E3"/>
    <w:rsid w:val="00385B90"/>
    <w:rsid w:val="00385D38"/>
    <w:rsid w:val="00385DB5"/>
    <w:rsid w:val="00385F43"/>
    <w:rsid w:val="0038614D"/>
    <w:rsid w:val="00386C51"/>
    <w:rsid w:val="00386DEB"/>
    <w:rsid w:val="003870C7"/>
    <w:rsid w:val="00387279"/>
    <w:rsid w:val="003873EC"/>
    <w:rsid w:val="0038758C"/>
    <w:rsid w:val="003877FA"/>
    <w:rsid w:val="00387B14"/>
    <w:rsid w:val="00387B38"/>
    <w:rsid w:val="0039039B"/>
    <w:rsid w:val="0039050A"/>
    <w:rsid w:val="003909AF"/>
    <w:rsid w:val="00390BBB"/>
    <w:rsid w:val="00391051"/>
    <w:rsid w:val="003914FC"/>
    <w:rsid w:val="00391621"/>
    <w:rsid w:val="0039165B"/>
    <w:rsid w:val="00391722"/>
    <w:rsid w:val="003918C2"/>
    <w:rsid w:val="00391A52"/>
    <w:rsid w:val="00391F8F"/>
    <w:rsid w:val="003920AA"/>
    <w:rsid w:val="003923C9"/>
    <w:rsid w:val="003927A0"/>
    <w:rsid w:val="003929B9"/>
    <w:rsid w:val="0039302C"/>
    <w:rsid w:val="003930E4"/>
    <w:rsid w:val="003937B2"/>
    <w:rsid w:val="00393B51"/>
    <w:rsid w:val="00393D4D"/>
    <w:rsid w:val="0039486E"/>
    <w:rsid w:val="00394C5B"/>
    <w:rsid w:val="00395087"/>
    <w:rsid w:val="00395136"/>
    <w:rsid w:val="0039583B"/>
    <w:rsid w:val="00395A04"/>
    <w:rsid w:val="00395A35"/>
    <w:rsid w:val="00395D05"/>
    <w:rsid w:val="00395D07"/>
    <w:rsid w:val="003960B2"/>
    <w:rsid w:val="0039625A"/>
    <w:rsid w:val="00396492"/>
    <w:rsid w:val="00396637"/>
    <w:rsid w:val="00396DE8"/>
    <w:rsid w:val="00396E03"/>
    <w:rsid w:val="003970A3"/>
    <w:rsid w:val="00397213"/>
    <w:rsid w:val="003973EE"/>
    <w:rsid w:val="003974F3"/>
    <w:rsid w:val="003977A3"/>
    <w:rsid w:val="00397B3F"/>
    <w:rsid w:val="00397E52"/>
    <w:rsid w:val="00397E5D"/>
    <w:rsid w:val="003A03CC"/>
    <w:rsid w:val="003A050D"/>
    <w:rsid w:val="003A05D5"/>
    <w:rsid w:val="003A08B3"/>
    <w:rsid w:val="003A08DB"/>
    <w:rsid w:val="003A08E2"/>
    <w:rsid w:val="003A093F"/>
    <w:rsid w:val="003A0C00"/>
    <w:rsid w:val="003A0E36"/>
    <w:rsid w:val="003A1006"/>
    <w:rsid w:val="003A117A"/>
    <w:rsid w:val="003A117C"/>
    <w:rsid w:val="003A13A2"/>
    <w:rsid w:val="003A1870"/>
    <w:rsid w:val="003A1A60"/>
    <w:rsid w:val="003A2214"/>
    <w:rsid w:val="003A2282"/>
    <w:rsid w:val="003A2290"/>
    <w:rsid w:val="003A2350"/>
    <w:rsid w:val="003A265D"/>
    <w:rsid w:val="003A26C0"/>
    <w:rsid w:val="003A36FC"/>
    <w:rsid w:val="003A3841"/>
    <w:rsid w:val="003A3CB1"/>
    <w:rsid w:val="003A3D7E"/>
    <w:rsid w:val="003A3DF1"/>
    <w:rsid w:val="003A3F86"/>
    <w:rsid w:val="003A3FE5"/>
    <w:rsid w:val="003A407B"/>
    <w:rsid w:val="003A4575"/>
    <w:rsid w:val="003A47AD"/>
    <w:rsid w:val="003A518A"/>
    <w:rsid w:val="003A53BA"/>
    <w:rsid w:val="003A577F"/>
    <w:rsid w:val="003A5977"/>
    <w:rsid w:val="003A5A80"/>
    <w:rsid w:val="003A5E76"/>
    <w:rsid w:val="003A61A8"/>
    <w:rsid w:val="003A67B9"/>
    <w:rsid w:val="003A6985"/>
    <w:rsid w:val="003A6B57"/>
    <w:rsid w:val="003A6CD3"/>
    <w:rsid w:val="003A6EC4"/>
    <w:rsid w:val="003A71CF"/>
    <w:rsid w:val="003A7231"/>
    <w:rsid w:val="003A77DF"/>
    <w:rsid w:val="003A7A42"/>
    <w:rsid w:val="003A7FE6"/>
    <w:rsid w:val="003B030F"/>
    <w:rsid w:val="003B0761"/>
    <w:rsid w:val="003B076F"/>
    <w:rsid w:val="003B0A22"/>
    <w:rsid w:val="003B0AB5"/>
    <w:rsid w:val="003B0C3B"/>
    <w:rsid w:val="003B0D51"/>
    <w:rsid w:val="003B0E7D"/>
    <w:rsid w:val="003B12E7"/>
    <w:rsid w:val="003B1525"/>
    <w:rsid w:val="003B15A9"/>
    <w:rsid w:val="003B176D"/>
    <w:rsid w:val="003B1CD3"/>
    <w:rsid w:val="003B1D7D"/>
    <w:rsid w:val="003B1EF7"/>
    <w:rsid w:val="003B220C"/>
    <w:rsid w:val="003B2492"/>
    <w:rsid w:val="003B2805"/>
    <w:rsid w:val="003B2C01"/>
    <w:rsid w:val="003B2C2C"/>
    <w:rsid w:val="003B2F20"/>
    <w:rsid w:val="003B2F26"/>
    <w:rsid w:val="003B36CB"/>
    <w:rsid w:val="003B384A"/>
    <w:rsid w:val="003B40B4"/>
    <w:rsid w:val="003B4338"/>
    <w:rsid w:val="003B44C9"/>
    <w:rsid w:val="003B4529"/>
    <w:rsid w:val="003B4643"/>
    <w:rsid w:val="003B4C8E"/>
    <w:rsid w:val="003B53D3"/>
    <w:rsid w:val="003B552D"/>
    <w:rsid w:val="003B570C"/>
    <w:rsid w:val="003B573B"/>
    <w:rsid w:val="003B574D"/>
    <w:rsid w:val="003B57EB"/>
    <w:rsid w:val="003B5B18"/>
    <w:rsid w:val="003B5E91"/>
    <w:rsid w:val="003B5ED9"/>
    <w:rsid w:val="003B6009"/>
    <w:rsid w:val="003B635A"/>
    <w:rsid w:val="003B654A"/>
    <w:rsid w:val="003B6752"/>
    <w:rsid w:val="003B6BED"/>
    <w:rsid w:val="003B6C70"/>
    <w:rsid w:val="003B6E58"/>
    <w:rsid w:val="003B6EA9"/>
    <w:rsid w:val="003B7026"/>
    <w:rsid w:val="003B7336"/>
    <w:rsid w:val="003B779A"/>
    <w:rsid w:val="003B7C67"/>
    <w:rsid w:val="003B7D50"/>
    <w:rsid w:val="003B7E52"/>
    <w:rsid w:val="003C017E"/>
    <w:rsid w:val="003C06C4"/>
    <w:rsid w:val="003C07E0"/>
    <w:rsid w:val="003C07F4"/>
    <w:rsid w:val="003C0D14"/>
    <w:rsid w:val="003C1208"/>
    <w:rsid w:val="003C1441"/>
    <w:rsid w:val="003C14F9"/>
    <w:rsid w:val="003C1B9D"/>
    <w:rsid w:val="003C1BBD"/>
    <w:rsid w:val="003C256B"/>
    <w:rsid w:val="003C25CD"/>
    <w:rsid w:val="003C292B"/>
    <w:rsid w:val="003C293E"/>
    <w:rsid w:val="003C2B39"/>
    <w:rsid w:val="003C34A7"/>
    <w:rsid w:val="003C3836"/>
    <w:rsid w:val="003C39CA"/>
    <w:rsid w:val="003C3B3F"/>
    <w:rsid w:val="003C3ED5"/>
    <w:rsid w:val="003C44CC"/>
    <w:rsid w:val="003C47CE"/>
    <w:rsid w:val="003C48A9"/>
    <w:rsid w:val="003C48AB"/>
    <w:rsid w:val="003C4BDA"/>
    <w:rsid w:val="003C4DED"/>
    <w:rsid w:val="003C4EEE"/>
    <w:rsid w:val="003C56AF"/>
    <w:rsid w:val="003C5803"/>
    <w:rsid w:val="003C5BDF"/>
    <w:rsid w:val="003C5CB4"/>
    <w:rsid w:val="003C626A"/>
    <w:rsid w:val="003C64E5"/>
    <w:rsid w:val="003C663B"/>
    <w:rsid w:val="003C6B1B"/>
    <w:rsid w:val="003C6D66"/>
    <w:rsid w:val="003C74CD"/>
    <w:rsid w:val="003C7D1B"/>
    <w:rsid w:val="003D0A4D"/>
    <w:rsid w:val="003D0B1B"/>
    <w:rsid w:val="003D17D8"/>
    <w:rsid w:val="003D1848"/>
    <w:rsid w:val="003D1C2B"/>
    <w:rsid w:val="003D21BE"/>
    <w:rsid w:val="003D25ED"/>
    <w:rsid w:val="003D2CD5"/>
    <w:rsid w:val="003D2D9F"/>
    <w:rsid w:val="003D30AC"/>
    <w:rsid w:val="003D32C7"/>
    <w:rsid w:val="003D33F5"/>
    <w:rsid w:val="003D39EC"/>
    <w:rsid w:val="003D3F6E"/>
    <w:rsid w:val="003D4770"/>
    <w:rsid w:val="003D4BC9"/>
    <w:rsid w:val="003D50E2"/>
    <w:rsid w:val="003D5279"/>
    <w:rsid w:val="003D52BE"/>
    <w:rsid w:val="003D560D"/>
    <w:rsid w:val="003D5928"/>
    <w:rsid w:val="003D5CA0"/>
    <w:rsid w:val="003D5DF2"/>
    <w:rsid w:val="003D615C"/>
    <w:rsid w:val="003D6228"/>
    <w:rsid w:val="003D64AC"/>
    <w:rsid w:val="003D6539"/>
    <w:rsid w:val="003D6F1B"/>
    <w:rsid w:val="003D71EC"/>
    <w:rsid w:val="003D7233"/>
    <w:rsid w:val="003D7783"/>
    <w:rsid w:val="003D77A5"/>
    <w:rsid w:val="003D78BB"/>
    <w:rsid w:val="003E05F3"/>
    <w:rsid w:val="003E065F"/>
    <w:rsid w:val="003E06FC"/>
    <w:rsid w:val="003E0B75"/>
    <w:rsid w:val="003E0E49"/>
    <w:rsid w:val="003E134F"/>
    <w:rsid w:val="003E14E7"/>
    <w:rsid w:val="003E1542"/>
    <w:rsid w:val="003E16C4"/>
    <w:rsid w:val="003E17C2"/>
    <w:rsid w:val="003E18FD"/>
    <w:rsid w:val="003E2081"/>
    <w:rsid w:val="003E2087"/>
    <w:rsid w:val="003E22BD"/>
    <w:rsid w:val="003E257A"/>
    <w:rsid w:val="003E281F"/>
    <w:rsid w:val="003E2B95"/>
    <w:rsid w:val="003E2BD1"/>
    <w:rsid w:val="003E2C52"/>
    <w:rsid w:val="003E3178"/>
    <w:rsid w:val="003E3633"/>
    <w:rsid w:val="003E399B"/>
    <w:rsid w:val="003E3B7C"/>
    <w:rsid w:val="003E3B8B"/>
    <w:rsid w:val="003E3BA4"/>
    <w:rsid w:val="003E42DF"/>
    <w:rsid w:val="003E457C"/>
    <w:rsid w:val="003E477B"/>
    <w:rsid w:val="003E50B6"/>
    <w:rsid w:val="003E5238"/>
    <w:rsid w:val="003E544D"/>
    <w:rsid w:val="003E54CF"/>
    <w:rsid w:val="003E5560"/>
    <w:rsid w:val="003E5676"/>
    <w:rsid w:val="003E5695"/>
    <w:rsid w:val="003E584F"/>
    <w:rsid w:val="003E5B51"/>
    <w:rsid w:val="003E5D2A"/>
    <w:rsid w:val="003E5D92"/>
    <w:rsid w:val="003E5E29"/>
    <w:rsid w:val="003E6417"/>
    <w:rsid w:val="003E6717"/>
    <w:rsid w:val="003E6E80"/>
    <w:rsid w:val="003E7764"/>
    <w:rsid w:val="003E7B25"/>
    <w:rsid w:val="003E7D1C"/>
    <w:rsid w:val="003E7F5A"/>
    <w:rsid w:val="003F061C"/>
    <w:rsid w:val="003F0B3C"/>
    <w:rsid w:val="003F0C5A"/>
    <w:rsid w:val="003F0EB3"/>
    <w:rsid w:val="003F14CC"/>
    <w:rsid w:val="003F1B38"/>
    <w:rsid w:val="003F1DD9"/>
    <w:rsid w:val="003F213C"/>
    <w:rsid w:val="003F223B"/>
    <w:rsid w:val="003F22A7"/>
    <w:rsid w:val="003F285E"/>
    <w:rsid w:val="003F2A98"/>
    <w:rsid w:val="003F32C9"/>
    <w:rsid w:val="003F3557"/>
    <w:rsid w:val="003F361C"/>
    <w:rsid w:val="003F3C58"/>
    <w:rsid w:val="003F3CEC"/>
    <w:rsid w:val="003F3D11"/>
    <w:rsid w:val="003F3D79"/>
    <w:rsid w:val="003F3F99"/>
    <w:rsid w:val="003F4132"/>
    <w:rsid w:val="003F4863"/>
    <w:rsid w:val="003F4893"/>
    <w:rsid w:val="003F494F"/>
    <w:rsid w:val="003F49EB"/>
    <w:rsid w:val="003F4E7B"/>
    <w:rsid w:val="003F528B"/>
    <w:rsid w:val="003F5639"/>
    <w:rsid w:val="003F56A8"/>
    <w:rsid w:val="003F5831"/>
    <w:rsid w:val="003F5E6C"/>
    <w:rsid w:val="003F60D5"/>
    <w:rsid w:val="003F614A"/>
    <w:rsid w:val="003F6511"/>
    <w:rsid w:val="003F6BDC"/>
    <w:rsid w:val="003F6CD8"/>
    <w:rsid w:val="003F6D10"/>
    <w:rsid w:val="003F734A"/>
    <w:rsid w:val="003F7809"/>
    <w:rsid w:val="003F7C84"/>
    <w:rsid w:val="00400D4D"/>
    <w:rsid w:val="00400F9C"/>
    <w:rsid w:val="004013BB"/>
    <w:rsid w:val="00401933"/>
    <w:rsid w:val="00401A73"/>
    <w:rsid w:val="00401D27"/>
    <w:rsid w:val="00401ED6"/>
    <w:rsid w:val="00402141"/>
    <w:rsid w:val="00402420"/>
    <w:rsid w:val="004025BF"/>
    <w:rsid w:val="004027F3"/>
    <w:rsid w:val="00402B31"/>
    <w:rsid w:val="00402C58"/>
    <w:rsid w:val="00402F66"/>
    <w:rsid w:val="0040359C"/>
    <w:rsid w:val="00403783"/>
    <w:rsid w:val="00404B2C"/>
    <w:rsid w:val="00404BA0"/>
    <w:rsid w:val="004050D2"/>
    <w:rsid w:val="0040523B"/>
    <w:rsid w:val="004057A2"/>
    <w:rsid w:val="00405905"/>
    <w:rsid w:val="00405963"/>
    <w:rsid w:val="004059A9"/>
    <w:rsid w:val="00405A4B"/>
    <w:rsid w:val="00405D4C"/>
    <w:rsid w:val="00405F99"/>
    <w:rsid w:val="004065D7"/>
    <w:rsid w:val="0040672B"/>
    <w:rsid w:val="00406E02"/>
    <w:rsid w:val="00406F3C"/>
    <w:rsid w:val="004070CC"/>
    <w:rsid w:val="004077BD"/>
    <w:rsid w:val="004077F8"/>
    <w:rsid w:val="00407978"/>
    <w:rsid w:val="00407A14"/>
    <w:rsid w:val="00407AB9"/>
    <w:rsid w:val="00407BC3"/>
    <w:rsid w:val="00407D29"/>
    <w:rsid w:val="004106AC"/>
    <w:rsid w:val="004106ED"/>
    <w:rsid w:val="00410977"/>
    <w:rsid w:val="00410B07"/>
    <w:rsid w:val="00410BEC"/>
    <w:rsid w:val="0041103D"/>
    <w:rsid w:val="00411142"/>
    <w:rsid w:val="00411276"/>
    <w:rsid w:val="0041201D"/>
    <w:rsid w:val="004120EB"/>
    <w:rsid w:val="0041241F"/>
    <w:rsid w:val="00412449"/>
    <w:rsid w:val="004124B7"/>
    <w:rsid w:val="00412A73"/>
    <w:rsid w:val="004130AF"/>
    <w:rsid w:val="00413355"/>
    <w:rsid w:val="004135B3"/>
    <w:rsid w:val="00413EF7"/>
    <w:rsid w:val="00413F0B"/>
    <w:rsid w:val="00414329"/>
    <w:rsid w:val="00415555"/>
    <w:rsid w:val="004156FA"/>
    <w:rsid w:val="004158A8"/>
    <w:rsid w:val="00415C52"/>
    <w:rsid w:val="00415DE2"/>
    <w:rsid w:val="0041602E"/>
    <w:rsid w:val="0041679A"/>
    <w:rsid w:val="00416911"/>
    <w:rsid w:val="004169B9"/>
    <w:rsid w:val="00416A32"/>
    <w:rsid w:val="004175B6"/>
    <w:rsid w:val="00417714"/>
    <w:rsid w:val="00417BB4"/>
    <w:rsid w:val="00417C33"/>
    <w:rsid w:val="00417D16"/>
    <w:rsid w:val="00417E1D"/>
    <w:rsid w:val="00417ECD"/>
    <w:rsid w:val="00417F0D"/>
    <w:rsid w:val="0042005D"/>
    <w:rsid w:val="0042015C"/>
    <w:rsid w:val="00420545"/>
    <w:rsid w:val="00420620"/>
    <w:rsid w:val="00420AA9"/>
    <w:rsid w:val="00420CB5"/>
    <w:rsid w:val="00420F56"/>
    <w:rsid w:val="00421675"/>
    <w:rsid w:val="004218D7"/>
    <w:rsid w:val="00421A7F"/>
    <w:rsid w:val="00421ED1"/>
    <w:rsid w:val="00422146"/>
    <w:rsid w:val="0042229E"/>
    <w:rsid w:val="00422C8D"/>
    <w:rsid w:val="00422ED6"/>
    <w:rsid w:val="00423422"/>
    <w:rsid w:val="004239FF"/>
    <w:rsid w:val="00423A39"/>
    <w:rsid w:val="00423BE2"/>
    <w:rsid w:val="00423C08"/>
    <w:rsid w:val="00424358"/>
    <w:rsid w:val="004243F9"/>
    <w:rsid w:val="004244D4"/>
    <w:rsid w:val="00424647"/>
    <w:rsid w:val="00424662"/>
    <w:rsid w:val="00425437"/>
    <w:rsid w:val="004254E5"/>
    <w:rsid w:val="00425724"/>
    <w:rsid w:val="00425AC0"/>
    <w:rsid w:val="00425AED"/>
    <w:rsid w:val="00425DA0"/>
    <w:rsid w:val="00425DD9"/>
    <w:rsid w:val="00425E97"/>
    <w:rsid w:val="00425FC1"/>
    <w:rsid w:val="0042609B"/>
    <w:rsid w:val="00426210"/>
    <w:rsid w:val="00426B1C"/>
    <w:rsid w:val="00426B82"/>
    <w:rsid w:val="00426F10"/>
    <w:rsid w:val="0042704B"/>
    <w:rsid w:val="00427156"/>
    <w:rsid w:val="004279EA"/>
    <w:rsid w:val="00427ED8"/>
    <w:rsid w:val="00427FF2"/>
    <w:rsid w:val="00430489"/>
    <w:rsid w:val="004305F6"/>
    <w:rsid w:val="004309C8"/>
    <w:rsid w:val="00430B6C"/>
    <w:rsid w:val="00430B7F"/>
    <w:rsid w:val="00430EA4"/>
    <w:rsid w:val="00430F36"/>
    <w:rsid w:val="00431975"/>
    <w:rsid w:val="004319AD"/>
    <w:rsid w:val="00431E54"/>
    <w:rsid w:val="004323D0"/>
    <w:rsid w:val="00432932"/>
    <w:rsid w:val="00432A85"/>
    <w:rsid w:val="00432A8E"/>
    <w:rsid w:val="00432AC2"/>
    <w:rsid w:val="00432B6E"/>
    <w:rsid w:val="00432CDF"/>
    <w:rsid w:val="00432E67"/>
    <w:rsid w:val="00432E68"/>
    <w:rsid w:val="0043330A"/>
    <w:rsid w:val="00433404"/>
    <w:rsid w:val="0043349D"/>
    <w:rsid w:val="00433B94"/>
    <w:rsid w:val="00434015"/>
    <w:rsid w:val="00434325"/>
    <w:rsid w:val="0043456C"/>
    <w:rsid w:val="0043457D"/>
    <w:rsid w:val="00434932"/>
    <w:rsid w:val="004349F7"/>
    <w:rsid w:val="00434D0D"/>
    <w:rsid w:val="004350BA"/>
    <w:rsid w:val="00435705"/>
    <w:rsid w:val="00435802"/>
    <w:rsid w:val="004358FA"/>
    <w:rsid w:val="00435A1B"/>
    <w:rsid w:val="00435D51"/>
    <w:rsid w:val="00436314"/>
    <w:rsid w:val="004363B1"/>
    <w:rsid w:val="00436758"/>
    <w:rsid w:val="00436860"/>
    <w:rsid w:val="00436B4E"/>
    <w:rsid w:val="00436BBA"/>
    <w:rsid w:val="00436D25"/>
    <w:rsid w:val="00436D74"/>
    <w:rsid w:val="00436E83"/>
    <w:rsid w:val="00437253"/>
    <w:rsid w:val="0043726A"/>
    <w:rsid w:val="0043732F"/>
    <w:rsid w:val="004375A1"/>
    <w:rsid w:val="004404A2"/>
    <w:rsid w:val="0044068C"/>
    <w:rsid w:val="00440EC4"/>
    <w:rsid w:val="00440F41"/>
    <w:rsid w:val="00440F98"/>
    <w:rsid w:val="00441155"/>
    <w:rsid w:val="004416A0"/>
    <w:rsid w:val="00441AF8"/>
    <w:rsid w:val="00441B06"/>
    <w:rsid w:val="004421DA"/>
    <w:rsid w:val="004423DE"/>
    <w:rsid w:val="004427E7"/>
    <w:rsid w:val="004429A2"/>
    <w:rsid w:val="00442A1A"/>
    <w:rsid w:val="00442C1F"/>
    <w:rsid w:val="00442DCC"/>
    <w:rsid w:val="004431AE"/>
    <w:rsid w:val="0044340E"/>
    <w:rsid w:val="00443741"/>
    <w:rsid w:val="004437E0"/>
    <w:rsid w:val="00443AEA"/>
    <w:rsid w:val="00443E37"/>
    <w:rsid w:val="0044408A"/>
    <w:rsid w:val="00444495"/>
    <w:rsid w:val="00444508"/>
    <w:rsid w:val="00444509"/>
    <w:rsid w:val="00445025"/>
    <w:rsid w:val="00445096"/>
    <w:rsid w:val="004450F2"/>
    <w:rsid w:val="0044536C"/>
    <w:rsid w:val="00445512"/>
    <w:rsid w:val="00445DEB"/>
    <w:rsid w:val="00445F0A"/>
    <w:rsid w:val="00445F9C"/>
    <w:rsid w:val="00445FBF"/>
    <w:rsid w:val="0044611E"/>
    <w:rsid w:val="004461DD"/>
    <w:rsid w:val="0044646B"/>
    <w:rsid w:val="00446589"/>
    <w:rsid w:val="0044666B"/>
    <w:rsid w:val="0044694C"/>
    <w:rsid w:val="00446A13"/>
    <w:rsid w:val="00446AD8"/>
    <w:rsid w:val="00447038"/>
    <w:rsid w:val="00447239"/>
    <w:rsid w:val="004474D4"/>
    <w:rsid w:val="00447576"/>
    <w:rsid w:val="00447A29"/>
    <w:rsid w:val="00447CA4"/>
    <w:rsid w:val="00447EA3"/>
    <w:rsid w:val="00450DD9"/>
    <w:rsid w:val="00450FD5"/>
    <w:rsid w:val="00451137"/>
    <w:rsid w:val="0045113B"/>
    <w:rsid w:val="00451459"/>
    <w:rsid w:val="004514A2"/>
    <w:rsid w:val="004517DA"/>
    <w:rsid w:val="00451FAA"/>
    <w:rsid w:val="00452566"/>
    <w:rsid w:val="00452A24"/>
    <w:rsid w:val="00452F7A"/>
    <w:rsid w:val="004535F3"/>
    <w:rsid w:val="0045388F"/>
    <w:rsid w:val="00453AA8"/>
    <w:rsid w:val="004541FD"/>
    <w:rsid w:val="00454479"/>
    <w:rsid w:val="00454869"/>
    <w:rsid w:val="0045489F"/>
    <w:rsid w:val="004549A2"/>
    <w:rsid w:val="00454AF8"/>
    <w:rsid w:val="00454B49"/>
    <w:rsid w:val="00454BC1"/>
    <w:rsid w:val="00454D1F"/>
    <w:rsid w:val="00454DC9"/>
    <w:rsid w:val="00455204"/>
    <w:rsid w:val="0045558E"/>
    <w:rsid w:val="0045580C"/>
    <w:rsid w:val="00455831"/>
    <w:rsid w:val="004559EF"/>
    <w:rsid w:val="00455B62"/>
    <w:rsid w:val="00455BA5"/>
    <w:rsid w:val="00455E44"/>
    <w:rsid w:val="0045674E"/>
    <w:rsid w:val="00456788"/>
    <w:rsid w:val="004567AC"/>
    <w:rsid w:val="00457730"/>
    <w:rsid w:val="00457ACC"/>
    <w:rsid w:val="00457E9A"/>
    <w:rsid w:val="00457F5D"/>
    <w:rsid w:val="004600F6"/>
    <w:rsid w:val="0046035F"/>
    <w:rsid w:val="00460457"/>
    <w:rsid w:val="004604C4"/>
    <w:rsid w:val="004604E1"/>
    <w:rsid w:val="004606BA"/>
    <w:rsid w:val="00460734"/>
    <w:rsid w:val="00460B08"/>
    <w:rsid w:val="00460D19"/>
    <w:rsid w:val="00460F21"/>
    <w:rsid w:val="004611D8"/>
    <w:rsid w:val="00461349"/>
    <w:rsid w:val="00461421"/>
    <w:rsid w:val="0046176E"/>
    <w:rsid w:val="004617BA"/>
    <w:rsid w:val="00461E39"/>
    <w:rsid w:val="0046299E"/>
    <w:rsid w:val="00462C08"/>
    <w:rsid w:val="004639FB"/>
    <w:rsid w:val="00463A4F"/>
    <w:rsid w:val="00463B08"/>
    <w:rsid w:val="00464124"/>
    <w:rsid w:val="004643BC"/>
    <w:rsid w:val="0046482D"/>
    <w:rsid w:val="00464D45"/>
    <w:rsid w:val="00464EF5"/>
    <w:rsid w:val="00464F2E"/>
    <w:rsid w:val="00464F80"/>
    <w:rsid w:val="00464FF5"/>
    <w:rsid w:val="00464FFD"/>
    <w:rsid w:val="00465047"/>
    <w:rsid w:val="00465164"/>
    <w:rsid w:val="004651F3"/>
    <w:rsid w:val="0046544F"/>
    <w:rsid w:val="004655CA"/>
    <w:rsid w:val="004656C0"/>
    <w:rsid w:val="00465A88"/>
    <w:rsid w:val="00465E50"/>
    <w:rsid w:val="00465FB8"/>
    <w:rsid w:val="00465FDA"/>
    <w:rsid w:val="00466BAA"/>
    <w:rsid w:val="00466BDF"/>
    <w:rsid w:val="00467309"/>
    <w:rsid w:val="0046747E"/>
    <w:rsid w:val="004676F6"/>
    <w:rsid w:val="00467A80"/>
    <w:rsid w:val="00467C99"/>
    <w:rsid w:val="0047004B"/>
    <w:rsid w:val="0047006B"/>
    <w:rsid w:val="004701C7"/>
    <w:rsid w:val="0047052B"/>
    <w:rsid w:val="0047078F"/>
    <w:rsid w:val="004707E2"/>
    <w:rsid w:val="00470865"/>
    <w:rsid w:val="00470A44"/>
    <w:rsid w:val="00470C4D"/>
    <w:rsid w:val="00470E31"/>
    <w:rsid w:val="00470EB6"/>
    <w:rsid w:val="0047136E"/>
    <w:rsid w:val="004713E7"/>
    <w:rsid w:val="004714B4"/>
    <w:rsid w:val="00471561"/>
    <w:rsid w:val="00471613"/>
    <w:rsid w:val="004718B5"/>
    <w:rsid w:val="00471A4D"/>
    <w:rsid w:val="00471AB2"/>
    <w:rsid w:val="00471E45"/>
    <w:rsid w:val="00471E6F"/>
    <w:rsid w:val="00472254"/>
    <w:rsid w:val="004723FC"/>
    <w:rsid w:val="004725FB"/>
    <w:rsid w:val="00472862"/>
    <w:rsid w:val="004730F6"/>
    <w:rsid w:val="004732E0"/>
    <w:rsid w:val="00473874"/>
    <w:rsid w:val="00474027"/>
    <w:rsid w:val="004740CE"/>
    <w:rsid w:val="004742D9"/>
    <w:rsid w:val="00474822"/>
    <w:rsid w:val="004748AB"/>
    <w:rsid w:val="00474E36"/>
    <w:rsid w:val="004756C6"/>
    <w:rsid w:val="00475753"/>
    <w:rsid w:val="00475B31"/>
    <w:rsid w:val="00475B88"/>
    <w:rsid w:val="00476048"/>
    <w:rsid w:val="0047614F"/>
    <w:rsid w:val="00476711"/>
    <w:rsid w:val="004769E4"/>
    <w:rsid w:val="00476A79"/>
    <w:rsid w:val="00477A5B"/>
    <w:rsid w:val="0048020F"/>
    <w:rsid w:val="0048052F"/>
    <w:rsid w:val="00480A69"/>
    <w:rsid w:val="00480FF9"/>
    <w:rsid w:val="004810CF"/>
    <w:rsid w:val="00481340"/>
    <w:rsid w:val="004814B3"/>
    <w:rsid w:val="004818A1"/>
    <w:rsid w:val="004818D5"/>
    <w:rsid w:val="00482062"/>
    <w:rsid w:val="004820AD"/>
    <w:rsid w:val="00482465"/>
    <w:rsid w:val="004826CF"/>
    <w:rsid w:val="004828B2"/>
    <w:rsid w:val="00482BFF"/>
    <w:rsid w:val="00482C3D"/>
    <w:rsid w:val="00482DD6"/>
    <w:rsid w:val="00482DFE"/>
    <w:rsid w:val="00482F85"/>
    <w:rsid w:val="00482FFB"/>
    <w:rsid w:val="004830AA"/>
    <w:rsid w:val="004830BC"/>
    <w:rsid w:val="004834D9"/>
    <w:rsid w:val="004835A5"/>
    <w:rsid w:val="00483858"/>
    <w:rsid w:val="0048397C"/>
    <w:rsid w:val="00483AF3"/>
    <w:rsid w:val="00483B99"/>
    <w:rsid w:val="00483E9E"/>
    <w:rsid w:val="00484066"/>
    <w:rsid w:val="004842D3"/>
    <w:rsid w:val="00484724"/>
    <w:rsid w:val="00484A4E"/>
    <w:rsid w:val="00484ABB"/>
    <w:rsid w:val="00484ED5"/>
    <w:rsid w:val="00484F00"/>
    <w:rsid w:val="00485453"/>
    <w:rsid w:val="0048546D"/>
    <w:rsid w:val="00485A12"/>
    <w:rsid w:val="00485CF8"/>
    <w:rsid w:val="00486090"/>
    <w:rsid w:val="0048614A"/>
    <w:rsid w:val="00486649"/>
    <w:rsid w:val="0048683B"/>
    <w:rsid w:val="00486D0A"/>
    <w:rsid w:val="00486D0F"/>
    <w:rsid w:val="00486F36"/>
    <w:rsid w:val="004871D6"/>
    <w:rsid w:val="00490106"/>
    <w:rsid w:val="004903B1"/>
    <w:rsid w:val="00490905"/>
    <w:rsid w:val="00490A4A"/>
    <w:rsid w:val="00490BD2"/>
    <w:rsid w:val="00491691"/>
    <w:rsid w:val="0049192C"/>
    <w:rsid w:val="00491B55"/>
    <w:rsid w:val="00491BE4"/>
    <w:rsid w:val="00491D4B"/>
    <w:rsid w:val="00491E6F"/>
    <w:rsid w:val="00491F82"/>
    <w:rsid w:val="0049220C"/>
    <w:rsid w:val="00492783"/>
    <w:rsid w:val="0049283C"/>
    <w:rsid w:val="004931D7"/>
    <w:rsid w:val="0049327D"/>
    <w:rsid w:val="00493428"/>
    <w:rsid w:val="0049357D"/>
    <w:rsid w:val="0049365E"/>
    <w:rsid w:val="00493983"/>
    <w:rsid w:val="00493C5A"/>
    <w:rsid w:val="00493FBF"/>
    <w:rsid w:val="004942B5"/>
    <w:rsid w:val="00494CA1"/>
    <w:rsid w:val="00494DAD"/>
    <w:rsid w:val="00495923"/>
    <w:rsid w:val="00495942"/>
    <w:rsid w:val="004959DC"/>
    <w:rsid w:val="00495A78"/>
    <w:rsid w:val="00495FFC"/>
    <w:rsid w:val="0049623F"/>
    <w:rsid w:val="00496353"/>
    <w:rsid w:val="004964F6"/>
    <w:rsid w:val="0049652D"/>
    <w:rsid w:val="004967C5"/>
    <w:rsid w:val="004973CB"/>
    <w:rsid w:val="004975D3"/>
    <w:rsid w:val="004977A1"/>
    <w:rsid w:val="00497E5B"/>
    <w:rsid w:val="00497FC7"/>
    <w:rsid w:val="004A05E7"/>
    <w:rsid w:val="004A1234"/>
    <w:rsid w:val="004A130F"/>
    <w:rsid w:val="004A13A5"/>
    <w:rsid w:val="004A2072"/>
    <w:rsid w:val="004A211E"/>
    <w:rsid w:val="004A294B"/>
    <w:rsid w:val="004A2E90"/>
    <w:rsid w:val="004A3338"/>
    <w:rsid w:val="004A3801"/>
    <w:rsid w:val="004A39B1"/>
    <w:rsid w:val="004A3B43"/>
    <w:rsid w:val="004A3C2D"/>
    <w:rsid w:val="004A3E4C"/>
    <w:rsid w:val="004A414E"/>
    <w:rsid w:val="004A4195"/>
    <w:rsid w:val="004A41C3"/>
    <w:rsid w:val="004A41FB"/>
    <w:rsid w:val="004A4236"/>
    <w:rsid w:val="004A446A"/>
    <w:rsid w:val="004A4489"/>
    <w:rsid w:val="004A44D3"/>
    <w:rsid w:val="004A5261"/>
    <w:rsid w:val="004A52D6"/>
    <w:rsid w:val="004A5434"/>
    <w:rsid w:val="004A5525"/>
    <w:rsid w:val="004A55E8"/>
    <w:rsid w:val="004A5940"/>
    <w:rsid w:val="004A627E"/>
    <w:rsid w:val="004A6374"/>
    <w:rsid w:val="004A64A5"/>
    <w:rsid w:val="004A6591"/>
    <w:rsid w:val="004A6626"/>
    <w:rsid w:val="004A6663"/>
    <w:rsid w:val="004A66C1"/>
    <w:rsid w:val="004A6853"/>
    <w:rsid w:val="004A68A5"/>
    <w:rsid w:val="004A6D0F"/>
    <w:rsid w:val="004A6FC8"/>
    <w:rsid w:val="004A72BE"/>
    <w:rsid w:val="004A764F"/>
    <w:rsid w:val="004A7722"/>
    <w:rsid w:val="004A7AF5"/>
    <w:rsid w:val="004A7B47"/>
    <w:rsid w:val="004A7B4D"/>
    <w:rsid w:val="004A7B8D"/>
    <w:rsid w:val="004B022E"/>
    <w:rsid w:val="004B062D"/>
    <w:rsid w:val="004B07E8"/>
    <w:rsid w:val="004B0AEF"/>
    <w:rsid w:val="004B0CFF"/>
    <w:rsid w:val="004B0EA3"/>
    <w:rsid w:val="004B111F"/>
    <w:rsid w:val="004B1994"/>
    <w:rsid w:val="004B1FFD"/>
    <w:rsid w:val="004B29C7"/>
    <w:rsid w:val="004B2A77"/>
    <w:rsid w:val="004B2CA3"/>
    <w:rsid w:val="004B2CC2"/>
    <w:rsid w:val="004B301A"/>
    <w:rsid w:val="004B35E9"/>
    <w:rsid w:val="004B36DA"/>
    <w:rsid w:val="004B3A98"/>
    <w:rsid w:val="004B3BF8"/>
    <w:rsid w:val="004B4164"/>
    <w:rsid w:val="004B4635"/>
    <w:rsid w:val="004B49EC"/>
    <w:rsid w:val="004B4B75"/>
    <w:rsid w:val="004B4E64"/>
    <w:rsid w:val="004B5039"/>
    <w:rsid w:val="004B561B"/>
    <w:rsid w:val="004B5A8F"/>
    <w:rsid w:val="004B5B9E"/>
    <w:rsid w:val="004B60B9"/>
    <w:rsid w:val="004B6C0F"/>
    <w:rsid w:val="004B6FB0"/>
    <w:rsid w:val="004B726D"/>
    <w:rsid w:val="004B72C1"/>
    <w:rsid w:val="004B7769"/>
    <w:rsid w:val="004C0362"/>
    <w:rsid w:val="004C05F7"/>
    <w:rsid w:val="004C0BCE"/>
    <w:rsid w:val="004C0C01"/>
    <w:rsid w:val="004C0C66"/>
    <w:rsid w:val="004C0D32"/>
    <w:rsid w:val="004C0F9B"/>
    <w:rsid w:val="004C120F"/>
    <w:rsid w:val="004C1282"/>
    <w:rsid w:val="004C14FB"/>
    <w:rsid w:val="004C1AC5"/>
    <w:rsid w:val="004C1E26"/>
    <w:rsid w:val="004C2078"/>
    <w:rsid w:val="004C213D"/>
    <w:rsid w:val="004C23A0"/>
    <w:rsid w:val="004C2741"/>
    <w:rsid w:val="004C28FA"/>
    <w:rsid w:val="004C2B69"/>
    <w:rsid w:val="004C2C90"/>
    <w:rsid w:val="004C30CB"/>
    <w:rsid w:val="004C3488"/>
    <w:rsid w:val="004C36A8"/>
    <w:rsid w:val="004C3D63"/>
    <w:rsid w:val="004C3F49"/>
    <w:rsid w:val="004C401B"/>
    <w:rsid w:val="004C4060"/>
    <w:rsid w:val="004C412C"/>
    <w:rsid w:val="004C4A53"/>
    <w:rsid w:val="004C4B14"/>
    <w:rsid w:val="004C4C21"/>
    <w:rsid w:val="004C5179"/>
    <w:rsid w:val="004C525C"/>
    <w:rsid w:val="004C5631"/>
    <w:rsid w:val="004C5984"/>
    <w:rsid w:val="004C5AC9"/>
    <w:rsid w:val="004C5B5A"/>
    <w:rsid w:val="004C5D96"/>
    <w:rsid w:val="004C6122"/>
    <w:rsid w:val="004C615E"/>
    <w:rsid w:val="004C61A1"/>
    <w:rsid w:val="004C6290"/>
    <w:rsid w:val="004C66C7"/>
    <w:rsid w:val="004C66D2"/>
    <w:rsid w:val="004C6F2C"/>
    <w:rsid w:val="004C6FD6"/>
    <w:rsid w:val="004C6FF4"/>
    <w:rsid w:val="004C75F5"/>
    <w:rsid w:val="004C77EE"/>
    <w:rsid w:val="004C7803"/>
    <w:rsid w:val="004D029B"/>
    <w:rsid w:val="004D07FA"/>
    <w:rsid w:val="004D0A7F"/>
    <w:rsid w:val="004D11BC"/>
    <w:rsid w:val="004D12EA"/>
    <w:rsid w:val="004D184D"/>
    <w:rsid w:val="004D1ED3"/>
    <w:rsid w:val="004D1F46"/>
    <w:rsid w:val="004D1FA3"/>
    <w:rsid w:val="004D2648"/>
    <w:rsid w:val="004D273F"/>
    <w:rsid w:val="004D291C"/>
    <w:rsid w:val="004D323D"/>
    <w:rsid w:val="004D34CA"/>
    <w:rsid w:val="004D3724"/>
    <w:rsid w:val="004D3F3F"/>
    <w:rsid w:val="004D4106"/>
    <w:rsid w:val="004D41E8"/>
    <w:rsid w:val="004D43DB"/>
    <w:rsid w:val="004D4529"/>
    <w:rsid w:val="004D45A5"/>
    <w:rsid w:val="004D487E"/>
    <w:rsid w:val="004D4ACB"/>
    <w:rsid w:val="004D4B3D"/>
    <w:rsid w:val="004D4EA1"/>
    <w:rsid w:val="004D55F2"/>
    <w:rsid w:val="004D5867"/>
    <w:rsid w:val="004D587F"/>
    <w:rsid w:val="004D5A07"/>
    <w:rsid w:val="004D5BB2"/>
    <w:rsid w:val="004D5D1A"/>
    <w:rsid w:val="004D5D79"/>
    <w:rsid w:val="004D600D"/>
    <w:rsid w:val="004D6180"/>
    <w:rsid w:val="004D644A"/>
    <w:rsid w:val="004D6464"/>
    <w:rsid w:val="004D6A6F"/>
    <w:rsid w:val="004D6AEA"/>
    <w:rsid w:val="004D74F1"/>
    <w:rsid w:val="004D79B1"/>
    <w:rsid w:val="004D7A03"/>
    <w:rsid w:val="004D7C80"/>
    <w:rsid w:val="004D7D67"/>
    <w:rsid w:val="004E0357"/>
    <w:rsid w:val="004E0770"/>
    <w:rsid w:val="004E0951"/>
    <w:rsid w:val="004E0A8C"/>
    <w:rsid w:val="004E0C07"/>
    <w:rsid w:val="004E0DDB"/>
    <w:rsid w:val="004E0EA4"/>
    <w:rsid w:val="004E0F34"/>
    <w:rsid w:val="004E111C"/>
    <w:rsid w:val="004E18AB"/>
    <w:rsid w:val="004E276C"/>
    <w:rsid w:val="004E27A6"/>
    <w:rsid w:val="004E2B07"/>
    <w:rsid w:val="004E2C40"/>
    <w:rsid w:val="004E2CE1"/>
    <w:rsid w:val="004E2E3F"/>
    <w:rsid w:val="004E338F"/>
    <w:rsid w:val="004E3690"/>
    <w:rsid w:val="004E427E"/>
    <w:rsid w:val="004E4301"/>
    <w:rsid w:val="004E4484"/>
    <w:rsid w:val="004E4626"/>
    <w:rsid w:val="004E46F6"/>
    <w:rsid w:val="004E4733"/>
    <w:rsid w:val="004E4787"/>
    <w:rsid w:val="004E4797"/>
    <w:rsid w:val="004E49C7"/>
    <w:rsid w:val="004E4AC6"/>
    <w:rsid w:val="004E4BCF"/>
    <w:rsid w:val="004E50E3"/>
    <w:rsid w:val="004E5438"/>
    <w:rsid w:val="004E5B05"/>
    <w:rsid w:val="004E5BE2"/>
    <w:rsid w:val="004E5CB5"/>
    <w:rsid w:val="004E5D97"/>
    <w:rsid w:val="004E6686"/>
    <w:rsid w:val="004E6C70"/>
    <w:rsid w:val="004E71BF"/>
    <w:rsid w:val="004E7DDD"/>
    <w:rsid w:val="004E7E80"/>
    <w:rsid w:val="004F0402"/>
    <w:rsid w:val="004F0475"/>
    <w:rsid w:val="004F05DD"/>
    <w:rsid w:val="004F0885"/>
    <w:rsid w:val="004F0EA3"/>
    <w:rsid w:val="004F0ED1"/>
    <w:rsid w:val="004F0F5F"/>
    <w:rsid w:val="004F1036"/>
    <w:rsid w:val="004F130D"/>
    <w:rsid w:val="004F1410"/>
    <w:rsid w:val="004F159A"/>
    <w:rsid w:val="004F1721"/>
    <w:rsid w:val="004F1952"/>
    <w:rsid w:val="004F1B8E"/>
    <w:rsid w:val="004F2160"/>
    <w:rsid w:val="004F236E"/>
    <w:rsid w:val="004F26C9"/>
    <w:rsid w:val="004F275E"/>
    <w:rsid w:val="004F2EEE"/>
    <w:rsid w:val="004F3F4E"/>
    <w:rsid w:val="004F44F5"/>
    <w:rsid w:val="004F4635"/>
    <w:rsid w:val="004F466B"/>
    <w:rsid w:val="004F47B9"/>
    <w:rsid w:val="004F48D3"/>
    <w:rsid w:val="004F4C5B"/>
    <w:rsid w:val="004F4C8A"/>
    <w:rsid w:val="004F5239"/>
    <w:rsid w:val="004F52EC"/>
    <w:rsid w:val="004F5506"/>
    <w:rsid w:val="004F5AE9"/>
    <w:rsid w:val="004F5B9D"/>
    <w:rsid w:val="004F5F3C"/>
    <w:rsid w:val="004F61B7"/>
    <w:rsid w:val="004F6307"/>
    <w:rsid w:val="004F6D60"/>
    <w:rsid w:val="004F6FE6"/>
    <w:rsid w:val="004F7054"/>
    <w:rsid w:val="004F7698"/>
    <w:rsid w:val="004F7981"/>
    <w:rsid w:val="004F7AF8"/>
    <w:rsid w:val="00500993"/>
    <w:rsid w:val="005009E7"/>
    <w:rsid w:val="00500A9D"/>
    <w:rsid w:val="00500AED"/>
    <w:rsid w:val="00500BCA"/>
    <w:rsid w:val="00500C0D"/>
    <w:rsid w:val="00500FC2"/>
    <w:rsid w:val="005019C1"/>
    <w:rsid w:val="00501A5B"/>
    <w:rsid w:val="00501C42"/>
    <w:rsid w:val="00501FAE"/>
    <w:rsid w:val="005024AE"/>
    <w:rsid w:val="00502667"/>
    <w:rsid w:val="005029EA"/>
    <w:rsid w:val="00502B83"/>
    <w:rsid w:val="00502C39"/>
    <w:rsid w:val="0050352B"/>
    <w:rsid w:val="005036A5"/>
    <w:rsid w:val="00503FE9"/>
    <w:rsid w:val="00504639"/>
    <w:rsid w:val="00504854"/>
    <w:rsid w:val="00504CBF"/>
    <w:rsid w:val="005052E6"/>
    <w:rsid w:val="005054CE"/>
    <w:rsid w:val="00505513"/>
    <w:rsid w:val="005055AD"/>
    <w:rsid w:val="00505A02"/>
    <w:rsid w:val="00505A25"/>
    <w:rsid w:val="00505B5F"/>
    <w:rsid w:val="00505C93"/>
    <w:rsid w:val="00506BD7"/>
    <w:rsid w:val="00506C0D"/>
    <w:rsid w:val="00506E28"/>
    <w:rsid w:val="005071B5"/>
    <w:rsid w:val="005078A9"/>
    <w:rsid w:val="005079CF"/>
    <w:rsid w:val="00507D67"/>
    <w:rsid w:val="005100B9"/>
    <w:rsid w:val="005101AC"/>
    <w:rsid w:val="00510444"/>
    <w:rsid w:val="005104E5"/>
    <w:rsid w:val="005106FD"/>
    <w:rsid w:val="00510E9E"/>
    <w:rsid w:val="005113A2"/>
    <w:rsid w:val="00511695"/>
    <w:rsid w:val="00511D35"/>
    <w:rsid w:val="00511D69"/>
    <w:rsid w:val="00512064"/>
    <w:rsid w:val="0051213E"/>
    <w:rsid w:val="00512229"/>
    <w:rsid w:val="005123EF"/>
    <w:rsid w:val="00512731"/>
    <w:rsid w:val="00512C7E"/>
    <w:rsid w:val="00513258"/>
    <w:rsid w:val="00513571"/>
    <w:rsid w:val="005136EB"/>
    <w:rsid w:val="00513C3E"/>
    <w:rsid w:val="005144CB"/>
    <w:rsid w:val="005147EC"/>
    <w:rsid w:val="00514C4C"/>
    <w:rsid w:val="00514DE6"/>
    <w:rsid w:val="00515AA5"/>
    <w:rsid w:val="00516615"/>
    <w:rsid w:val="00516959"/>
    <w:rsid w:val="005169FE"/>
    <w:rsid w:val="00516A4D"/>
    <w:rsid w:val="00517372"/>
    <w:rsid w:val="0051748D"/>
    <w:rsid w:val="005177D9"/>
    <w:rsid w:val="005203BD"/>
    <w:rsid w:val="00520B0C"/>
    <w:rsid w:val="00520D81"/>
    <w:rsid w:val="00520EA3"/>
    <w:rsid w:val="00521000"/>
    <w:rsid w:val="00521384"/>
    <w:rsid w:val="00521472"/>
    <w:rsid w:val="00521864"/>
    <w:rsid w:val="00521AA6"/>
    <w:rsid w:val="00521B23"/>
    <w:rsid w:val="0052214D"/>
    <w:rsid w:val="005226FB"/>
    <w:rsid w:val="00522C59"/>
    <w:rsid w:val="00522E13"/>
    <w:rsid w:val="00522E3D"/>
    <w:rsid w:val="00523409"/>
    <w:rsid w:val="0052427A"/>
    <w:rsid w:val="00524318"/>
    <w:rsid w:val="0052432C"/>
    <w:rsid w:val="005243CA"/>
    <w:rsid w:val="00524881"/>
    <w:rsid w:val="00524EF6"/>
    <w:rsid w:val="00525BE0"/>
    <w:rsid w:val="00525D43"/>
    <w:rsid w:val="00525D80"/>
    <w:rsid w:val="005260C5"/>
    <w:rsid w:val="00526407"/>
    <w:rsid w:val="0052642A"/>
    <w:rsid w:val="005264A6"/>
    <w:rsid w:val="005266AC"/>
    <w:rsid w:val="00526ACD"/>
    <w:rsid w:val="00526B8E"/>
    <w:rsid w:val="00526DCA"/>
    <w:rsid w:val="00526FE8"/>
    <w:rsid w:val="005270C0"/>
    <w:rsid w:val="005271E8"/>
    <w:rsid w:val="00527594"/>
    <w:rsid w:val="0052763D"/>
    <w:rsid w:val="005276C1"/>
    <w:rsid w:val="00527ADA"/>
    <w:rsid w:val="0053046D"/>
    <w:rsid w:val="0053075E"/>
    <w:rsid w:val="0053081F"/>
    <w:rsid w:val="00530E63"/>
    <w:rsid w:val="005316C2"/>
    <w:rsid w:val="00531B2A"/>
    <w:rsid w:val="00531E8E"/>
    <w:rsid w:val="00531F40"/>
    <w:rsid w:val="0053221F"/>
    <w:rsid w:val="0053256F"/>
    <w:rsid w:val="0053297B"/>
    <w:rsid w:val="00532C0D"/>
    <w:rsid w:val="0053342A"/>
    <w:rsid w:val="005335A3"/>
    <w:rsid w:val="00533712"/>
    <w:rsid w:val="005337BB"/>
    <w:rsid w:val="005339F1"/>
    <w:rsid w:val="00533FC9"/>
    <w:rsid w:val="00534187"/>
    <w:rsid w:val="00534409"/>
    <w:rsid w:val="005346DF"/>
    <w:rsid w:val="0053473B"/>
    <w:rsid w:val="005347D1"/>
    <w:rsid w:val="00534DA0"/>
    <w:rsid w:val="0053524F"/>
    <w:rsid w:val="005359C9"/>
    <w:rsid w:val="00535AE0"/>
    <w:rsid w:val="00535FA5"/>
    <w:rsid w:val="00536101"/>
    <w:rsid w:val="00536135"/>
    <w:rsid w:val="005362EC"/>
    <w:rsid w:val="00536389"/>
    <w:rsid w:val="00536602"/>
    <w:rsid w:val="00536978"/>
    <w:rsid w:val="00536D6E"/>
    <w:rsid w:val="00536E95"/>
    <w:rsid w:val="005370CE"/>
    <w:rsid w:val="0053731C"/>
    <w:rsid w:val="0053731D"/>
    <w:rsid w:val="00537340"/>
    <w:rsid w:val="00537574"/>
    <w:rsid w:val="00537588"/>
    <w:rsid w:val="00537916"/>
    <w:rsid w:val="00537A57"/>
    <w:rsid w:val="00537AAE"/>
    <w:rsid w:val="005402C9"/>
    <w:rsid w:val="00540326"/>
    <w:rsid w:val="0054037E"/>
    <w:rsid w:val="00540397"/>
    <w:rsid w:val="00540572"/>
    <w:rsid w:val="00541120"/>
    <w:rsid w:val="005419AA"/>
    <w:rsid w:val="00541C8C"/>
    <w:rsid w:val="00541EE6"/>
    <w:rsid w:val="00542884"/>
    <w:rsid w:val="00542923"/>
    <w:rsid w:val="00542C96"/>
    <w:rsid w:val="00542D7D"/>
    <w:rsid w:val="005431CE"/>
    <w:rsid w:val="00543451"/>
    <w:rsid w:val="00543587"/>
    <w:rsid w:val="00543600"/>
    <w:rsid w:val="005436DD"/>
    <w:rsid w:val="00543732"/>
    <w:rsid w:val="00543A24"/>
    <w:rsid w:val="00543A6E"/>
    <w:rsid w:val="005445B1"/>
    <w:rsid w:val="005445FE"/>
    <w:rsid w:val="0054464D"/>
    <w:rsid w:val="00544853"/>
    <w:rsid w:val="00544B49"/>
    <w:rsid w:val="00544C51"/>
    <w:rsid w:val="005453D3"/>
    <w:rsid w:val="005455AE"/>
    <w:rsid w:val="00545DA7"/>
    <w:rsid w:val="00545DC1"/>
    <w:rsid w:val="00545FB1"/>
    <w:rsid w:val="005460F4"/>
    <w:rsid w:val="005462CD"/>
    <w:rsid w:val="00546304"/>
    <w:rsid w:val="005466E7"/>
    <w:rsid w:val="005468A8"/>
    <w:rsid w:val="00546C96"/>
    <w:rsid w:val="00546D8B"/>
    <w:rsid w:val="00546DDA"/>
    <w:rsid w:val="00547374"/>
    <w:rsid w:val="00547531"/>
    <w:rsid w:val="0054762D"/>
    <w:rsid w:val="00547BE3"/>
    <w:rsid w:val="00547CA8"/>
    <w:rsid w:val="00547CC6"/>
    <w:rsid w:val="00550236"/>
    <w:rsid w:val="0055059F"/>
    <w:rsid w:val="00550D42"/>
    <w:rsid w:val="00550DD9"/>
    <w:rsid w:val="005514CC"/>
    <w:rsid w:val="005518A0"/>
    <w:rsid w:val="00551954"/>
    <w:rsid w:val="00551AAC"/>
    <w:rsid w:val="00551B57"/>
    <w:rsid w:val="00551FD3"/>
    <w:rsid w:val="0055204B"/>
    <w:rsid w:val="00552340"/>
    <w:rsid w:val="005523DC"/>
    <w:rsid w:val="0055270E"/>
    <w:rsid w:val="0055272B"/>
    <w:rsid w:val="00552FB7"/>
    <w:rsid w:val="005531E1"/>
    <w:rsid w:val="00553603"/>
    <w:rsid w:val="005537B5"/>
    <w:rsid w:val="005539F0"/>
    <w:rsid w:val="00553A08"/>
    <w:rsid w:val="00553C86"/>
    <w:rsid w:val="00553DE8"/>
    <w:rsid w:val="00553F99"/>
    <w:rsid w:val="00554C9E"/>
    <w:rsid w:val="00555021"/>
    <w:rsid w:val="00555635"/>
    <w:rsid w:val="005556C6"/>
    <w:rsid w:val="00555712"/>
    <w:rsid w:val="00555EF9"/>
    <w:rsid w:val="005561B1"/>
    <w:rsid w:val="00556490"/>
    <w:rsid w:val="00556AF0"/>
    <w:rsid w:val="00556E69"/>
    <w:rsid w:val="00557121"/>
    <w:rsid w:val="0055714A"/>
    <w:rsid w:val="0055730B"/>
    <w:rsid w:val="00557469"/>
    <w:rsid w:val="005574A0"/>
    <w:rsid w:val="00557931"/>
    <w:rsid w:val="00557C08"/>
    <w:rsid w:val="00557C0C"/>
    <w:rsid w:val="00557CC0"/>
    <w:rsid w:val="00557CC8"/>
    <w:rsid w:val="005601CC"/>
    <w:rsid w:val="00560CE7"/>
    <w:rsid w:val="00561085"/>
    <w:rsid w:val="005614DB"/>
    <w:rsid w:val="00561B0C"/>
    <w:rsid w:val="00561B37"/>
    <w:rsid w:val="00561D46"/>
    <w:rsid w:val="00562072"/>
    <w:rsid w:val="005629BD"/>
    <w:rsid w:val="00562AFE"/>
    <w:rsid w:val="00563272"/>
    <w:rsid w:val="00563469"/>
    <w:rsid w:val="005637CE"/>
    <w:rsid w:val="005639EE"/>
    <w:rsid w:val="00563A79"/>
    <w:rsid w:val="00563C1C"/>
    <w:rsid w:val="00563D5A"/>
    <w:rsid w:val="00563D88"/>
    <w:rsid w:val="005643E8"/>
    <w:rsid w:val="0056464C"/>
    <w:rsid w:val="00564E6B"/>
    <w:rsid w:val="005654C9"/>
    <w:rsid w:val="0056555F"/>
    <w:rsid w:val="0056574F"/>
    <w:rsid w:val="00565EE7"/>
    <w:rsid w:val="005661E3"/>
    <w:rsid w:val="0056632A"/>
    <w:rsid w:val="0056649D"/>
    <w:rsid w:val="00566DFE"/>
    <w:rsid w:val="005675A6"/>
    <w:rsid w:val="005675C6"/>
    <w:rsid w:val="0056782D"/>
    <w:rsid w:val="00567890"/>
    <w:rsid w:val="005679BA"/>
    <w:rsid w:val="00567A28"/>
    <w:rsid w:val="00567B68"/>
    <w:rsid w:val="00567BCC"/>
    <w:rsid w:val="00567D56"/>
    <w:rsid w:val="00567F2B"/>
    <w:rsid w:val="00567FA3"/>
    <w:rsid w:val="00570020"/>
    <w:rsid w:val="005701C2"/>
    <w:rsid w:val="005704F0"/>
    <w:rsid w:val="00570C7E"/>
    <w:rsid w:val="00571242"/>
    <w:rsid w:val="0057162B"/>
    <w:rsid w:val="005716D4"/>
    <w:rsid w:val="00572550"/>
    <w:rsid w:val="0057292F"/>
    <w:rsid w:val="00572A47"/>
    <w:rsid w:val="00572D62"/>
    <w:rsid w:val="00572E69"/>
    <w:rsid w:val="00572EA3"/>
    <w:rsid w:val="00573016"/>
    <w:rsid w:val="00573051"/>
    <w:rsid w:val="00573544"/>
    <w:rsid w:val="00573880"/>
    <w:rsid w:val="00573BAC"/>
    <w:rsid w:val="00573CF3"/>
    <w:rsid w:val="00573E5F"/>
    <w:rsid w:val="00573F4E"/>
    <w:rsid w:val="00573F76"/>
    <w:rsid w:val="00573FDD"/>
    <w:rsid w:val="0057408A"/>
    <w:rsid w:val="00574441"/>
    <w:rsid w:val="0057454F"/>
    <w:rsid w:val="00574AB0"/>
    <w:rsid w:val="00574C3C"/>
    <w:rsid w:val="00575175"/>
    <w:rsid w:val="005758F8"/>
    <w:rsid w:val="00575956"/>
    <w:rsid w:val="0057595D"/>
    <w:rsid w:val="00575A62"/>
    <w:rsid w:val="00575DA1"/>
    <w:rsid w:val="0057609A"/>
    <w:rsid w:val="00576149"/>
    <w:rsid w:val="00576354"/>
    <w:rsid w:val="005767EB"/>
    <w:rsid w:val="00576826"/>
    <w:rsid w:val="00576895"/>
    <w:rsid w:val="005771E7"/>
    <w:rsid w:val="005779B1"/>
    <w:rsid w:val="005800AF"/>
    <w:rsid w:val="005801FE"/>
    <w:rsid w:val="005805D9"/>
    <w:rsid w:val="00581337"/>
    <w:rsid w:val="005816BC"/>
    <w:rsid w:val="00581858"/>
    <w:rsid w:val="0058195D"/>
    <w:rsid w:val="00581AF0"/>
    <w:rsid w:val="00581CB6"/>
    <w:rsid w:val="00581DB5"/>
    <w:rsid w:val="00581EF3"/>
    <w:rsid w:val="00581F34"/>
    <w:rsid w:val="0058213A"/>
    <w:rsid w:val="00582346"/>
    <w:rsid w:val="00582646"/>
    <w:rsid w:val="00582805"/>
    <w:rsid w:val="005830D0"/>
    <w:rsid w:val="00583169"/>
    <w:rsid w:val="00583190"/>
    <w:rsid w:val="005838F8"/>
    <w:rsid w:val="00583C20"/>
    <w:rsid w:val="00583C68"/>
    <w:rsid w:val="00583DA9"/>
    <w:rsid w:val="00583EED"/>
    <w:rsid w:val="00584391"/>
    <w:rsid w:val="00584585"/>
    <w:rsid w:val="00584ABF"/>
    <w:rsid w:val="0058509F"/>
    <w:rsid w:val="005852A7"/>
    <w:rsid w:val="005853DA"/>
    <w:rsid w:val="0058559D"/>
    <w:rsid w:val="005856FB"/>
    <w:rsid w:val="00585B3C"/>
    <w:rsid w:val="00585FB4"/>
    <w:rsid w:val="00586C8D"/>
    <w:rsid w:val="0058705F"/>
    <w:rsid w:val="00587264"/>
    <w:rsid w:val="005878DA"/>
    <w:rsid w:val="00587A4F"/>
    <w:rsid w:val="00587BB0"/>
    <w:rsid w:val="00587CCF"/>
    <w:rsid w:val="00587FAD"/>
    <w:rsid w:val="005902E8"/>
    <w:rsid w:val="0059033A"/>
    <w:rsid w:val="005905D1"/>
    <w:rsid w:val="005905E0"/>
    <w:rsid w:val="005908D7"/>
    <w:rsid w:val="005908DD"/>
    <w:rsid w:val="00591818"/>
    <w:rsid w:val="00591F9B"/>
    <w:rsid w:val="00592224"/>
    <w:rsid w:val="005923EC"/>
    <w:rsid w:val="00592801"/>
    <w:rsid w:val="005931BF"/>
    <w:rsid w:val="005933C1"/>
    <w:rsid w:val="00593712"/>
    <w:rsid w:val="00593E8F"/>
    <w:rsid w:val="00593F10"/>
    <w:rsid w:val="00594036"/>
    <w:rsid w:val="005942FC"/>
    <w:rsid w:val="0059435E"/>
    <w:rsid w:val="00594888"/>
    <w:rsid w:val="00594AA5"/>
    <w:rsid w:val="00594B0B"/>
    <w:rsid w:val="005950A0"/>
    <w:rsid w:val="00595312"/>
    <w:rsid w:val="00595A23"/>
    <w:rsid w:val="00595DEF"/>
    <w:rsid w:val="00596DC8"/>
    <w:rsid w:val="00596E06"/>
    <w:rsid w:val="005977EB"/>
    <w:rsid w:val="00597F7B"/>
    <w:rsid w:val="005A023F"/>
    <w:rsid w:val="005A0649"/>
    <w:rsid w:val="005A0677"/>
    <w:rsid w:val="005A08EA"/>
    <w:rsid w:val="005A0F92"/>
    <w:rsid w:val="005A1099"/>
    <w:rsid w:val="005A11ED"/>
    <w:rsid w:val="005A1483"/>
    <w:rsid w:val="005A1A86"/>
    <w:rsid w:val="005A1C99"/>
    <w:rsid w:val="005A1DFE"/>
    <w:rsid w:val="005A2C49"/>
    <w:rsid w:val="005A2CBF"/>
    <w:rsid w:val="005A2E12"/>
    <w:rsid w:val="005A3011"/>
    <w:rsid w:val="005A3318"/>
    <w:rsid w:val="005A3340"/>
    <w:rsid w:val="005A36A9"/>
    <w:rsid w:val="005A3C94"/>
    <w:rsid w:val="005A4044"/>
    <w:rsid w:val="005A4647"/>
    <w:rsid w:val="005A4D17"/>
    <w:rsid w:val="005A4EF0"/>
    <w:rsid w:val="005A536C"/>
    <w:rsid w:val="005A5553"/>
    <w:rsid w:val="005A5759"/>
    <w:rsid w:val="005A5B7F"/>
    <w:rsid w:val="005A5ECA"/>
    <w:rsid w:val="005A6164"/>
    <w:rsid w:val="005A6943"/>
    <w:rsid w:val="005A6A4A"/>
    <w:rsid w:val="005A6CB7"/>
    <w:rsid w:val="005A6F96"/>
    <w:rsid w:val="005A73AC"/>
    <w:rsid w:val="005A7610"/>
    <w:rsid w:val="005A766C"/>
    <w:rsid w:val="005A7678"/>
    <w:rsid w:val="005A77E4"/>
    <w:rsid w:val="005A7BFA"/>
    <w:rsid w:val="005A7FD1"/>
    <w:rsid w:val="005B02DC"/>
    <w:rsid w:val="005B0566"/>
    <w:rsid w:val="005B057D"/>
    <w:rsid w:val="005B09DA"/>
    <w:rsid w:val="005B0BCD"/>
    <w:rsid w:val="005B0E0C"/>
    <w:rsid w:val="005B0E13"/>
    <w:rsid w:val="005B1016"/>
    <w:rsid w:val="005B1EEB"/>
    <w:rsid w:val="005B25A9"/>
    <w:rsid w:val="005B26D6"/>
    <w:rsid w:val="005B2D55"/>
    <w:rsid w:val="005B2DE4"/>
    <w:rsid w:val="005B3189"/>
    <w:rsid w:val="005B31E3"/>
    <w:rsid w:val="005B372B"/>
    <w:rsid w:val="005B3C52"/>
    <w:rsid w:val="005B4515"/>
    <w:rsid w:val="005B49D0"/>
    <w:rsid w:val="005B4B35"/>
    <w:rsid w:val="005B4EE2"/>
    <w:rsid w:val="005B5222"/>
    <w:rsid w:val="005B5375"/>
    <w:rsid w:val="005B548A"/>
    <w:rsid w:val="005B561D"/>
    <w:rsid w:val="005B5731"/>
    <w:rsid w:val="005B5A68"/>
    <w:rsid w:val="005B5E13"/>
    <w:rsid w:val="005B5E4E"/>
    <w:rsid w:val="005B62D5"/>
    <w:rsid w:val="005B7489"/>
    <w:rsid w:val="005B7646"/>
    <w:rsid w:val="005B79E3"/>
    <w:rsid w:val="005B7DBB"/>
    <w:rsid w:val="005C032D"/>
    <w:rsid w:val="005C0587"/>
    <w:rsid w:val="005C07A8"/>
    <w:rsid w:val="005C0B25"/>
    <w:rsid w:val="005C0E01"/>
    <w:rsid w:val="005C11E4"/>
    <w:rsid w:val="005C136F"/>
    <w:rsid w:val="005C17BA"/>
    <w:rsid w:val="005C18BD"/>
    <w:rsid w:val="005C193F"/>
    <w:rsid w:val="005C1C27"/>
    <w:rsid w:val="005C1FB8"/>
    <w:rsid w:val="005C2014"/>
    <w:rsid w:val="005C2955"/>
    <w:rsid w:val="005C2A35"/>
    <w:rsid w:val="005C2CC3"/>
    <w:rsid w:val="005C2FDB"/>
    <w:rsid w:val="005C3863"/>
    <w:rsid w:val="005C396B"/>
    <w:rsid w:val="005C3C14"/>
    <w:rsid w:val="005C3FDB"/>
    <w:rsid w:val="005C4688"/>
    <w:rsid w:val="005C46FB"/>
    <w:rsid w:val="005C4993"/>
    <w:rsid w:val="005C4BE6"/>
    <w:rsid w:val="005C4C4A"/>
    <w:rsid w:val="005C4E67"/>
    <w:rsid w:val="005C5018"/>
    <w:rsid w:val="005C506B"/>
    <w:rsid w:val="005C53BC"/>
    <w:rsid w:val="005C54E7"/>
    <w:rsid w:val="005C55C4"/>
    <w:rsid w:val="005C5751"/>
    <w:rsid w:val="005C5C12"/>
    <w:rsid w:val="005C60B1"/>
    <w:rsid w:val="005C656B"/>
    <w:rsid w:val="005C6675"/>
    <w:rsid w:val="005C68D8"/>
    <w:rsid w:val="005C6DAD"/>
    <w:rsid w:val="005C71BC"/>
    <w:rsid w:val="005C72B4"/>
    <w:rsid w:val="005C75E1"/>
    <w:rsid w:val="005C7C1A"/>
    <w:rsid w:val="005D06C7"/>
    <w:rsid w:val="005D0970"/>
    <w:rsid w:val="005D1014"/>
    <w:rsid w:val="005D1077"/>
    <w:rsid w:val="005D1145"/>
    <w:rsid w:val="005D1252"/>
    <w:rsid w:val="005D1316"/>
    <w:rsid w:val="005D132E"/>
    <w:rsid w:val="005D1A79"/>
    <w:rsid w:val="005D1A98"/>
    <w:rsid w:val="005D1ACB"/>
    <w:rsid w:val="005D1B7A"/>
    <w:rsid w:val="005D1BFC"/>
    <w:rsid w:val="005D1FC3"/>
    <w:rsid w:val="005D2232"/>
    <w:rsid w:val="005D2496"/>
    <w:rsid w:val="005D2525"/>
    <w:rsid w:val="005D26B6"/>
    <w:rsid w:val="005D270B"/>
    <w:rsid w:val="005D2790"/>
    <w:rsid w:val="005D27EB"/>
    <w:rsid w:val="005D2A4D"/>
    <w:rsid w:val="005D2CC3"/>
    <w:rsid w:val="005D2F78"/>
    <w:rsid w:val="005D30AD"/>
    <w:rsid w:val="005D3301"/>
    <w:rsid w:val="005D38B3"/>
    <w:rsid w:val="005D3FD1"/>
    <w:rsid w:val="005D4422"/>
    <w:rsid w:val="005D4478"/>
    <w:rsid w:val="005D4893"/>
    <w:rsid w:val="005D48D7"/>
    <w:rsid w:val="005D4DDA"/>
    <w:rsid w:val="005D4F94"/>
    <w:rsid w:val="005D57C0"/>
    <w:rsid w:val="005D5828"/>
    <w:rsid w:val="005D5957"/>
    <w:rsid w:val="005D5B3C"/>
    <w:rsid w:val="005D5BCF"/>
    <w:rsid w:val="005D5D9F"/>
    <w:rsid w:val="005D6054"/>
    <w:rsid w:val="005D64E1"/>
    <w:rsid w:val="005D64F4"/>
    <w:rsid w:val="005D6BBA"/>
    <w:rsid w:val="005D6BCA"/>
    <w:rsid w:val="005D6DDF"/>
    <w:rsid w:val="005D712C"/>
    <w:rsid w:val="005D7168"/>
    <w:rsid w:val="005D73B5"/>
    <w:rsid w:val="005D7644"/>
    <w:rsid w:val="005D7699"/>
    <w:rsid w:val="005D786C"/>
    <w:rsid w:val="005D7BC9"/>
    <w:rsid w:val="005D7C11"/>
    <w:rsid w:val="005D7DB8"/>
    <w:rsid w:val="005E0134"/>
    <w:rsid w:val="005E0350"/>
    <w:rsid w:val="005E04C3"/>
    <w:rsid w:val="005E0574"/>
    <w:rsid w:val="005E06D1"/>
    <w:rsid w:val="005E089B"/>
    <w:rsid w:val="005E09DC"/>
    <w:rsid w:val="005E0A3D"/>
    <w:rsid w:val="005E0B00"/>
    <w:rsid w:val="005E0E15"/>
    <w:rsid w:val="005E15F6"/>
    <w:rsid w:val="005E16DE"/>
    <w:rsid w:val="005E19AF"/>
    <w:rsid w:val="005E1A63"/>
    <w:rsid w:val="005E1D39"/>
    <w:rsid w:val="005E1F66"/>
    <w:rsid w:val="005E2863"/>
    <w:rsid w:val="005E2D34"/>
    <w:rsid w:val="005E2DD5"/>
    <w:rsid w:val="005E30AB"/>
    <w:rsid w:val="005E30F0"/>
    <w:rsid w:val="005E32A4"/>
    <w:rsid w:val="005E3537"/>
    <w:rsid w:val="005E36E1"/>
    <w:rsid w:val="005E3787"/>
    <w:rsid w:val="005E3AE0"/>
    <w:rsid w:val="005E3B29"/>
    <w:rsid w:val="005E44EF"/>
    <w:rsid w:val="005E45FC"/>
    <w:rsid w:val="005E46BE"/>
    <w:rsid w:val="005E493E"/>
    <w:rsid w:val="005E4A8B"/>
    <w:rsid w:val="005E51E7"/>
    <w:rsid w:val="005E5BC9"/>
    <w:rsid w:val="005E5E5D"/>
    <w:rsid w:val="005E601A"/>
    <w:rsid w:val="005E624B"/>
    <w:rsid w:val="005E634E"/>
    <w:rsid w:val="005E64A1"/>
    <w:rsid w:val="005E6699"/>
    <w:rsid w:val="005E675A"/>
    <w:rsid w:val="005E6A09"/>
    <w:rsid w:val="005E6BDE"/>
    <w:rsid w:val="005E7060"/>
    <w:rsid w:val="005E792E"/>
    <w:rsid w:val="005E7A42"/>
    <w:rsid w:val="005E7CFC"/>
    <w:rsid w:val="005E7DD7"/>
    <w:rsid w:val="005E7FC8"/>
    <w:rsid w:val="005F027E"/>
    <w:rsid w:val="005F053C"/>
    <w:rsid w:val="005F095B"/>
    <w:rsid w:val="005F0A50"/>
    <w:rsid w:val="005F0AB8"/>
    <w:rsid w:val="005F0B25"/>
    <w:rsid w:val="005F106A"/>
    <w:rsid w:val="005F1784"/>
    <w:rsid w:val="005F1862"/>
    <w:rsid w:val="005F191C"/>
    <w:rsid w:val="005F1A18"/>
    <w:rsid w:val="005F1D56"/>
    <w:rsid w:val="005F1FB2"/>
    <w:rsid w:val="005F24DF"/>
    <w:rsid w:val="005F29EE"/>
    <w:rsid w:val="005F2E4B"/>
    <w:rsid w:val="005F3044"/>
    <w:rsid w:val="005F3590"/>
    <w:rsid w:val="005F35D0"/>
    <w:rsid w:val="005F4065"/>
    <w:rsid w:val="005F4487"/>
    <w:rsid w:val="005F44D0"/>
    <w:rsid w:val="005F4825"/>
    <w:rsid w:val="005F4C1D"/>
    <w:rsid w:val="005F4E3A"/>
    <w:rsid w:val="005F51CE"/>
    <w:rsid w:val="005F5450"/>
    <w:rsid w:val="005F5562"/>
    <w:rsid w:val="005F56CD"/>
    <w:rsid w:val="005F5915"/>
    <w:rsid w:val="005F595B"/>
    <w:rsid w:val="005F59C3"/>
    <w:rsid w:val="005F5D0B"/>
    <w:rsid w:val="005F5E88"/>
    <w:rsid w:val="005F5EA8"/>
    <w:rsid w:val="005F6205"/>
    <w:rsid w:val="005F62C8"/>
    <w:rsid w:val="005F690F"/>
    <w:rsid w:val="005F6B06"/>
    <w:rsid w:val="005F6DC4"/>
    <w:rsid w:val="005F6F0F"/>
    <w:rsid w:val="005F7279"/>
    <w:rsid w:val="005F76B7"/>
    <w:rsid w:val="005F7A00"/>
    <w:rsid w:val="005F7C4B"/>
    <w:rsid w:val="005F7CCD"/>
    <w:rsid w:val="0060014F"/>
    <w:rsid w:val="00600636"/>
    <w:rsid w:val="00600686"/>
    <w:rsid w:val="006006FE"/>
    <w:rsid w:val="00600895"/>
    <w:rsid w:val="00600913"/>
    <w:rsid w:val="00600CDA"/>
    <w:rsid w:val="00600D05"/>
    <w:rsid w:val="00601018"/>
    <w:rsid w:val="006014B9"/>
    <w:rsid w:val="006018AD"/>
    <w:rsid w:val="00601C56"/>
    <w:rsid w:val="00601E0F"/>
    <w:rsid w:val="00602564"/>
    <w:rsid w:val="0060265A"/>
    <w:rsid w:val="00602A02"/>
    <w:rsid w:val="00602BAC"/>
    <w:rsid w:val="00603078"/>
    <w:rsid w:val="006033D1"/>
    <w:rsid w:val="0060350B"/>
    <w:rsid w:val="00603622"/>
    <w:rsid w:val="0060363A"/>
    <w:rsid w:val="00603728"/>
    <w:rsid w:val="00603884"/>
    <w:rsid w:val="00603C58"/>
    <w:rsid w:val="00603CEC"/>
    <w:rsid w:val="00604016"/>
    <w:rsid w:val="0060451E"/>
    <w:rsid w:val="0060458B"/>
    <w:rsid w:val="0060485B"/>
    <w:rsid w:val="00604A07"/>
    <w:rsid w:val="00604AE2"/>
    <w:rsid w:val="00604B1B"/>
    <w:rsid w:val="00604B99"/>
    <w:rsid w:val="00604C2B"/>
    <w:rsid w:val="00605056"/>
    <w:rsid w:val="00606892"/>
    <w:rsid w:val="00606CC0"/>
    <w:rsid w:val="006073F2"/>
    <w:rsid w:val="0060788F"/>
    <w:rsid w:val="00607A72"/>
    <w:rsid w:val="00607B4B"/>
    <w:rsid w:val="00607B86"/>
    <w:rsid w:val="00607EFD"/>
    <w:rsid w:val="00607FE3"/>
    <w:rsid w:val="0061043C"/>
    <w:rsid w:val="006108F3"/>
    <w:rsid w:val="00610C0E"/>
    <w:rsid w:val="00610D3C"/>
    <w:rsid w:val="00611920"/>
    <w:rsid w:val="00611E03"/>
    <w:rsid w:val="00611FCD"/>
    <w:rsid w:val="00612255"/>
    <w:rsid w:val="006124DF"/>
    <w:rsid w:val="00612BC0"/>
    <w:rsid w:val="00612C49"/>
    <w:rsid w:val="00612C6B"/>
    <w:rsid w:val="006131C7"/>
    <w:rsid w:val="00613228"/>
    <w:rsid w:val="006132CD"/>
    <w:rsid w:val="006137C7"/>
    <w:rsid w:val="00613926"/>
    <w:rsid w:val="00613B11"/>
    <w:rsid w:val="00613E8C"/>
    <w:rsid w:val="00613E8F"/>
    <w:rsid w:val="00614479"/>
    <w:rsid w:val="00614ABE"/>
    <w:rsid w:val="00614BDC"/>
    <w:rsid w:val="00614E13"/>
    <w:rsid w:val="00614E85"/>
    <w:rsid w:val="0061551E"/>
    <w:rsid w:val="0061640F"/>
    <w:rsid w:val="006166D3"/>
    <w:rsid w:val="006169B4"/>
    <w:rsid w:val="00616AEA"/>
    <w:rsid w:val="00616DB2"/>
    <w:rsid w:val="00617013"/>
    <w:rsid w:val="00617183"/>
    <w:rsid w:val="00617196"/>
    <w:rsid w:val="006174DB"/>
    <w:rsid w:val="00617671"/>
    <w:rsid w:val="006176BE"/>
    <w:rsid w:val="00617726"/>
    <w:rsid w:val="00617CE5"/>
    <w:rsid w:val="00617EFF"/>
    <w:rsid w:val="00620233"/>
    <w:rsid w:val="006202EF"/>
    <w:rsid w:val="006202FD"/>
    <w:rsid w:val="006203BA"/>
    <w:rsid w:val="00620BE8"/>
    <w:rsid w:val="00620E26"/>
    <w:rsid w:val="00620E54"/>
    <w:rsid w:val="00620EE5"/>
    <w:rsid w:val="00621257"/>
    <w:rsid w:val="0062130B"/>
    <w:rsid w:val="006217A7"/>
    <w:rsid w:val="00621A93"/>
    <w:rsid w:val="00621C3A"/>
    <w:rsid w:val="006222B6"/>
    <w:rsid w:val="00622700"/>
    <w:rsid w:val="00622D1B"/>
    <w:rsid w:val="0062300F"/>
    <w:rsid w:val="00623165"/>
    <w:rsid w:val="00623676"/>
    <w:rsid w:val="00623A05"/>
    <w:rsid w:val="00623B19"/>
    <w:rsid w:val="00623E20"/>
    <w:rsid w:val="006242DD"/>
    <w:rsid w:val="00624394"/>
    <w:rsid w:val="0062452E"/>
    <w:rsid w:val="00624B0B"/>
    <w:rsid w:val="00624B3D"/>
    <w:rsid w:val="00625608"/>
    <w:rsid w:val="00625693"/>
    <w:rsid w:val="0062588E"/>
    <w:rsid w:val="00626B95"/>
    <w:rsid w:val="006272BF"/>
    <w:rsid w:val="00627403"/>
    <w:rsid w:val="00627936"/>
    <w:rsid w:val="006279A8"/>
    <w:rsid w:val="00627DCC"/>
    <w:rsid w:val="00630042"/>
    <w:rsid w:val="00630122"/>
    <w:rsid w:val="00630242"/>
    <w:rsid w:val="00630400"/>
    <w:rsid w:val="00630ABA"/>
    <w:rsid w:val="00631022"/>
    <w:rsid w:val="006312AC"/>
    <w:rsid w:val="006318DC"/>
    <w:rsid w:val="006321A3"/>
    <w:rsid w:val="00632261"/>
    <w:rsid w:val="006322DB"/>
    <w:rsid w:val="006325F8"/>
    <w:rsid w:val="00632785"/>
    <w:rsid w:val="00632A22"/>
    <w:rsid w:val="0063331B"/>
    <w:rsid w:val="00633463"/>
    <w:rsid w:val="0063391D"/>
    <w:rsid w:val="00633C81"/>
    <w:rsid w:val="0063418E"/>
    <w:rsid w:val="006344FA"/>
    <w:rsid w:val="00634D42"/>
    <w:rsid w:val="006356D6"/>
    <w:rsid w:val="00635ACA"/>
    <w:rsid w:val="00635B21"/>
    <w:rsid w:val="00635BC3"/>
    <w:rsid w:val="00635C6A"/>
    <w:rsid w:val="00635CD8"/>
    <w:rsid w:val="00635FC8"/>
    <w:rsid w:val="0063691E"/>
    <w:rsid w:val="00636B8B"/>
    <w:rsid w:val="00637264"/>
    <w:rsid w:val="0063730B"/>
    <w:rsid w:val="006377B6"/>
    <w:rsid w:val="00637997"/>
    <w:rsid w:val="006379AD"/>
    <w:rsid w:val="00637CAA"/>
    <w:rsid w:val="00637D45"/>
    <w:rsid w:val="00637F1F"/>
    <w:rsid w:val="00637FAC"/>
    <w:rsid w:val="006400ED"/>
    <w:rsid w:val="00640DAB"/>
    <w:rsid w:val="00640E8D"/>
    <w:rsid w:val="00640F9C"/>
    <w:rsid w:val="006417B1"/>
    <w:rsid w:val="00641817"/>
    <w:rsid w:val="00641FBB"/>
    <w:rsid w:val="00642219"/>
    <w:rsid w:val="00642256"/>
    <w:rsid w:val="006423FD"/>
    <w:rsid w:val="00642721"/>
    <w:rsid w:val="00642D0C"/>
    <w:rsid w:val="006430A2"/>
    <w:rsid w:val="00643132"/>
    <w:rsid w:val="00643520"/>
    <w:rsid w:val="0064357F"/>
    <w:rsid w:val="00643A67"/>
    <w:rsid w:val="0064437D"/>
    <w:rsid w:val="006446F6"/>
    <w:rsid w:val="006448B6"/>
    <w:rsid w:val="00644A1B"/>
    <w:rsid w:val="00644B3D"/>
    <w:rsid w:val="00644CE0"/>
    <w:rsid w:val="00644E81"/>
    <w:rsid w:val="00644ECB"/>
    <w:rsid w:val="0064579C"/>
    <w:rsid w:val="00645811"/>
    <w:rsid w:val="00645C43"/>
    <w:rsid w:val="00646836"/>
    <w:rsid w:val="00646B03"/>
    <w:rsid w:val="00646FBB"/>
    <w:rsid w:val="00647448"/>
    <w:rsid w:val="00647497"/>
    <w:rsid w:val="00647558"/>
    <w:rsid w:val="0064782C"/>
    <w:rsid w:val="00647938"/>
    <w:rsid w:val="00647E17"/>
    <w:rsid w:val="00647ED2"/>
    <w:rsid w:val="0065006D"/>
    <w:rsid w:val="0065041A"/>
    <w:rsid w:val="0065090C"/>
    <w:rsid w:val="00650A10"/>
    <w:rsid w:val="00650AE3"/>
    <w:rsid w:val="00650C53"/>
    <w:rsid w:val="00650CB5"/>
    <w:rsid w:val="00650CC1"/>
    <w:rsid w:val="0065107D"/>
    <w:rsid w:val="00651564"/>
    <w:rsid w:val="0065175B"/>
    <w:rsid w:val="00651773"/>
    <w:rsid w:val="00651D79"/>
    <w:rsid w:val="00652056"/>
    <w:rsid w:val="00652520"/>
    <w:rsid w:val="00652B21"/>
    <w:rsid w:val="00652BCF"/>
    <w:rsid w:val="00652C6C"/>
    <w:rsid w:val="00653158"/>
    <w:rsid w:val="00653BA1"/>
    <w:rsid w:val="00653F80"/>
    <w:rsid w:val="00653FA3"/>
    <w:rsid w:val="00654083"/>
    <w:rsid w:val="00654534"/>
    <w:rsid w:val="0065490D"/>
    <w:rsid w:val="00654AA3"/>
    <w:rsid w:val="00654B25"/>
    <w:rsid w:val="00654BC4"/>
    <w:rsid w:val="00654E13"/>
    <w:rsid w:val="00654EE1"/>
    <w:rsid w:val="006556B5"/>
    <w:rsid w:val="00655C54"/>
    <w:rsid w:val="00655CE8"/>
    <w:rsid w:val="00655DE7"/>
    <w:rsid w:val="00655E22"/>
    <w:rsid w:val="00655F70"/>
    <w:rsid w:val="006563EC"/>
    <w:rsid w:val="00656714"/>
    <w:rsid w:val="006569B7"/>
    <w:rsid w:val="00656D5C"/>
    <w:rsid w:val="00657861"/>
    <w:rsid w:val="0065794F"/>
    <w:rsid w:val="00657E14"/>
    <w:rsid w:val="00660477"/>
    <w:rsid w:val="00660522"/>
    <w:rsid w:val="0066069D"/>
    <w:rsid w:val="0066087F"/>
    <w:rsid w:val="00661005"/>
    <w:rsid w:val="006612EB"/>
    <w:rsid w:val="0066164E"/>
    <w:rsid w:val="0066198F"/>
    <w:rsid w:val="006619D1"/>
    <w:rsid w:val="00661DEF"/>
    <w:rsid w:val="00661FBD"/>
    <w:rsid w:val="00662F6C"/>
    <w:rsid w:val="006630CF"/>
    <w:rsid w:val="0066317D"/>
    <w:rsid w:val="0066317F"/>
    <w:rsid w:val="006634A5"/>
    <w:rsid w:val="00663612"/>
    <w:rsid w:val="00663655"/>
    <w:rsid w:val="00663AA4"/>
    <w:rsid w:val="00663B59"/>
    <w:rsid w:val="00663C65"/>
    <w:rsid w:val="00663F13"/>
    <w:rsid w:val="00663FB4"/>
    <w:rsid w:val="00664035"/>
    <w:rsid w:val="00664229"/>
    <w:rsid w:val="00664396"/>
    <w:rsid w:val="00664A6E"/>
    <w:rsid w:val="00664D05"/>
    <w:rsid w:val="00664F1A"/>
    <w:rsid w:val="006655F5"/>
    <w:rsid w:val="00665662"/>
    <w:rsid w:val="0066570F"/>
    <w:rsid w:val="00665995"/>
    <w:rsid w:val="00665A05"/>
    <w:rsid w:val="00665BAB"/>
    <w:rsid w:val="00665FBF"/>
    <w:rsid w:val="00666175"/>
    <w:rsid w:val="00666177"/>
    <w:rsid w:val="0066647E"/>
    <w:rsid w:val="00666490"/>
    <w:rsid w:val="00666771"/>
    <w:rsid w:val="0066677D"/>
    <w:rsid w:val="00666D8F"/>
    <w:rsid w:val="00666DAA"/>
    <w:rsid w:val="00666F0F"/>
    <w:rsid w:val="006670F1"/>
    <w:rsid w:val="006671D9"/>
    <w:rsid w:val="006675E5"/>
    <w:rsid w:val="00667837"/>
    <w:rsid w:val="00667B96"/>
    <w:rsid w:val="00667CC3"/>
    <w:rsid w:val="00667F15"/>
    <w:rsid w:val="00670787"/>
    <w:rsid w:val="0067093C"/>
    <w:rsid w:val="00670B97"/>
    <w:rsid w:val="00670CFF"/>
    <w:rsid w:val="00670D18"/>
    <w:rsid w:val="006710B7"/>
    <w:rsid w:val="00671281"/>
    <w:rsid w:val="00671A8E"/>
    <w:rsid w:val="00671CF1"/>
    <w:rsid w:val="0067254B"/>
    <w:rsid w:val="00672B02"/>
    <w:rsid w:val="00672B8F"/>
    <w:rsid w:val="00672C08"/>
    <w:rsid w:val="00672F76"/>
    <w:rsid w:val="00673203"/>
    <w:rsid w:val="00673AA4"/>
    <w:rsid w:val="00673C33"/>
    <w:rsid w:val="00673E27"/>
    <w:rsid w:val="00673E2D"/>
    <w:rsid w:val="00674272"/>
    <w:rsid w:val="006744F2"/>
    <w:rsid w:val="006748BB"/>
    <w:rsid w:val="00674AFD"/>
    <w:rsid w:val="00674C33"/>
    <w:rsid w:val="00674E3E"/>
    <w:rsid w:val="006751D8"/>
    <w:rsid w:val="00675570"/>
    <w:rsid w:val="006756C6"/>
    <w:rsid w:val="006757A0"/>
    <w:rsid w:val="006764DF"/>
    <w:rsid w:val="00676A30"/>
    <w:rsid w:val="00676ACF"/>
    <w:rsid w:val="00676B5B"/>
    <w:rsid w:val="00676B77"/>
    <w:rsid w:val="00676C1D"/>
    <w:rsid w:val="00676E00"/>
    <w:rsid w:val="00676F19"/>
    <w:rsid w:val="006770AC"/>
    <w:rsid w:val="00677116"/>
    <w:rsid w:val="006771E2"/>
    <w:rsid w:val="00677365"/>
    <w:rsid w:val="00677797"/>
    <w:rsid w:val="0067785A"/>
    <w:rsid w:val="00677E63"/>
    <w:rsid w:val="00677F4F"/>
    <w:rsid w:val="00680393"/>
    <w:rsid w:val="006805EB"/>
    <w:rsid w:val="00680770"/>
    <w:rsid w:val="006809DF"/>
    <w:rsid w:val="0068127E"/>
    <w:rsid w:val="006817BA"/>
    <w:rsid w:val="00681971"/>
    <w:rsid w:val="00681CD5"/>
    <w:rsid w:val="00681D05"/>
    <w:rsid w:val="00681EF8"/>
    <w:rsid w:val="00681F10"/>
    <w:rsid w:val="00681F3F"/>
    <w:rsid w:val="00682035"/>
    <w:rsid w:val="006822F1"/>
    <w:rsid w:val="00682BC6"/>
    <w:rsid w:val="00683452"/>
    <w:rsid w:val="00683482"/>
    <w:rsid w:val="00683837"/>
    <w:rsid w:val="006838BE"/>
    <w:rsid w:val="0068400B"/>
    <w:rsid w:val="0068411F"/>
    <w:rsid w:val="006842A8"/>
    <w:rsid w:val="006849BB"/>
    <w:rsid w:val="006851DD"/>
    <w:rsid w:val="00685288"/>
    <w:rsid w:val="00685305"/>
    <w:rsid w:val="00685677"/>
    <w:rsid w:val="00685950"/>
    <w:rsid w:val="0068599E"/>
    <w:rsid w:val="00685BF8"/>
    <w:rsid w:val="00685CC7"/>
    <w:rsid w:val="0068616E"/>
    <w:rsid w:val="006862A6"/>
    <w:rsid w:val="006865D3"/>
    <w:rsid w:val="00686A19"/>
    <w:rsid w:val="006871B1"/>
    <w:rsid w:val="0068724A"/>
    <w:rsid w:val="0068740C"/>
    <w:rsid w:val="006879C4"/>
    <w:rsid w:val="00690365"/>
    <w:rsid w:val="006903F1"/>
    <w:rsid w:val="00690755"/>
    <w:rsid w:val="00690829"/>
    <w:rsid w:val="00690DF3"/>
    <w:rsid w:val="00690F8F"/>
    <w:rsid w:val="00691126"/>
    <w:rsid w:val="006913AB"/>
    <w:rsid w:val="006914D2"/>
    <w:rsid w:val="00691523"/>
    <w:rsid w:val="00691973"/>
    <w:rsid w:val="00691A16"/>
    <w:rsid w:val="00691B02"/>
    <w:rsid w:val="00691D58"/>
    <w:rsid w:val="00691D7A"/>
    <w:rsid w:val="006920D7"/>
    <w:rsid w:val="00692183"/>
    <w:rsid w:val="00692286"/>
    <w:rsid w:val="00693405"/>
    <w:rsid w:val="006939EC"/>
    <w:rsid w:val="00694EC6"/>
    <w:rsid w:val="00694F75"/>
    <w:rsid w:val="00694F8F"/>
    <w:rsid w:val="00695937"/>
    <w:rsid w:val="0069597C"/>
    <w:rsid w:val="006959CD"/>
    <w:rsid w:val="00695D95"/>
    <w:rsid w:val="00695F86"/>
    <w:rsid w:val="006960B9"/>
    <w:rsid w:val="00696258"/>
    <w:rsid w:val="00696326"/>
    <w:rsid w:val="00696736"/>
    <w:rsid w:val="00696A71"/>
    <w:rsid w:val="00696EED"/>
    <w:rsid w:val="006970D5"/>
    <w:rsid w:val="00697118"/>
    <w:rsid w:val="0069739D"/>
    <w:rsid w:val="0069758F"/>
    <w:rsid w:val="00697CDE"/>
    <w:rsid w:val="00697D27"/>
    <w:rsid w:val="006A00E2"/>
    <w:rsid w:val="006A0293"/>
    <w:rsid w:val="006A03F4"/>
    <w:rsid w:val="006A08C1"/>
    <w:rsid w:val="006A0A02"/>
    <w:rsid w:val="006A0BE2"/>
    <w:rsid w:val="006A0D51"/>
    <w:rsid w:val="006A0DCB"/>
    <w:rsid w:val="006A1186"/>
    <w:rsid w:val="006A1AE6"/>
    <w:rsid w:val="006A1E83"/>
    <w:rsid w:val="006A1EE1"/>
    <w:rsid w:val="006A1F2C"/>
    <w:rsid w:val="006A2159"/>
    <w:rsid w:val="006A2215"/>
    <w:rsid w:val="006A249B"/>
    <w:rsid w:val="006A2D96"/>
    <w:rsid w:val="006A3897"/>
    <w:rsid w:val="006A38F6"/>
    <w:rsid w:val="006A3B24"/>
    <w:rsid w:val="006A4211"/>
    <w:rsid w:val="006A4610"/>
    <w:rsid w:val="006A4AE2"/>
    <w:rsid w:val="006A4D8A"/>
    <w:rsid w:val="006A4F99"/>
    <w:rsid w:val="006A50C8"/>
    <w:rsid w:val="006A5EE5"/>
    <w:rsid w:val="006A625E"/>
    <w:rsid w:val="006A64A9"/>
    <w:rsid w:val="006A661F"/>
    <w:rsid w:val="006A6AF9"/>
    <w:rsid w:val="006A6B52"/>
    <w:rsid w:val="006A6C9A"/>
    <w:rsid w:val="006A6DA2"/>
    <w:rsid w:val="006A6E86"/>
    <w:rsid w:val="006A7AD0"/>
    <w:rsid w:val="006A7D66"/>
    <w:rsid w:val="006A7DC2"/>
    <w:rsid w:val="006A7DFF"/>
    <w:rsid w:val="006A7F4C"/>
    <w:rsid w:val="006B0469"/>
    <w:rsid w:val="006B0925"/>
    <w:rsid w:val="006B09FE"/>
    <w:rsid w:val="006B0B16"/>
    <w:rsid w:val="006B10FC"/>
    <w:rsid w:val="006B14AA"/>
    <w:rsid w:val="006B18CB"/>
    <w:rsid w:val="006B1C87"/>
    <w:rsid w:val="006B207B"/>
    <w:rsid w:val="006B21EE"/>
    <w:rsid w:val="006B24E1"/>
    <w:rsid w:val="006B2656"/>
    <w:rsid w:val="006B277A"/>
    <w:rsid w:val="006B2C28"/>
    <w:rsid w:val="006B2D7E"/>
    <w:rsid w:val="006B2E12"/>
    <w:rsid w:val="006B311C"/>
    <w:rsid w:val="006B38A8"/>
    <w:rsid w:val="006B3937"/>
    <w:rsid w:val="006B3ACD"/>
    <w:rsid w:val="006B3B09"/>
    <w:rsid w:val="006B3F25"/>
    <w:rsid w:val="006B46FA"/>
    <w:rsid w:val="006B46FF"/>
    <w:rsid w:val="006B4785"/>
    <w:rsid w:val="006B4949"/>
    <w:rsid w:val="006B4B70"/>
    <w:rsid w:val="006B4C57"/>
    <w:rsid w:val="006B52D9"/>
    <w:rsid w:val="006B556C"/>
    <w:rsid w:val="006B56EC"/>
    <w:rsid w:val="006B5A06"/>
    <w:rsid w:val="006B5ADB"/>
    <w:rsid w:val="006B5AE7"/>
    <w:rsid w:val="006B6065"/>
    <w:rsid w:val="006B61B8"/>
    <w:rsid w:val="006B682B"/>
    <w:rsid w:val="006B69D2"/>
    <w:rsid w:val="006B6B5B"/>
    <w:rsid w:val="006B6CB4"/>
    <w:rsid w:val="006B73B9"/>
    <w:rsid w:val="006B741B"/>
    <w:rsid w:val="006B7642"/>
    <w:rsid w:val="006B7EFE"/>
    <w:rsid w:val="006C0522"/>
    <w:rsid w:val="006C06D7"/>
    <w:rsid w:val="006C0CF3"/>
    <w:rsid w:val="006C0DBD"/>
    <w:rsid w:val="006C0FFA"/>
    <w:rsid w:val="006C1021"/>
    <w:rsid w:val="006C13CB"/>
    <w:rsid w:val="006C145B"/>
    <w:rsid w:val="006C1469"/>
    <w:rsid w:val="006C1A1F"/>
    <w:rsid w:val="006C1A54"/>
    <w:rsid w:val="006C1E48"/>
    <w:rsid w:val="006C1F90"/>
    <w:rsid w:val="006C2201"/>
    <w:rsid w:val="006C25F1"/>
    <w:rsid w:val="006C2626"/>
    <w:rsid w:val="006C2816"/>
    <w:rsid w:val="006C2966"/>
    <w:rsid w:val="006C2C29"/>
    <w:rsid w:val="006C2EF3"/>
    <w:rsid w:val="006C355C"/>
    <w:rsid w:val="006C3793"/>
    <w:rsid w:val="006C3B16"/>
    <w:rsid w:val="006C3C44"/>
    <w:rsid w:val="006C3E91"/>
    <w:rsid w:val="006C44CD"/>
    <w:rsid w:val="006C4B21"/>
    <w:rsid w:val="006C4FD2"/>
    <w:rsid w:val="006C5448"/>
    <w:rsid w:val="006C567D"/>
    <w:rsid w:val="006C56B8"/>
    <w:rsid w:val="006C5B52"/>
    <w:rsid w:val="006C5BC9"/>
    <w:rsid w:val="006C6743"/>
    <w:rsid w:val="006C6DB8"/>
    <w:rsid w:val="006C6FE4"/>
    <w:rsid w:val="006C746C"/>
    <w:rsid w:val="006C758D"/>
    <w:rsid w:val="006C7693"/>
    <w:rsid w:val="006C7B47"/>
    <w:rsid w:val="006C7F0E"/>
    <w:rsid w:val="006D0380"/>
    <w:rsid w:val="006D0B59"/>
    <w:rsid w:val="006D103A"/>
    <w:rsid w:val="006D191C"/>
    <w:rsid w:val="006D1DE1"/>
    <w:rsid w:val="006D1F80"/>
    <w:rsid w:val="006D2317"/>
    <w:rsid w:val="006D23B8"/>
    <w:rsid w:val="006D266D"/>
    <w:rsid w:val="006D2A60"/>
    <w:rsid w:val="006D2C7E"/>
    <w:rsid w:val="006D2D62"/>
    <w:rsid w:val="006D2F68"/>
    <w:rsid w:val="006D31EC"/>
    <w:rsid w:val="006D32CD"/>
    <w:rsid w:val="006D3749"/>
    <w:rsid w:val="006D37B0"/>
    <w:rsid w:val="006D39BA"/>
    <w:rsid w:val="006D3A92"/>
    <w:rsid w:val="006D4472"/>
    <w:rsid w:val="006D489D"/>
    <w:rsid w:val="006D4D7F"/>
    <w:rsid w:val="006D4FD3"/>
    <w:rsid w:val="006D51B1"/>
    <w:rsid w:val="006D5A15"/>
    <w:rsid w:val="006D5BCB"/>
    <w:rsid w:val="006D5D7E"/>
    <w:rsid w:val="006D5FF2"/>
    <w:rsid w:val="006D6048"/>
    <w:rsid w:val="006D65CA"/>
    <w:rsid w:val="006D68D9"/>
    <w:rsid w:val="006D69BE"/>
    <w:rsid w:val="006D6C3A"/>
    <w:rsid w:val="006D6DFD"/>
    <w:rsid w:val="006D6F55"/>
    <w:rsid w:val="006D6F58"/>
    <w:rsid w:val="006D73BB"/>
    <w:rsid w:val="006D7691"/>
    <w:rsid w:val="006D76B9"/>
    <w:rsid w:val="006D7A36"/>
    <w:rsid w:val="006D7FD1"/>
    <w:rsid w:val="006E0097"/>
    <w:rsid w:val="006E0448"/>
    <w:rsid w:val="006E08E5"/>
    <w:rsid w:val="006E09DE"/>
    <w:rsid w:val="006E0E9C"/>
    <w:rsid w:val="006E1377"/>
    <w:rsid w:val="006E143C"/>
    <w:rsid w:val="006E1582"/>
    <w:rsid w:val="006E165D"/>
    <w:rsid w:val="006E1938"/>
    <w:rsid w:val="006E1970"/>
    <w:rsid w:val="006E1DDE"/>
    <w:rsid w:val="006E2136"/>
    <w:rsid w:val="006E2191"/>
    <w:rsid w:val="006E2329"/>
    <w:rsid w:val="006E24B2"/>
    <w:rsid w:val="006E2816"/>
    <w:rsid w:val="006E2AF2"/>
    <w:rsid w:val="006E2F74"/>
    <w:rsid w:val="006E3280"/>
    <w:rsid w:val="006E372E"/>
    <w:rsid w:val="006E3890"/>
    <w:rsid w:val="006E3E25"/>
    <w:rsid w:val="006E44D9"/>
    <w:rsid w:val="006E44DB"/>
    <w:rsid w:val="006E47C7"/>
    <w:rsid w:val="006E4DA5"/>
    <w:rsid w:val="006E4F7C"/>
    <w:rsid w:val="006E500E"/>
    <w:rsid w:val="006E50A3"/>
    <w:rsid w:val="006E53B4"/>
    <w:rsid w:val="006E579C"/>
    <w:rsid w:val="006E5ACA"/>
    <w:rsid w:val="006E5E48"/>
    <w:rsid w:val="006E6220"/>
    <w:rsid w:val="006E62EB"/>
    <w:rsid w:val="006E64C8"/>
    <w:rsid w:val="006E6607"/>
    <w:rsid w:val="006E6AFD"/>
    <w:rsid w:val="006E6CFE"/>
    <w:rsid w:val="006E6E11"/>
    <w:rsid w:val="006E718C"/>
    <w:rsid w:val="006E71C1"/>
    <w:rsid w:val="006E71E7"/>
    <w:rsid w:val="006E71F3"/>
    <w:rsid w:val="006E7410"/>
    <w:rsid w:val="006E7595"/>
    <w:rsid w:val="006E778C"/>
    <w:rsid w:val="006E783D"/>
    <w:rsid w:val="006E7AC2"/>
    <w:rsid w:val="006F00F9"/>
    <w:rsid w:val="006F00FD"/>
    <w:rsid w:val="006F039A"/>
    <w:rsid w:val="006F0677"/>
    <w:rsid w:val="006F0854"/>
    <w:rsid w:val="006F0C20"/>
    <w:rsid w:val="006F13A7"/>
    <w:rsid w:val="006F144F"/>
    <w:rsid w:val="006F155C"/>
    <w:rsid w:val="006F1A01"/>
    <w:rsid w:val="006F20BA"/>
    <w:rsid w:val="006F2800"/>
    <w:rsid w:val="006F28B2"/>
    <w:rsid w:val="006F2EB6"/>
    <w:rsid w:val="006F2EF8"/>
    <w:rsid w:val="006F3306"/>
    <w:rsid w:val="006F386D"/>
    <w:rsid w:val="006F3B3B"/>
    <w:rsid w:val="006F3DA0"/>
    <w:rsid w:val="006F4079"/>
    <w:rsid w:val="006F43CD"/>
    <w:rsid w:val="006F4523"/>
    <w:rsid w:val="006F46D2"/>
    <w:rsid w:val="006F513C"/>
    <w:rsid w:val="006F5191"/>
    <w:rsid w:val="006F5A28"/>
    <w:rsid w:val="006F5E2D"/>
    <w:rsid w:val="006F5E70"/>
    <w:rsid w:val="006F61F8"/>
    <w:rsid w:val="006F6789"/>
    <w:rsid w:val="006F68F6"/>
    <w:rsid w:val="006F70DB"/>
    <w:rsid w:val="006F74EA"/>
    <w:rsid w:val="006F77E7"/>
    <w:rsid w:val="006F7BA6"/>
    <w:rsid w:val="006F7D2B"/>
    <w:rsid w:val="006F7F80"/>
    <w:rsid w:val="00700017"/>
    <w:rsid w:val="007004C2"/>
    <w:rsid w:val="0070063D"/>
    <w:rsid w:val="007007E6"/>
    <w:rsid w:val="00700A01"/>
    <w:rsid w:val="00701027"/>
    <w:rsid w:val="007012C0"/>
    <w:rsid w:val="007016AF"/>
    <w:rsid w:val="00701A74"/>
    <w:rsid w:val="00701DB6"/>
    <w:rsid w:val="00702106"/>
    <w:rsid w:val="00702236"/>
    <w:rsid w:val="00702372"/>
    <w:rsid w:val="007023B6"/>
    <w:rsid w:val="0070283F"/>
    <w:rsid w:val="00702922"/>
    <w:rsid w:val="00702E7F"/>
    <w:rsid w:val="0070303C"/>
    <w:rsid w:val="00703056"/>
    <w:rsid w:val="00703459"/>
    <w:rsid w:val="00703BB5"/>
    <w:rsid w:val="00703C0D"/>
    <w:rsid w:val="00703E31"/>
    <w:rsid w:val="00704676"/>
    <w:rsid w:val="007047E3"/>
    <w:rsid w:val="00704935"/>
    <w:rsid w:val="007049C3"/>
    <w:rsid w:val="00704CB9"/>
    <w:rsid w:val="00704CBD"/>
    <w:rsid w:val="00705194"/>
    <w:rsid w:val="00705322"/>
    <w:rsid w:val="00705485"/>
    <w:rsid w:val="0070570A"/>
    <w:rsid w:val="00705885"/>
    <w:rsid w:val="00706065"/>
    <w:rsid w:val="0070635D"/>
    <w:rsid w:val="00706390"/>
    <w:rsid w:val="00706544"/>
    <w:rsid w:val="007067A8"/>
    <w:rsid w:val="00706A36"/>
    <w:rsid w:val="00706E1D"/>
    <w:rsid w:val="00706E83"/>
    <w:rsid w:val="007070DF"/>
    <w:rsid w:val="00707489"/>
    <w:rsid w:val="007075CD"/>
    <w:rsid w:val="00707882"/>
    <w:rsid w:val="007078B4"/>
    <w:rsid w:val="007079E1"/>
    <w:rsid w:val="00707AAA"/>
    <w:rsid w:val="00707B1D"/>
    <w:rsid w:val="00707B2B"/>
    <w:rsid w:val="00707CC9"/>
    <w:rsid w:val="00707E7F"/>
    <w:rsid w:val="007102C3"/>
    <w:rsid w:val="007105D2"/>
    <w:rsid w:val="0071073E"/>
    <w:rsid w:val="00710855"/>
    <w:rsid w:val="00710CE2"/>
    <w:rsid w:val="00710FE8"/>
    <w:rsid w:val="007112C8"/>
    <w:rsid w:val="007113AF"/>
    <w:rsid w:val="00711462"/>
    <w:rsid w:val="00711875"/>
    <w:rsid w:val="00711AE5"/>
    <w:rsid w:val="00711CB6"/>
    <w:rsid w:val="00711D8D"/>
    <w:rsid w:val="00712148"/>
    <w:rsid w:val="00712C3D"/>
    <w:rsid w:val="00712D0F"/>
    <w:rsid w:val="00712DF9"/>
    <w:rsid w:val="00712FE6"/>
    <w:rsid w:val="00713110"/>
    <w:rsid w:val="00713176"/>
    <w:rsid w:val="007134AA"/>
    <w:rsid w:val="007134D5"/>
    <w:rsid w:val="007139D2"/>
    <w:rsid w:val="00713D54"/>
    <w:rsid w:val="00713EEF"/>
    <w:rsid w:val="0071402C"/>
    <w:rsid w:val="00714433"/>
    <w:rsid w:val="00714765"/>
    <w:rsid w:val="00714ABE"/>
    <w:rsid w:val="00714FEA"/>
    <w:rsid w:val="0071563F"/>
    <w:rsid w:val="00715B06"/>
    <w:rsid w:val="00715CED"/>
    <w:rsid w:val="00715DED"/>
    <w:rsid w:val="007165E0"/>
    <w:rsid w:val="00716789"/>
    <w:rsid w:val="0071687A"/>
    <w:rsid w:val="00716ADF"/>
    <w:rsid w:val="00716CE4"/>
    <w:rsid w:val="00716D12"/>
    <w:rsid w:val="00716E53"/>
    <w:rsid w:val="00717535"/>
    <w:rsid w:val="00717C7F"/>
    <w:rsid w:val="00720335"/>
    <w:rsid w:val="00720DE0"/>
    <w:rsid w:val="00720F78"/>
    <w:rsid w:val="00721627"/>
    <w:rsid w:val="00721BEA"/>
    <w:rsid w:val="00721C7C"/>
    <w:rsid w:val="007224D5"/>
    <w:rsid w:val="00722509"/>
    <w:rsid w:val="00722834"/>
    <w:rsid w:val="00722986"/>
    <w:rsid w:val="00722E20"/>
    <w:rsid w:val="00722E77"/>
    <w:rsid w:val="007232BF"/>
    <w:rsid w:val="007233ED"/>
    <w:rsid w:val="007234EF"/>
    <w:rsid w:val="007236C8"/>
    <w:rsid w:val="00723718"/>
    <w:rsid w:val="00723918"/>
    <w:rsid w:val="00723961"/>
    <w:rsid w:val="00723E17"/>
    <w:rsid w:val="0072437F"/>
    <w:rsid w:val="007243AF"/>
    <w:rsid w:val="00724530"/>
    <w:rsid w:val="007245EF"/>
    <w:rsid w:val="007247D2"/>
    <w:rsid w:val="00724D7E"/>
    <w:rsid w:val="00724F70"/>
    <w:rsid w:val="007251C7"/>
    <w:rsid w:val="007258F9"/>
    <w:rsid w:val="00725E74"/>
    <w:rsid w:val="00725F82"/>
    <w:rsid w:val="0072627D"/>
    <w:rsid w:val="007263BC"/>
    <w:rsid w:val="00726714"/>
    <w:rsid w:val="00726A8B"/>
    <w:rsid w:val="00726F5B"/>
    <w:rsid w:val="0073034F"/>
    <w:rsid w:val="0073050E"/>
    <w:rsid w:val="00730824"/>
    <w:rsid w:val="007309FE"/>
    <w:rsid w:val="00731040"/>
    <w:rsid w:val="007311F7"/>
    <w:rsid w:val="00731273"/>
    <w:rsid w:val="0073150E"/>
    <w:rsid w:val="007315C2"/>
    <w:rsid w:val="007315FD"/>
    <w:rsid w:val="007316EF"/>
    <w:rsid w:val="00731A34"/>
    <w:rsid w:val="00731CFE"/>
    <w:rsid w:val="00731E22"/>
    <w:rsid w:val="00731EE5"/>
    <w:rsid w:val="00732307"/>
    <w:rsid w:val="00732999"/>
    <w:rsid w:val="00732E97"/>
    <w:rsid w:val="007331D4"/>
    <w:rsid w:val="00733446"/>
    <w:rsid w:val="0073358D"/>
    <w:rsid w:val="0073369D"/>
    <w:rsid w:val="007343B2"/>
    <w:rsid w:val="0073441B"/>
    <w:rsid w:val="007346A0"/>
    <w:rsid w:val="007348EF"/>
    <w:rsid w:val="007349DB"/>
    <w:rsid w:val="00734F39"/>
    <w:rsid w:val="007350D1"/>
    <w:rsid w:val="00735462"/>
    <w:rsid w:val="007356E3"/>
    <w:rsid w:val="007358D2"/>
    <w:rsid w:val="00735CCB"/>
    <w:rsid w:val="00736794"/>
    <w:rsid w:val="007368F9"/>
    <w:rsid w:val="00736BF9"/>
    <w:rsid w:val="00736E5B"/>
    <w:rsid w:val="00736F63"/>
    <w:rsid w:val="007370A6"/>
    <w:rsid w:val="007371A5"/>
    <w:rsid w:val="0073728C"/>
    <w:rsid w:val="007372F4"/>
    <w:rsid w:val="00737562"/>
    <w:rsid w:val="00737A30"/>
    <w:rsid w:val="00737C75"/>
    <w:rsid w:val="00737E1B"/>
    <w:rsid w:val="0074018D"/>
    <w:rsid w:val="00740AA1"/>
    <w:rsid w:val="00740C77"/>
    <w:rsid w:val="00740E65"/>
    <w:rsid w:val="00741414"/>
    <w:rsid w:val="00741BCC"/>
    <w:rsid w:val="00742529"/>
    <w:rsid w:val="0074295A"/>
    <w:rsid w:val="00742B99"/>
    <w:rsid w:val="00742C38"/>
    <w:rsid w:val="00742D56"/>
    <w:rsid w:val="00742DA3"/>
    <w:rsid w:val="00742EE0"/>
    <w:rsid w:val="0074315D"/>
    <w:rsid w:val="007434B5"/>
    <w:rsid w:val="00743A39"/>
    <w:rsid w:val="007446D1"/>
    <w:rsid w:val="00744880"/>
    <w:rsid w:val="007448E2"/>
    <w:rsid w:val="00744F0A"/>
    <w:rsid w:val="0074504B"/>
    <w:rsid w:val="007451C7"/>
    <w:rsid w:val="0074537E"/>
    <w:rsid w:val="0074547C"/>
    <w:rsid w:val="00745967"/>
    <w:rsid w:val="00745F06"/>
    <w:rsid w:val="00746346"/>
    <w:rsid w:val="0074651B"/>
    <w:rsid w:val="007465C3"/>
    <w:rsid w:val="00746716"/>
    <w:rsid w:val="00746CD7"/>
    <w:rsid w:val="007470DF"/>
    <w:rsid w:val="00747700"/>
    <w:rsid w:val="0074771B"/>
    <w:rsid w:val="007478AF"/>
    <w:rsid w:val="007478CC"/>
    <w:rsid w:val="00747C06"/>
    <w:rsid w:val="00750605"/>
    <w:rsid w:val="00750744"/>
    <w:rsid w:val="0075092D"/>
    <w:rsid w:val="00750D54"/>
    <w:rsid w:val="00750DD0"/>
    <w:rsid w:val="007510E4"/>
    <w:rsid w:val="0075126E"/>
    <w:rsid w:val="00751707"/>
    <w:rsid w:val="00751752"/>
    <w:rsid w:val="007517EE"/>
    <w:rsid w:val="0075196F"/>
    <w:rsid w:val="0075201C"/>
    <w:rsid w:val="007520EF"/>
    <w:rsid w:val="007522C7"/>
    <w:rsid w:val="007522D4"/>
    <w:rsid w:val="00752D88"/>
    <w:rsid w:val="00753027"/>
    <w:rsid w:val="007531D9"/>
    <w:rsid w:val="00754993"/>
    <w:rsid w:val="00754D82"/>
    <w:rsid w:val="00754DE8"/>
    <w:rsid w:val="007552D5"/>
    <w:rsid w:val="00755432"/>
    <w:rsid w:val="007556FD"/>
    <w:rsid w:val="00755C06"/>
    <w:rsid w:val="00755DB0"/>
    <w:rsid w:val="00756547"/>
    <w:rsid w:val="007566D6"/>
    <w:rsid w:val="00756B09"/>
    <w:rsid w:val="00756F1A"/>
    <w:rsid w:val="00757048"/>
    <w:rsid w:val="007571EA"/>
    <w:rsid w:val="007571FF"/>
    <w:rsid w:val="00757678"/>
    <w:rsid w:val="0075772A"/>
    <w:rsid w:val="007600F8"/>
    <w:rsid w:val="0076010A"/>
    <w:rsid w:val="0076020B"/>
    <w:rsid w:val="00760634"/>
    <w:rsid w:val="00760B48"/>
    <w:rsid w:val="00760C7B"/>
    <w:rsid w:val="00760D92"/>
    <w:rsid w:val="00760F46"/>
    <w:rsid w:val="0076113B"/>
    <w:rsid w:val="007611B5"/>
    <w:rsid w:val="007613B7"/>
    <w:rsid w:val="00761613"/>
    <w:rsid w:val="00761810"/>
    <w:rsid w:val="007619D0"/>
    <w:rsid w:val="00761CD9"/>
    <w:rsid w:val="00761DD8"/>
    <w:rsid w:val="00761EDE"/>
    <w:rsid w:val="00762164"/>
    <w:rsid w:val="0076233F"/>
    <w:rsid w:val="0076237A"/>
    <w:rsid w:val="00762442"/>
    <w:rsid w:val="0076249D"/>
    <w:rsid w:val="00762BE7"/>
    <w:rsid w:val="00762D9F"/>
    <w:rsid w:val="00762FE0"/>
    <w:rsid w:val="007631AF"/>
    <w:rsid w:val="0076339A"/>
    <w:rsid w:val="00763873"/>
    <w:rsid w:val="007638B7"/>
    <w:rsid w:val="0076399F"/>
    <w:rsid w:val="00763EA4"/>
    <w:rsid w:val="0076405B"/>
    <w:rsid w:val="007641EE"/>
    <w:rsid w:val="00764391"/>
    <w:rsid w:val="00764AA1"/>
    <w:rsid w:val="00764E25"/>
    <w:rsid w:val="00764F23"/>
    <w:rsid w:val="007650DC"/>
    <w:rsid w:val="0076512F"/>
    <w:rsid w:val="0076545E"/>
    <w:rsid w:val="0076565B"/>
    <w:rsid w:val="00765BCF"/>
    <w:rsid w:val="0076609F"/>
    <w:rsid w:val="0076664B"/>
    <w:rsid w:val="00766AF8"/>
    <w:rsid w:val="00766E3E"/>
    <w:rsid w:val="00766FA4"/>
    <w:rsid w:val="00767202"/>
    <w:rsid w:val="00767B5F"/>
    <w:rsid w:val="00767D50"/>
    <w:rsid w:val="00770493"/>
    <w:rsid w:val="00770709"/>
    <w:rsid w:val="00770A1C"/>
    <w:rsid w:val="00771231"/>
    <w:rsid w:val="00771A7F"/>
    <w:rsid w:val="00771B1C"/>
    <w:rsid w:val="00771B52"/>
    <w:rsid w:val="00771C84"/>
    <w:rsid w:val="00771FFD"/>
    <w:rsid w:val="00772071"/>
    <w:rsid w:val="00772522"/>
    <w:rsid w:val="00772561"/>
    <w:rsid w:val="00772E18"/>
    <w:rsid w:val="00773314"/>
    <w:rsid w:val="00773CAD"/>
    <w:rsid w:val="00773DD3"/>
    <w:rsid w:val="007742B8"/>
    <w:rsid w:val="007746F3"/>
    <w:rsid w:val="00774DF7"/>
    <w:rsid w:val="00775433"/>
    <w:rsid w:val="0077553B"/>
    <w:rsid w:val="00775F17"/>
    <w:rsid w:val="007765CE"/>
    <w:rsid w:val="00776C8D"/>
    <w:rsid w:val="00777086"/>
    <w:rsid w:val="00777463"/>
    <w:rsid w:val="007775B3"/>
    <w:rsid w:val="007775D7"/>
    <w:rsid w:val="00777A63"/>
    <w:rsid w:val="00777D4F"/>
    <w:rsid w:val="007801AC"/>
    <w:rsid w:val="00780296"/>
    <w:rsid w:val="00780314"/>
    <w:rsid w:val="0078044D"/>
    <w:rsid w:val="007806A7"/>
    <w:rsid w:val="00780BA7"/>
    <w:rsid w:val="00780CA2"/>
    <w:rsid w:val="00781240"/>
    <w:rsid w:val="0078144F"/>
    <w:rsid w:val="0078170C"/>
    <w:rsid w:val="0078173E"/>
    <w:rsid w:val="0078173F"/>
    <w:rsid w:val="00781AC4"/>
    <w:rsid w:val="00781BE3"/>
    <w:rsid w:val="00781CFE"/>
    <w:rsid w:val="007821BD"/>
    <w:rsid w:val="007823F9"/>
    <w:rsid w:val="007824AA"/>
    <w:rsid w:val="007824C2"/>
    <w:rsid w:val="007825C1"/>
    <w:rsid w:val="007826EF"/>
    <w:rsid w:val="007827A0"/>
    <w:rsid w:val="00782875"/>
    <w:rsid w:val="00782A52"/>
    <w:rsid w:val="00782B0E"/>
    <w:rsid w:val="00783331"/>
    <w:rsid w:val="00783366"/>
    <w:rsid w:val="0078366B"/>
    <w:rsid w:val="007837CC"/>
    <w:rsid w:val="00783920"/>
    <w:rsid w:val="00783B64"/>
    <w:rsid w:val="00783D4D"/>
    <w:rsid w:val="0078468E"/>
    <w:rsid w:val="00784BB6"/>
    <w:rsid w:val="0078553D"/>
    <w:rsid w:val="00785543"/>
    <w:rsid w:val="007855CC"/>
    <w:rsid w:val="00785C47"/>
    <w:rsid w:val="00785CF7"/>
    <w:rsid w:val="007865A7"/>
    <w:rsid w:val="007865C5"/>
    <w:rsid w:val="007865E1"/>
    <w:rsid w:val="007866F5"/>
    <w:rsid w:val="0078689A"/>
    <w:rsid w:val="00786C39"/>
    <w:rsid w:val="00786CD3"/>
    <w:rsid w:val="00786E0E"/>
    <w:rsid w:val="00786E6B"/>
    <w:rsid w:val="0078725E"/>
    <w:rsid w:val="00787477"/>
    <w:rsid w:val="0078786C"/>
    <w:rsid w:val="00787950"/>
    <w:rsid w:val="00787978"/>
    <w:rsid w:val="00790436"/>
    <w:rsid w:val="00790754"/>
    <w:rsid w:val="00790CD1"/>
    <w:rsid w:val="00790E3B"/>
    <w:rsid w:val="00791223"/>
    <w:rsid w:val="00791294"/>
    <w:rsid w:val="007913B5"/>
    <w:rsid w:val="00791504"/>
    <w:rsid w:val="007915E7"/>
    <w:rsid w:val="007916EF"/>
    <w:rsid w:val="007916FD"/>
    <w:rsid w:val="00791923"/>
    <w:rsid w:val="00791C30"/>
    <w:rsid w:val="00791EA7"/>
    <w:rsid w:val="007928D6"/>
    <w:rsid w:val="00792E37"/>
    <w:rsid w:val="00793099"/>
    <w:rsid w:val="007932A5"/>
    <w:rsid w:val="00793877"/>
    <w:rsid w:val="00793D17"/>
    <w:rsid w:val="00793EB3"/>
    <w:rsid w:val="0079438F"/>
    <w:rsid w:val="00794A31"/>
    <w:rsid w:val="00794B7C"/>
    <w:rsid w:val="00794CDA"/>
    <w:rsid w:val="007951C7"/>
    <w:rsid w:val="007952A2"/>
    <w:rsid w:val="007954DA"/>
    <w:rsid w:val="00795726"/>
    <w:rsid w:val="00795DD7"/>
    <w:rsid w:val="00796150"/>
    <w:rsid w:val="00796678"/>
    <w:rsid w:val="0079690E"/>
    <w:rsid w:val="00796A2B"/>
    <w:rsid w:val="00796E22"/>
    <w:rsid w:val="00796E7F"/>
    <w:rsid w:val="00796F56"/>
    <w:rsid w:val="00797567"/>
    <w:rsid w:val="00797972"/>
    <w:rsid w:val="007979D6"/>
    <w:rsid w:val="00797C30"/>
    <w:rsid w:val="007A00ED"/>
    <w:rsid w:val="007A0179"/>
    <w:rsid w:val="007A05CB"/>
    <w:rsid w:val="007A06FB"/>
    <w:rsid w:val="007A0942"/>
    <w:rsid w:val="007A0999"/>
    <w:rsid w:val="007A0CBD"/>
    <w:rsid w:val="007A0CED"/>
    <w:rsid w:val="007A0E94"/>
    <w:rsid w:val="007A1246"/>
    <w:rsid w:val="007A181C"/>
    <w:rsid w:val="007A1ADA"/>
    <w:rsid w:val="007A1D64"/>
    <w:rsid w:val="007A1F9C"/>
    <w:rsid w:val="007A205C"/>
    <w:rsid w:val="007A2206"/>
    <w:rsid w:val="007A2384"/>
    <w:rsid w:val="007A2767"/>
    <w:rsid w:val="007A2876"/>
    <w:rsid w:val="007A2AA3"/>
    <w:rsid w:val="007A2CF4"/>
    <w:rsid w:val="007A3104"/>
    <w:rsid w:val="007A31C0"/>
    <w:rsid w:val="007A31F5"/>
    <w:rsid w:val="007A3796"/>
    <w:rsid w:val="007A379C"/>
    <w:rsid w:val="007A37FD"/>
    <w:rsid w:val="007A3D3B"/>
    <w:rsid w:val="007A4A95"/>
    <w:rsid w:val="007A4FD8"/>
    <w:rsid w:val="007A5281"/>
    <w:rsid w:val="007A55DB"/>
    <w:rsid w:val="007A5ADD"/>
    <w:rsid w:val="007A5D16"/>
    <w:rsid w:val="007A5FB1"/>
    <w:rsid w:val="007A62C1"/>
    <w:rsid w:val="007A6EEA"/>
    <w:rsid w:val="007A7172"/>
    <w:rsid w:val="007A71DC"/>
    <w:rsid w:val="007A738A"/>
    <w:rsid w:val="007A7626"/>
    <w:rsid w:val="007A7698"/>
    <w:rsid w:val="007A77DA"/>
    <w:rsid w:val="007A7CC0"/>
    <w:rsid w:val="007B064D"/>
    <w:rsid w:val="007B07D4"/>
    <w:rsid w:val="007B0934"/>
    <w:rsid w:val="007B0A8F"/>
    <w:rsid w:val="007B1355"/>
    <w:rsid w:val="007B136F"/>
    <w:rsid w:val="007B137E"/>
    <w:rsid w:val="007B1592"/>
    <w:rsid w:val="007B1813"/>
    <w:rsid w:val="007B1837"/>
    <w:rsid w:val="007B1D51"/>
    <w:rsid w:val="007B1F60"/>
    <w:rsid w:val="007B23C8"/>
    <w:rsid w:val="007B26CA"/>
    <w:rsid w:val="007B26FA"/>
    <w:rsid w:val="007B27AB"/>
    <w:rsid w:val="007B2BA9"/>
    <w:rsid w:val="007B2D58"/>
    <w:rsid w:val="007B30F3"/>
    <w:rsid w:val="007B33E6"/>
    <w:rsid w:val="007B3653"/>
    <w:rsid w:val="007B37B2"/>
    <w:rsid w:val="007B4161"/>
    <w:rsid w:val="007B4430"/>
    <w:rsid w:val="007B4507"/>
    <w:rsid w:val="007B471F"/>
    <w:rsid w:val="007B49F3"/>
    <w:rsid w:val="007B51CC"/>
    <w:rsid w:val="007B6470"/>
    <w:rsid w:val="007B666C"/>
    <w:rsid w:val="007B694A"/>
    <w:rsid w:val="007B6A7C"/>
    <w:rsid w:val="007B6A99"/>
    <w:rsid w:val="007B6CF6"/>
    <w:rsid w:val="007B7194"/>
    <w:rsid w:val="007B755C"/>
    <w:rsid w:val="007B75BF"/>
    <w:rsid w:val="007B7860"/>
    <w:rsid w:val="007B7940"/>
    <w:rsid w:val="007B7988"/>
    <w:rsid w:val="007B7C64"/>
    <w:rsid w:val="007B7D7F"/>
    <w:rsid w:val="007B7E57"/>
    <w:rsid w:val="007C0026"/>
    <w:rsid w:val="007C02BF"/>
    <w:rsid w:val="007C0366"/>
    <w:rsid w:val="007C0597"/>
    <w:rsid w:val="007C0730"/>
    <w:rsid w:val="007C096A"/>
    <w:rsid w:val="007C1038"/>
    <w:rsid w:val="007C1068"/>
    <w:rsid w:val="007C1905"/>
    <w:rsid w:val="007C1B9A"/>
    <w:rsid w:val="007C1C53"/>
    <w:rsid w:val="007C1E2B"/>
    <w:rsid w:val="007C23DA"/>
    <w:rsid w:val="007C2547"/>
    <w:rsid w:val="007C29C9"/>
    <w:rsid w:val="007C335F"/>
    <w:rsid w:val="007C3D9B"/>
    <w:rsid w:val="007C4751"/>
    <w:rsid w:val="007C4CD1"/>
    <w:rsid w:val="007C4FE8"/>
    <w:rsid w:val="007C51A5"/>
    <w:rsid w:val="007C5861"/>
    <w:rsid w:val="007C58A8"/>
    <w:rsid w:val="007C5CAB"/>
    <w:rsid w:val="007C5E69"/>
    <w:rsid w:val="007C6180"/>
    <w:rsid w:val="007C62BF"/>
    <w:rsid w:val="007C62DB"/>
    <w:rsid w:val="007C684B"/>
    <w:rsid w:val="007C751A"/>
    <w:rsid w:val="007C75ED"/>
    <w:rsid w:val="007C7E63"/>
    <w:rsid w:val="007D018F"/>
    <w:rsid w:val="007D01EE"/>
    <w:rsid w:val="007D0479"/>
    <w:rsid w:val="007D0C2E"/>
    <w:rsid w:val="007D0C5C"/>
    <w:rsid w:val="007D0D63"/>
    <w:rsid w:val="007D1164"/>
    <w:rsid w:val="007D13D5"/>
    <w:rsid w:val="007D174D"/>
    <w:rsid w:val="007D1A26"/>
    <w:rsid w:val="007D1B4F"/>
    <w:rsid w:val="007D1CF3"/>
    <w:rsid w:val="007D1E1D"/>
    <w:rsid w:val="007D210C"/>
    <w:rsid w:val="007D21FE"/>
    <w:rsid w:val="007D26A3"/>
    <w:rsid w:val="007D282C"/>
    <w:rsid w:val="007D2FC1"/>
    <w:rsid w:val="007D302F"/>
    <w:rsid w:val="007D330D"/>
    <w:rsid w:val="007D343B"/>
    <w:rsid w:val="007D34E9"/>
    <w:rsid w:val="007D358F"/>
    <w:rsid w:val="007D3D4C"/>
    <w:rsid w:val="007D3DFD"/>
    <w:rsid w:val="007D3E09"/>
    <w:rsid w:val="007D4338"/>
    <w:rsid w:val="007D451F"/>
    <w:rsid w:val="007D45D6"/>
    <w:rsid w:val="007D5291"/>
    <w:rsid w:val="007D53D5"/>
    <w:rsid w:val="007D56E5"/>
    <w:rsid w:val="007D575E"/>
    <w:rsid w:val="007D58AA"/>
    <w:rsid w:val="007D59B1"/>
    <w:rsid w:val="007D59D7"/>
    <w:rsid w:val="007D5B21"/>
    <w:rsid w:val="007D5C4E"/>
    <w:rsid w:val="007D5F07"/>
    <w:rsid w:val="007D67C3"/>
    <w:rsid w:val="007D68F6"/>
    <w:rsid w:val="007D6C37"/>
    <w:rsid w:val="007D70A1"/>
    <w:rsid w:val="007D7590"/>
    <w:rsid w:val="007D7ACA"/>
    <w:rsid w:val="007E0048"/>
    <w:rsid w:val="007E05D3"/>
    <w:rsid w:val="007E07EC"/>
    <w:rsid w:val="007E0E89"/>
    <w:rsid w:val="007E12F7"/>
    <w:rsid w:val="007E13E8"/>
    <w:rsid w:val="007E1A7F"/>
    <w:rsid w:val="007E1B21"/>
    <w:rsid w:val="007E1C09"/>
    <w:rsid w:val="007E2214"/>
    <w:rsid w:val="007E2AB7"/>
    <w:rsid w:val="007E2DFF"/>
    <w:rsid w:val="007E346C"/>
    <w:rsid w:val="007E34A0"/>
    <w:rsid w:val="007E3776"/>
    <w:rsid w:val="007E3896"/>
    <w:rsid w:val="007E395A"/>
    <w:rsid w:val="007E397A"/>
    <w:rsid w:val="007E3B5F"/>
    <w:rsid w:val="007E3CCB"/>
    <w:rsid w:val="007E3D1B"/>
    <w:rsid w:val="007E3FED"/>
    <w:rsid w:val="007E4402"/>
    <w:rsid w:val="007E45E1"/>
    <w:rsid w:val="007E4D23"/>
    <w:rsid w:val="007E5235"/>
    <w:rsid w:val="007E5326"/>
    <w:rsid w:val="007E53F4"/>
    <w:rsid w:val="007E55F6"/>
    <w:rsid w:val="007E57BC"/>
    <w:rsid w:val="007E5AA7"/>
    <w:rsid w:val="007E5CEA"/>
    <w:rsid w:val="007E5DFD"/>
    <w:rsid w:val="007E5E8D"/>
    <w:rsid w:val="007E63E4"/>
    <w:rsid w:val="007E6AEC"/>
    <w:rsid w:val="007E6C91"/>
    <w:rsid w:val="007E7329"/>
    <w:rsid w:val="007E751D"/>
    <w:rsid w:val="007E771A"/>
    <w:rsid w:val="007E7ABA"/>
    <w:rsid w:val="007E7EB1"/>
    <w:rsid w:val="007E7FBB"/>
    <w:rsid w:val="007F0071"/>
    <w:rsid w:val="007F0233"/>
    <w:rsid w:val="007F094F"/>
    <w:rsid w:val="007F09C3"/>
    <w:rsid w:val="007F0C5A"/>
    <w:rsid w:val="007F0E42"/>
    <w:rsid w:val="007F164C"/>
    <w:rsid w:val="007F1796"/>
    <w:rsid w:val="007F189B"/>
    <w:rsid w:val="007F1CD1"/>
    <w:rsid w:val="007F1E4A"/>
    <w:rsid w:val="007F24E3"/>
    <w:rsid w:val="007F28F6"/>
    <w:rsid w:val="007F2A61"/>
    <w:rsid w:val="007F2C5C"/>
    <w:rsid w:val="007F2CAD"/>
    <w:rsid w:val="007F33F3"/>
    <w:rsid w:val="007F34E6"/>
    <w:rsid w:val="007F3764"/>
    <w:rsid w:val="007F3BE7"/>
    <w:rsid w:val="007F3C35"/>
    <w:rsid w:val="007F3F5A"/>
    <w:rsid w:val="007F40F2"/>
    <w:rsid w:val="007F4590"/>
    <w:rsid w:val="007F5573"/>
    <w:rsid w:val="007F5B55"/>
    <w:rsid w:val="007F5B79"/>
    <w:rsid w:val="007F5B9A"/>
    <w:rsid w:val="007F6477"/>
    <w:rsid w:val="007F69E3"/>
    <w:rsid w:val="007F6AE1"/>
    <w:rsid w:val="007F6B31"/>
    <w:rsid w:val="007F6DCE"/>
    <w:rsid w:val="007F7083"/>
    <w:rsid w:val="007F723D"/>
    <w:rsid w:val="007F7644"/>
    <w:rsid w:val="007F76F8"/>
    <w:rsid w:val="007F7870"/>
    <w:rsid w:val="007F7B95"/>
    <w:rsid w:val="007F7CFF"/>
    <w:rsid w:val="007F7F94"/>
    <w:rsid w:val="0080016B"/>
    <w:rsid w:val="00800633"/>
    <w:rsid w:val="0080079C"/>
    <w:rsid w:val="008008E9"/>
    <w:rsid w:val="008008FC"/>
    <w:rsid w:val="008012B7"/>
    <w:rsid w:val="00801495"/>
    <w:rsid w:val="008014EA"/>
    <w:rsid w:val="008017A1"/>
    <w:rsid w:val="00801C8D"/>
    <w:rsid w:val="00801D98"/>
    <w:rsid w:val="008023CA"/>
    <w:rsid w:val="00802752"/>
    <w:rsid w:val="00802C86"/>
    <w:rsid w:val="00802D1B"/>
    <w:rsid w:val="00802E93"/>
    <w:rsid w:val="008030E7"/>
    <w:rsid w:val="0080328F"/>
    <w:rsid w:val="00803D71"/>
    <w:rsid w:val="00803DC4"/>
    <w:rsid w:val="00803E68"/>
    <w:rsid w:val="00803E8C"/>
    <w:rsid w:val="00804CAB"/>
    <w:rsid w:val="00804D87"/>
    <w:rsid w:val="008052DD"/>
    <w:rsid w:val="008053E2"/>
    <w:rsid w:val="008058A6"/>
    <w:rsid w:val="00805B7B"/>
    <w:rsid w:val="00806190"/>
    <w:rsid w:val="00806291"/>
    <w:rsid w:val="008062CA"/>
    <w:rsid w:val="008065C9"/>
    <w:rsid w:val="008065DF"/>
    <w:rsid w:val="008068C2"/>
    <w:rsid w:val="00807133"/>
    <w:rsid w:val="00807170"/>
    <w:rsid w:val="00807F2F"/>
    <w:rsid w:val="00810093"/>
    <w:rsid w:val="00810247"/>
    <w:rsid w:val="00810319"/>
    <w:rsid w:val="008103EF"/>
    <w:rsid w:val="0081054C"/>
    <w:rsid w:val="00810933"/>
    <w:rsid w:val="00810B84"/>
    <w:rsid w:val="00810C38"/>
    <w:rsid w:val="00810DD7"/>
    <w:rsid w:val="00811070"/>
    <w:rsid w:val="00811265"/>
    <w:rsid w:val="0081163A"/>
    <w:rsid w:val="00811935"/>
    <w:rsid w:val="00811BAF"/>
    <w:rsid w:val="0081217E"/>
    <w:rsid w:val="008121FF"/>
    <w:rsid w:val="008126AB"/>
    <w:rsid w:val="00812766"/>
    <w:rsid w:val="00812D05"/>
    <w:rsid w:val="00813496"/>
    <w:rsid w:val="0081423A"/>
    <w:rsid w:val="00814313"/>
    <w:rsid w:val="008147A3"/>
    <w:rsid w:val="008147EC"/>
    <w:rsid w:val="00814C2B"/>
    <w:rsid w:val="00814D64"/>
    <w:rsid w:val="00814F63"/>
    <w:rsid w:val="00815270"/>
    <w:rsid w:val="008152AC"/>
    <w:rsid w:val="008154D4"/>
    <w:rsid w:val="008158DF"/>
    <w:rsid w:val="00815AD3"/>
    <w:rsid w:val="00815C9E"/>
    <w:rsid w:val="00816905"/>
    <w:rsid w:val="00816A8F"/>
    <w:rsid w:val="00816AB7"/>
    <w:rsid w:val="00816C39"/>
    <w:rsid w:val="00816CA6"/>
    <w:rsid w:val="00816D1E"/>
    <w:rsid w:val="00816D88"/>
    <w:rsid w:val="00816E10"/>
    <w:rsid w:val="00817414"/>
    <w:rsid w:val="00817744"/>
    <w:rsid w:val="00817867"/>
    <w:rsid w:val="00817B39"/>
    <w:rsid w:val="00817D4D"/>
    <w:rsid w:val="0082006A"/>
    <w:rsid w:val="0082014E"/>
    <w:rsid w:val="0082055E"/>
    <w:rsid w:val="008205EF"/>
    <w:rsid w:val="00820973"/>
    <w:rsid w:val="00820BAB"/>
    <w:rsid w:val="00820FFE"/>
    <w:rsid w:val="00821310"/>
    <w:rsid w:val="0082171F"/>
    <w:rsid w:val="00821972"/>
    <w:rsid w:val="008219C7"/>
    <w:rsid w:val="00821DC8"/>
    <w:rsid w:val="00821F62"/>
    <w:rsid w:val="00822071"/>
    <w:rsid w:val="008221F9"/>
    <w:rsid w:val="00822599"/>
    <w:rsid w:val="008226DD"/>
    <w:rsid w:val="00822833"/>
    <w:rsid w:val="00822A00"/>
    <w:rsid w:val="00822C71"/>
    <w:rsid w:val="0082339C"/>
    <w:rsid w:val="00823E9B"/>
    <w:rsid w:val="00823F27"/>
    <w:rsid w:val="008240F8"/>
    <w:rsid w:val="0082412B"/>
    <w:rsid w:val="0082424A"/>
    <w:rsid w:val="008242B6"/>
    <w:rsid w:val="008243F6"/>
    <w:rsid w:val="00824F90"/>
    <w:rsid w:val="0082568B"/>
    <w:rsid w:val="0082570B"/>
    <w:rsid w:val="008259B7"/>
    <w:rsid w:val="00825F59"/>
    <w:rsid w:val="00826056"/>
    <w:rsid w:val="00826A5F"/>
    <w:rsid w:val="00826AAA"/>
    <w:rsid w:val="00826B7A"/>
    <w:rsid w:val="00826BF3"/>
    <w:rsid w:val="00826C2D"/>
    <w:rsid w:val="00826F0F"/>
    <w:rsid w:val="00826F9A"/>
    <w:rsid w:val="00827005"/>
    <w:rsid w:val="00827D79"/>
    <w:rsid w:val="0083034E"/>
    <w:rsid w:val="00830526"/>
    <w:rsid w:val="008305F8"/>
    <w:rsid w:val="00830979"/>
    <w:rsid w:val="00830B95"/>
    <w:rsid w:val="00830CC9"/>
    <w:rsid w:val="00830D58"/>
    <w:rsid w:val="0083121B"/>
    <w:rsid w:val="0083155A"/>
    <w:rsid w:val="00831BD1"/>
    <w:rsid w:val="00831C72"/>
    <w:rsid w:val="00831CA5"/>
    <w:rsid w:val="00831CEC"/>
    <w:rsid w:val="00832366"/>
    <w:rsid w:val="008323FF"/>
    <w:rsid w:val="0083267F"/>
    <w:rsid w:val="00833962"/>
    <w:rsid w:val="008342F2"/>
    <w:rsid w:val="00834467"/>
    <w:rsid w:val="00834920"/>
    <w:rsid w:val="008349CC"/>
    <w:rsid w:val="00834D42"/>
    <w:rsid w:val="00834DFE"/>
    <w:rsid w:val="00834E24"/>
    <w:rsid w:val="0083511B"/>
    <w:rsid w:val="00836262"/>
    <w:rsid w:val="008364A3"/>
    <w:rsid w:val="0083676C"/>
    <w:rsid w:val="00836812"/>
    <w:rsid w:val="00836877"/>
    <w:rsid w:val="008368BB"/>
    <w:rsid w:val="00836B42"/>
    <w:rsid w:val="00837477"/>
    <w:rsid w:val="00837B10"/>
    <w:rsid w:val="00837CD0"/>
    <w:rsid w:val="0084004E"/>
    <w:rsid w:val="0084034D"/>
    <w:rsid w:val="00840674"/>
    <w:rsid w:val="008409FF"/>
    <w:rsid w:val="00840CAA"/>
    <w:rsid w:val="00840F84"/>
    <w:rsid w:val="00841349"/>
    <w:rsid w:val="008413E7"/>
    <w:rsid w:val="008415C9"/>
    <w:rsid w:val="008417A5"/>
    <w:rsid w:val="008418CD"/>
    <w:rsid w:val="00842390"/>
    <w:rsid w:val="00842413"/>
    <w:rsid w:val="0084295A"/>
    <w:rsid w:val="00842E88"/>
    <w:rsid w:val="00842F58"/>
    <w:rsid w:val="008438C8"/>
    <w:rsid w:val="00843B86"/>
    <w:rsid w:val="00843BEA"/>
    <w:rsid w:val="00844390"/>
    <w:rsid w:val="00844498"/>
    <w:rsid w:val="00844938"/>
    <w:rsid w:val="00844A96"/>
    <w:rsid w:val="00844AA4"/>
    <w:rsid w:val="00844DE4"/>
    <w:rsid w:val="00844F26"/>
    <w:rsid w:val="008459B4"/>
    <w:rsid w:val="008459DC"/>
    <w:rsid w:val="00845A4B"/>
    <w:rsid w:val="00845FE8"/>
    <w:rsid w:val="008461E0"/>
    <w:rsid w:val="00846346"/>
    <w:rsid w:val="008463DD"/>
    <w:rsid w:val="008464B2"/>
    <w:rsid w:val="008464CA"/>
    <w:rsid w:val="0084682F"/>
    <w:rsid w:val="00847A01"/>
    <w:rsid w:val="00847CA5"/>
    <w:rsid w:val="00847D1F"/>
    <w:rsid w:val="00847E69"/>
    <w:rsid w:val="00850148"/>
    <w:rsid w:val="008501F3"/>
    <w:rsid w:val="008502F6"/>
    <w:rsid w:val="00850458"/>
    <w:rsid w:val="00850839"/>
    <w:rsid w:val="0085090D"/>
    <w:rsid w:val="00850A76"/>
    <w:rsid w:val="00850BE4"/>
    <w:rsid w:val="00850C40"/>
    <w:rsid w:val="00850DC3"/>
    <w:rsid w:val="0085133B"/>
    <w:rsid w:val="008513DD"/>
    <w:rsid w:val="00851415"/>
    <w:rsid w:val="008516B7"/>
    <w:rsid w:val="00851891"/>
    <w:rsid w:val="0085190E"/>
    <w:rsid w:val="0085198C"/>
    <w:rsid w:val="008519B8"/>
    <w:rsid w:val="00851B2E"/>
    <w:rsid w:val="00851FA6"/>
    <w:rsid w:val="008520AC"/>
    <w:rsid w:val="00852214"/>
    <w:rsid w:val="00852344"/>
    <w:rsid w:val="0085281F"/>
    <w:rsid w:val="00852944"/>
    <w:rsid w:val="00852A31"/>
    <w:rsid w:val="00852B35"/>
    <w:rsid w:val="00852DD4"/>
    <w:rsid w:val="00853018"/>
    <w:rsid w:val="00853373"/>
    <w:rsid w:val="00853414"/>
    <w:rsid w:val="00853B35"/>
    <w:rsid w:val="00853C96"/>
    <w:rsid w:val="00853D65"/>
    <w:rsid w:val="00854584"/>
    <w:rsid w:val="008547B0"/>
    <w:rsid w:val="00854B57"/>
    <w:rsid w:val="00854BB8"/>
    <w:rsid w:val="00854DB2"/>
    <w:rsid w:val="00854E00"/>
    <w:rsid w:val="00855033"/>
    <w:rsid w:val="00855497"/>
    <w:rsid w:val="00855571"/>
    <w:rsid w:val="008557DA"/>
    <w:rsid w:val="00855E2E"/>
    <w:rsid w:val="00856167"/>
    <w:rsid w:val="008563A7"/>
    <w:rsid w:val="008563D4"/>
    <w:rsid w:val="0085692D"/>
    <w:rsid w:val="00856ED8"/>
    <w:rsid w:val="00857024"/>
    <w:rsid w:val="00857754"/>
    <w:rsid w:val="0085782F"/>
    <w:rsid w:val="00857995"/>
    <w:rsid w:val="0086011A"/>
    <w:rsid w:val="008607B6"/>
    <w:rsid w:val="00860A42"/>
    <w:rsid w:val="00860C5C"/>
    <w:rsid w:val="00861CAC"/>
    <w:rsid w:val="00861E55"/>
    <w:rsid w:val="0086266C"/>
    <w:rsid w:val="008629B6"/>
    <w:rsid w:val="00862F14"/>
    <w:rsid w:val="008631E7"/>
    <w:rsid w:val="00863293"/>
    <w:rsid w:val="00863499"/>
    <w:rsid w:val="008634C3"/>
    <w:rsid w:val="00863517"/>
    <w:rsid w:val="0086368E"/>
    <w:rsid w:val="008636BB"/>
    <w:rsid w:val="00863BA8"/>
    <w:rsid w:val="00863E9C"/>
    <w:rsid w:val="0086438E"/>
    <w:rsid w:val="008644AF"/>
    <w:rsid w:val="00864827"/>
    <w:rsid w:val="00864910"/>
    <w:rsid w:val="00865052"/>
    <w:rsid w:val="00865394"/>
    <w:rsid w:val="00865594"/>
    <w:rsid w:val="00865A4D"/>
    <w:rsid w:val="00865CF8"/>
    <w:rsid w:val="00865EBC"/>
    <w:rsid w:val="008665A3"/>
    <w:rsid w:val="00866BA1"/>
    <w:rsid w:val="00867360"/>
    <w:rsid w:val="00867419"/>
    <w:rsid w:val="00867467"/>
    <w:rsid w:val="0086747C"/>
    <w:rsid w:val="008675D9"/>
    <w:rsid w:val="008677C6"/>
    <w:rsid w:val="00867B5B"/>
    <w:rsid w:val="00867C72"/>
    <w:rsid w:val="00867DEE"/>
    <w:rsid w:val="0087081C"/>
    <w:rsid w:val="008709D4"/>
    <w:rsid w:val="00870D68"/>
    <w:rsid w:val="00870DEA"/>
    <w:rsid w:val="0087173D"/>
    <w:rsid w:val="00871C2E"/>
    <w:rsid w:val="008720CB"/>
    <w:rsid w:val="008723CD"/>
    <w:rsid w:val="008723F8"/>
    <w:rsid w:val="00872659"/>
    <w:rsid w:val="008726CC"/>
    <w:rsid w:val="008726FE"/>
    <w:rsid w:val="008727BC"/>
    <w:rsid w:val="008728BB"/>
    <w:rsid w:val="00872E84"/>
    <w:rsid w:val="00873478"/>
    <w:rsid w:val="008736F2"/>
    <w:rsid w:val="00873D60"/>
    <w:rsid w:val="00873EFF"/>
    <w:rsid w:val="0087431F"/>
    <w:rsid w:val="00874331"/>
    <w:rsid w:val="008744A9"/>
    <w:rsid w:val="00874BDC"/>
    <w:rsid w:val="00874C04"/>
    <w:rsid w:val="00874C7B"/>
    <w:rsid w:val="00874CB2"/>
    <w:rsid w:val="00874F6A"/>
    <w:rsid w:val="00875135"/>
    <w:rsid w:val="00875158"/>
    <w:rsid w:val="008752AD"/>
    <w:rsid w:val="008752D8"/>
    <w:rsid w:val="00875714"/>
    <w:rsid w:val="00875BC5"/>
    <w:rsid w:val="00875DBE"/>
    <w:rsid w:val="00875E74"/>
    <w:rsid w:val="00875F00"/>
    <w:rsid w:val="00876250"/>
    <w:rsid w:val="008762FE"/>
    <w:rsid w:val="008765BC"/>
    <w:rsid w:val="008771C1"/>
    <w:rsid w:val="00877261"/>
    <w:rsid w:val="008774DE"/>
    <w:rsid w:val="00877B1A"/>
    <w:rsid w:val="00877C51"/>
    <w:rsid w:val="00880262"/>
    <w:rsid w:val="008805CA"/>
    <w:rsid w:val="0088111D"/>
    <w:rsid w:val="008812C6"/>
    <w:rsid w:val="00881D47"/>
    <w:rsid w:val="00882007"/>
    <w:rsid w:val="00882260"/>
    <w:rsid w:val="008822D0"/>
    <w:rsid w:val="008822FA"/>
    <w:rsid w:val="00882905"/>
    <w:rsid w:val="008829BA"/>
    <w:rsid w:val="00882C15"/>
    <w:rsid w:val="00882CE2"/>
    <w:rsid w:val="0088307C"/>
    <w:rsid w:val="008830A2"/>
    <w:rsid w:val="008837BA"/>
    <w:rsid w:val="00883992"/>
    <w:rsid w:val="00883B6D"/>
    <w:rsid w:val="0088435E"/>
    <w:rsid w:val="008846F1"/>
    <w:rsid w:val="0088476B"/>
    <w:rsid w:val="0088482D"/>
    <w:rsid w:val="00884E33"/>
    <w:rsid w:val="00884E96"/>
    <w:rsid w:val="008851A5"/>
    <w:rsid w:val="00885284"/>
    <w:rsid w:val="0088537B"/>
    <w:rsid w:val="00885527"/>
    <w:rsid w:val="008859F7"/>
    <w:rsid w:val="00885BD8"/>
    <w:rsid w:val="00885DFE"/>
    <w:rsid w:val="00885E0A"/>
    <w:rsid w:val="00885F5E"/>
    <w:rsid w:val="00886073"/>
    <w:rsid w:val="00886081"/>
    <w:rsid w:val="008860B7"/>
    <w:rsid w:val="0088619E"/>
    <w:rsid w:val="00886A25"/>
    <w:rsid w:val="00891F05"/>
    <w:rsid w:val="00891FFD"/>
    <w:rsid w:val="00892450"/>
    <w:rsid w:val="0089253C"/>
    <w:rsid w:val="008926F9"/>
    <w:rsid w:val="00893144"/>
    <w:rsid w:val="0089335D"/>
    <w:rsid w:val="0089338C"/>
    <w:rsid w:val="00893814"/>
    <w:rsid w:val="0089438A"/>
    <w:rsid w:val="0089438F"/>
    <w:rsid w:val="00894398"/>
    <w:rsid w:val="0089453E"/>
    <w:rsid w:val="0089458C"/>
    <w:rsid w:val="008947B3"/>
    <w:rsid w:val="008947F0"/>
    <w:rsid w:val="008949EC"/>
    <w:rsid w:val="00894E81"/>
    <w:rsid w:val="008950FD"/>
    <w:rsid w:val="008956C6"/>
    <w:rsid w:val="008957F0"/>
    <w:rsid w:val="008957F8"/>
    <w:rsid w:val="00895E95"/>
    <w:rsid w:val="00895FEE"/>
    <w:rsid w:val="00896053"/>
    <w:rsid w:val="0089606E"/>
    <w:rsid w:val="0089616F"/>
    <w:rsid w:val="0089630A"/>
    <w:rsid w:val="00896424"/>
    <w:rsid w:val="008965D0"/>
    <w:rsid w:val="00896796"/>
    <w:rsid w:val="00896887"/>
    <w:rsid w:val="00896DFD"/>
    <w:rsid w:val="00896E4E"/>
    <w:rsid w:val="00896F82"/>
    <w:rsid w:val="00896FC8"/>
    <w:rsid w:val="00896FEC"/>
    <w:rsid w:val="00897252"/>
    <w:rsid w:val="00897276"/>
    <w:rsid w:val="008A0204"/>
    <w:rsid w:val="008A03E5"/>
    <w:rsid w:val="008A0AB9"/>
    <w:rsid w:val="008A0D70"/>
    <w:rsid w:val="008A11D8"/>
    <w:rsid w:val="008A11D9"/>
    <w:rsid w:val="008A1281"/>
    <w:rsid w:val="008A141D"/>
    <w:rsid w:val="008A1621"/>
    <w:rsid w:val="008A1666"/>
    <w:rsid w:val="008A17F3"/>
    <w:rsid w:val="008A1910"/>
    <w:rsid w:val="008A1B7E"/>
    <w:rsid w:val="008A1E46"/>
    <w:rsid w:val="008A2249"/>
    <w:rsid w:val="008A258A"/>
    <w:rsid w:val="008A25A5"/>
    <w:rsid w:val="008A25B9"/>
    <w:rsid w:val="008A2C3C"/>
    <w:rsid w:val="008A2FE5"/>
    <w:rsid w:val="008A324A"/>
    <w:rsid w:val="008A3444"/>
    <w:rsid w:val="008A3510"/>
    <w:rsid w:val="008A35BC"/>
    <w:rsid w:val="008A38C3"/>
    <w:rsid w:val="008A3998"/>
    <w:rsid w:val="008A3AA8"/>
    <w:rsid w:val="008A3B00"/>
    <w:rsid w:val="008A3B78"/>
    <w:rsid w:val="008A4523"/>
    <w:rsid w:val="008A49B4"/>
    <w:rsid w:val="008A4A19"/>
    <w:rsid w:val="008A4CCF"/>
    <w:rsid w:val="008A51AB"/>
    <w:rsid w:val="008A52D5"/>
    <w:rsid w:val="008A5968"/>
    <w:rsid w:val="008A5A07"/>
    <w:rsid w:val="008A5ABA"/>
    <w:rsid w:val="008A5C12"/>
    <w:rsid w:val="008A5F6F"/>
    <w:rsid w:val="008A5F89"/>
    <w:rsid w:val="008A6502"/>
    <w:rsid w:val="008A6AFA"/>
    <w:rsid w:val="008A6B74"/>
    <w:rsid w:val="008A6EB1"/>
    <w:rsid w:val="008A6EE2"/>
    <w:rsid w:val="008A7EB7"/>
    <w:rsid w:val="008B01D4"/>
    <w:rsid w:val="008B0292"/>
    <w:rsid w:val="008B03C8"/>
    <w:rsid w:val="008B0660"/>
    <w:rsid w:val="008B06E2"/>
    <w:rsid w:val="008B0FB9"/>
    <w:rsid w:val="008B1296"/>
    <w:rsid w:val="008B1311"/>
    <w:rsid w:val="008B1370"/>
    <w:rsid w:val="008B1D08"/>
    <w:rsid w:val="008B1E63"/>
    <w:rsid w:val="008B2183"/>
    <w:rsid w:val="008B2278"/>
    <w:rsid w:val="008B2298"/>
    <w:rsid w:val="008B2356"/>
    <w:rsid w:val="008B28CF"/>
    <w:rsid w:val="008B2903"/>
    <w:rsid w:val="008B2956"/>
    <w:rsid w:val="008B2A11"/>
    <w:rsid w:val="008B3374"/>
    <w:rsid w:val="008B3D2F"/>
    <w:rsid w:val="008B45BA"/>
    <w:rsid w:val="008B4AE6"/>
    <w:rsid w:val="008B514B"/>
    <w:rsid w:val="008B51C0"/>
    <w:rsid w:val="008B5382"/>
    <w:rsid w:val="008B561D"/>
    <w:rsid w:val="008B568F"/>
    <w:rsid w:val="008B574C"/>
    <w:rsid w:val="008B5CB7"/>
    <w:rsid w:val="008B5DD8"/>
    <w:rsid w:val="008B62A3"/>
    <w:rsid w:val="008B64E9"/>
    <w:rsid w:val="008B6663"/>
    <w:rsid w:val="008B6B43"/>
    <w:rsid w:val="008B6CE1"/>
    <w:rsid w:val="008B7185"/>
    <w:rsid w:val="008B71E0"/>
    <w:rsid w:val="008B7302"/>
    <w:rsid w:val="008B77CF"/>
    <w:rsid w:val="008B7A21"/>
    <w:rsid w:val="008B7D50"/>
    <w:rsid w:val="008C0182"/>
    <w:rsid w:val="008C020F"/>
    <w:rsid w:val="008C0CAE"/>
    <w:rsid w:val="008C127B"/>
    <w:rsid w:val="008C1567"/>
    <w:rsid w:val="008C15C2"/>
    <w:rsid w:val="008C1868"/>
    <w:rsid w:val="008C1BA2"/>
    <w:rsid w:val="008C258F"/>
    <w:rsid w:val="008C286E"/>
    <w:rsid w:val="008C29B2"/>
    <w:rsid w:val="008C2B30"/>
    <w:rsid w:val="008C2BEA"/>
    <w:rsid w:val="008C2DF8"/>
    <w:rsid w:val="008C2EE7"/>
    <w:rsid w:val="008C30D6"/>
    <w:rsid w:val="008C320F"/>
    <w:rsid w:val="008C32D1"/>
    <w:rsid w:val="008C3475"/>
    <w:rsid w:val="008C3652"/>
    <w:rsid w:val="008C3E19"/>
    <w:rsid w:val="008C4196"/>
    <w:rsid w:val="008C4380"/>
    <w:rsid w:val="008C48D4"/>
    <w:rsid w:val="008C4A7A"/>
    <w:rsid w:val="008C4B36"/>
    <w:rsid w:val="008C5131"/>
    <w:rsid w:val="008C554A"/>
    <w:rsid w:val="008C580D"/>
    <w:rsid w:val="008C5BC5"/>
    <w:rsid w:val="008C6067"/>
    <w:rsid w:val="008C60AC"/>
    <w:rsid w:val="008C6988"/>
    <w:rsid w:val="008C6CB4"/>
    <w:rsid w:val="008C6D14"/>
    <w:rsid w:val="008C6DDC"/>
    <w:rsid w:val="008C6EAA"/>
    <w:rsid w:val="008C6F35"/>
    <w:rsid w:val="008C7112"/>
    <w:rsid w:val="008C7126"/>
    <w:rsid w:val="008C7653"/>
    <w:rsid w:val="008C7822"/>
    <w:rsid w:val="008C7AAA"/>
    <w:rsid w:val="008C7DAA"/>
    <w:rsid w:val="008C7ECE"/>
    <w:rsid w:val="008D00AB"/>
    <w:rsid w:val="008D017A"/>
    <w:rsid w:val="008D0501"/>
    <w:rsid w:val="008D07A0"/>
    <w:rsid w:val="008D0B43"/>
    <w:rsid w:val="008D1628"/>
    <w:rsid w:val="008D1CBE"/>
    <w:rsid w:val="008D1DFE"/>
    <w:rsid w:val="008D1EDF"/>
    <w:rsid w:val="008D264B"/>
    <w:rsid w:val="008D2832"/>
    <w:rsid w:val="008D28F0"/>
    <w:rsid w:val="008D3504"/>
    <w:rsid w:val="008D3893"/>
    <w:rsid w:val="008D413B"/>
    <w:rsid w:val="008D47A3"/>
    <w:rsid w:val="008D4B6E"/>
    <w:rsid w:val="008D4CB2"/>
    <w:rsid w:val="008D4EE3"/>
    <w:rsid w:val="008D5047"/>
    <w:rsid w:val="008D51C7"/>
    <w:rsid w:val="008D548C"/>
    <w:rsid w:val="008D579A"/>
    <w:rsid w:val="008D669E"/>
    <w:rsid w:val="008D6CAC"/>
    <w:rsid w:val="008D7103"/>
    <w:rsid w:val="008D713E"/>
    <w:rsid w:val="008D73BF"/>
    <w:rsid w:val="008D7436"/>
    <w:rsid w:val="008D75C5"/>
    <w:rsid w:val="008D76F4"/>
    <w:rsid w:val="008D7899"/>
    <w:rsid w:val="008D7C94"/>
    <w:rsid w:val="008E03A0"/>
    <w:rsid w:val="008E0925"/>
    <w:rsid w:val="008E0E12"/>
    <w:rsid w:val="008E1301"/>
    <w:rsid w:val="008E1387"/>
    <w:rsid w:val="008E1894"/>
    <w:rsid w:val="008E1A18"/>
    <w:rsid w:val="008E1B3C"/>
    <w:rsid w:val="008E1C4C"/>
    <w:rsid w:val="008E1CFF"/>
    <w:rsid w:val="008E1D3D"/>
    <w:rsid w:val="008E1FB3"/>
    <w:rsid w:val="008E1FFA"/>
    <w:rsid w:val="008E21CA"/>
    <w:rsid w:val="008E28F8"/>
    <w:rsid w:val="008E29E4"/>
    <w:rsid w:val="008E2CF9"/>
    <w:rsid w:val="008E2D4E"/>
    <w:rsid w:val="008E30EF"/>
    <w:rsid w:val="008E34F8"/>
    <w:rsid w:val="008E367C"/>
    <w:rsid w:val="008E380B"/>
    <w:rsid w:val="008E3971"/>
    <w:rsid w:val="008E3A6A"/>
    <w:rsid w:val="008E3BE8"/>
    <w:rsid w:val="008E3CE4"/>
    <w:rsid w:val="008E3F40"/>
    <w:rsid w:val="008E4928"/>
    <w:rsid w:val="008E4D8C"/>
    <w:rsid w:val="008E4F22"/>
    <w:rsid w:val="008E5012"/>
    <w:rsid w:val="008E527F"/>
    <w:rsid w:val="008E52FD"/>
    <w:rsid w:val="008E5B64"/>
    <w:rsid w:val="008E5D03"/>
    <w:rsid w:val="008E5E59"/>
    <w:rsid w:val="008E5F71"/>
    <w:rsid w:val="008E6525"/>
    <w:rsid w:val="008E6A9A"/>
    <w:rsid w:val="008E6D97"/>
    <w:rsid w:val="008E72B6"/>
    <w:rsid w:val="008E7668"/>
    <w:rsid w:val="008E7E70"/>
    <w:rsid w:val="008F000C"/>
    <w:rsid w:val="008F05E2"/>
    <w:rsid w:val="008F07F5"/>
    <w:rsid w:val="008F085C"/>
    <w:rsid w:val="008F12D8"/>
    <w:rsid w:val="008F13F1"/>
    <w:rsid w:val="008F25C2"/>
    <w:rsid w:val="008F26C8"/>
    <w:rsid w:val="008F28CF"/>
    <w:rsid w:val="008F3187"/>
    <w:rsid w:val="008F3653"/>
    <w:rsid w:val="008F3841"/>
    <w:rsid w:val="008F3999"/>
    <w:rsid w:val="008F3B69"/>
    <w:rsid w:val="008F406D"/>
    <w:rsid w:val="008F41F7"/>
    <w:rsid w:val="008F453A"/>
    <w:rsid w:val="008F486D"/>
    <w:rsid w:val="008F48FC"/>
    <w:rsid w:val="008F4F60"/>
    <w:rsid w:val="008F51EF"/>
    <w:rsid w:val="008F53E4"/>
    <w:rsid w:val="008F5901"/>
    <w:rsid w:val="008F5C8A"/>
    <w:rsid w:val="008F68B2"/>
    <w:rsid w:val="008F6B68"/>
    <w:rsid w:val="008F744C"/>
    <w:rsid w:val="008F7625"/>
    <w:rsid w:val="00900042"/>
    <w:rsid w:val="009001DF"/>
    <w:rsid w:val="0090024F"/>
    <w:rsid w:val="009002D2"/>
    <w:rsid w:val="00900FCF"/>
    <w:rsid w:val="00901902"/>
    <w:rsid w:val="009019AA"/>
    <w:rsid w:val="00901AC2"/>
    <w:rsid w:val="00901D3C"/>
    <w:rsid w:val="00901E44"/>
    <w:rsid w:val="009020B9"/>
    <w:rsid w:val="009020F5"/>
    <w:rsid w:val="009022D0"/>
    <w:rsid w:val="00902833"/>
    <w:rsid w:val="00903121"/>
    <w:rsid w:val="009032A2"/>
    <w:rsid w:val="009039FA"/>
    <w:rsid w:val="00903F54"/>
    <w:rsid w:val="00904556"/>
    <w:rsid w:val="00904564"/>
    <w:rsid w:val="00904885"/>
    <w:rsid w:val="00904A60"/>
    <w:rsid w:val="00904B9A"/>
    <w:rsid w:val="009050CE"/>
    <w:rsid w:val="00905A07"/>
    <w:rsid w:val="00905A7E"/>
    <w:rsid w:val="00905EBD"/>
    <w:rsid w:val="0090609A"/>
    <w:rsid w:val="00906113"/>
    <w:rsid w:val="00906749"/>
    <w:rsid w:val="00906C67"/>
    <w:rsid w:val="009070A6"/>
    <w:rsid w:val="009077E5"/>
    <w:rsid w:val="0090791C"/>
    <w:rsid w:val="00907AD1"/>
    <w:rsid w:val="009100CD"/>
    <w:rsid w:val="0091036A"/>
    <w:rsid w:val="00910498"/>
    <w:rsid w:val="009107B0"/>
    <w:rsid w:val="0091081B"/>
    <w:rsid w:val="00910860"/>
    <w:rsid w:val="00910C10"/>
    <w:rsid w:val="00910F0A"/>
    <w:rsid w:val="00911523"/>
    <w:rsid w:val="00911ADD"/>
    <w:rsid w:val="00911D27"/>
    <w:rsid w:val="00911E8C"/>
    <w:rsid w:val="0091218A"/>
    <w:rsid w:val="009126C8"/>
    <w:rsid w:val="00912701"/>
    <w:rsid w:val="00912B74"/>
    <w:rsid w:val="00912B86"/>
    <w:rsid w:val="00912C9E"/>
    <w:rsid w:val="00913081"/>
    <w:rsid w:val="009133E4"/>
    <w:rsid w:val="00913C13"/>
    <w:rsid w:val="00913DF4"/>
    <w:rsid w:val="00914197"/>
    <w:rsid w:val="0091452D"/>
    <w:rsid w:val="00914866"/>
    <w:rsid w:val="00914B20"/>
    <w:rsid w:val="00914DC5"/>
    <w:rsid w:val="00914E29"/>
    <w:rsid w:val="00914FC1"/>
    <w:rsid w:val="00915408"/>
    <w:rsid w:val="009154B0"/>
    <w:rsid w:val="00915B30"/>
    <w:rsid w:val="00915E0E"/>
    <w:rsid w:val="00915F88"/>
    <w:rsid w:val="0091634E"/>
    <w:rsid w:val="00916886"/>
    <w:rsid w:val="00916B03"/>
    <w:rsid w:val="00916C30"/>
    <w:rsid w:val="00916F2E"/>
    <w:rsid w:val="009170CE"/>
    <w:rsid w:val="0091712F"/>
    <w:rsid w:val="00917437"/>
    <w:rsid w:val="00917AA5"/>
    <w:rsid w:val="00917DB1"/>
    <w:rsid w:val="00920004"/>
    <w:rsid w:val="0092014C"/>
    <w:rsid w:val="00920AF7"/>
    <w:rsid w:val="00920EC3"/>
    <w:rsid w:val="00921094"/>
    <w:rsid w:val="00921982"/>
    <w:rsid w:val="00921AF7"/>
    <w:rsid w:val="00922030"/>
    <w:rsid w:val="00922364"/>
    <w:rsid w:val="00922DE9"/>
    <w:rsid w:val="00922F37"/>
    <w:rsid w:val="00922FEA"/>
    <w:rsid w:val="00922FF2"/>
    <w:rsid w:val="00923090"/>
    <w:rsid w:val="0092319A"/>
    <w:rsid w:val="009237B8"/>
    <w:rsid w:val="00923CC1"/>
    <w:rsid w:val="00923D78"/>
    <w:rsid w:val="00923D8D"/>
    <w:rsid w:val="00923DE9"/>
    <w:rsid w:val="00923EEE"/>
    <w:rsid w:val="009243CE"/>
    <w:rsid w:val="009247AD"/>
    <w:rsid w:val="009248AD"/>
    <w:rsid w:val="00924907"/>
    <w:rsid w:val="009249CE"/>
    <w:rsid w:val="00924AB4"/>
    <w:rsid w:val="00924B9C"/>
    <w:rsid w:val="00924EA8"/>
    <w:rsid w:val="009250C0"/>
    <w:rsid w:val="0092511E"/>
    <w:rsid w:val="00925521"/>
    <w:rsid w:val="0092556E"/>
    <w:rsid w:val="009257CF"/>
    <w:rsid w:val="00925979"/>
    <w:rsid w:val="00925EDA"/>
    <w:rsid w:val="00925F87"/>
    <w:rsid w:val="00926139"/>
    <w:rsid w:val="00926213"/>
    <w:rsid w:val="00926521"/>
    <w:rsid w:val="00926AAC"/>
    <w:rsid w:val="00926B7F"/>
    <w:rsid w:val="00927595"/>
    <w:rsid w:val="00927695"/>
    <w:rsid w:val="00927B80"/>
    <w:rsid w:val="00927E16"/>
    <w:rsid w:val="00927F2F"/>
    <w:rsid w:val="0093029A"/>
    <w:rsid w:val="00930310"/>
    <w:rsid w:val="009303FB"/>
    <w:rsid w:val="00930419"/>
    <w:rsid w:val="009304C8"/>
    <w:rsid w:val="009308D6"/>
    <w:rsid w:val="00930B32"/>
    <w:rsid w:val="00930B57"/>
    <w:rsid w:val="00930BC0"/>
    <w:rsid w:val="00930F75"/>
    <w:rsid w:val="00931A1F"/>
    <w:rsid w:val="00931F77"/>
    <w:rsid w:val="00932205"/>
    <w:rsid w:val="00932883"/>
    <w:rsid w:val="00932B09"/>
    <w:rsid w:val="00932C9C"/>
    <w:rsid w:val="00932E44"/>
    <w:rsid w:val="00932FE7"/>
    <w:rsid w:val="0093356A"/>
    <w:rsid w:val="00933616"/>
    <w:rsid w:val="00933A7C"/>
    <w:rsid w:val="00933DD8"/>
    <w:rsid w:val="00934192"/>
    <w:rsid w:val="00934DE6"/>
    <w:rsid w:val="0093507A"/>
    <w:rsid w:val="009351A1"/>
    <w:rsid w:val="009355D6"/>
    <w:rsid w:val="009359E3"/>
    <w:rsid w:val="00935AA9"/>
    <w:rsid w:val="00936382"/>
    <w:rsid w:val="009363A2"/>
    <w:rsid w:val="0093662A"/>
    <w:rsid w:val="009368F2"/>
    <w:rsid w:val="00936A09"/>
    <w:rsid w:val="00936DAE"/>
    <w:rsid w:val="00937002"/>
    <w:rsid w:val="0093743D"/>
    <w:rsid w:val="00937B84"/>
    <w:rsid w:val="00937D55"/>
    <w:rsid w:val="00937EE0"/>
    <w:rsid w:val="00940833"/>
    <w:rsid w:val="009408FE"/>
    <w:rsid w:val="00940F01"/>
    <w:rsid w:val="0094102B"/>
    <w:rsid w:val="009415E8"/>
    <w:rsid w:val="00941639"/>
    <w:rsid w:val="00941690"/>
    <w:rsid w:val="0094246A"/>
    <w:rsid w:val="00942B1B"/>
    <w:rsid w:val="00942EAA"/>
    <w:rsid w:val="009435B0"/>
    <w:rsid w:val="009437FC"/>
    <w:rsid w:val="009439D9"/>
    <w:rsid w:val="00943E55"/>
    <w:rsid w:val="0094486D"/>
    <w:rsid w:val="00944DCC"/>
    <w:rsid w:val="00944F23"/>
    <w:rsid w:val="009450FE"/>
    <w:rsid w:val="00945157"/>
    <w:rsid w:val="00945485"/>
    <w:rsid w:val="00945C32"/>
    <w:rsid w:val="00945C8F"/>
    <w:rsid w:val="00946201"/>
    <w:rsid w:val="009466D3"/>
    <w:rsid w:val="00946990"/>
    <w:rsid w:val="00946D13"/>
    <w:rsid w:val="00946FAD"/>
    <w:rsid w:val="009477F5"/>
    <w:rsid w:val="0094787F"/>
    <w:rsid w:val="009506E2"/>
    <w:rsid w:val="00950821"/>
    <w:rsid w:val="00950860"/>
    <w:rsid w:val="009508AD"/>
    <w:rsid w:val="00950B2E"/>
    <w:rsid w:val="00950BBD"/>
    <w:rsid w:val="00951080"/>
    <w:rsid w:val="009511CE"/>
    <w:rsid w:val="00951270"/>
    <w:rsid w:val="009512B8"/>
    <w:rsid w:val="009516F6"/>
    <w:rsid w:val="00951AC0"/>
    <w:rsid w:val="00951D23"/>
    <w:rsid w:val="0095215B"/>
    <w:rsid w:val="00952429"/>
    <w:rsid w:val="00952536"/>
    <w:rsid w:val="00952B14"/>
    <w:rsid w:val="00952EAD"/>
    <w:rsid w:val="009530E5"/>
    <w:rsid w:val="009531B5"/>
    <w:rsid w:val="0095328E"/>
    <w:rsid w:val="009536FC"/>
    <w:rsid w:val="00953825"/>
    <w:rsid w:val="00953A10"/>
    <w:rsid w:val="00953D0F"/>
    <w:rsid w:val="0095426A"/>
    <w:rsid w:val="00954ABC"/>
    <w:rsid w:val="00954BD6"/>
    <w:rsid w:val="00954CEC"/>
    <w:rsid w:val="00954D87"/>
    <w:rsid w:val="00955CBA"/>
    <w:rsid w:val="00955D65"/>
    <w:rsid w:val="00956430"/>
    <w:rsid w:val="00956490"/>
    <w:rsid w:val="009564C9"/>
    <w:rsid w:val="00956787"/>
    <w:rsid w:val="00956FFE"/>
    <w:rsid w:val="0095773C"/>
    <w:rsid w:val="00957C1B"/>
    <w:rsid w:val="00957DE1"/>
    <w:rsid w:val="00957E8B"/>
    <w:rsid w:val="00957EBF"/>
    <w:rsid w:val="009604C4"/>
    <w:rsid w:val="009606D0"/>
    <w:rsid w:val="00960B00"/>
    <w:rsid w:val="00960F53"/>
    <w:rsid w:val="00960F91"/>
    <w:rsid w:val="009613A2"/>
    <w:rsid w:val="0096141C"/>
    <w:rsid w:val="00961662"/>
    <w:rsid w:val="00961B04"/>
    <w:rsid w:val="00961DE1"/>
    <w:rsid w:val="009621A2"/>
    <w:rsid w:val="009622E6"/>
    <w:rsid w:val="00962644"/>
    <w:rsid w:val="0096284E"/>
    <w:rsid w:val="00962B76"/>
    <w:rsid w:val="00962E14"/>
    <w:rsid w:val="00962EC1"/>
    <w:rsid w:val="00963569"/>
    <w:rsid w:val="00963D9E"/>
    <w:rsid w:val="00964089"/>
    <w:rsid w:val="0096410E"/>
    <w:rsid w:val="009645AC"/>
    <w:rsid w:val="00964835"/>
    <w:rsid w:val="00964A1F"/>
    <w:rsid w:val="00964A2C"/>
    <w:rsid w:val="00964ABF"/>
    <w:rsid w:val="00964AD7"/>
    <w:rsid w:val="00965485"/>
    <w:rsid w:val="0096567C"/>
    <w:rsid w:val="00965719"/>
    <w:rsid w:val="00965B0F"/>
    <w:rsid w:val="00965B4F"/>
    <w:rsid w:val="00965BEA"/>
    <w:rsid w:val="0096602B"/>
    <w:rsid w:val="0096632F"/>
    <w:rsid w:val="00966805"/>
    <w:rsid w:val="00966829"/>
    <w:rsid w:val="00966CDD"/>
    <w:rsid w:val="00966D0D"/>
    <w:rsid w:val="00966D2A"/>
    <w:rsid w:val="00966E54"/>
    <w:rsid w:val="00966F4D"/>
    <w:rsid w:val="009670AF"/>
    <w:rsid w:val="00967A79"/>
    <w:rsid w:val="00967B9C"/>
    <w:rsid w:val="009700BA"/>
    <w:rsid w:val="009700C9"/>
    <w:rsid w:val="00970775"/>
    <w:rsid w:val="00970BD9"/>
    <w:rsid w:val="00970E26"/>
    <w:rsid w:val="00970EA4"/>
    <w:rsid w:val="00970FBB"/>
    <w:rsid w:val="00971764"/>
    <w:rsid w:val="00971977"/>
    <w:rsid w:val="00971B9B"/>
    <w:rsid w:val="00971DF9"/>
    <w:rsid w:val="009720BD"/>
    <w:rsid w:val="009720E3"/>
    <w:rsid w:val="009725F7"/>
    <w:rsid w:val="009727DC"/>
    <w:rsid w:val="00972CB8"/>
    <w:rsid w:val="009737F5"/>
    <w:rsid w:val="00973F66"/>
    <w:rsid w:val="009741D8"/>
    <w:rsid w:val="009742F3"/>
    <w:rsid w:val="0097466B"/>
    <w:rsid w:val="00975838"/>
    <w:rsid w:val="00975A3C"/>
    <w:rsid w:val="00975F13"/>
    <w:rsid w:val="00975F49"/>
    <w:rsid w:val="0097696C"/>
    <w:rsid w:val="00977014"/>
    <w:rsid w:val="009772C8"/>
    <w:rsid w:val="009775F3"/>
    <w:rsid w:val="00977789"/>
    <w:rsid w:val="00977993"/>
    <w:rsid w:val="00977FA5"/>
    <w:rsid w:val="00980138"/>
    <w:rsid w:val="00980351"/>
    <w:rsid w:val="009805A7"/>
    <w:rsid w:val="009806CA"/>
    <w:rsid w:val="00980C81"/>
    <w:rsid w:val="00980F0D"/>
    <w:rsid w:val="009811F6"/>
    <w:rsid w:val="0098158D"/>
    <w:rsid w:val="00981619"/>
    <w:rsid w:val="009819D9"/>
    <w:rsid w:val="00981CAE"/>
    <w:rsid w:val="00981FA8"/>
    <w:rsid w:val="00982088"/>
    <w:rsid w:val="009820A4"/>
    <w:rsid w:val="00982125"/>
    <w:rsid w:val="00982362"/>
    <w:rsid w:val="0098240E"/>
    <w:rsid w:val="00982880"/>
    <w:rsid w:val="00982B97"/>
    <w:rsid w:val="00983235"/>
    <w:rsid w:val="0098355D"/>
    <w:rsid w:val="00983AB5"/>
    <w:rsid w:val="00983DCF"/>
    <w:rsid w:val="00984069"/>
    <w:rsid w:val="00984453"/>
    <w:rsid w:val="009845C8"/>
    <w:rsid w:val="00984682"/>
    <w:rsid w:val="009847AA"/>
    <w:rsid w:val="00984A6C"/>
    <w:rsid w:val="00984D4C"/>
    <w:rsid w:val="009850A0"/>
    <w:rsid w:val="009852F3"/>
    <w:rsid w:val="00985496"/>
    <w:rsid w:val="009857EF"/>
    <w:rsid w:val="00985AC6"/>
    <w:rsid w:val="00985D98"/>
    <w:rsid w:val="00985F60"/>
    <w:rsid w:val="00985FC0"/>
    <w:rsid w:val="00986069"/>
    <w:rsid w:val="0098611D"/>
    <w:rsid w:val="0098615B"/>
    <w:rsid w:val="009862FF"/>
    <w:rsid w:val="009864AE"/>
    <w:rsid w:val="00987365"/>
    <w:rsid w:val="0098749D"/>
    <w:rsid w:val="0098758E"/>
    <w:rsid w:val="0098777E"/>
    <w:rsid w:val="00987A14"/>
    <w:rsid w:val="009908F4"/>
    <w:rsid w:val="00990BB5"/>
    <w:rsid w:val="00990DDE"/>
    <w:rsid w:val="00991222"/>
    <w:rsid w:val="0099158E"/>
    <w:rsid w:val="009915C7"/>
    <w:rsid w:val="00991B1A"/>
    <w:rsid w:val="00991D22"/>
    <w:rsid w:val="00991F38"/>
    <w:rsid w:val="00992041"/>
    <w:rsid w:val="00992179"/>
    <w:rsid w:val="009921CA"/>
    <w:rsid w:val="00992802"/>
    <w:rsid w:val="009928C6"/>
    <w:rsid w:val="0099298A"/>
    <w:rsid w:val="00992EE8"/>
    <w:rsid w:val="00992F93"/>
    <w:rsid w:val="0099308D"/>
    <w:rsid w:val="00993363"/>
    <w:rsid w:val="0099374D"/>
    <w:rsid w:val="00993765"/>
    <w:rsid w:val="00993B80"/>
    <w:rsid w:val="00993BD5"/>
    <w:rsid w:val="00993C25"/>
    <w:rsid w:val="00993EEA"/>
    <w:rsid w:val="00993FBA"/>
    <w:rsid w:val="0099409E"/>
    <w:rsid w:val="00994274"/>
    <w:rsid w:val="00994305"/>
    <w:rsid w:val="00994790"/>
    <w:rsid w:val="0099479A"/>
    <w:rsid w:val="009948F1"/>
    <w:rsid w:val="00994F80"/>
    <w:rsid w:val="009954E6"/>
    <w:rsid w:val="0099575D"/>
    <w:rsid w:val="00995A25"/>
    <w:rsid w:val="00995F1F"/>
    <w:rsid w:val="00996190"/>
    <w:rsid w:val="00996250"/>
    <w:rsid w:val="00996749"/>
    <w:rsid w:val="00996B53"/>
    <w:rsid w:val="00996C47"/>
    <w:rsid w:val="009973D3"/>
    <w:rsid w:val="00997417"/>
    <w:rsid w:val="009975F5"/>
    <w:rsid w:val="00997FC7"/>
    <w:rsid w:val="009A06B1"/>
    <w:rsid w:val="009A0B64"/>
    <w:rsid w:val="009A0B85"/>
    <w:rsid w:val="009A0BDC"/>
    <w:rsid w:val="009A0C14"/>
    <w:rsid w:val="009A0C67"/>
    <w:rsid w:val="009A12DA"/>
    <w:rsid w:val="009A1563"/>
    <w:rsid w:val="009A15AC"/>
    <w:rsid w:val="009A1775"/>
    <w:rsid w:val="009A1E4F"/>
    <w:rsid w:val="009A1FD3"/>
    <w:rsid w:val="009A21E2"/>
    <w:rsid w:val="009A21E3"/>
    <w:rsid w:val="009A268F"/>
    <w:rsid w:val="009A2D03"/>
    <w:rsid w:val="009A34E1"/>
    <w:rsid w:val="009A374F"/>
    <w:rsid w:val="009A3790"/>
    <w:rsid w:val="009A39DC"/>
    <w:rsid w:val="009A3F27"/>
    <w:rsid w:val="009A3F62"/>
    <w:rsid w:val="009A3FC9"/>
    <w:rsid w:val="009A43FC"/>
    <w:rsid w:val="009A4EE2"/>
    <w:rsid w:val="009A52B5"/>
    <w:rsid w:val="009A531C"/>
    <w:rsid w:val="009A5753"/>
    <w:rsid w:val="009A57EB"/>
    <w:rsid w:val="009A5F0F"/>
    <w:rsid w:val="009A6437"/>
    <w:rsid w:val="009A6465"/>
    <w:rsid w:val="009A65B0"/>
    <w:rsid w:val="009A6612"/>
    <w:rsid w:val="009A67A3"/>
    <w:rsid w:val="009A68C8"/>
    <w:rsid w:val="009A699B"/>
    <w:rsid w:val="009A6CA4"/>
    <w:rsid w:val="009A7168"/>
    <w:rsid w:val="009A71BC"/>
    <w:rsid w:val="009A72A3"/>
    <w:rsid w:val="009A76C6"/>
    <w:rsid w:val="009A7704"/>
    <w:rsid w:val="009A7BA5"/>
    <w:rsid w:val="009B0C1C"/>
    <w:rsid w:val="009B0F09"/>
    <w:rsid w:val="009B103D"/>
    <w:rsid w:val="009B1313"/>
    <w:rsid w:val="009B180C"/>
    <w:rsid w:val="009B1FED"/>
    <w:rsid w:val="009B2036"/>
    <w:rsid w:val="009B2616"/>
    <w:rsid w:val="009B278D"/>
    <w:rsid w:val="009B28FA"/>
    <w:rsid w:val="009B310B"/>
    <w:rsid w:val="009B3170"/>
    <w:rsid w:val="009B3624"/>
    <w:rsid w:val="009B367A"/>
    <w:rsid w:val="009B3960"/>
    <w:rsid w:val="009B3B43"/>
    <w:rsid w:val="009B3C41"/>
    <w:rsid w:val="009B3EBA"/>
    <w:rsid w:val="009B3EFA"/>
    <w:rsid w:val="009B3FD0"/>
    <w:rsid w:val="009B419F"/>
    <w:rsid w:val="009B42F4"/>
    <w:rsid w:val="009B43A5"/>
    <w:rsid w:val="009B4666"/>
    <w:rsid w:val="009B49EE"/>
    <w:rsid w:val="009B4A9B"/>
    <w:rsid w:val="009B585F"/>
    <w:rsid w:val="009B5881"/>
    <w:rsid w:val="009B5CA2"/>
    <w:rsid w:val="009B636B"/>
    <w:rsid w:val="009B650E"/>
    <w:rsid w:val="009B68B2"/>
    <w:rsid w:val="009B6DDA"/>
    <w:rsid w:val="009B6EBC"/>
    <w:rsid w:val="009B6ED2"/>
    <w:rsid w:val="009B710E"/>
    <w:rsid w:val="009B76F7"/>
    <w:rsid w:val="009B7A84"/>
    <w:rsid w:val="009B7A96"/>
    <w:rsid w:val="009B7C85"/>
    <w:rsid w:val="009B7E02"/>
    <w:rsid w:val="009B7E22"/>
    <w:rsid w:val="009B7F22"/>
    <w:rsid w:val="009B7FD9"/>
    <w:rsid w:val="009C04E9"/>
    <w:rsid w:val="009C063C"/>
    <w:rsid w:val="009C08B7"/>
    <w:rsid w:val="009C08FF"/>
    <w:rsid w:val="009C098E"/>
    <w:rsid w:val="009C09B8"/>
    <w:rsid w:val="009C0B9A"/>
    <w:rsid w:val="009C0D95"/>
    <w:rsid w:val="009C17C5"/>
    <w:rsid w:val="009C17E2"/>
    <w:rsid w:val="009C181F"/>
    <w:rsid w:val="009C1861"/>
    <w:rsid w:val="009C19E3"/>
    <w:rsid w:val="009C1AD6"/>
    <w:rsid w:val="009C2111"/>
    <w:rsid w:val="009C215A"/>
    <w:rsid w:val="009C2214"/>
    <w:rsid w:val="009C239A"/>
    <w:rsid w:val="009C26C1"/>
    <w:rsid w:val="009C29F9"/>
    <w:rsid w:val="009C2B61"/>
    <w:rsid w:val="009C2B9D"/>
    <w:rsid w:val="009C3130"/>
    <w:rsid w:val="009C33D3"/>
    <w:rsid w:val="009C34BB"/>
    <w:rsid w:val="009C359B"/>
    <w:rsid w:val="009C3668"/>
    <w:rsid w:val="009C36AB"/>
    <w:rsid w:val="009C387F"/>
    <w:rsid w:val="009C39E6"/>
    <w:rsid w:val="009C404D"/>
    <w:rsid w:val="009C42D6"/>
    <w:rsid w:val="009C4A1B"/>
    <w:rsid w:val="009C4AE7"/>
    <w:rsid w:val="009C4CDB"/>
    <w:rsid w:val="009C4DC8"/>
    <w:rsid w:val="009C4ECF"/>
    <w:rsid w:val="009C5063"/>
    <w:rsid w:val="009C533A"/>
    <w:rsid w:val="009C535C"/>
    <w:rsid w:val="009C53E7"/>
    <w:rsid w:val="009C56D0"/>
    <w:rsid w:val="009C610F"/>
    <w:rsid w:val="009C659F"/>
    <w:rsid w:val="009C65A2"/>
    <w:rsid w:val="009C674A"/>
    <w:rsid w:val="009C68A6"/>
    <w:rsid w:val="009C6DB8"/>
    <w:rsid w:val="009C6EA2"/>
    <w:rsid w:val="009C7217"/>
    <w:rsid w:val="009C77BF"/>
    <w:rsid w:val="009C7C37"/>
    <w:rsid w:val="009C7D36"/>
    <w:rsid w:val="009D0196"/>
    <w:rsid w:val="009D0533"/>
    <w:rsid w:val="009D07E1"/>
    <w:rsid w:val="009D0DB2"/>
    <w:rsid w:val="009D0FD1"/>
    <w:rsid w:val="009D1077"/>
    <w:rsid w:val="009D11E4"/>
    <w:rsid w:val="009D1954"/>
    <w:rsid w:val="009D1A36"/>
    <w:rsid w:val="009D1AA9"/>
    <w:rsid w:val="009D1F49"/>
    <w:rsid w:val="009D2210"/>
    <w:rsid w:val="009D23A2"/>
    <w:rsid w:val="009D262A"/>
    <w:rsid w:val="009D29B6"/>
    <w:rsid w:val="009D2B03"/>
    <w:rsid w:val="009D2C84"/>
    <w:rsid w:val="009D2F81"/>
    <w:rsid w:val="009D3FAA"/>
    <w:rsid w:val="009D4309"/>
    <w:rsid w:val="009D458B"/>
    <w:rsid w:val="009D4C9F"/>
    <w:rsid w:val="009D4D90"/>
    <w:rsid w:val="009D4F93"/>
    <w:rsid w:val="009D5081"/>
    <w:rsid w:val="009D511F"/>
    <w:rsid w:val="009D53F2"/>
    <w:rsid w:val="009D542A"/>
    <w:rsid w:val="009D5747"/>
    <w:rsid w:val="009D5F65"/>
    <w:rsid w:val="009D6576"/>
    <w:rsid w:val="009D65A0"/>
    <w:rsid w:val="009D65C9"/>
    <w:rsid w:val="009D6A08"/>
    <w:rsid w:val="009D6AC0"/>
    <w:rsid w:val="009D6C7C"/>
    <w:rsid w:val="009D6D69"/>
    <w:rsid w:val="009D7226"/>
    <w:rsid w:val="009D73E3"/>
    <w:rsid w:val="009D79CE"/>
    <w:rsid w:val="009D7A5B"/>
    <w:rsid w:val="009D7C94"/>
    <w:rsid w:val="009D7DCA"/>
    <w:rsid w:val="009D7E2C"/>
    <w:rsid w:val="009E00F5"/>
    <w:rsid w:val="009E05A1"/>
    <w:rsid w:val="009E0E64"/>
    <w:rsid w:val="009E10F8"/>
    <w:rsid w:val="009E1113"/>
    <w:rsid w:val="009E1251"/>
    <w:rsid w:val="009E13C4"/>
    <w:rsid w:val="009E15BA"/>
    <w:rsid w:val="009E17D9"/>
    <w:rsid w:val="009E1A69"/>
    <w:rsid w:val="009E1B6C"/>
    <w:rsid w:val="009E25D4"/>
    <w:rsid w:val="009E2BD5"/>
    <w:rsid w:val="009E3284"/>
    <w:rsid w:val="009E3321"/>
    <w:rsid w:val="009E33BA"/>
    <w:rsid w:val="009E33D7"/>
    <w:rsid w:val="009E3CEB"/>
    <w:rsid w:val="009E425A"/>
    <w:rsid w:val="009E4631"/>
    <w:rsid w:val="009E47FF"/>
    <w:rsid w:val="009E4E20"/>
    <w:rsid w:val="009E505F"/>
    <w:rsid w:val="009E58B3"/>
    <w:rsid w:val="009E5E77"/>
    <w:rsid w:val="009E5F03"/>
    <w:rsid w:val="009E5F12"/>
    <w:rsid w:val="009E6094"/>
    <w:rsid w:val="009E610F"/>
    <w:rsid w:val="009E6154"/>
    <w:rsid w:val="009E61EB"/>
    <w:rsid w:val="009E63D7"/>
    <w:rsid w:val="009E6753"/>
    <w:rsid w:val="009E688A"/>
    <w:rsid w:val="009E692D"/>
    <w:rsid w:val="009E69A7"/>
    <w:rsid w:val="009E69BE"/>
    <w:rsid w:val="009E6DDC"/>
    <w:rsid w:val="009E6EA8"/>
    <w:rsid w:val="009E6F5F"/>
    <w:rsid w:val="009E72CB"/>
    <w:rsid w:val="009E73F1"/>
    <w:rsid w:val="009E73F9"/>
    <w:rsid w:val="009E7B4D"/>
    <w:rsid w:val="009F09D7"/>
    <w:rsid w:val="009F0C2B"/>
    <w:rsid w:val="009F12F9"/>
    <w:rsid w:val="009F13CA"/>
    <w:rsid w:val="009F1C7E"/>
    <w:rsid w:val="009F2029"/>
    <w:rsid w:val="009F22CF"/>
    <w:rsid w:val="009F28F9"/>
    <w:rsid w:val="009F3212"/>
    <w:rsid w:val="009F3357"/>
    <w:rsid w:val="009F3547"/>
    <w:rsid w:val="009F357E"/>
    <w:rsid w:val="009F359E"/>
    <w:rsid w:val="009F364B"/>
    <w:rsid w:val="009F384E"/>
    <w:rsid w:val="009F3959"/>
    <w:rsid w:val="009F39FC"/>
    <w:rsid w:val="009F456B"/>
    <w:rsid w:val="009F4965"/>
    <w:rsid w:val="009F4F9B"/>
    <w:rsid w:val="009F5237"/>
    <w:rsid w:val="009F56AB"/>
    <w:rsid w:val="009F57AF"/>
    <w:rsid w:val="009F58DF"/>
    <w:rsid w:val="009F5D02"/>
    <w:rsid w:val="009F5D5D"/>
    <w:rsid w:val="009F5FCC"/>
    <w:rsid w:val="009F6117"/>
    <w:rsid w:val="009F620F"/>
    <w:rsid w:val="009F6229"/>
    <w:rsid w:val="009F622D"/>
    <w:rsid w:val="009F6536"/>
    <w:rsid w:val="009F65D3"/>
    <w:rsid w:val="009F66E8"/>
    <w:rsid w:val="009F682D"/>
    <w:rsid w:val="009F68F0"/>
    <w:rsid w:val="009F6A1B"/>
    <w:rsid w:val="009F6B91"/>
    <w:rsid w:val="009F6E86"/>
    <w:rsid w:val="009F7293"/>
    <w:rsid w:val="009F73C1"/>
    <w:rsid w:val="009F7437"/>
    <w:rsid w:val="009F7463"/>
    <w:rsid w:val="009F7512"/>
    <w:rsid w:val="009F7857"/>
    <w:rsid w:val="009F7873"/>
    <w:rsid w:val="009F7C55"/>
    <w:rsid w:val="009F7CEB"/>
    <w:rsid w:val="00A007EF"/>
    <w:rsid w:val="00A008B2"/>
    <w:rsid w:val="00A00E9C"/>
    <w:rsid w:val="00A00FFC"/>
    <w:rsid w:val="00A01009"/>
    <w:rsid w:val="00A0182E"/>
    <w:rsid w:val="00A018E6"/>
    <w:rsid w:val="00A01900"/>
    <w:rsid w:val="00A0199B"/>
    <w:rsid w:val="00A01AE7"/>
    <w:rsid w:val="00A02024"/>
    <w:rsid w:val="00A0222B"/>
    <w:rsid w:val="00A02293"/>
    <w:rsid w:val="00A0309B"/>
    <w:rsid w:val="00A0328E"/>
    <w:rsid w:val="00A0391E"/>
    <w:rsid w:val="00A03B18"/>
    <w:rsid w:val="00A03B4E"/>
    <w:rsid w:val="00A03B7C"/>
    <w:rsid w:val="00A03C6B"/>
    <w:rsid w:val="00A03C71"/>
    <w:rsid w:val="00A03DFB"/>
    <w:rsid w:val="00A04005"/>
    <w:rsid w:val="00A04ADC"/>
    <w:rsid w:val="00A04C02"/>
    <w:rsid w:val="00A04F2A"/>
    <w:rsid w:val="00A05612"/>
    <w:rsid w:val="00A05D6B"/>
    <w:rsid w:val="00A05DBE"/>
    <w:rsid w:val="00A062EA"/>
    <w:rsid w:val="00A063E7"/>
    <w:rsid w:val="00A06ABB"/>
    <w:rsid w:val="00A06AD0"/>
    <w:rsid w:val="00A06C25"/>
    <w:rsid w:val="00A07088"/>
    <w:rsid w:val="00A0751F"/>
    <w:rsid w:val="00A075DE"/>
    <w:rsid w:val="00A076CB"/>
    <w:rsid w:val="00A077BA"/>
    <w:rsid w:val="00A07AF7"/>
    <w:rsid w:val="00A07B61"/>
    <w:rsid w:val="00A10225"/>
    <w:rsid w:val="00A10FDB"/>
    <w:rsid w:val="00A11199"/>
    <w:rsid w:val="00A1156A"/>
    <w:rsid w:val="00A11AD2"/>
    <w:rsid w:val="00A11F58"/>
    <w:rsid w:val="00A12016"/>
    <w:rsid w:val="00A122AA"/>
    <w:rsid w:val="00A1242F"/>
    <w:rsid w:val="00A12C70"/>
    <w:rsid w:val="00A12CE4"/>
    <w:rsid w:val="00A130B5"/>
    <w:rsid w:val="00A1328C"/>
    <w:rsid w:val="00A13377"/>
    <w:rsid w:val="00A135B0"/>
    <w:rsid w:val="00A13671"/>
    <w:rsid w:val="00A137D9"/>
    <w:rsid w:val="00A13B68"/>
    <w:rsid w:val="00A13B9A"/>
    <w:rsid w:val="00A13D96"/>
    <w:rsid w:val="00A1400A"/>
    <w:rsid w:val="00A141FA"/>
    <w:rsid w:val="00A14401"/>
    <w:rsid w:val="00A146D1"/>
    <w:rsid w:val="00A14E04"/>
    <w:rsid w:val="00A15012"/>
    <w:rsid w:val="00A1506E"/>
    <w:rsid w:val="00A150E9"/>
    <w:rsid w:val="00A1514F"/>
    <w:rsid w:val="00A152D9"/>
    <w:rsid w:val="00A15539"/>
    <w:rsid w:val="00A15544"/>
    <w:rsid w:val="00A1556E"/>
    <w:rsid w:val="00A15D96"/>
    <w:rsid w:val="00A15F63"/>
    <w:rsid w:val="00A162F2"/>
    <w:rsid w:val="00A16D1B"/>
    <w:rsid w:val="00A17182"/>
    <w:rsid w:val="00A17435"/>
    <w:rsid w:val="00A17883"/>
    <w:rsid w:val="00A179E2"/>
    <w:rsid w:val="00A17F0F"/>
    <w:rsid w:val="00A200E6"/>
    <w:rsid w:val="00A20330"/>
    <w:rsid w:val="00A203D2"/>
    <w:rsid w:val="00A205F5"/>
    <w:rsid w:val="00A20838"/>
    <w:rsid w:val="00A20857"/>
    <w:rsid w:val="00A20F23"/>
    <w:rsid w:val="00A215A1"/>
    <w:rsid w:val="00A217AB"/>
    <w:rsid w:val="00A21B72"/>
    <w:rsid w:val="00A21B97"/>
    <w:rsid w:val="00A21BAC"/>
    <w:rsid w:val="00A21BDF"/>
    <w:rsid w:val="00A221B4"/>
    <w:rsid w:val="00A22297"/>
    <w:rsid w:val="00A2235E"/>
    <w:rsid w:val="00A2275D"/>
    <w:rsid w:val="00A228E9"/>
    <w:rsid w:val="00A22A09"/>
    <w:rsid w:val="00A22EC6"/>
    <w:rsid w:val="00A23559"/>
    <w:rsid w:val="00A23B9D"/>
    <w:rsid w:val="00A23C96"/>
    <w:rsid w:val="00A23E9B"/>
    <w:rsid w:val="00A24133"/>
    <w:rsid w:val="00A245F3"/>
    <w:rsid w:val="00A24784"/>
    <w:rsid w:val="00A24F53"/>
    <w:rsid w:val="00A24F6F"/>
    <w:rsid w:val="00A2514B"/>
    <w:rsid w:val="00A25189"/>
    <w:rsid w:val="00A255A1"/>
    <w:rsid w:val="00A25694"/>
    <w:rsid w:val="00A25ABE"/>
    <w:rsid w:val="00A25D55"/>
    <w:rsid w:val="00A25E34"/>
    <w:rsid w:val="00A2611F"/>
    <w:rsid w:val="00A261D2"/>
    <w:rsid w:val="00A26418"/>
    <w:rsid w:val="00A2645A"/>
    <w:rsid w:val="00A26C72"/>
    <w:rsid w:val="00A26CA1"/>
    <w:rsid w:val="00A26CE0"/>
    <w:rsid w:val="00A26D57"/>
    <w:rsid w:val="00A26E88"/>
    <w:rsid w:val="00A270F9"/>
    <w:rsid w:val="00A2716C"/>
    <w:rsid w:val="00A27384"/>
    <w:rsid w:val="00A274B1"/>
    <w:rsid w:val="00A274F4"/>
    <w:rsid w:val="00A275FF"/>
    <w:rsid w:val="00A27656"/>
    <w:rsid w:val="00A27876"/>
    <w:rsid w:val="00A278C2"/>
    <w:rsid w:val="00A278ED"/>
    <w:rsid w:val="00A30214"/>
    <w:rsid w:val="00A306A3"/>
    <w:rsid w:val="00A308F7"/>
    <w:rsid w:val="00A30A4C"/>
    <w:rsid w:val="00A30B15"/>
    <w:rsid w:val="00A30CDE"/>
    <w:rsid w:val="00A30F44"/>
    <w:rsid w:val="00A31230"/>
    <w:rsid w:val="00A313C7"/>
    <w:rsid w:val="00A3147D"/>
    <w:rsid w:val="00A316C7"/>
    <w:rsid w:val="00A31722"/>
    <w:rsid w:val="00A318CD"/>
    <w:rsid w:val="00A31C08"/>
    <w:rsid w:val="00A323F8"/>
    <w:rsid w:val="00A324E6"/>
    <w:rsid w:val="00A3250C"/>
    <w:rsid w:val="00A32620"/>
    <w:rsid w:val="00A32800"/>
    <w:rsid w:val="00A32976"/>
    <w:rsid w:val="00A32C43"/>
    <w:rsid w:val="00A32F3F"/>
    <w:rsid w:val="00A33153"/>
    <w:rsid w:val="00A333F1"/>
    <w:rsid w:val="00A334DE"/>
    <w:rsid w:val="00A33C06"/>
    <w:rsid w:val="00A33E38"/>
    <w:rsid w:val="00A3497D"/>
    <w:rsid w:val="00A349A6"/>
    <w:rsid w:val="00A34A09"/>
    <w:rsid w:val="00A352D2"/>
    <w:rsid w:val="00A35408"/>
    <w:rsid w:val="00A3555C"/>
    <w:rsid w:val="00A356D0"/>
    <w:rsid w:val="00A359D7"/>
    <w:rsid w:val="00A36550"/>
    <w:rsid w:val="00A367F4"/>
    <w:rsid w:val="00A36A27"/>
    <w:rsid w:val="00A36E14"/>
    <w:rsid w:val="00A36EFB"/>
    <w:rsid w:val="00A36F86"/>
    <w:rsid w:val="00A37150"/>
    <w:rsid w:val="00A37205"/>
    <w:rsid w:val="00A37321"/>
    <w:rsid w:val="00A37EB8"/>
    <w:rsid w:val="00A40BC2"/>
    <w:rsid w:val="00A40BC5"/>
    <w:rsid w:val="00A40BEE"/>
    <w:rsid w:val="00A40CE5"/>
    <w:rsid w:val="00A4108A"/>
    <w:rsid w:val="00A410F6"/>
    <w:rsid w:val="00A41628"/>
    <w:rsid w:val="00A41808"/>
    <w:rsid w:val="00A41944"/>
    <w:rsid w:val="00A423D0"/>
    <w:rsid w:val="00A43532"/>
    <w:rsid w:val="00A43911"/>
    <w:rsid w:val="00A43C72"/>
    <w:rsid w:val="00A43D37"/>
    <w:rsid w:val="00A44220"/>
    <w:rsid w:val="00A44785"/>
    <w:rsid w:val="00A4486E"/>
    <w:rsid w:val="00A448FB"/>
    <w:rsid w:val="00A44AE3"/>
    <w:rsid w:val="00A44C61"/>
    <w:rsid w:val="00A44F3C"/>
    <w:rsid w:val="00A4541B"/>
    <w:rsid w:val="00A457FA"/>
    <w:rsid w:val="00A45E22"/>
    <w:rsid w:val="00A45E9B"/>
    <w:rsid w:val="00A462AA"/>
    <w:rsid w:val="00A466B4"/>
    <w:rsid w:val="00A470DE"/>
    <w:rsid w:val="00A47336"/>
    <w:rsid w:val="00A47B80"/>
    <w:rsid w:val="00A47EDC"/>
    <w:rsid w:val="00A47FD4"/>
    <w:rsid w:val="00A5023D"/>
    <w:rsid w:val="00A502FB"/>
    <w:rsid w:val="00A505E6"/>
    <w:rsid w:val="00A509A8"/>
    <w:rsid w:val="00A50B16"/>
    <w:rsid w:val="00A5107F"/>
    <w:rsid w:val="00A5122B"/>
    <w:rsid w:val="00A51251"/>
    <w:rsid w:val="00A5134B"/>
    <w:rsid w:val="00A513D2"/>
    <w:rsid w:val="00A514C5"/>
    <w:rsid w:val="00A515E5"/>
    <w:rsid w:val="00A51731"/>
    <w:rsid w:val="00A518D4"/>
    <w:rsid w:val="00A519AB"/>
    <w:rsid w:val="00A51CEB"/>
    <w:rsid w:val="00A521C4"/>
    <w:rsid w:val="00A5278C"/>
    <w:rsid w:val="00A52AC5"/>
    <w:rsid w:val="00A532F7"/>
    <w:rsid w:val="00A536A6"/>
    <w:rsid w:val="00A537C8"/>
    <w:rsid w:val="00A53A2A"/>
    <w:rsid w:val="00A53D09"/>
    <w:rsid w:val="00A5424A"/>
    <w:rsid w:val="00A542AC"/>
    <w:rsid w:val="00A54584"/>
    <w:rsid w:val="00A54745"/>
    <w:rsid w:val="00A547A7"/>
    <w:rsid w:val="00A549B1"/>
    <w:rsid w:val="00A54B98"/>
    <w:rsid w:val="00A55359"/>
    <w:rsid w:val="00A553B6"/>
    <w:rsid w:val="00A55655"/>
    <w:rsid w:val="00A556D4"/>
    <w:rsid w:val="00A5585F"/>
    <w:rsid w:val="00A5689F"/>
    <w:rsid w:val="00A5690B"/>
    <w:rsid w:val="00A56CE6"/>
    <w:rsid w:val="00A56DBB"/>
    <w:rsid w:val="00A56F9E"/>
    <w:rsid w:val="00A57043"/>
    <w:rsid w:val="00A571D0"/>
    <w:rsid w:val="00A57A51"/>
    <w:rsid w:val="00A57D8F"/>
    <w:rsid w:val="00A60085"/>
    <w:rsid w:val="00A60334"/>
    <w:rsid w:val="00A603D4"/>
    <w:rsid w:val="00A6047E"/>
    <w:rsid w:val="00A607E6"/>
    <w:rsid w:val="00A60BF3"/>
    <w:rsid w:val="00A60CD8"/>
    <w:rsid w:val="00A60D0E"/>
    <w:rsid w:val="00A60DCE"/>
    <w:rsid w:val="00A60E7A"/>
    <w:rsid w:val="00A60E81"/>
    <w:rsid w:val="00A612E0"/>
    <w:rsid w:val="00A61301"/>
    <w:rsid w:val="00A615DC"/>
    <w:rsid w:val="00A61C57"/>
    <w:rsid w:val="00A61D3A"/>
    <w:rsid w:val="00A61D3B"/>
    <w:rsid w:val="00A61F6B"/>
    <w:rsid w:val="00A6225C"/>
    <w:rsid w:val="00A623B3"/>
    <w:rsid w:val="00A6240E"/>
    <w:rsid w:val="00A62509"/>
    <w:rsid w:val="00A625DA"/>
    <w:rsid w:val="00A627D3"/>
    <w:rsid w:val="00A628F0"/>
    <w:rsid w:val="00A62E44"/>
    <w:rsid w:val="00A630C5"/>
    <w:rsid w:val="00A63157"/>
    <w:rsid w:val="00A63323"/>
    <w:rsid w:val="00A635D0"/>
    <w:rsid w:val="00A63748"/>
    <w:rsid w:val="00A63F11"/>
    <w:rsid w:val="00A63F61"/>
    <w:rsid w:val="00A646A5"/>
    <w:rsid w:val="00A646C5"/>
    <w:rsid w:val="00A6477A"/>
    <w:rsid w:val="00A64AC4"/>
    <w:rsid w:val="00A651E1"/>
    <w:rsid w:val="00A651F6"/>
    <w:rsid w:val="00A65514"/>
    <w:rsid w:val="00A6602B"/>
    <w:rsid w:val="00A6637E"/>
    <w:rsid w:val="00A663CF"/>
    <w:rsid w:val="00A6675F"/>
    <w:rsid w:val="00A66866"/>
    <w:rsid w:val="00A669A3"/>
    <w:rsid w:val="00A66E3F"/>
    <w:rsid w:val="00A66EF9"/>
    <w:rsid w:val="00A6710E"/>
    <w:rsid w:val="00A67147"/>
    <w:rsid w:val="00A6761C"/>
    <w:rsid w:val="00A67BD4"/>
    <w:rsid w:val="00A67F45"/>
    <w:rsid w:val="00A701AC"/>
    <w:rsid w:val="00A703E7"/>
    <w:rsid w:val="00A70689"/>
    <w:rsid w:val="00A70CA3"/>
    <w:rsid w:val="00A71362"/>
    <w:rsid w:val="00A7145C"/>
    <w:rsid w:val="00A717D3"/>
    <w:rsid w:val="00A71AED"/>
    <w:rsid w:val="00A721D9"/>
    <w:rsid w:val="00A722BF"/>
    <w:rsid w:val="00A7244B"/>
    <w:rsid w:val="00A72479"/>
    <w:rsid w:val="00A727FB"/>
    <w:rsid w:val="00A7289E"/>
    <w:rsid w:val="00A72FF7"/>
    <w:rsid w:val="00A73121"/>
    <w:rsid w:val="00A73245"/>
    <w:rsid w:val="00A734C6"/>
    <w:rsid w:val="00A73AAD"/>
    <w:rsid w:val="00A73CAB"/>
    <w:rsid w:val="00A73EBE"/>
    <w:rsid w:val="00A7403D"/>
    <w:rsid w:val="00A74528"/>
    <w:rsid w:val="00A74873"/>
    <w:rsid w:val="00A74A5B"/>
    <w:rsid w:val="00A74F51"/>
    <w:rsid w:val="00A75133"/>
    <w:rsid w:val="00A752D3"/>
    <w:rsid w:val="00A75482"/>
    <w:rsid w:val="00A7565B"/>
    <w:rsid w:val="00A758CC"/>
    <w:rsid w:val="00A75AFD"/>
    <w:rsid w:val="00A75E6B"/>
    <w:rsid w:val="00A761EB"/>
    <w:rsid w:val="00A76359"/>
    <w:rsid w:val="00A76806"/>
    <w:rsid w:val="00A769AA"/>
    <w:rsid w:val="00A769D2"/>
    <w:rsid w:val="00A76FAD"/>
    <w:rsid w:val="00A7737D"/>
    <w:rsid w:val="00A77677"/>
    <w:rsid w:val="00A77789"/>
    <w:rsid w:val="00A777D8"/>
    <w:rsid w:val="00A778CE"/>
    <w:rsid w:val="00A77B09"/>
    <w:rsid w:val="00A77C7A"/>
    <w:rsid w:val="00A77E7F"/>
    <w:rsid w:val="00A80298"/>
    <w:rsid w:val="00A802C4"/>
    <w:rsid w:val="00A80459"/>
    <w:rsid w:val="00A805CE"/>
    <w:rsid w:val="00A8075A"/>
    <w:rsid w:val="00A80A52"/>
    <w:rsid w:val="00A80AF5"/>
    <w:rsid w:val="00A80BE4"/>
    <w:rsid w:val="00A80CCA"/>
    <w:rsid w:val="00A81399"/>
    <w:rsid w:val="00A81507"/>
    <w:rsid w:val="00A815B4"/>
    <w:rsid w:val="00A8165A"/>
    <w:rsid w:val="00A81A0C"/>
    <w:rsid w:val="00A81A2F"/>
    <w:rsid w:val="00A81B09"/>
    <w:rsid w:val="00A81BEB"/>
    <w:rsid w:val="00A821BF"/>
    <w:rsid w:val="00A82605"/>
    <w:rsid w:val="00A8284D"/>
    <w:rsid w:val="00A82C1B"/>
    <w:rsid w:val="00A82D1E"/>
    <w:rsid w:val="00A82E27"/>
    <w:rsid w:val="00A83547"/>
    <w:rsid w:val="00A83786"/>
    <w:rsid w:val="00A83C08"/>
    <w:rsid w:val="00A83EC4"/>
    <w:rsid w:val="00A84301"/>
    <w:rsid w:val="00A84396"/>
    <w:rsid w:val="00A84988"/>
    <w:rsid w:val="00A84B75"/>
    <w:rsid w:val="00A84EFB"/>
    <w:rsid w:val="00A85298"/>
    <w:rsid w:val="00A85CBD"/>
    <w:rsid w:val="00A867A3"/>
    <w:rsid w:val="00A86B25"/>
    <w:rsid w:val="00A86CA0"/>
    <w:rsid w:val="00A86EAA"/>
    <w:rsid w:val="00A8715A"/>
    <w:rsid w:val="00A87382"/>
    <w:rsid w:val="00A876B1"/>
    <w:rsid w:val="00A87763"/>
    <w:rsid w:val="00A87B6B"/>
    <w:rsid w:val="00A87B70"/>
    <w:rsid w:val="00A87EC7"/>
    <w:rsid w:val="00A9040C"/>
    <w:rsid w:val="00A9047E"/>
    <w:rsid w:val="00A90635"/>
    <w:rsid w:val="00A907A8"/>
    <w:rsid w:val="00A90A01"/>
    <w:rsid w:val="00A90DCC"/>
    <w:rsid w:val="00A90F5C"/>
    <w:rsid w:val="00A917CE"/>
    <w:rsid w:val="00A9188E"/>
    <w:rsid w:val="00A91B55"/>
    <w:rsid w:val="00A91EB9"/>
    <w:rsid w:val="00A92387"/>
    <w:rsid w:val="00A92480"/>
    <w:rsid w:val="00A928E9"/>
    <w:rsid w:val="00A92969"/>
    <w:rsid w:val="00A92C4A"/>
    <w:rsid w:val="00A92CCA"/>
    <w:rsid w:val="00A9308F"/>
    <w:rsid w:val="00A932DC"/>
    <w:rsid w:val="00A93F0E"/>
    <w:rsid w:val="00A94149"/>
    <w:rsid w:val="00A943B4"/>
    <w:rsid w:val="00A94912"/>
    <w:rsid w:val="00A956CD"/>
    <w:rsid w:val="00A9585B"/>
    <w:rsid w:val="00A95944"/>
    <w:rsid w:val="00A959E1"/>
    <w:rsid w:val="00A95BC4"/>
    <w:rsid w:val="00A95CCA"/>
    <w:rsid w:val="00A960CE"/>
    <w:rsid w:val="00A96165"/>
    <w:rsid w:val="00A96212"/>
    <w:rsid w:val="00A9629E"/>
    <w:rsid w:val="00A96402"/>
    <w:rsid w:val="00A965A5"/>
    <w:rsid w:val="00A96A6F"/>
    <w:rsid w:val="00A96E5F"/>
    <w:rsid w:val="00A96F23"/>
    <w:rsid w:val="00A9704E"/>
    <w:rsid w:val="00A973F7"/>
    <w:rsid w:val="00A974CF"/>
    <w:rsid w:val="00A97E7A"/>
    <w:rsid w:val="00AA0264"/>
    <w:rsid w:val="00AA02ED"/>
    <w:rsid w:val="00AA039C"/>
    <w:rsid w:val="00AA0833"/>
    <w:rsid w:val="00AA0BB9"/>
    <w:rsid w:val="00AA0CB5"/>
    <w:rsid w:val="00AA111F"/>
    <w:rsid w:val="00AA1445"/>
    <w:rsid w:val="00AA16C8"/>
    <w:rsid w:val="00AA197F"/>
    <w:rsid w:val="00AA1BBE"/>
    <w:rsid w:val="00AA1C48"/>
    <w:rsid w:val="00AA1E9D"/>
    <w:rsid w:val="00AA27CC"/>
    <w:rsid w:val="00AA30EC"/>
    <w:rsid w:val="00AA313B"/>
    <w:rsid w:val="00AA3350"/>
    <w:rsid w:val="00AA34B2"/>
    <w:rsid w:val="00AA35FE"/>
    <w:rsid w:val="00AA36F3"/>
    <w:rsid w:val="00AA3734"/>
    <w:rsid w:val="00AA3BD4"/>
    <w:rsid w:val="00AA3E2F"/>
    <w:rsid w:val="00AA3EAF"/>
    <w:rsid w:val="00AA3EE1"/>
    <w:rsid w:val="00AA4119"/>
    <w:rsid w:val="00AA414C"/>
    <w:rsid w:val="00AA41C6"/>
    <w:rsid w:val="00AA47C9"/>
    <w:rsid w:val="00AA5249"/>
    <w:rsid w:val="00AA533F"/>
    <w:rsid w:val="00AA5426"/>
    <w:rsid w:val="00AA5510"/>
    <w:rsid w:val="00AA558B"/>
    <w:rsid w:val="00AA5BAB"/>
    <w:rsid w:val="00AA5C1A"/>
    <w:rsid w:val="00AA5FD2"/>
    <w:rsid w:val="00AA6196"/>
    <w:rsid w:val="00AA6234"/>
    <w:rsid w:val="00AA638C"/>
    <w:rsid w:val="00AA7131"/>
    <w:rsid w:val="00AA719D"/>
    <w:rsid w:val="00AA71CF"/>
    <w:rsid w:val="00AA747B"/>
    <w:rsid w:val="00AA750F"/>
    <w:rsid w:val="00AA798E"/>
    <w:rsid w:val="00AA79A6"/>
    <w:rsid w:val="00AA79AD"/>
    <w:rsid w:val="00AA7C9B"/>
    <w:rsid w:val="00AB09A0"/>
    <w:rsid w:val="00AB130D"/>
    <w:rsid w:val="00AB13B9"/>
    <w:rsid w:val="00AB1401"/>
    <w:rsid w:val="00AB1D65"/>
    <w:rsid w:val="00AB264F"/>
    <w:rsid w:val="00AB28C8"/>
    <w:rsid w:val="00AB2A37"/>
    <w:rsid w:val="00AB2C2B"/>
    <w:rsid w:val="00AB2FA6"/>
    <w:rsid w:val="00AB3359"/>
    <w:rsid w:val="00AB3381"/>
    <w:rsid w:val="00AB3549"/>
    <w:rsid w:val="00AB35DD"/>
    <w:rsid w:val="00AB38F0"/>
    <w:rsid w:val="00AB392B"/>
    <w:rsid w:val="00AB3BAC"/>
    <w:rsid w:val="00AB49AA"/>
    <w:rsid w:val="00AB4EEF"/>
    <w:rsid w:val="00AB4F4F"/>
    <w:rsid w:val="00AB5485"/>
    <w:rsid w:val="00AB5569"/>
    <w:rsid w:val="00AB5682"/>
    <w:rsid w:val="00AB5B48"/>
    <w:rsid w:val="00AB6B51"/>
    <w:rsid w:val="00AB6F06"/>
    <w:rsid w:val="00AB71B1"/>
    <w:rsid w:val="00AB74C1"/>
    <w:rsid w:val="00AB7534"/>
    <w:rsid w:val="00AC0229"/>
    <w:rsid w:val="00AC056A"/>
    <w:rsid w:val="00AC057E"/>
    <w:rsid w:val="00AC0C2B"/>
    <w:rsid w:val="00AC0ECE"/>
    <w:rsid w:val="00AC11C0"/>
    <w:rsid w:val="00AC1381"/>
    <w:rsid w:val="00AC13F8"/>
    <w:rsid w:val="00AC1DE1"/>
    <w:rsid w:val="00AC2739"/>
    <w:rsid w:val="00AC2BB7"/>
    <w:rsid w:val="00AC33F6"/>
    <w:rsid w:val="00AC35C9"/>
    <w:rsid w:val="00AC36A4"/>
    <w:rsid w:val="00AC37F6"/>
    <w:rsid w:val="00AC39C2"/>
    <w:rsid w:val="00AC46E1"/>
    <w:rsid w:val="00AC491D"/>
    <w:rsid w:val="00AC497B"/>
    <w:rsid w:val="00AC4B96"/>
    <w:rsid w:val="00AC4D32"/>
    <w:rsid w:val="00AC4E64"/>
    <w:rsid w:val="00AC5399"/>
    <w:rsid w:val="00AC56B6"/>
    <w:rsid w:val="00AC5700"/>
    <w:rsid w:val="00AC573D"/>
    <w:rsid w:val="00AC5B06"/>
    <w:rsid w:val="00AC603D"/>
    <w:rsid w:val="00AC638C"/>
    <w:rsid w:val="00AC673A"/>
    <w:rsid w:val="00AC680F"/>
    <w:rsid w:val="00AC68A7"/>
    <w:rsid w:val="00AC71A9"/>
    <w:rsid w:val="00AC77B9"/>
    <w:rsid w:val="00AC7AAF"/>
    <w:rsid w:val="00AC7BC9"/>
    <w:rsid w:val="00AC7CAC"/>
    <w:rsid w:val="00AC7D29"/>
    <w:rsid w:val="00AC7E98"/>
    <w:rsid w:val="00AD006B"/>
    <w:rsid w:val="00AD04AE"/>
    <w:rsid w:val="00AD055F"/>
    <w:rsid w:val="00AD0A5E"/>
    <w:rsid w:val="00AD0E35"/>
    <w:rsid w:val="00AD109E"/>
    <w:rsid w:val="00AD186D"/>
    <w:rsid w:val="00AD190A"/>
    <w:rsid w:val="00AD2000"/>
    <w:rsid w:val="00AD20B2"/>
    <w:rsid w:val="00AD20E2"/>
    <w:rsid w:val="00AD2773"/>
    <w:rsid w:val="00AD2C53"/>
    <w:rsid w:val="00AD2FB7"/>
    <w:rsid w:val="00AD37E1"/>
    <w:rsid w:val="00AD3C4F"/>
    <w:rsid w:val="00AD436F"/>
    <w:rsid w:val="00AD4426"/>
    <w:rsid w:val="00AD44DD"/>
    <w:rsid w:val="00AD4825"/>
    <w:rsid w:val="00AD4A97"/>
    <w:rsid w:val="00AD4D20"/>
    <w:rsid w:val="00AD4EFB"/>
    <w:rsid w:val="00AD565B"/>
    <w:rsid w:val="00AD5740"/>
    <w:rsid w:val="00AD5B7B"/>
    <w:rsid w:val="00AD5EEC"/>
    <w:rsid w:val="00AD6328"/>
    <w:rsid w:val="00AD66E3"/>
    <w:rsid w:val="00AD681A"/>
    <w:rsid w:val="00AD6DBF"/>
    <w:rsid w:val="00AD6EB4"/>
    <w:rsid w:val="00AD6ECE"/>
    <w:rsid w:val="00AD6F53"/>
    <w:rsid w:val="00AD73BB"/>
    <w:rsid w:val="00AD74E4"/>
    <w:rsid w:val="00AD7789"/>
    <w:rsid w:val="00AD78D4"/>
    <w:rsid w:val="00AD7A41"/>
    <w:rsid w:val="00AD7C05"/>
    <w:rsid w:val="00AD7EB6"/>
    <w:rsid w:val="00AD7FE8"/>
    <w:rsid w:val="00AE011A"/>
    <w:rsid w:val="00AE03A3"/>
    <w:rsid w:val="00AE0549"/>
    <w:rsid w:val="00AE0640"/>
    <w:rsid w:val="00AE0B82"/>
    <w:rsid w:val="00AE0BFA"/>
    <w:rsid w:val="00AE0DCF"/>
    <w:rsid w:val="00AE0F15"/>
    <w:rsid w:val="00AE14BB"/>
    <w:rsid w:val="00AE1DD7"/>
    <w:rsid w:val="00AE1ECB"/>
    <w:rsid w:val="00AE28D8"/>
    <w:rsid w:val="00AE2953"/>
    <w:rsid w:val="00AE2D20"/>
    <w:rsid w:val="00AE2F23"/>
    <w:rsid w:val="00AE2F46"/>
    <w:rsid w:val="00AE342D"/>
    <w:rsid w:val="00AE356F"/>
    <w:rsid w:val="00AE3683"/>
    <w:rsid w:val="00AE3696"/>
    <w:rsid w:val="00AE3908"/>
    <w:rsid w:val="00AE391E"/>
    <w:rsid w:val="00AE3999"/>
    <w:rsid w:val="00AE39E1"/>
    <w:rsid w:val="00AE3FBA"/>
    <w:rsid w:val="00AE4002"/>
    <w:rsid w:val="00AE43FE"/>
    <w:rsid w:val="00AE53BB"/>
    <w:rsid w:val="00AE5C79"/>
    <w:rsid w:val="00AE6C95"/>
    <w:rsid w:val="00AE6D4B"/>
    <w:rsid w:val="00AE6F16"/>
    <w:rsid w:val="00AE75F9"/>
    <w:rsid w:val="00AE7666"/>
    <w:rsid w:val="00AE7C98"/>
    <w:rsid w:val="00AE7E21"/>
    <w:rsid w:val="00AE7F5C"/>
    <w:rsid w:val="00AF02B8"/>
    <w:rsid w:val="00AF06E4"/>
    <w:rsid w:val="00AF0868"/>
    <w:rsid w:val="00AF0AD2"/>
    <w:rsid w:val="00AF0B33"/>
    <w:rsid w:val="00AF12EA"/>
    <w:rsid w:val="00AF157D"/>
    <w:rsid w:val="00AF208D"/>
    <w:rsid w:val="00AF2311"/>
    <w:rsid w:val="00AF2F58"/>
    <w:rsid w:val="00AF3468"/>
    <w:rsid w:val="00AF34B7"/>
    <w:rsid w:val="00AF3799"/>
    <w:rsid w:val="00AF3AEF"/>
    <w:rsid w:val="00AF3BD5"/>
    <w:rsid w:val="00AF3C81"/>
    <w:rsid w:val="00AF3CC6"/>
    <w:rsid w:val="00AF3EA0"/>
    <w:rsid w:val="00AF466B"/>
    <w:rsid w:val="00AF46D5"/>
    <w:rsid w:val="00AF4972"/>
    <w:rsid w:val="00AF4CB8"/>
    <w:rsid w:val="00AF4DA5"/>
    <w:rsid w:val="00AF5711"/>
    <w:rsid w:val="00AF5833"/>
    <w:rsid w:val="00AF59B1"/>
    <w:rsid w:val="00AF5AA8"/>
    <w:rsid w:val="00AF5B27"/>
    <w:rsid w:val="00AF5C54"/>
    <w:rsid w:val="00AF5C5B"/>
    <w:rsid w:val="00AF5D43"/>
    <w:rsid w:val="00AF654C"/>
    <w:rsid w:val="00AF658C"/>
    <w:rsid w:val="00AF67B0"/>
    <w:rsid w:val="00AF6832"/>
    <w:rsid w:val="00AF6888"/>
    <w:rsid w:val="00AF6908"/>
    <w:rsid w:val="00AF6A67"/>
    <w:rsid w:val="00AF6CA5"/>
    <w:rsid w:val="00AF6D0C"/>
    <w:rsid w:val="00AF6E9D"/>
    <w:rsid w:val="00AF717F"/>
    <w:rsid w:val="00AF7301"/>
    <w:rsid w:val="00AF7321"/>
    <w:rsid w:val="00AF75DA"/>
    <w:rsid w:val="00AF79C6"/>
    <w:rsid w:val="00B0058B"/>
    <w:rsid w:val="00B008AC"/>
    <w:rsid w:val="00B0092E"/>
    <w:rsid w:val="00B012F5"/>
    <w:rsid w:val="00B013A5"/>
    <w:rsid w:val="00B014E5"/>
    <w:rsid w:val="00B0154C"/>
    <w:rsid w:val="00B018CA"/>
    <w:rsid w:val="00B019F2"/>
    <w:rsid w:val="00B01C58"/>
    <w:rsid w:val="00B01CE9"/>
    <w:rsid w:val="00B027ED"/>
    <w:rsid w:val="00B02A25"/>
    <w:rsid w:val="00B02EAF"/>
    <w:rsid w:val="00B032A5"/>
    <w:rsid w:val="00B032AF"/>
    <w:rsid w:val="00B03321"/>
    <w:rsid w:val="00B039F8"/>
    <w:rsid w:val="00B045D8"/>
    <w:rsid w:val="00B047A4"/>
    <w:rsid w:val="00B05014"/>
    <w:rsid w:val="00B059EC"/>
    <w:rsid w:val="00B05DBF"/>
    <w:rsid w:val="00B05DDB"/>
    <w:rsid w:val="00B05FC4"/>
    <w:rsid w:val="00B06420"/>
    <w:rsid w:val="00B066BD"/>
    <w:rsid w:val="00B06ABF"/>
    <w:rsid w:val="00B07069"/>
    <w:rsid w:val="00B07401"/>
    <w:rsid w:val="00B074F9"/>
    <w:rsid w:val="00B100BE"/>
    <w:rsid w:val="00B10340"/>
    <w:rsid w:val="00B10570"/>
    <w:rsid w:val="00B10AAB"/>
    <w:rsid w:val="00B10AD2"/>
    <w:rsid w:val="00B10B33"/>
    <w:rsid w:val="00B10BC9"/>
    <w:rsid w:val="00B10E33"/>
    <w:rsid w:val="00B110CD"/>
    <w:rsid w:val="00B1118F"/>
    <w:rsid w:val="00B118F0"/>
    <w:rsid w:val="00B11939"/>
    <w:rsid w:val="00B11949"/>
    <w:rsid w:val="00B11D8B"/>
    <w:rsid w:val="00B11F7D"/>
    <w:rsid w:val="00B121A2"/>
    <w:rsid w:val="00B12AC4"/>
    <w:rsid w:val="00B12E27"/>
    <w:rsid w:val="00B1324C"/>
    <w:rsid w:val="00B13AC6"/>
    <w:rsid w:val="00B13F30"/>
    <w:rsid w:val="00B1512E"/>
    <w:rsid w:val="00B152C2"/>
    <w:rsid w:val="00B15421"/>
    <w:rsid w:val="00B1558E"/>
    <w:rsid w:val="00B155C5"/>
    <w:rsid w:val="00B15747"/>
    <w:rsid w:val="00B15759"/>
    <w:rsid w:val="00B159CC"/>
    <w:rsid w:val="00B15CC5"/>
    <w:rsid w:val="00B15E8B"/>
    <w:rsid w:val="00B16023"/>
    <w:rsid w:val="00B16557"/>
    <w:rsid w:val="00B166EE"/>
    <w:rsid w:val="00B16838"/>
    <w:rsid w:val="00B16924"/>
    <w:rsid w:val="00B16AA9"/>
    <w:rsid w:val="00B17019"/>
    <w:rsid w:val="00B17169"/>
    <w:rsid w:val="00B20664"/>
    <w:rsid w:val="00B2077B"/>
    <w:rsid w:val="00B20DF1"/>
    <w:rsid w:val="00B21160"/>
    <w:rsid w:val="00B211AB"/>
    <w:rsid w:val="00B2147B"/>
    <w:rsid w:val="00B214D8"/>
    <w:rsid w:val="00B2150D"/>
    <w:rsid w:val="00B216C5"/>
    <w:rsid w:val="00B21A5C"/>
    <w:rsid w:val="00B21D68"/>
    <w:rsid w:val="00B21FC8"/>
    <w:rsid w:val="00B225D8"/>
    <w:rsid w:val="00B22AA4"/>
    <w:rsid w:val="00B22DBD"/>
    <w:rsid w:val="00B22F8A"/>
    <w:rsid w:val="00B23026"/>
    <w:rsid w:val="00B23291"/>
    <w:rsid w:val="00B23292"/>
    <w:rsid w:val="00B234BD"/>
    <w:rsid w:val="00B238C6"/>
    <w:rsid w:val="00B238EB"/>
    <w:rsid w:val="00B23A5A"/>
    <w:rsid w:val="00B23CD9"/>
    <w:rsid w:val="00B23FB0"/>
    <w:rsid w:val="00B24812"/>
    <w:rsid w:val="00B249D0"/>
    <w:rsid w:val="00B24AD9"/>
    <w:rsid w:val="00B25002"/>
    <w:rsid w:val="00B250AF"/>
    <w:rsid w:val="00B2510D"/>
    <w:rsid w:val="00B251F0"/>
    <w:rsid w:val="00B25B8C"/>
    <w:rsid w:val="00B25F41"/>
    <w:rsid w:val="00B260F8"/>
    <w:rsid w:val="00B268BD"/>
    <w:rsid w:val="00B26CE3"/>
    <w:rsid w:val="00B26D34"/>
    <w:rsid w:val="00B273A9"/>
    <w:rsid w:val="00B274B2"/>
    <w:rsid w:val="00B27543"/>
    <w:rsid w:val="00B27A0A"/>
    <w:rsid w:val="00B27A3D"/>
    <w:rsid w:val="00B27CED"/>
    <w:rsid w:val="00B27CF5"/>
    <w:rsid w:val="00B27DDF"/>
    <w:rsid w:val="00B30216"/>
    <w:rsid w:val="00B30234"/>
    <w:rsid w:val="00B30CAF"/>
    <w:rsid w:val="00B3121A"/>
    <w:rsid w:val="00B312BA"/>
    <w:rsid w:val="00B3149B"/>
    <w:rsid w:val="00B31D29"/>
    <w:rsid w:val="00B31D5F"/>
    <w:rsid w:val="00B31DED"/>
    <w:rsid w:val="00B3206C"/>
    <w:rsid w:val="00B32120"/>
    <w:rsid w:val="00B32347"/>
    <w:rsid w:val="00B3248E"/>
    <w:rsid w:val="00B32992"/>
    <w:rsid w:val="00B32CDA"/>
    <w:rsid w:val="00B32D95"/>
    <w:rsid w:val="00B3334D"/>
    <w:rsid w:val="00B3353D"/>
    <w:rsid w:val="00B3355B"/>
    <w:rsid w:val="00B33705"/>
    <w:rsid w:val="00B33948"/>
    <w:rsid w:val="00B33A27"/>
    <w:rsid w:val="00B33E52"/>
    <w:rsid w:val="00B341BB"/>
    <w:rsid w:val="00B34308"/>
    <w:rsid w:val="00B3450E"/>
    <w:rsid w:val="00B34614"/>
    <w:rsid w:val="00B3463A"/>
    <w:rsid w:val="00B34A6F"/>
    <w:rsid w:val="00B34A89"/>
    <w:rsid w:val="00B34D8B"/>
    <w:rsid w:val="00B351D5"/>
    <w:rsid w:val="00B35218"/>
    <w:rsid w:val="00B35406"/>
    <w:rsid w:val="00B35835"/>
    <w:rsid w:val="00B35DD7"/>
    <w:rsid w:val="00B3619B"/>
    <w:rsid w:val="00B36426"/>
    <w:rsid w:val="00B3652C"/>
    <w:rsid w:val="00B3673D"/>
    <w:rsid w:val="00B36BDB"/>
    <w:rsid w:val="00B3722D"/>
    <w:rsid w:val="00B3757A"/>
    <w:rsid w:val="00B37652"/>
    <w:rsid w:val="00B377D9"/>
    <w:rsid w:val="00B37950"/>
    <w:rsid w:val="00B37AA7"/>
    <w:rsid w:val="00B37B39"/>
    <w:rsid w:val="00B37EDE"/>
    <w:rsid w:val="00B37F40"/>
    <w:rsid w:val="00B40037"/>
    <w:rsid w:val="00B4016E"/>
    <w:rsid w:val="00B4026F"/>
    <w:rsid w:val="00B402D2"/>
    <w:rsid w:val="00B409E8"/>
    <w:rsid w:val="00B40B0D"/>
    <w:rsid w:val="00B40D88"/>
    <w:rsid w:val="00B41019"/>
    <w:rsid w:val="00B41643"/>
    <w:rsid w:val="00B41EBD"/>
    <w:rsid w:val="00B41F7E"/>
    <w:rsid w:val="00B41FC8"/>
    <w:rsid w:val="00B42359"/>
    <w:rsid w:val="00B4236A"/>
    <w:rsid w:val="00B42393"/>
    <w:rsid w:val="00B4255B"/>
    <w:rsid w:val="00B426B6"/>
    <w:rsid w:val="00B42C5A"/>
    <w:rsid w:val="00B43275"/>
    <w:rsid w:val="00B435B7"/>
    <w:rsid w:val="00B43678"/>
    <w:rsid w:val="00B436AE"/>
    <w:rsid w:val="00B43A21"/>
    <w:rsid w:val="00B44595"/>
    <w:rsid w:val="00B4473B"/>
    <w:rsid w:val="00B448A0"/>
    <w:rsid w:val="00B448EC"/>
    <w:rsid w:val="00B44D64"/>
    <w:rsid w:val="00B45C6D"/>
    <w:rsid w:val="00B45F0F"/>
    <w:rsid w:val="00B46272"/>
    <w:rsid w:val="00B462C6"/>
    <w:rsid w:val="00B4636E"/>
    <w:rsid w:val="00B46811"/>
    <w:rsid w:val="00B46859"/>
    <w:rsid w:val="00B4693E"/>
    <w:rsid w:val="00B46983"/>
    <w:rsid w:val="00B46A86"/>
    <w:rsid w:val="00B46D59"/>
    <w:rsid w:val="00B46FD9"/>
    <w:rsid w:val="00B47B6A"/>
    <w:rsid w:val="00B47E7F"/>
    <w:rsid w:val="00B47E94"/>
    <w:rsid w:val="00B504B9"/>
    <w:rsid w:val="00B506C0"/>
    <w:rsid w:val="00B5078E"/>
    <w:rsid w:val="00B5081C"/>
    <w:rsid w:val="00B50E11"/>
    <w:rsid w:val="00B50EBB"/>
    <w:rsid w:val="00B512CA"/>
    <w:rsid w:val="00B51303"/>
    <w:rsid w:val="00B51403"/>
    <w:rsid w:val="00B515B9"/>
    <w:rsid w:val="00B5187B"/>
    <w:rsid w:val="00B51EAC"/>
    <w:rsid w:val="00B51F49"/>
    <w:rsid w:val="00B52003"/>
    <w:rsid w:val="00B52337"/>
    <w:rsid w:val="00B5245A"/>
    <w:rsid w:val="00B52465"/>
    <w:rsid w:val="00B524FD"/>
    <w:rsid w:val="00B52859"/>
    <w:rsid w:val="00B530A8"/>
    <w:rsid w:val="00B53813"/>
    <w:rsid w:val="00B5396E"/>
    <w:rsid w:val="00B53A5A"/>
    <w:rsid w:val="00B53E79"/>
    <w:rsid w:val="00B53FA4"/>
    <w:rsid w:val="00B54092"/>
    <w:rsid w:val="00B540D9"/>
    <w:rsid w:val="00B544DA"/>
    <w:rsid w:val="00B54741"/>
    <w:rsid w:val="00B54AFB"/>
    <w:rsid w:val="00B54C97"/>
    <w:rsid w:val="00B54DBC"/>
    <w:rsid w:val="00B54E35"/>
    <w:rsid w:val="00B55245"/>
    <w:rsid w:val="00B554BA"/>
    <w:rsid w:val="00B55A00"/>
    <w:rsid w:val="00B56584"/>
    <w:rsid w:val="00B567FE"/>
    <w:rsid w:val="00B56D7F"/>
    <w:rsid w:val="00B570A8"/>
    <w:rsid w:val="00B5720A"/>
    <w:rsid w:val="00B5774B"/>
    <w:rsid w:val="00B577D3"/>
    <w:rsid w:val="00B57AF8"/>
    <w:rsid w:val="00B57BA8"/>
    <w:rsid w:val="00B57BB5"/>
    <w:rsid w:val="00B57C45"/>
    <w:rsid w:val="00B57D08"/>
    <w:rsid w:val="00B57D10"/>
    <w:rsid w:val="00B57F11"/>
    <w:rsid w:val="00B60628"/>
    <w:rsid w:val="00B60633"/>
    <w:rsid w:val="00B6066E"/>
    <w:rsid w:val="00B60A7A"/>
    <w:rsid w:val="00B614FF"/>
    <w:rsid w:val="00B61D60"/>
    <w:rsid w:val="00B621ED"/>
    <w:rsid w:val="00B622FC"/>
    <w:rsid w:val="00B6237B"/>
    <w:rsid w:val="00B626F3"/>
    <w:rsid w:val="00B628A0"/>
    <w:rsid w:val="00B629C8"/>
    <w:rsid w:val="00B62A5C"/>
    <w:rsid w:val="00B62BC2"/>
    <w:rsid w:val="00B62C50"/>
    <w:rsid w:val="00B62DF9"/>
    <w:rsid w:val="00B632E9"/>
    <w:rsid w:val="00B6399A"/>
    <w:rsid w:val="00B63AB2"/>
    <w:rsid w:val="00B63BA0"/>
    <w:rsid w:val="00B63E65"/>
    <w:rsid w:val="00B63FB4"/>
    <w:rsid w:val="00B64458"/>
    <w:rsid w:val="00B645FA"/>
    <w:rsid w:val="00B646F0"/>
    <w:rsid w:val="00B64ED5"/>
    <w:rsid w:val="00B651A2"/>
    <w:rsid w:val="00B651B4"/>
    <w:rsid w:val="00B65609"/>
    <w:rsid w:val="00B65828"/>
    <w:rsid w:val="00B6585E"/>
    <w:rsid w:val="00B65F42"/>
    <w:rsid w:val="00B6649C"/>
    <w:rsid w:val="00B66550"/>
    <w:rsid w:val="00B669FC"/>
    <w:rsid w:val="00B673C0"/>
    <w:rsid w:val="00B67441"/>
    <w:rsid w:val="00B6751A"/>
    <w:rsid w:val="00B676D6"/>
    <w:rsid w:val="00B679D2"/>
    <w:rsid w:val="00B67DC2"/>
    <w:rsid w:val="00B70082"/>
    <w:rsid w:val="00B70164"/>
    <w:rsid w:val="00B704A5"/>
    <w:rsid w:val="00B7065C"/>
    <w:rsid w:val="00B70FB3"/>
    <w:rsid w:val="00B712A3"/>
    <w:rsid w:val="00B712B9"/>
    <w:rsid w:val="00B715EA"/>
    <w:rsid w:val="00B718C1"/>
    <w:rsid w:val="00B71ABE"/>
    <w:rsid w:val="00B724A6"/>
    <w:rsid w:val="00B7334C"/>
    <w:rsid w:val="00B735C8"/>
    <w:rsid w:val="00B73A3D"/>
    <w:rsid w:val="00B73A55"/>
    <w:rsid w:val="00B740F5"/>
    <w:rsid w:val="00B74169"/>
    <w:rsid w:val="00B7431C"/>
    <w:rsid w:val="00B744C5"/>
    <w:rsid w:val="00B749A7"/>
    <w:rsid w:val="00B749AB"/>
    <w:rsid w:val="00B74BD5"/>
    <w:rsid w:val="00B74D4A"/>
    <w:rsid w:val="00B74F01"/>
    <w:rsid w:val="00B74FC4"/>
    <w:rsid w:val="00B75161"/>
    <w:rsid w:val="00B751ED"/>
    <w:rsid w:val="00B753D1"/>
    <w:rsid w:val="00B7563F"/>
    <w:rsid w:val="00B756E4"/>
    <w:rsid w:val="00B757AA"/>
    <w:rsid w:val="00B75C65"/>
    <w:rsid w:val="00B763F0"/>
    <w:rsid w:val="00B76481"/>
    <w:rsid w:val="00B76712"/>
    <w:rsid w:val="00B7686B"/>
    <w:rsid w:val="00B768E6"/>
    <w:rsid w:val="00B76A33"/>
    <w:rsid w:val="00B76D86"/>
    <w:rsid w:val="00B76F4E"/>
    <w:rsid w:val="00B772B0"/>
    <w:rsid w:val="00B77315"/>
    <w:rsid w:val="00B7740A"/>
    <w:rsid w:val="00B77592"/>
    <w:rsid w:val="00B775C7"/>
    <w:rsid w:val="00B77A36"/>
    <w:rsid w:val="00B80109"/>
    <w:rsid w:val="00B80460"/>
    <w:rsid w:val="00B807AF"/>
    <w:rsid w:val="00B80AF9"/>
    <w:rsid w:val="00B80D38"/>
    <w:rsid w:val="00B81060"/>
    <w:rsid w:val="00B810B8"/>
    <w:rsid w:val="00B81E47"/>
    <w:rsid w:val="00B8222B"/>
    <w:rsid w:val="00B82264"/>
    <w:rsid w:val="00B82268"/>
    <w:rsid w:val="00B829D9"/>
    <w:rsid w:val="00B82C93"/>
    <w:rsid w:val="00B82D53"/>
    <w:rsid w:val="00B82E48"/>
    <w:rsid w:val="00B83B41"/>
    <w:rsid w:val="00B83F4B"/>
    <w:rsid w:val="00B84E07"/>
    <w:rsid w:val="00B8511E"/>
    <w:rsid w:val="00B8515B"/>
    <w:rsid w:val="00B85217"/>
    <w:rsid w:val="00B8534A"/>
    <w:rsid w:val="00B8574E"/>
    <w:rsid w:val="00B85BEC"/>
    <w:rsid w:val="00B85DE1"/>
    <w:rsid w:val="00B85FE2"/>
    <w:rsid w:val="00B86045"/>
    <w:rsid w:val="00B86468"/>
    <w:rsid w:val="00B86573"/>
    <w:rsid w:val="00B865B2"/>
    <w:rsid w:val="00B86732"/>
    <w:rsid w:val="00B86B70"/>
    <w:rsid w:val="00B86BB6"/>
    <w:rsid w:val="00B86C85"/>
    <w:rsid w:val="00B875A4"/>
    <w:rsid w:val="00B87746"/>
    <w:rsid w:val="00B877F4"/>
    <w:rsid w:val="00B8797F"/>
    <w:rsid w:val="00B90E19"/>
    <w:rsid w:val="00B91025"/>
    <w:rsid w:val="00B91766"/>
    <w:rsid w:val="00B9207A"/>
    <w:rsid w:val="00B92123"/>
    <w:rsid w:val="00B921A5"/>
    <w:rsid w:val="00B929EC"/>
    <w:rsid w:val="00B92C64"/>
    <w:rsid w:val="00B9316C"/>
    <w:rsid w:val="00B9362B"/>
    <w:rsid w:val="00B939BA"/>
    <w:rsid w:val="00B93D00"/>
    <w:rsid w:val="00B9405C"/>
    <w:rsid w:val="00B940DF"/>
    <w:rsid w:val="00B940E7"/>
    <w:rsid w:val="00B9454B"/>
    <w:rsid w:val="00B949CE"/>
    <w:rsid w:val="00B94DBF"/>
    <w:rsid w:val="00B9523A"/>
    <w:rsid w:val="00B95411"/>
    <w:rsid w:val="00B958DE"/>
    <w:rsid w:val="00B961BC"/>
    <w:rsid w:val="00B9632E"/>
    <w:rsid w:val="00B9633D"/>
    <w:rsid w:val="00B96EAE"/>
    <w:rsid w:val="00B97465"/>
    <w:rsid w:val="00B97521"/>
    <w:rsid w:val="00B9787D"/>
    <w:rsid w:val="00BA004D"/>
    <w:rsid w:val="00BA02FE"/>
    <w:rsid w:val="00BA058B"/>
    <w:rsid w:val="00BA0C4C"/>
    <w:rsid w:val="00BA1074"/>
    <w:rsid w:val="00BA1139"/>
    <w:rsid w:val="00BA138D"/>
    <w:rsid w:val="00BA18B0"/>
    <w:rsid w:val="00BA1976"/>
    <w:rsid w:val="00BA1BDA"/>
    <w:rsid w:val="00BA1C9F"/>
    <w:rsid w:val="00BA1EAC"/>
    <w:rsid w:val="00BA2082"/>
    <w:rsid w:val="00BA22CB"/>
    <w:rsid w:val="00BA2532"/>
    <w:rsid w:val="00BA28B4"/>
    <w:rsid w:val="00BA2C11"/>
    <w:rsid w:val="00BA31A4"/>
    <w:rsid w:val="00BA3404"/>
    <w:rsid w:val="00BA39F7"/>
    <w:rsid w:val="00BA3E85"/>
    <w:rsid w:val="00BA3F59"/>
    <w:rsid w:val="00BA4029"/>
    <w:rsid w:val="00BA43F7"/>
    <w:rsid w:val="00BA459C"/>
    <w:rsid w:val="00BA4797"/>
    <w:rsid w:val="00BA4DA8"/>
    <w:rsid w:val="00BA4E72"/>
    <w:rsid w:val="00BA5629"/>
    <w:rsid w:val="00BA57B2"/>
    <w:rsid w:val="00BA5A5C"/>
    <w:rsid w:val="00BA5D78"/>
    <w:rsid w:val="00BA5FCB"/>
    <w:rsid w:val="00BA5FF0"/>
    <w:rsid w:val="00BA60AD"/>
    <w:rsid w:val="00BA634E"/>
    <w:rsid w:val="00BA67F1"/>
    <w:rsid w:val="00BA68E1"/>
    <w:rsid w:val="00BA69C4"/>
    <w:rsid w:val="00BA6E60"/>
    <w:rsid w:val="00BA76A9"/>
    <w:rsid w:val="00BA7842"/>
    <w:rsid w:val="00BA7CBF"/>
    <w:rsid w:val="00BA7EAB"/>
    <w:rsid w:val="00BA7F96"/>
    <w:rsid w:val="00BB061C"/>
    <w:rsid w:val="00BB1900"/>
    <w:rsid w:val="00BB1A63"/>
    <w:rsid w:val="00BB1E50"/>
    <w:rsid w:val="00BB2218"/>
    <w:rsid w:val="00BB22F7"/>
    <w:rsid w:val="00BB2993"/>
    <w:rsid w:val="00BB3187"/>
    <w:rsid w:val="00BB36D8"/>
    <w:rsid w:val="00BB3D8E"/>
    <w:rsid w:val="00BB48EF"/>
    <w:rsid w:val="00BB4A08"/>
    <w:rsid w:val="00BB4EBD"/>
    <w:rsid w:val="00BB5399"/>
    <w:rsid w:val="00BB54D9"/>
    <w:rsid w:val="00BB5C41"/>
    <w:rsid w:val="00BB61CE"/>
    <w:rsid w:val="00BB6703"/>
    <w:rsid w:val="00BB6868"/>
    <w:rsid w:val="00BB6948"/>
    <w:rsid w:val="00BB69C2"/>
    <w:rsid w:val="00BB69EA"/>
    <w:rsid w:val="00BB6AE9"/>
    <w:rsid w:val="00BB6C0A"/>
    <w:rsid w:val="00BB6C8A"/>
    <w:rsid w:val="00BB7703"/>
    <w:rsid w:val="00BB7727"/>
    <w:rsid w:val="00BB7AEC"/>
    <w:rsid w:val="00BC0438"/>
    <w:rsid w:val="00BC0463"/>
    <w:rsid w:val="00BC0703"/>
    <w:rsid w:val="00BC0835"/>
    <w:rsid w:val="00BC0AAF"/>
    <w:rsid w:val="00BC0F63"/>
    <w:rsid w:val="00BC0FCA"/>
    <w:rsid w:val="00BC14BE"/>
    <w:rsid w:val="00BC1873"/>
    <w:rsid w:val="00BC1B8F"/>
    <w:rsid w:val="00BC1DBF"/>
    <w:rsid w:val="00BC1EE9"/>
    <w:rsid w:val="00BC1F19"/>
    <w:rsid w:val="00BC1FC8"/>
    <w:rsid w:val="00BC2052"/>
    <w:rsid w:val="00BC2283"/>
    <w:rsid w:val="00BC2680"/>
    <w:rsid w:val="00BC2704"/>
    <w:rsid w:val="00BC286E"/>
    <w:rsid w:val="00BC29B8"/>
    <w:rsid w:val="00BC2A71"/>
    <w:rsid w:val="00BC2D6D"/>
    <w:rsid w:val="00BC2F1E"/>
    <w:rsid w:val="00BC322F"/>
    <w:rsid w:val="00BC35AC"/>
    <w:rsid w:val="00BC3791"/>
    <w:rsid w:val="00BC3B34"/>
    <w:rsid w:val="00BC3BBE"/>
    <w:rsid w:val="00BC3DB8"/>
    <w:rsid w:val="00BC3F17"/>
    <w:rsid w:val="00BC3F78"/>
    <w:rsid w:val="00BC3FFD"/>
    <w:rsid w:val="00BC4568"/>
    <w:rsid w:val="00BC45EC"/>
    <w:rsid w:val="00BC48AB"/>
    <w:rsid w:val="00BC48C6"/>
    <w:rsid w:val="00BC4B3A"/>
    <w:rsid w:val="00BC4B3E"/>
    <w:rsid w:val="00BC4CD2"/>
    <w:rsid w:val="00BC4DD4"/>
    <w:rsid w:val="00BC4E91"/>
    <w:rsid w:val="00BC4E9A"/>
    <w:rsid w:val="00BC51BC"/>
    <w:rsid w:val="00BC5219"/>
    <w:rsid w:val="00BC5348"/>
    <w:rsid w:val="00BC567A"/>
    <w:rsid w:val="00BC5C3D"/>
    <w:rsid w:val="00BC5E11"/>
    <w:rsid w:val="00BC613A"/>
    <w:rsid w:val="00BC6378"/>
    <w:rsid w:val="00BC64BF"/>
    <w:rsid w:val="00BC6A08"/>
    <w:rsid w:val="00BC6AEB"/>
    <w:rsid w:val="00BC6E84"/>
    <w:rsid w:val="00BC6FA4"/>
    <w:rsid w:val="00BC701C"/>
    <w:rsid w:val="00BC757E"/>
    <w:rsid w:val="00BC7681"/>
    <w:rsid w:val="00BC768B"/>
    <w:rsid w:val="00BC772A"/>
    <w:rsid w:val="00BC7829"/>
    <w:rsid w:val="00BC788D"/>
    <w:rsid w:val="00BC7BAB"/>
    <w:rsid w:val="00BD0369"/>
    <w:rsid w:val="00BD03BA"/>
    <w:rsid w:val="00BD04A2"/>
    <w:rsid w:val="00BD088E"/>
    <w:rsid w:val="00BD0946"/>
    <w:rsid w:val="00BD0B76"/>
    <w:rsid w:val="00BD0E65"/>
    <w:rsid w:val="00BD0FE9"/>
    <w:rsid w:val="00BD1526"/>
    <w:rsid w:val="00BD16A3"/>
    <w:rsid w:val="00BD1818"/>
    <w:rsid w:val="00BD18A7"/>
    <w:rsid w:val="00BD1907"/>
    <w:rsid w:val="00BD1C2D"/>
    <w:rsid w:val="00BD209D"/>
    <w:rsid w:val="00BD2180"/>
    <w:rsid w:val="00BD2400"/>
    <w:rsid w:val="00BD2493"/>
    <w:rsid w:val="00BD2972"/>
    <w:rsid w:val="00BD2980"/>
    <w:rsid w:val="00BD2C18"/>
    <w:rsid w:val="00BD2E0F"/>
    <w:rsid w:val="00BD383D"/>
    <w:rsid w:val="00BD4556"/>
    <w:rsid w:val="00BD4710"/>
    <w:rsid w:val="00BD490C"/>
    <w:rsid w:val="00BD5627"/>
    <w:rsid w:val="00BD579A"/>
    <w:rsid w:val="00BD5E88"/>
    <w:rsid w:val="00BD6143"/>
    <w:rsid w:val="00BD61C4"/>
    <w:rsid w:val="00BD672C"/>
    <w:rsid w:val="00BD677D"/>
    <w:rsid w:val="00BD68E8"/>
    <w:rsid w:val="00BD71D2"/>
    <w:rsid w:val="00BD7657"/>
    <w:rsid w:val="00BD766F"/>
    <w:rsid w:val="00BD7731"/>
    <w:rsid w:val="00BD7CA0"/>
    <w:rsid w:val="00BD7CDF"/>
    <w:rsid w:val="00BD7E9E"/>
    <w:rsid w:val="00BE0272"/>
    <w:rsid w:val="00BE0408"/>
    <w:rsid w:val="00BE0A0D"/>
    <w:rsid w:val="00BE0CBB"/>
    <w:rsid w:val="00BE0D14"/>
    <w:rsid w:val="00BE1164"/>
    <w:rsid w:val="00BE1215"/>
    <w:rsid w:val="00BE1470"/>
    <w:rsid w:val="00BE1855"/>
    <w:rsid w:val="00BE1AE5"/>
    <w:rsid w:val="00BE1EA8"/>
    <w:rsid w:val="00BE203D"/>
    <w:rsid w:val="00BE29EB"/>
    <w:rsid w:val="00BE3328"/>
    <w:rsid w:val="00BE39AF"/>
    <w:rsid w:val="00BE3ACC"/>
    <w:rsid w:val="00BE3D21"/>
    <w:rsid w:val="00BE3EA4"/>
    <w:rsid w:val="00BE41BD"/>
    <w:rsid w:val="00BE46BD"/>
    <w:rsid w:val="00BE4A44"/>
    <w:rsid w:val="00BE4E1D"/>
    <w:rsid w:val="00BE52D0"/>
    <w:rsid w:val="00BE5542"/>
    <w:rsid w:val="00BE5C3F"/>
    <w:rsid w:val="00BE5FB1"/>
    <w:rsid w:val="00BE6206"/>
    <w:rsid w:val="00BE63A0"/>
    <w:rsid w:val="00BE646E"/>
    <w:rsid w:val="00BE6503"/>
    <w:rsid w:val="00BE6579"/>
    <w:rsid w:val="00BE6AF5"/>
    <w:rsid w:val="00BE6C2A"/>
    <w:rsid w:val="00BE6F7E"/>
    <w:rsid w:val="00BE7008"/>
    <w:rsid w:val="00BE7364"/>
    <w:rsid w:val="00BE7503"/>
    <w:rsid w:val="00BE7C3A"/>
    <w:rsid w:val="00BE7ED9"/>
    <w:rsid w:val="00BF08EE"/>
    <w:rsid w:val="00BF0BD8"/>
    <w:rsid w:val="00BF158D"/>
    <w:rsid w:val="00BF1771"/>
    <w:rsid w:val="00BF1986"/>
    <w:rsid w:val="00BF1AF5"/>
    <w:rsid w:val="00BF1BBE"/>
    <w:rsid w:val="00BF1CB1"/>
    <w:rsid w:val="00BF1D2B"/>
    <w:rsid w:val="00BF1DE9"/>
    <w:rsid w:val="00BF2002"/>
    <w:rsid w:val="00BF2122"/>
    <w:rsid w:val="00BF2354"/>
    <w:rsid w:val="00BF2556"/>
    <w:rsid w:val="00BF2F0E"/>
    <w:rsid w:val="00BF2F5F"/>
    <w:rsid w:val="00BF362A"/>
    <w:rsid w:val="00BF3E3B"/>
    <w:rsid w:val="00BF4015"/>
    <w:rsid w:val="00BF4078"/>
    <w:rsid w:val="00BF46B0"/>
    <w:rsid w:val="00BF479A"/>
    <w:rsid w:val="00BF4C57"/>
    <w:rsid w:val="00BF4CA2"/>
    <w:rsid w:val="00BF4F01"/>
    <w:rsid w:val="00BF4F81"/>
    <w:rsid w:val="00BF5368"/>
    <w:rsid w:val="00BF55ED"/>
    <w:rsid w:val="00BF55FF"/>
    <w:rsid w:val="00BF56CC"/>
    <w:rsid w:val="00BF56D1"/>
    <w:rsid w:val="00BF5739"/>
    <w:rsid w:val="00BF594B"/>
    <w:rsid w:val="00BF594E"/>
    <w:rsid w:val="00BF59C7"/>
    <w:rsid w:val="00BF59CD"/>
    <w:rsid w:val="00BF61C8"/>
    <w:rsid w:val="00BF63DC"/>
    <w:rsid w:val="00BF6517"/>
    <w:rsid w:val="00BF68E0"/>
    <w:rsid w:val="00BF6BB4"/>
    <w:rsid w:val="00BF6E99"/>
    <w:rsid w:val="00BF6F3C"/>
    <w:rsid w:val="00BF701B"/>
    <w:rsid w:val="00BF747E"/>
    <w:rsid w:val="00BF7792"/>
    <w:rsid w:val="00BF77EB"/>
    <w:rsid w:val="00BF7A9B"/>
    <w:rsid w:val="00BF7ADE"/>
    <w:rsid w:val="00BF7BDB"/>
    <w:rsid w:val="00BF7E4E"/>
    <w:rsid w:val="00C009AF"/>
    <w:rsid w:val="00C00A57"/>
    <w:rsid w:val="00C00D29"/>
    <w:rsid w:val="00C00D54"/>
    <w:rsid w:val="00C0144E"/>
    <w:rsid w:val="00C01F5F"/>
    <w:rsid w:val="00C02024"/>
    <w:rsid w:val="00C02065"/>
    <w:rsid w:val="00C02416"/>
    <w:rsid w:val="00C02585"/>
    <w:rsid w:val="00C027DE"/>
    <w:rsid w:val="00C028A0"/>
    <w:rsid w:val="00C02D06"/>
    <w:rsid w:val="00C0317B"/>
    <w:rsid w:val="00C031D2"/>
    <w:rsid w:val="00C0320C"/>
    <w:rsid w:val="00C03372"/>
    <w:rsid w:val="00C034E3"/>
    <w:rsid w:val="00C0405F"/>
    <w:rsid w:val="00C04B8A"/>
    <w:rsid w:val="00C04F78"/>
    <w:rsid w:val="00C05430"/>
    <w:rsid w:val="00C05436"/>
    <w:rsid w:val="00C05483"/>
    <w:rsid w:val="00C055E0"/>
    <w:rsid w:val="00C0563C"/>
    <w:rsid w:val="00C05743"/>
    <w:rsid w:val="00C0581A"/>
    <w:rsid w:val="00C059FA"/>
    <w:rsid w:val="00C05FE2"/>
    <w:rsid w:val="00C062D4"/>
    <w:rsid w:val="00C06425"/>
    <w:rsid w:val="00C06472"/>
    <w:rsid w:val="00C066EF"/>
    <w:rsid w:val="00C0696C"/>
    <w:rsid w:val="00C06A42"/>
    <w:rsid w:val="00C06C17"/>
    <w:rsid w:val="00C06CA1"/>
    <w:rsid w:val="00C06EB0"/>
    <w:rsid w:val="00C0701B"/>
    <w:rsid w:val="00C073F4"/>
    <w:rsid w:val="00C07852"/>
    <w:rsid w:val="00C078D5"/>
    <w:rsid w:val="00C07B22"/>
    <w:rsid w:val="00C102FF"/>
    <w:rsid w:val="00C10567"/>
    <w:rsid w:val="00C1079E"/>
    <w:rsid w:val="00C108C2"/>
    <w:rsid w:val="00C10B31"/>
    <w:rsid w:val="00C10C25"/>
    <w:rsid w:val="00C10E14"/>
    <w:rsid w:val="00C11084"/>
    <w:rsid w:val="00C11B52"/>
    <w:rsid w:val="00C11BC4"/>
    <w:rsid w:val="00C11DC3"/>
    <w:rsid w:val="00C11ECD"/>
    <w:rsid w:val="00C121ED"/>
    <w:rsid w:val="00C122F7"/>
    <w:rsid w:val="00C12357"/>
    <w:rsid w:val="00C126A8"/>
    <w:rsid w:val="00C12901"/>
    <w:rsid w:val="00C12950"/>
    <w:rsid w:val="00C12B69"/>
    <w:rsid w:val="00C12C26"/>
    <w:rsid w:val="00C13108"/>
    <w:rsid w:val="00C133CF"/>
    <w:rsid w:val="00C1344F"/>
    <w:rsid w:val="00C13B71"/>
    <w:rsid w:val="00C13E94"/>
    <w:rsid w:val="00C14120"/>
    <w:rsid w:val="00C14183"/>
    <w:rsid w:val="00C14306"/>
    <w:rsid w:val="00C148E6"/>
    <w:rsid w:val="00C14917"/>
    <w:rsid w:val="00C14DA6"/>
    <w:rsid w:val="00C150BD"/>
    <w:rsid w:val="00C1513C"/>
    <w:rsid w:val="00C1595F"/>
    <w:rsid w:val="00C15CF5"/>
    <w:rsid w:val="00C16311"/>
    <w:rsid w:val="00C163CB"/>
    <w:rsid w:val="00C1644D"/>
    <w:rsid w:val="00C16602"/>
    <w:rsid w:val="00C167AF"/>
    <w:rsid w:val="00C16E9B"/>
    <w:rsid w:val="00C17131"/>
    <w:rsid w:val="00C1737A"/>
    <w:rsid w:val="00C17DFF"/>
    <w:rsid w:val="00C17F53"/>
    <w:rsid w:val="00C20E78"/>
    <w:rsid w:val="00C20E8A"/>
    <w:rsid w:val="00C20EDE"/>
    <w:rsid w:val="00C20F87"/>
    <w:rsid w:val="00C214A0"/>
    <w:rsid w:val="00C216DC"/>
    <w:rsid w:val="00C21DCE"/>
    <w:rsid w:val="00C21E07"/>
    <w:rsid w:val="00C21E26"/>
    <w:rsid w:val="00C21F99"/>
    <w:rsid w:val="00C2227E"/>
    <w:rsid w:val="00C226FA"/>
    <w:rsid w:val="00C22817"/>
    <w:rsid w:val="00C22B01"/>
    <w:rsid w:val="00C22DF9"/>
    <w:rsid w:val="00C237B9"/>
    <w:rsid w:val="00C2383E"/>
    <w:rsid w:val="00C23B81"/>
    <w:rsid w:val="00C24338"/>
    <w:rsid w:val="00C24594"/>
    <w:rsid w:val="00C2469F"/>
    <w:rsid w:val="00C25073"/>
    <w:rsid w:val="00C25329"/>
    <w:rsid w:val="00C2546A"/>
    <w:rsid w:val="00C25A29"/>
    <w:rsid w:val="00C25DCF"/>
    <w:rsid w:val="00C2635C"/>
    <w:rsid w:val="00C263FD"/>
    <w:rsid w:val="00C26B8B"/>
    <w:rsid w:val="00C26CC1"/>
    <w:rsid w:val="00C26D1C"/>
    <w:rsid w:val="00C26F5E"/>
    <w:rsid w:val="00C2703C"/>
    <w:rsid w:val="00C27118"/>
    <w:rsid w:val="00C2713C"/>
    <w:rsid w:val="00C2735D"/>
    <w:rsid w:val="00C27460"/>
    <w:rsid w:val="00C27A9F"/>
    <w:rsid w:val="00C27C99"/>
    <w:rsid w:val="00C27D5B"/>
    <w:rsid w:val="00C27E47"/>
    <w:rsid w:val="00C302D1"/>
    <w:rsid w:val="00C305BF"/>
    <w:rsid w:val="00C30BAB"/>
    <w:rsid w:val="00C3106A"/>
    <w:rsid w:val="00C31077"/>
    <w:rsid w:val="00C311C6"/>
    <w:rsid w:val="00C311CD"/>
    <w:rsid w:val="00C31224"/>
    <w:rsid w:val="00C3165F"/>
    <w:rsid w:val="00C31947"/>
    <w:rsid w:val="00C31AED"/>
    <w:rsid w:val="00C31BA3"/>
    <w:rsid w:val="00C31C37"/>
    <w:rsid w:val="00C31C40"/>
    <w:rsid w:val="00C31F96"/>
    <w:rsid w:val="00C3210A"/>
    <w:rsid w:val="00C32332"/>
    <w:rsid w:val="00C3253E"/>
    <w:rsid w:val="00C32C69"/>
    <w:rsid w:val="00C32D48"/>
    <w:rsid w:val="00C32E74"/>
    <w:rsid w:val="00C33175"/>
    <w:rsid w:val="00C332D7"/>
    <w:rsid w:val="00C33405"/>
    <w:rsid w:val="00C33557"/>
    <w:rsid w:val="00C336E0"/>
    <w:rsid w:val="00C336E1"/>
    <w:rsid w:val="00C337DF"/>
    <w:rsid w:val="00C3384D"/>
    <w:rsid w:val="00C339B4"/>
    <w:rsid w:val="00C33D23"/>
    <w:rsid w:val="00C33DE2"/>
    <w:rsid w:val="00C33E19"/>
    <w:rsid w:val="00C340DB"/>
    <w:rsid w:val="00C3462F"/>
    <w:rsid w:val="00C34C86"/>
    <w:rsid w:val="00C34EE1"/>
    <w:rsid w:val="00C35BC6"/>
    <w:rsid w:val="00C35C46"/>
    <w:rsid w:val="00C35D41"/>
    <w:rsid w:val="00C36471"/>
    <w:rsid w:val="00C3661F"/>
    <w:rsid w:val="00C366B6"/>
    <w:rsid w:val="00C36C95"/>
    <w:rsid w:val="00C36F36"/>
    <w:rsid w:val="00C36FD6"/>
    <w:rsid w:val="00C36FED"/>
    <w:rsid w:val="00C3769E"/>
    <w:rsid w:val="00C376BC"/>
    <w:rsid w:val="00C37942"/>
    <w:rsid w:val="00C37AB4"/>
    <w:rsid w:val="00C40920"/>
    <w:rsid w:val="00C40CF8"/>
    <w:rsid w:val="00C41204"/>
    <w:rsid w:val="00C41370"/>
    <w:rsid w:val="00C41693"/>
    <w:rsid w:val="00C419B0"/>
    <w:rsid w:val="00C41BDE"/>
    <w:rsid w:val="00C41E8C"/>
    <w:rsid w:val="00C41F5E"/>
    <w:rsid w:val="00C42360"/>
    <w:rsid w:val="00C423C7"/>
    <w:rsid w:val="00C42651"/>
    <w:rsid w:val="00C4279E"/>
    <w:rsid w:val="00C42A14"/>
    <w:rsid w:val="00C42E37"/>
    <w:rsid w:val="00C431DA"/>
    <w:rsid w:val="00C43422"/>
    <w:rsid w:val="00C4376C"/>
    <w:rsid w:val="00C43778"/>
    <w:rsid w:val="00C439F2"/>
    <w:rsid w:val="00C43B76"/>
    <w:rsid w:val="00C43BE4"/>
    <w:rsid w:val="00C43F30"/>
    <w:rsid w:val="00C43F9B"/>
    <w:rsid w:val="00C440C3"/>
    <w:rsid w:val="00C44247"/>
    <w:rsid w:val="00C44555"/>
    <w:rsid w:val="00C451C8"/>
    <w:rsid w:val="00C45237"/>
    <w:rsid w:val="00C4532B"/>
    <w:rsid w:val="00C453DB"/>
    <w:rsid w:val="00C45A74"/>
    <w:rsid w:val="00C46350"/>
    <w:rsid w:val="00C463D0"/>
    <w:rsid w:val="00C469F5"/>
    <w:rsid w:val="00C46AD2"/>
    <w:rsid w:val="00C46C46"/>
    <w:rsid w:val="00C473F0"/>
    <w:rsid w:val="00C474B1"/>
    <w:rsid w:val="00C474DC"/>
    <w:rsid w:val="00C47672"/>
    <w:rsid w:val="00C47A91"/>
    <w:rsid w:val="00C50152"/>
    <w:rsid w:val="00C50621"/>
    <w:rsid w:val="00C506C2"/>
    <w:rsid w:val="00C50733"/>
    <w:rsid w:val="00C5096E"/>
    <w:rsid w:val="00C50C2A"/>
    <w:rsid w:val="00C50D17"/>
    <w:rsid w:val="00C50D22"/>
    <w:rsid w:val="00C50D63"/>
    <w:rsid w:val="00C50E4E"/>
    <w:rsid w:val="00C51262"/>
    <w:rsid w:val="00C513AD"/>
    <w:rsid w:val="00C51708"/>
    <w:rsid w:val="00C51951"/>
    <w:rsid w:val="00C51978"/>
    <w:rsid w:val="00C51C76"/>
    <w:rsid w:val="00C52019"/>
    <w:rsid w:val="00C5205D"/>
    <w:rsid w:val="00C521C7"/>
    <w:rsid w:val="00C52486"/>
    <w:rsid w:val="00C52725"/>
    <w:rsid w:val="00C52810"/>
    <w:rsid w:val="00C52933"/>
    <w:rsid w:val="00C52B05"/>
    <w:rsid w:val="00C52BC6"/>
    <w:rsid w:val="00C53191"/>
    <w:rsid w:val="00C536B9"/>
    <w:rsid w:val="00C537E2"/>
    <w:rsid w:val="00C53ECF"/>
    <w:rsid w:val="00C542ED"/>
    <w:rsid w:val="00C54BB3"/>
    <w:rsid w:val="00C54CAB"/>
    <w:rsid w:val="00C550D6"/>
    <w:rsid w:val="00C5516C"/>
    <w:rsid w:val="00C55368"/>
    <w:rsid w:val="00C55998"/>
    <w:rsid w:val="00C55C05"/>
    <w:rsid w:val="00C55C65"/>
    <w:rsid w:val="00C55E31"/>
    <w:rsid w:val="00C55EBF"/>
    <w:rsid w:val="00C55FAD"/>
    <w:rsid w:val="00C565E6"/>
    <w:rsid w:val="00C567A2"/>
    <w:rsid w:val="00C567B7"/>
    <w:rsid w:val="00C56B58"/>
    <w:rsid w:val="00C56C71"/>
    <w:rsid w:val="00C56CC7"/>
    <w:rsid w:val="00C56D81"/>
    <w:rsid w:val="00C56F42"/>
    <w:rsid w:val="00C57009"/>
    <w:rsid w:val="00C57524"/>
    <w:rsid w:val="00C576DA"/>
    <w:rsid w:val="00C5786F"/>
    <w:rsid w:val="00C57A96"/>
    <w:rsid w:val="00C57D0B"/>
    <w:rsid w:val="00C57F91"/>
    <w:rsid w:val="00C57FFC"/>
    <w:rsid w:val="00C6043A"/>
    <w:rsid w:val="00C60446"/>
    <w:rsid w:val="00C6058A"/>
    <w:rsid w:val="00C60A0B"/>
    <w:rsid w:val="00C60E00"/>
    <w:rsid w:val="00C60F2E"/>
    <w:rsid w:val="00C60FB8"/>
    <w:rsid w:val="00C617BE"/>
    <w:rsid w:val="00C61E0A"/>
    <w:rsid w:val="00C62304"/>
    <w:rsid w:val="00C62397"/>
    <w:rsid w:val="00C62BC6"/>
    <w:rsid w:val="00C62EB0"/>
    <w:rsid w:val="00C62F59"/>
    <w:rsid w:val="00C6345F"/>
    <w:rsid w:val="00C63AE6"/>
    <w:rsid w:val="00C63B43"/>
    <w:rsid w:val="00C63ED4"/>
    <w:rsid w:val="00C642E2"/>
    <w:rsid w:val="00C644F1"/>
    <w:rsid w:val="00C64763"/>
    <w:rsid w:val="00C652EE"/>
    <w:rsid w:val="00C65370"/>
    <w:rsid w:val="00C65462"/>
    <w:rsid w:val="00C65466"/>
    <w:rsid w:val="00C65A3A"/>
    <w:rsid w:val="00C65CF2"/>
    <w:rsid w:val="00C65ED9"/>
    <w:rsid w:val="00C6610E"/>
    <w:rsid w:val="00C66338"/>
    <w:rsid w:val="00C664E7"/>
    <w:rsid w:val="00C6679B"/>
    <w:rsid w:val="00C668BD"/>
    <w:rsid w:val="00C66B33"/>
    <w:rsid w:val="00C66BA4"/>
    <w:rsid w:val="00C66BE0"/>
    <w:rsid w:val="00C66DF1"/>
    <w:rsid w:val="00C67260"/>
    <w:rsid w:val="00C67541"/>
    <w:rsid w:val="00C679D6"/>
    <w:rsid w:val="00C67F2C"/>
    <w:rsid w:val="00C70004"/>
    <w:rsid w:val="00C701A9"/>
    <w:rsid w:val="00C70770"/>
    <w:rsid w:val="00C70D2F"/>
    <w:rsid w:val="00C70DEA"/>
    <w:rsid w:val="00C710CF"/>
    <w:rsid w:val="00C711FD"/>
    <w:rsid w:val="00C714CD"/>
    <w:rsid w:val="00C71858"/>
    <w:rsid w:val="00C71980"/>
    <w:rsid w:val="00C71C7C"/>
    <w:rsid w:val="00C71D05"/>
    <w:rsid w:val="00C72020"/>
    <w:rsid w:val="00C72062"/>
    <w:rsid w:val="00C723F1"/>
    <w:rsid w:val="00C7241D"/>
    <w:rsid w:val="00C724DD"/>
    <w:rsid w:val="00C7262B"/>
    <w:rsid w:val="00C72637"/>
    <w:rsid w:val="00C726B6"/>
    <w:rsid w:val="00C72820"/>
    <w:rsid w:val="00C72CA8"/>
    <w:rsid w:val="00C72D73"/>
    <w:rsid w:val="00C73D1F"/>
    <w:rsid w:val="00C73D56"/>
    <w:rsid w:val="00C74983"/>
    <w:rsid w:val="00C749B3"/>
    <w:rsid w:val="00C74C6A"/>
    <w:rsid w:val="00C753A0"/>
    <w:rsid w:val="00C75DDA"/>
    <w:rsid w:val="00C75E03"/>
    <w:rsid w:val="00C75EDF"/>
    <w:rsid w:val="00C75F61"/>
    <w:rsid w:val="00C76004"/>
    <w:rsid w:val="00C7632F"/>
    <w:rsid w:val="00C76356"/>
    <w:rsid w:val="00C7651B"/>
    <w:rsid w:val="00C765BD"/>
    <w:rsid w:val="00C766FD"/>
    <w:rsid w:val="00C76734"/>
    <w:rsid w:val="00C768DC"/>
    <w:rsid w:val="00C76BC0"/>
    <w:rsid w:val="00C76BC8"/>
    <w:rsid w:val="00C7746E"/>
    <w:rsid w:val="00C77503"/>
    <w:rsid w:val="00C7790A"/>
    <w:rsid w:val="00C77BA6"/>
    <w:rsid w:val="00C77BE5"/>
    <w:rsid w:val="00C77E4C"/>
    <w:rsid w:val="00C80072"/>
    <w:rsid w:val="00C801C3"/>
    <w:rsid w:val="00C802B3"/>
    <w:rsid w:val="00C803F8"/>
    <w:rsid w:val="00C81106"/>
    <w:rsid w:val="00C81167"/>
    <w:rsid w:val="00C81180"/>
    <w:rsid w:val="00C816F1"/>
    <w:rsid w:val="00C81AC1"/>
    <w:rsid w:val="00C81B0B"/>
    <w:rsid w:val="00C826EE"/>
    <w:rsid w:val="00C82885"/>
    <w:rsid w:val="00C82A90"/>
    <w:rsid w:val="00C82CCF"/>
    <w:rsid w:val="00C82DCA"/>
    <w:rsid w:val="00C82E03"/>
    <w:rsid w:val="00C82F60"/>
    <w:rsid w:val="00C83030"/>
    <w:rsid w:val="00C831DF"/>
    <w:rsid w:val="00C83861"/>
    <w:rsid w:val="00C8387F"/>
    <w:rsid w:val="00C83A0F"/>
    <w:rsid w:val="00C83D3B"/>
    <w:rsid w:val="00C84239"/>
    <w:rsid w:val="00C8423D"/>
    <w:rsid w:val="00C8447F"/>
    <w:rsid w:val="00C84606"/>
    <w:rsid w:val="00C84741"/>
    <w:rsid w:val="00C8496E"/>
    <w:rsid w:val="00C84AC5"/>
    <w:rsid w:val="00C84DA7"/>
    <w:rsid w:val="00C852A6"/>
    <w:rsid w:val="00C85490"/>
    <w:rsid w:val="00C859BA"/>
    <w:rsid w:val="00C85C22"/>
    <w:rsid w:val="00C85DA1"/>
    <w:rsid w:val="00C85E23"/>
    <w:rsid w:val="00C86003"/>
    <w:rsid w:val="00C860E0"/>
    <w:rsid w:val="00C860FF"/>
    <w:rsid w:val="00C86BC2"/>
    <w:rsid w:val="00C86D8A"/>
    <w:rsid w:val="00C86ED7"/>
    <w:rsid w:val="00C86FB9"/>
    <w:rsid w:val="00C86FF1"/>
    <w:rsid w:val="00C8747B"/>
    <w:rsid w:val="00C90103"/>
    <w:rsid w:val="00C9022C"/>
    <w:rsid w:val="00C90322"/>
    <w:rsid w:val="00C90B40"/>
    <w:rsid w:val="00C90BC3"/>
    <w:rsid w:val="00C912B8"/>
    <w:rsid w:val="00C91552"/>
    <w:rsid w:val="00C920AD"/>
    <w:rsid w:val="00C9235E"/>
    <w:rsid w:val="00C923B8"/>
    <w:rsid w:val="00C92578"/>
    <w:rsid w:val="00C92CC6"/>
    <w:rsid w:val="00C94152"/>
    <w:rsid w:val="00C9451D"/>
    <w:rsid w:val="00C948D6"/>
    <w:rsid w:val="00C949D7"/>
    <w:rsid w:val="00C94BFF"/>
    <w:rsid w:val="00C94D3C"/>
    <w:rsid w:val="00C94DB0"/>
    <w:rsid w:val="00C94EFE"/>
    <w:rsid w:val="00C94F1A"/>
    <w:rsid w:val="00C9568B"/>
    <w:rsid w:val="00C957D3"/>
    <w:rsid w:val="00C95CC2"/>
    <w:rsid w:val="00C95CF0"/>
    <w:rsid w:val="00C95E0F"/>
    <w:rsid w:val="00C9638C"/>
    <w:rsid w:val="00C969C6"/>
    <w:rsid w:val="00C96C40"/>
    <w:rsid w:val="00C96DB7"/>
    <w:rsid w:val="00C97539"/>
    <w:rsid w:val="00C9768C"/>
    <w:rsid w:val="00C979E8"/>
    <w:rsid w:val="00C97C4B"/>
    <w:rsid w:val="00C97DB0"/>
    <w:rsid w:val="00C97F38"/>
    <w:rsid w:val="00C97FB7"/>
    <w:rsid w:val="00CA0209"/>
    <w:rsid w:val="00CA0538"/>
    <w:rsid w:val="00CA05C1"/>
    <w:rsid w:val="00CA065D"/>
    <w:rsid w:val="00CA096B"/>
    <w:rsid w:val="00CA0AFC"/>
    <w:rsid w:val="00CA1188"/>
    <w:rsid w:val="00CA1361"/>
    <w:rsid w:val="00CA13D4"/>
    <w:rsid w:val="00CA1835"/>
    <w:rsid w:val="00CA18A1"/>
    <w:rsid w:val="00CA1C43"/>
    <w:rsid w:val="00CA211D"/>
    <w:rsid w:val="00CA22AF"/>
    <w:rsid w:val="00CA22DE"/>
    <w:rsid w:val="00CA259B"/>
    <w:rsid w:val="00CA26DE"/>
    <w:rsid w:val="00CA2996"/>
    <w:rsid w:val="00CA2CDF"/>
    <w:rsid w:val="00CA332E"/>
    <w:rsid w:val="00CA345A"/>
    <w:rsid w:val="00CA390C"/>
    <w:rsid w:val="00CA393D"/>
    <w:rsid w:val="00CA3D16"/>
    <w:rsid w:val="00CA4187"/>
    <w:rsid w:val="00CA47D3"/>
    <w:rsid w:val="00CA4A64"/>
    <w:rsid w:val="00CA4C5B"/>
    <w:rsid w:val="00CA4D01"/>
    <w:rsid w:val="00CA4DEE"/>
    <w:rsid w:val="00CA4E24"/>
    <w:rsid w:val="00CA50C9"/>
    <w:rsid w:val="00CA5214"/>
    <w:rsid w:val="00CA56C1"/>
    <w:rsid w:val="00CA60EC"/>
    <w:rsid w:val="00CA64D4"/>
    <w:rsid w:val="00CA658C"/>
    <w:rsid w:val="00CA66DB"/>
    <w:rsid w:val="00CA66DF"/>
    <w:rsid w:val="00CA6F13"/>
    <w:rsid w:val="00CA7608"/>
    <w:rsid w:val="00CB0363"/>
    <w:rsid w:val="00CB0665"/>
    <w:rsid w:val="00CB06CB"/>
    <w:rsid w:val="00CB08B0"/>
    <w:rsid w:val="00CB0E0F"/>
    <w:rsid w:val="00CB0E70"/>
    <w:rsid w:val="00CB1025"/>
    <w:rsid w:val="00CB105F"/>
    <w:rsid w:val="00CB111A"/>
    <w:rsid w:val="00CB1448"/>
    <w:rsid w:val="00CB144D"/>
    <w:rsid w:val="00CB146E"/>
    <w:rsid w:val="00CB17FB"/>
    <w:rsid w:val="00CB184C"/>
    <w:rsid w:val="00CB1F62"/>
    <w:rsid w:val="00CB220C"/>
    <w:rsid w:val="00CB2214"/>
    <w:rsid w:val="00CB23E4"/>
    <w:rsid w:val="00CB2964"/>
    <w:rsid w:val="00CB2BAB"/>
    <w:rsid w:val="00CB2FC2"/>
    <w:rsid w:val="00CB31E6"/>
    <w:rsid w:val="00CB325B"/>
    <w:rsid w:val="00CB3286"/>
    <w:rsid w:val="00CB3996"/>
    <w:rsid w:val="00CB3AA6"/>
    <w:rsid w:val="00CB3D51"/>
    <w:rsid w:val="00CB3DC2"/>
    <w:rsid w:val="00CB3F2E"/>
    <w:rsid w:val="00CB409F"/>
    <w:rsid w:val="00CB4F35"/>
    <w:rsid w:val="00CB53AF"/>
    <w:rsid w:val="00CB5563"/>
    <w:rsid w:val="00CB5731"/>
    <w:rsid w:val="00CB5803"/>
    <w:rsid w:val="00CB5C5E"/>
    <w:rsid w:val="00CB63DB"/>
    <w:rsid w:val="00CB667E"/>
    <w:rsid w:val="00CB6AE7"/>
    <w:rsid w:val="00CB6C79"/>
    <w:rsid w:val="00CB71DF"/>
    <w:rsid w:val="00CB78CD"/>
    <w:rsid w:val="00CC00BB"/>
    <w:rsid w:val="00CC0898"/>
    <w:rsid w:val="00CC0C43"/>
    <w:rsid w:val="00CC0D92"/>
    <w:rsid w:val="00CC128F"/>
    <w:rsid w:val="00CC148B"/>
    <w:rsid w:val="00CC14A5"/>
    <w:rsid w:val="00CC18DC"/>
    <w:rsid w:val="00CC1991"/>
    <w:rsid w:val="00CC1B1E"/>
    <w:rsid w:val="00CC1C4D"/>
    <w:rsid w:val="00CC1E7D"/>
    <w:rsid w:val="00CC1FB5"/>
    <w:rsid w:val="00CC24D2"/>
    <w:rsid w:val="00CC2576"/>
    <w:rsid w:val="00CC2D3E"/>
    <w:rsid w:val="00CC31AE"/>
    <w:rsid w:val="00CC3A23"/>
    <w:rsid w:val="00CC3AF9"/>
    <w:rsid w:val="00CC3B76"/>
    <w:rsid w:val="00CC48BD"/>
    <w:rsid w:val="00CC48FC"/>
    <w:rsid w:val="00CC4F94"/>
    <w:rsid w:val="00CC540A"/>
    <w:rsid w:val="00CC59C9"/>
    <w:rsid w:val="00CC609D"/>
    <w:rsid w:val="00CC60B2"/>
    <w:rsid w:val="00CC61D8"/>
    <w:rsid w:val="00CC6950"/>
    <w:rsid w:val="00CC6961"/>
    <w:rsid w:val="00CC696E"/>
    <w:rsid w:val="00CC6995"/>
    <w:rsid w:val="00CC70BD"/>
    <w:rsid w:val="00CC72E5"/>
    <w:rsid w:val="00CC7559"/>
    <w:rsid w:val="00CC79C3"/>
    <w:rsid w:val="00CC79D0"/>
    <w:rsid w:val="00CD0238"/>
    <w:rsid w:val="00CD06C5"/>
    <w:rsid w:val="00CD0866"/>
    <w:rsid w:val="00CD0A2E"/>
    <w:rsid w:val="00CD0BC6"/>
    <w:rsid w:val="00CD104B"/>
    <w:rsid w:val="00CD1128"/>
    <w:rsid w:val="00CD1408"/>
    <w:rsid w:val="00CD1632"/>
    <w:rsid w:val="00CD177C"/>
    <w:rsid w:val="00CD17F5"/>
    <w:rsid w:val="00CD18CC"/>
    <w:rsid w:val="00CD1964"/>
    <w:rsid w:val="00CD1E15"/>
    <w:rsid w:val="00CD2A44"/>
    <w:rsid w:val="00CD2B0E"/>
    <w:rsid w:val="00CD2C00"/>
    <w:rsid w:val="00CD2C52"/>
    <w:rsid w:val="00CD2C81"/>
    <w:rsid w:val="00CD2CDE"/>
    <w:rsid w:val="00CD2E0A"/>
    <w:rsid w:val="00CD3389"/>
    <w:rsid w:val="00CD35CC"/>
    <w:rsid w:val="00CD3D74"/>
    <w:rsid w:val="00CD3DBF"/>
    <w:rsid w:val="00CD3E08"/>
    <w:rsid w:val="00CD3E93"/>
    <w:rsid w:val="00CD447C"/>
    <w:rsid w:val="00CD4555"/>
    <w:rsid w:val="00CD496D"/>
    <w:rsid w:val="00CD4C92"/>
    <w:rsid w:val="00CD4CCD"/>
    <w:rsid w:val="00CD5022"/>
    <w:rsid w:val="00CD5365"/>
    <w:rsid w:val="00CD5409"/>
    <w:rsid w:val="00CD5853"/>
    <w:rsid w:val="00CD5FC3"/>
    <w:rsid w:val="00CD6427"/>
    <w:rsid w:val="00CD648F"/>
    <w:rsid w:val="00CD6C51"/>
    <w:rsid w:val="00CD6D15"/>
    <w:rsid w:val="00CD6E28"/>
    <w:rsid w:val="00CD6FD8"/>
    <w:rsid w:val="00CD736B"/>
    <w:rsid w:val="00CD7A0F"/>
    <w:rsid w:val="00CD7D27"/>
    <w:rsid w:val="00CE017D"/>
    <w:rsid w:val="00CE02C8"/>
    <w:rsid w:val="00CE036A"/>
    <w:rsid w:val="00CE03E7"/>
    <w:rsid w:val="00CE0404"/>
    <w:rsid w:val="00CE0466"/>
    <w:rsid w:val="00CE0608"/>
    <w:rsid w:val="00CE09D1"/>
    <w:rsid w:val="00CE0BAC"/>
    <w:rsid w:val="00CE0E5C"/>
    <w:rsid w:val="00CE0F4D"/>
    <w:rsid w:val="00CE100F"/>
    <w:rsid w:val="00CE1374"/>
    <w:rsid w:val="00CE16CB"/>
    <w:rsid w:val="00CE1966"/>
    <w:rsid w:val="00CE2117"/>
    <w:rsid w:val="00CE222F"/>
    <w:rsid w:val="00CE2278"/>
    <w:rsid w:val="00CE2502"/>
    <w:rsid w:val="00CE25A4"/>
    <w:rsid w:val="00CE2C5A"/>
    <w:rsid w:val="00CE3250"/>
    <w:rsid w:val="00CE3867"/>
    <w:rsid w:val="00CE3F54"/>
    <w:rsid w:val="00CE43D0"/>
    <w:rsid w:val="00CE4A72"/>
    <w:rsid w:val="00CE4C5A"/>
    <w:rsid w:val="00CE508D"/>
    <w:rsid w:val="00CE5401"/>
    <w:rsid w:val="00CE55E4"/>
    <w:rsid w:val="00CE573A"/>
    <w:rsid w:val="00CE5929"/>
    <w:rsid w:val="00CE5C37"/>
    <w:rsid w:val="00CE5D8B"/>
    <w:rsid w:val="00CE5DAE"/>
    <w:rsid w:val="00CE5E38"/>
    <w:rsid w:val="00CE6457"/>
    <w:rsid w:val="00CE64E4"/>
    <w:rsid w:val="00CE67D6"/>
    <w:rsid w:val="00CE6C45"/>
    <w:rsid w:val="00CE6E1B"/>
    <w:rsid w:val="00CE7092"/>
    <w:rsid w:val="00CE73C2"/>
    <w:rsid w:val="00CE744F"/>
    <w:rsid w:val="00CE74DB"/>
    <w:rsid w:val="00CE7807"/>
    <w:rsid w:val="00CE78CA"/>
    <w:rsid w:val="00CE7B50"/>
    <w:rsid w:val="00CF0233"/>
    <w:rsid w:val="00CF024F"/>
    <w:rsid w:val="00CF03DC"/>
    <w:rsid w:val="00CF0665"/>
    <w:rsid w:val="00CF06BA"/>
    <w:rsid w:val="00CF103C"/>
    <w:rsid w:val="00CF111E"/>
    <w:rsid w:val="00CF1251"/>
    <w:rsid w:val="00CF1379"/>
    <w:rsid w:val="00CF14DF"/>
    <w:rsid w:val="00CF1724"/>
    <w:rsid w:val="00CF1F3E"/>
    <w:rsid w:val="00CF1F6B"/>
    <w:rsid w:val="00CF2247"/>
    <w:rsid w:val="00CF2292"/>
    <w:rsid w:val="00CF2315"/>
    <w:rsid w:val="00CF2816"/>
    <w:rsid w:val="00CF2843"/>
    <w:rsid w:val="00CF2A64"/>
    <w:rsid w:val="00CF2D79"/>
    <w:rsid w:val="00CF2DC1"/>
    <w:rsid w:val="00CF31C1"/>
    <w:rsid w:val="00CF32DC"/>
    <w:rsid w:val="00CF335C"/>
    <w:rsid w:val="00CF3450"/>
    <w:rsid w:val="00CF346E"/>
    <w:rsid w:val="00CF38F9"/>
    <w:rsid w:val="00CF39AF"/>
    <w:rsid w:val="00CF3DE7"/>
    <w:rsid w:val="00CF42B8"/>
    <w:rsid w:val="00CF42C3"/>
    <w:rsid w:val="00CF456A"/>
    <w:rsid w:val="00CF47A7"/>
    <w:rsid w:val="00CF4B04"/>
    <w:rsid w:val="00CF4B56"/>
    <w:rsid w:val="00CF508A"/>
    <w:rsid w:val="00CF52C7"/>
    <w:rsid w:val="00CF5932"/>
    <w:rsid w:val="00CF61F0"/>
    <w:rsid w:val="00CF674A"/>
    <w:rsid w:val="00CF6756"/>
    <w:rsid w:val="00CF6BA5"/>
    <w:rsid w:val="00CF6E2E"/>
    <w:rsid w:val="00CF73FA"/>
    <w:rsid w:val="00CF74F1"/>
    <w:rsid w:val="00CF7655"/>
    <w:rsid w:val="00D002A3"/>
    <w:rsid w:val="00D004A7"/>
    <w:rsid w:val="00D005E7"/>
    <w:rsid w:val="00D006D5"/>
    <w:rsid w:val="00D00D86"/>
    <w:rsid w:val="00D01034"/>
    <w:rsid w:val="00D01C1B"/>
    <w:rsid w:val="00D01D45"/>
    <w:rsid w:val="00D02C7F"/>
    <w:rsid w:val="00D02DC7"/>
    <w:rsid w:val="00D02F1C"/>
    <w:rsid w:val="00D02F55"/>
    <w:rsid w:val="00D03926"/>
    <w:rsid w:val="00D048B1"/>
    <w:rsid w:val="00D04BE9"/>
    <w:rsid w:val="00D04D5E"/>
    <w:rsid w:val="00D04E71"/>
    <w:rsid w:val="00D054A7"/>
    <w:rsid w:val="00D05AAE"/>
    <w:rsid w:val="00D05C3A"/>
    <w:rsid w:val="00D069C9"/>
    <w:rsid w:val="00D06A4C"/>
    <w:rsid w:val="00D06C78"/>
    <w:rsid w:val="00D06F47"/>
    <w:rsid w:val="00D07440"/>
    <w:rsid w:val="00D07A96"/>
    <w:rsid w:val="00D07D71"/>
    <w:rsid w:val="00D103AE"/>
    <w:rsid w:val="00D1043D"/>
    <w:rsid w:val="00D10AE4"/>
    <w:rsid w:val="00D10C26"/>
    <w:rsid w:val="00D1155C"/>
    <w:rsid w:val="00D11594"/>
    <w:rsid w:val="00D11983"/>
    <w:rsid w:val="00D11AFB"/>
    <w:rsid w:val="00D1217E"/>
    <w:rsid w:val="00D12387"/>
    <w:rsid w:val="00D124EC"/>
    <w:rsid w:val="00D12A33"/>
    <w:rsid w:val="00D12E73"/>
    <w:rsid w:val="00D12F3D"/>
    <w:rsid w:val="00D13044"/>
    <w:rsid w:val="00D13169"/>
    <w:rsid w:val="00D132DF"/>
    <w:rsid w:val="00D133BD"/>
    <w:rsid w:val="00D13670"/>
    <w:rsid w:val="00D13B3F"/>
    <w:rsid w:val="00D13C6E"/>
    <w:rsid w:val="00D13DF4"/>
    <w:rsid w:val="00D140C6"/>
    <w:rsid w:val="00D1412D"/>
    <w:rsid w:val="00D141BC"/>
    <w:rsid w:val="00D14511"/>
    <w:rsid w:val="00D14538"/>
    <w:rsid w:val="00D14D42"/>
    <w:rsid w:val="00D14DA5"/>
    <w:rsid w:val="00D150B1"/>
    <w:rsid w:val="00D158D5"/>
    <w:rsid w:val="00D1595F"/>
    <w:rsid w:val="00D15BCB"/>
    <w:rsid w:val="00D16318"/>
    <w:rsid w:val="00D16589"/>
    <w:rsid w:val="00D167CE"/>
    <w:rsid w:val="00D16905"/>
    <w:rsid w:val="00D1727B"/>
    <w:rsid w:val="00D175F5"/>
    <w:rsid w:val="00D17742"/>
    <w:rsid w:val="00D178B7"/>
    <w:rsid w:val="00D17F4E"/>
    <w:rsid w:val="00D20109"/>
    <w:rsid w:val="00D208D4"/>
    <w:rsid w:val="00D20926"/>
    <w:rsid w:val="00D20B8E"/>
    <w:rsid w:val="00D20C73"/>
    <w:rsid w:val="00D20D6E"/>
    <w:rsid w:val="00D20E16"/>
    <w:rsid w:val="00D21862"/>
    <w:rsid w:val="00D21D6E"/>
    <w:rsid w:val="00D22520"/>
    <w:rsid w:val="00D228EE"/>
    <w:rsid w:val="00D22BC3"/>
    <w:rsid w:val="00D23260"/>
    <w:rsid w:val="00D2413E"/>
    <w:rsid w:val="00D24568"/>
    <w:rsid w:val="00D24B71"/>
    <w:rsid w:val="00D24F67"/>
    <w:rsid w:val="00D256AA"/>
    <w:rsid w:val="00D25AAD"/>
    <w:rsid w:val="00D25C54"/>
    <w:rsid w:val="00D26109"/>
    <w:rsid w:val="00D2655C"/>
    <w:rsid w:val="00D26A13"/>
    <w:rsid w:val="00D26D54"/>
    <w:rsid w:val="00D27218"/>
    <w:rsid w:val="00D275E5"/>
    <w:rsid w:val="00D275EF"/>
    <w:rsid w:val="00D27888"/>
    <w:rsid w:val="00D27A7F"/>
    <w:rsid w:val="00D27FA9"/>
    <w:rsid w:val="00D30080"/>
    <w:rsid w:val="00D305BC"/>
    <w:rsid w:val="00D306F6"/>
    <w:rsid w:val="00D307C1"/>
    <w:rsid w:val="00D3081F"/>
    <w:rsid w:val="00D3083E"/>
    <w:rsid w:val="00D30AF0"/>
    <w:rsid w:val="00D30CAC"/>
    <w:rsid w:val="00D30ED3"/>
    <w:rsid w:val="00D310E0"/>
    <w:rsid w:val="00D31500"/>
    <w:rsid w:val="00D31684"/>
    <w:rsid w:val="00D31814"/>
    <w:rsid w:val="00D31CA7"/>
    <w:rsid w:val="00D31DEE"/>
    <w:rsid w:val="00D3214F"/>
    <w:rsid w:val="00D322C8"/>
    <w:rsid w:val="00D32585"/>
    <w:rsid w:val="00D328B7"/>
    <w:rsid w:val="00D328C5"/>
    <w:rsid w:val="00D3293D"/>
    <w:rsid w:val="00D32C39"/>
    <w:rsid w:val="00D32D60"/>
    <w:rsid w:val="00D32D9A"/>
    <w:rsid w:val="00D32E91"/>
    <w:rsid w:val="00D333C1"/>
    <w:rsid w:val="00D33452"/>
    <w:rsid w:val="00D33620"/>
    <w:rsid w:val="00D342A2"/>
    <w:rsid w:val="00D34506"/>
    <w:rsid w:val="00D34A46"/>
    <w:rsid w:val="00D34B50"/>
    <w:rsid w:val="00D34BB3"/>
    <w:rsid w:val="00D34CCB"/>
    <w:rsid w:val="00D35326"/>
    <w:rsid w:val="00D3558A"/>
    <w:rsid w:val="00D35B63"/>
    <w:rsid w:val="00D35E02"/>
    <w:rsid w:val="00D35EC4"/>
    <w:rsid w:val="00D36373"/>
    <w:rsid w:val="00D36423"/>
    <w:rsid w:val="00D366EE"/>
    <w:rsid w:val="00D36A46"/>
    <w:rsid w:val="00D36A50"/>
    <w:rsid w:val="00D371B2"/>
    <w:rsid w:val="00D37258"/>
    <w:rsid w:val="00D3726B"/>
    <w:rsid w:val="00D374E9"/>
    <w:rsid w:val="00D37C80"/>
    <w:rsid w:val="00D37EC5"/>
    <w:rsid w:val="00D400CA"/>
    <w:rsid w:val="00D4028C"/>
    <w:rsid w:val="00D40383"/>
    <w:rsid w:val="00D406C1"/>
    <w:rsid w:val="00D40789"/>
    <w:rsid w:val="00D4083F"/>
    <w:rsid w:val="00D40BA9"/>
    <w:rsid w:val="00D40CC0"/>
    <w:rsid w:val="00D40ED7"/>
    <w:rsid w:val="00D4121D"/>
    <w:rsid w:val="00D41526"/>
    <w:rsid w:val="00D416AB"/>
    <w:rsid w:val="00D41A3B"/>
    <w:rsid w:val="00D41B7D"/>
    <w:rsid w:val="00D41BF8"/>
    <w:rsid w:val="00D41CDF"/>
    <w:rsid w:val="00D42381"/>
    <w:rsid w:val="00D426AA"/>
    <w:rsid w:val="00D426BF"/>
    <w:rsid w:val="00D42FCF"/>
    <w:rsid w:val="00D43081"/>
    <w:rsid w:val="00D43132"/>
    <w:rsid w:val="00D4345D"/>
    <w:rsid w:val="00D435C2"/>
    <w:rsid w:val="00D435EC"/>
    <w:rsid w:val="00D4363C"/>
    <w:rsid w:val="00D43806"/>
    <w:rsid w:val="00D43BF2"/>
    <w:rsid w:val="00D43C3D"/>
    <w:rsid w:val="00D43DA9"/>
    <w:rsid w:val="00D43EA2"/>
    <w:rsid w:val="00D43EEA"/>
    <w:rsid w:val="00D448EC"/>
    <w:rsid w:val="00D44B4E"/>
    <w:rsid w:val="00D44F80"/>
    <w:rsid w:val="00D44FCC"/>
    <w:rsid w:val="00D453D8"/>
    <w:rsid w:val="00D45778"/>
    <w:rsid w:val="00D45B67"/>
    <w:rsid w:val="00D46324"/>
    <w:rsid w:val="00D4660B"/>
    <w:rsid w:val="00D46B71"/>
    <w:rsid w:val="00D46FEA"/>
    <w:rsid w:val="00D47620"/>
    <w:rsid w:val="00D4765B"/>
    <w:rsid w:val="00D47820"/>
    <w:rsid w:val="00D47998"/>
    <w:rsid w:val="00D479D8"/>
    <w:rsid w:val="00D47D34"/>
    <w:rsid w:val="00D47E4A"/>
    <w:rsid w:val="00D502CD"/>
    <w:rsid w:val="00D50458"/>
    <w:rsid w:val="00D50615"/>
    <w:rsid w:val="00D508EC"/>
    <w:rsid w:val="00D50C09"/>
    <w:rsid w:val="00D5103F"/>
    <w:rsid w:val="00D515DF"/>
    <w:rsid w:val="00D516DB"/>
    <w:rsid w:val="00D51998"/>
    <w:rsid w:val="00D51B64"/>
    <w:rsid w:val="00D51D25"/>
    <w:rsid w:val="00D51E1A"/>
    <w:rsid w:val="00D51FB2"/>
    <w:rsid w:val="00D52053"/>
    <w:rsid w:val="00D5245B"/>
    <w:rsid w:val="00D526BF"/>
    <w:rsid w:val="00D52D2E"/>
    <w:rsid w:val="00D53053"/>
    <w:rsid w:val="00D530DA"/>
    <w:rsid w:val="00D53189"/>
    <w:rsid w:val="00D532A0"/>
    <w:rsid w:val="00D536B6"/>
    <w:rsid w:val="00D53779"/>
    <w:rsid w:val="00D54020"/>
    <w:rsid w:val="00D545AB"/>
    <w:rsid w:val="00D5462F"/>
    <w:rsid w:val="00D5470A"/>
    <w:rsid w:val="00D54C95"/>
    <w:rsid w:val="00D54CFA"/>
    <w:rsid w:val="00D5515E"/>
    <w:rsid w:val="00D554D0"/>
    <w:rsid w:val="00D55AFE"/>
    <w:rsid w:val="00D55E21"/>
    <w:rsid w:val="00D56163"/>
    <w:rsid w:val="00D5637E"/>
    <w:rsid w:val="00D563BF"/>
    <w:rsid w:val="00D56570"/>
    <w:rsid w:val="00D568BB"/>
    <w:rsid w:val="00D56B7E"/>
    <w:rsid w:val="00D56C39"/>
    <w:rsid w:val="00D56CDB"/>
    <w:rsid w:val="00D56D5D"/>
    <w:rsid w:val="00D57019"/>
    <w:rsid w:val="00D5729A"/>
    <w:rsid w:val="00D572C6"/>
    <w:rsid w:val="00D575D8"/>
    <w:rsid w:val="00D5790B"/>
    <w:rsid w:val="00D57A78"/>
    <w:rsid w:val="00D57B9B"/>
    <w:rsid w:val="00D57BD1"/>
    <w:rsid w:val="00D57D8C"/>
    <w:rsid w:val="00D57FC7"/>
    <w:rsid w:val="00D60254"/>
    <w:rsid w:val="00D60358"/>
    <w:rsid w:val="00D60411"/>
    <w:rsid w:val="00D605ED"/>
    <w:rsid w:val="00D60B62"/>
    <w:rsid w:val="00D60E1A"/>
    <w:rsid w:val="00D60F77"/>
    <w:rsid w:val="00D60FE3"/>
    <w:rsid w:val="00D61046"/>
    <w:rsid w:val="00D6119E"/>
    <w:rsid w:val="00D615E0"/>
    <w:rsid w:val="00D61676"/>
    <w:rsid w:val="00D62782"/>
    <w:rsid w:val="00D62903"/>
    <w:rsid w:val="00D62AAB"/>
    <w:rsid w:val="00D62B0F"/>
    <w:rsid w:val="00D62B93"/>
    <w:rsid w:val="00D62C06"/>
    <w:rsid w:val="00D62C9B"/>
    <w:rsid w:val="00D62FA3"/>
    <w:rsid w:val="00D6325B"/>
    <w:rsid w:val="00D633CC"/>
    <w:rsid w:val="00D63B87"/>
    <w:rsid w:val="00D63CBC"/>
    <w:rsid w:val="00D6406B"/>
    <w:rsid w:val="00D640ED"/>
    <w:rsid w:val="00D6456E"/>
    <w:rsid w:val="00D648CB"/>
    <w:rsid w:val="00D64BAD"/>
    <w:rsid w:val="00D65555"/>
    <w:rsid w:val="00D657D6"/>
    <w:rsid w:val="00D65FBA"/>
    <w:rsid w:val="00D667F6"/>
    <w:rsid w:val="00D669CB"/>
    <w:rsid w:val="00D66A87"/>
    <w:rsid w:val="00D66BAE"/>
    <w:rsid w:val="00D66EF2"/>
    <w:rsid w:val="00D67216"/>
    <w:rsid w:val="00D67371"/>
    <w:rsid w:val="00D67982"/>
    <w:rsid w:val="00D67A93"/>
    <w:rsid w:val="00D7039D"/>
    <w:rsid w:val="00D703E5"/>
    <w:rsid w:val="00D71000"/>
    <w:rsid w:val="00D71005"/>
    <w:rsid w:val="00D71148"/>
    <w:rsid w:val="00D711AA"/>
    <w:rsid w:val="00D7146F"/>
    <w:rsid w:val="00D715F9"/>
    <w:rsid w:val="00D71B6E"/>
    <w:rsid w:val="00D71C0E"/>
    <w:rsid w:val="00D71CA0"/>
    <w:rsid w:val="00D72F92"/>
    <w:rsid w:val="00D730F3"/>
    <w:rsid w:val="00D73231"/>
    <w:rsid w:val="00D73392"/>
    <w:rsid w:val="00D73723"/>
    <w:rsid w:val="00D73776"/>
    <w:rsid w:val="00D73892"/>
    <w:rsid w:val="00D73B16"/>
    <w:rsid w:val="00D73BCC"/>
    <w:rsid w:val="00D73F06"/>
    <w:rsid w:val="00D73F98"/>
    <w:rsid w:val="00D7406F"/>
    <w:rsid w:val="00D74165"/>
    <w:rsid w:val="00D7432A"/>
    <w:rsid w:val="00D74358"/>
    <w:rsid w:val="00D746AC"/>
    <w:rsid w:val="00D74BD3"/>
    <w:rsid w:val="00D74C55"/>
    <w:rsid w:val="00D75379"/>
    <w:rsid w:val="00D755FF"/>
    <w:rsid w:val="00D756BC"/>
    <w:rsid w:val="00D75793"/>
    <w:rsid w:val="00D757D9"/>
    <w:rsid w:val="00D7596C"/>
    <w:rsid w:val="00D7677B"/>
    <w:rsid w:val="00D769EE"/>
    <w:rsid w:val="00D76E26"/>
    <w:rsid w:val="00D76E36"/>
    <w:rsid w:val="00D76E8A"/>
    <w:rsid w:val="00D770F6"/>
    <w:rsid w:val="00D773AF"/>
    <w:rsid w:val="00D775D9"/>
    <w:rsid w:val="00D77950"/>
    <w:rsid w:val="00D8013C"/>
    <w:rsid w:val="00D802FE"/>
    <w:rsid w:val="00D80539"/>
    <w:rsid w:val="00D8053C"/>
    <w:rsid w:val="00D80623"/>
    <w:rsid w:val="00D80B96"/>
    <w:rsid w:val="00D80CBD"/>
    <w:rsid w:val="00D80D44"/>
    <w:rsid w:val="00D812E7"/>
    <w:rsid w:val="00D815E5"/>
    <w:rsid w:val="00D818E9"/>
    <w:rsid w:val="00D8191D"/>
    <w:rsid w:val="00D81F78"/>
    <w:rsid w:val="00D81F84"/>
    <w:rsid w:val="00D821A6"/>
    <w:rsid w:val="00D828CC"/>
    <w:rsid w:val="00D82A11"/>
    <w:rsid w:val="00D82AD1"/>
    <w:rsid w:val="00D82E33"/>
    <w:rsid w:val="00D83DDA"/>
    <w:rsid w:val="00D83E21"/>
    <w:rsid w:val="00D840BA"/>
    <w:rsid w:val="00D84487"/>
    <w:rsid w:val="00D844E5"/>
    <w:rsid w:val="00D848F9"/>
    <w:rsid w:val="00D84F9A"/>
    <w:rsid w:val="00D851C5"/>
    <w:rsid w:val="00D856E3"/>
    <w:rsid w:val="00D85FD0"/>
    <w:rsid w:val="00D86038"/>
    <w:rsid w:val="00D86180"/>
    <w:rsid w:val="00D865D0"/>
    <w:rsid w:val="00D86780"/>
    <w:rsid w:val="00D86B20"/>
    <w:rsid w:val="00D86C64"/>
    <w:rsid w:val="00D8700E"/>
    <w:rsid w:val="00D871DC"/>
    <w:rsid w:val="00D8747D"/>
    <w:rsid w:val="00D87500"/>
    <w:rsid w:val="00D875C2"/>
    <w:rsid w:val="00D87761"/>
    <w:rsid w:val="00D87A74"/>
    <w:rsid w:val="00D87A78"/>
    <w:rsid w:val="00D87DCC"/>
    <w:rsid w:val="00D90224"/>
    <w:rsid w:val="00D9051B"/>
    <w:rsid w:val="00D907E9"/>
    <w:rsid w:val="00D908C9"/>
    <w:rsid w:val="00D90DC6"/>
    <w:rsid w:val="00D9130F"/>
    <w:rsid w:val="00D917DD"/>
    <w:rsid w:val="00D91931"/>
    <w:rsid w:val="00D91B00"/>
    <w:rsid w:val="00D91DD0"/>
    <w:rsid w:val="00D92214"/>
    <w:rsid w:val="00D9230B"/>
    <w:rsid w:val="00D92A46"/>
    <w:rsid w:val="00D92E9B"/>
    <w:rsid w:val="00D935FF"/>
    <w:rsid w:val="00D94050"/>
    <w:rsid w:val="00D94139"/>
    <w:rsid w:val="00D94169"/>
    <w:rsid w:val="00D942F5"/>
    <w:rsid w:val="00D944B6"/>
    <w:rsid w:val="00D9492C"/>
    <w:rsid w:val="00D94D85"/>
    <w:rsid w:val="00D94FA1"/>
    <w:rsid w:val="00D9561F"/>
    <w:rsid w:val="00D957C4"/>
    <w:rsid w:val="00D958DF"/>
    <w:rsid w:val="00D95902"/>
    <w:rsid w:val="00D95AC3"/>
    <w:rsid w:val="00D95EE7"/>
    <w:rsid w:val="00D9600A"/>
    <w:rsid w:val="00D9635E"/>
    <w:rsid w:val="00D96474"/>
    <w:rsid w:val="00D96517"/>
    <w:rsid w:val="00D965A9"/>
    <w:rsid w:val="00D96818"/>
    <w:rsid w:val="00D968A3"/>
    <w:rsid w:val="00D96AA6"/>
    <w:rsid w:val="00D96AAC"/>
    <w:rsid w:val="00D96EDA"/>
    <w:rsid w:val="00D96EDC"/>
    <w:rsid w:val="00D97411"/>
    <w:rsid w:val="00D97858"/>
    <w:rsid w:val="00D978CE"/>
    <w:rsid w:val="00D979F4"/>
    <w:rsid w:val="00D97AA2"/>
    <w:rsid w:val="00DA02C2"/>
    <w:rsid w:val="00DA0445"/>
    <w:rsid w:val="00DA073A"/>
    <w:rsid w:val="00DA09E9"/>
    <w:rsid w:val="00DA0BBB"/>
    <w:rsid w:val="00DA0E70"/>
    <w:rsid w:val="00DA0EF9"/>
    <w:rsid w:val="00DA0F8C"/>
    <w:rsid w:val="00DA10FE"/>
    <w:rsid w:val="00DA1795"/>
    <w:rsid w:val="00DA1894"/>
    <w:rsid w:val="00DA20DA"/>
    <w:rsid w:val="00DA2272"/>
    <w:rsid w:val="00DA27F1"/>
    <w:rsid w:val="00DA27FB"/>
    <w:rsid w:val="00DA28B5"/>
    <w:rsid w:val="00DA2A87"/>
    <w:rsid w:val="00DA2E25"/>
    <w:rsid w:val="00DA3483"/>
    <w:rsid w:val="00DA37AC"/>
    <w:rsid w:val="00DA385A"/>
    <w:rsid w:val="00DA3878"/>
    <w:rsid w:val="00DA3B1B"/>
    <w:rsid w:val="00DA3C56"/>
    <w:rsid w:val="00DA3E37"/>
    <w:rsid w:val="00DA45A6"/>
    <w:rsid w:val="00DA45FD"/>
    <w:rsid w:val="00DA484A"/>
    <w:rsid w:val="00DA4880"/>
    <w:rsid w:val="00DA4BD4"/>
    <w:rsid w:val="00DA4C61"/>
    <w:rsid w:val="00DA5CB9"/>
    <w:rsid w:val="00DA5F28"/>
    <w:rsid w:val="00DA659B"/>
    <w:rsid w:val="00DA6AAF"/>
    <w:rsid w:val="00DA6B39"/>
    <w:rsid w:val="00DA6BAD"/>
    <w:rsid w:val="00DA6C9B"/>
    <w:rsid w:val="00DA73BB"/>
    <w:rsid w:val="00DA7492"/>
    <w:rsid w:val="00DA74A5"/>
    <w:rsid w:val="00DA7849"/>
    <w:rsid w:val="00DA7AF5"/>
    <w:rsid w:val="00DA7C64"/>
    <w:rsid w:val="00DA7D39"/>
    <w:rsid w:val="00DA7ECB"/>
    <w:rsid w:val="00DB03C6"/>
    <w:rsid w:val="00DB0502"/>
    <w:rsid w:val="00DB05C3"/>
    <w:rsid w:val="00DB0872"/>
    <w:rsid w:val="00DB0B8D"/>
    <w:rsid w:val="00DB153C"/>
    <w:rsid w:val="00DB15CA"/>
    <w:rsid w:val="00DB17CC"/>
    <w:rsid w:val="00DB1A3F"/>
    <w:rsid w:val="00DB2106"/>
    <w:rsid w:val="00DB2260"/>
    <w:rsid w:val="00DB2519"/>
    <w:rsid w:val="00DB28A7"/>
    <w:rsid w:val="00DB2B2F"/>
    <w:rsid w:val="00DB3122"/>
    <w:rsid w:val="00DB33B5"/>
    <w:rsid w:val="00DB3461"/>
    <w:rsid w:val="00DB3491"/>
    <w:rsid w:val="00DB35FB"/>
    <w:rsid w:val="00DB3F7E"/>
    <w:rsid w:val="00DB430E"/>
    <w:rsid w:val="00DB4443"/>
    <w:rsid w:val="00DB4649"/>
    <w:rsid w:val="00DB4656"/>
    <w:rsid w:val="00DB46F7"/>
    <w:rsid w:val="00DB48AB"/>
    <w:rsid w:val="00DB4B0B"/>
    <w:rsid w:val="00DB4B18"/>
    <w:rsid w:val="00DB4B2A"/>
    <w:rsid w:val="00DB56A2"/>
    <w:rsid w:val="00DB5739"/>
    <w:rsid w:val="00DB580D"/>
    <w:rsid w:val="00DB5DA0"/>
    <w:rsid w:val="00DB6000"/>
    <w:rsid w:val="00DB640B"/>
    <w:rsid w:val="00DB66F9"/>
    <w:rsid w:val="00DB676C"/>
    <w:rsid w:val="00DB6884"/>
    <w:rsid w:val="00DB6895"/>
    <w:rsid w:val="00DB6D2C"/>
    <w:rsid w:val="00DB6E79"/>
    <w:rsid w:val="00DB6EA6"/>
    <w:rsid w:val="00DB6F46"/>
    <w:rsid w:val="00DB7CC1"/>
    <w:rsid w:val="00DB7D85"/>
    <w:rsid w:val="00DC0B31"/>
    <w:rsid w:val="00DC0CF8"/>
    <w:rsid w:val="00DC1172"/>
    <w:rsid w:val="00DC1786"/>
    <w:rsid w:val="00DC1BA5"/>
    <w:rsid w:val="00DC2100"/>
    <w:rsid w:val="00DC237C"/>
    <w:rsid w:val="00DC2527"/>
    <w:rsid w:val="00DC284F"/>
    <w:rsid w:val="00DC2E81"/>
    <w:rsid w:val="00DC339F"/>
    <w:rsid w:val="00DC3603"/>
    <w:rsid w:val="00DC3823"/>
    <w:rsid w:val="00DC3A18"/>
    <w:rsid w:val="00DC3B15"/>
    <w:rsid w:val="00DC4F1E"/>
    <w:rsid w:val="00DC51A7"/>
    <w:rsid w:val="00DC5488"/>
    <w:rsid w:val="00DC5499"/>
    <w:rsid w:val="00DC58E9"/>
    <w:rsid w:val="00DC5995"/>
    <w:rsid w:val="00DC5BAF"/>
    <w:rsid w:val="00DC60A4"/>
    <w:rsid w:val="00DC62EA"/>
    <w:rsid w:val="00DC65EA"/>
    <w:rsid w:val="00DC664C"/>
    <w:rsid w:val="00DC6945"/>
    <w:rsid w:val="00DC6ACC"/>
    <w:rsid w:val="00DC6C2D"/>
    <w:rsid w:val="00DC6DCD"/>
    <w:rsid w:val="00DC6EE3"/>
    <w:rsid w:val="00DC740F"/>
    <w:rsid w:val="00DC760D"/>
    <w:rsid w:val="00DC7678"/>
    <w:rsid w:val="00DC7718"/>
    <w:rsid w:val="00DC799F"/>
    <w:rsid w:val="00DC7CA0"/>
    <w:rsid w:val="00DC7DC5"/>
    <w:rsid w:val="00DC7E8A"/>
    <w:rsid w:val="00DC7FC2"/>
    <w:rsid w:val="00DD0167"/>
    <w:rsid w:val="00DD023D"/>
    <w:rsid w:val="00DD0ADD"/>
    <w:rsid w:val="00DD0E40"/>
    <w:rsid w:val="00DD122C"/>
    <w:rsid w:val="00DD16EF"/>
    <w:rsid w:val="00DD1905"/>
    <w:rsid w:val="00DD194E"/>
    <w:rsid w:val="00DD1C93"/>
    <w:rsid w:val="00DD1E0F"/>
    <w:rsid w:val="00DD217C"/>
    <w:rsid w:val="00DD233B"/>
    <w:rsid w:val="00DD2370"/>
    <w:rsid w:val="00DD2404"/>
    <w:rsid w:val="00DD27A4"/>
    <w:rsid w:val="00DD28D2"/>
    <w:rsid w:val="00DD2C68"/>
    <w:rsid w:val="00DD2D71"/>
    <w:rsid w:val="00DD2F84"/>
    <w:rsid w:val="00DD3128"/>
    <w:rsid w:val="00DD352F"/>
    <w:rsid w:val="00DD3889"/>
    <w:rsid w:val="00DD3DB1"/>
    <w:rsid w:val="00DD410A"/>
    <w:rsid w:val="00DD41ED"/>
    <w:rsid w:val="00DD4378"/>
    <w:rsid w:val="00DD44FA"/>
    <w:rsid w:val="00DD45EC"/>
    <w:rsid w:val="00DD483A"/>
    <w:rsid w:val="00DD4C70"/>
    <w:rsid w:val="00DD4C71"/>
    <w:rsid w:val="00DD4EF9"/>
    <w:rsid w:val="00DD5538"/>
    <w:rsid w:val="00DD56C5"/>
    <w:rsid w:val="00DD58ED"/>
    <w:rsid w:val="00DD58F5"/>
    <w:rsid w:val="00DD59AB"/>
    <w:rsid w:val="00DD5C06"/>
    <w:rsid w:val="00DD5C4E"/>
    <w:rsid w:val="00DD5D4A"/>
    <w:rsid w:val="00DD6120"/>
    <w:rsid w:val="00DD6386"/>
    <w:rsid w:val="00DD63D5"/>
    <w:rsid w:val="00DD69D7"/>
    <w:rsid w:val="00DD7053"/>
    <w:rsid w:val="00DD74AD"/>
    <w:rsid w:val="00DD76F0"/>
    <w:rsid w:val="00DD7A63"/>
    <w:rsid w:val="00DD7D63"/>
    <w:rsid w:val="00DD7E92"/>
    <w:rsid w:val="00DE0049"/>
    <w:rsid w:val="00DE017D"/>
    <w:rsid w:val="00DE01CF"/>
    <w:rsid w:val="00DE0310"/>
    <w:rsid w:val="00DE033B"/>
    <w:rsid w:val="00DE0BA0"/>
    <w:rsid w:val="00DE0ED8"/>
    <w:rsid w:val="00DE0FFF"/>
    <w:rsid w:val="00DE1144"/>
    <w:rsid w:val="00DE169D"/>
    <w:rsid w:val="00DE1BEC"/>
    <w:rsid w:val="00DE1D7F"/>
    <w:rsid w:val="00DE1DBE"/>
    <w:rsid w:val="00DE1EA3"/>
    <w:rsid w:val="00DE1F43"/>
    <w:rsid w:val="00DE2227"/>
    <w:rsid w:val="00DE22D9"/>
    <w:rsid w:val="00DE265E"/>
    <w:rsid w:val="00DE287A"/>
    <w:rsid w:val="00DE2EDA"/>
    <w:rsid w:val="00DE2F4C"/>
    <w:rsid w:val="00DE354B"/>
    <w:rsid w:val="00DE39E4"/>
    <w:rsid w:val="00DE39F0"/>
    <w:rsid w:val="00DE3CEE"/>
    <w:rsid w:val="00DE3D00"/>
    <w:rsid w:val="00DE3F4C"/>
    <w:rsid w:val="00DE497B"/>
    <w:rsid w:val="00DE4A05"/>
    <w:rsid w:val="00DE4DED"/>
    <w:rsid w:val="00DE4E77"/>
    <w:rsid w:val="00DE4F03"/>
    <w:rsid w:val="00DE4FA9"/>
    <w:rsid w:val="00DE5550"/>
    <w:rsid w:val="00DE56EF"/>
    <w:rsid w:val="00DE579E"/>
    <w:rsid w:val="00DE5959"/>
    <w:rsid w:val="00DE601A"/>
    <w:rsid w:val="00DE6350"/>
    <w:rsid w:val="00DE684F"/>
    <w:rsid w:val="00DE6CD4"/>
    <w:rsid w:val="00DE6DCD"/>
    <w:rsid w:val="00DE6F16"/>
    <w:rsid w:val="00DE718A"/>
    <w:rsid w:val="00DE73D4"/>
    <w:rsid w:val="00DE7499"/>
    <w:rsid w:val="00DE7B7E"/>
    <w:rsid w:val="00DF0684"/>
    <w:rsid w:val="00DF0872"/>
    <w:rsid w:val="00DF0A22"/>
    <w:rsid w:val="00DF0BA0"/>
    <w:rsid w:val="00DF139D"/>
    <w:rsid w:val="00DF1560"/>
    <w:rsid w:val="00DF168B"/>
    <w:rsid w:val="00DF2214"/>
    <w:rsid w:val="00DF27EF"/>
    <w:rsid w:val="00DF27FE"/>
    <w:rsid w:val="00DF2D9C"/>
    <w:rsid w:val="00DF3655"/>
    <w:rsid w:val="00DF3C0C"/>
    <w:rsid w:val="00DF3FE8"/>
    <w:rsid w:val="00DF43B3"/>
    <w:rsid w:val="00DF44F3"/>
    <w:rsid w:val="00DF4840"/>
    <w:rsid w:val="00DF488E"/>
    <w:rsid w:val="00DF4E1A"/>
    <w:rsid w:val="00DF4E43"/>
    <w:rsid w:val="00DF53FE"/>
    <w:rsid w:val="00DF55B6"/>
    <w:rsid w:val="00DF560F"/>
    <w:rsid w:val="00DF5A99"/>
    <w:rsid w:val="00DF5BC0"/>
    <w:rsid w:val="00DF61D0"/>
    <w:rsid w:val="00DF62B1"/>
    <w:rsid w:val="00DF647E"/>
    <w:rsid w:val="00DF6778"/>
    <w:rsid w:val="00DF6862"/>
    <w:rsid w:val="00DF6BF6"/>
    <w:rsid w:val="00DF6CB1"/>
    <w:rsid w:val="00DF7674"/>
    <w:rsid w:val="00DF7924"/>
    <w:rsid w:val="00DF7A37"/>
    <w:rsid w:val="00DF7F92"/>
    <w:rsid w:val="00E003A7"/>
    <w:rsid w:val="00E004F7"/>
    <w:rsid w:val="00E00654"/>
    <w:rsid w:val="00E00688"/>
    <w:rsid w:val="00E0073B"/>
    <w:rsid w:val="00E0075F"/>
    <w:rsid w:val="00E00DAA"/>
    <w:rsid w:val="00E00DD2"/>
    <w:rsid w:val="00E00FC1"/>
    <w:rsid w:val="00E01037"/>
    <w:rsid w:val="00E010D6"/>
    <w:rsid w:val="00E01110"/>
    <w:rsid w:val="00E01B83"/>
    <w:rsid w:val="00E02715"/>
    <w:rsid w:val="00E0296F"/>
    <w:rsid w:val="00E02A26"/>
    <w:rsid w:val="00E02E83"/>
    <w:rsid w:val="00E0316C"/>
    <w:rsid w:val="00E031C8"/>
    <w:rsid w:val="00E033A5"/>
    <w:rsid w:val="00E03748"/>
    <w:rsid w:val="00E03780"/>
    <w:rsid w:val="00E0486F"/>
    <w:rsid w:val="00E048E2"/>
    <w:rsid w:val="00E04F60"/>
    <w:rsid w:val="00E05269"/>
    <w:rsid w:val="00E054D8"/>
    <w:rsid w:val="00E05529"/>
    <w:rsid w:val="00E05FB4"/>
    <w:rsid w:val="00E069BA"/>
    <w:rsid w:val="00E06E20"/>
    <w:rsid w:val="00E06E3C"/>
    <w:rsid w:val="00E06F9F"/>
    <w:rsid w:val="00E07062"/>
    <w:rsid w:val="00E07079"/>
    <w:rsid w:val="00E0725B"/>
    <w:rsid w:val="00E0778E"/>
    <w:rsid w:val="00E07BEB"/>
    <w:rsid w:val="00E07D5C"/>
    <w:rsid w:val="00E07F9C"/>
    <w:rsid w:val="00E100C0"/>
    <w:rsid w:val="00E1045A"/>
    <w:rsid w:val="00E1072D"/>
    <w:rsid w:val="00E108B0"/>
    <w:rsid w:val="00E109A1"/>
    <w:rsid w:val="00E10C0F"/>
    <w:rsid w:val="00E113B9"/>
    <w:rsid w:val="00E11418"/>
    <w:rsid w:val="00E1159D"/>
    <w:rsid w:val="00E11A65"/>
    <w:rsid w:val="00E11B3E"/>
    <w:rsid w:val="00E11E54"/>
    <w:rsid w:val="00E11FDB"/>
    <w:rsid w:val="00E12080"/>
    <w:rsid w:val="00E12237"/>
    <w:rsid w:val="00E12882"/>
    <w:rsid w:val="00E12B6B"/>
    <w:rsid w:val="00E12C7A"/>
    <w:rsid w:val="00E12EF5"/>
    <w:rsid w:val="00E13417"/>
    <w:rsid w:val="00E139FC"/>
    <w:rsid w:val="00E13A61"/>
    <w:rsid w:val="00E13C63"/>
    <w:rsid w:val="00E13C95"/>
    <w:rsid w:val="00E13EB2"/>
    <w:rsid w:val="00E1410C"/>
    <w:rsid w:val="00E142BD"/>
    <w:rsid w:val="00E15136"/>
    <w:rsid w:val="00E156F0"/>
    <w:rsid w:val="00E158A3"/>
    <w:rsid w:val="00E15BD9"/>
    <w:rsid w:val="00E162DD"/>
    <w:rsid w:val="00E16312"/>
    <w:rsid w:val="00E169CE"/>
    <w:rsid w:val="00E16DC5"/>
    <w:rsid w:val="00E17043"/>
    <w:rsid w:val="00E1722D"/>
    <w:rsid w:val="00E17692"/>
    <w:rsid w:val="00E179E0"/>
    <w:rsid w:val="00E20072"/>
    <w:rsid w:val="00E201C9"/>
    <w:rsid w:val="00E201F9"/>
    <w:rsid w:val="00E20474"/>
    <w:rsid w:val="00E205E5"/>
    <w:rsid w:val="00E206D1"/>
    <w:rsid w:val="00E2078F"/>
    <w:rsid w:val="00E21446"/>
    <w:rsid w:val="00E2150C"/>
    <w:rsid w:val="00E219AA"/>
    <w:rsid w:val="00E219F1"/>
    <w:rsid w:val="00E21AC1"/>
    <w:rsid w:val="00E21F48"/>
    <w:rsid w:val="00E228A4"/>
    <w:rsid w:val="00E23187"/>
    <w:rsid w:val="00E232A2"/>
    <w:rsid w:val="00E233F7"/>
    <w:rsid w:val="00E23909"/>
    <w:rsid w:val="00E239D0"/>
    <w:rsid w:val="00E239E0"/>
    <w:rsid w:val="00E23A28"/>
    <w:rsid w:val="00E23A4A"/>
    <w:rsid w:val="00E23B8B"/>
    <w:rsid w:val="00E23CF0"/>
    <w:rsid w:val="00E23D8E"/>
    <w:rsid w:val="00E2444C"/>
    <w:rsid w:val="00E244D1"/>
    <w:rsid w:val="00E2461B"/>
    <w:rsid w:val="00E24956"/>
    <w:rsid w:val="00E254A0"/>
    <w:rsid w:val="00E25509"/>
    <w:rsid w:val="00E25558"/>
    <w:rsid w:val="00E25CA6"/>
    <w:rsid w:val="00E25E1C"/>
    <w:rsid w:val="00E264F0"/>
    <w:rsid w:val="00E265AC"/>
    <w:rsid w:val="00E26602"/>
    <w:rsid w:val="00E26651"/>
    <w:rsid w:val="00E26848"/>
    <w:rsid w:val="00E27017"/>
    <w:rsid w:val="00E27127"/>
    <w:rsid w:val="00E272B2"/>
    <w:rsid w:val="00E272CD"/>
    <w:rsid w:val="00E27609"/>
    <w:rsid w:val="00E27B22"/>
    <w:rsid w:val="00E27D03"/>
    <w:rsid w:val="00E27D82"/>
    <w:rsid w:val="00E30879"/>
    <w:rsid w:val="00E30DDD"/>
    <w:rsid w:val="00E30F38"/>
    <w:rsid w:val="00E3105C"/>
    <w:rsid w:val="00E31063"/>
    <w:rsid w:val="00E3139E"/>
    <w:rsid w:val="00E31852"/>
    <w:rsid w:val="00E31C73"/>
    <w:rsid w:val="00E31CBD"/>
    <w:rsid w:val="00E31F10"/>
    <w:rsid w:val="00E32477"/>
    <w:rsid w:val="00E327CB"/>
    <w:rsid w:val="00E32C2C"/>
    <w:rsid w:val="00E32C6C"/>
    <w:rsid w:val="00E32FFF"/>
    <w:rsid w:val="00E332AB"/>
    <w:rsid w:val="00E33682"/>
    <w:rsid w:val="00E34044"/>
    <w:rsid w:val="00E34C2F"/>
    <w:rsid w:val="00E35570"/>
    <w:rsid w:val="00E35A90"/>
    <w:rsid w:val="00E35B94"/>
    <w:rsid w:val="00E35C6B"/>
    <w:rsid w:val="00E36481"/>
    <w:rsid w:val="00E36648"/>
    <w:rsid w:val="00E36DC7"/>
    <w:rsid w:val="00E36F99"/>
    <w:rsid w:val="00E370E7"/>
    <w:rsid w:val="00E3733D"/>
    <w:rsid w:val="00E37938"/>
    <w:rsid w:val="00E37947"/>
    <w:rsid w:val="00E37C21"/>
    <w:rsid w:val="00E37C41"/>
    <w:rsid w:val="00E37C61"/>
    <w:rsid w:val="00E37C69"/>
    <w:rsid w:val="00E37EE1"/>
    <w:rsid w:val="00E401E9"/>
    <w:rsid w:val="00E40369"/>
    <w:rsid w:val="00E40545"/>
    <w:rsid w:val="00E40B3D"/>
    <w:rsid w:val="00E41192"/>
    <w:rsid w:val="00E41AD0"/>
    <w:rsid w:val="00E423D1"/>
    <w:rsid w:val="00E42630"/>
    <w:rsid w:val="00E426D7"/>
    <w:rsid w:val="00E427B8"/>
    <w:rsid w:val="00E428AB"/>
    <w:rsid w:val="00E428E0"/>
    <w:rsid w:val="00E42A95"/>
    <w:rsid w:val="00E42AC5"/>
    <w:rsid w:val="00E42C47"/>
    <w:rsid w:val="00E42E25"/>
    <w:rsid w:val="00E42F33"/>
    <w:rsid w:val="00E43736"/>
    <w:rsid w:val="00E43A2B"/>
    <w:rsid w:val="00E43AD5"/>
    <w:rsid w:val="00E43BA4"/>
    <w:rsid w:val="00E44075"/>
    <w:rsid w:val="00E444EF"/>
    <w:rsid w:val="00E444F2"/>
    <w:rsid w:val="00E4456F"/>
    <w:rsid w:val="00E4483A"/>
    <w:rsid w:val="00E44C7A"/>
    <w:rsid w:val="00E44C99"/>
    <w:rsid w:val="00E44C9D"/>
    <w:rsid w:val="00E44D64"/>
    <w:rsid w:val="00E452DF"/>
    <w:rsid w:val="00E4577B"/>
    <w:rsid w:val="00E45DCC"/>
    <w:rsid w:val="00E45F9A"/>
    <w:rsid w:val="00E4650F"/>
    <w:rsid w:val="00E46775"/>
    <w:rsid w:val="00E46926"/>
    <w:rsid w:val="00E46C32"/>
    <w:rsid w:val="00E46FA1"/>
    <w:rsid w:val="00E474A1"/>
    <w:rsid w:val="00E47505"/>
    <w:rsid w:val="00E47663"/>
    <w:rsid w:val="00E47D3F"/>
    <w:rsid w:val="00E50074"/>
    <w:rsid w:val="00E501E8"/>
    <w:rsid w:val="00E50311"/>
    <w:rsid w:val="00E50640"/>
    <w:rsid w:val="00E50A23"/>
    <w:rsid w:val="00E50CC3"/>
    <w:rsid w:val="00E512F0"/>
    <w:rsid w:val="00E51AA2"/>
    <w:rsid w:val="00E51AB0"/>
    <w:rsid w:val="00E51ABA"/>
    <w:rsid w:val="00E52308"/>
    <w:rsid w:val="00E52711"/>
    <w:rsid w:val="00E52805"/>
    <w:rsid w:val="00E52816"/>
    <w:rsid w:val="00E52B7F"/>
    <w:rsid w:val="00E52E77"/>
    <w:rsid w:val="00E534EF"/>
    <w:rsid w:val="00E53642"/>
    <w:rsid w:val="00E536DE"/>
    <w:rsid w:val="00E53976"/>
    <w:rsid w:val="00E53B8B"/>
    <w:rsid w:val="00E53D47"/>
    <w:rsid w:val="00E540FB"/>
    <w:rsid w:val="00E54253"/>
    <w:rsid w:val="00E54335"/>
    <w:rsid w:val="00E5455F"/>
    <w:rsid w:val="00E546BE"/>
    <w:rsid w:val="00E546D4"/>
    <w:rsid w:val="00E54A55"/>
    <w:rsid w:val="00E54D4D"/>
    <w:rsid w:val="00E54EBC"/>
    <w:rsid w:val="00E54EC8"/>
    <w:rsid w:val="00E55143"/>
    <w:rsid w:val="00E551BE"/>
    <w:rsid w:val="00E55284"/>
    <w:rsid w:val="00E553A8"/>
    <w:rsid w:val="00E55B71"/>
    <w:rsid w:val="00E55B96"/>
    <w:rsid w:val="00E55C9E"/>
    <w:rsid w:val="00E55D7C"/>
    <w:rsid w:val="00E55DA6"/>
    <w:rsid w:val="00E56042"/>
    <w:rsid w:val="00E563A0"/>
    <w:rsid w:val="00E569A8"/>
    <w:rsid w:val="00E56B69"/>
    <w:rsid w:val="00E56B92"/>
    <w:rsid w:val="00E56CE1"/>
    <w:rsid w:val="00E56E42"/>
    <w:rsid w:val="00E5701E"/>
    <w:rsid w:val="00E5726C"/>
    <w:rsid w:val="00E57B8A"/>
    <w:rsid w:val="00E60258"/>
    <w:rsid w:val="00E6034B"/>
    <w:rsid w:val="00E60352"/>
    <w:rsid w:val="00E60476"/>
    <w:rsid w:val="00E60754"/>
    <w:rsid w:val="00E61070"/>
    <w:rsid w:val="00E61152"/>
    <w:rsid w:val="00E61211"/>
    <w:rsid w:val="00E6126A"/>
    <w:rsid w:val="00E615A0"/>
    <w:rsid w:val="00E61920"/>
    <w:rsid w:val="00E61C8D"/>
    <w:rsid w:val="00E61ECE"/>
    <w:rsid w:val="00E61F58"/>
    <w:rsid w:val="00E624EF"/>
    <w:rsid w:val="00E625ED"/>
    <w:rsid w:val="00E62CC7"/>
    <w:rsid w:val="00E631BE"/>
    <w:rsid w:val="00E63232"/>
    <w:rsid w:val="00E6345F"/>
    <w:rsid w:val="00E63509"/>
    <w:rsid w:val="00E6350C"/>
    <w:rsid w:val="00E6359F"/>
    <w:rsid w:val="00E637D7"/>
    <w:rsid w:val="00E638C6"/>
    <w:rsid w:val="00E63B4F"/>
    <w:rsid w:val="00E643B9"/>
    <w:rsid w:val="00E644F3"/>
    <w:rsid w:val="00E644F5"/>
    <w:rsid w:val="00E64727"/>
    <w:rsid w:val="00E647F1"/>
    <w:rsid w:val="00E6485A"/>
    <w:rsid w:val="00E6487D"/>
    <w:rsid w:val="00E6487E"/>
    <w:rsid w:val="00E649CB"/>
    <w:rsid w:val="00E64A8C"/>
    <w:rsid w:val="00E64E9E"/>
    <w:rsid w:val="00E65112"/>
    <w:rsid w:val="00E65141"/>
    <w:rsid w:val="00E65453"/>
    <w:rsid w:val="00E65BC3"/>
    <w:rsid w:val="00E65D4E"/>
    <w:rsid w:val="00E66087"/>
    <w:rsid w:val="00E66150"/>
    <w:rsid w:val="00E66BC8"/>
    <w:rsid w:val="00E66E95"/>
    <w:rsid w:val="00E677B9"/>
    <w:rsid w:val="00E67B8D"/>
    <w:rsid w:val="00E67D52"/>
    <w:rsid w:val="00E67F45"/>
    <w:rsid w:val="00E704FA"/>
    <w:rsid w:val="00E70800"/>
    <w:rsid w:val="00E7080A"/>
    <w:rsid w:val="00E708F8"/>
    <w:rsid w:val="00E709C2"/>
    <w:rsid w:val="00E70B65"/>
    <w:rsid w:val="00E70BB3"/>
    <w:rsid w:val="00E70FD3"/>
    <w:rsid w:val="00E71247"/>
    <w:rsid w:val="00E718AF"/>
    <w:rsid w:val="00E71CCA"/>
    <w:rsid w:val="00E71DEB"/>
    <w:rsid w:val="00E71E0D"/>
    <w:rsid w:val="00E71EE7"/>
    <w:rsid w:val="00E72109"/>
    <w:rsid w:val="00E7214D"/>
    <w:rsid w:val="00E722B2"/>
    <w:rsid w:val="00E7237D"/>
    <w:rsid w:val="00E72750"/>
    <w:rsid w:val="00E72905"/>
    <w:rsid w:val="00E72918"/>
    <w:rsid w:val="00E72949"/>
    <w:rsid w:val="00E72D9C"/>
    <w:rsid w:val="00E73632"/>
    <w:rsid w:val="00E73DDF"/>
    <w:rsid w:val="00E74A35"/>
    <w:rsid w:val="00E74DE8"/>
    <w:rsid w:val="00E758DE"/>
    <w:rsid w:val="00E75DCC"/>
    <w:rsid w:val="00E75F75"/>
    <w:rsid w:val="00E76915"/>
    <w:rsid w:val="00E76C05"/>
    <w:rsid w:val="00E76CE2"/>
    <w:rsid w:val="00E76D14"/>
    <w:rsid w:val="00E76E09"/>
    <w:rsid w:val="00E771A3"/>
    <w:rsid w:val="00E772D8"/>
    <w:rsid w:val="00E777A0"/>
    <w:rsid w:val="00E8024C"/>
    <w:rsid w:val="00E8033F"/>
    <w:rsid w:val="00E8039F"/>
    <w:rsid w:val="00E8042C"/>
    <w:rsid w:val="00E80666"/>
    <w:rsid w:val="00E80F5A"/>
    <w:rsid w:val="00E80FB8"/>
    <w:rsid w:val="00E81273"/>
    <w:rsid w:val="00E818E7"/>
    <w:rsid w:val="00E81955"/>
    <w:rsid w:val="00E81CEC"/>
    <w:rsid w:val="00E81F0B"/>
    <w:rsid w:val="00E826C4"/>
    <w:rsid w:val="00E82E2A"/>
    <w:rsid w:val="00E830AE"/>
    <w:rsid w:val="00E83747"/>
    <w:rsid w:val="00E83809"/>
    <w:rsid w:val="00E83943"/>
    <w:rsid w:val="00E83CF2"/>
    <w:rsid w:val="00E8442C"/>
    <w:rsid w:val="00E84758"/>
    <w:rsid w:val="00E848D1"/>
    <w:rsid w:val="00E84AC5"/>
    <w:rsid w:val="00E85183"/>
    <w:rsid w:val="00E8541B"/>
    <w:rsid w:val="00E8542C"/>
    <w:rsid w:val="00E856EB"/>
    <w:rsid w:val="00E85786"/>
    <w:rsid w:val="00E8582D"/>
    <w:rsid w:val="00E8589C"/>
    <w:rsid w:val="00E859E1"/>
    <w:rsid w:val="00E85DE1"/>
    <w:rsid w:val="00E85EAB"/>
    <w:rsid w:val="00E860AB"/>
    <w:rsid w:val="00E8621B"/>
    <w:rsid w:val="00E8628A"/>
    <w:rsid w:val="00E86B0F"/>
    <w:rsid w:val="00E86BEF"/>
    <w:rsid w:val="00E86D5B"/>
    <w:rsid w:val="00E86DB5"/>
    <w:rsid w:val="00E8704F"/>
    <w:rsid w:val="00E874C8"/>
    <w:rsid w:val="00E875DC"/>
    <w:rsid w:val="00E87927"/>
    <w:rsid w:val="00E87DCE"/>
    <w:rsid w:val="00E87EEE"/>
    <w:rsid w:val="00E87FCE"/>
    <w:rsid w:val="00E910EA"/>
    <w:rsid w:val="00E91459"/>
    <w:rsid w:val="00E91C6A"/>
    <w:rsid w:val="00E920D4"/>
    <w:rsid w:val="00E924AB"/>
    <w:rsid w:val="00E9256C"/>
    <w:rsid w:val="00E92809"/>
    <w:rsid w:val="00E92B04"/>
    <w:rsid w:val="00E93C4A"/>
    <w:rsid w:val="00E93DA2"/>
    <w:rsid w:val="00E943AB"/>
    <w:rsid w:val="00E94629"/>
    <w:rsid w:val="00E94CDB"/>
    <w:rsid w:val="00E9543D"/>
    <w:rsid w:val="00E9564F"/>
    <w:rsid w:val="00E9606A"/>
    <w:rsid w:val="00E960F9"/>
    <w:rsid w:val="00E96482"/>
    <w:rsid w:val="00E965A5"/>
    <w:rsid w:val="00E96892"/>
    <w:rsid w:val="00E9718C"/>
    <w:rsid w:val="00E9738A"/>
    <w:rsid w:val="00E974AA"/>
    <w:rsid w:val="00E97694"/>
    <w:rsid w:val="00E97A6A"/>
    <w:rsid w:val="00E97A6B"/>
    <w:rsid w:val="00E97CA9"/>
    <w:rsid w:val="00E97D3C"/>
    <w:rsid w:val="00EA036C"/>
    <w:rsid w:val="00EA03DD"/>
    <w:rsid w:val="00EA0885"/>
    <w:rsid w:val="00EA0A64"/>
    <w:rsid w:val="00EA0A8A"/>
    <w:rsid w:val="00EA116A"/>
    <w:rsid w:val="00EA116C"/>
    <w:rsid w:val="00EA1395"/>
    <w:rsid w:val="00EA1435"/>
    <w:rsid w:val="00EA1737"/>
    <w:rsid w:val="00EA1B2B"/>
    <w:rsid w:val="00EA1BE1"/>
    <w:rsid w:val="00EA1E72"/>
    <w:rsid w:val="00EA2113"/>
    <w:rsid w:val="00EA257D"/>
    <w:rsid w:val="00EA2586"/>
    <w:rsid w:val="00EA25BB"/>
    <w:rsid w:val="00EA26DD"/>
    <w:rsid w:val="00EA276C"/>
    <w:rsid w:val="00EA289D"/>
    <w:rsid w:val="00EA2CE3"/>
    <w:rsid w:val="00EA2EEA"/>
    <w:rsid w:val="00EA2F72"/>
    <w:rsid w:val="00EA30A4"/>
    <w:rsid w:val="00EA316C"/>
    <w:rsid w:val="00EA33D3"/>
    <w:rsid w:val="00EA33F2"/>
    <w:rsid w:val="00EA3708"/>
    <w:rsid w:val="00EA38AE"/>
    <w:rsid w:val="00EA3B6D"/>
    <w:rsid w:val="00EA3CB6"/>
    <w:rsid w:val="00EA3CB8"/>
    <w:rsid w:val="00EA3D28"/>
    <w:rsid w:val="00EA401A"/>
    <w:rsid w:val="00EA41AE"/>
    <w:rsid w:val="00EA4456"/>
    <w:rsid w:val="00EA4599"/>
    <w:rsid w:val="00EA4767"/>
    <w:rsid w:val="00EA479C"/>
    <w:rsid w:val="00EA4806"/>
    <w:rsid w:val="00EA4E81"/>
    <w:rsid w:val="00EA4FA0"/>
    <w:rsid w:val="00EA5383"/>
    <w:rsid w:val="00EA5515"/>
    <w:rsid w:val="00EA5E16"/>
    <w:rsid w:val="00EA6167"/>
    <w:rsid w:val="00EA6765"/>
    <w:rsid w:val="00EA67D5"/>
    <w:rsid w:val="00EA683C"/>
    <w:rsid w:val="00EA689A"/>
    <w:rsid w:val="00EA699E"/>
    <w:rsid w:val="00EA6D8A"/>
    <w:rsid w:val="00EA6ED9"/>
    <w:rsid w:val="00EA7589"/>
    <w:rsid w:val="00EA7738"/>
    <w:rsid w:val="00EA7886"/>
    <w:rsid w:val="00EA7CC0"/>
    <w:rsid w:val="00EB0573"/>
    <w:rsid w:val="00EB07B6"/>
    <w:rsid w:val="00EB1003"/>
    <w:rsid w:val="00EB1300"/>
    <w:rsid w:val="00EB1574"/>
    <w:rsid w:val="00EB158F"/>
    <w:rsid w:val="00EB1906"/>
    <w:rsid w:val="00EB1926"/>
    <w:rsid w:val="00EB1C99"/>
    <w:rsid w:val="00EB1EAB"/>
    <w:rsid w:val="00EB1F0C"/>
    <w:rsid w:val="00EB2288"/>
    <w:rsid w:val="00EB22DD"/>
    <w:rsid w:val="00EB2356"/>
    <w:rsid w:val="00EB24CF"/>
    <w:rsid w:val="00EB259A"/>
    <w:rsid w:val="00EB2895"/>
    <w:rsid w:val="00EB2990"/>
    <w:rsid w:val="00EB2A65"/>
    <w:rsid w:val="00EB34C2"/>
    <w:rsid w:val="00EB3559"/>
    <w:rsid w:val="00EB41D2"/>
    <w:rsid w:val="00EB430D"/>
    <w:rsid w:val="00EB4465"/>
    <w:rsid w:val="00EB46BF"/>
    <w:rsid w:val="00EB4AF5"/>
    <w:rsid w:val="00EB4B20"/>
    <w:rsid w:val="00EB5107"/>
    <w:rsid w:val="00EB5658"/>
    <w:rsid w:val="00EB57EB"/>
    <w:rsid w:val="00EB58EE"/>
    <w:rsid w:val="00EB5B11"/>
    <w:rsid w:val="00EB5C24"/>
    <w:rsid w:val="00EB5C76"/>
    <w:rsid w:val="00EB5CA0"/>
    <w:rsid w:val="00EB62DF"/>
    <w:rsid w:val="00EB6894"/>
    <w:rsid w:val="00EB68FB"/>
    <w:rsid w:val="00EB6CD0"/>
    <w:rsid w:val="00EB6EA8"/>
    <w:rsid w:val="00EB7062"/>
    <w:rsid w:val="00EB7191"/>
    <w:rsid w:val="00EB71C1"/>
    <w:rsid w:val="00EB71CB"/>
    <w:rsid w:val="00EB7281"/>
    <w:rsid w:val="00EB733B"/>
    <w:rsid w:val="00EB7B48"/>
    <w:rsid w:val="00EC03CB"/>
    <w:rsid w:val="00EC06BD"/>
    <w:rsid w:val="00EC0ACE"/>
    <w:rsid w:val="00EC0B82"/>
    <w:rsid w:val="00EC0C17"/>
    <w:rsid w:val="00EC0DD9"/>
    <w:rsid w:val="00EC0E6A"/>
    <w:rsid w:val="00EC11DE"/>
    <w:rsid w:val="00EC1344"/>
    <w:rsid w:val="00EC1456"/>
    <w:rsid w:val="00EC1484"/>
    <w:rsid w:val="00EC157B"/>
    <w:rsid w:val="00EC1685"/>
    <w:rsid w:val="00EC17C0"/>
    <w:rsid w:val="00EC1D1D"/>
    <w:rsid w:val="00EC1D60"/>
    <w:rsid w:val="00EC21E1"/>
    <w:rsid w:val="00EC2262"/>
    <w:rsid w:val="00EC22F9"/>
    <w:rsid w:val="00EC237A"/>
    <w:rsid w:val="00EC24C1"/>
    <w:rsid w:val="00EC2607"/>
    <w:rsid w:val="00EC2D86"/>
    <w:rsid w:val="00EC2FDE"/>
    <w:rsid w:val="00EC2FE1"/>
    <w:rsid w:val="00EC3261"/>
    <w:rsid w:val="00EC343B"/>
    <w:rsid w:val="00EC38DA"/>
    <w:rsid w:val="00EC3B40"/>
    <w:rsid w:val="00EC3F42"/>
    <w:rsid w:val="00EC3FE2"/>
    <w:rsid w:val="00EC429F"/>
    <w:rsid w:val="00EC4D5F"/>
    <w:rsid w:val="00EC4EED"/>
    <w:rsid w:val="00EC5333"/>
    <w:rsid w:val="00EC57B9"/>
    <w:rsid w:val="00EC5C92"/>
    <w:rsid w:val="00EC5D0C"/>
    <w:rsid w:val="00EC67E6"/>
    <w:rsid w:val="00EC6CC3"/>
    <w:rsid w:val="00EC71A5"/>
    <w:rsid w:val="00EC7D47"/>
    <w:rsid w:val="00EC7FF6"/>
    <w:rsid w:val="00ED0332"/>
    <w:rsid w:val="00ED0570"/>
    <w:rsid w:val="00ED0BE4"/>
    <w:rsid w:val="00ED107F"/>
    <w:rsid w:val="00ED116F"/>
    <w:rsid w:val="00ED135C"/>
    <w:rsid w:val="00ED1755"/>
    <w:rsid w:val="00ED1AEA"/>
    <w:rsid w:val="00ED1BD8"/>
    <w:rsid w:val="00ED1E37"/>
    <w:rsid w:val="00ED1F47"/>
    <w:rsid w:val="00ED1FD0"/>
    <w:rsid w:val="00ED2157"/>
    <w:rsid w:val="00ED21C3"/>
    <w:rsid w:val="00ED2651"/>
    <w:rsid w:val="00ED295B"/>
    <w:rsid w:val="00ED2B62"/>
    <w:rsid w:val="00ED30FD"/>
    <w:rsid w:val="00ED3682"/>
    <w:rsid w:val="00ED3750"/>
    <w:rsid w:val="00ED3CD3"/>
    <w:rsid w:val="00ED3DC5"/>
    <w:rsid w:val="00ED3EA4"/>
    <w:rsid w:val="00ED4481"/>
    <w:rsid w:val="00ED44FA"/>
    <w:rsid w:val="00ED4657"/>
    <w:rsid w:val="00ED46D2"/>
    <w:rsid w:val="00ED4905"/>
    <w:rsid w:val="00ED4AF8"/>
    <w:rsid w:val="00ED548B"/>
    <w:rsid w:val="00ED5D32"/>
    <w:rsid w:val="00ED5E25"/>
    <w:rsid w:val="00ED5F5D"/>
    <w:rsid w:val="00ED623B"/>
    <w:rsid w:val="00ED67E2"/>
    <w:rsid w:val="00ED6A05"/>
    <w:rsid w:val="00ED6CDF"/>
    <w:rsid w:val="00ED7124"/>
    <w:rsid w:val="00ED7473"/>
    <w:rsid w:val="00ED7588"/>
    <w:rsid w:val="00ED7DE6"/>
    <w:rsid w:val="00EE0084"/>
    <w:rsid w:val="00EE00C8"/>
    <w:rsid w:val="00EE04C8"/>
    <w:rsid w:val="00EE0824"/>
    <w:rsid w:val="00EE0DD5"/>
    <w:rsid w:val="00EE0F6D"/>
    <w:rsid w:val="00EE1177"/>
    <w:rsid w:val="00EE135F"/>
    <w:rsid w:val="00EE168B"/>
    <w:rsid w:val="00EE17D0"/>
    <w:rsid w:val="00EE17F2"/>
    <w:rsid w:val="00EE1823"/>
    <w:rsid w:val="00EE197F"/>
    <w:rsid w:val="00EE1CD1"/>
    <w:rsid w:val="00EE20DF"/>
    <w:rsid w:val="00EE25CA"/>
    <w:rsid w:val="00EE28F0"/>
    <w:rsid w:val="00EE2B0F"/>
    <w:rsid w:val="00EE2B61"/>
    <w:rsid w:val="00EE2CF2"/>
    <w:rsid w:val="00EE2EA6"/>
    <w:rsid w:val="00EE36AE"/>
    <w:rsid w:val="00EE3754"/>
    <w:rsid w:val="00EE3CD1"/>
    <w:rsid w:val="00EE405C"/>
    <w:rsid w:val="00EE42DD"/>
    <w:rsid w:val="00EE46F1"/>
    <w:rsid w:val="00EE4A0F"/>
    <w:rsid w:val="00EE50DD"/>
    <w:rsid w:val="00EE50EA"/>
    <w:rsid w:val="00EE5133"/>
    <w:rsid w:val="00EE59EF"/>
    <w:rsid w:val="00EE5A17"/>
    <w:rsid w:val="00EE5C44"/>
    <w:rsid w:val="00EE5DC8"/>
    <w:rsid w:val="00EE6202"/>
    <w:rsid w:val="00EE6226"/>
    <w:rsid w:val="00EE62E8"/>
    <w:rsid w:val="00EE66B9"/>
    <w:rsid w:val="00EE6939"/>
    <w:rsid w:val="00EE71F0"/>
    <w:rsid w:val="00EE74F5"/>
    <w:rsid w:val="00EE78B3"/>
    <w:rsid w:val="00EF00BC"/>
    <w:rsid w:val="00EF02AD"/>
    <w:rsid w:val="00EF0393"/>
    <w:rsid w:val="00EF0B50"/>
    <w:rsid w:val="00EF0C17"/>
    <w:rsid w:val="00EF1052"/>
    <w:rsid w:val="00EF17DD"/>
    <w:rsid w:val="00EF18AF"/>
    <w:rsid w:val="00EF18DF"/>
    <w:rsid w:val="00EF1A5A"/>
    <w:rsid w:val="00EF1D30"/>
    <w:rsid w:val="00EF1EB2"/>
    <w:rsid w:val="00EF2081"/>
    <w:rsid w:val="00EF20FC"/>
    <w:rsid w:val="00EF225F"/>
    <w:rsid w:val="00EF228A"/>
    <w:rsid w:val="00EF22FE"/>
    <w:rsid w:val="00EF31E3"/>
    <w:rsid w:val="00EF322A"/>
    <w:rsid w:val="00EF3386"/>
    <w:rsid w:val="00EF344B"/>
    <w:rsid w:val="00EF3B7C"/>
    <w:rsid w:val="00EF3CDB"/>
    <w:rsid w:val="00EF4431"/>
    <w:rsid w:val="00EF4437"/>
    <w:rsid w:val="00EF44C3"/>
    <w:rsid w:val="00EF46E4"/>
    <w:rsid w:val="00EF4F2D"/>
    <w:rsid w:val="00EF4FD4"/>
    <w:rsid w:val="00EF51DE"/>
    <w:rsid w:val="00EF53AE"/>
    <w:rsid w:val="00EF57E4"/>
    <w:rsid w:val="00EF5BEA"/>
    <w:rsid w:val="00EF6047"/>
    <w:rsid w:val="00EF6AA0"/>
    <w:rsid w:val="00EF6D7D"/>
    <w:rsid w:val="00EF6EC5"/>
    <w:rsid w:val="00EF7009"/>
    <w:rsid w:val="00F00317"/>
    <w:rsid w:val="00F00397"/>
    <w:rsid w:val="00F008B9"/>
    <w:rsid w:val="00F008D1"/>
    <w:rsid w:val="00F008E7"/>
    <w:rsid w:val="00F00A27"/>
    <w:rsid w:val="00F00CEE"/>
    <w:rsid w:val="00F0135D"/>
    <w:rsid w:val="00F018D5"/>
    <w:rsid w:val="00F01C1A"/>
    <w:rsid w:val="00F01DA9"/>
    <w:rsid w:val="00F01E1A"/>
    <w:rsid w:val="00F023E7"/>
    <w:rsid w:val="00F024CC"/>
    <w:rsid w:val="00F024EC"/>
    <w:rsid w:val="00F0259F"/>
    <w:rsid w:val="00F028E8"/>
    <w:rsid w:val="00F02A5D"/>
    <w:rsid w:val="00F02D16"/>
    <w:rsid w:val="00F02E3E"/>
    <w:rsid w:val="00F02E79"/>
    <w:rsid w:val="00F02E7A"/>
    <w:rsid w:val="00F0317B"/>
    <w:rsid w:val="00F0341B"/>
    <w:rsid w:val="00F03FB8"/>
    <w:rsid w:val="00F04052"/>
    <w:rsid w:val="00F04081"/>
    <w:rsid w:val="00F047FA"/>
    <w:rsid w:val="00F0519D"/>
    <w:rsid w:val="00F051E7"/>
    <w:rsid w:val="00F0524E"/>
    <w:rsid w:val="00F05B63"/>
    <w:rsid w:val="00F05D87"/>
    <w:rsid w:val="00F05FF9"/>
    <w:rsid w:val="00F062E1"/>
    <w:rsid w:val="00F0670C"/>
    <w:rsid w:val="00F06D46"/>
    <w:rsid w:val="00F06E9B"/>
    <w:rsid w:val="00F0747B"/>
    <w:rsid w:val="00F07684"/>
    <w:rsid w:val="00F07766"/>
    <w:rsid w:val="00F07F71"/>
    <w:rsid w:val="00F1033E"/>
    <w:rsid w:val="00F10431"/>
    <w:rsid w:val="00F10929"/>
    <w:rsid w:val="00F1159B"/>
    <w:rsid w:val="00F116D4"/>
    <w:rsid w:val="00F12172"/>
    <w:rsid w:val="00F1278E"/>
    <w:rsid w:val="00F12AEF"/>
    <w:rsid w:val="00F12F71"/>
    <w:rsid w:val="00F1300A"/>
    <w:rsid w:val="00F13045"/>
    <w:rsid w:val="00F131F2"/>
    <w:rsid w:val="00F13355"/>
    <w:rsid w:val="00F13AED"/>
    <w:rsid w:val="00F13E84"/>
    <w:rsid w:val="00F140DF"/>
    <w:rsid w:val="00F140F6"/>
    <w:rsid w:val="00F14546"/>
    <w:rsid w:val="00F148A0"/>
    <w:rsid w:val="00F14949"/>
    <w:rsid w:val="00F14C52"/>
    <w:rsid w:val="00F14DD5"/>
    <w:rsid w:val="00F150B0"/>
    <w:rsid w:val="00F15881"/>
    <w:rsid w:val="00F15BE4"/>
    <w:rsid w:val="00F15F00"/>
    <w:rsid w:val="00F1602D"/>
    <w:rsid w:val="00F161F3"/>
    <w:rsid w:val="00F17209"/>
    <w:rsid w:val="00F17538"/>
    <w:rsid w:val="00F20209"/>
    <w:rsid w:val="00F20600"/>
    <w:rsid w:val="00F209E2"/>
    <w:rsid w:val="00F20BBC"/>
    <w:rsid w:val="00F20FF1"/>
    <w:rsid w:val="00F21088"/>
    <w:rsid w:val="00F21116"/>
    <w:rsid w:val="00F211B9"/>
    <w:rsid w:val="00F211F7"/>
    <w:rsid w:val="00F21840"/>
    <w:rsid w:val="00F21925"/>
    <w:rsid w:val="00F2233B"/>
    <w:rsid w:val="00F22348"/>
    <w:rsid w:val="00F224A3"/>
    <w:rsid w:val="00F228E6"/>
    <w:rsid w:val="00F22CDE"/>
    <w:rsid w:val="00F22D38"/>
    <w:rsid w:val="00F22E3D"/>
    <w:rsid w:val="00F22E59"/>
    <w:rsid w:val="00F23361"/>
    <w:rsid w:val="00F234FD"/>
    <w:rsid w:val="00F2351E"/>
    <w:rsid w:val="00F23681"/>
    <w:rsid w:val="00F23793"/>
    <w:rsid w:val="00F23C6D"/>
    <w:rsid w:val="00F243F9"/>
    <w:rsid w:val="00F24A23"/>
    <w:rsid w:val="00F24C80"/>
    <w:rsid w:val="00F24C83"/>
    <w:rsid w:val="00F25001"/>
    <w:rsid w:val="00F25104"/>
    <w:rsid w:val="00F2515F"/>
    <w:rsid w:val="00F251FA"/>
    <w:rsid w:val="00F256FB"/>
    <w:rsid w:val="00F2591B"/>
    <w:rsid w:val="00F25BCD"/>
    <w:rsid w:val="00F261B8"/>
    <w:rsid w:val="00F2631E"/>
    <w:rsid w:val="00F26958"/>
    <w:rsid w:val="00F26CE9"/>
    <w:rsid w:val="00F26DBF"/>
    <w:rsid w:val="00F26EF9"/>
    <w:rsid w:val="00F27107"/>
    <w:rsid w:val="00F2730E"/>
    <w:rsid w:val="00F2733D"/>
    <w:rsid w:val="00F273E2"/>
    <w:rsid w:val="00F2766F"/>
    <w:rsid w:val="00F27AA6"/>
    <w:rsid w:val="00F27C6A"/>
    <w:rsid w:val="00F302F3"/>
    <w:rsid w:val="00F30821"/>
    <w:rsid w:val="00F30BB5"/>
    <w:rsid w:val="00F311A8"/>
    <w:rsid w:val="00F31260"/>
    <w:rsid w:val="00F31785"/>
    <w:rsid w:val="00F317A6"/>
    <w:rsid w:val="00F31834"/>
    <w:rsid w:val="00F31F30"/>
    <w:rsid w:val="00F3234A"/>
    <w:rsid w:val="00F3276F"/>
    <w:rsid w:val="00F32CB4"/>
    <w:rsid w:val="00F32CF3"/>
    <w:rsid w:val="00F335DC"/>
    <w:rsid w:val="00F33731"/>
    <w:rsid w:val="00F33B32"/>
    <w:rsid w:val="00F33CB4"/>
    <w:rsid w:val="00F33E59"/>
    <w:rsid w:val="00F33F21"/>
    <w:rsid w:val="00F33F94"/>
    <w:rsid w:val="00F34209"/>
    <w:rsid w:val="00F34245"/>
    <w:rsid w:val="00F349BA"/>
    <w:rsid w:val="00F34B5D"/>
    <w:rsid w:val="00F34BB8"/>
    <w:rsid w:val="00F34C75"/>
    <w:rsid w:val="00F35522"/>
    <w:rsid w:val="00F35570"/>
    <w:rsid w:val="00F356F4"/>
    <w:rsid w:val="00F35C4F"/>
    <w:rsid w:val="00F363F2"/>
    <w:rsid w:val="00F36500"/>
    <w:rsid w:val="00F3671C"/>
    <w:rsid w:val="00F368DB"/>
    <w:rsid w:val="00F36DEC"/>
    <w:rsid w:val="00F3708C"/>
    <w:rsid w:val="00F37249"/>
    <w:rsid w:val="00F3746F"/>
    <w:rsid w:val="00F37481"/>
    <w:rsid w:val="00F37771"/>
    <w:rsid w:val="00F37B35"/>
    <w:rsid w:val="00F40206"/>
    <w:rsid w:val="00F4031C"/>
    <w:rsid w:val="00F40349"/>
    <w:rsid w:val="00F40F0E"/>
    <w:rsid w:val="00F40F8F"/>
    <w:rsid w:val="00F41030"/>
    <w:rsid w:val="00F410D0"/>
    <w:rsid w:val="00F411A5"/>
    <w:rsid w:val="00F41429"/>
    <w:rsid w:val="00F415CD"/>
    <w:rsid w:val="00F41791"/>
    <w:rsid w:val="00F418E5"/>
    <w:rsid w:val="00F41915"/>
    <w:rsid w:val="00F419DC"/>
    <w:rsid w:val="00F41A99"/>
    <w:rsid w:val="00F41AA2"/>
    <w:rsid w:val="00F41AAD"/>
    <w:rsid w:val="00F41CF3"/>
    <w:rsid w:val="00F41DE2"/>
    <w:rsid w:val="00F41EC4"/>
    <w:rsid w:val="00F41F8E"/>
    <w:rsid w:val="00F41FE5"/>
    <w:rsid w:val="00F423FD"/>
    <w:rsid w:val="00F428C8"/>
    <w:rsid w:val="00F429B3"/>
    <w:rsid w:val="00F42B6D"/>
    <w:rsid w:val="00F42DDE"/>
    <w:rsid w:val="00F4304C"/>
    <w:rsid w:val="00F4368F"/>
    <w:rsid w:val="00F43732"/>
    <w:rsid w:val="00F43960"/>
    <w:rsid w:val="00F43C50"/>
    <w:rsid w:val="00F43DE1"/>
    <w:rsid w:val="00F4410D"/>
    <w:rsid w:val="00F44399"/>
    <w:rsid w:val="00F44A40"/>
    <w:rsid w:val="00F44B23"/>
    <w:rsid w:val="00F44BAA"/>
    <w:rsid w:val="00F44F05"/>
    <w:rsid w:val="00F44F4D"/>
    <w:rsid w:val="00F45B03"/>
    <w:rsid w:val="00F45E29"/>
    <w:rsid w:val="00F45EC3"/>
    <w:rsid w:val="00F460F1"/>
    <w:rsid w:val="00F4622A"/>
    <w:rsid w:val="00F466D8"/>
    <w:rsid w:val="00F46C29"/>
    <w:rsid w:val="00F46CD4"/>
    <w:rsid w:val="00F46FF9"/>
    <w:rsid w:val="00F47292"/>
    <w:rsid w:val="00F47530"/>
    <w:rsid w:val="00F47572"/>
    <w:rsid w:val="00F47C22"/>
    <w:rsid w:val="00F500FA"/>
    <w:rsid w:val="00F50783"/>
    <w:rsid w:val="00F507CA"/>
    <w:rsid w:val="00F5086C"/>
    <w:rsid w:val="00F51433"/>
    <w:rsid w:val="00F5231B"/>
    <w:rsid w:val="00F524E0"/>
    <w:rsid w:val="00F52AD0"/>
    <w:rsid w:val="00F52F78"/>
    <w:rsid w:val="00F53290"/>
    <w:rsid w:val="00F533CE"/>
    <w:rsid w:val="00F535C4"/>
    <w:rsid w:val="00F53928"/>
    <w:rsid w:val="00F53BC7"/>
    <w:rsid w:val="00F53BCB"/>
    <w:rsid w:val="00F53FC5"/>
    <w:rsid w:val="00F54268"/>
    <w:rsid w:val="00F54437"/>
    <w:rsid w:val="00F544C0"/>
    <w:rsid w:val="00F55092"/>
    <w:rsid w:val="00F55135"/>
    <w:rsid w:val="00F55226"/>
    <w:rsid w:val="00F55572"/>
    <w:rsid w:val="00F559AD"/>
    <w:rsid w:val="00F559D4"/>
    <w:rsid w:val="00F55A98"/>
    <w:rsid w:val="00F5611C"/>
    <w:rsid w:val="00F56556"/>
    <w:rsid w:val="00F56775"/>
    <w:rsid w:val="00F56A0A"/>
    <w:rsid w:val="00F56D63"/>
    <w:rsid w:val="00F5751E"/>
    <w:rsid w:val="00F576A4"/>
    <w:rsid w:val="00F576FF"/>
    <w:rsid w:val="00F60485"/>
    <w:rsid w:val="00F60771"/>
    <w:rsid w:val="00F60801"/>
    <w:rsid w:val="00F60C9C"/>
    <w:rsid w:val="00F60D4E"/>
    <w:rsid w:val="00F61176"/>
    <w:rsid w:val="00F6131D"/>
    <w:rsid w:val="00F61913"/>
    <w:rsid w:val="00F61F02"/>
    <w:rsid w:val="00F61F6D"/>
    <w:rsid w:val="00F61F89"/>
    <w:rsid w:val="00F6288E"/>
    <w:rsid w:val="00F62D33"/>
    <w:rsid w:val="00F62EF8"/>
    <w:rsid w:val="00F62F80"/>
    <w:rsid w:val="00F632C4"/>
    <w:rsid w:val="00F63A87"/>
    <w:rsid w:val="00F63D20"/>
    <w:rsid w:val="00F641D2"/>
    <w:rsid w:val="00F64280"/>
    <w:rsid w:val="00F6438F"/>
    <w:rsid w:val="00F6457B"/>
    <w:rsid w:val="00F6461E"/>
    <w:rsid w:val="00F648C2"/>
    <w:rsid w:val="00F64AEC"/>
    <w:rsid w:val="00F64CAA"/>
    <w:rsid w:val="00F64ECC"/>
    <w:rsid w:val="00F64EDF"/>
    <w:rsid w:val="00F65327"/>
    <w:rsid w:val="00F656EE"/>
    <w:rsid w:val="00F662A5"/>
    <w:rsid w:val="00F665D7"/>
    <w:rsid w:val="00F6663E"/>
    <w:rsid w:val="00F667D5"/>
    <w:rsid w:val="00F66C0C"/>
    <w:rsid w:val="00F66C18"/>
    <w:rsid w:val="00F66D4F"/>
    <w:rsid w:val="00F66E2D"/>
    <w:rsid w:val="00F67308"/>
    <w:rsid w:val="00F674FD"/>
    <w:rsid w:val="00F67A57"/>
    <w:rsid w:val="00F67C17"/>
    <w:rsid w:val="00F70202"/>
    <w:rsid w:val="00F70570"/>
    <w:rsid w:val="00F70719"/>
    <w:rsid w:val="00F70E51"/>
    <w:rsid w:val="00F70F5F"/>
    <w:rsid w:val="00F7106F"/>
    <w:rsid w:val="00F71427"/>
    <w:rsid w:val="00F71508"/>
    <w:rsid w:val="00F71509"/>
    <w:rsid w:val="00F715D7"/>
    <w:rsid w:val="00F71623"/>
    <w:rsid w:val="00F7176C"/>
    <w:rsid w:val="00F717EB"/>
    <w:rsid w:val="00F71986"/>
    <w:rsid w:val="00F71F0B"/>
    <w:rsid w:val="00F720CC"/>
    <w:rsid w:val="00F72538"/>
    <w:rsid w:val="00F7255F"/>
    <w:rsid w:val="00F725C3"/>
    <w:rsid w:val="00F72679"/>
    <w:rsid w:val="00F7270F"/>
    <w:rsid w:val="00F72805"/>
    <w:rsid w:val="00F72A48"/>
    <w:rsid w:val="00F72F8D"/>
    <w:rsid w:val="00F730ED"/>
    <w:rsid w:val="00F736F1"/>
    <w:rsid w:val="00F73AFF"/>
    <w:rsid w:val="00F73C0C"/>
    <w:rsid w:val="00F73E85"/>
    <w:rsid w:val="00F73EC7"/>
    <w:rsid w:val="00F73F05"/>
    <w:rsid w:val="00F743C2"/>
    <w:rsid w:val="00F74678"/>
    <w:rsid w:val="00F74993"/>
    <w:rsid w:val="00F74BD3"/>
    <w:rsid w:val="00F74CA2"/>
    <w:rsid w:val="00F74FC8"/>
    <w:rsid w:val="00F75172"/>
    <w:rsid w:val="00F753EE"/>
    <w:rsid w:val="00F7549C"/>
    <w:rsid w:val="00F75A40"/>
    <w:rsid w:val="00F75A51"/>
    <w:rsid w:val="00F765BB"/>
    <w:rsid w:val="00F766F9"/>
    <w:rsid w:val="00F769C2"/>
    <w:rsid w:val="00F76C16"/>
    <w:rsid w:val="00F76EDA"/>
    <w:rsid w:val="00F77C79"/>
    <w:rsid w:val="00F77D45"/>
    <w:rsid w:val="00F800EC"/>
    <w:rsid w:val="00F802FF"/>
    <w:rsid w:val="00F804F2"/>
    <w:rsid w:val="00F8051A"/>
    <w:rsid w:val="00F805A4"/>
    <w:rsid w:val="00F808A7"/>
    <w:rsid w:val="00F80C59"/>
    <w:rsid w:val="00F80C5D"/>
    <w:rsid w:val="00F81468"/>
    <w:rsid w:val="00F8190E"/>
    <w:rsid w:val="00F81B60"/>
    <w:rsid w:val="00F81DCB"/>
    <w:rsid w:val="00F82201"/>
    <w:rsid w:val="00F822DE"/>
    <w:rsid w:val="00F82906"/>
    <w:rsid w:val="00F82B4B"/>
    <w:rsid w:val="00F831C4"/>
    <w:rsid w:val="00F83728"/>
    <w:rsid w:val="00F8387F"/>
    <w:rsid w:val="00F838E5"/>
    <w:rsid w:val="00F83E81"/>
    <w:rsid w:val="00F841B5"/>
    <w:rsid w:val="00F84239"/>
    <w:rsid w:val="00F84290"/>
    <w:rsid w:val="00F8429D"/>
    <w:rsid w:val="00F84CCF"/>
    <w:rsid w:val="00F84F62"/>
    <w:rsid w:val="00F85681"/>
    <w:rsid w:val="00F85A92"/>
    <w:rsid w:val="00F85AAC"/>
    <w:rsid w:val="00F85E18"/>
    <w:rsid w:val="00F86295"/>
    <w:rsid w:val="00F8694F"/>
    <w:rsid w:val="00F86C1F"/>
    <w:rsid w:val="00F87CC2"/>
    <w:rsid w:val="00F901C7"/>
    <w:rsid w:val="00F9021E"/>
    <w:rsid w:val="00F90C53"/>
    <w:rsid w:val="00F90DD7"/>
    <w:rsid w:val="00F911C5"/>
    <w:rsid w:val="00F9154F"/>
    <w:rsid w:val="00F91930"/>
    <w:rsid w:val="00F92DB2"/>
    <w:rsid w:val="00F9328F"/>
    <w:rsid w:val="00F93829"/>
    <w:rsid w:val="00F93915"/>
    <w:rsid w:val="00F93E95"/>
    <w:rsid w:val="00F93F0A"/>
    <w:rsid w:val="00F950D1"/>
    <w:rsid w:val="00F953BD"/>
    <w:rsid w:val="00F953C9"/>
    <w:rsid w:val="00F954F5"/>
    <w:rsid w:val="00F955BA"/>
    <w:rsid w:val="00F9571C"/>
    <w:rsid w:val="00F957F3"/>
    <w:rsid w:val="00F9592B"/>
    <w:rsid w:val="00F95970"/>
    <w:rsid w:val="00F95E29"/>
    <w:rsid w:val="00F962B0"/>
    <w:rsid w:val="00F969A9"/>
    <w:rsid w:val="00F96A85"/>
    <w:rsid w:val="00F96B62"/>
    <w:rsid w:val="00F970BE"/>
    <w:rsid w:val="00F9758C"/>
    <w:rsid w:val="00F979BF"/>
    <w:rsid w:val="00F97AF0"/>
    <w:rsid w:val="00F97B48"/>
    <w:rsid w:val="00F97CB5"/>
    <w:rsid w:val="00FA001F"/>
    <w:rsid w:val="00FA00F2"/>
    <w:rsid w:val="00FA013F"/>
    <w:rsid w:val="00FA0522"/>
    <w:rsid w:val="00FA099F"/>
    <w:rsid w:val="00FA0C75"/>
    <w:rsid w:val="00FA0FE1"/>
    <w:rsid w:val="00FA10E4"/>
    <w:rsid w:val="00FA115B"/>
    <w:rsid w:val="00FA12E7"/>
    <w:rsid w:val="00FA14BA"/>
    <w:rsid w:val="00FA163D"/>
    <w:rsid w:val="00FA17F9"/>
    <w:rsid w:val="00FA182E"/>
    <w:rsid w:val="00FA1B85"/>
    <w:rsid w:val="00FA1CF6"/>
    <w:rsid w:val="00FA1EAB"/>
    <w:rsid w:val="00FA1EFA"/>
    <w:rsid w:val="00FA1F00"/>
    <w:rsid w:val="00FA2273"/>
    <w:rsid w:val="00FA252D"/>
    <w:rsid w:val="00FA2635"/>
    <w:rsid w:val="00FA2A36"/>
    <w:rsid w:val="00FA2A78"/>
    <w:rsid w:val="00FA2BA0"/>
    <w:rsid w:val="00FA3789"/>
    <w:rsid w:val="00FA37B9"/>
    <w:rsid w:val="00FA3947"/>
    <w:rsid w:val="00FA48B0"/>
    <w:rsid w:val="00FA4AD4"/>
    <w:rsid w:val="00FA50B8"/>
    <w:rsid w:val="00FA5231"/>
    <w:rsid w:val="00FA55F1"/>
    <w:rsid w:val="00FA5A93"/>
    <w:rsid w:val="00FA5DE4"/>
    <w:rsid w:val="00FA627B"/>
    <w:rsid w:val="00FA649C"/>
    <w:rsid w:val="00FA67A1"/>
    <w:rsid w:val="00FA693E"/>
    <w:rsid w:val="00FA69DA"/>
    <w:rsid w:val="00FA6A2A"/>
    <w:rsid w:val="00FA6E9A"/>
    <w:rsid w:val="00FA6EDE"/>
    <w:rsid w:val="00FA7094"/>
    <w:rsid w:val="00FA7647"/>
    <w:rsid w:val="00FA76CE"/>
    <w:rsid w:val="00FA7A98"/>
    <w:rsid w:val="00FB0462"/>
    <w:rsid w:val="00FB0695"/>
    <w:rsid w:val="00FB0879"/>
    <w:rsid w:val="00FB0971"/>
    <w:rsid w:val="00FB09D0"/>
    <w:rsid w:val="00FB0D8A"/>
    <w:rsid w:val="00FB12C2"/>
    <w:rsid w:val="00FB1632"/>
    <w:rsid w:val="00FB1989"/>
    <w:rsid w:val="00FB19A8"/>
    <w:rsid w:val="00FB2341"/>
    <w:rsid w:val="00FB255D"/>
    <w:rsid w:val="00FB2602"/>
    <w:rsid w:val="00FB2772"/>
    <w:rsid w:val="00FB2A88"/>
    <w:rsid w:val="00FB2C37"/>
    <w:rsid w:val="00FB2D78"/>
    <w:rsid w:val="00FB3088"/>
    <w:rsid w:val="00FB314B"/>
    <w:rsid w:val="00FB32CE"/>
    <w:rsid w:val="00FB3339"/>
    <w:rsid w:val="00FB36D0"/>
    <w:rsid w:val="00FB375B"/>
    <w:rsid w:val="00FB3E56"/>
    <w:rsid w:val="00FB421E"/>
    <w:rsid w:val="00FB4437"/>
    <w:rsid w:val="00FB4573"/>
    <w:rsid w:val="00FB473F"/>
    <w:rsid w:val="00FB4918"/>
    <w:rsid w:val="00FB4CC9"/>
    <w:rsid w:val="00FB4D01"/>
    <w:rsid w:val="00FB4EE1"/>
    <w:rsid w:val="00FB4FD3"/>
    <w:rsid w:val="00FB51C1"/>
    <w:rsid w:val="00FB52D3"/>
    <w:rsid w:val="00FB5952"/>
    <w:rsid w:val="00FB5DBC"/>
    <w:rsid w:val="00FB6297"/>
    <w:rsid w:val="00FB62A9"/>
    <w:rsid w:val="00FB62E0"/>
    <w:rsid w:val="00FB6607"/>
    <w:rsid w:val="00FB6783"/>
    <w:rsid w:val="00FB685B"/>
    <w:rsid w:val="00FB6F44"/>
    <w:rsid w:val="00FB7DD0"/>
    <w:rsid w:val="00FB7E89"/>
    <w:rsid w:val="00FB7F52"/>
    <w:rsid w:val="00FC053C"/>
    <w:rsid w:val="00FC08A3"/>
    <w:rsid w:val="00FC08AA"/>
    <w:rsid w:val="00FC0937"/>
    <w:rsid w:val="00FC101C"/>
    <w:rsid w:val="00FC148B"/>
    <w:rsid w:val="00FC17BD"/>
    <w:rsid w:val="00FC18AF"/>
    <w:rsid w:val="00FC1BA0"/>
    <w:rsid w:val="00FC1DBA"/>
    <w:rsid w:val="00FC1DCE"/>
    <w:rsid w:val="00FC1E06"/>
    <w:rsid w:val="00FC2258"/>
    <w:rsid w:val="00FC24DA"/>
    <w:rsid w:val="00FC2730"/>
    <w:rsid w:val="00FC3209"/>
    <w:rsid w:val="00FC337A"/>
    <w:rsid w:val="00FC3C7E"/>
    <w:rsid w:val="00FC3CBE"/>
    <w:rsid w:val="00FC405B"/>
    <w:rsid w:val="00FC45EF"/>
    <w:rsid w:val="00FC46DC"/>
    <w:rsid w:val="00FC47CC"/>
    <w:rsid w:val="00FC4B4B"/>
    <w:rsid w:val="00FC513A"/>
    <w:rsid w:val="00FC525E"/>
    <w:rsid w:val="00FC5369"/>
    <w:rsid w:val="00FC5B1B"/>
    <w:rsid w:val="00FC5BC1"/>
    <w:rsid w:val="00FC5FD4"/>
    <w:rsid w:val="00FC601F"/>
    <w:rsid w:val="00FC6042"/>
    <w:rsid w:val="00FC610D"/>
    <w:rsid w:val="00FC6287"/>
    <w:rsid w:val="00FC6365"/>
    <w:rsid w:val="00FC6F2B"/>
    <w:rsid w:val="00FC6F4A"/>
    <w:rsid w:val="00FC757A"/>
    <w:rsid w:val="00FC75F7"/>
    <w:rsid w:val="00FC78A4"/>
    <w:rsid w:val="00FC7BAD"/>
    <w:rsid w:val="00FD0001"/>
    <w:rsid w:val="00FD014C"/>
    <w:rsid w:val="00FD154E"/>
    <w:rsid w:val="00FD1874"/>
    <w:rsid w:val="00FD1912"/>
    <w:rsid w:val="00FD1E61"/>
    <w:rsid w:val="00FD1EEE"/>
    <w:rsid w:val="00FD2083"/>
    <w:rsid w:val="00FD212A"/>
    <w:rsid w:val="00FD2141"/>
    <w:rsid w:val="00FD23CA"/>
    <w:rsid w:val="00FD263C"/>
    <w:rsid w:val="00FD28CF"/>
    <w:rsid w:val="00FD291A"/>
    <w:rsid w:val="00FD296A"/>
    <w:rsid w:val="00FD29F2"/>
    <w:rsid w:val="00FD2AFD"/>
    <w:rsid w:val="00FD2EE9"/>
    <w:rsid w:val="00FD3702"/>
    <w:rsid w:val="00FD387D"/>
    <w:rsid w:val="00FD3C49"/>
    <w:rsid w:val="00FD3FF3"/>
    <w:rsid w:val="00FD4148"/>
    <w:rsid w:val="00FD439D"/>
    <w:rsid w:val="00FD43D0"/>
    <w:rsid w:val="00FD479F"/>
    <w:rsid w:val="00FD4E45"/>
    <w:rsid w:val="00FD505D"/>
    <w:rsid w:val="00FD53ED"/>
    <w:rsid w:val="00FD56AD"/>
    <w:rsid w:val="00FD5BF9"/>
    <w:rsid w:val="00FD648B"/>
    <w:rsid w:val="00FD681A"/>
    <w:rsid w:val="00FD6A4F"/>
    <w:rsid w:val="00FD7055"/>
    <w:rsid w:val="00FD76B1"/>
    <w:rsid w:val="00FD7718"/>
    <w:rsid w:val="00FD7884"/>
    <w:rsid w:val="00FD7A5A"/>
    <w:rsid w:val="00FD7E51"/>
    <w:rsid w:val="00FD7F64"/>
    <w:rsid w:val="00FE048A"/>
    <w:rsid w:val="00FE04B8"/>
    <w:rsid w:val="00FE05D6"/>
    <w:rsid w:val="00FE06E0"/>
    <w:rsid w:val="00FE0A1D"/>
    <w:rsid w:val="00FE0AE2"/>
    <w:rsid w:val="00FE0B9E"/>
    <w:rsid w:val="00FE1414"/>
    <w:rsid w:val="00FE1A68"/>
    <w:rsid w:val="00FE21B3"/>
    <w:rsid w:val="00FE2333"/>
    <w:rsid w:val="00FE2789"/>
    <w:rsid w:val="00FE27F4"/>
    <w:rsid w:val="00FE29A6"/>
    <w:rsid w:val="00FE29DB"/>
    <w:rsid w:val="00FE2A6B"/>
    <w:rsid w:val="00FE2BBB"/>
    <w:rsid w:val="00FE2E60"/>
    <w:rsid w:val="00FE30F1"/>
    <w:rsid w:val="00FE30F6"/>
    <w:rsid w:val="00FE33C1"/>
    <w:rsid w:val="00FE3470"/>
    <w:rsid w:val="00FE3ABA"/>
    <w:rsid w:val="00FE3FF7"/>
    <w:rsid w:val="00FE44C9"/>
    <w:rsid w:val="00FE45B3"/>
    <w:rsid w:val="00FE47ED"/>
    <w:rsid w:val="00FE4A60"/>
    <w:rsid w:val="00FE4C3C"/>
    <w:rsid w:val="00FE4CD8"/>
    <w:rsid w:val="00FE4D9B"/>
    <w:rsid w:val="00FE4E8D"/>
    <w:rsid w:val="00FE4F7D"/>
    <w:rsid w:val="00FE5540"/>
    <w:rsid w:val="00FE560B"/>
    <w:rsid w:val="00FE5B80"/>
    <w:rsid w:val="00FE5DE7"/>
    <w:rsid w:val="00FE5F3B"/>
    <w:rsid w:val="00FE6021"/>
    <w:rsid w:val="00FE634B"/>
    <w:rsid w:val="00FE63FD"/>
    <w:rsid w:val="00FE66A4"/>
    <w:rsid w:val="00FE6A03"/>
    <w:rsid w:val="00FE6BDD"/>
    <w:rsid w:val="00FE6EB2"/>
    <w:rsid w:val="00FE749F"/>
    <w:rsid w:val="00FE7822"/>
    <w:rsid w:val="00FF0126"/>
    <w:rsid w:val="00FF023D"/>
    <w:rsid w:val="00FF0481"/>
    <w:rsid w:val="00FF05DB"/>
    <w:rsid w:val="00FF0A05"/>
    <w:rsid w:val="00FF0CFB"/>
    <w:rsid w:val="00FF1095"/>
    <w:rsid w:val="00FF1163"/>
    <w:rsid w:val="00FF13DC"/>
    <w:rsid w:val="00FF162F"/>
    <w:rsid w:val="00FF16BE"/>
    <w:rsid w:val="00FF1C5D"/>
    <w:rsid w:val="00FF208B"/>
    <w:rsid w:val="00FF2163"/>
    <w:rsid w:val="00FF2237"/>
    <w:rsid w:val="00FF239B"/>
    <w:rsid w:val="00FF2ADE"/>
    <w:rsid w:val="00FF2D10"/>
    <w:rsid w:val="00FF2D1C"/>
    <w:rsid w:val="00FF2D24"/>
    <w:rsid w:val="00FF360A"/>
    <w:rsid w:val="00FF3B8E"/>
    <w:rsid w:val="00FF3D31"/>
    <w:rsid w:val="00FF3FE0"/>
    <w:rsid w:val="00FF4194"/>
    <w:rsid w:val="00FF47A0"/>
    <w:rsid w:val="00FF4B37"/>
    <w:rsid w:val="00FF5327"/>
    <w:rsid w:val="00FF545F"/>
    <w:rsid w:val="00FF60AC"/>
    <w:rsid w:val="00FF65A5"/>
    <w:rsid w:val="00FF65BA"/>
    <w:rsid w:val="00FF6BBB"/>
    <w:rsid w:val="00FF701E"/>
    <w:rsid w:val="00FF744F"/>
    <w:rsid w:val="00FF7D47"/>
    <w:rsid w:val="00FF7EB5"/>
    <w:rsid w:val="00FF7EF0"/>
    <w:rsid w:val="00FF7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198FA579"/>
  <w15:docId w15:val="{00BFC27C-6314-4865-A79E-C01C8918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93F"/>
    <w:rPr>
      <w:sz w:val="24"/>
      <w:szCs w:val="24"/>
    </w:rPr>
  </w:style>
  <w:style w:type="paragraph" w:styleId="Titolo1">
    <w:name w:val="heading 1"/>
    <w:basedOn w:val="Normale"/>
    <w:next w:val="Normale"/>
    <w:link w:val="Titolo1Carattere"/>
    <w:uiPriority w:val="99"/>
    <w:qFormat/>
    <w:rsid w:val="008C286E"/>
    <w:pPr>
      <w:keepNext/>
      <w:spacing w:after="120"/>
      <w:jc w:val="both"/>
      <w:outlineLvl w:val="0"/>
    </w:pPr>
    <w:rPr>
      <w:rFonts w:ascii="Cambria" w:hAnsi="Cambria"/>
      <w:b/>
      <w:sz w:val="32"/>
    </w:rPr>
  </w:style>
  <w:style w:type="paragraph" w:styleId="Titolo2">
    <w:name w:val="heading 2"/>
    <w:basedOn w:val="Normale"/>
    <w:next w:val="Normale"/>
    <w:link w:val="Titolo2Carattere"/>
    <w:uiPriority w:val="9"/>
    <w:semiHidden/>
    <w:unhideWhenUsed/>
    <w:qFormat/>
    <w:rsid w:val="008C28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C28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qFormat/>
    <w:rsid w:val="008C286E"/>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iPriority w:val="9"/>
    <w:semiHidden/>
    <w:unhideWhenUsed/>
    <w:qFormat/>
    <w:rsid w:val="008C286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C286E"/>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C286E"/>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C286E"/>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8C286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8C286E"/>
    <w:rPr>
      <w:rFonts w:ascii="Cambria" w:hAnsi="Cambria" w:cs="Times New Roman"/>
      <w:b/>
      <w:sz w:val="32"/>
    </w:rPr>
  </w:style>
  <w:style w:type="paragraph" w:styleId="Corpotesto">
    <w:name w:val="Body Text"/>
    <w:basedOn w:val="Normale"/>
    <w:link w:val="CorpotestoCarattere"/>
    <w:uiPriority w:val="99"/>
    <w:rsid w:val="008C286E"/>
    <w:pPr>
      <w:spacing w:line="360" w:lineRule="auto"/>
    </w:pPr>
  </w:style>
  <w:style w:type="character" w:customStyle="1" w:styleId="CorpotestoCarattere">
    <w:name w:val="Corpo testo Carattere"/>
    <w:link w:val="Corpotesto"/>
    <w:uiPriority w:val="99"/>
    <w:rsid w:val="008C286E"/>
    <w:rPr>
      <w:rFonts w:cs="Times New Roman"/>
      <w:sz w:val="20"/>
    </w:rPr>
  </w:style>
  <w:style w:type="paragraph" w:styleId="Pidipagina">
    <w:name w:val="footer"/>
    <w:basedOn w:val="Normale"/>
    <w:link w:val="PidipaginaCarattere"/>
    <w:uiPriority w:val="99"/>
    <w:rsid w:val="008C286E"/>
    <w:pPr>
      <w:tabs>
        <w:tab w:val="center" w:pos="4818"/>
        <w:tab w:val="right" w:pos="9637"/>
      </w:tabs>
      <w:jc w:val="both"/>
    </w:pPr>
  </w:style>
  <w:style w:type="character" w:customStyle="1" w:styleId="PidipaginaCarattere">
    <w:name w:val="Piè di pagina Carattere"/>
    <w:link w:val="Pidipagina"/>
    <w:uiPriority w:val="99"/>
    <w:rsid w:val="008C286E"/>
    <w:rPr>
      <w:rFonts w:cs="Times New Roman"/>
      <w:sz w:val="20"/>
    </w:rPr>
  </w:style>
  <w:style w:type="character" w:styleId="Collegamentoipertestuale">
    <w:name w:val="Hyperlink"/>
    <w:uiPriority w:val="99"/>
    <w:rsid w:val="008C286E"/>
    <w:rPr>
      <w:rFonts w:cs="Times New Roman"/>
      <w:color w:val="0000FF"/>
      <w:u w:val="single"/>
    </w:rPr>
  </w:style>
  <w:style w:type="paragraph" w:styleId="Intestazione">
    <w:name w:val="header"/>
    <w:basedOn w:val="Normale"/>
    <w:link w:val="IntestazioneCarattere"/>
    <w:uiPriority w:val="99"/>
    <w:rsid w:val="008C286E"/>
    <w:pPr>
      <w:tabs>
        <w:tab w:val="center" w:pos="4819"/>
        <w:tab w:val="right" w:pos="9638"/>
      </w:tabs>
    </w:pPr>
  </w:style>
  <w:style w:type="character" w:customStyle="1" w:styleId="IntestazioneCarattere">
    <w:name w:val="Intestazione Carattere"/>
    <w:link w:val="Intestazione"/>
    <w:uiPriority w:val="99"/>
    <w:rsid w:val="008C286E"/>
    <w:rPr>
      <w:rFonts w:cs="Times New Roman"/>
      <w:sz w:val="20"/>
    </w:rPr>
  </w:style>
  <w:style w:type="character" w:styleId="Numeropagina">
    <w:name w:val="page number"/>
    <w:uiPriority w:val="99"/>
    <w:rsid w:val="008C286E"/>
    <w:rPr>
      <w:rFonts w:cs="Times New Roman"/>
    </w:rPr>
  </w:style>
  <w:style w:type="paragraph" w:styleId="Testofumetto">
    <w:name w:val="Balloon Text"/>
    <w:basedOn w:val="Normale"/>
    <w:link w:val="TestofumettoCarattere"/>
    <w:uiPriority w:val="99"/>
    <w:semiHidden/>
    <w:rsid w:val="008C286E"/>
    <w:rPr>
      <w:sz w:val="2"/>
    </w:rPr>
  </w:style>
  <w:style w:type="character" w:customStyle="1" w:styleId="TestofumettoCarattere">
    <w:name w:val="Testo fumetto Carattere"/>
    <w:link w:val="Testofumetto"/>
    <w:uiPriority w:val="99"/>
    <w:semiHidden/>
    <w:rsid w:val="008C286E"/>
    <w:rPr>
      <w:rFonts w:cs="Times New Roman"/>
      <w:sz w:val="2"/>
    </w:rPr>
  </w:style>
  <w:style w:type="paragraph" w:styleId="NormaleWeb">
    <w:name w:val="Normal (Web)"/>
    <w:basedOn w:val="Normale"/>
    <w:uiPriority w:val="99"/>
    <w:rsid w:val="008C286E"/>
  </w:style>
  <w:style w:type="paragraph" w:styleId="PreformattatoHTML">
    <w:name w:val="HTML Preformatted"/>
    <w:basedOn w:val="Normale"/>
    <w:link w:val="PreformattatoHTMLCarattere"/>
    <w:uiPriority w:val="99"/>
    <w:rsid w:val="008C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formattatoHTMLCarattere">
    <w:name w:val="Preformattato HTML Carattere"/>
    <w:link w:val="PreformattatoHTML"/>
    <w:uiPriority w:val="99"/>
    <w:semiHidden/>
    <w:rsid w:val="008C286E"/>
    <w:rPr>
      <w:rFonts w:ascii="Courier New" w:hAnsi="Courier New" w:cs="Times New Roman"/>
      <w:sz w:val="20"/>
    </w:rPr>
  </w:style>
  <w:style w:type="character" w:styleId="Enfasigrassetto">
    <w:name w:val="Strong"/>
    <w:uiPriority w:val="99"/>
    <w:qFormat/>
    <w:rsid w:val="008C286E"/>
    <w:rPr>
      <w:rFonts w:cs="Times New Roman"/>
      <w:b/>
    </w:rPr>
  </w:style>
  <w:style w:type="table" w:styleId="Grigliatabella">
    <w:name w:val="Table Grid"/>
    <w:basedOn w:val="Tabellanormale"/>
    <w:uiPriority w:val="99"/>
    <w:rsid w:val="008C2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8C286E"/>
  </w:style>
  <w:style w:type="paragraph" w:styleId="Testonotaapidipagina">
    <w:name w:val="footnote text"/>
    <w:basedOn w:val="Normale"/>
    <w:link w:val="TestonotaapidipaginaCarattere"/>
    <w:uiPriority w:val="99"/>
    <w:rsid w:val="008C286E"/>
  </w:style>
  <w:style w:type="character" w:customStyle="1" w:styleId="TestonotaapidipaginaCarattere">
    <w:name w:val="Testo nota a piè di pagina Carattere"/>
    <w:link w:val="Testonotaapidipagina"/>
    <w:uiPriority w:val="99"/>
    <w:rsid w:val="008C286E"/>
    <w:rPr>
      <w:rFonts w:cs="Times New Roman"/>
      <w:sz w:val="20"/>
    </w:rPr>
  </w:style>
  <w:style w:type="character" w:styleId="Rimandonotaapidipagina">
    <w:name w:val="footnote reference"/>
    <w:uiPriority w:val="99"/>
    <w:rsid w:val="008C286E"/>
    <w:rPr>
      <w:rFonts w:cs="Times New Roman"/>
      <w:vertAlign w:val="superscript"/>
    </w:rPr>
  </w:style>
  <w:style w:type="character" w:styleId="Enfasicorsivo">
    <w:name w:val="Emphasis"/>
    <w:uiPriority w:val="20"/>
    <w:qFormat/>
    <w:rsid w:val="008C286E"/>
    <w:rPr>
      <w:rFonts w:cs="Times New Roman"/>
      <w:i/>
    </w:rPr>
  </w:style>
  <w:style w:type="paragraph" w:customStyle="1" w:styleId="Grigliamedia1-Colore21">
    <w:name w:val="Griglia media 1 - Colore 21"/>
    <w:basedOn w:val="Normale"/>
    <w:uiPriority w:val="34"/>
    <w:qFormat/>
    <w:rsid w:val="008C286E"/>
    <w:pPr>
      <w:ind w:left="720"/>
      <w:contextualSpacing/>
    </w:pPr>
  </w:style>
  <w:style w:type="character" w:styleId="Rimandocommento">
    <w:name w:val="annotation reference"/>
    <w:uiPriority w:val="99"/>
    <w:semiHidden/>
    <w:unhideWhenUsed/>
    <w:rsid w:val="008C286E"/>
    <w:rPr>
      <w:sz w:val="16"/>
      <w:szCs w:val="16"/>
    </w:rPr>
  </w:style>
  <w:style w:type="paragraph" w:styleId="Testocommento">
    <w:name w:val="annotation text"/>
    <w:basedOn w:val="Normale"/>
    <w:link w:val="TestocommentoCarattere"/>
    <w:uiPriority w:val="99"/>
    <w:semiHidden/>
    <w:unhideWhenUsed/>
    <w:rsid w:val="00E338F3"/>
    <w:rPr>
      <w:sz w:val="20"/>
      <w:szCs w:val="20"/>
    </w:rPr>
  </w:style>
  <w:style w:type="character" w:customStyle="1" w:styleId="TestocommentoCarattere">
    <w:name w:val="Testo commento Carattere"/>
    <w:link w:val="Testocommento"/>
    <w:uiPriority w:val="99"/>
    <w:semiHidden/>
    <w:rsid w:val="008C286E"/>
    <w:rPr>
      <w:sz w:val="20"/>
      <w:szCs w:val="20"/>
    </w:rPr>
  </w:style>
  <w:style w:type="paragraph" w:styleId="Soggettocommento">
    <w:name w:val="annotation subject"/>
    <w:basedOn w:val="Testocommento"/>
    <w:next w:val="Testocommento"/>
    <w:link w:val="SoggettocommentoCarattere"/>
    <w:uiPriority w:val="99"/>
    <w:semiHidden/>
    <w:unhideWhenUsed/>
    <w:rsid w:val="008C286E"/>
    <w:rPr>
      <w:b/>
      <w:bCs/>
    </w:rPr>
  </w:style>
  <w:style w:type="character" w:customStyle="1" w:styleId="SoggettocommentoCarattere">
    <w:name w:val="Soggetto commento Carattere"/>
    <w:link w:val="Soggettocommento"/>
    <w:uiPriority w:val="99"/>
    <w:semiHidden/>
    <w:rsid w:val="008C286E"/>
    <w:rPr>
      <w:b/>
      <w:bCs/>
      <w:sz w:val="20"/>
      <w:szCs w:val="20"/>
    </w:rPr>
  </w:style>
  <w:style w:type="paragraph" w:styleId="Sottotitolo">
    <w:name w:val="Subtitle"/>
    <w:basedOn w:val="Normale"/>
    <w:next w:val="Normale"/>
    <w:link w:val="SottotitoloCarattere"/>
    <w:uiPriority w:val="99"/>
    <w:qFormat/>
    <w:rsid w:val="008C286E"/>
    <w:pPr>
      <w:numPr>
        <w:ilvl w:val="1"/>
      </w:numPr>
    </w:pPr>
    <w:rPr>
      <w:rFonts w:ascii="Cambria" w:hAnsi="Cambria"/>
      <w:i/>
      <w:iCs/>
      <w:color w:val="4F81BD"/>
      <w:spacing w:val="15"/>
    </w:rPr>
  </w:style>
  <w:style w:type="character" w:customStyle="1" w:styleId="SottotitoloCarattere">
    <w:name w:val="Sottotitolo Carattere"/>
    <w:link w:val="Sottotitolo"/>
    <w:uiPriority w:val="99"/>
    <w:rsid w:val="008C286E"/>
    <w:rPr>
      <w:rFonts w:ascii="Cambria" w:eastAsia="Times New Roman" w:hAnsi="Cambria" w:cs="Times New Roman"/>
      <w:i/>
      <w:iCs/>
      <w:color w:val="4F81BD"/>
      <w:spacing w:val="15"/>
      <w:sz w:val="24"/>
      <w:szCs w:val="24"/>
    </w:rPr>
  </w:style>
  <w:style w:type="character" w:customStyle="1" w:styleId="Titolo4Carattere">
    <w:name w:val="Titolo 4 Carattere"/>
    <w:link w:val="Titolo4"/>
    <w:uiPriority w:val="9"/>
    <w:rsid w:val="008C286E"/>
    <w:rPr>
      <w:rFonts w:ascii="Cambria" w:eastAsia="Times New Roman" w:hAnsi="Cambria" w:cs="Times New Roman"/>
      <w:b/>
      <w:bCs/>
      <w:i/>
      <w:iCs/>
      <w:color w:val="4F81BD"/>
      <w:sz w:val="20"/>
      <w:szCs w:val="20"/>
    </w:rPr>
  </w:style>
  <w:style w:type="paragraph" w:customStyle="1" w:styleId="Default">
    <w:name w:val="Default"/>
    <w:rsid w:val="008C286E"/>
    <w:rPr>
      <w:rFonts w:ascii="Arial Narrow" w:hAnsi="Arial Narrow"/>
      <w:color w:val="000000"/>
      <w:sz w:val="24"/>
      <w:szCs w:val="24"/>
    </w:rPr>
  </w:style>
  <w:style w:type="paragraph" w:customStyle="1" w:styleId="Paragrafobase">
    <w:name w:val="[Paragrafo base]"/>
    <w:basedOn w:val="Normale"/>
    <w:uiPriority w:val="99"/>
    <w:rsid w:val="008C286E"/>
    <w:pPr>
      <w:spacing w:line="288" w:lineRule="auto"/>
    </w:pPr>
    <w:rPr>
      <w:rFonts w:ascii="Times-Roman" w:hAnsi="Times-Roman" w:cs="Times-Roman"/>
      <w:color w:val="000000"/>
    </w:rPr>
  </w:style>
  <w:style w:type="table" w:customStyle="1" w:styleId="Grigliatabella1">
    <w:name w:val="Griglia tabella1"/>
    <w:basedOn w:val="Tabellanormale"/>
    <w:uiPriority w:val="99"/>
    <w:rsid w:val="008C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uiPriority w:val="99"/>
    <w:qFormat/>
    <w:rsid w:val="008C286E"/>
    <w:pPr>
      <w:spacing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uiPriority w:val="99"/>
    <w:qFormat/>
    <w:rsid w:val="008C286E"/>
    <w:pPr>
      <w:pBdr>
        <w:bottom w:val="single" w:sz="18" w:space="1" w:color="E31C18"/>
      </w:pBdr>
      <w:spacing w:after="240" w:line="240" w:lineRule="exact"/>
    </w:pPr>
    <w:rPr>
      <w:rFonts w:ascii="Calibri" w:hAnsi="Calibri" w:cs="Arial"/>
      <w:bCs/>
      <w:caps/>
      <w:color w:val="000000"/>
      <w:sz w:val="26"/>
      <w:szCs w:val="28"/>
    </w:rPr>
  </w:style>
  <w:style w:type="character" w:customStyle="1" w:styleId="001TitoloBoloccoCarattere">
    <w:name w:val="001TitoloBolocco Carattere"/>
    <w:link w:val="001TitoloBolocco"/>
    <w:uiPriority w:val="99"/>
    <w:rsid w:val="008C286E"/>
    <w:rPr>
      <w:rFonts w:ascii="Calibri" w:hAnsi="Calibri" w:cs="Arial"/>
      <w:b/>
      <w:bCs/>
      <w:caps/>
      <w:color w:val="000000"/>
      <w:sz w:val="26"/>
      <w:szCs w:val="28"/>
    </w:rPr>
  </w:style>
  <w:style w:type="paragraph" w:customStyle="1" w:styleId="00TitoGra1">
    <w:name w:val="00TitoGra1"/>
    <w:basedOn w:val="Normale"/>
    <w:uiPriority w:val="99"/>
    <w:qFormat/>
    <w:rsid w:val="008C286E"/>
    <w:pPr>
      <w:spacing w:line="280" w:lineRule="exact"/>
    </w:pPr>
    <w:rPr>
      <w:rFonts w:ascii="Calibri" w:hAnsi="Calibri" w:cs="Arial"/>
      <w:b/>
      <w:color w:val="D90B13"/>
      <w:sz w:val="28"/>
      <w:szCs w:val="28"/>
    </w:rPr>
  </w:style>
  <w:style w:type="character" w:customStyle="1" w:styleId="001TitoGraRed">
    <w:name w:val="001TitoGraRed"/>
    <w:uiPriority w:val="1"/>
    <w:qFormat/>
    <w:rsid w:val="008C286E"/>
    <w:rPr>
      <w:color w:val="E31C18"/>
    </w:rPr>
  </w:style>
  <w:style w:type="paragraph" w:customStyle="1" w:styleId="001SottotitoloGra">
    <w:name w:val="001SottotitoloGra"/>
    <w:basedOn w:val="001TitoGra"/>
    <w:uiPriority w:val="99"/>
    <w:qFormat/>
    <w:rsid w:val="008C286E"/>
    <w:pPr>
      <w:spacing w:after="120"/>
    </w:pPr>
    <w:rPr>
      <w:b w:val="0"/>
      <w:sz w:val="20"/>
      <w:szCs w:val="20"/>
    </w:rPr>
  </w:style>
  <w:style w:type="paragraph" w:styleId="Rientrocorpodeltesto">
    <w:name w:val="Body Text Indent"/>
    <w:basedOn w:val="Normale"/>
    <w:link w:val="RientrocorpodeltestoCarattere"/>
    <w:uiPriority w:val="99"/>
    <w:semiHidden/>
    <w:unhideWhenUsed/>
    <w:rsid w:val="008C286E"/>
    <w:pPr>
      <w:spacing w:after="120"/>
      <w:ind w:left="283"/>
    </w:pPr>
  </w:style>
  <w:style w:type="character" w:customStyle="1" w:styleId="RientrocorpodeltestoCarattere">
    <w:name w:val="Rientro corpo del testo Carattere"/>
    <w:link w:val="Rientrocorpodeltesto"/>
    <w:uiPriority w:val="99"/>
    <w:semiHidden/>
    <w:rsid w:val="008C286E"/>
  </w:style>
  <w:style w:type="character" w:customStyle="1" w:styleId="St">
    <w:name w:val="St"/>
    <w:uiPriority w:val="99"/>
    <w:rsid w:val="008C286E"/>
  </w:style>
  <w:style w:type="character" w:customStyle="1" w:styleId="TestonotaapidipaginaCarattere1">
    <w:name w:val="Testo nota a piè di pagina Carattere1"/>
    <w:uiPriority w:val="99"/>
    <w:semiHidden/>
    <w:rsid w:val="008C286E"/>
    <w:rPr>
      <w:sz w:val="20"/>
    </w:rPr>
  </w:style>
  <w:style w:type="paragraph" w:customStyle="1" w:styleId="A">
    <w:name w:val="A"/>
    <w:basedOn w:val="Normale"/>
    <w:next w:val="Corpotesto"/>
    <w:uiPriority w:val="99"/>
    <w:rsid w:val="008C286E"/>
    <w:pPr>
      <w:jc w:val="both"/>
    </w:pPr>
    <w:rPr>
      <w:b/>
      <w:lang w:eastAsia="ar-SA"/>
    </w:rPr>
  </w:style>
  <w:style w:type="paragraph" w:styleId="Paragrafoelenco">
    <w:name w:val="List Paragraph"/>
    <w:basedOn w:val="Normale"/>
    <w:uiPriority w:val="34"/>
    <w:qFormat/>
    <w:rsid w:val="008C286E"/>
    <w:pPr>
      <w:ind w:left="720"/>
      <w:contextualSpacing/>
    </w:pPr>
  </w:style>
  <w:style w:type="character" w:customStyle="1" w:styleId="Object3">
    <w:name w:val="Object3"/>
    <w:basedOn w:val="Carpredefinitoparagrafo"/>
    <w:uiPriority w:val="99"/>
    <w:rsid w:val="008C286E"/>
  </w:style>
  <w:style w:type="character" w:customStyle="1" w:styleId="Object4">
    <w:name w:val="Object4"/>
    <w:basedOn w:val="Carpredefinitoparagrafo"/>
    <w:uiPriority w:val="99"/>
    <w:rsid w:val="008C286E"/>
  </w:style>
  <w:style w:type="paragraph" w:styleId="Nessunaspaziatura">
    <w:name w:val="No Spacing"/>
    <w:uiPriority w:val="1"/>
    <w:qFormat/>
    <w:rsid w:val="008C286E"/>
  </w:style>
  <w:style w:type="character" w:customStyle="1" w:styleId="Heading1Char">
    <w:name w:val="Heading 1 Char"/>
    <w:basedOn w:val="Carpredefinitoparagrafo"/>
    <w:uiPriority w:val="9"/>
    <w:rsid w:val="008C286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C286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8C286E"/>
    <w:rPr>
      <w:rFonts w:asciiTheme="majorHAnsi" w:eastAsiaTheme="majorEastAsia" w:hAnsiTheme="majorHAnsi" w:cstheme="majorBidi"/>
      <w:b/>
      <w:bCs/>
      <w:color w:val="4F81BD" w:themeColor="accent1"/>
    </w:rPr>
  </w:style>
  <w:style w:type="character" w:customStyle="1" w:styleId="Heading4Char">
    <w:name w:val="Heading 4 Char"/>
    <w:basedOn w:val="Carpredefinitoparagrafo"/>
    <w:uiPriority w:val="9"/>
    <w:rsid w:val="008C286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8C286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8C286E"/>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8C286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8C286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8C286E"/>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rsid w:val="008C28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oloCarattere">
    <w:name w:val="Titolo Carattere"/>
    <w:basedOn w:val="Carpredefinitoparagrafo"/>
    <w:link w:val="Titolo"/>
    <w:uiPriority w:val="10"/>
    <w:rsid w:val="008C286E"/>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Carpredefinitoparagrafo"/>
    <w:uiPriority w:val="11"/>
    <w:rsid w:val="008C286E"/>
    <w:rPr>
      <w:rFonts w:asciiTheme="majorHAnsi" w:eastAsiaTheme="majorEastAsia" w:hAnsiTheme="majorHAnsi" w:cstheme="majorBidi"/>
      <w:i/>
      <w:iCs/>
      <w:color w:val="4F81BD" w:themeColor="accent1"/>
      <w:spacing w:val="15"/>
      <w:sz w:val="24"/>
      <w:szCs w:val="24"/>
    </w:rPr>
  </w:style>
  <w:style w:type="character" w:styleId="Enfasidelicata">
    <w:name w:val="Subtle Emphasis"/>
    <w:basedOn w:val="Carpredefinitoparagrafo"/>
    <w:uiPriority w:val="19"/>
    <w:qFormat/>
    <w:rsid w:val="008C286E"/>
    <w:rPr>
      <w:i/>
      <w:iCs/>
      <w:color w:val="808080" w:themeColor="text1" w:themeTint="7F"/>
    </w:rPr>
  </w:style>
  <w:style w:type="character" w:styleId="Enfasiintensa">
    <w:name w:val="Intense Emphasis"/>
    <w:basedOn w:val="Carpredefinitoparagrafo"/>
    <w:uiPriority w:val="21"/>
    <w:qFormat/>
    <w:rsid w:val="008C286E"/>
    <w:rPr>
      <w:b/>
      <w:bCs/>
      <w:i/>
      <w:iCs/>
      <w:color w:val="4F81BD" w:themeColor="accent1"/>
    </w:rPr>
  </w:style>
  <w:style w:type="paragraph" w:styleId="Citazione">
    <w:name w:val="Quote"/>
    <w:basedOn w:val="Normale"/>
    <w:next w:val="Normale"/>
    <w:link w:val="CitazioneCarattere"/>
    <w:uiPriority w:val="29"/>
    <w:qFormat/>
    <w:rsid w:val="008C286E"/>
    <w:rPr>
      <w:i/>
      <w:iCs/>
      <w:color w:val="000000" w:themeColor="text1"/>
    </w:rPr>
  </w:style>
  <w:style w:type="character" w:customStyle="1" w:styleId="CitazioneCarattere">
    <w:name w:val="Citazione Carattere"/>
    <w:basedOn w:val="Carpredefinitoparagrafo"/>
    <w:link w:val="Citazione"/>
    <w:uiPriority w:val="29"/>
    <w:rsid w:val="008C286E"/>
    <w:rPr>
      <w:i/>
      <w:iCs/>
      <w:color w:val="000000" w:themeColor="text1"/>
    </w:rPr>
  </w:style>
  <w:style w:type="paragraph" w:styleId="Citazioneintensa">
    <w:name w:val="Intense Quote"/>
    <w:basedOn w:val="Normale"/>
    <w:next w:val="Normale"/>
    <w:link w:val="CitazioneintensaCarattere"/>
    <w:uiPriority w:val="30"/>
    <w:qFormat/>
    <w:rsid w:val="008C286E"/>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C286E"/>
    <w:rPr>
      <w:b/>
      <w:bCs/>
      <w:i/>
      <w:iCs/>
      <w:color w:val="4F81BD" w:themeColor="accent1"/>
    </w:rPr>
  </w:style>
  <w:style w:type="character" w:styleId="Riferimentodelicato">
    <w:name w:val="Subtle Reference"/>
    <w:basedOn w:val="Carpredefinitoparagrafo"/>
    <w:uiPriority w:val="31"/>
    <w:qFormat/>
    <w:rsid w:val="008C286E"/>
    <w:rPr>
      <w:smallCaps/>
      <w:color w:val="C0504D" w:themeColor="accent2"/>
      <w:u w:val="single"/>
    </w:rPr>
  </w:style>
  <w:style w:type="character" w:styleId="Riferimentointenso">
    <w:name w:val="Intense Reference"/>
    <w:basedOn w:val="Carpredefinitoparagrafo"/>
    <w:uiPriority w:val="32"/>
    <w:qFormat/>
    <w:rsid w:val="008C286E"/>
    <w:rPr>
      <w:b/>
      <w:bCs/>
      <w:smallCaps/>
      <w:color w:val="C0504D" w:themeColor="accent2"/>
      <w:spacing w:val="5"/>
      <w:u w:val="single"/>
    </w:rPr>
  </w:style>
  <w:style w:type="character" w:styleId="Titolodellibro">
    <w:name w:val="Book Title"/>
    <w:basedOn w:val="Carpredefinitoparagrafo"/>
    <w:uiPriority w:val="33"/>
    <w:qFormat/>
    <w:rsid w:val="008C286E"/>
    <w:rPr>
      <w:b/>
      <w:bCs/>
      <w:smallCaps/>
      <w:spacing w:val="5"/>
    </w:rPr>
  </w:style>
  <w:style w:type="character" w:customStyle="1" w:styleId="FootnoteTextChar">
    <w:name w:val="Footnote Text Char"/>
    <w:basedOn w:val="Carpredefinitoparagrafo"/>
    <w:uiPriority w:val="99"/>
    <w:semiHidden/>
    <w:rsid w:val="008C286E"/>
    <w:rPr>
      <w:sz w:val="20"/>
      <w:szCs w:val="20"/>
    </w:rPr>
  </w:style>
  <w:style w:type="paragraph" w:styleId="Testonotadichiusura">
    <w:name w:val="endnote text"/>
    <w:basedOn w:val="Normale"/>
    <w:link w:val="TestonotadichiusuraCarattere"/>
    <w:uiPriority w:val="99"/>
    <w:semiHidden/>
    <w:unhideWhenUsed/>
    <w:rsid w:val="008C286E"/>
  </w:style>
  <w:style w:type="character" w:customStyle="1" w:styleId="TestonotadichiusuraCarattere">
    <w:name w:val="Testo nota di chiusura Carattere"/>
    <w:basedOn w:val="Carpredefinitoparagrafo"/>
    <w:link w:val="Testonotadichiusura"/>
    <w:uiPriority w:val="99"/>
    <w:semiHidden/>
    <w:rsid w:val="008C286E"/>
    <w:rPr>
      <w:sz w:val="20"/>
      <w:szCs w:val="20"/>
    </w:rPr>
  </w:style>
  <w:style w:type="character" w:styleId="Rimandonotadichiusura">
    <w:name w:val="endnote reference"/>
    <w:basedOn w:val="Carpredefinitoparagrafo"/>
    <w:uiPriority w:val="99"/>
    <w:semiHidden/>
    <w:unhideWhenUsed/>
    <w:rsid w:val="008C286E"/>
    <w:rPr>
      <w:vertAlign w:val="superscript"/>
    </w:rPr>
  </w:style>
  <w:style w:type="paragraph" w:styleId="Testonormale">
    <w:name w:val="Plain Text"/>
    <w:basedOn w:val="Normale"/>
    <w:link w:val="TestonormaleCarattere"/>
    <w:uiPriority w:val="99"/>
    <w:semiHidden/>
    <w:unhideWhenUsed/>
    <w:rsid w:val="008C286E"/>
    <w:rPr>
      <w:rFonts w:ascii="Courier New" w:hAnsi="Courier New" w:cs="Courier New"/>
      <w:sz w:val="21"/>
      <w:szCs w:val="21"/>
    </w:rPr>
  </w:style>
  <w:style w:type="character" w:customStyle="1" w:styleId="TestonormaleCarattere">
    <w:name w:val="Testo normale Carattere"/>
    <w:basedOn w:val="Carpredefinitoparagrafo"/>
    <w:link w:val="Testonormale"/>
    <w:uiPriority w:val="99"/>
    <w:rsid w:val="008C286E"/>
    <w:rPr>
      <w:rFonts w:ascii="Courier New" w:hAnsi="Courier New" w:cs="Courier New"/>
      <w:sz w:val="21"/>
      <w:szCs w:val="21"/>
    </w:rPr>
  </w:style>
  <w:style w:type="paragraph" w:styleId="Indirizzodestinatario">
    <w:name w:val="envelope address"/>
    <w:basedOn w:val="Normale"/>
    <w:uiPriority w:val="99"/>
    <w:unhideWhenUsed/>
    <w:rsid w:val="008C286E"/>
    <w:pPr>
      <w:ind w:left="2880"/>
    </w:pPr>
    <w:rPr>
      <w:rFonts w:asciiTheme="majorHAnsi" w:eastAsiaTheme="majorEastAsia" w:hAnsiTheme="majorHAnsi" w:cstheme="majorBidi"/>
    </w:rPr>
  </w:style>
  <w:style w:type="paragraph" w:styleId="Indirizzomittente">
    <w:name w:val="envelope return"/>
    <w:basedOn w:val="Normale"/>
    <w:uiPriority w:val="99"/>
    <w:unhideWhenUsed/>
    <w:rsid w:val="008C286E"/>
    <w:rPr>
      <w:rFonts w:asciiTheme="majorHAnsi" w:eastAsiaTheme="majorEastAsia" w:hAnsiTheme="majorHAnsi" w:cstheme="majorBidi"/>
    </w:rPr>
  </w:style>
  <w:style w:type="character" w:styleId="Collegamentovisitato">
    <w:name w:val="FollowedHyperlink"/>
    <w:basedOn w:val="Carpredefinitoparagrafo"/>
    <w:uiPriority w:val="99"/>
    <w:semiHidden/>
    <w:unhideWhenUsed/>
    <w:rsid w:val="00984069"/>
    <w:rPr>
      <w:color w:val="800080" w:themeColor="followedHyperlink"/>
      <w:u w:val="single"/>
    </w:rPr>
  </w:style>
  <w:style w:type="character" w:customStyle="1" w:styleId="object">
    <w:name w:val="object"/>
    <w:basedOn w:val="Carpredefinitoparagrafo"/>
    <w:rsid w:val="003960B2"/>
  </w:style>
  <w:style w:type="character" w:customStyle="1" w:styleId="seocontent">
    <w:name w:val="seocontent"/>
    <w:basedOn w:val="Carpredefinitoparagrafo"/>
    <w:rsid w:val="00767D50"/>
  </w:style>
  <w:style w:type="character" w:customStyle="1" w:styleId="apple-converted-space">
    <w:name w:val="apple-converted-space"/>
    <w:basedOn w:val="Carpredefinitoparagrafo"/>
    <w:rsid w:val="0043457D"/>
  </w:style>
  <w:style w:type="paragraph" w:styleId="Mappadocumento">
    <w:name w:val="Document Map"/>
    <w:basedOn w:val="Normale"/>
    <w:link w:val="MappadocumentoCarattere"/>
    <w:uiPriority w:val="99"/>
    <w:semiHidden/>
    <w:unhideWhenUsed/>
    <w:rsid w:val="0048397C"/>
  </w:style>
  <w:style w:type="character" w:customStyle="1" w:styleId="MappadocumentoCarattere">
    <w:name w:val="Mappa documento Carattere"/>
    <w:basedOn w:val="Carpredefinitoparagrafo"/>
    <w:link w:val="Mappadocumento"/>
    <w:uiPriority w:val="99"/>
    <w:semiHidden/>
    <w:rsid w:val="0048397C"/>
    <w:rPr>
      <w:sz w:val="24"/>
      <w:szCs w:val="24"/>
    </w:rPr>
  </w:style>
  <w:style w:type="paragraph" w:styleId="Revisione">
    <w:name w:val="Revision"/>
    <w:hidden/>
    <w:uiPriority w:val="99"/>
    <w:semiHidden/>
    <w:rsid w:val="0089453E"/>
    <w:rPr>
      <w:sz w:val="24"/>
      <w:szCs w:val="24"/>
    </w:rPr>
  </w:style>
  <w:style w:type="character" w:customStyle="1" w:styleId="markedcontent">
    <w:name w:val="markedcontent"/>
    <w:basedOn w:val="Carpredefinitoparagrafo"/>
    <w:rsid w:val="008A3444"/>
  </w:style>
  <w:style w:type="paragraph" w:customStyle="1" w:styleId="oj-doc-ti">
    <w:name w:val="oj-doc-ti"/>
    <w:basedOn w:val="Normale"/>
    <w:rsid w:val="00AF02B8"/>
    <w:pPr>
      <w:spacing w:before="100" w:beforeAutospacing="1" w:after="100" w:afterAutospacing="1"/>
    </w:pPr>
  </w:style>
  <w:style w:type="paragraph" w:customStyle="1" w:styleId="doc-ti">
    <w:name w:val="doc-ti"/>
    <w:basedOn w:val="Normale"/>
    <w:rsid w:val="00BA60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22">
      <w:bodyDiv w:val="1"/>
      <w:marLeft w:val="0"/>
      <w:marRight w:val="0"/>
      <w:marTop w:val="0"/>
      <w:marBottom w:val="0"/>
      <w:divBdr>
        <w:top w:val="none" w:sz="0" w:space="0" w:color="auto"/>
        <w:left w:val="none" w:sz="0" w:space="0" w:color="auto"/>
        <w:bottom w:val="none" w:sz="0" w:space="0" w:color="auto"/>
        <w:right w:val="none" w:sz="0" w:space="0" w:color="auto"/>
      </w:divBdr>
      <w:divsChild>
        <w:div w:id="1411269190">
          <w:marLeft w:val="0"/>
          <w:marRight w:val="0"/>
          <w:marTop w:val="0"/>
          <w:marBottom w:val="0"/>
          <w:divBdr>
            <w:top w:val="none" w:sz="0" w:space="0" w:color="auto"/>
            <w:left w:val="none" w:sz="0" w:space="0" w:color="auto"/>
            <w:bottom w:val="none" w:sz="0" w:space="0" w:color="auto"/>
            <w:right w:val="none" w:sz="0" w:space="0" w:color="auto"/>
          </w:divBdr>
          <w:divsChild>
            <w:div w:id="757673392">
              <w:marLeft w:val="0"/>
              <w:marRight w:val="0"/>
              <w:marTop w:val="0"/>
              <w:marBottom w:val="0"/>
              <w:divBdr>
                <w:top w:val="none" w:sz="0" w:space="0" w:color="auto"/>
                <w:left w:val="none" w:sz="0" w:space="0" w:color="auto"/>
                <w:bottom w:val="none" w:sz="0" w:space="0" w:color="auto"/>
                <w:right w:val="none" w:sz="0" w:space="0" w:color="auto"/>
              </w:divBdr>
              <w:divsChild>
                <w:div w:id="470173811">
                  <w:marLeft w:val="0"/>
                  <w:marRight w:val="0"/>
                  <w:marTop w:val="0"/>
                  <w:marBottom w:val="0"/>
                  <w:divBdr>
                    <w:top w:val="none" w:sz="0" w:space="0" w:color="auto"/>
                    <w:left w:val="none" w:sz="0" w:space="0" w:color="auto"/>
                    <w:bottom w:val="none" w:sz="0" w:space="0" w:color="auto"/>
                    <w:right w:val="none" w:sz="0" w:space="0" w:color="auto"/>
                  </w:divBdr>
                  <w:divsChild>
                    <w:div w:id="1443305995">
                      <w:marLeft w:val="0"/>
                      <w:marRight w:val="0"/>
                      <w:marTop w:val="0"/>
                      <w:marBottom w:val="0"/>
                      <w:divBdr>
                        <w:top w:val="none" w:sz="0" w:space="0" w:color="auto"/>
                        <w:left w:val="none" w:sz="0" w:space="0" w:color="auto"/>
                        <w:bottom w:val="none" w:sz="0" w:space="0" w:color="auto"/>
                        <w:right w:val="none" w:sz="0" w:space="0" w:color="auto"/>
                      </w:divBdr>
                    </w:div>
                  </w:divsChild>
                </w:div>
                <w:div w:id="1450590073">
                  <w:marLeft w:val="0"/>
                  <w:marRight w:val="0"/>
                  <w:marTop w:val="0"/>
                  <w:marBottom w:val="0"/>
                  <w:divBdr>
                    <w:top w:val="none" w:sz="0" w:space="0" w:color="auto"/>
                    <w:left w:val="none" w:sz="0" w:space="0" w:color="auto"/>
                    <w:bottom w:val="none" w:sz="0" w:space="0" w:color="auto"/>
                    <w:right w:val="none" w:sz="0" w:space="0" w:color="auto"/>
                  </w:divBdr>
                  <w:divsChild>
                    <w:div w:id="21468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6180447">
      <w:bodyDiv w:val="1"/>
      <w:marLeft w:val="0"/>
      <w:marRight w:val="0"/>
      <w:marTop w:val="0"/>
      <w:marBottom w:val="0"/>
      <w:divBdr>
        <w:top w:val="none" w:sz="0" w:space="0" w:color="auto"/>
        <w:left w:val="none" w:sz="0" w:space="0" w:color="auto"/>
        <w:bottom w:val="none" w:sz="0" w:space="0" w:color="auto"/>
        <w:right w:val="none" w:sz="0" w:space="0" w:color="auto"/>
      </w:divBdr>
    </w:div>
    <w:div w:id="23292396">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58292022">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72625743">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23619020">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197011566">
      <w:bodyDiv w:val="1"/>
      <w:marLeft w:val="0"/>
      <w:marRight w:val="0"/>
      <w:marTop w:val="0"/>
      <w:marBottom w:val="0"/>
      <w:divBdr>
        <w:top w:val="none" w:sz="0" w:space="0" w:color="auto"/>
        <w:left w:val="none" w:sz="0" w:space="0" w:color="auto"/>
        <w:bottom w:val="none" w:sz="0" w:space="0" w:color="auto"/>
        <w:right w:val="none" w:sz="0" w:space="0" w:color="auto"/>
      </w:divBdr>
    </w:div>
    <w:div w:id="2079537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334">
          <w:marLeft w:val="0"/>
          <w:marRight w:val="0"/>
          <w:marTop w:val="0"/>
          <w:marBottom w:val="0"/>
          <w:divBdr>
            <w:top w:val="none" w:sz="0" w:space="0" w:color="auto"/>
            <w:left w:val="none" w:sz="0" w:space="0" w:color="auto"/>
            <w:bottom w:val="none" w:sz="0" w:space="0" w:color="auto"/>
            <w:right w:val="none" w:sz="0" w:space="0" w:color="auto"/>
          </w:divBdr>
          <w:divsChild>
            <w:div w:id="2014987602">
              <w:marLeft w:val="0"/>
              <w:marRight w:val="0"/>
              <w:marTop w:val="0"/>
              <w:marBottom w:val="0"/>
              <w:divBdr>
                <w:top w:val="none" w:sz="0" w:space="0" w:color="auto"/>
                <w:left w:val="none" w:sz="0" w:space="0" w:color="auto"/>
                <w:bottom w:val="none" w:sz="0" w:space="0" w:color="auto"/>
                <w:right w:val="none" w:sz="0" w:space="0" w:color="auto"/>
              </w:divBdr>
              <w:divsChild>
                <w:div w:id="153643006">
                  <w:marLeft w:val="0"/>
                  <w:marRight w:val="0"/>
                  <w:marTop w:val="0"/>
                  <w:marBottom w:val="0"/>
                  <w:divBdr>
                    <w:top w:val="none" w:sz="0" w:space="0" w:color="auto"/>
                    <w:left w:val="none" w:sz="0" w:space="0" w:color="auto"/>
                    <w:bottom w:val="none" w:sz="0" w:space="0" w:color="auto"/>
                    <w:right w:val="none" w:sz="0" w:space="0" w:color="auto"/>
                  </w:divBdr>
                  <w:divsChild>
                    <w:div w:id="1743211399">
                      <w:marLeft w:val="0"/>
                      <w:marRight w:val="0"/>
                      <w:marTop w:val="0"/>
                      <w:marBottom w:val="0"/>
                      <w:divBdr>
                        <w:top w:val="none" w:sz="0" w:space="0" w:color="auto"/>
                        <w:left w:val="none" w:sz="0" w:space="0" w:color="auto"/>
                        <w:bottom w:val="none" w:sz="0" w:space="0" w:color="auto"/>
                        <w:right w:val="none" w:sz="0" w:space="0" w:color="auto"/>
                      </w:divBdr>
                      <w:divsChild>
                        <w:div w:id="3110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6356">
                  <w:marLeft w:val="0"/>
                  <w:marRight w:val="0"/>
                  <w:marTop w:val="0"/>
                  <w:marBottom w:val="0"/>
                  <w:divBdr>
                    <w:top w:val="none" w:sz="0" w:space="0" w:color="auto"/>
                    <w:left w:val="none" w:sz="0" w:space="0" w:color="auto"/>
                    <w:bottom w:val="none" w:sz="0" w:space="0" w:color="auto"/>
                    <w:right w:val="none" w:sz="0" w:space="0" w:color="auto"/>
                  </w:divBdr>
                  <w:divsChild>
                    <w:div w:id="293602411">
                      <w:marLeft w:val="0"/>
                      <w:marRight w:val="0"/>
                      <w:marTop w:val="0"/>
                      <w:marBottom w:val="0"/>
                      <w:divBdr>
                        <w:top w:val="none" w:sz="0" w:space="0" w:color="auto"/>
                        <w:left w:val="none" w:sz="0" w:space="0" w:color="auto"/>
                        <w:bottom w:val="none" w:sz="0" w:space="0" w:color="auto"/>
                        <w:right w:val="none" w:sz="0" w:space="0" w:color="auto"/>
                      </w:divBdr>
                      <w:divsChild>
                        <w:div w:id="828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236">
                  <w:marLeft w:val="0"/>
                  <w:marRight w:val="0"/>
                  <w:marTop w:val="0"/>
                  <w:marBottom w:val="0"/>
                  <w:divBdr>
                    <w:top w:val="none" w:sz="0" w:space="0" w:color="auto"/>
                    <w:left w:val="none" w:sz="0" w:space="0" w:color="auto"/>
                    <w:bottom w:val="none" w:sz="0" w:space="0" w:color="auto"/>
                    <w:right w:val="none" w:sz="0" w:space="0" w:color="auto"/>
                  </w:divBdr>
                  <w:divsChild>
                    <w:div w:id="1674186560">
                      <w:marLeft w:val="0"/>
                      <w:marRight w:val="0"/>
                      <w:marTop w:val="0"/>
                      <w:marBottom w:val="0"/>
                      <w:divBdr>
                        <w:top w:val="none" w:sz="0" w:space="0" w:color="auto"/>
                        <w:left w:val="none" w:sz="0" w:space="0" w:color="auto"/>
                        <w:bottom w:val="none" w:sz="0" w:space="0" w:color="auto"/>
                        <w:right w:val="none" w:sz="0" w:space="0" w:color="auto"/>
                      </w:divBdr>
                      <w:divsChild>
                        <w:div w:id="20658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25141597">
      <w:bodyDiv w:val="1"/>
      <w:marLeft w:val="0"/>
      <w:marRight w:val="0"/>
      <w:marTop w:val="0"/>
      <w:marBottom w:val="0"/>
      <w:divBdr>
        <w:top w:val="none" w:sz="0" w:space="0" w:color="auto"/>
        <w:left w:val="none" w:sz="0" w:space="0" w:color="auto"/>
        <w:bottom w:val="none" w:sz="0" w:space="0" w:color="auto"/>
        <w:right w:val="none" w:sz="0" w:space="0" w:color="auto"/>
      </w:divBdr>
      <w:divsChild>
        <w:div w:id="1180699192">
          <w:marLeft w:val="0"/>
          <w:marRight w:val="0"/>
          <w:marTop w:val="0"/>
          <w:marBottom w:val="0"/>
          <w:divBdr>
            <w:top w:val="none" w:sz="0" w:space="0" w:color="auto"/>
            <w:left w:val="none" w:sz="0" w:space="0" w:color="auto"/>
            <w:bottom w:val="none" w:sz="0" w:space="0" w:color="auto"/>
            <w:right w:val="none" w:sz="0" w:space="0" w:color="auto"/>
          </w:divBdr>
          <w:divsChild>
            <w:div w:id="1033700291">
              <w:marLeft w:val="0"/>
              <w:marRight w:val="0"/>
              <w:marTop w:val="0"/>
              <w:marBottom w:val="0"/>
              <w:divBdr>
                <w:top w:val="none" w:sz="0" w:space="0" w:color="auto"/>
                <w:left w:val="none" w:sz="0" w:space="0" w:color="auto"/>
                <w:bottom w:val="none" w:sz="0" w:space="0" w:color="auto"/>
                <w:right w:val="none" w:sz="0" w:space="0" w:color="auto"/>
              </w:divBdr>
              <w:divsChild>
                <w:div w:id="786001819">
                  <w:marLeft w:val="0"/>
                  <w:marRight w:val="0"/>
                  <w:marTop w:val="0"/>
                  <w:marBottom w:val="0"/>
                  <w:divBdr>
                    <w:top w:val="none" w:sz="0" w:space="0" w:color="auto"/>
                    <w:left w:val="none" w:sz="0" w:space="0" w:color="auto"/>
                    <w:bottom w:val="none" w:sz="0" w:space="0" w:color="auto"/>
                    <w:right w:val="none" w:sz="0" w:space="0" w:color="auto"/>
                  </w:divBdr>
                  <w:divsChild>
                    <w:div w:id="16800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5604">
      <w:bodyDiv w:val="1"/>
      <w:marLeft w:val="0"/>
      <w:marRight w:val="0"/>
      <w:marTop w:val="0"/>
      <w:marBottom w:val="0"/>
      <w:divBdr>
        <w:top w:val="none" w:sz="0" w:space="0" w:color="auto"/>
        <w:left w:val="none" w:sz="0" w:space="0" w:color="auto"/>
        <w:bottom w:val="none" w:sz="0" w:space="0" w:color="auto"/>
        <w:right w:val="none" w:sz="0" w:space="0" w:color="auto"/>
      </w:divBdr>
      <w:divsChild>
        <w:div w:id="521088550">
          <w:marLeft w:val="0"/>
          <w:marRight w:val="0"/>
          <w:marTop w:val="0"/>
          <w:marBottom w:val="0"/>
          <w:divBdr>
            <w:top w:val="none" w:sz="0" w:space="0" w:color="auto"/>
            <w:left w:val="none" w:sz="0" w:space="0" w:color="auto"/>
            <w:bottom w:val="none" w:sz="0" w:space="0" w:color="auto"/>
            <w:right w:val="none" w:sz="0" w:space="0" w:color="auto"/>
          </w:divBdr>
          <w:divsChild>
            <w:div w:id="857236911">
              <w:marLeft w:val="0"/>
              <w:marRight w:val="0"/>
              <w:marTop w:val="0"/>
              <w:marBottom w:val="0"/>
              <w:divBdr>
                <w:top w:val="none" w:sz="0" w:space="0" w:color="auto"/>
                <w:left w:val="none" w:sz="0" w:space="0" w:color="auto"/>
                <w:bottom w:val="none" w:sz="0" w:space="0" w:color="auto"/>
                <w:right w:val="none" w:sz="0" w:space="0" w:color="auto"/>
              </w:divBdr>
              <w:divsChild>
                <w:div w:id="59981926">
                  <w:marLeft w:val="0"/>
                  <w:marRight w:val="0"/>
                  <w:marTop w:val="0"/>
                  <w:marBottom w:val="0"/>
                  <w:divBdr>
                    <w:top w:val="none" w:sz="0" w:space="0" w:color="auto"/>
                    <w:left w:val="none" w:sz="0" w:space="0" w:color="auto"/>
                    <w:bottom w:val="none" w:sz="0" w:space="0" w:color="auto"/>
                    <w:right w:val="none" w:sz="0" w:space="0" w:color="auto"/>
                  </w:divBdr>
                  <w:divsChild>
                    <w:div w:id="5844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38947615">
      <w:bodyDiv w:val="1"/>
      <w:marLeft w:val="0"/>
      <w:marRight w:val="0"/>
      <w:marTop w:val="0"/>
      <w:marBottom w:val="0"/>
      <w:divBdr>
        <w:top w:val="none" w:sz="0" w:space="0" w:color="auto"/>
        <w:left w:val="none" w:sz="0" w:space="0" w:color="auto"/>
        <w:bottom w:val="none" w:sz="0" w:space="0" w:color="auto"/>
        <w:right w:val="none" w:sz="0" w:space="0" w:color="auto"/>
      </w:divBdr>
      <w:divsChild>
        <w:div w:id="1301957581">
          <w:marLeft w:val="0"/>
          <w:marRight w:val="0"/>
          <w:marTop w:val="0"/>
          <w:marBottom w:val="0"/>
          <w:divBdr>
            <w:top w:val="none" w:sz="0" w:space="0" w:color="auto"/>
            <w:left w:val="none" w:sz="0" w:space="0" w:color="auto"/>
            <w:bottom w:val="none" w:sz="0" w:space="0" w:color="auto"/>
            <w:right w:val="none" w:sz="0" w:space="0" w:color="auto"/>
          </w:divBdr>
          <w:divsChild>
            <w:div w:id="205528138">
              <w:marLeft w:val="0"/>
              <w:marRight w:val="0"/>
              <w:marTop w:val="0"/>
              <w:marBottom w:val="0"/>
              <w:divBdr>
                <w:top w:val="none" w:sz="0" w:space="0" w:color="auto"/>
                <w:left w:val="none" w:sz="0" w:space="0" w:color="auto"/>
                <w:bottom w:val="none" w:sz="0" w:space="0" w:color="auto"/>
                <w:right w:val="none" w:sz="0" w:space="0" w:color="auto"/>
              </w:divBdr>
              <w:divsChild>
                <w:div w:id="1118522020">
                  <w:marLeft w:val="0"/>
                  <w:marRight w:val="0"/>
                  <w:marTop w:val="0"/>
                  <w:marBottom w:val="0"/>
                  <w:divBdr>
                    <w:top w:val="none" w:sz="0" w:space="0" w:color="auto"/>
                    <w:left w:val="none" w:sz="0" w:space="0" w:color="auto"/>
                    <w:bottom w:val="none" w:sz="0" w:space="0" w:color="auto"/>
                    <w:right w:val="none" w:sz="0" w:space="0" w:color="auto"/>
                  </w:divBdr>
                  <w:divsChild>
                    <w:div w:id="16680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38810">
      <w:bodyDiv w:val="1"/>
      <w:marLeft w:val="0"/>
      <w:marRight w:val="0"/>
      <w:marTop w:val="0"/>
      <w:marBottom w:val="0"/>
      <w:divBdr>
        <w:top w:val="none" w:sz="0" w:space="0" w:color="auto"/>
        <w:left w:val="none" w:sz="0" w:space="0" w:color="auto"/>
        <w:bottom w:val="none" w:sz="0" w:space="0" w:color="auto"/>
        <w:right w:val="none" w:sz="0" w:space="0" w:color="auto"/>
      </w:divBdr>
      <w:divsChild>
        <w:div w:id="335347819">
          <w:marLeft w:val="0"/>
          <w:marRight w:val="0"/>
          <w:marTop w:val="0"/>
          <w:marBottom w:val="0"/>
          <w:divBdr>
            <w:top w:val="none" w:sz="0" w:space="0" w:color="auto"/>
            <w:left w:val="none" w:sz="0" w:space="0" w:color="auto"/>
            <w:bottom w:val="none" w:sz="0" w:space="0" w:color="auto"/>
            <w:right w:val="none" w:sz="0" w:space="0" w:color="auto"/>
          </w:divBdr>
          <w:divsChild>
            <w:div w:id="1335183542">
              <w:marLeft w:val="0"/>
              <w:marRight w:val="0"/>
              <w:marTop w:val="0"/>
              <w:marBottom w:val="0"/>
              <w:divBdr>
                <w:top w:val="none" w:sz="0" w:space="0" w:color="auto"/>
                <w:left w:val="none" w:sz="0" w:space="0" w:color="auto"/>
                <w:bottom w:val="none" w:sz="0" w:space="0" w:color="auto"/>
                <w:right w:val="none" w:sz="0" w:space="0" w:color="auto"/>
              </w:divBdr>
              <w:divsChild>
                <w:div w:id="1751923384">
                  <w:marLeft w:val="0"/>
                  <w:marRight w:val="0"/>
                  <w:marTop w:val="0"/>
                  <w:marBottom w:val="0"/>
                  <w:divBdr>
                    <w:top w:val="none" w:sz="0" w:space="0" w:color="auto"/>
                    <w:left w:val="none" w:sz="0" w:space="0" w:color="auto"/>
                    <w:bottom w:val="none" w:sz="0" w:space="0" w:color="auto"/>
                    <w:right w:val="none" w:sz="0" w:space="0" w:color="auto"/>
                  </w:divBdr>
                  <w:divsChild>
                    <w:div w:id="1501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290327171">
      <w:bodyDiv w:val="1"/>
      <w:marLeft w:val="0"/>
      <w:marRight w:val="0"/>
      <w:marTop w:val="0"/>
      <w:marBottom w:val="0"/>
      <w:divBdr>
        <w:top w:val="none" w:sz="0" w:space="0" w:color="auto"/>
        <w:left w:val="none" w:sz="0" w:space="0" w:color="auto"/>
        <w:bottom w:val="none" w:sz="0" w:space="0" w:color="auto"/>
        <w:right w:val="none" w:sz="0" w:space="0" w:color="auto"/>
      </w:divBdr>
    </w:div>
    <w:div w:id="309137912">
      <w:bodyDiv w:val="1"/>
      <w:marLeft w:val="0"/>
      <w:marRight w:val="0"/>
      <w:marTop w:val="0"/>
      <w:marBottom w:val="0"/>
      <w:divBdr>
        <w:top w:val="none" w:sz="0" w:space="0" w:color="auto"/>
        <w:left w:val="none" w:sz="0" w:space="0" w:color="auto"/>
        <w:bottom w:val="none" w:sz="0" w:space="0" w:color="auto"/>
        <w:right w:val="none" w:sz="0" w:space="0" w:color="auto"/>
      </w:divBdr>
    </w:div>
    <w:div w:id="356736269">
      <w:bodyDiv w:val="1"/>
      <w:marLeft w:val="0"/>
      <w:marRight w:val="0"/>
      <w:marTop w:val="0"/>
      <w:marBottom w:val="0"/>
      <w:divBdr>
        <w:top w:val="none" w:sz="0" w:space="0" w:color="auto"/>
        <w:left w:val="none" w:sz="0" w:space="0" w:color="auto"/>
        <w:bottom w:val="none" w:sz="0" w:space="0" w:color="auto"/>
        <w:right w:val="none" w:sz="0" w:space="0" w:color="auto"/>
      </w:divBdr>
      <w:divsChild>
        <w:div w:id="1168249234">
          <w:marLeft w:val="0"/>
          <w:marRight w:val="0"/>
          <w:marTop w:val="0"/>
          <w:marBottom w:val="0"/>
          <w:divBdr>
            <w:top w:val="none" w:sz="0" w:space="0" w:color="auto"/>
            <w:left w:val="none" w:sz="0" w:space="0" w:color="auto"/>
            <w:bottom w:val="none" w:sz="0" w:space="0" w:color="auto"/>
            <w:right w:val="none" w:sz="0" w:space="0" w:color="auto"/>
          </w:divBdr>
          <w:divsChild>
            <w:div w:id="642344745">
              <w:marLeft w:val="0"/>
              <w:marRight w:val="0"/>
              <w:marTop w:val="0"/>
              <w:marBottom w:val="0"/>
              <w:divBdr>
                <w:top w:val="none" w:sz="0" w:space="0" w:color="auto"/>
                <w:left w:val="none" w:sz="0" w:space="0" w:color="auto"/>
                <w:bottom w:val="none" w:sz="0" w:space="0" w:color="auto"/>
                <w:right w:val="none" w:sz="0" w:space="0" w:color="auto"/>
              </w:divBdr>
              <w:divsChild>
                <w:div w:id="2002658658">
                  <w:marLeft w:val="0"/>
                  <w:marRight w:val="0"/>
                  <w:marTop w:val="0"/>
                  <w:marBottom w:val="0"/>
                  <w:divBdr>
                    <w:top w:val="none" w:sz="0" w:space="0" w:color="auto"/>
                    <w:left w:val="none" w:sz="0" w:space="0" w:color="auto"/>
                    <w:bottom w:val="none" w:sz="0" w:space="0" w:color="auto"/>
                    <w:right w:val="none" w:sz="0" w:space="0" w:color="auto"/>
                  </w:divBdr>
                  <w:divsChild>
                    <w:div w:id="5268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80233">
      <w:bodyDiv w:val="1"/>
      <w:marLeft w:val="0"/>
      <w:marRight w:val="0"/>
      <w:marTop w:val="0"/>
      <w:marBottom w:val="0"/>
      <w:divBdr>
        <w:top w:val="none" w:sz="0" w:space="0" w:color="auto"/>
        <w:left w:val="none" w:sz="0" w:space="0" w:color="auto"/>
        <w:bottom w:val="none" w:sz="0" w:space="0" w:color="auto"/>
        <w:right w:val="none" w:sz="0" w:space="0" w:color="auto"/>
      </w:divBdr>
      <w:divsChild>
        <w:div w:id="1644650967">
          <w:marLeft w:val="0"/>
          <w:marRight w:val="0"/>
          <w:marTop w:val="0"/>
          <w:marBottom w:val="0"/>
          <w:divBdr>
            <w:top w:val="none" w:sz="0" w:space="0" w:color="auto"/>
            <w:left w:val="none" w:sz="0" w:space="0" w:color="auto"/>
            <w:bottom w:val="none" w:sz="0" w:space="0" w:color="auto"/>
            <w:right w:val="none" w:sz="0" w:space="0" w:color="auto"/>
          </w:divBdr>
          <w:divsChild>
            <w:div w:id="830176020">
              <w:marLeft w:val="0"/>
              <w:marRight w:val="0"/>
              <w:marTop w:val="0"/>
              <w:marBottom w:val="0"/>
              <w:divBdr>
                <w:top w:val="none" w:sz="0" w:space="0" w:color="auto"/>
                <w:left w:val="none" w:sz="0" w:space="0" w:color="auto"/>
                <w:bottom w:val="none" w:sz="0" w:space="0" w:color="auto"/>
                <w:right w:val="none" w:sz="0" w:space="0" w:color="auto"/>
              </w:divBdr>
              <w:divsChild>
                <w:div w:id="701595451">
                  <w:marLeft w:val="0"/>
                  <w:marRight w:val="0"/>
                  <w:marTop w:val="0"/>
                  <w:marBottom w:val="0"/>
                  <w:divBdr>
                    <w:top w:val="none" w:sz="0" w:space="0" w:color="auto"/>
                    <w:left w:val="none" w:sz="0" w:space="0" w:color="auto"/>
                    <w:bottom w:val="none" w:sz="0" w:space="0" w:color="auto"/>
                    <w:right w:val="none" w:sz="0" w:space="0" w:color="auto"/>
                  </w:divBdr>
                  <w:divsChild>
                    <w:div w:id="875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58988">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51363474">
      <w:bodyDiv w:val="1"/>
      <w:marLeft w:val="0"/>
      <w:marRight w:val="0"/>
      <w:marTop w:val="0"/>
      <w:marBottom w:val="0"/>
      <w:divBdr>
        <w:top w:val="none" w:sz="0" w:space="0" w:color="auto"/>
        <w:left w:val="none" w:sz="0" w:space="0" w:color="auto"/>
        <w:bottom w:val="none" w:sz="0" w:space="0" w:color="auto"/>
        <w:right w:val="none" w:sz="0" w:space="0" w:color="auto"/>
      </w:divBdr>
      <w:divsChild>
        <w:div w:id="1102843659">
          <w:marLeft w:val="0"/>
          <w:marRight w:val="0"/>
          <w:marTop w:val="0"/>
          <w:marBottom w:val="0"/>
          <w:divBdr>
            <w:top w:val="none" w:sz="0" w:space="0" w:color="auto"/>
            <w:left w:val="none" w:sz="0" w:space="0" w:color="auto"/>
            <w:bottom w:val="none" w:sz="0" w:space="0" w:color="auto"/>
            <w:right w:val="none" w:sz="0" w:space="0" w:color="auto"/>
          </w:divBdr>
          <w:divsChild>
            <w:div w:id="867259740">
              <w:marLeft w:val="0"/>
              <w:marRight w:val="0"/>
              <w:marTop w:val="0"/>
              <w:marBottom w:val="0"/>
              <w:divBdr>
                <w:top w:val="none" w:sz="0" w:space="0" w:color="auto"/>
                <w:left w:val="none" w:sz="0" w:space="0" w:color="auto"/>
                <w:bottom w:val="none" w:sz="0" w:space="0" w:color="auto"/>
                <w:right w:val="none" w:sz="0" w:space="0" w:color="auto"/>
              </w:divBdr>
              <w:divsChild>
                <w:div w:id="1539853442">
                  <w:marLeft w:val="0"/>
                  <w:marRight w:val="0"/>
                  <w:marTop w:val="0"/>
                  <w:marBottom w:val="0"/>
                  <w:divBdr>
                    <w:top w:val="none" w:sz="0" w:space="0" w:color="auto"/>
                    <w:left w:val="none" w:sz="0" w:space="0" w:color="auto"/>
                    <w:bottom w:val="none" w:sz="0" w:space="0" w:color="auto"/>
                    <w:right w:val="none" w:sz="0" w:space="0" w:color="auto"/>
                  </w:divBdr>
                  <w:divsChild>
                    <w:div w:id="1226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05829458">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25752474">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52615088">
      <w:bodyDiv w:val="1"/>
      <w:marLeft w:val="0"/>
      <w:marRight w:val="0"/>
      <w:marTop w:val="0"/>
      <w:marBottom w:val="0"/>
      <w:divBdr>
        <w:top w:val="none" w:sz="0" w:space="0" w:color="auto"/>
        <w:left w:val="none" w:sz="0" w:space="0" w:color="auto"/>
        <w:bottom w:val="none" w:sz="0" w:space="0" w:color="auto"/>
        <w:right w:val="none" w:sz="0" w:space="0" w:color="auto"/>
      </w:divBdr>
      <w:divsChild>
        <w:div w:id="954293612">
          <w:marLeft w:val="0"/>
          <w:marRight w:val="0"/>
          <w:marTop w:val="0"/>
          <w:marBottom w:val="0"/>
          <w:divBdr>
            <w:top w:val="none" w:sz="0" w:space="0" w:color="auto"/>
            <w:left w:val="none" w:sz="0" w:space="0" w:color="auto"/>
            <w:bottom w:val="none" w:sz="0" w:space="0" w:color="auto"/>
            <w:right w:val="none" w:sz="0" w:space="0" w:color="auto"/>
          </w:divBdr>
          <w:divsChild>
            <w:div w:id="1919824104">
              <w:marLeft w:val="0"/>
              <w:marRight w:val="0"/>
              <w:marTop w:val="0"/>
              <w:marBottom w:val="0"/>
              <w:divBdr>
                <w:top w:val="none" w:sz="0" w:space="0" w:color="auto"/>
                <w:left w:val="none" w:sz="0" w:space="0" w:color="auto"/>
                <w:bottom w:val="none" w:sz="0" w:space="0" w:color="auto"/>
                <w:right w:val="none" w:sz="0" w:space="0" w:color="auto"/>
              </w:divBdr>
              <w:divsChild>
                <w:div w:id="917252602">
                  <w:marLeft w:val="0"/>
                  <w:marRight w:val="0"/>
                  <w:marTop w:val="0"/>
                  <w:marBottom w:val="0"/>
                  <w:divBdr>
                    <w:top w:val="none" w:sz="0" w:space="0" w:color="auto"/>
                    <w:left w:val="none" w:sz="0" w:space="0" w:color="auto"/>
                    <w:bottom w:val="none" w:sz="0" w:space="0" w:color="auto"/>
                    <w:right w:val="none" w:sz="0" w:space="0" w:color="auto"/>
                  </w:divBdr>
                  <w:divsChild>
                    <w:div w:id="6164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2257">
      <w:bodyDiv w:val="1"/>
      <w:marLeft w:val="0"/>
      <w:marRight w:val="0"/>
      <w:marTop w:val="0"/>
      <w:marBottom w:val="0"/>
      <w:divBdr>
        <w:top w:val="none" w:sz="0" w:space="0" w:color="auto"/>
        <w:left w:val="none" w:sz="0" w:space="0" w:color="auto"/>
        <w:bottom w:val="none" w:sz="0" w:space="0" w:color="auto"/>
        <w:right w:val="none" w:sz="0" w:space="0" w:color="auto"/>
      </w:divBdr>
      <w:divsChild>
        <w:div w:id="238757181">
          <w:marLeft w:val="0"/>
          <w:marRight w:val="0"/>
          <w:marTop w:val="0"/>
          <w:marBottom w:val="0"/>
          <w:divBdr>
            <w:top w:val="none" w:sz="0" w:space="0" w:color="auto"/>
            <w:left w:val="none" w:sz="0" w:space="0" w:color="auto"/>
            <w:bottom w:val="none" w:sz="0" w:space="0" w:color="auto"/>
            <w:right w:val="none" w:sz="0" w:space="0" w:color="auto"/>
          </w:divBdr>
          <w:divsChild>
            <w:div w:id="1770275448">
              <w:marLeft w:val="0"/>
              <w:marRight w:val="0"/>
              <w:marTop w:val="0"/>
              <w:marBottom w:val="0"/>
              <w:divBdr>
                <w:top w:val="none" w:sz="0" w:space="0" w:color="auto"/>
                <w:left w:val="none" w:sz="0" w:space="0" w:color="auto"/>
                <w:bottom w:val="none" w:sz="0" w:space="0" w:color="auto"/>
                <w:right w:val="none" w:sz="0" w:space="0" w:color="auto"/>
              </w:divBdr>
              <w:divsChild>
                <w:div w:id="881290218">
                  <w:marLeft w:val="0"/>
                  <w:marRight w:val="0"/>
                  <w:marTop w:val="0"/>
                  <w:marBottom w:val="0"/>
                  <w:divBdr>
                    <w:top w:val="none" w:sz="0" w:space="0" w:color="auto"/>
                    <w:left w:val="none" w:sz="0" w:space="0" w:color="auto"/>
                    <w:bottom w:val="none" w:sz="0" w:space="0" w:color="auto"/>
                    <w:right w:val="none" w:sz="0" w:space="0" w:color="auto"/>
                  </w:divBdr>
                  <w:divsChild>
                    <w:div w:id="27722406">
                      <w:marLeft w:val="0"/>
                      <w:marRight w:val="0"/>
                      <w:marTop w:val="0"/>
                      <w:marBottom w:val="0"/>
                      <w:divBdr>
                        <w:top w:val="none" w:sz="0" w:space="0" w:color="auto"/>
                        <w:left w:val="none" w:sz="0" w:space="0" w:color="auto"/>
                        <w:bottom w:val="none" w:sz="0" w:space="0" w:color="auto"/>
                        <w:right w:val="none" w:sz="0" w:space="0" w:color="auto"/>
                      </w:divBdr>
                    </w:div>
                  </w:divsChild>
                </w:div>
                <w:div w:id="892085330">
                  <w:marLeft w:val="0"/>
                  <w:marRight w:val="0"/>
                  <w:marTop w:val="0"/>
                  <w:marBottom w:val="0"/>
                  <w:divBdr>
                    <w:top w:val="none" w:sz="0" w:space="0" w:color="auto"/>
                    <w:left w:val="none" w:sz="0" w:space="0" w:color="auto"/>
                    <w:bottom w:val="none" w:sz="0" w:space="0" w:color="auto"/>
                    <w:right w:val="none" w:sz="0" w:space="0" w:color="auto"/>
                  </w:divBdr>
                  <w:divsChild>
                    <w:div w:id="154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22662056">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69719324">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3990124">
      <w:bodyDiv w:val="1"/>
      <w:marLeft w:val="0"/>
      <w:marRight w:val="0"/>
      <w:marTop w:val="0"/>
      <w:marBottom w:val="0"/>
      <w:divBdr>
        <w:top w:val="none" w:sz="0" w:space="0" w:color="auto"/>
        <w:left w:val="none" w:sz="0" w:space="0" w:color="auto"/>
        <w:bottom w:val="none" w:sz="0" w:space="0" w:color="auto"/>
        <w:right w:val="none" w:sz="0" w:space="0" w:color="auto"/>
      </w:divBdr>
      <w:divsChild>
        <w:div w:id="1304504124">
          <w:marLeft w:val="0"/>
          <w:marRight w:val="0"/>
          <w:marTop w:val="0"/>
          <w:marBottom w:val="0"/>
          <w:divBdr>
            <w:top w:val="none" w:sz="0" w:space="0" w:color="auto"/>
            <w:left w:val="none" w:sz="0" w:space="0" w:color="auto"/>
            <w:bottom w:val="none" w:sz="0" w:space="0" w:color="auto"/>
            <w:right w:val="none" w:sz="0" w:space="0" w:color="auto"/>
          </w:divBdr>
          <w:divsChild>
            <w:div w:id="2130929209">
              <w:marLeft w:val="0"/>
              <w:marRight w:val="0"/>
              <w:marTop w:val="0"/>
              <w:marBottom w:val="0"/>
              <w:divBdr>
                <w:top w:val="none" w:sz="0" w:space="0" w:color="auto"/>
                <w:left w:val="none" w:sz="0" w:space="0" w:color="auto"/>
                <w:bottom w:val="none" w:sz="0" w:space="0" w:color="auto"/>
                <w:right w:val="none" w:sz="0" w:space="0" w:color="auto"/>
              </w:divBdr>
              <w:divsChild>
                <w:div w:id="1200825407">
                  <w:marLeft w:val="0"/>
                  <w:marRight w:val="0"/>
                  <w:marTop w:val="0"/>
                  <w:marBottom w:val="0"/>
                  <w:divBdr>
                    <w:top w:val="none" w:sz="0" w:space="0" w:color="auto"/>
                    <w:left w:val="none" w:sz="0" w:space="0" w:color="auto"/>
                    <w:bottom w:val="none" w:sz="0" w:space="0" w:color="auto"/>
                    <w:right w:val="none" w:sz="0" w:space="0" w:color="auto"/>
                  </w:divBdr>
                  <w:divsChild>
                    <w:div w:id="24523471">
                      <w:marLeft w:val="0"/>
                      <w:marRight w:val="0"/>
                      <w:marTop w:val="0"/>
                      <w:marBottom w:val="0"/>
                      <w:divBdr>
                        <w:top w:val="none" w:sz="0" w:space="0" w:color="auto"/>
                        <w:left w:val="none" w:sz="0" w:space="0" w:color="auto"/>
                        <w:bottom w:val="none" w:sz="0" w:space="0" w:color="auto"/>
                        <w:right w:val="none" w:sz="0" w:space="0" w:color="auto"/>
                      </w:divBdr>
                    </w:div>
                  </w:divsChild>
                </w:div>
                <w:div w:id="2138453292">
                  <w:marLeft w:val="0"/>
                  <w:marRight w:val="0"/>
                  <w:marTop w:val="0"/>
                  <w:marBottom w:val="0"/>
                  <w:divBdr>
                    <w:top w:val="none" w:sz="0" w:space="0" w:color="auto"/>
                    <w:left w:val="none" w:sz="0" w:space="0" w:color="auto"/>
                    <w:bottom w:val="none" w:sz="0" w:space="0" w:color="auto"/>
                    <w:right w:val="none" w:sz="0" w:space="0" w:color="auto"/>
                  </w:divBdr>
                  <w:divsChild>
                    <w:div w:id="6963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47653020">
      <w:bodyDiv w:val="1"/>
      <w:marLeft w:val="0"/>
      <w:marRight w:val="0"/>
      <w:marTop w:val="0"/>
      <w:marBottom w:val="0"/>
      <w:divBdr>
        <w:top w:val="none" w:sz="0" w:space="0" w:color="auto"/>
        <w:left w:val="none" w:sz="0" w:space="0" w:color="auto"/>
        <w:bottom w:val="none" w:sz="0" w:space="0" w:color="auto"/>
        <w:right w:val="none" w:sz="0" w:space="0" w:color="auto"/>
      </w:divBdr>
      <w:divsChild>
        <w:div w:id="775179284">
          <w:marLeft w:val="0"/>
          <w:marRight w:val="0"/>
          <w:marTop w:val="0"/>
          <w:marBottom w:val="0"/>
          <w:divBdr>
            <w:top w:val="none" w:sz="0" w:space="0" w:color="auto"/>
            <w:left w:val="none" w:sz="0" w:space="0" w:color="auto"/>
            <w:bottom w:val="none" w:sz="0" w:space="0" w:color="auto"/>
            <w:right w:val="none" w:sz="0" w:space="0" w:color="auto"/>
          </w:divBdr>
          <w:divsChild>
            <w:div w:id="2123380291">
              <w:marLeft w:val="0"/>
              <w:marRight w:val="0"/>
              <w:marTop w:val="0"/>
              <w:marBottom w:val="0"/>
              <w:divBdr>
                <w:top w:val="none" w:sz="0" w:space="0" w:color="auto"/>
                <w:left w:val="none" w:sz="0" w:space="0" w:color="auto"/>
                <w:bottom w:val="none" w:sz="0" w:space="0" w:color="auto"/>
                <w:right w:val="none" w:sz="0" w:space="0" w:color="auto"/>
              </w:divBdr>
              <w:divsChild>
                <w:div w:id="1358389001">
                  <w:marLeft w:val="0"/>
                  <w:marRight w:val="0"/>
                  <w:marTop w:val="0"/>
                  <w:marBottom w:val="0"/>
                  <w:divBdr>
                    <w:top w:val="none" w:sz="0" w:space="0" w:color="auto"/>
                    <w:left w:val="none" w:sz="0" w:space="0" w:color="auto"/>
                    <w:bottom w:val="none" w:sz="0" w:space="0" w:color="auto"/>
                    <w:right w:val="none" w:sz="0" w:space="0" w:color="auto"/>
                  </w:divBdr>
                  <w:divsChild>
                    <w:div w:id="13528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2509">
      <w:bodyDiv w:val="1"/>
      <w:marLeft w:val="0"/>
      <w:marRight w:val="0"/>
      <w:marTop w:val="0"/>
      <w:marBottom w:val="0"/>
      <w:divBdr>
        <w:top w:val="none" w:sz="0" w:space="0" w:color="auto"/>
        <w:left w:val="none" w:sz="0" w:space="0" w:color="auto"/>
        <w:bottom w:val="none" w:sz="0" w:space="0" w:color="auto"/>
        <w:right w:val="none" w:sz="0" w:space="0" w:color="auto"/>
      </w:divBdr>
      <w:divsChild>
        <w:div w:id="1014261141">
          <w:marLeft w:val="0"/>
          <w:marRight w:val="0"/>
          <w:marTop w:val="0"/>
          <w:marBottom w:val="0"/>
          <w:divBdr>
            <w:top w:val="none" w:sz="0" w:space="0" w:color="auto"/>
            <w:left w:val="none" w:sz="0" w:space="0" w:color="auto"/>
            <w:bottom w:val="none" w:sz="0" w:space="0" w:color="auto"/>
            <w:right w:val="none" w:sz="0" w:space="0" w:color="auto"/>
          </w:divBdr>
          <w:divsChild>
            <w:div w:id="1947154734">
              <w:marLeft w:val="0"/>
              <w:marRight w:val="0"/>
              <w:marTop w:val="0"/>
              <w:marBottom w:val="0"/>
              <w:divBdr>
                <w:top w:val="none" w:sz="0" w:space="0" w:color="auto"/>
                <w:left w:val="none" w:sz="0" w:space="0" w:color="auto"/>
                <w:bottom w:val="none" w:sz="0" w:space="0" w:color="auto"/>
                <w:right w:val="none" w:sz="0" w:space="0" w:color="auto"/>
              </w:divBdr>
              <w:divsChild>
                <w:div w:id="1576359698">
                  <w:marLeft w:val="0"/>
                  <w:marRight w:val="0"/>
                  <w:marTop w:val="0"/>
                  <w:marBottom w:val="0"/>
                  <w:divBdr>
                    <w:top w:val="none" w:sz="0" w:space="0" w:color="auto"/>
                    <w:left w:val="none" w:sz="0" w:space="0" w:color="auto"/>
                    <w:bottom w:val="none" w:sz="0" w:space="0" w:color="auto"/>
                    <w:right w:val="none" w:sz="0" w:space="0" w:color="auto"/>
                  </w:divBdr>
                  <w:divsChild>
                    <w:div w:id="1088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43075">
      <w:bodyDiv w:val="1"/>
      <w:marLeft w:val="0"/>
      <w:marRight w:val="0"/>
      <w:marTop w:val="0"/>
      <w:marBottom w:val="0"/>
      <w:divBdr>
        <w:top w:val="none" w:sz="0" w:space="0" w:color="auto"/>
        <w:left w:val="none" w:sz="0" w:space="0" w:color="auto"/>
        <w:bottom w:val="none" w:sz="0" w:space="0" w:color="auto"/>
        <w:right w:val="none" w:sz="0" w:space="0" w:color="auto"/>
      </w:divBdr>
      <w:divsChild>
        <w:div w:id="1065839304">
          <w:marLeft w:val="0"/>
          <w:marRight w:val="0"/>
          <w:marTop w:val="0"/>
          <w:marBottom w:val="0"/>
          <w:divBdr>
            <w:top w:val="none" w:sz="0" w:space="0" w:color="auto"/>
            <w:left w:val="none" w:sz="0" w:space="0" w:color="auto"/>
            <w:bottom w:val="none" w:sz="0" w:space="0" w:color="auto"/>
            <w:right w:val="none" w:sz="0" w:space="0" w:color="auto"/>
          </w:divBdr>
          <w:divsChild>
            <w:div w:id="1414353620">
              <w:marLeft w:val="0"/>
              <w:marRight w:val="0"/>
              <w:marTop w:val="0"/>
              <w:marBottom w:val="0"/>
              <w:divBdr>
                <w:top w:val="none" w:sz="0" w:space="0" w:color="auto"/>
                <w:left w:val="none" w:sz="0" w:space="0" w:color="auto"/>
                <w:bottom w:val="none" w:sz="0" w:space="0" w:color="auto"/>
                <w:right w:val="none" w:sz="0" w:space="0" w:color="auto"/>
              </w:divBdr>
              <w:divsChild>
                <w:div w:id="1518235364">
                  <w:marLeft w:val="0"/>
                  <w:marRight w:val="0"/>
                  <w:marTop w:val="0"/>
                  <w:marBottom w:val="0"/>
                  <w:divBdr>
                    <w:top w:val="none" w:sz="0" w:space="0" w:color="auto"/>
                    <w:left w:val="none" w:sz="0" w:space="0" w:color="auto"/>
                    <w:bottom w:val="none" w:sz="0" w:space="0" w:color="auto"/>
                    <w:right w:val="none" w:sz="0" w:space="0" w:color="auto"/>
                  </w:divBdr>
                  <w:divsChild>
                    <w:div w:id="18803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0913150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863788067">
      <w:bodyDiv w:val="1"/>
      <w:marLeft w:val="0"/>
      <w:marRight w:val="0"/>
      <w:marTop w:val="0"/>
      <w:marBottom w:val="0"/>
      <w:divBdr>
        <w:top w:val="none" w:sz="0" w:space="0" w:color="auto"/>
        <w:left w:val="none" w:sz="0" w:space="0" w:color="auto"/>
        <w:bottom w:val="none" w:sz="0" w:space="0" w:color="auto"/>
        <w:right w:val="none" w:sz="0" w:space="0" w:color="auto"/>
      </w:divBdr>
    </w:div>
    <w:div w:id="889415502">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26617948">
      <w:bodyDiv w:val="1"/>
      <w:marLeft w:val="0"/>
      <w:marRight w:val="0"/>
      <w:marTop w:val="0"/>
      <w:marBottom w:val="0"/>
      <w:divBdr>
        <w:top w:val="none" w:sz="0" w:space="0" w:color="auto"/>
        <w:left w:val="none" w:sz="0" w:space="0" w:color="auto"/>
        <w:bottom w:val="none" w:sz="0" w:space="0" w:color="auto"/>
        <w:right w:val="none" w:sz="0" w:space="0" w:color="auto"/>
      </w:divBdr>
      <w:divsChild>
        <w:div w:id="1527327448">
          <w:marLeft w:val="0"/>
          <w:marRight w:val="0"/>
          <w:marTop w:val="0"/>
          <w:marBottom w:val="0"/>
          <w:divBdr>
            <w:top w:val="none" w:sz="0" w:space="0" w:color="auto"/>
            <w:left w:val="none" w:sz="0" w:space="0" w:color="auto"/>
            <w:bottom w:val="none" w:sz="0" w:space="0" w:color="auto"/>
            <w:right w:val="none" w:sz="0" w:space="0" w:color="auto"/>
          </w:divBdr>
          <w:divsChild>
            <w:div w:id="556084720">
              <w:marLeft w:val="0"/>
              <w:marRight w:val="0"/>
              <w:marTop w:val="0"/>
              <w:marBottom w:val="0"/>
              <w:divBdr>
                <w:top w:val="none" w:sz="0" w:space="0" w:color="auto"/>
                <w:left w:val="none" w:sz="0" w:space="0" w:color="auto"/>
                <w:bottom w:val="none" w:sz="0" w:space="0" w:color="auto"/>
                <w:right w:val="none" w:sz="0" w:space="0" w:color="auto"/>
              </w:divBdr>
              <w:divsChild>
                <w:div w:id="2095740106">
                  <w:marLeft w:val="0"/>
                  <w:marRight w:val="0"/>
                  <w:marTop w:val="0"/>
                  <w:marBottom w:val="0"/>
                  <w:divBdr>
                    <w:top w:val="none" w:sz="0" w:space="0" w:color="auto"/>
                    <w:left w:val="none" w:sz="0" w:space="0" w:color="auto"/>
                    <w:bottom w:val="none" w:sz="0" w:space="0" w:color="auto"/>
                    <w:right w:val="none" w:sz="0" w:space="0" w:color="auto"/>
                  </w:divBdr>
                  <w:divsChild>
                    <w:div w:id="13501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2231">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77102989">
      <w:bodyDiv w:val="1"/>
      <w:marLeft w:val="0"/>
      <w:marRight w:val="0"/>
      <w:marTop w:val="0"/>
      <w:marBottom w:val="0"/>
      <w:divBdr>
        <w:top w:val="none" w:sz="0" w:space="0" w:color="auto"/>
        <w:left w:val="none" w:sz="0" w:space="0" w:color="auto"/>
        <w:bottom w:val="none" w:sz="0" w:space="0" w:color="auto"/>
        <w:right w:val="none" w:sz="0" w:space="0" w:color="auto"/>
      </w:divBdr>
      <w:divsChild>
        <w:div w:id="492189127">
          <w:marLeft w:val="0"/>
          <w:marRight w:val="0"/>
          <w:marTop w:val="0"/>
          <w:marBottom w:val="0"/>
          <w:divBdr>
            <w:top w:val="none" w:sz="0" w:space="0" w:color="auto"/>
            <w:left w:val="none" w:sz="0" w:space="0" w:color="auto"/>
            <w:bottom w:val="none" w:sz="0" w:space="0" w:color="auto"/>
            <w:right w:val="none" w:sz="0" w:space="0" w:color="auto"/>
          </w:divBdr>
          <w:divsChild>
            <w:div w:id="2050451247">
              <w:marLeft w:val="0"/>
              <w:marRight w:val="0"/>
              <w:marTop w:val="0"/>
              <w:marBottom w:val="0"/>
              <w:divBdr>
                <w:top w:val="none" w:sz="0" w:space="0" w:color="auto"/>
                <w:left w:val="none" w:sz="0" w:space="0" w:color="auto"/>
                <w:bottom w:val="none" w:sz="0" w:space="0" w:color="auto"/>
                <w:right w:val="none" w:sz="0" w:space="0" w:color="auto"/>
              </w:divBdr>
              <w:divsChild>
                <w:div w:id="62028571">
                  <w:marLeft w:val="0"/>
                  <w:marRight w:val="0"/>
                  <w:marTop w:val="0"/>
                  <w:marBottom w:val="0"/>
                  <w:divBdr>
                    <w:top w:val="none" w:sz="0" w:space="0" w:color="auto"/>
                    <w:left w:val="none" w:sz="0" w:space="0" w:color="auto"/>
                    <w:bottom w:val="none" w:sz="0" w:space="0" w:color="auto"/>
                    <w:right w:val="none" w:sz="0" w:space="0" w:color="auto"/>
                  </w:divBdr>
                  <w:divsChild>
                    <w:div w:id="5649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1056049388">
      <w:bodyDiv w:val="1"/>
      <w:marLeft w:val="0"/>
      <w:marRight w:val="0"/>
      <w:marTop w:val="0"/>
      <w:marBottom w:val="0"/>
      <w:divBdr>
        <w:top w:val="none" w:sz="0" w:space="0" w:color="auto"/>
        <w:left w:val="none" w:sz="0" w:space="0" w:color="auto"/>
        <w:bottom w:val="none" w:sz="0" w:space="0" w:color="auto"/>
        <w:right w:val="none" w:sz="0" w:space="0" w:color="auto"/>
      </w:divBdr>
    </w:div>
    <w:div w:id="1062564905">
      <w:bodyDiv w:val="1"/>
      <w:marLeft w:val="0"/>
      <w:marRight w:val="0"/>
      <w:marTop w:val="0"/>
      <w:marBottom w:val="0"/>
      <w:divBdr>
        <w:top w:val="none" w:sz="0" w:space="0" w:color="auto"/>
        <w:left w:val="none" w:sz="0" w:space="0" w:color="auto"/>
        <w:bottom w:val="none" w:sz="0" w:space="0" w:color="auto"/>
        <w:right w:val="none" w:sz="0" w:space="0" w:color="auto"/>
      </w:divBdr>
    </w:div>
    <w:div w:id="1102336758">
      <w:bodyDiv w:val="1"/>
      <w:marLeft w:val="0"/>
      <w:marRight w:val="0"/>
      <w:marTop w:val="0"/>
      <w:marBottom w:val="0"/>
      <w:divBdr>
        <w:top w:val="none" w:sz="0" w:space="0" w:color="auto"/>
        <w:left w:val="none" w:sz="0" w:space="0" w:color="auto"/>
        <w:bottom w:val="none" w:sz="0" w:space="0" w:color="auto"/>
        <w:right w:val="none" w:sz="0" w:space="0" w:color="auto"/>
      </w:divBdr>
    </w:div>
    <w:div w:id="1116101267">
      <w:bodyDiv w:val="1"/>
      <w:marLeft w:val="0"/>
      <w:marRight w:val="0"/>
      <w:marTop w:val="0"/>
      <w:marBottom w:val="0"/>
      <w:divBdr>
        <w:top w:val="none" w:sz="0" w:space="0" w:color="auto"/>
        <w:left w:val="none" w:sz="0" w:space="0" w:color="auto"/>
        <w:bottom w:val="none" w:sz="0" w:space="0" w:color="auto"/>
        <w:right w:val="none" w:sz="0" w:space="0" w:color="auto"/>
      </w:divBdr>
      <w:divsChild>
        <w:div w:id="160897921">
          <w:marLeft w:val="0"/>
          <w:marRight w:val="0"/>
          <w:marTop w:val="0"/>
          <w:marBottom w:val="0"/>
          <w:divBdr>
            <w:top w:val="none" w:sz="0" w:space="0" w:color="auto"/>
            <w:left w:val="none" w:sz="0" w:space="0" w:color="auto"/>
            <w:bottom w:val="none" w:sz="0" w:space="0" w:color="auto"/>
            <w:right w:val="none" w:sz="0" w:space="0" w:color="auto"/>
          </w:divBdr>
          <w:divsChild>
            <w:div w:id="1674526104">
              <w:marLeft w:val="0"/>
              <w:marRight w:val="0"/>
              <w:marTop w:val="0"/>
              <w:marBottom w:val="0"/>
              <w:divBdr>
                <w:top w:val="none" w:sz="0" w:space="0" w:color="auto"/>
                <w:left w:val="none" w:sz="0" w:space="0" w:color="auto"/>
                <w:bottom w:val="none" w:sz="0" w:space="0" w:color="auto"/>
                <w:right w:val="none" w:sz="0" w:space="0" w:color="auto"/>
              </w:divBdr>
              <w:divsChild>
                <w:div w:id="18310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4803">
      <w:bodyDiv w:val="1"/>
      <w:marLeft w:val="0"/>
      <w:marRight w:val="0"/>
      <w:marTop w:val="0"/>
      <w:marBottom w:val="0"/>
      <w:divBdr>
        <w:top w:val="none" w:sz="0" w:space="0" w:color="auto"/>
        <w:left w:val="none" w:sz="0" w:space="0" w:color="auto"/>
        <w:bottom w:val="none" w:sz="0" w:space="0" w:color="auto"/>
        <w:right w:val="none" w:sz="0" w:space="0" w:color="auto"/>
      </w:divBdr>
    </w:div>
    <w:div w:id="1133866331">
      <w:bodyDiv w:val="1"/>
      <w:marLeft w:val="0"/>
      <w:marRight w:val="0"/>
      <w:marTop w:val="0"/>
      <w:marBottom w:val="0"/>
      <w:divBdr>
        <w:top w:val="none" w:sz="0" w:space="0" w:color="auto"/>
        <w:left w:val="none" w:sz="0" w:space="0" w:color="auto"/>
        <w:bottom w:val="none" w:sz="0" w:space="0" w:color="auto"/>
        <w:right w:val="none" w:sz="0" w:space="0" w:color="auto"/>
      </w:divBdr>
    </w:div>
    <w:div w:id="1158810500">
      <w:bodyDiv w:val="1"/>
      <w:marLeft w:val="0"/>
      <w:marRight w:val="0"/>
      <w:marTop w:val="0"/>
      <w:marBottom w:val="0"/>
      <w:divBdr>
        <w:top w:val="none" w:sz="0" w:space="0" w:color="auto"/>
        <w:left w:val="none" w:sz="0" w:space="0" w:color="auto"/>
        <w:bottom w:val="none" w:sz="0" w:space="0" w:color="auto"/>
        <w:right w:val="none" w:sz="0" w:space="0" w:color="auto"/>
      </w:divBdr>
      <w:divsChild>
        <w:div w:id="1282033047">
          <w:marLeft w:val="0"/>
          <w:marRight w:val="0"/>
          <w:marTop w:val="0"/>
          <w:marBottom w:val="0"/>
          <w:divBdr>
            <w:top w:val="none" w:sz="0" w:space="0" w:color="auto"/>
            <w:left w:val="none" w:sz="0" w:space="0" w:color="auto"/>
            <w:bottom w:val="none" w:sz="0" w:space="0" w:color="auto"/>
            <w:right w:val="none" w:sz="0" w:space="0" w:color="auto"/>
          </w:divBdr>
          <w:divsChild>
            <w:div w:id="2070615077">
              <w:marLeft w:val="0"/>
              <w:marRight w:val="0"/>
              <w:marTop w:val="0"/>
              <w:marBottom w:val="0"/>
              <w:divBdr>
                <w:top w:val="none" w:sz="0" w:space="0" w:color="auto"/>
                <w:left w:val="none" w:sz="0" w:space="0" w:color="auto"/>
                <w:bottom w:val="none" w:sz="0" w:space="0" w:color="auto"/>
                <w:right w:val="none" w:sz="0" w:space="0" w:color="auto"/>
              </w:divBdr>
              <w:divsChild>
                <w:div w:id="2038893362">
                  <w:marLeft w:val="0"/>
                  <w:marRight w:val="0"/>
                  <w:marTop w:val="0"/>
                  <w:marBottom w:val="0"/>
                  <w:divBdr>
                    <w:top w:val="none" w:sz="0" w:space="0" w:color="auto"/>
                    <w:left w:val="none" w:sz="0" w:space="0" w:color="auto"/>
                    <w:bottom w:val="none" w:sz="0" w:space="0" w:color="auto"/>
                    <w:right w:val="none" w:sz="0" w:space="0" w:color="auto"/>
                  </w:divBdr>
                  <w:divsChild>
                    <w:div w:id="15104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191532852">
      <w:bodyDiv w:val="1"/>
      <w:marLeft w:val="0"/>
      <w:marRight w:val="0"/>
      <w:marTop w:val="0"/>
      <w:marBottom w:val="0"/>
      <w:divBdr>
        <w:top w:val="none" w:sz="0" w:space="0" w:color="auto"/>
        <w:left w:val="none" w:sz="0" w:space="0" w:color="auto"/>
        <w:bottom w:val="none" w:sz="0" w:space="0" w:color="auto"/>
        <w:right w:val="none" w:sz="0" w:space="0" w:color="auto"/>
      </w:divBdr>
    </w:div>
    <w:div w:id="1199468629">
      <w:bodyDiv w:val="1"/>
      <w:marLeft w:val="0"/>
      <w:marRight w:val="0"/>
      <w:marTop w:val="0"/>
      <w:marBottom w:val="0"/>
      <w:divBdr>
        <w:top w:val="none" w:sz="0" w:space="0" w:color="auto"/>
        <w:left w:val="none" w:sz="0" w:space="0" w:color="auto"/>
        <w:bottom w:val="none" w:sz="0" w:space="0" w:color="auto"/>
        <w:right w:val="none" w:sz="0" w:space="0" w:color="auto"/>
      </w:divBdr>
    </w:div>
    <w:div w:id="1205101907">
      <w:bodyDiv w:val="1"/>
      <w:marLeft w:val="0"/>
      <w:marRight w:val="0"/>
      <w:marTop w:val="0"/>
      <w:marBottom w:val="0"/>
      <w:divBdr>
        <w:top w:val="none" w:sz="0" w:space="0" w:color="auto"/>
        <w:left w:val="none" w:sz="0" w:space="0" w:color="auto"/>
        <w:bottom w:val="none" w:sz="0" w:space="0" w:color="auto"/>
        <w:right w:val="none" w:sz="0" w:space="0" w:color="auto"/>
      </w:divBdr>
      <w:divsChild>
        <w:div w:id="1472362359">
          <w:marLeft w:val="0"/>
          <w:marRight w:val="0"/>
          <w:marTop w:val="0"/>
          <w:marBottom w:val="0"/>
          <w:divBdr>
            <w:top w:val="none" w:sz="0" w:space="0" w:color="auto"/>
            <w:left w:val="none" w:sz="0" w:space="0" w:color="auto"/>
            <w:bottom w:val="none" w:sz="0" w:space="0" w:color="auto"/>
            <w:right w:val="none" w:sz="0" w:space="0" w:color="auto"/>
          </w:divBdr>
          <w:divsChild>
            <w:div w:id="23948902">
              <w:marLeft w:val="0"/>
              <w:marRight w:val="0"/>
              <w:marTop w:val="0"/>
              <w:marBottom w:val="0"/>
              <w:divBdr>
                <w:top w:val="none" w:sz="0" w:space="0" w:color="auto"/>
                <w:left w:val="none" w:sz="0" w:space="0" w:color="auto"/>
                <w:bottom w:val="none" w:sz="0" w:space="0" w:color="auto"/>
                <w:right w:val="none" w:sz="0" w:space="0" w:color="auto"/>
              </w:divBdr>
              <w:divsChild>
                <w:div w:id="1726681232">
                  <w:marLeft w:val="0"/>
                  <w:marRight w:val="0"/>
                  <w:marTop w:val="0"/>
                  <w:marBottom w:val="0"/>
                  <w:divBdr>
                    <w:top w:val="none" w:sz="0" w:space="0" w:color="auto"/>
                    <w:left w:val="none" w:sz="0" w:space="0" w:color="auto"/>
                    <w:bottom w:val="none" w:sz="0" w:space="0" w:color="auto"/>
                    <w:right w:val="none" w:sz="0" w:space="0" w:color="auto"/>
                  </w:divBdr>
                  <w:divsChild>
                    <w:div w:id="11233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0384266">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45453589">
      <w:bodyDiv w:val="1"/>
      <w:marLeft w:val="0"/>
      <w:marRight w:val="0"/>
      <w:marTop w:val="0"/>
      <w:marBottom w:val="0"/>
      <w:divBdr>
        <w:top w:val="none" w:sz="0" w:space="0" w:color="auto"/>
        <w:left w:val="none" w:sz="0" w:space="0" w:color="auto"/>
        <w:bottom w:val="none" w:sz="0" w:space="0" w:color="auto"/>
        <w:right w:val="none" w:sz="0" w:space="0" w:color="auto"/>
      </w:divBdr>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280332342">
      <w:bodyDiv w:val="1"/>
      <w:marLeft w:val="0"/>
      <w:marRight w:val="0"/>
      <w:marTop w:val="0"/>
      <w:marBottom w:val="0"/>
      <w:divBdr>
        <w:top w:val="none" w:sz="0" w:space="0" w:color="auto"/>
        <w:left w:val="none" w:sz="0" w:space="0" w:color="auto"/>
        <w:bottom w:val="none" w:sz="0" w:space="0" w:color="auto"/>
        <w:right w:val="none" w:sz="0" w:space="0" w:color="auto"/>
      </w:divBdr>
      <w:divsChild>
        <w:div w:id="1773085003">
          <w:marLeft w:val="0"/>
          <w:marRight w:val="0"/>
          <w:marTop w:val="0"/>
          <w:marBottom w:val="0"/>
          <w:divBdr>
            <w:top w:val="none" w:sz="0" w:space="0" w:color="auto"/>
            <w:left w:val="none" w:sz="0" w:space="0" w:color="auto"/>
            <w:bottom w:val="none" w:sz="0" w:space="0" w:color="auto"/>
            <w:right w:val="none" w:sz="0" w:space="0" w:color="auto"/>
          </w:divBdr>
          <w:divsChild>
            <w:div w:id="446048014">
              <w:marLeft w:val="0"/>
              <w:marRight w:val="0"/>
              <w:marTop w:val="0"/>
              <w:marBottom w:val="0"/>
              <w:divBdr>
                <w:top w:val="none" w:sz="0" w:space="0" w:color="auto"/>
                <w:left w:val="none" w:sz="0" w:space="0" w:color="auto"/>
                <w:bottom w:val="none" w:sz="0" w:space="0" w:color="auto"/>
                <w:right w:val="none" w:sz="0" w:space="0" w:color="auto"/>
              </w:divBdr>
              <w:divsChild>
                <w:div w:id="730150660">
                  <w:marLeft w:val="0"/>
                  <w:marRight w:val="0"/>
                  <w:marTop w:val="0"/>
                  <w:marBottom w:val="0"/>
                  <w:divBdr>
                    <w:top w:val="none" w:sz="0" w:space="0" w:color="auto"/>
                    <w:left w:val="none" w:sz="0" w:space="0" w:color="auto"/>
                    <w:bottom w:val="none" w:sz="0" w:space="0" w:color="auto"/>
                    <w:right w:val="none" w:sz="0" w:space="0" w:color="auto"/>
                  </w:divBdr>
                  <w:divsChild>
                    <w:div w:id="4581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8138">
      <w:bodyDiv w:val="1"/>
      <w:marLeft w:val="0"/>
      <w:marRight w:val="0"/>
      <w:marTop w:val="0"/>
      <w:marBottom w:val="0"/>
      <w:divBdr>
        <w:top w:val="none" w:sz="0" w:space="0" w:color="auto"/>
        <w:left w:val="none" w:sz="0" w:space="0" w:color="auto"/>
        <w:bottom w:val="none" w:sz="0" w:space="0" w:color="auto"/>
        <w:right w:val="none" w:sz="0" w:space="0" w:color="auto"/>
      </w:divBdr>
    </w:div>
    <w:div w:id="1296372245">
      <w:bodyDiv w:val="1"/>
      <w:marLeft w:val="0"/>
      <w:marRight w:val="0"/>
      <w:marTop w:val="0"/>
      <w:marBottom w:val="0"/>
      <w:divBdr>
        <w:top w:val="none" w:sz="0" w:space="0" w:color="auto"/>
        <w:left w:val="none" w:sz="0" w:space="0" w:color="auto"/>
        <w:bottom w:val="none" w:sz="0" w:space="0" w:color="auto"/>
        <w:right w:val="none" w:sz="0" w:space="0" w:color="auto"/>
      </w:divBdr>
      <w:divsChild>
        <w:div w:id="1535994132">
          <w:marLeft w:val="0"/>
          <w:marRight w:val="0"/>
          <w:marTop w:val="0"/>
          <w:marBottom w:val="0"/>
          <w:divBdr>
            <w:top w:val="none" w:sz="0" w:space="0" w:color="auto"/>
            <w:left w:val="none" w:sz="0" w:space="0" w:color="auto"/>
            <w:bottom w:val="none" w:sz="0" w:space="0" w:color="auto"/>
            <w:right w:val="none" w:sz="0" w:space="0" w:color="auto"/>
          </w:divBdr>
          <w:divsChild>
            <w:div w:id="1947418654">
              <w:marLeft w:val="0"/>
              <w:marRight w:val="0"/>
              <w:marTop w:val="0"/>
              <w:marBottom w:val="0"/>
              <w:divBdr>
                <w:top w:val="none" w:sz="0" w:space="0" w:color="auto"/>
                <w:left w:val="none" w:sz="0" w:space="0" w:color="auto"/>
                <w:bottom w:val="none" w:sz="0" w:space="0" w:color="auto"/>
                <w:right w:val="none" w:sz="0" w:space="0" w:color="auto"/>
              </w:divBdr>
              <w:divsChild>
                <w:div w:id="193462408">
                  <w:marLeft w:val="0"/>
                  <w:marRight w:val="0"/>
                  <w:marTop w:val="0"/>
                  <w:marBottom w:val="0"/>
                  <w:divBdr>
                    <w:top w:val="none" w:sz="0" w:space="0" w:color="auto"/>
                    <w:left w:val="none" w:sz="0" w:space="0" w:color="auto"/>
                    <w:bottom w:val="none" w:sz="0" w:space="0" w:color="auto"/>
                    <w:right w:val="none" w:sz="0" w:space="0" w:color="auto"/>
                  </w:divBdr>
                  <w:divsChild>
                    <w:div w:id="10482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63631114">
      <w:bodyDiv w:val="1"/>
      <w:marLeft w:val="0"/>
      <w:marRight w:val="0"/>
      <w:marTop w:val="0"/>
      <w:marBottom w:val="0"/>
      <w:divBdr>
        <w:top w:val="none" w:sz="0" w:space="0" w:color="auto"/>
        <w:left w:val="none" w:sz="0" w:space="0" w:color="auto"/>
        <w:bottom w:val="none" w:sz="0" w:space="0" w:color="auto"/>
        <w:right w:val="none" w:sz="0" w:space="0" w:color="auto"/>
      </w:divBdr>
      <w:divsChild>
        <w:div w:id="2112893517">
          <w:marLeft w:val="0"/>
          <w:marRight w:val="0"/>
          <w:marTop w:val="0"/>
          <w:marBottom w:val="0"/>
          <w:divBdr>
            <w:top w:val="none" w:sz="0" w:space="0" w:color="auto"/>
            <w:left w:val="none" w:sz="0" w:space="0" w:color="auto"/>
            <w:bottom w:val="none" w:sz="0" w:space="0" w:color="auto"/>
            <w:right w:val="none" w:sz="0" w:space="0" w:color="auto"/>
          </w:divBdr>
          <w:divsChild>
            <w:div w:id="2072993819">
              <w:marLeft w:val="0"/>
              <w:marRight w:val="0"/>
              <w:marTop w:val="0"/>
              <w:marBottom w:val="0"/>
              <w:divBdr>
                <w:top w:val="none" w:sz="0" w:space="0" w:color="auto"/>
                <w:left w:val="none" w:sz="0" w:space="0" w:color="auto"/>
                <w:bottom w:val="none" w:sz="0" w:space="0" w:color="auto"/>
                <w:right w:val="none" w:sz="0" w:space="0" w:color="auto"/>
              </w:divBdr>
              <w:divsChild>
                <w:div w:id="791675504">
                  <w:marLeft w:val="0"/>
                  <w:marRight w:val="0"/>
                  <w:marTop w:val="0"/>
                  <w:marBottom w:val="0"/>
                  <w:divBdr>
                    <w:top w:val="none" w:sz="0" w:space="0" w:color="auto"/>
                    <w:left w:val="none" w:sz="0" w:space="0" w:color="auto"/>
                    <w:bottom w:val="none" w:sz="0" w:space="0" w:color="auto"/>
                    <w:right w:val="none" w:sz="0" w:space="0" w:color="auto"/>
                  </w:divBdr>
                  <w:divsChild>
                    <w:div w:id="20435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399283043">
      <w:bodyDiv w:val="1"/>
      <w:marLeft w:val="0"/>
      <w:marRight w:val="0"/>
      <w:marTop w:val="0"/>
      <w:marBottom w:val="0"/>
      <w:divBdr>
        <w:top w:val="none" w:sz="0" w:space="0" w:color="auto"/>
        <w:left w:val="none" w:sz="0" w:space="0" w:color="auto"/>
        <w:bottom w:val="none" w:sz="0" w:space="0" w:color="auto"/>
        <w:right w:val="none" w:sz="0" w:space="0" w:color="auto"/>
      </w:divBdr>
      <w:divsChild>
        <w:div w:id="890268415">
          <w:marLeft w:val="0"/>
          <w:marRight w:val="0"/>
          <w:marTop w:val="0"/>
          <w:marBottom w:val="0"/>
          <w:divBdr>
            <w:top w:val="none" w:sz="0" w:space="0" w:color="auto"/>
            <w:left w:val="none" w:sz="0" w:space="0" w:color="auto"/>
            <w:bottom w:val="none" w:sz="0" w:space="0" w:color="auto"/>
            <w:right w:val="none" w:sz="0" w:space="0" w:color="auto"/>
          </w:divBdr>
          <w:divsChild>
            <w:div w:id="337537353">
              <w:marLeft w:val="0"/>
              <w:marRight w:val="0"/>
              <w:marTop w:val="0"/>
              <w:marBottom w:val="0"/>
              <w:divBdr>
                <w:top w:val="none" w:sz="0" w:space="0" w:color="auto"/>
                <w:left w:val="none" w:sz="0" w:space="0" w:color="auto"/>
                <w:bottom w:val="none" w:sz="0" w:space="0" w:color="auto"/>
                <w:right w:val="none" w:sz="0" w:space="0" w:color="auto"/>
              </w:divBdr>
              <w:divsChild>
                <w:div w:id="2075622189">
                  <w:marLeft w:val="0"/>
                  <w:marRight w:val="0"/>
                  <w:marTop w:val="0"/>
                  <w:marBottom w:val="0"/>
                  <w:divBdr>
                    <w:top w:val="none" w:sz="0" w:space="0" w:color="auto"/>
                    <w:left w:val="none" w:sz="0" w:space="0" w:color="auto"/>
                    <w:bottom w:val="none" w:sz="0" w:space="0" w:color="auto"/>
                    <w:right w:val="none" w:sz="0" w:space="0" w:color="auto"/>
                  </w:divBdr>
                  <w:divsChild>
                    <w:div w:id="674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39895">
      <w:bodyDiv w:val="1"/>
      <w:marLeft w:val="0"/>
      <w:marRight w:val="0"/>
      <w:marTop w:val="0"/>
      <w:marBottom w:val="0"/>
      <w:divBdr>
        <w:top w:val="none" w:sz="0" w:space="0" w:color="auto"/>
        <w:left w:val="none" w:sz="0" w:space="0" w:color="auto"/>
        <w:bottom w:val="none" w:sz="0" w:space="0" w:color="auto"/>
        <w:right w:val="none" w:sz="0" w:space="0" w:color="auto"/>
      </w:divBdr>
      <w:divsChild>
        <w:div w:id="1631983199">
          <w:marLeft w:val="0"/>
          <w:marRight w:val="0"/>
          <w:marTop w:val="0"/>
          <w:marBottom w:val="0"/>
          <w:divBdr>
            <w:top w:val="none" w:sz="0" w:space="0" w:color="auto"/>
            <w:left w:val="none" w:sz="0" w:space="0" w:color="auto"/>
            <w:bottom w:val="none" w:sz="0" w:space="0" w:color="auto"/>
            <w:right w:val="none" w:sz="0" w:space="0" w:color="auto"/>
          </w:divBdr>
          <w:divsChild>
            <w:div w:id="620652907">
              <w:marLeft w:val="0"/>
              <w:marRight w:val="0"/>
              <w:marTop w:val="0"/>
              <w:marBottom w:val="0"/>
              <w:divBdr>
                <w:top w:val="none" w:sz="0" w:space="0" w:color="auto"/>
                <w:left w:val="none" w:sz="0" w:space="0" w:color="auto"/>
                <w:bottom w:val="none" w:sz="0" w:space="0" w:color="auto"/>
                <w:right w:val="none" w:sz="0" w:space="0" w:color="auto"/>
              </w:divBdr>
              <w:divsChild>
                <w:div w:id="99691057">
                  <w:marLeft w:val="0"/>
                  <w:marRight w:val="0"/>
                  <w:marTop w:val="0"/>
                  <w:marBottom w:val="0"/>
                  <w:divBdr>
                    <w:top w:val="none" w:sz="0" w:space="0" w:color="auto"/>
                    <w:left w:val="none" w:sz="0" w:space="0" w:color="auto"/>
                    <w:bottom w:val="none" w:sz="0" w:space="0" w:color="auto"/>
                    <w:right w:val="none" w:sz="0" w:space="0" w:color="auto"/>
                  </w:divBdr>
                  <w:divsChild>
                    <w:div w:id="9927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8268">
      <w:bodyDiv w:val="1"/>
      <w:marLeft w:val="0"/>
      <w:marRight w:val="0"/>
      <w:marTop w:val="0"/>
      <w:marBottom w:val="0"/>
      <w:divBdr>
        <w:top w:val="none" w:sz="0" w:space="0" w:color="auto"/>
        <w:left w:val="none" w:sz="0" w:space="0" w:color="auto"/>
        <w:bottom w:val="none" w:sz="0" w:space="0" w:color="auto"/>
        <w:right w:val="none" w:sz="0" w:space="0" w:color="auto"/>
      </w:divBdr>
      <w:divsChild>
        <w:div w:id="1774856440">
          <w:marLeft w:val="0"/>
          <w:marRight w:val="0"/>
          <w:marTop w:val="0"/>
          <w:marBottom w:val="0"/>
          <w:divBdr>
            <w:top w:val="none" w:sz="0" w:space="0" w:color="auto"/>
            <w:left w:val="none" w:sz="0" w:space="0" w:color="auto"/>
            <w:bottom w:val="none" w:sz="0" w:space="0" w:color="auto"/>
            <w:right w:val="none" w:sz="0" w:space="0" w:color="auto"/>
          </w:divBdr>
          <w:divsChild>
            <w:div w:id="1433358978">
              <w:marLeft w:val="0"/>
              <w:marRight w:val="0"/>
              <w:marTop w:val="0"/>
              <w:marBottom w:val="0"/>
              <w:divBdr>
                <w:top w:val="none" w:sz="0" w:space="0" w:color="auto"/>
                <w:left w:val="none" w:sz="0" w:space="0" w:color="auto"/>
                <w:bottom w:val="none" w:sz="0" w:space="0" w:color="auto"/>
                <w:right w:val="none" w:sz="0" w:space="0" w:color="auto"/>
              </w:divBdr>
              <w:divsChild>
                <w:div w:id="363405473">
                  <w:marLeft w:val="0"/>
                  <w:marRight w:val="0"/>
                  <w:marTop w:val="0"/>
                  <w:marBottom w:val="0"/>
                  <w:divBdr>
                    <w:top w:val="none" w:sz="0" w:space="0" w:color="auto"/>
                    <w:left w:val="none" w:sz="0" w:space="0" w:color="auto"/>
                    <w:bottom w:val="none" w:sz="0" w:space="0" w:color="auto"/>
                    <w:right w:val="none" w:sz="0" w:space="0" w:color="auto"/>
                  </w:divBdr>
                  <w:divsChild>
                    <w:div w:id="20016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59177615">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42859679">
      <w:bodyDiv w:val="1"/>
      <w:marLeft w:val="0"/>
      <w:marRight w:val="0"/>
      <w:marTop w:val="0"/>
      <w:marBottom w:val="0"/>
      <w:divBdr>
        <w:top w:val="none" w:sz="0" w:space="0" w:color="auto"/>
        <w:left w:val="none" w:sz="0" w:space="0" w:color="auto"/>
        <w:bottom w:val="none" w:sz="0" w:space="0" w:color="auto"/>
        <w:right w:val="none" w:sz="0" w:space="0" w:color="auto"/>
      </w:divBdr>
    </w:div>
    <w:div w:id="1556551405">
      <w:bodyDiv w:val="1"/>
      <w:marLeft w:val="0"/>
      <w:marRight w:val="0"/>
      <w:marTop w:val="0"/>
      <w:marBottom w:val="0"/>
      <w:divBdr>
        <w:top w:val="none" w:sz="0" w:space="0" w:color="auto"/>
        <w:left w:val="none" w:sz="0" w:space="0" w:color="auto"/>
        <w:bottom w:val="none" w:sz="0" w:space="0" w:color="auto"/>
        <w:right w:val="none" w:sz="0" w:space="0" w:color="auto"/>
      </w:divBdr>
    </w:div>
    <w:div w:id="1556771593">
      <w:bodyDiv w:val="1"/>
      <w:marLeft w:val="0"/>
      <w:marRight w:val="0"/>
      <w:marTop w:val="0"/>
      <w:marBottom w:val="0"/>
      <w:divBdr>
        <w:top w:val="none" w:sz="0" w:space="0" w:color="auto"/>
        <w:left w:val="none" w:sz="0" w:space="0" w:color="auto"/>
        <w:bottom w:val="none" w:sz="0" w:space="0" w:color="auto"/>
        <w:right w:val="none" w:sz="0" w:space="0" w:color="auto"/>
      </w:divBdr>
    </w:div>
    <w:div w:id="1557469869">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596088642">
      <w:bodyDiv w:val="1"/>
      <w:marLeft w:val="0"/>
      <w:marRight w:val="0"/>
      <w:marTop w:val="0"/>
      <w:marBottom w:val="0"/>
      <w:divBdr>
        <w:top w:val="none" w:sz="0" w:space="0" w:color="auto"/>
        <w:left w:val="none" w:sz="0" w:space="0" w:color="auto"/>
        <w:bottom w:val="none" w:sz="0" w:space="0" w:color="auto"/>
        <w:right w:val="none" w:sz="0" w:space="0" w:color="auto"/>
      </w:divBdr>
    </w:div>
    <w:div w:id="1600068453">
      <w:bodyDiv w:val="1"/>
      <w:marLeft w:val="0"/>
      <w:marRight w:val="0"/>
      <w:marTop w:val="0"/>
      <w:marBottom w:val="0"/>
      <w:divBdr>
        <w:top w:val="none" w:sz="0" w:space="0" w:color="auto"/>
        <w:left w:val="none" w:sz="0" w:space="0" w:color="auto"/>
        <w:bottom w:val="none" w:sz="0" w:space="0" w:color="auto"/>
        <w:right w:val="none" w:sz="0" w:space="0" w:color="auto"/>
      </w:divBdr>
      <w:divsChild>
        <w:div w:id="1037118516">
          <w:marLeft w:val="0"/>
          <w:marRight w:val="0"/>
          <w:marTop w:val="0"/>
          <w:marBottom w:val="0"/>
          <w:divBdr>
            <w:top w:val="none" w:sz="0" w:space="0" w:color="auto"/>
            <w:left w:val="none" w:sz="0" w:space="0" w:color="auto"/>
            <w:bottom w:val="none" w:sz="0" w:space="0" w:color="auto"/>
            <w:right w:val="none" w:sz="0" w:space="0" w:color="auto"/>
          </w:divBdr>
          <w:divsChild>
            <w:div w:id="1258827294">
              <w:marLeft w:val="0"/>
              <w:marRight w:val="0"/>
              <w:marTop w:val="0"/>
              <w:marBottom w:val="0"/>
              <w:divBdr>
                <w:top w:val="none" w:sz="0" w:space="0" w:color="auto"/>
                <w:left w:val="none" w:sz="0" w:space="0" w:color="auto"/>
                <w:bottom w:val="none" w:sz="0" w:space="0" w:color="auto"/>
                <w:right w:val="none" w:sz="0" w:space="0" w:color="auto"/>
              </w:divBdr>
              <w:divsChild>
                <w:div w:id="483085815">
                  <w:marLeft w:val="0"/>
                  <w:marRight w:val="0"/>
                  <w:marTop w:val="0"/>
                  <w:marBottom w:val="0"/>
                  <w:divBdr>
                    <w:top w:val="none" w:sz="0" w:space="0" w:color="auto"/>
                    <w:left w:val="none" w:sz="0" w:space="0" w:color="auto"/>
                    <w:bottom w:val="none" w:sz="0" w:space="0" w:color="auto"/>
                    <w:right w:val="none" w:sz="0" w:space="0" w:color="auto"/>
                  </w:divBdr>
                  <w:divsChild>
                    <w:div w:id="927154298">
                      <w:marLeft w:val="0"/>
                      <w:marRight w:val="0"/>
                      <w:marTop w:val="0"/>
                      <w:marBottom w:val="0"/>
                      <w:divBdr>
                        <w:top w:val="none" w:sz="0" w:space="0" w:color="auto"/>
                        <w:left w:val="none" w:sz="0" w:space="0" w:color="auto"/>
                        <w:bottom w:val="none" w:sz="0" w:space="0" w:color="auto"/>
                        <w:right w:val="none" w:sz="0" w:space="0" w:color="auto"/>
                      </w:divBdr>
                    </w:div>
                  </w:divsChild>
                </w:div>
                <w:div w:id="1030499163">
                  <w:marLeft w:val="0"/>
                  <w:marRight w:val="0"/>
                  <w:marTop w:val="0"/>
                  <w:marBottom w:val="0"/>
                  <w:divBdr>
                    <w:top w:val="none" w:sz="0" w:space="0" w:color="auto"/>
                    <w:left w:val="none" w:sz="0" w:space="0" w:color="auto"/>
                    <w:bottom w:val="none" w:sz="0" w:space="0" w:color="auto"/>
                    <w:right w:val="none" w:sz="0" w:space="0" w:color="auto"/>
                  </w:divBdr>
                  <w:divsChild>
                    <w:div w:id="5383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25888873">
      <w:bodyDiv w:val="1"/>
      <w:marLeft w:val="0"/>
      <w:marRight w:val="0"/>
      <w:marTop w:val="0"/>
      <w:marBottom w:val="0"/>
      <w:divBdr>
        <w:top w:val="none" w:sz="0" w:space="0" w:color="auto"/>
        <w:left w:val="none" w:sz="0" w:space="0" w:color="auto"/>
        <w:bottom w:val="none" w:sz="0" w:space="0" w:color="auto"/>
        <w:right w:val="none" w:sz="0" w:space="0" w:color="auto"/>
      </w:divBdr>
      <w:divsChild>
        <w:div w:id="1898198306">
          <w:marLeft w:val="0"/>
          <w:marRight w:val="0"/>
          <w:marTop w:val="0"/>
          <w:marBottom w:val="0"/>
          <w:divBdr>
            <w:top w:val="none" w:sz="0" w:space="0" w:color="auto"/>
            <w:left w:val="none" w:sz="0" w:space="0" w:color="auto"/>
            <w:bottom w:val="none" w:sz="0" w:space="0" w:color="auto"/>
            <w:right w:val="none" w:sz="0" w:space="0" w:color="auto"/>
          </w:divBdr>
          <w:divsChild>
            <w:div w:id="133107786">
              <w:marLeft w:val="0"/>
              <w:marRight w:val="0"/>
              <w:marTop w:val="0"/>
              <w:marBottom w:val="0"/>
              <w:divBdr>
                <w:top w:val="none" w:sz="0" w:space="0" w:color="auto"/>
                <w:left w:val="none" w:sz="0" w:space="0" w:color="auto"/>
                <w:bottom w:val="none" w:sz="0" w:space="0" w:color="auto"/>
                <w:right w:val="none" w:sz="0" w:space="0" w:color="auto"/>
              </w:divBdr>
              <w:divsChild>
                <w:div w:id="74400498">
                  <w:marLeft w:val="0"/>
                  <w:marRight w:val="0"/>
                  <w:marTop w:val="0"/>
                  <w:marBottom w:val="0"/>
                  <w:divBdr>
                    <w:top w:val="none" w:sz="0" w:space="0" w:color="auto"/>
                    <w:left w:val="none" w:sz="0" w:space="0" w:color="auto"/>
                    <w:bottom w:val="none" w:sz="0" w:space="0" w:color="auto"/>
                    <w:right w:val="none" w:sz="0" w:space="0" w:color="auto"/>
                  </w:divBdr>
                  <w:divsChild>
                    <w:div w:id="123155213">
                      <w:marLeft w:val="0"/>
                      <w:marRight w:val="0"/>
                      <w:marTop w:val="0"/>
                      <w:marBottom w:val="0"/>
                      <w:divBdr>
                        <w:top w:val="none" w:sz="0" w:space="0" w:color="auto"/>
                        <w:left w:val="none" w:sz="0" w:space="0" w:color="auto"/>
                        <w:bottom w:val="none" w:sz="0" w:space="0" w:color="auto"/>
                        <w:right w:val="none" w:sz="0" w:space="0" w:color="auto"/>
                      </w:divBdr>
                    </w:div>
                  </w:divsChild>
                </w:div>
                <w:div w:id="1063333044">
                  <w:marLeft w:val="0"/>
                  <w:marRight w:val="0"/>
                  <w:marTop w:val="0"/>
                  <w:marBottom w:val="0"/>
                  <w:divBdr>
                    <w:top w:val="none" w:sz="0" w:space="0" w:color="auto"/>
                    <w:left w:val="none" w:sz="0" w:space="0" w:color="auto"/>
                    <w:bottom w:val="none" w:sz="0" w:space="0" w:color="auto"/>
                    <w:right w:val="none" w:sz="0" w:space="0" w:color="auto"/>
                  </w:divBdr>
                  <w:divsChild>
                    <w:div w:id="1676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4811">
      <w:bodyDiv w:val="1"/>
      <w:marLeft w:val="0"/>
      <w:marRight w:val="0"/>
      <w:marTop w:val="0"/>
      <w:marBottom w:val="0"/>
      <w:divBdr>
        <w:top w:val="none" w:sz="0" w:space="0" w:color="auto"/>
        <w:left w:val="none" w:sz="0" w:space="0" w:color="auto"/>
        <w:bottom w:val="none" w:sz="0" w:space="0" w:color="auto"/>
        <w:right w:val="none" w:sz="0" w:space="0" w:color="auto"/>
      </w:divBdr>
    </w:div>
    <w:div w:id="1662125928">
      <w:bodyDiv w:val="1"/>
      <w:marLeft w:val="0"/>
      <w:marRight w:val="0"/>
      <w:marTop w:val="0"/>
      <w:marBottom w:val="0"/>
      <w:divBdr>
        <w:top w:val="none" w:sz="0" w:space="0" w:color="auto"/>
        <w:left w:val="none" w:sz="0" w:space="0" w:color="auto"/>
        <w:bottom w:val="none" w:sz="0" w:space="0" w:color="auto"/>
        <w:right w:val="none" w:sz="0" w:space="0" w:color="auto"/>
      </w:divBdr>
    </w:div>
    <w:div w:id="1684621872">
      <w:bodyDiv w:val="1"/>
      <w:marLeft w:val="0"/>
      <w:marRight w:val="0"/>
      <w:marTop w:val="0"/>
      <w:marBottom w:val="0"/>
      <w:divBdr>
        <w:top w:val="none" w:sz="0" w:space="0" w:color="auto"/>
        <w:left w:val="none" w:sz="0" w:space="0" w:color="auto"/>
        <w:bottom w:val="none" w:sz="0" w:space="0" w:color="auto"/>
        <w:right w:val="none" w:sz="0" w:space="0" w:color="auto"/>
      </w:divBdr>
      <w:divsChild>
        <w:div w:id="1641613462">
          <w:marLeft w:val="0"/>
          <w:marRight w:val="0"/>
          <w:marTop w:val="0"/>
          <w:marBottom w:val="0"/>
          <w:divBdr>
            <w:top w:val="none" w:sz="0" w:space="0" w:color="auto"/>
            <w:left w:val="none" w:sz="0" w:space="0" w:color="auto"/>
            <w:bottom w:val="none" w:sz="0" w:space="0" w:color="auto"/>
            <w:right w:val="none" w:sz="0" w:space="0" w:color="auto"/>
          </w:divBdr>
          <w:divsChild>
            <w:div w:id="706640580">
              <w:marLeft w:val="0"/>
              <w:marRight w:val="0"/>
              <w:marTop w:val="0"/>
              <w:marBottom w:val="0"/>
              <w:divBdr>
                <w:top w:val="none" w:sz="0" w:space="0" w:color="auto"/>
                <w:left w:val="none" w:sz="0" w:space="0" w:color="auto"/>
                <w:bottom w:val="none" w:sz="0" w:space="0" w:color="auto"/>
                <w:right w:val="none" w:sz="0" w:space="0" w:color="auto"/>
              </w:divBdr>
              <w:divsChild>
                <w:div w:id="1204371652">
                  <w:marLeft w:val="0"/>
                  <w:marRight w:val="0"/>
                  <w:marTop w:val="0"/>
                  <w:marBottom w:val="0"/>
                  <w:divBdr>
                    <w:top w:val="none" w:sz="0" w:space="0" w:color="auto"/>
                    <w:left w:val="none" w:sz="0" w:space="0" w:color="auto"/>
                    <w:bottom w:val="none" w:sz="0" w:space="0" w:color="auto"/>
                    <w:right w:val="none" w:sz="0" w:space="0" w:color="auto"/>
                  </w:divBdr>
                  <w:divsChild>
                    <w:div w:id="2135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89215407">
      <w:bodyDiv w:val="1"/>
      <w:marLeft w:val="0"/>
      <w:marRight w:val="0"/>
      <w:marTop w:val="0"/>
      <w:marBottom w:val="0"/>
      <w:divBdr>
        <w:top w:val="none" w:sz="0" w:space="0" w:color="auto"/>
        <w:left w:val="none" w:sz="0" w:space="0" w:color="auto"/>
        <w:bottom w:val="none" w:sz="0" w:space="0" w:color="auto"/>
        <w:right w:val="none" w:sz="0" w:space="0" w:color="auto"/>
      </w:divBdr>
      <w:divsChild>
        <w:div w:id="1642224545">
          <w:marLeft w:val="0"/>
          <w:marRight w:val="0"/>
          <w:marTop w:val="0"/>
          <w:marBottom w:val="0"/>
          <w:divBdr>
            <w:top w:val="none" w:sz="0" w:space="0" w:color="auto"/>
            <w:left w:val="none" w:sz="0" w:space="0" w:color="auto"/>
            <w:bottom w:val="none" w:sz="0" w:space="0" w:color="auto"/>
            <w:right w:val="none" w:sz="0" w:space="0" w:color="auto"/>
          </w:divBdr>
          <w:divsChild>
            <w:div w:id="425149290">
              <w:marLeft w:val="0"/>
              <w:marRight w:val="0"/>
              <w:marTop w:val="0"/>
              <w:marBottom w:val="0"/>
              <w:divBdr>
                <w:top w:val="none" w:sz="0" w:space="0" w:color="auto"/>
                <w:left w:val="none" w:sz="0" w:space="0" w:color="auto"/>
                <w:bottom w:val="none" w:sz="0" w:space="0" w:color="auto"/>
                <w:right w:val="none" w:sz="0" w:space="0" w:color="auto"/>
              </w:divBdr>
              <w:divsChild>
                <w:div w:id="496726582">
                  <w:marLeft w:val="0"/>
                  <w:marRight w:val="0"/>
                  <w:marTop w:val="0"/>
                  <w:marBottom w:val="0"/>
                  <w:divBdr>
                    <w:top w:val="none" w:sz="0" w:space="0" w:color="auto"/>
                    <w:left w:val="none" w:sz="0" w:space="0" w:color="auto"/>
                    <w:bottom w:val="none" w:sz="0" w:space="0" w:color="auto"/>
                    <w:right w:val="none" w:sz="0" w:space="0" w:color="auto"/>
                  </w:divBdr>
                  <w:divsChild>
                    <w:div w:id="3187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16850249">
      <w:bodyDiv w:val="1"/>
      <w:marLeft w:val="0"/>
      <w:marRight w:val="0"/>
      <w:marTop w:val="0"/>
      <w:marBottom w:val="0"/>
      <w:divBdr>
        <w:top w:val="none" w:sz="0" w:space="0" w:color="auto"/>
        <w:left w:val="none" w:sz="0" w:space="0" w:color="auto"/>
        <w:bottom w:val="none" w:sz="0" w:space="0" w:color="auto"/>
        <w:right w:val="none" w:sz="0" w:space="0" w:color="auto"/>
      </w:divBdr>
      <w:divsChild>
        <w:div w:id="2110805498">
          <w:marLeft w:val="0"/>
          <w:marRight w:val="0"/>
          <w:marTop w:val="0"/>
          <w:marBottom w:val="0"/>
          <w:divBdr>
            <w:top w:val="none" w:sz="0" w:space="0" w:color="auto"/>
            <w:left w:val="none" w:sz="0" w:space="0" w:color="auto"/>
            <w:bottom w:val="none" w:sz="0" w:space="0" w:color="auto"/>
            <w:right w:val="none" w:sz="0" w:space="0" w:color="auto"/>
          </w:divBdr>
          <w:divsChild>
            <w:div w:id="1831749660">
              <w:marLeft w:val="0"/>
              <w:marRight w:val="0"/>
              <w:marTop w:val="0"/>
              <w:marBottom w:val="0"/>
              <w:divBdr>
                <w:top w:val="none" w:sz="0" w:space="0" w:color="auto"/>
                <w:left w:val="none" w:sz="0" w:space="0" w:color="auto"/>
                <w:bottom w:val="none" w:sz="0" w:space="0" w:color="auto"/>
                <w:right w:val="none" w:sz="0" w:space="0" w:color="auto"/>
              </w:divBdr>
              <w:divsChild>
                <w:div w:id="24252270">
                  <w:marLeft w:val="0"/>
                  <w:marRight w:val="0"/>
                  <w:marTop w:val="0"/>
                  <w:marBottom w:val="0"/>
                  <w:divBdr>
                    <w:top w:val="none" w:sz="0" w:space="0" w:color="auto"/>
                    <w:left w:val="none" w:sz="0" w:space="0" w:color="auto"/>
                    <w:bottom w:val="none" w:sz="0" w:space="0" w:color="auto"/>
                    <w:right w:val="none" w:sz="0" w:space="0" w:color="auto"/>
                  </w:divBdr>
                  <w:divsChild>
                    <w:div w:id="7017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32998990">
      <w:bodyDiv w:val="1"/>
      <w:marLeft w:val="0"/>
      <w:marRight w:val="0"/>
      <w:marTop w:val="0"/>
      <w:marBottom w:val="0"/>
      <w:divBdr>
        <w:top w:val="none" w:sz="0" w:space="0" w:color="auto"/>
        <w:left w:val="none" w:sz="0" w:space="0" w:color="auto"/>
        <w:bottom w:val="none" w:sz="0" w:space="0" w:color="auto"/>
        <w:right w:val="none" w:sz="0" w:space="0" w:color="auto"/>
      </w:divBdr>
      <w:divsChild>
        <w:div w:id="1360204547">
          <w:marLeft w:val="0"/>
          <w:marRight w:val="0"/>
          <w:marTop w:val="0"/>
          <w:marBottom w:val="0"/>
          <w:divBdr>
            <w:top w:val="none" w:sz="0" w:space="0" w:color="auto"/>
            <w:left w:val="none" w:sz="0" w:space="0" w:color="auto"/>
            <w:bottom w:val="none" w:sz="0" w:space="0" w:color="auto"/>
            <w:right w:val="none" w:sz="0" w:space="0" w:color="auto"/>
          </w:divBdr>
          <w:divsChild>
            <w:div w:id="1776906260">
              <w:marLeft w:val="0"/>
              <w:marRight w:val="0"/>
              <w:marTop w:val="0"/>
              <w:marBottom w:val="0"/>
              <w:divBdr>
                <w:top w:val="none" w:sz="0" w:space="0" w:color="auto"/>
                <w:left w:val="none" w:sz="0" w:space="0" w:color="auto"/>
                <w:bottom w:val="none" w:sz="0" w:space="0" w:color="auto"/>
                <w:right w:val="none" w:sz="0" w:space="0" w:color="auto"/>
              </w:divBdr>
              <w:divsChild>
                <w:div w:id="1855653778">
                  <w:marLeft w:val="0"/>
                  <w:marRight w:val="0"/>
                  <w:marTop w:val="0"/>
                  <w:marBottom w:val="0"/>
                  <w:divBdr>
                    <w:top w:val="none" w:sz="0" w:space="0" w:color="auto"/>
                    <w:left w:val="none" w:sz="0" w:space="0" w:color="auto"/>
                    <w:bottom w:val="none" w:sz="0" w:space="0" w:color="auto"/>
                    <w:right w:val="none" w:sz="0" w:space="0" w:color="auto"/>
                  </w:divBdr>
                  <w:divsChild>
                    <w:div w:id="394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76706023">
      <w:bodyDiv w:val="1"/>
      <w:marLeft w:val="0"/>
      <w:marRight w:val="0"/>
      <w:marTop w:val="0"/>
      <w:marBottom w:val="0"/>
      <w:divBdr>
        <w:top w:val="none" w:sz="0" w:space="0" w:color="auto"/>
        <w:left w:val="none" w:sz="0" w:space="0" w:color="auto"/>
        <w:bottom w:val="none" w:sz="0" w:space="0" w:color="auto"/>
        <w:right w:val="none" w:sz="0" w:space="0" w:color="auto"/>
      </w:divBdr>
      <w:divsChild>
        <w:div w:id="565798848">
          <w:marLeft w:val="0"/>
          <w:marRight w:val="0"/>
          <w:marTop w:val="0"/>
          <w:marBottom w:val="0"/>
          <w:divBdr>
            <w:top w:val="none" w:sz="0" w:space="0" w:color="auto"/>
            <w:left w:val="none" w:sz="0" w:space="0" w:color="auto"/>
            <w:bottom w:val="none" w:sz="0" w:space="0" w:color="auto"/>
            <w:right w:val="none" w:sz="0" w:space="0" w:color="auto"/>
          </w:divBdr>
          <w:divsChild>
            <w:div w:id="2079396045">
              <w:marLeft w:val="0"/>
              <w:marRight w:val="0"/>
              <w:marTop w:val="0"/>
              <w:marBottom w:val="0"/>
              <w:divBdr>
                <w:top w:val="none" w:sz="0" w:space="0" w:color="auto"/>
                <w:left w:val="none" w:sz="0" w:space="0" w:color="auto"/>
                <w:bottom w:val="none" w:sz="0" w:space="0" w:color="auto"/>
                <w:right w:val="none" w:sz="0" w:space="0" w:color="auto"/>
              </w:divBdr>
              <w:divsChild>
                <w:div w:id="247202362">
                  <w:marLeft w:val="0"/>
                  <w:marRight w:val="0"/>
                  <w:marTop w:val="0"/>
                  <w:marBottom w:val="0"/>
                  <w:divBdr>
                    <w:top w:val="none" w:sz="0" w:space="0" w:color="auto"/>
                    <w:left w:val="none" w:sz="0" w:space="0" w:color="auto"/>
                    <w:bottom w:val="none" w:sz="0" w:space="0" w:color="auto"/>
                    <w:right w:val="none" w:sz="0" w:space="0" w:color="auto"/>
                  </w:divBdr>
                  <w:divsChild>
                    <w:div w:id="547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2476">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84632998">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87524226">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16237994">
      <w:bodyDiv w:val="1"/>
      <w:marLeft w:val="0"/>
      <w:marRight w:val="0"/>
      <w:marTop w:val="0"/>
      <w:marBottom w:val="0"/>
      <w:divBdr>
        <w:top w:val="none" w:sz="0" w:space="0" w:color="auto"/>
        <w:left w:val="none" w:sz="0" w:space="0" w:color="auto"/>
        <w:bottom w:val="none" w:sz="0" w:space="0" w:color="auto"/>
        <w:right w:val="none" w:sz="0" w:space="0" w:color="auto"/>
      </w:divBdr>
    </w:div>
    <w:div w:id="1918854835">
      <w:bodyDiv w:val="1"/>
      <w:marLeft w:val="0"/>
      <w:marRight w:val="0"/>
      <w:marTop w:val="0"/>
      <w:marBottom w:val="0"/>
      <w:divBdr>
        <w:top w:val="none" w:sz="0" w:space="0" w:color="auto"/>
        <w:left w:val="none" w:sz="0" w:space="0" w:color="auto"/>
        <w:bottom w:val="none" w:sz="0" w:space="0" w:color="auto"/>
        <w:right w:val="none" w:sz="0" w:space="0" w:color="auto"/>
      </w:divBdr>
    </w:div>
    <w:div w:id="1932397314">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39753114">
      <w:bodyDiv w:val="1"/>
      <w:marLeft w:val="0"/>
      <w:marRight w:val="0"/>
      <w:marTop w:val="0"/>
      <w:marBottom w:val="0"/>
      <w:divBdr>
        <w:top w:val="none" w:sz="0" w:space="0" w:color="auto"/>
        <w:left w:val="none" w:sz="0" w:space="0" w:color="auto"/>
        <w:bottom w:val="none" w:sz="0" w:space="0" w:color="auto"/>
        <w:right w:val="none" w:sz="0" w:space="0" w:color="auto"/>
      </w:divBdr>
      <w:divsChild>
        <w:div w:id="505360273">
          <w:marLeft w:val="0"/>
          <w:marRight w:val="0"/>
          <w:marTop w:val="0"/>
          <w:marBottom w:val="0"/>
          <w:divBdr>
            <w:top w:val="none" w:sz="0" w:space="0" w:color="auto"/>
            <w:left w:val="none" w:sz="0" w:space="0" w:color="auto"/>
            <w:bottom w:val="none" w:sz="0" w:space="0" w:color="auto"/>
            <w:right w:val="none" w:sz="0" w:space="0" w:color="auto"/>
          </w:divBdr>
          <w:divsChild>
            <w:div w:id="521209510">
              <w:marLeft w:val="0"/>
              <w:marRight w:val="0"/>
              <w:marTop w:val="0"/>
              <w:marBottom w:val="0"/>
              <w:divBdr>
                <w:top w:val="none" w:sz="0" w:space="0" w:color="auto"/>
                <w:left w:val="none" w:sz="0" w:space="0" w:color="auto"/>
                <w:bottom w:val="none" w:sz="0" w:space="0" w:color="auto"/>
                <w:right w:val="none" w:sz="0" w:space="0" w:color="auto"/>
              </w:divBdr>
              <w:divsChild>
                <w:div w:id="1246691892">
                  <w:marLeft w:val="0"/>
                  <w:marRight w:val="0"/>
                  <w:marTop w:val="0"/>
                  <w:marBottom w:val="0"/>
                  <w:divBdr>
                    <w:top w:val="none" w:sz="0" w:space="0" w:color="auto"/>
                    <w:left w:val="none" w:sz="0" w:space="0" w:color="auto"/>
                    <w:bottom w:val="none" w:sz="0" w:space="0" w:color="auto"/>
                    <w:right w:val="none" w:sz="0" w:space="0" w:color="auto"/>
                  </w:divBdr>
                  <w:divsChild>
                    <w:div w:id="4653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2622">
      <w:bodyDiv w:val="1"/>
      <w:marLeft w:val="0"/>
      <w:marRight w:val="0"/>
      <w:marTop w:val="0"/>
      <w:marBottom w:val="0"/>
      <w:divBdr>
        <w:top w:val="none" w:sz="0" w:space="0" w:color="auto"/>
        <w:left w:val="none" w:sz="0" w:space="0" w:color="auto"/>
        <w:bottom w:val="none" w:sz="0" w:space="0" w:color="auto"/>
        <w:right w:val="none" w:sz="0" w:space="0" w:color="auto"/>
      </w:divBdr>
    </w:div>
    <w:div w:id="1952974536">
      <w:bodyDiv w:val="1"/>
      <w:marLeft w:val="0"/>
      <w:marRight w:val="0"/>
      <w:marTop w:val="0"/>
      <w:marBottom w:val="0"/>
      <w:divBdr>
        <w:top w:val="none" w:sz="0" w:space="0" w:color="auto"/>
        <w:left w:val="none" w:sz="0" w:space="0" w:color="auto"/>
        <w:bottom w:val="none" w:sz="0" w:space="0" w:color="auto"/>
        <w:right w:val="none" w:sz="0" w:space="0" w:color="auto"/>
      </w:divBdr>
      <w:divsChild>
        <w:div w:id="734162401">
          <w:marLeft w:val="0"/>
          <w:marRight w:val="0"/>
          <w:marTop w:val="0"/>
          <w:marBottom w:val="0"/>
          <w:divBdr>
            <w:top w:val="none" w:sz="0" w:space="0" w:color="auto"/>
            <w:left w:val="none" w:sz="0" w:space="0" w:color="auto"/>
            <w:bottom w:val="none" w:sz="0" w:space="0" w:color="auto"/>
            <w:right w:val="none" w:sz="0" w:space="0" w:color="auto"/>
          </w:divBdr>
          <w:divsChild>
            <w:div w:id="992298363">
              <w:marLeft w:val="0"/>
              <w:marRight w:val="0"/>
              <w:marTop w:val="0"/>
              <w:marBottom w:val="0"/>
              <w:divBdr>
                <w:top w:val="none" w:sz="0" w:space="0" w:color="auto"/>
                <w:left w:val="none" w:sz="0" w:space="0" w:color="auto"/>
                <w:bottom w:val="none" w:sz="0" w:space="0" w:color="auto"/>
                <w:right w:val="none" w:sz="0" w:space="0" w:color="auto"/>
              </w:divBdr>
              <w:divsChild>
                <w:div w:id="2087998488">
                  <w:marLeft w:val="0"/>
                  <w:marRight w:val="0"/>
                  <w:marTop w:val="0"/>
                  <w:marBottom w:val="0"/>
                  <w:divBdr>
                    <w:top w:val="none" w:sz="0" w:space="0" w:color="auto"/>
                    <w:left w:val="none" w:sz="0" w:space="0" w:color="auto"/>
                    <w:bottom w:val="none" w:sz="0" w:space="0" w:color="auto"/>
                    <w:right w:val="none" w:sz="0" w:space="0" w:color="auto"/>
                  </w:divBdr>
                  <w:divsChild>
                    <w:div w:id="11850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1987202953">
      <w:bodyDiv w:val="1"/>
      <w:marLeft w:val="0"/>
      <w:marRight w:val="0"/>
      <w:marTop w:val="0"/>
      <w:marBottom w:val="0"/>
      <w:divBdr>
        <w:top w:val="none" w:sz="0" w:space="0" w:color="auto"/>
        <w:left w:val="none" w:sz="0" w:space="0" w:color="auto"/>
        <w:bottom w:val="none" w:sz="0" w:space="0" w:color="auto"/>
        <w:right w:val="none" w:sz="0" w:space="0" w:color="auto"/>
      </w:divBdr>
      <w:divsChild>
        <w:div w:id="1454901795">
          <w:marLeft w:val="0"/>
          <w:marRight w:val="0"/>
          <w:marTop w:val="0"/>
          <w:marBottom w:val="0"/>
          <w:divBdr>
            <w:top w:val="none" w:sz="0" w:space="0" w:color="auto"/>
            <w:left w:val="none" w:sz="0" w:space="0" w:color="auto"/>
            <w:bottom w:val="none" w:sz="0" w:space="0" w:color="auto"/>
            <w:right w:val="none" w:sz="0" w:space="0" w:color="auto"/>
          </w:divBdr>
          <w:divsChild>
            <w:div w:id="179705640">
              <w:marLeft w:val="0"/>
              <w:marRight w:val="0"/>
              <w:marTop w:val="0"/>
              <w:marBottom w:val="0"/>
              <w:divBdr>
                <w:top w:val="none" w:sz="0" w:space="0" w:color="auto"/>
                <w:left w:val="none" w:sz="0" w:space="0" w:color="auto"/>
                <w:bottom w:val="none" w:sz="0" w:space="0" w:color="auto"/>
                <w:right w:val="none" w:sz="0" w:space="0" w:color="auto"/>
              </w:divBdr>
              <w:divsChild>
                <w:div w:id="1210923506">
                  <w:marLeft w:val="0"/>
                  <w:marRight w:val="0"/>
                  <w:marTop w:val="0"/>
                  <w:marBottom w:val="0"/>
                  <w:divBdr>
                    <w:top w:val="none" w:sz="0" w:space="0" w:color="auto"/>
                    <w:left w:val="none" w:sz="0" w:space="0" w:color="auto"/>
                    <w:bottom w:val="none" w:sz="0" w:space="0" w:color="auto"/>
                    <w:right w:val="none" w:sz="0" w:space="0" w:color="auto"/>
                  </w:divBdr>
                  <w:divsChild>
                    <w:div w:id="1467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46446622">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 w:id="2073693073">
      <w:bodyDiv w:val="1"/>
      <w:marLeft w:val="0"/>
      <w:marRight w:val="0"/>
      <w:marTop w:val="0"/>
      <w:marBottom w:val="0"/>
      <w:divBdr>
        <w:top w:val="none" w:sz="0" w:space="0" w:color="auto"/>
        <w:left w:val="none" w:sz="0" w:space="0" w:color="auto"/>
        <w:bottom w:val="none" w:sz="0" w:space="0" w:color="auto"/>
        <w:right w:val="none" w:sz="0" w:space="0" w:color="auto"/>
      </w:divBdr>
      <w:divsChild>
        <w:div w:id="1159537676">
          <w:marLeft w:val="0"/>
          <w:marRight w:val="0"/>
          <w:marTop w:val="0"/>
          <w:marBottom w:val="0"/>
          <w:divBdr>
            <w:top w:val="none" w:sz="0" w:space="0" w:color="auto"/>
            <w:left w:val="none" w:sz="0" w:space="0" w:color="auto"/>
            <w:bottom w:val="none" w:sz="0" w:space="0" w:color="auto"/>
            <w:right w:val="none" w:sz="0" w:space="0" w:color="auto"/>
          </w:divBdr>
          <w:divsChild>
            <w:div w:id="1785226078">
              <w:marLeft w:val="0"/>
              <w:marRight w:val="0"/>
              <w:marTop w:val="0"/>
              <w:marBottom w:val="0"/>
              <w:divBdr>
                <w:top w:val="none" w:sz="0" w:space="0" w:color="auto"/>
                <w:left w:val="none" w:sz="0" w:space="0" w:color="auto"/>
                <w:bottom w:val="none" w:sz="0" w:space="0" w:color="auto"/>
                <w:right w:val="none" w:sz="0" w:space="0" w:color="auto"/>
              </w:divBdr>
              <w:divsChild>
                <w:div w:id="951741159">
                  <w:marLeft w:val="0"/>
                  <w:marRight w:val="0"/>
                  <w:marTop w:val="0"/>
                  <w:marBottom w:val="0"/>
                  <w:divBdr>
                    <w:top w:val="none" w:sz="0" w:space="0" w:color="auto"/>
                    <w:left w:val="none" w:sz="0" w:space="0" w:color="auto"/>
                    <w:bottom w:val="none" w:sz="0" w:space="0" w:color="auto"/>
                    <w:right w:val="none" w:sz="0" w:space="0" w:color="auto"/>
                  </w:divBdr>
                  <w:divsChild>
                    <w:div w:id="1025405835">
                      <w:marLeft w:val="0"/>
                      <w:marRight w:val="0"/>
                      <w:marTop w:val="0"/>
                      <w:marBottom w:val="0"/>
                      <w:divBdr>
                        <w:top w:val="none" w:sz="0" w:space="0" w:color="auto"/>
                        <w:left w:val="none" w:sz="0" w:space="0" w:color="auto"/>
                        <w:bottom w:val="none" w:sz="0" w:space="0" w:color="auto"/>
                        <w:right w:val="none" w:sz="0" w:space="0" w:color="auto"/>
                      </w:divBdr>
                    </w:div>
                  </w:divsChild>
                </w:div>
                <w:div w:id="393434568">
                  <w:marLeft w:val="0"/>
                  <w:marRight w:val="0"/>
                  <w:marTop w:val="0"/>
                  <w:marBottom w:val="0"/>
                  <w:divBdr>
                    <w:top w:val="none" w:sz="0" w:space="0" w:color="auto"/>
                    <w:left w:val="none" w:sz="0" w:space="0" w:color="auto"/>
                    <w:bottom w:val="none" w:sz="0" w:space="0" w:color="auto"/>
                    <w:right w:val="none" w:sz="0" w:space="0" w:color="auto"/>
                  </w:divBdr>
                  <w:divsChild>
                    <w:div w:id="13372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5988">
      <w:bodyDiv w:val="1"/>
      <w:marLeft w:val="0"/>
      <w:marRight w:val="0"/>
      <w:marTop w:val="0"/>
      <w:marBottom w:val="0"/>
      <w:divBdr>
        <w:top w:val="none" w:sz="0" w:space="0" w:color="auto"/>
        <w:left w:val="none" w:sz="0" w:space="0" w:color="auto"/>
        <w:bottom w:val="none" w:sz="0" w:space="0" w:color="auto"/>
        <w:right w:val="none" w:sz="0" w:space="0" w:color="auto"/>
      </w:divBdr>
      <w:divsChild>
        <w:div w:id="581186700">
          <w:marLeft w:val="0"/>
          <w:marRight w:val="0"/>
          <w:marTop w:val="0"/>
          <w:marBottom w:val="0"/>
          <w:divBdr>
            <w:top w:val="none" w:sz="0" w:space="0" w:color="auto"/>
            <w:left w:val="none" w:sz="0" w:space="0" w:color="auto"/>
            <w:bottom w:val="none" w:sz="0" w:space="0" w:color="auto"/>
            <w:right w:val="none" w:sz="0" w:space="0" w:color="auto"/>
          </w:divBdr>
          <w:divsChild>
            <w:div w:id="1895307250">
              <w:marLeft w:val="0"/>
              <w:marRight w:val="0"/>
              <w:marTop w:val="0"/>
              <w:marBottom w:val="0"/>
              <w:divBdr>
                <w:top w:val="none" w:sz="0" w:space="0" w:color="auto"/>
                <w:left w:val="none" w:sz="0" w:space="0" w:color="auto"/>
                <w:bottom w:val="none" w:sz="0" w:space="0" w:color="auto"/>
                <w:right w:val="none" w:sz="0" w:space="0" w:color="auto"/>
              </w:divBdr>
              <w:divsChild>
                <w:div w:id="1412964237">
                  <w:marLeft w:val="0"/>
                  <w:marRight w:val="0"/>
                  <w:marTop w:val="0"/>
                  <w:marBottom w:val="0"/>
                  <w:divBdr>
                    <w:top w:val="none" w:sz="0" w:space="0" w:color="auto"/>
                    <w:left w:val="none" w:sz="0" w:space="0" w:color="auto"/>
                    <w:bottom w:val="none" w:sz="0" w:space="0" w:color="auto"/>
                    <w:right w:val="none" w:sz="0" w:space="0" w:color="auto"/>
                  </w:divBdr>
                  <w:divsChild>
                    <w:div w:id="404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5121">
      <w:bodyDiv w:val="1"/>
      <w:marLeft w:val="0"/>
      <w:marRight w:val="0"/>
      <w:marTop w:val="0"/>
      <w:marBottom w:val="0"/>
      <w:divBdr>
        <w:top w:val="none" w:sz="0" w:space="0" w:color="auto"/>
        <w:left w:val="none" w:sz="0" w:space="0" w:color="auto"/>
        <w:bottom w:val="none" w:sz="0" w:space="0" w:color="auto"/>
        <w:right w:val="none" w:sz="0" w:space="0" w:color="auto"/>
      </w:divBdr>
      <w:divsChild>
        <w:div w:id="318726601">
          <w:marLeft w:val="0"/>
          <w:marRight w:val="0"/>
          <w:marTop w:val="0"/>
          <w:marBottom w:val="0"/>
          <w:divBdr>
            <w:top w:val="none" w:sz="0" w:space="0" w:color="auto"/>
            <w:left w:val="none" w:sz="0" w:space="0" w:color="auto"/>
            <w:bottom w:val="none" w:sz="0" w:space="0" w:color="auto"/>
            <w:right w:val="none" w:sz="0" w:space="0" w:color="auto"/>
          </w:divBdr>
          <w:divsChild>
            <w:div w:id="2129663305">
              <w:marLeft w:val="0"/>
              <w:marRight w:val="0"/>
              <w:marTop w:val="0"/>
              <w:marBottom w:val="0"/>
              <w:divBdr>
                <w:top w:val="none" w:sz="0" w:space="0" w:color="auto"/>
                <w:left w:val="none" w:sz="0" w:space="0" w:color="auto"/>
                <w:bottom w:val="none" w:sz="0" w:space="0" w:color="auto"/>
                <w:right w:val="none" w:sz="0" w:space="0" w:color="auto"/>
              </w:divBdr>
              <w:divsChild>
                <w:div w:id="1760443346">
                  <w:marLeft w:val="0"/>
                  <w:marRight w:val="0"/>
                  <w:marTop w:val="0"/>
                  <w:marBottom w:val="0"/>
                  <w:divBdr>
                    <w:top w:val="none" w:sz="0" w:space="0" w:color="auto"/>
                    <w:left w:val="none" w:sz="0" w:space="0" w:color="auto"/>
                    <w:bottom w:val="none" w:sz="0" w:space="0" w:color="auto"/>
                    <w:right w:val="none" w:sz="0" w:space="0" w:color="auto"/>
                  </w:divBdr>
                  <w:divsChild>
                    <w:div w:id="1641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oeweb.istat.it/" TargetMode="External"/><Relationship Id="rId26" Type="http://schemas.openxmlformats.org/officeDocument/2006/relationships/footer" Target="footer1.xml"/><Relationship Id="rId39" Type="http://schemas.openxmlformats.org/officeDocument/2006/relationships/hyperlink" Target="mailto:mimorron@istat.it" TargetMode="External"/><Relationship Id="rId21" Type="http://schemas.openxmlformats.org/officeDocument/2006/relationships/chart" Target="charts/chart2.xml"/><Relationship Id="rId34" Type="http://schemas.openxmlformats.org/officeDocument/2006/relationships/hyperlink" Target="https://www.coeweb.istat.it/"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dati.istat.it" TargetMode="External"/><Relationship Id="rId20" Type="http://schemas.openxmlformats.org/officeDocument/2006/relationships/chart" Target="charts/chart1.xml"/><Relationship Id="rId29" Type="http://schemas.openxmlformats.org/officeDocument/2006/relationships/hyperlink" Target="https://ec.europa.eu/eurostat/data/metadata/covid-19-support-for-statisticia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5.xml"/><Relationship Id="rId32" Type="http://schemas.openxmlformats.org/officeDocument/2006/relationships/hyperlink" Target="https://www.coeweb.istat.it/note_metodologiche/note_diffusione.htm" TargetMode="External"/><Relationship Id="rId37" Type="http://schemas.openxmlformats.org/officeDocument/2006/relationships/hyperlink" Target="http://www.istat.it/it/archivio/esportazioni+delle+regioni"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chart" Target="charts/chart4.xml"/><Relationship Id="rId28" Type="http://schemas.openxmlformats.org/officeDocument/2006/relationships/hyperlink" Target="http://www.istat.it/it/archivio/45225" TargetMode="External"/><Relationship Id="rId36" Type="http://schemas.openxmlformats.org/officeDocument/2006/relationships/hyperlink" Target="http://www.istat.it/it/archivio/commercio+estero+extra+ue"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istat.it/it/files/2016/07/scheda-CommercioEsteroextraU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chart" Target="charts/chart3.xml"/><Relationship Id="rId27" Type="http://schemas.openxmlformats.org/officeDocument/2006/relationships/header" Target="header3.xml"/><Relationship Id="rId30" Type="http://schemas.openxmlformats.org/officeDocument/2006/relationships/hyperlink" Target="http://www.istat.it/it/congiuntura/revisioni" TargetMode="External"/><Relationship Id="rId35" Type="http://schemas.openxmlformats.org/officeDocument/2006/relationships/hyperlink" Target="http://www.istat.it/it/archivio/commercio+estero+e+prezzi+import"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istat.it/it/congiuntura" TargetMode="External"/><Relationship Id="rId25" Type="http://schemas.openxmlformats.org/officeDocument/2006/relationships/header" Target="header2.xml"/><Relationship Id="rId33" Type="http://schemas.openxmlformats.org/officeDocument/2006/relationships/hyperlink" Target="https://www.coeweb.istat.it/" TargetMode="External"/><Relationship Id="rId38" Type="http://schemas.openxmlformats.org/officeDocument/2006/relationships/hyperlink" Target="http://www.istat.it/it/archivio/452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as-repo1\share2\COE_documentazione_servizio\DIFFUSIONE\COMUNICATO%20STAMPA\CS%20Extra\CS_COE_Extra_Ue_settembre_2022\coe_extraue_9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settembre_2022\coe_extraue_9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settembre_2022\coe_extraue_9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settembre_2022\coe_extraue_9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settembre_2022\coe_extraue_9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5"/>
          <c:order val="4"/>
          <c:tx>
            <c:strRef>
              <c:f>'[coe_extraue_92022.xlsx]Figura 1'!$G$4</c:f>
              <c:strCache>
                <c:ptCount val="1"/>
                <c:pt idx="0">
                  <c:v>Saldi (scala destra)</c:v>
                </c:pt>
              </c:strCache>
            </c:strRef>
          </c:tx>
          <c:spPr>
            <a:solidFill>
              <a:srgbClr val="A6A6A6"/>
            </a:solidFill>
            <a:ln w="6350" cap="flat" cmpd="sng" algn="ctr">
              <a:solidFill>
                <a:schemeClr val="bg1"/>
              </a:solidFill>
              <a:prstDash val="solid"/>
              <a:round/>
              <a:headEnd type="none" w="med" len="med"/>
              <a:tailEnd type="none" w="med" len="med"/>
            </a:ln>
            <a:effectLst/>
          </c:spPr>
          <c:invertIfNegative val="0"/>
          <c:val>
            <c:numRef>
              <c:f>'[coe_extraue_92022.xlsx]Figura 1'!$G$65:$G$136</c:f>
              <c:numCache>
                <c:formatCode>0</c:formatCode>
                <c:ptCount val="72"/>
                <c:pt idx="0">
                  <c:v>3913</c:v>
                </c:pt>
                <c:pt idx="1">
                  <c:v>3278</c:v>
                </c:pt>
                <c:pt idx="2">
                  <c:v>4447</c:v>
                </c:pt>
                <c:pt idx="3">
                  <c:v>3610</c:v>
                </c:pt>
                <c:pt idx="4">
                  <c:v>3436</c:v>
                </c:pt>
                <c:pt idx="5">
                  <c:v>3883</c:v>
                </c:pt>
                <c:pt idx="6">
                  <c:v>4201</c:v>
                </c:pt>
                <c:pt idx="7">
                  <c:v>4484</c:v>
                </c:pt>
                <c:pt idx="8">
                  <c:v>5317</c:v>
                </c:pt>
                <c:pt idx="9">
                  <c:v>4435</c:v>
                </c:pt>
                <c:pt idx="10">
                  <c:v>4817</c:v>
                </c:pt>
                <c:pt idx="11">
                  <c:v>4854</c:v>
                </c:pt>
                <c:pt idx="12">
                  <c:v>4090</c:v>
                </c:pt>
                <c:pt idx="13">
                  <c:v>3380</c:v>
                </c:pt>
                <c:pt idx="14">
                  <c:v>3806</c:v>
                </c:pt>
                <c:pt idx="15">
                  <c:v>3136</c:v>
                </c:pt>
                <c:pt idx="16">
                  <c:v>2684</c:v>
                </c:pt>
                <c:pt idx="17">
                  <c:v>3919</c:v>
                </c:pt>
                <c:pt idx="18">
                  <c:v>3054</c:v>
                </c:pt>
                <c:pt idx="19">
                  <c:v>3613</c:v>
                </c:pt>
                <c:pt idx="20">
                  <c:v>2090</c:v>
                </c:pt>
                <c:pt idx="21">
                  <c:v>2944</c:v>
                </c:pt>
                <c:pt idx="22">
                  <c:v>3562</c:v>
                </c:pt>
                <c:pt idx="23">
                  <c:v>2795</c:v>
                </c:pt>
                <c:pt idx="24">
                  <c:v>4356</c:v>
                </c:pt>
                <c:pt idx="25">
                  <c:v>4079</c:v>
                </c:pt>
                <c:pt idx="26">
                  <c:v>4091</c:v>
                </c:pt>
                <c:pt idx="27">
                  <c:v>3610</c:v>
                </c:pt>
                <c:pt idx="28">
                  <c:v>3537</c:v>
                </c:pt>
                <c:pt idx="29">
                  <c:v>4527</c:v>
                </c:pt>
                <c:pt idx="30">
                  <c:v>4206</c:v>
                </c:pt>
                <c:pt idx="31">
                  <c:v>4411</c:v>
                </c:pt>
                <c:pt idx="32">
                  <c:v>4190</c:v>
                </c:pt>
                <c:pt idx="33">
                  <c:v>6189</c:v>
                </c:pt>
                <c:pt idx="34">
                  <c:v>4547</c:v>
                </c:pt>
                <c:pt idx="35">
                  <c:v>5100</c:v>
                </c:pt>
                <c:pt idx="36">
                  <c:v>4616</c:v>
                </c:pt>
                <c:pt idx="37">
                  <c:v>5916</c:v>
                </c:pt>
                <c:pt idx="38">
                  <c:v>4538</c:v>
                </c:pt>
                <c:pt idx="39">
                  <c:v>-129</c:v>
                </c:pt>
                <c:pt idx="40">
                  <c:v>3636</c:v>
                </c:pt>
                <c:pt idx="41">
                  <c:v>4171</c:v>
                </c:pt>
                <c:pt idx="42">
                  <c:v>5068</c:v>
                </c:pt>
                <c:pt idx="43">
                  <c:v>5160</c:v>
                </c:pt>
                <c:pt idx="44">
                  <c:v>6390</c:v>
                </c:pt>
                <c:pt idx="45">
                  <c:v>5687</c:v>
                </c:pt>
                <c:pt idx="46">
                  <c:v>5896</c:v>
                </c:pt>
                <c:pt idx="47">
                  <c:v>5510</c:v>
                </c:pt>
                <c:pt idx="48">
                  <c:v>5638</c:v>
                </c:pt>
                <c:pt idx="49">
                  <c:v>4772</c:v>
                </c:pt>
                <c:pt idx="50">
                  <c:v>4115</c:v>
                </c:pt>
                <c:pt idx="51">
                  <c:v>4770</c:v>
                </c:pt>
                <c:pt idx="52">
                  <c:v>4140</c:v>
                </c:pt>
                <c:pt idx="53">
                  <c:v>4213</c:v>
                </c:pt>
                <c:pt idx="54">
                  <c:v>5154</c:v>
                </c:pt>
                <c:pt idx="55">
                  <c:v>3132</c:v>
                </c:pt>
                <c:pt idx="56">
                  <c:v>1977</c:v>
                </c:pt>
                <c:pt idx="57">
                  <c:v>1576</c:v>
                </c:pt>
                <c:pt idx="58">
                  <c:v>1508</c:v>
                </c:pt>
                <c:pt idx="59">
                  <c:v>-377</c:v>
                </c:pt>
                <c:pt idx="60">
                  <c:v>555</c:v>
                </c:pt>
                <c:pt idx="61">
                  <c:v>-1154</c:v>
                </c:pt>
                <c:pt idx="62">
                  <c:v>-1269</c:v>
                </c:pt>
                <c:pt idx="63">
                  <c:v>-2690</c:v>
                </c:pt>
                <c:pt idx="64">
                  <c:v>-1104</c:v>
                </c:pt>
                <c:pt idx="65">
                  <c:v>-3955</c:v>
                </c:pt>
                <c:pt idx="66">
                  <c:v>-3829</c:v>
                </c:pt>
                <c:pt idx="67">
                  <c:v>-6110</c:v>
                </c:pt>
                <c:pt idx="68">
                  <c:v>-4781</c:v>
                </c:pt>
              </c:numCache>
            </c:numRef>
          </c:val>
          <c:extLst>
            <c:ext xmlns:c16="http://schemas.microsoft.com/office/drawing/2014/chart" uri="{C3380CC4-5D6E-409C-BE32-E72D297353CC}">
              <c16:uniqueId val="{00000000-FE80-4F75-8B1D-86180628E436}"/>
            </c:ext>
          </c:extLst>
        </c:ser>
        <c:dLbls>
          <c:showLegendKey val="0"/>
          <c:showVal val="0"/>
          <c:showCatName val="0"/>
          <c:showSerName val="0"/>
          <c:showPercent val="0"/>
          <c:showBubbleSize val="0"/>
        </c:dLbls>
        <c:gapWidth val="0"/>
        <c:axId val="1079764032"/>
        <c:axId val="1079830320"/>
      </c:barChart>
      <c:lineChart>
        <c:grouping val="standard"/>
        <c:varyColors val="0"/>
        <c:ser>
          <c:idx val="2"/>
          <c:order val="0"/>
          <c:tx>
            <c:strRef>
              <c:f>'[coe_extraue_92022.xlsx]Figura 1'!$C$4</c:f>
              <c:strCache>
                <c:ptCount val="1"/>
                <c:pt idx="0">
                  <c:v>Export - mensile</c:v>
                </c:pt>
              </c:strCache>
            </c:strRef>
          </c:tx>
          <c:spPr>
            <a:ln w="12700" cap="flat" cmpd="sng" algn="ctr">
              <a:solidFill>
                <a:srgbClr val="003B5C"/>
              </a:solidFill>
              <a:prstDash val="sysDash"/>
              <a:round/>
              <a:headEnd type="none" w="med" len="med"/>
              <a:tailEnd type="none" w="med" len="med"/>
            </a:ln>
            <a:effectLst/>
          </c:spPr>
          <c:marker>
            <c:symbol val="none"/>
          </c:marker>
          <c:cat>
            <c:numRef>
              <c:f>'[coe_extraue_92022.xlsx]Figura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'[coe_extraue_92022.xlsx]Figura 1'!$C$65:$C$136</c:f>
              <c:numCache>
                <c:formatCode>0</c:formatCode>
                <c:ptCount val="72"/>
                <c:pt idx="0">
                  <c:v>18533</c:v>
                </c:pt>
                <c:pt idx="1">
                  <c:v>17910</c:v>
                </c:pt>
                <c:pt idx="2">
                  <c:v>19008</c:v>
                </c:pt>
                <c:pt idx="3">
                  <c:v>17966</c:v>
                </c:pt>
                <c:pt idx="4">
                  <c:v>18478</c:v>
                </c:pt>
                <c:pt idx="5">
                  <c:v>18219</c:v>
                </c:pt>
                <c:pt idx="6">
                  <c:v>18178</c:v>
                </c:pt>
                <c:pt idx="7">
                  <c:v>18699</c:v>
                </c:pt>
                <c:pt idx="8">
                  <c:v>18819</c:v>
                </c:pt>
                <c:pt idx="9">
                  <c:v>18353</c:v>
                </c:pt>
                <c:pt idx="10">
                  <c:v>19493</c:v>
                </c:pt>
                <c:pt idx="11">
                  <c:v>19755</c:v>
                </c:pt>
                <c:pt idx="12">
                  <c:v>18328</c:v>
                </c:pt>
                <c:pt idx="13">
                  <c:v>17995</c:v>
                </c:pt>
                <c:pt idx="14">
                  <c:v>18720</c:v>
                </c:pt>
                <c:pt idx="15">
                  <c:v>18594</c:v>
                </c:pt>
                <c:pt idx="16">
                  <c:v>18142</c:v>
                </c:pt>
                <c:pt idx="17">
                  <c:v>19527</c:v>
                </c:pt>
                <c:pt idx="18">
                  <c:v>18978</c:v>
                </c:pt>
                <c:pt idx="19">
                  <c:v>19347</c:v>
                </c:pt>
                <c:pt idx="20">
                  <c:v>18424</c:v>
                </c:pt>
                <c:pt idx="21">
                  <c:v>19446</c:v>
                </c:pt>
                <c:pt idx="22">
                  <c:v>19777</c:v>
                </c:pt>
                <c:pt idx="23">
                  <c:v>18760</c:v>
                </c:pt>
                <c:pt idx="24">
                  <c:v>19614</c:v>
                </c:pt>
                <c:pt idx="25">
                  <c:v>19267</c:v>
                </c:pt>
                <c:pt idx="26">
                  <c:v>19561</c:v>
                </c:pt>
                <c:pt idx="27">
                  <c:v>19065</c:v>
                </c:pt>
                <c:pt idx="28">
                  <c:v>19431</c:v>
                </c:pt>
                <c:pt idx="29">
                  <c:v>20086</c:v>
                </c:pt>
                <c:pt idx="30">
                  <c:v>19627</c:v>
                </c:pt>
                <c:pt idx="31">
                  <c:v>19519</c:v>
                </c:pt>
                <c:pt idx="32">
                  <c:v>19889</c:v>
                </c:pt>
                <c:pt idx="33">
                  <c:v>20960</c:v>
                </c:pt>
                <c:pt idx="34">
                  <c:v>19035</c:v>
                </c:pt>
                <c:pt idx="35">
                  <c:v>19627</c:v>
                </c:pt>
                <c:pt idx="36">
                  <c:v>20243</c:v>
                </c:pt>
                <c:pt idx="37">
                  <c:v>20159</c:v>
                </c:pt>
                <c:pt idx="38">
                  <c:v>16450</c:v>
                </c:pt>
                <c:pt idx="39">
                  <c:v>10189</c:v>
                </c:pt>
                <c:pt idx="40">
                  <c:v>14206</c:v>
                </c:pt>
                <c:pt idx="41">
                  <c:v>16577</c:v>
                </c:pt>
                <c:pt idx="42">
                  <c:v>18058</c:v>
                </c:pt>
                <c:pt idx="43">
                  <c:v>18095</c:v>
                </c:pt>
                <c:pt idx="44">
                  <c:v>19382</c:v>
                </c:pt>
                <c:pt idx="45">
                  <c:v>19122</c:v>
                </c:pt>
                <c:pt idx="46">
                  <c:v>19820</c:v>
                </c:pt>
                <c:pt idx="47">
                  <c:v>19070</c:v>
                </c:pt>
                <c:pt idx="48">
                  <c:v>19149</c:v>
                </c:pt>
                <c:pt idx="49">
                  <c:v>18903</c:v>
                </c:pt>
                <c:pt idx="50">
                  <c:v>19361</c:v>
                </c:pt>
                <c:pt idx="51">
                  <c:v>20850</c:v>
                </c:pt>
                <c:pt idx="52">
                  <c:v>19956</c:v>
                </c:pt>
                <c:pt idx="53">
                  <c:v>20168</c:v>
                </c:pt>
                <c:pt idx="54">
                  <c:v>21803</c:v>
                </c:pt>
                <c:pt idx="55">
                  <c:v>20771</c:v>
                </c:pt>
                <c:pt idx="56">
                  <c:v>20335</c:v>
                </c:pt>
                <c:pt idx="57">
                  <c:v>20897</c:v>
                </c:pt>
                <c:pt idx="58">
                  <c:v>21589</c:v>
                </c:pt>
                <c:pt idx="59">
                  <c:v>21191</c:v>
                </c:pt>
                <c:pt idx="60">
                  <c:v>22434</c:v>
                </c:pt>
                <c:pt idx="61">
                  <c:v>22896</c:v>
                </c:pt>
                <c:pt idx="62">
                  <c:v>23379</c:v>
                </c:pt>
                <c:pt idx="63">
                  <c:v>23881</c:v>
                </c:pt>
                <c:pt idx="64">
                  <c:v>24999</c:v>
                </c:pt>
                <c:pt idx="65">
                  <c:v>24666</c:v>
                </c:pt>
                <c:pt idx="66">
                  <c:v>26072</c:v>
                </c:pt>
                <c:pt idx="67">
                  <c:v>24290</c:v>
                </c:pt>
                <c:pt idx="68">
                  <c:v>25721</c:v>
                </c:pt>
              </c:numCache>
            </c:numRef>
          </c:val>
          <c:smooth val="0"/>
          <c:extLst>
            <c:ext xmlns:c16="http://schemas.microsoft.com/office/drawing/2014/chart" uri="{C3380CC4-5D6E-409C-BE32-E72D297353CC}">
              <c16:uniqueId val="{00000001-FE80-4F75-8B1D-86180628E436}"/>
            </c:ext>
          </c:extLst>
        </c:ser>
        <c:ser>
          <c:idx val="4"/>
          <c:order val="1"/>
          <c:tx>
            <c:strRef>
              <c:f>'[coe_extraue_92022.xlsx]Figura 1'!$D$4</c:f>
              <c:strCache>
                <c:ptCount val="1"/>
                <c:pt idx="0">
                  <c:v>Export - media 3m</c:v>
                </c:pt>
              </c:strCache>
            </c:strRef>
          </c:tx>
          <c:spPr>
            <a:ln w="28575" cap="rnd">
              <a:solidFill>
                <a:srgbClr val="003B5C"/>
              </a:solidFill>
              <a:round/>
            </a:ln>
            <a:effectLst/>
          </c:spPr>
          <c:marker>
            <c:symbol val="none"/>
          </c:marker>
          <c:cat>
            <c:numRef>
              <c:f>'[coe_extraue_92022.xlsx]Figura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'[coe_extraue_92022.xlsx]Figura 1'!$D$65:$D$136</c:f>
              <c:numCache>
                <c:formatCode>0</c:formatCode>
                <c:ptCount val="72"/>
                <c:pt idx="0">
                  <c:v>18234</c:v>
                </c:pt>
                <c:pt idx="1">
                  <c:v>18483.666666666661</c:v>
                </c:pt>
                <c:pt idx="2">
                  <c:v>18294.666666666661</c:v>
                </c:pt>
                <c:pt idx="3">
                  <c:v>18484</c:v>
                </c:pt>
                <c:pt idx="4">
                  <c:v>18221</c:v>
                </c:pt>
                <c:pt idx="5">
                  <c:v>18291.666666666661</c:v>
                </c:pt>
                <c:pt idx="6">
                  <c:v>18365.333333333321</c:v>
                </c:pt>
                <c:pt idx="7">
                  <c:v>18565.333333333321</c:v>
                </c:pt>
                <c:pt idx="8">
                  <c:v>18623.666666666661</c:v>
                </c:pt>
                <c:pt idx="9">
                  <c:v>18888.333333333321</c:v>
                </c:pt>
                <c:pt idx="10">
                  <c:v>19200.333333333321</c:v>
                </c:pt>
                <c:pt idx="11">
                  <c:v>19192</c:v>
                </c:pt>
                <c:pt idx="12">
                  <c:v>18692.666666666661</c:v>
                </c:pt>
                <c:pt idx="13">
                  <c:v>18347.666666666661</c:v>
                </c:pt>
                <c:pt idx="14">
                  <c:v>18436.333333333321</c:v>
                </c:pt>
                <c:pt idx="15">
                  <c:v>18485.333333333321</c:v>
                </c:pt>
                <c:pt idx="16">
                  <c:v>18754.333333333321</c:v>
                </c:pt>
                <c:pt idx="17">
                  <c:v>18882.333333333321</c:v>
                </c:pt>
                <c:pt idx="18">
                  <c:v>19284</c:v>
                </c:pt>
                <c:pt idx="19">
                  <c:v>18916.333333333321</c:v>
                </c:pt>
                <c:pt idx="20">
                  <c:v>19072.333333333321</c:v>
                </c:pt>
                <c:pt idx="21">
                  <c:v>19215.666666666661</c:v>
                </c:pt>
                <c:pt idx="22">
                  <c:v>19327.666666666661</c:v>
                </c:pt>
                <c:pt idx="23">
                  <c:v>19383.666666666661</c:v>
                </c:pt>
                <c:pt idx="24">
                  <c:v>19213.666666666661</c:v>
                </c:pt>
                <c:pt idx="25">
                  <c:v>19480.666666666661</c:v>
                </c:pt>
                <c:pt idx="26">
                  <c:v>19297.666666666661</c:v>
                </c:pt>
                <c:pt idx="27">
                  <c:v>19352.333333333321</c:v>
                </c:pt>
                <c:pt idx="28">
                  <c:v>19527.333333333321</c:v>
                </c:pt>
                <c:pt idx="29">
                  <c:v>19714.666666666661</c:v>
                </c:pt>
                <c:pt idx="30">
                  <c:v>19744</c:v>
                </c:pt>
                <c:pt idx="31">
                  <c:v>19678.333333333321</c:v>
                </c:pt>
                <c:pt idx="32">
                  <c:v>20122.666666666661</c:v>
                </c:pt>
                <c:pt idx="33">
                  <c:v>19961.333333333321</c:v>
                </c:pt>
                <c:pt idx="34">
                  <c:v>19874</c:v>
                </c:pt>
                <c:pt idx="35">
                  <c:v>19635</c:v>
                </c:pt>
                <c:pt idx="36">
                  <c:v>20009.666666666661</c:v>
                </c:pt>
                <c:pt idx="37">
                  <c:v>18950.666666666661</c:v>
                </c:pt>
                <c:pt idx="38">
                  <c:v>15599.33333333333</c:v>
                </c:pt>
                <c:pt idx="39">
                  <c:v>13615</c:v>
                </c:pt>
                <c:pt idx="40">
                  <c:v>13657.33333333333</c:v>
                </c:pt>
                <c:pt idx="41">
                  <c:v>16280.33333333333</c:v>
                </c:pt>
                <c:pt idx="42">
                  <c:v>17576.666666666661</c:v>
                </c:pt>
                <c:pt idx="43">
                  <c:v>18511.666666666661</c:v>
                </c:pt>
                <c:pt idx="44">
                  <c:v>18866.333333333321</c:v>
                </c:pt>
                <c:pt idx="45">
                  <c:v>19441.333333333321</c:v>
                </c:pt>
                <c:pt idx="46">
                  <c:v>19337.333333333321</c:v>
                </c:pt>
                <c:pt idx="47">
                  <c:v>19346.333333333321</c:v>
                </c:pt>
                <c:pt idx="48">
                  <c:v>19040.666666666661</c:v>
                </c:pt>
                <c:pt idx="49">
                  <c:v>19137.666666666661</c:v>
                </c:pt>
                <c:pt idx="50">
                  <c:v>19704.666666666661</c:v>
                </c:pt>
                <c:pt idx="51">
                  <c:v>20055.666666666661</c:v>
                </c:pt>
                <c:pt idx="52">
                  <c:v>20324.666666666661</c:v>
                </c:pt>
                <c:pt idx="53">
                  <c:v>20642.333333333321</c:v>
                </c:pt>
                <c:pt idx="54">
                  <c:v>20914</c:v>
                </c:pt>
                <c:pt idx="55">
                  <c:v>20969.666666666661</c:v>
                </c:pt>
                <c:pt idx="56">
                  <c:v>20667.666666666661</c:v>
                </c:pt>
                <c:pt idx="57">
                  <c:v>20940.333333333321</c:v>
                </c:pt>
                <c:pt idx="58">
                  <c:v>21225.666666666661</c:v>
                </c:pt>
                <c:pt idx="59">
                  <c:v>21738</c:v>
                </c:pt>
                <c:pt idx="60">
                  <c:v>22173.666666666661</c:v>
                </c:pt>
                <c:pt idx="61">
                  <c:v>22903</c:v>
                </c:pt>
                <c:pt idx="62">
                  <c:v>23385.333333333321</c:v>
                </c:pt>
                <c:pt idx="63">
                  <c:v>24086.333333333321</c:v>
                </c:pt>
                <c:pt idx="64">
                  <c:v>24515.333333333321</c:v>
                </c:pt>
                <c:pt idx="65">
                  <c:v>25245.666666666661</c:v>
                </c:pt>
                <c:pt idx="66">
                  <c:v>25009.333333333321</c:v>
                </c:pt>
                <c:pt idx="67">
                  <c:v>25361</c:v>
                </c:pt>
              </c:numCache>
            </c:numRef>
          </c:val>
          <c:smooth val="0"/>
          <c:extLst>
            <c:ext xmlns:c16="http://schemas.microsoft.com/office/drawing/2014/chart" uri="{C3380CC4-5D6E-409C-BE32-E72D297353CC}">
              <c16:uniqueId val="{00000002-FE80-4F75-8B1D-86180628E436}"/>
            </c:ext>
          </c:extLst>
        </c:ser>
        <c:ser>
          <c:idx val="1"/>
          <c:order val="2"/>
          <c:tx>
            <c:strRef>
              <c:f>'[coe_extraue_92022.xlsx]Figura 1'!$E$4</c:f>
              <c:strCache>
                <c:ptCount val="1"/>
                <c:pt idx="0">
                  <c:v>Import - mensile</c:v>
                </c:pt>
              </c:strCache>
            </c:strRef>
          </c:tx>
          <c:spPr>
            <a:ln w="12700" cap="flat" cmpd="sng" algn="ctr">
              <a:solidFill>
                <a:srgbClr val="D22630"/>
              </a:solidFill>
              <a:prstDash val="sysDash"/>
              <a:round/>
              <a:headEnd type="none" w="med" len="med"/>
              <a:tailEnd type="none" w="med" len="med"/>
            </a:ln>
            <a:effectLst/>
          </c:spPr>
          <c:marker>
            <c:symbol val="none"/>
          </c:marker>
          <c:cat>
            <c:numRef>
              <c:f>'[coe_extraue_92022.xlsx]Figura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'[coe_extraue_92022.xlsx]Figura 1'!$E$65:$E$136</c:f>
              <c:numCache>
                <c:formatCode>0</c:formatCode>
                <c:ptCount val="72"/>
                <c:pt idx="0">
                  <c:v>14620</c:v>
                </c:pt>
                <c:pt idx="1">
                  <c:v>14632</c:v>
                </c:pt>
                <c:pt idx="2">
                  <c:v>14561</c:v>
                </c:pt>
                <c:pt idx="3">
                  <c:v>14356</c:v>
                </c:pt>
                <c:pt idx="4">
                  <c:v>15042</c:v>
                </c:pt>
                <c:pt idx="5">
                  <c:v>14336</c:v>
                </c:pt>
                <c:pt idx="6">
                  <c:v>13977</c:v>
                </c:pt>
                <c:pt idx="7">
                  <c:v>14215</c:v>
                </c:pt>
                <c:pt idx="8">
                  <c:v>13502</c:v>
                </c:pt>
                <c:pt idx="9">
                  <c:v>13918</c:v>
                </c:pt>
                <c:pt idx="10">
                  <c:v>14676</c:v>
                </c:pt>
                <c:pt idx="11">
                  <c:v>14901</c:v>
                </c:pt>
                <c:pt idx="12">
                  <c:v>14238</c:v>
                </c:pt>
                <c:pt idx="13">
                  <c:v>14615</c:v>
                </c:pt>
                <c:pt idx="14">
                  <c:v>14914</c:v>
                </c:pt>
                <c:pt idx="15">
                  <c:v>15458</c:v>
                </c:pt>
                <c:pt idx="16">
                  <c:v>15458</c:v>
                </c:pt>
                <c:pt idx="17">
                  <c:v>15608</c:v>
                </c:pt>
                <c:pt idx="18">
                  <c:v>15924</c:v>
                </c:pt>
                <c:pt idx="19">
                  <c:v>15734</c:v>
                </c:pt>
                <c:pt idx="20">
                  <c:v>16334</c:v>
                </c:pt>
                <c:pt idx="21">
                  <c:v>16502</c:v>
                </c:pt>
                <c:pt idx="22">
                  <c:v>16215</c:v>
                </c:pt>
                <c:pt idx="23">
                  <c:v>15965</c:v>
                </c:pt>
                <c:pt idx="24">
                  <c:v>15258</c:v>
                </c:pt>
                <c:pt idx="25">
                  <c:v>15188</c:v>
                </c:pt>
                <c:pt idx="26">
                  <c:v>15470</c:v>
                </c:pt>
                <c:pt idx="27">
                  <c:v>15455</c:v>
                </c:pt>
                <c:pt idx="28">
                  <c:v>15894</c:v>
                </c:pt>
                <c:pt idx="29">
                  <c:v>15559</c:v>
                </c:pt>
                <c:pt idx="30">
                  <c:v>15421</c:v>
                </c:pt>
                <c:pt idx="31">
                  <c:v>15108</c:v>
                </c:pt>
                <c:pt idx="32">
                  <c:v>15699</c:v>
                </c:pt>
                <c:pt idx="33">
                  <c:v>14771</c:v>
                </c:pt>
                <c:pt idx="34">
                  <c:v>14488</c:v>
                </c:pt>
                <c:pt idx="35">
                  <c:v>14527</c:v>
                </c:pt>
                <c:pt idx="36">
                  <c:v>15627</c:v>
                </c:pt>
                <c:pt idx="37">
                  <c:v>14243</c:v>
                </c:pt>
                <c:pt idx="38">
                  <c:v>11912</c:v>
                </c:pt>
                <c:pt idx="39">
                  <c:v>10318</c:v>
                </c:pt>
                <c:pt idx="40">
                  <c:v>10570</c:v>
                </c:pt>
                <c:pt idx="41">
                  <c:v>12406</c:v>
                </c:pt>
                <c:pt idx="42">
                  <c:v>12990</c:v>
                </c:pt>
                <c:pt idx="43">
                  <c:v>12935</c:v>
                </c:pt>
                <c:pt idx="44">
                  <c:v>12992</c:v>
                </c:pt>
                <c:pt idx="45">
                  <c:v>13435</c:v>
                </c:pt>
                <c:pt idx="46">
                  <c:v>13924</c:v>
                </c:pt>
                <c:pt idx="47">
                  <c:v>13560</c:v>
                </c:pt>
                <c:pt idx="48">
                  <c:v>13511</c:v>
                </c:pt>
                <c:pt idx="49">
                  <c:v>14131</c:v>
                </c:pt>
                <c:pt idx="50">
                  <c:v>15246</c:v>
                </c:pt>
                <c:pt idx="51">
                  <c:v>16080</c:v>
                </c:pt>
                <c:pt idx="52">
                  <c:v>15816</c:v>
                </c:pt>
                <c:pt idx="53">
                  <c:v>15955</c:v>
                </c:pt>
                <c:pt idx="54">
                  <c:v>16649</c:v>
                </c:pt>
                <c:pt idx="55">
                  <c:v>17639</c:v>
                </c:pt>
                <c:pt idx="56">
                  <c:v>18358</c:v>
                </c:pt>
                <c:pt idx="57">
                  <c:v>19321</c:v>
                </c:pt>
                <c:pt idx="58">
                  <c:v>20081</c:v>
                </c:pt>
                <c:pt idx="59">
                  <c:v>21568</c:v>
                </c:pt>
                <c:pt idx="60">
                  <c:v>21879</c:v>
                </c:pt>
                <c:pt idx="61">
                  <c:v>24050</c:v>
                </c:pt>
                <c:pt idx="62">
                  <c:v>24648</c:v>
                </c:pt>
                <c:pt idx="63">
                  <c:v>26571</c:v>
                </c:pt>
                <c:pt idx="64">
                  <c:v>26103</c:v>
                </c:pt>
                <c:pt idx="65">
                  <c:v>28621</c:v>
                </c:pt>
                <c:pt idx="66">
                  <c:v>29901</c:v>
                </c:pt>
                <c:pt idx="67">
                  <c:v>30400</c:v>
                </c:pt>
                <c:pt idx="68">
                  <c:v>30502</c:v>
                </c:pt>
              </c:numCache>
            </c:numRef>
          </c:val>
          <c:smooth val="0"/>
          <c:extLst>
            <c:ext xmlns:c16="http://schemas.microsoft.com/office/drawing/2014/chart" uri="{C3380CC4-5D6E-409C-BE32-E72D297353CC}">
              <c16:uniqueId val="{00000003-FE80-4F75-8B1D-86180628E436}"/>
            </c:ext>
          </c:extLst>
        </c:ser>
        <c:ser>
          <c:idx val="3"/>
          <c:order val="3"/>
          <c:tx>
            <c:strRef>
              <c:f>'[coe_extraue_92022.xlsx]Figura 1'!$F$4</c:f>
              <c:strCache>
                <c:ptCount val="1"/>
                <c:pt idx="0">
                  <c:v>Import - media 3m</c:v>
                </c:pt>
              </c:strCache>
            </c:strRef>
          </c:tx>
          <c:spPr>
            <a:ln w="28575" cap="rnd">
              <a:solidFill>
                <a:srgbClr val="D22630"/>
              </a:solidFill>
              <a:round/>
            </a:ln>
            <a:effectLst/>
          </c:spPr>
          <c:marker>
            <c:symbol val="none"/>
          </c:marker>
          <c:cat>
            <c:numRef>
              <c:f>'[coe_extraue_92022.xlsx]Figura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'[coe_extraue_92022.xlsx]Figura 1'!$F$65:$F$136</c:f>
              <c:numCache>
                <c:formatCode>0</c:formatCode>
                <c:ptCount val="72"/>
                <c:pt idx="0">
                  <c:v>14456.666666666661</c:v>
                </c:pt>
                <c:pt idx="1">
                  <c:v>14604.33333333333</c:v>
                </c:pt>
                <c:pt idx="2">
                  <c:v>14516.33333333333</c:v>
                </c:pt>
                <c:pt idx="3">
                  <c:v>14653</c:v>
                </c:pt>
                <c:pt idx="4">
                  <c:v>14578</c:v>
                </c:pt>
                <c:pt idx="5">
                  <c:v>14451.666666666661</c:v>
                </c:pt>
                <c:pt idx="6">
                  <c:v>14176</c:v>
                </c:pt>
                <c:pt idx="7">
                  <c:v>13898</c:v>
                </c:pt>
                <c:pt idx="8">
                  <c:v>13878.33333333333</c:v>
                </c:pt>
                <c:pt idx="9">
                  <c:v>14032</c:v>
                </c:pt>
                <c:pt idx="10">
                  <c:v>14498.33333333333</c:v>
                </c:pt>
                <c:pt idx="11">
                  <c:v>14605</c:v>
                </c:pt>
                <c:pt idx="12">
                  <c:v>14584.666666666661</c:v>
                </c:pt>
                <c:pt idx="13">
                  <c:v>14589</c:v>
                </c:pt>
                <c:pt idx="14">
                  <c:v>14995.666666666661</c:v>
                </c:pt>
                <c:pt idx="15">
                  <c:v>15276.666666666661</c:v>
                </c:pt>
                <c:pt idx="16">
                  <c:v>15508</c:v>
                </c:pt>
                <c:pt idx="17">
                  <c:v>15663.33333333333</c:v>
                </c:pt>
                <c:pt idx="18">
                  <c:v>15755.33333333333</c:v>
                </c:pt>
                <c:pt idx="19">
                  <c:v>15997.33333333333</c:v>
                </c:pt>
                <c:pt idx="20">
                  <c:v>16190</c:v>
                </c:pt>
                <c:pt idx="21">
                  <c:v>16350.33333333333</c:v>
                </c:pt>
                <c:pt idx="22">
                  <c:v>16227.33333333333</c:v>
                </c:pt>
                <c:pt idx="23">
                  <c:v>15812.666666666661</c:v>
                </c:pt>
                <c:pt idx="24">
                  <c:v>15470.33333333333</c:v>
                </c:pt>
                <c:pt idx="25">
                  <c:v>15305.33333333333</c:v>
                </c:pt>
                <c:pt idx="26">
                  <c:v>15371</c:v>
                </c:pt>
                <c:pt idx="27">
                  <c:v>15606.33333333333</c:v>
                </c:pt>
                <c:pt idx="28">
                  <c:v>15636</c:v>
                </c:pt>
                <c:pt idx="29">
                  <c:v>15624.666666666661</c:v>
                </c:pt>
                <c:pt idx="30">
                  <c:v>15362.666666666661</c:v>
                </c:pt>
                <c:pt idx="31">
                  <c:v>15409.33333333333</c:v>
                </c:pt>
                <c:pt idx="32">
                  <c:v>15192.666666666661</c:v>
                </c:pt>
                <c:pt idx="33">
                  <c:v>14986</c:v>
                </c:pt>
                <c:pt idx="34">
                  <c:v>14595.33333333333</c:v>
                </c:pt>
                <c:pt idx="35">
                  <c:v>14880.666666666661</c:v>
                </c:pt>
                <c:pt idx="36">
                  <c:v>14799</c:v>
                </c:pt>
                <c:pt idx="37">
                  <c:v>13927.33333333333</c:v>
                </c:pt>
                <c:pt idx="38">
                  <c:v>12157.666666666661</c:v>
                </c:pt>
                <c:pt idx="39">
                  <c:v>10933.33333333333</c:v>
                </c:pt>
                <c:pt idx="40">
                  <c:v>11098</c:v>
                </c:pt>
                <c:pt idx="41">
                  <c:v>11988.666666666661</c:v>
                </c:pt>
                <c:pt idx="42">
                  <c:v>12777</c:v>
                </c:pt>
                <c:pt idx="43">
                  <c:v>12972.33333333333</c:v>
                </c:pt>
                <c:pt idx="44">
                  <c:v>13120.666666666661</c:v>
                </c:pt>
                <c:pt idx="45">
                  <c:v>13450.33333333333</c:v>
                </c:pt>
                <c:pt idx="46">
                  <c:v>13639.666666666661</c:v>
                </c:pt>
                <c:pt idx="47">
                  <c:v>13665</c:v>
                </c:pt>
                <c:pt idx="48">
                  <c:v>13734</c:v>
                </c:pt>
                <c:pt idx="49">
                  <c:v>14296</c:v>
                </c:pt>
                <c:pt idx="50">
                  <c:v>15152.33333333333</c:v>
                </c:pt>
                <c:pt idx="51">
                  <c:v>15714</c:v>
                </c:pt>
                <c:pt idx="52">
                  <c:v>15950.33333333333</c:v>
                </c:pt>
                <c:pt idx="53">
                  <c:v>16140</c:v>
                </c:pt>
                <c:pt idx="54">
                  <c:v>16747.666666666661</c:v>
                </c:pt>
                <c:pt idx="55">
                  <c:v>17548.666666666661</c:v>
                </c:pt>
                <c:pt idx="56">
                  <c:v>18439.333333333321</c:v>
                </c:pt>
                <c:pt idx="57">
                  <c:v>19253.333333333321</c:v>
                </c:pt>
                <c:pt idx="58">
                  <c:v>20323.333333333321</c:v>
                </c:pt>
                <c:pt idx="59">
                  <c:v>21176</c:v>
                </c:pt>
                <c:pt idx="60">
                  <c:v>22499</c:v>
                </c:pt>
                <c:pt idx="61">
                  <c:v>23525.666666666661</c:v>
                </c:pt>
                <c:pt idx="62">
                  <c:v>25089.666666666661</c:v>
                </c:pt>
                <c:pt idx="63">
                  <c:v>25774</c:v>
                </c:pt>
                <c:pt idx="64">
                  <c:v>27098.333333333321</c:v>
                </c:pt>
                <c:pt idx="65">
                  <c:v>28208.333333333321</c:v>
                </c:pt>
                <c:pt idx="66">
                  <c:v>29640.666666666661</c:v>
                </c:pt>
                <c:pt idx="67">
                  <c:v>30267.666666666661</c:v>
                </c:pt>
              </c:numCache>
            </c:numRef>
          </c:val>
          <c:smooth val="0"/>
          <c:extLst>
            <c:ext xmlns:c16="http://schemas.microsoft.com/office/drawing/2014/chart" uri="{C3380CC4-5D6E-409C-BE32-E72D297353CC}">
              <c16:uniqueId val="{00000004-FE80-4F75-8B1D-86180628E436}"/>
            </c:ext>
          </c:extLst>
        </c:ser>
        <c:dLbls>
          <c:showLegendKey val="0"/>
          <c:showVal val="0"/>
          <c:showCatName val="0"/>
          <c:showSerName val="0"/>
          <c:showPercent val="0"/>
          <c:showBubbleSize val="0"/>
        </c:dLbls>
        <c:marker val="1"/>
        <c:smooth val="0"/>
        <c:axId val="1056358832"/>
        <c:axId val="1079982576"/>
      </c:lineChart>
      <c:catAx>
        <c:axId val="1056358832"/>
        <c:scaling>
          <c:orientation val="minMax"/>
        </c:scaling>
        <c:delete val="0"/>
        <c:axPos val="b"/>
        <c:majorGridlines>
          <c:spPr>
            <a:ln w="6350" cap="flat" cmpd="sng" algn="ctr">
              <a:solidFill>
                <a:srgbClr val="FFFFFF"/>
              </a:solidFill>
              <a:prstDash val="solid"/>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bg1"/>
            </a:solidFill>
            <a:round/>
          </a:ln>
          <a:effectLst/>
        </c:spPr>
        <c:txPr>
          <a:bodyPr rot="-60000000" spcFirstLastPara="1" vertOverflow="ellipsis" vert="horz" wrap="square" anchor="ctr" anchorCtr="1"/>
          <a:lstStyle/>
          <a:p>
            <a:pPr>
              <a:defRPr sz="1000" b="1" i="0" u="none" strike="noStrike" kern="1200" baseline="0">
                <a:solidFill>
                  <a:srgbClr val="000000"/>
                </a:solidFill>
                <a:latin typeface="Arial Narrow"/>
                <a:ea typeface="Arial Narrow"/>
                <a:cs typeface="Arial Narrow"/>
              </a:defRPr>
            </a:pPr>
            <a:endParaRPr lang="it-IT"/>
          </a:p>
        </c:txPr>
        <c:crossAx val="1079982576"/>
        <c:crosses val="autoZero"/>
        <c:auto val="1"/>
        <c:lblAlgn val="ctr"/>
        <c:lblOffset val="0"/>
        <c:tickMarkSkip val="3"/>
        <c:noMultiLvlLbl val="0"/>
      </c:catAx>
      <c:valAx>
        <c:axId val="1079982576"/>
        <c:scaling>
          <c:orientation val="minMax"/>
          <c:min val="10000"/>
        </c:scaling>
        <c:delete val="0"/>
        <c:axPos val="l"/>
        <c:majorGridlines>
          <c:spPr>
            <a:ln w="9525" cap="flat" cmpd="sng" algn="ctr">
              <a:solidFill>
                <a:srgbClr val="FFFFFF">
                  <a:lumMod val="100000"/>
                </a:srgbClr>
              </a:solidFill>
              <a:round/>
            </a:ln>
            <a:effectLst/>
          </c:spPr>
        </c:majorGridlines>
        <c:numFmt formatCode="0" sourceLinked="1"/>
        <c:majorTickMark val="none"/>
        <c:minorTickMark val="none"/>
        <c:tickLblPos val="nextTo"/>
        <c:spPr>
          <a:noFill/>
          <a:ln>
            <a:noFill/>
          </a:ln>
          <a:effectLst/>
          <a:extLst>
            <a:ext uri="{91240B29-F687-4F45-9708-019B960494DF}">
              <a14:hiddenLine xmlns:a14="http://schemas.microsoft.com/office/drawing/2010/main">
                <a:noFill/>
              </a14:hiddenLine>
            </a:ext>
          </a:extLst>
        </c:spPr>
        <c:txPr>
          <a:bodyPr rot="-60000000" spcFirstLastPara="1" vertOverflow="ellipsis" vert="horz" wrap="square" anchor="ctr" anchorCtr="1"/>
          <a:lstStyle/>
          <a:p>
            <a:pPr>
              <a:defRPr sz="900" b="0" i="0" u="none" strike="noStrike" kern="1200" baseline="0">
                <a:solidFill>
                  <a:srgbClr val="000000"/>
                </a:solidFill>
                <a:latin typeface="Arial Narrow"/>
                <a:ea typeface="Arial Narrow"/>
                <a:cs typeface="Arial Narrow"/>
              </a:defRPr>
            </a:pPr>
            <a:endParaRPr lang="it-IT"/>
          </a:p>
        </c:txPr>
        <c:crossAx val="1056358832"/>
        <c:crosses val="autoZero"/>
        <c:crossBetween val="between"/>
        <c:dispUnits>
          <c:builtInUnit val="thousands"/>
        </c:dispUnits>
      </c:valAx>
      <c:valAx>
        <c:axId val="1079830320"/>
        <c:scaling>
          <c:orientation val="minMax"/>
          <c:max val="7000"/>
          <c:min val="-700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a:ea typeface="Arial Narrow"/>
                <a:cs typeface="Arial Narrow"/>
              </a:defRPr>
            </a:pPr>
            <a:endParaRPr lang="it-IT"/>
          </a:p>
        </c:txPr>
        <c:crossAx val="1079764032"/>
        <c:crosses val="max"/>
        <c:crossBetween val="between"/>
        <c:majorUnit val="1000"/>
        <c:dispUnits>
          <c:builtInUnit val="thousands"/>
        </c:dispUnits>
      </c:valAx>
      <c:catAx>
        <c:axId val="1079764032"/>
        <c:scaling>
          <c:orientation val="minMax"/>
        </c:scaling>
        <c:delete val="1"/>
        <c:axPos val="b"/>
        <c:majorGridlines>
          <c:spPr>
            <a:ln w="15875" cap="flat" cmpd="sng" algn="ctr">
              <a:solidFill>
                <a:schemeClr val="bg1"/>
              </a:solidFill>
              <a:round/>
            </a:ln>
            <a:effectLst/>
          </c:spPr>
        </c:majorGridlines>
        <c:majorTickMark val="out"/>
        <c:minorTickMark val="none"/>
        <c:tickLblPos val="nextTo"/>
        <c:crossAx val="1079830320"/>
        <c:crossesAt val="0"/>
        <c:auto val="1"/>
        <c:lblAlgn val="ctr"/>
        <c:lblOffset val="100"/>
        <c:tickMarkSkip val="12"/>
        <c:noMultiLvlLbl val="0"/>
      </c:catAx>
      <c:spPr>
        <a:solidFill>
          <a:srgbClr val="DDDDDD"/>
        </a:solidFill>
        <a:ln w="9525" cap="flat" cmpd="sng" algn="ctr">
          <a:solidFill>
            <a:schemeClr val="bg1"/>
          </a:solidFill>
          <a:prstDash val="solid"/>
          <a:round/>
          <a:headEnd type="none" w="med" len="med"/>
          <a:tailEnd type="none" w="med" len="med"/>
        </a:ln>
        <a:effectLst/>
      </c:spPr>
    </c:plotArea>
    <c:legend>
      <c:legendPos val="t"/>
      <c:layout>
        <c:manualLayout>
          <c:xMode val="edge"/>
          <c:yMode val="edge"/>
          <c:x val="0.05"/>
          <c:y val="1.5679012345678998E-2"/>
          <c:w val="0.9"/>
          <c:h val="6.306141975308640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a:ea typeface="Arial Narrow"/>
              <a:cs typeface="Arial Narrow"/>
            </a:defRPr>
          </a:pPr>
          <a:endParaRPr lang="it-IT"/>
        </a:p>
      </c:txPr>
    </c:legend>
    <c:plotVisOnly val="1"/>
    <c:dispBlanksAs val="gap"/>
    <c:showDLblsOverMax val="0"/>
  </c:chart>
  <c:spPr>
    <a:solidFill>
      <a:srgbClr val="DDDDDD"/>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a:ea typeface="Arial Narrow"/>
          <a:cs typeface="Arial Narrow"/>
        </a:defRPr>
      </a:pPr>
      <a:endParaRPr lang="it-I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836949272707E-2"/>
          <c:y val="0.113240740740741"/>
          <c:w val="0.89221035935087301"/>
          <c:h val="0.79182222222222198"/>
        </c:manualLayout>
      </c:layout>
      <c:lineChart>
        <c:grouping val="standard"/>
        <c:varyColors val="0"/>
        <c:ser>
          <c:idx val="0"/>
          <c:order val="0"/>
          <c:tx>
            <c:strRef>
              <c:f>'[coe_extraue_92022.xlsx]Figura 2'!$F$4</c:f>
              <c:strCache>
                <c:ptCount val="1"/>
                <c:pt idx="0">
                  <c:v>Export</c:v>
                </c:pt>
              </c:strCache>
            </c:strRef>
          </c:tx>
          <c:spPr>
            <a:ln w="28575" cap="rnd">
              <a:solidFill>
                <a:srgbClr val="191B6D"/>
              </a:solidFill>
              <a:round/>
            </a:ln>
            <a:effectLst/>
          </c:spPr>
          <c:marker>
            <c:symbol val="none"/>
          </c:marker>
          <c:cat>
            <c:numRef>
              <c:f>'[coe_extraue_92022.xlsx]Figura 2'!$B$77:$B$136</c:f>
              <c:numCache>
                <c:formatCode>General</c:formatCode>
                <c:ptCount val="60"/>
                <c:pt idx="5">
                  <c:v>2018</c:v>
                </c:pt>
                <c:pt idx="17">
                  <c:v>2019</c:v>
                </c:pt>
                <c:pt idx="29">
                  <c:v>2020</c:v>
                </c:pt>
                <c:pt idx="41">
                  <c:v>2021</c:v>
                </c:pt>
                <c:pt idx="53">
                  <c:v>2022</c:v>
                </c:pt>
              </c:numCache>
            </c:numRef>
          </c:cat>
          <c:val>
            <c:numRef>
              <c:f>'[coe_extraue_92022.xlsx]Figura 2'!$F$77:$F$136</c:f>
              <c:numCache>
                <c:formatCode>0.0</c:formatCode>
                <c:ptCount val="60"/>
                <c:pt idx="0">
                  <c:v>5.3648617067304043</c:v>
                </c:pt>
                <c:pt idx="1">
                  <c:v>0.32218328521973499</c:v>
                </c:pt>
                <c:pt idx="2">
                  <c:v>-2.6916007738558951</c:v>
                </c:pt>
                <c:pt idx="3">
                  <c:v>5.1305159579702897</c:v>
                </c:pt>
                <c:pt idx="4">
                  <c:v>-2.6213186446689019</c:v>
                </c:pt>
                <c:pt idx="5">
                  <c:v>7.383771865590492</c:v>
                </c:pt>
                <c:pt idx="6">
                  <c:v>5.3273634507350556</c:v>
                </c:pt>
                <c:pt idx="7">
                  <c:v>3.8820676733803068</c:v>
                </c:pt>
                <c:pt idx="8">
                  <c:v>-6.3455696503805337</c:v>
                </c:pt>
                <c:pt idx="9">
                  <c:v>11.0691721772404</c:v>
                </c:pt>
                <c:pt idx="10">
                  <c:v>0.672686192130034</c:v>
                </c:pt>
                <c:pt idx="11">
                  <c:v>-4.1354531800746699</c:v>
                </c:pt>
                <c:pt idx="12">
                  <c:v>5.791743515923133</c:v>
                </c:pt>
                <c:pt idx="13">
                  <c:v>7.3271858834594159</c:v>
                </c:pt>
                <c:pt idx="14">
                  <c:v>-0.33168454329975999</c:v>
                </c:pt>
                <c:pt idx="15">
                  <c:v>6.4257375854838381</c:v>
                </c:pt>
                <c:pt idx="16">
                  <c:v>7.5063540633652819</c:v>
                </c:pt>
                <c:pt idx="17">
                  <c:v>-2.4484759915154859</c:v>
                </c:pt>
                <c:pt idx="18">
                  <c:v>7.3035850350877878</c:v>
                </c:pt>
                <c:pt idx="19">
                  <c:v>-1.7258854999358979</c:v>
                </c:pt>
                <c:pt idx="20">
                  <c:v>9.100844488305837</c:v>
                </c:pt>
                <c:pt idx="21">
                  <c:v>8.4147356880291966</c:v>
                </c:pt>
                <c:pt idx="22">
                  <c:v>-4.078178502023567</c:v>
                </c:pt>
                <c:pt idx="23">
                  <c:v>4.6934380036505852</c:v>
                </c:pt>
                <c:pt idx="24">
                  <c:v>3.8658239626795821</c:v>
                </c:pt>
                <c:pt idx="25">
                  <c:v>5.8587180972453394</c:v>
                </c:pt>
                <c:pt idx="26">
                  <c:v>-14.92944681439022</c:v>
                </c:pt>
                <c:pt idx="27">
                  <c:v>-44.239127429985679</c:v>
                </c:pt>
                <c:pt idx="28">
                  <c:v>-31.300789433710872</c:v>
                </c:pt>
                <c:pt idx="29">
                  <c:v>-14.84889341289453</c:v>
                </c:pt>
                <c:pt idx="30">
                  <c:v>-8.1399165401759976</c:v>
                </c:pt>
                <c:pt idx="31">
                  <c:v>-9.6571792060637023</c:v>
                </c:pt>
                <c:pt idx="32">
                  <c:v>2.9196267013243959</c:v>
                </c:pt>
                <c:pt idx="33">
                  <c:v>-9.7218764977904328</c:v>
                </c:pt>
                <c:pt idx="34">
                  <c:v>1.976493436396987</c:v>
                </c:pt>
                <c:pt idx="35">
                  <c:v>4.0022126239266154</c:v>
                </c:pt>
                <c:pt idx="36">
                  <c:v>-12.72303144091301</c:v>
                </c:pt>
                <c:pt idx="37">
                  <c:v>-7.0700041159209581</c:v>
                </c:pt>
                <c:pt idx="38">
                  <c:v>23.341574299677781</c:v>
                </c:pt>
                <c:pt idx="39">
                  <c:v>104.49211052872251</c:v>
                </c:pt>
                <c:pt idx="40">
                  <c:v>43.858672614008313</c:v>
                </c:pt>
                <c:pt idx="41">
                  <c:v>23.184878603579879</c:v>
                </c:pt>
                <c:pt idx="42">
                  <c:v>17.317025536314329</c:v>
                </c:pt>
                <c:pt idx="43">
                  <c:v>15.623792046291699</c:v>
                </c:pt>
                <c:pt idx="44">
                  <c:v>5.1616453250397321</c:v>
                </c:pt>
                <c:pt idx="45">
                  <c:v>4.0298838582163858</c:v>
                </c:pt>
                <c:pt idx="46">
                  <c:v>13.383890663860919</c:v>
                </c:pt>
                <c:pt idx="47">
                  <c:v>12.68619917279368</c:v>
                </c:pt>
                <c:pt idx="48">
                  <c:v>19.163526525691889</c:v>
                </c:pt>
                <c:pt idx="49">
                  <c:v>21.146554112881049</c:v>
                </c:pt>
                <c:pt idx="50">
                  <c:v>22.205717940400959</c:v>
                </c:pt>
                <c:pt idx="51">
                  <c:v>11.876966818864011</c:v>
                </c:pt>
                <c:pt idx="52">
                  <c:v>26.138619246149961</c:v>
                </c:pt>
                <c:pt idx="53">
                  <c:v>21.129819210922541</c:v>
                </c:pt>
                <c:pt idx="54">
                  <c:v>14.24742047415508</c:v>
                </c:pt>
                <c:pt idx="55">
                  <c:v>22.091589622731899</c:v>
                </c:pt>
                <c:pt idx="56">
                  <c:v>26.890427982212589</c:v>
                </c:pt>
              </c:numCache>
            </c:numRef>
          </c:val>
          <c:smooth val="0"/>
          <c:extLst>
            <c:ext xmlns:c16="http://schemas.microsoft.com/office/drawing/2014/chart" uri="{C3380CC4-5D6E-409C-BE32-E72D297353CC}">
              <c16:uniqueId val="{00000000-ABE7-47DE-B148-B67B7FC2F77A}"/>
            </c:ext>
          </c:extLst>
        </c:ser>
        <c:ser>
          <c:idx val="1"/>
          <c:order val="1"/>
          <c:tx>
            <c:strRef>
              <c:f>'[coe_extraue_92022.xlsx]Figura 2'!$G$4</c:f>
              <c:strCache>
                <c:ptCount val="1"/>
                <c:pt idx="0">
                  <c:v>Import</c:v>
                </c:pt>
              </c:strCache>
            </c:strRef>
          </c:tx>
          <c:spPr>
            <a:ln w="25400" cap="rnd">
              <a:solidFill>
                <a:srgbClr val="D22630"/>
              </a:solidFill>
              <a:round/>
            </a:ln>
            <a:effectLst/>
          </c:spPr>
          <c:marker>
            <c:symbol val="none"/>
          </c:marker>
          <c:cat>
            <c:numRef>
              <c:f>'[coe_extraue_92022.xlsx]Figura 2'!$B$77:$B$136</c:f>
              <c:numCache>
                <c:formatCode>General</c:formatCode>
                <c:ptCount val="60"/>
                <c:pt idx="5">
                  <c:v>2018</c:v>
                </c:pt>
                <c:pt idx="17">
                  <c:v>2019</c:v>
                </c:pt>
                <c:pt idx="29">
                  <c:v>2020</c:v>
                </c:pt>
                <c:pt idx="41">
                  <c:v>2021</c:v>
                </c:pt>
                <c:pt idx="53">
                  <c:v>2022</c:v>
                </c:pt>
              </c:numCache>
            </c:numRef>
          </c:cat>
          <c:val>
            <c:numRef>
              <c:f>'[coe_extraue_92022.xlsx]Figura 2'!$G$77:$G$136</c:f>
              <c:numCache>
                <c:formatCode>0.0</c:formatCode>
                <c:ptCount val="60"/>
                <c:pt idx="0">
                  <c:v>2.4983074578920799</c:v>
                </c:pt>
                <c:pt idx="1">
                  <c:v>-0.81067167662710604</c:v>
                </c:pt>
                <c:pt idx="2">
                  <c:v>0.126311261455236</c:v>
                </c:pt>
                <c:pt idx="3">
                  <c:v>11.97385727921017</c:v>
                </c:pt>
                <c:pt idx="4">
                  <c:v>-1.1429909610039E-2</c:v>
                </c:pt>
                <c:pt idx="5">
                  <c:v>7.9892408612702859</c:v>
                </c:pt>
                <c:pt idx="6">
                  <c:v>16.818743253114981</c:v>
                </c:pt>
                <c:pt idx="7">
                  <c:v>11.97054562107316</c:v>
                </c:pt>
                <c:pt idx="8">
                  <c:v>17.14078212884387</c:v>
                </c:pt>
                <c:pt idx="9">
                  <c:v>24.763140027350939</c:v>
                </c:pt>
                <c:pt idx="10">
                  <c:v>8.7072869247540847</c:v>
                </c:pt>
                <c:pt idx="11">
                  <c:v>8.2502827430500822</c:v>
                </c:pt>
                <c:pt idx="12">
                  <c:v>4.2854108562494897</c:v>
                </c:pt>
                <c:pt idx="13">
                  <c:v>3.5130467940994952</c:v>
                </c:pt>
                <c:pt idx="14">
                  <c:v>-1.1663014031646599</c:v>
                </c:pt>
                <c:pt idx="15">
                  <c:v>4.7718662987782823</c:v>
                </c:pt>
                <c:pt idx="16">
                  <c:v>2.0661014807539679</c:v>
                </c:pt>
                <c:pt idx="17">
                  <c:v>-5.6320388773816603</c:v>
                </c:pt>
                <c:pt idx="18">
                  <c:v>1.9787911823728741</c:v>
                </c:pt>
                <c:pt idx="19">
                  <c:v>-6.4934164122690259</c:v>
                </c:pt>
                <c:pt idx="20">
                  <c:v>-1.474661835093116</c:v>
                </c:pt>
                <c:pt idx="21">
                  <c:v>-9.359983662810178</c:v>
                </c:pt>
                <c:pt idx="22">
                  <c:v>-10.94141653981824</c:v>
                </c:pt>
                <c:pt idx="23">
                  <c:v>-6.8530526795900659</c:v>
                </c:pt>
                <c:pt idx="24">
                  <c:v>1.7247626228211741</c:v>
                </c:pt>
                <c:pt idx="25">
                  <c:v>-3.6046606351410211</c:v>
                </c:pt>
                <c:pt idx="26">
                  <c:v>-20.55912309732776</c:v>
                </c:pt>
                <c:pt idx="27">
                  <c:v>-32.490922090320772</c:v>
                </c:pt>
                <c:pt idx="28">
                  <c:v>-37.18418476875263</c:v>
                </c:pt>
                <c:pt idx="29">
                  <c:v>-17.189715951347601</c:v>
                </c:pt>
                <c:pt idx="30">
                  <c:v>-16.944493728968311</c:v>
                </c:pt>
                <c:pt idx="31">
                  <c:v>-15.713436156043869</c:v>
                </c:pt>
                <c:pt idx="32">
                  <c:v>-11.941219925591129</c:v>
                </c:pt>
                <c:pt idx="33">
                  <c:v>-11.41316265329062</c:v>
                </c:pt>
                <c:pt idx="34">
                  <c:v>-5.6335575097105384</c:v>
                </c:pt>
                <c:pt idx="35">
                  <c:v>-2.8363674970368939</c:v>
                </c:pt>
                <c:pt idx="36">
                  <c:v>-18.489453392947489</c:v>
                </c:pt>
                <c:pt idx="37">
                  <c:v>-3.276689070185812</c:v>
                </c:pt>
                <c:pt idx="38">
                  <c:v>33.886778222876337</c:v>
                </c:pt>
                <c:pt idx="39">
                  <c:v>55.084444686429087</c:v>
                </c:pt>
                <c:pt idx="40">
                  <c:v>53.063135716388629</c:v>
                </c:pt>
                <c:pt idx="41">
                  <c:v>30.322418968249831</c:v>
                </c:pt>
                <c:pt idx="42">
                  <c:v>25.18232203262432</c:v>
                </c:pt>
                <c:pt idx="43">
                  <c:v>41.940919674368928</c:v>
                </c:pt>
                <c:pt idx="44">
                  <c:v>37.032320287066781</c:v>
                </c:pt>
                <c:pt idx="45">
                  <c:v>37.288495984596977</c:v>
                </c:pt>
                <c:pt idx="46">
                  <c:v>49.284119638934101</c:v>
                </c:pt>
                <c:pt idx="47">
                  <c:v>63.858898754006042</c:v>
                </c:pt>
                <c:pt idx="48">
                  <c:v>65.534238029050201</c:v>
                </c:pt>
                <c:pt idx="49">
                  <c:v>69.648723491580029</c:v>
                </c:pt>
                <c:pt idx="50">
                  <c:v>61.041642821841442</c:v>
                </c:pt>
                <c:pt idx="51">
                  <c:v>61.958876310677518</c:v>
                </c:pt>
                <c:pt idx="52">
                  <c:v>65.475772611745143</c:v>
                </c:pt>
                <c:pt idx="53">
                  <c:v>75.061913188581912</c:v>
                </c:pt>
                <c:pt idx="54">
                  <c:v>72.917997282815307</c:v>
                </c:pt>
                <c:pt idx="55">
                  <c:v>84.040915426142561</c:v>
                </c:pt>
                <c:pt idx="56">
                  <c:v>62.25972546104375</c:v>
                </c:pt>
              </c:numCache>
            </c:numRef>
          </c:val>
          <c:smooth val="0"/>
          <c:extLst>
            <c:ext xmlns:c16="http://schemas.microsoft.com/office/drawing/2014/chart" uri="{C3380CC4-5D6E-409C-BE32-E72D297353CC}">
              <c16:uniqueId val="{00000001-ABE7-47DE-B148-B67B7FC2F77A}"/>
            </c:ext>
          </c:extLst>
        </c:ser>
        <c:dLbls>
          <c:showLegendKey val="0"/>
          <c:showVal val="0"/>
          <c:showCatName val="0"/>
          <c:showSerName val="0"/>
          <c:showPercent val="0"/>
          <c:showBubbleSize val="0"/>
        </c:dLbls>
        <c:marker val="1"/>
        <c:smooth val="0"/>
        <c:axId val="1080674544"/>
        <c:axId val="1080677104"/>
      </c:lineChart>
      <c:lineChart>
        <c:grouping val="standard"/>
        <c:varyColors val="0"/>
        <c:ser>
          <c:idx val="2"/>
          <c:order val="2"/>
          <c:spPr>
            <a:ln w="28575" cap="rnd">
              <a:solidFill>
                <a:srgbClr val="FFFFFF"/>
              </a:solidFill>
              <a:round/>
            </a:ln>
            <a:effectLst/>
          </c:spPr>
          <c:marker>
            <c:symbol val="none"/>
          </c:marker>
          <c:cat>
            <c:numLit>
              <c:formatCode>General</c:formatCode>
              <c:ptCount val="60"/>
              <c:pt idx="0">
                <c:v>0</c:v>
              </c:pt>
              <c:pt idx="1">
                <c:v>0</c:v>
              </c:pt>
              <c:pt idx="2">
                <c:v>0</c:v>
              </c:pt>
              <c:pt idx="3">
                <c:v>0</c:v>
              </c:pt>
              <c:pt idx="4">
                <c:v>0</c:v>
              </c:pt>
              <c:pt idx="5">
                <c:v>2013</c:v>
              </c:pt>
              <c:pt idx="6">
                <c:v>0</c:v>
              </c:pt>
              <c:pt idx="7">
                <c:v>0</c:v>
              </c:pt>
              <c:pt idx="8">
                <c:v>0</c:v>
              </c:pt>
              <c:pt idx="9">
                <c:v>0</c:v>
              </c:pt>
              <c:pt idx="10">
                <c:v>0</c:v>
              </c:pt>
              <c:pt idx="11">
                <c:v>0</c:v>
              </c:pt>
              <c:pt idx="12">
                <c:v>0</c:v>
              </c:pt>
              <c:pt idx="13">
                <c:v>0</c:v>
              </c:pt>
              <c:pt idx="14">
                <c:v>0</c:v>
              </c:pt>
              <c:pt idx="15">
                <c:v>0</c:v>
              </c:pt>
              <c:pt idx="16">
                <c:v>0</c:v>
              </c:pt>
              <c:pt idx="17">
                <c:v>2014</c:v>
              </c:pt>
              <c:pt idx="18">
                <c:v>0</c:v>
              </c:pt>
              <c:pt idx="19">
                <c:v>0</c:v>
              </c:pt>
              <c:pt idx="20">
                <c:v>0</c:v>
              </c:pt>
              <c:pt idx="21">
                <c:v>0</c:v>
              </c:pt>
              <c:pt idx="22">
                <c:v>0</c:v>
              </c:pt>
              <c:pt idx="23">
                <c:v>0</c:v>
              </c:pt>
              <c:pt idx="24">
                <c:v>0</c:v>
              </c:pt>
              <c:pt idx="25">
                <c:v>0</c:v>
              </c:pt>
              <c:pt idx="26">
                <c:v>0</c:v>
              </c:pt>
              <c:pt idx="27">
                <c:v>0</c:v>
              </c:pt>
              <c:pt idx="28">
                <c:v>0</c:v>
              </c:pt>
              <c:pt idx="29">
                <c:v>2015</c:v>
              </c:pt>
              <c:pt idx="30">
                <c:v>0</c:v>
              </c:pt>
              <c:pt idx="31">
                <c:v>0</c:v>
              </c:pt>
              <c:pt idx="32">
                <c:v>0</c:v>
              </c:pt>
              <c:pt idx="33">
                <c:v>0</c:v>
              </c:pt>
              <c:pt idx="34">
                <c:v>0</c:v>
              </c:pt>
              <c:pt idx="35">
                <c:v>0</c:v>
              </c:pt>
              <c:pt idx="36">
                <c:v>0</c:v>
              </c:pt>
              <c:pt idx="37">
                <c:v>0</c:v>
              </c:pt>
              <c:pt idx="38">
                <c:v>0</c:v>
              </c:pt>
              <c:pt idx="39">
                <c:v>0</c:v>
              </c:pt>
              <c:pt idx="40">
                <c:v>0</c:v>
              </c:pt>
              <c:pt idx="41">
                <c:v>2016</c:v>
              </c:pt>
              <c:pt idx="42">
                <c:v>0</c:v>
              </c:pt>
              <c:pt idx="43">
                <c:v>0</c:v>
              </c:pt>
              <c:pt idx="44">
                <c:v>0</c:v>
              </c:pt>
              <c:pt idx="45">
                <c:v>0</c:v>
              </c:pt>
              <c:pt idx="46">
                <c:v>0</c:v>
              </c:pt>
              <c:pt idx="47">
                <c:v>0</c:v>
              </c:pt>
              <c:pt idx="48">
                <c:v>0</c:v>
              </c:pt>
              <c:pt idx="49">
                <c:v>0</c:v>
              </c:pt>
              <c:pt idx="50">
                <c:v>0</c:v>
              </c:pt>
              <c:pt idx="51">
                <c:v>0</c:v>
              </c:pt>
              <c:pt idx="52">
                <c:v>0</c:v>
              </c:pt>
              <c:pt idx="53">
                <c:v>2017</c:v>
              </c:pt>
              <c:pt idx="54">
                <c:v>0</c:v>
              </c:pt>
              <c:pt idx="55">
                <c:v>0</c:v>
              </c:pt>
              <c:pt idx="56">
                <c:v>0</c:v>
              </c:pt>
              <c:pt idx="57">
                <c:v>0</c:v>
              </c:pt>
              <c:pt idx="59">
                <c:v>0</c:v>
              </c:pt>
            </c:numLit>
          </c:cat>
          <c:val>
            <c:numLit>
              <c:formatCode>General</c:formatCode>
              <c:ptCount val="60"/>
            </c:numLit>
          </c:val>
          <c:smooth val="0"/>
          <c:extLst>
            <c:ext xmlns:c16="http://schemas.microsoft.com/office/drawing/2014/chart" uri="{C3380CC4-5D6E-409C-BE32-E72D297353CC}">
              <c16:uniqueId val="{00000002-ABE7-47DE-B148-B67B7FC2F77A}"/>
            </c:ext>
          </c:extLst>
        </c:ser>
        <c:dLbls>
          <c:showLegendKey val="0"/>
          <c:showVal val="0"/>
          <c:showCatName val="0"/>
          <c:showSerName val="0"/>
          <c:showPercent val="0"/>
          <c:showBubbleSize val="0"/>
        </c:dLbls>
        <c:marker val="1"/>
        <c:smooth val="0"/>
        <c:axId val="1080681888"/>
        <c:axId val="1080680496"/>
      </c:lineChart>
      <c:catAx>
        <c:axId val="1080674544"/>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rgbClr val="000000"/>
                </a:solidFill>
                <a:latin typeface="Arial Narrow" panose="020B0606020202030204" pitchFamily="34" charset="0"/>
                <a:ea typeface="+mn-ea"/>
                <a:cs typeface="+mn-cs"/>
              </a:defRPr>
            </a:pPr>
            <a:endParaRPr lang="it-IT"/>
          </a:p>
        </c:txPr>
        <c:crossAx val="1080677104"/>
        <c:crosses val="autoZero"/>
        <c:auto val="1"/>
        <c:lblAlgn val="l"/>
        <c:lblOffset val="0"/>
        <c:tickMarkSkip val="3"/>
        <c:noMultiLvlLbl val="0"/>
      </c:catAx>
      <c:valAx>
        <c:axId val="1080677104"/>
        <c:scaling>
          <c:orientation val="minMax"/>
          <c:max val="120"/>
          <c:min val="-60"/>
        </c:scaling>
        <c:delete val="0"/>
        <c:axPos val="l"/>
        <c:majorGridlines>
          <c:spPr>
            <a:ln w="6350" cap="flat" cmpd="sng" algn="ctr">
              <a:solidFill>
                <a:srgbClr val="A6A6A6"/>
              </a:solidFill>
              <a:prstDash val="sysDash"/>
              <a:round/>
              <a:headEnd type="none" w="med" len="med"/>
              <a:tailEnd type="none" w="med" len="med"/>
            </a:ln>
            <a:effectLst/>
          </c:spPr>
        </c:majorGridlines>
        <c:title>
          <c:tx>
            <c:rich>
              <a:bodyPr rot="0" spcFirstLastPara="1" vertOverflow="ellipsis" wrap="square" anchor="ctr" anchorCtr="1"/>
              <a:lstStyle/>
              <a:p>
                <a:pPr>
                  <a:defRPr sz="900" b="0" i="0" u="none" strike="noStrike" kern="1200" baseline="0">
                    <a:solidFill>
                      <a:srgbClr val="000000"/>
                    </a:solidFill>
                    <a:latin typeface="Arial Narrow" panose="020B0606020202030204" pitchFamily="34" charset="0"/>
                    <a:ea typeface="+mn-ea"/>
                    <a:cs typeface="+mn-cs"/>
                  </a:defRPr>
                </a:pPr>
                <a:r>
                  <a:rPr lang="it-IT"/>
                  <a:t>%</a:t>
                </a:r>
              </a:p>
            </c:rich>
          </c:tx>
          <c:layout>
            <c:manualLayout>
              <c:xMode val="edge"/>
              <c:yMode val="edge"/>
              <c:x val="2.2965615615615598E-2"/>
              <c:y val="5.03194444444445E-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080674544"/>
        <c:crosses val="autoZero"/>
        <c:crossBetween val="between"/>
        <c:majorUnit val="30"/>
      </c:valAx>
      <c:valAx>
        <c:axId val="1080680496"/>
        <c:scaling>
          <c:orientation val="minMax"/>
        </c:scaling>
        <c:delete val="1"/>
        <c:axPos val="r"/>
        <c:numFmt formatCode="General" sourceLinked="1"/>
        <c:majorTickMark val="out"/>
        <c:minorTickMark val="none"/>
        <c:tickLblPos val="nextTo"/>
        <c:crossAx val="1080681888"/>
        <c:crosses val="max"/>
        <c:crossBetween val="between"/>
      </c:valAx>
      <c:catAx>
        <c:axId val="1080681888"/>
        <c:scaling>
          <c:orientation val="minMax"/>
        </c:scaling>
        <c:delete val="1"/>
        <c:axPos val="t"/>
        <c:majorGridlines>
          <c:spPr>
            <a:ln w="15875" cap="flat" cmpd="sng" algn="ctr">
              <a:solidFill>
                <a:srgbClr val="A6A6A6"/>
              </a:solidFill>
              <a:prstDash val="solid"/>
              <a:round/>
              <a:headEnd type="none" w="med" len="med"/>
              <a:tailEnd type="none" w="med" len="med"/>
            </a:ln>
            <a:effectLst/>
          </c:spPr>
        </c:majorGridlines>
        <c:numFmt formatCode="General" sourceLinked="1"/>
        <c:majorTickMark val="out"/>
        <c:minorTickMark val="none"/>
        <c:tickLblPos val="nextTo"/>
        <c:crossAx val="1080680496"/>
        <c:crosses val="max"/>
        <c:auto val="1"/>
        <c:lblAlgn val="ctr"/>
        <c:lblOffset val="100"/>
        <c:tickMarkSkip val="12"/>
        <c:noMultiLvlLbl val="0"/>
      </c:catAx>
      <c:spPr>
        <a:solidFill>
          <a:srgbClr val="FFFFFF"/>
        </a:solidFill>
        <a:ln w="9525" cap="flat" cmpd="sng" algn="ctr">
          <a:solidFill>
            <a:schemeClr val="bg1">
              <a:lumMod val="85000"/>
            </a:schemeClr>
          </a:solidFill>
          <a:prstDash val="solid"/>
          <a:round/>
          <a:headEnd type="none" w="med" len="med"/>
          <a:tailEnd type="none" w="med" len="med"/>
        </a:ln>
        <a:effectLst/>
      </c:spPr>
    </c:plotArea>
    <c:legend>
      <c:legendPos val="t"/>
      <c:legendEntry>
        <c:idx val="2"/>
        <c:delete val="1"/>
      </c:legendEntry>
      <c:layout>
        <c:manualLayout>
          <c:xMode val="edge"/>
          <c:yMode val="edge"/>
          <c:x val="0.40577148384693501"/>
          <c:y val="0"/>
          <c:w val="0.20465482770961799"/>
          <c:h val="8.9929493558733295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legend>
    <c:plotVisOnly val="1"/>
    <c:dispBlanksAs val="gap"/>
    <c:showDLblsOverMax val="0"/>
  </c:chart>
  <c:spPr>
    <a:solidFill>
      <a:srgbClr val="FFFFFF"/>
    </a:solidFill>
    <a:ln w="6350" cap="flat" cmpd="sng" algn="ctr">
      <a:noFill/>
      <a:round/>
    </a:ln>
    <a:effec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651638137696099E-2"/>
          <c:y val="0.12565231481481501"/>
          <c:w val="0.89947552894285998"/>
          <c:h val="0.600240277777778"/>
        </c:manualLayout>
      </c:layout>
      <c:barChart>
        <c:barDir val="col"/>
        <c:grouping val="clustered"/>
        <c:varyColors val="0"/>
        <c:ser>
          <c:idx val="0"/>
          <c:order val="0"/>
          <c:tx>
            <c:strRef>
              <c:f>'[coe_extraue_92022.xlsx]Figura 3 - 4'!$D$35</c:f>
              <c:strCache>
                <c:ptCount val="1"/>
                <c:pt idx="0">
                  <c:v>Contributi alla variazione (punti percentuali - scala sinistra)</c:v>
                </c:pt>
              </c:strCache>
            </c:strRef>
          </c:tx>
          <c:spPr>
            <a:solidFill>
              <a:srgbClr val="003B5C"/>
            </a:solidFill>
            <a:ln w="9525" cap="flat" cmpd="sng" algn="ctr">
              <a:solidFill>
                <a:srgbClr val="FFFFFF"/>
              </a:solidFill>
              <a:prstDash val="solid"/>
              <a:round/>
              <a:headEnd type="none" w="med" len="med"/>
              <a:tailEnd type="none" w="med" len="med"/>
            </a:ln>
            <a:effectLst/>
          </c:spPr>
          <c:invertIfNegative val="0"/>
          <c:cat>
            <c:strRef>
              <c:f>'[coe_extraue_92022.xlsx]Figura 3 - 4'!$A$37:$A$46</c:f>
              <c:strCache>
                <c:ptCount val="10"/>
                <c:pt idx="0">
                  <c:v>Stati Uniti</c:v>
                </c:pt>
                <c:pt idx="1">
                  <c:v>OPEC</c:v>
                </c:pt>
                <c:pt idx="2">
                  <c:v>Turchia</c:v>
                </c:pt>
                <c:pt idx="3">
                  <c:v>Regno Unito</c:v>
                </c:pt>
                <c:pt idx="4">
                  <c:v>Svizzera</c:v>
                </c:pt>
                <c:pt idx="5">
                  <c:v>ASEAN</c:v>
                </c:pt>
                <c:pt idx="6">
                  <c:v>Cina</c:v>
                </c:pt>
                <c:pt idx="7">
                  <c:v>Giappone</c:v>
                </c:pt>
                <c:pt idx="8">
                  <c:v>MERCOSUR</c:v>
                </c:pt>
                <c:pt idx="9">
                  <c:v>Russia</c:v>
                </c:pt>
              </c:strCache>
            </c:strRef>
          </c:cat>
          <c:val>
            <c:numRef>
              <c:f>'[coe_extraue_92022.xlsx]Figura 3 - 4'!$D$37:$D$46</c:f>
              <c:numCache>
                <c:formatCode>0.0</c:formatCode>
                <c:ptCount val="10"/>
                <c:pt idx="0">
                  <c:v>9.5881169546181653</c:v>
                </c:pt>
                <c:pt idx="1">
                  <c:v>2.9372875665681022</c:v>
                </c:pt>
                <c:pt idx="2">
                  <c:v>1.988509411204167</c:v>
                </c:pt>
                <c:pt idx="3">
                  <c:v>1.7310795162480499</c:v>
                </c:pt>
                <c:pt idx="4">
                  <c:v>1.3899360573392689</c:v>
                </c:pt>
                <c:pt idx="5">
                  <c:v>1.0150861177714521</c:v>
                </c:pt>
                <c:pt idx="6">
                  <c:v>0.72599767373384405</c:v>
                </c:pt>
                <c:pt idx="7">
                  <c:v>0.449370453101684</c:v>
                </c:pt>
                <c:pt idx="8">
                  <c:v>0.36173815048531499</c:v>
                </c:pt>
                <c:pt idx="9">
                  <c:v>-1.164026215081758</c:v>
                </c:pt>
              </c:numCache>
            </c:numRef>
          </c:val>
          <c:extLst>
            <c:ext xmlns:c16="http://schemas.microsoft.com/office/drawing/2014/chart" uri="{C3380CC4-5D6E-409C-BE32-E72D297353CC}">
              <c16:uniqueId val="{00000000-7742-46B1-A22C-34D568EC6D0F}"/>
            </c:ext>
          </c:extLst>
        </c:ser>
        <c:dLbls>
          <c:showLegendKey val="0"/>
          <c:showVal val="0"/>
          <c:showCatName val="0"/>
          <c:showSerName val="0"/>
          <c:showPercent val="0"/>
          <c:showBubbleSize val="0"/>
        </c:dLbls>
        <c:gapWidth val="0"/>
        <c:axId val="1080172096"/>
        <c:axId val="1136904400"/>
      </c:barChart>
      <c:lineChart>
        <c:grouping val="standard"/>
        <c:varyColors val="0"/>
        <c:ser>
          <c:idx val="1"/>
          <c:order val="1"/>
          <c:tx>
            <c:strRef>
              <c:f>'[coe_extraue_92022.xlsx]Figura 3 - 4'!$B$35</c:f>
              <c:strCache>
                <c:ptCount val="1"/>
                <c:pt idx="0">
                  <c:v>Variazioni percentuali (scala destra)</c:v>
                </c:pt>
              </c:strCache>
            </c:strRef>
          </c:tx>
          <c:spPr>
            <a:ln w="25400" cap="rnd">
              <a:noFill/>
              <a:round/>
            </a:ln>
            <a:effectLst/>
            <a:extLst>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spPr>
          <c:marker>
            <c:symbol val="diamond"/>
            <c:size val="6"/>
            <c:spPr>
              <a:solidFill>
                <a:srgbClr val="FFFFFF"/>
              </a:solidFill>
              <a:ln w="3175">
                <a:solidFill>
                  <a:srgbClr val="141E28"/>
                </a:solidFill>
                <a:prstDash val="solid"/>
              </a:ln>
              <a:effectLst/>
            </c:spPr>
          </c:marker>
          <c:dLbls>
            <c:dLbl>
              <c:idx val="0"/>
              <c:layout>
                <c:manualLayout>
                  <c:x val="-3.25698435933112E-2"/>
                  <c:y val="-8.818842592592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42-46B1-A22C-34D568EC6D0F}"/>
                </c:ext>
              </c:extLst>
            </c:dLbl>
            <c:dLbl>
              <c:idx val="1"/>
              <c:layout>
                <c:manualLayout>
                  <c:x val="-3.2570446967621701E-2"/>
                  <c:y val="-5.8796296296296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42-46B1-A22C-34D568EC6D0F}"/>
                </c:ext>
              </c:extLst>
            </c:dLbl>
            <c:dLbl>
              <c:idx val="2"/>
              <c:layout>
                <c:manualLayout>
                  <c:x val="-3.4489629805725501E-2"/>
                  <c:y val="-6.8716203703703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42-46B1-A22C-34D568EC6D0F}"/>
                </c:ext>
              </c:extLst>
            </c:dLbl>
            <c:dLbl>
              <c:idx val="3"/>
              <c:layout>
                <c:manualLayout>
                  <c:x val="-3.2541937531451001E-2"/>
                  <c:y val="-6.9422685185185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42-46B1-A22C-34D568EC6D0F}"/>
                </c:ext>
              </c:extLst>
            </c:dLbl>
            <c:dLbl>
              <c:idx val="4"/>
              <c:layout>
                <c:manualLayout>
                  <c:x val="-3.0651414973095498E-2"/>
                  <c:y val="-6.4726388888888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42-46B1-A22C-34D568EC6D0F}"/>
                </c:ext>
              </c:extLst>
            </c:dLbl>
            <c:dLbl>
              <c:idx val="5"/>
              <c:layout>
                <c:manualLayout>
                  <c:x val="-3.4499585481848803E-2"/>
                  <c:y val="-4.7043518518518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42-46B1-A22C-34D568EC6D0F}"/>
                </c:ext>
              </c:extLst>
            </c:dLbl>
            <c:dLbl>
              <c:idx val="6"/>
              <c:layout>
                <c:manualLayout>
                  <c:x val="-2.8727254296930099E-2"/>
                  <c:y val="-5.2929166666666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42-46B1-A22C-34D568EC6D0F}"/>
                </c:ext>
              </c:extLst>
            </c:dLbl>
            <c:dLbl>
              <c:idx val="7"/>
              <c:layout>
                <c:manualLayout>
                  <c:x val="-3.2567128408913897E-2"/>
                  <c:y val="-5.2638888888888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42-46B1-A22C-34D568EC6D0F}"/>
                </c:ext>
              </c:extLst>
            </c:dLbl>
            <c:dLbl>
              <c:idx val="8"/>
              <c:layout>
                <c:manualLayout>
                  <c:x val="-2.8739170939562401E-2"/>
                  <c:y val="-6.9584722222222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42-46B1-A22C-34D568EC6D0F}"/>
                </c:ext>
              </c:extLst>
            </c:dLbl>
            <c:dLbl>
              <c:idx val="9"/>
              <c:layout>
                <c:manualLayout>
                  <c:x val="-3.2567128408914001E-2"/>
                  <c:y val="5.2916666666666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42-46B1-A22C-34D568EC6D0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'[coe_extraue_92022.xlsx]Figura 3 - 4'!$A$37:$A$46</c:f>
              <c:strCache>
                <c:ptCount val="10"/>
                <c:pt idx="0">
                  <c:v>Stati Uniti</c:v>
                </c:pt>
                <c:pt idx="1">
                  <c:v>OPEC</c:v>
                </c:pt>
                <c:pt idx="2">
                  <c:v>Turchia</c:v>
                </c:pt>
                <c:pt idx="3">
                  <c:v>Regno Unito</c:v>
                </c:pt>
                <c:pt idx="4">
                  <c:v>Svizzera</c:v>
                </c:pt>
                <c:pt idx="5">
                  <c:v>ASEAN</c:v>
                </c:pt>
                <c:pt idx="6">
                  <c:v>Cina</c:v>
                </c:pt>
                <c:pt idx="7">
                  <c:v>Giappone</c:v>
                </c:pt>
                <c:pt idx="8">
                  <c:v>MERCOSUR</c:v>
                </c:pt>
                <c:pt idx="9">
                  <c:v>Russia</c:v>
                </c:pt>
              </c:strCache>
            </c:strRef>
          </c:cat>
          <c:val>
            <c:numRef>
              <c:f>'[coe_extraue_92022.xlsx]Figura 3 - 4'!$B$37:$B$46</c:f>
              <c:numCache>
                <c:formatCode>0.0</c:formatCode>
                <c:ptCount val="10"/>
                <c:pt idx="0">
                  <c:v>48.464025481466031</c:v>
                </c:pt>
                <c:pt idx="1">
                  <c:v>49.0330987027329</c:v>
                </c:pt>
                <c:pt idx="2">
                  <c:v>49.731894277036432</c:v>
                </c:pt>
                <c:pt idx="3">
                  <c:v>16.908651781659291</c:v>
                </c:pt>
                <c:pt idx="4">
                  <c:v>11.97974576737178</c:v>
                </c:pt>
                <c:pt idx="5">
                  <c:v>35.135376186843821</c:v>
                </c:pt>
                <c:pt idx="6">
                  <c:v>11.94598983652182</c:v>
                </c:pt>
                <c:pt idx="7">
                  <c:v>16.311625132581781</c:v>
                </c:pt>
                <c:pt idx="8">
                  <c:v>14.60056139009605</c:v>
                </c:pt>
                <c:pt idx="9">
                  <c:v>-34.831626388846942</c:v>
                </c:pt>
              </c:numCache>
            </c:numRef>
          </c:val>
          <c:smooth val="0"/>
          <c:extLst>
            <c:ext xmlns:c16="http://schemas.microsoft.com/office/drawing/2014/chart" uri="{C3380CC4-5D6E-409C-BE32-E72D297353CC}">
              <c16:uniqueId val="{0000000B-7742-46B1-A22C-34D568EC6D0F}"/>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136909840"/>
        <c:axId val="1136906448"/>
      </c:lineChart>
      <c:catAx>
        <c:axId val="1080172096"/>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solidFill>
            <a:round/>
          </a:ln>
          <a:effectLst/>
        </c:spPr>
        <c:txPr>
          <a:bodyPr rot="-2700000"/>
          <a:lstStyle/>
          <a:p>
            <a:pPr>
              <a:defRPr sz="1000" b="1"/>
            </a:pPr>
            <a:endParaRPr lang="it-IT"/>
          </a:p>
        </c:txPr>
        <c:crossAx val="1136904400"/>
        <c:crosses val="autoZero"/>
        <c:auto val="1"/>
        <c:lblAlgn val="ctr"/>
        <c:lblOffset val="0"/>
        <c:tickLblSkip val="1"/>
        <c:noMultiLvlLbl val="0"/>
      </c:catAx>
      <c:valAx>
        <c:axId val="1136904400"/>
        <c:scaling>
          <c:orientation val="minMax"/>
          <c:max val="20"/>
          <c:min val="-20"/>
        </c:scaling>
        <c:delete val="0"/>
        <c:axPos val="l"/>
        <c:majorGridlines>
          <c:spPr>
            <a:ln w="6350" cap="flat" cmpd="sng" algn="ctr">
              <a:solidFill>
                <a:srgbClr val="A6A6A6"/>
              </a:solidFill>
              <a:prstDash val="sysDash"/>
              <a:round/>
              <a:headEnd type="none" w="med" len="med"/>
              <a:tailEnd type="none" w="med" len="med"/>
            </a:ln>
            <a:effectLst/>
          </c:spPr>
        </c:majorGridlines>
        <c:numFmt formatCode="0" sourceLinked="0"/>
        <c:majorTickMark val="none"/>
        <c:minorTickMark val="none"/>
        <c:tickLblPos val="nextTo"/>
        <c:spPr>
          <a:noFill/>
          <a:ln>
            <a:noFill/>
          </a:ln>
          <a:effectLst/>
        </c:spPr>
        <c:txPr>
          <a:bodyPr rot="-60000000" vert="horz"/>
          <a:lstStyle/>
          <a:p>
            <a:pPr>
              <a:defRPr/>
            </a:pPr>
            <a:endParaRPr lang="it-IT"/>
          </a:p>
        </c:txPr>
        <c:crossAx val="1080172096"/>
        <c:crosses val="autoZero"/>
        <c:crossBetween val="between"/>
        <c:majorUnit val="5"/>
      </c:valAx>
      <c:valAx>
        <c:axId val="1136906448"/>
        <c:scaling>
          <c:orientation val="minMax"/>
          <c:max val="200"/>
          <c:min val="-200"/>
        </c:scaling>
        <c:delete val="0"/>
        <c:axPos val="r"/>
        <c:title>
          <c:tx>
            <c:rich>
              <a:bodyPr rot="0" vert="wordArtVert"/>
              <a:lstStyle/>
              <a:p>
                <a:pPr>
                  <a:defRPr b="0"/>
                </a:pPr>
                <a:r>
                  <a:rPr lang="en-US" b="0"/>
                  <a:t>%</a:t>
                </a:r>
              </a:p>
            </c:rich>
          </c:tx>
          <c:layout>
            <c:manualLayout>
              <c:xMode val="edge"/>
              <c:yMode val="edge"/>
              <c:x val="0.96277254003128798"/>
              <c:y val="1.4840935968361699E-4"/>
            </c:manualLayout>
          </c:layout>
          <c:overlay val="0"/>
        </c:title>
        <c:numFmt formatCode="0" sourceLinked="0"/>
        <c:majorTickMark val="out"/>
        <c:minorTickMark val="none"/>
        <c:tickLblPos val="nextTo"/>
        <c:spPr>
          <a:noFill/>
          <a:ln>
            <a:noFill/>
          </a:ln>
          <a:effectLst/>
        </c:spPr>
        <c:txPr>
          <a:bodyPr rot="-60000000" vert="horz"/>
          <a:lstStyle/>
          <a:p>
            <a:pPr>
              <a:defRPr/>
            </a:pPr>
            <a:endParaRPr lang="it-IT"/>
          </a:p>
        </c:txPr>
        <c:crossAx val="1136909840"/>
        <c:crosses val="max"/>
        <c:crossBetween val="between"/>
        <c:majorUnit val="100"/>
      </c:valAx>
      <c:catAx>
        <c:axId val="1136909840"/>
        <c:scaling>
          <c:orientation val="minMax"/>
        </c:scaling>
        <c:delete val="1"/>
        <c:axPos val="b"/>
        <c:numFmt formatCode="General" sourceLinked="1"/>
        <c:majorTickMark val="out"/>
        <c:minorTickMark val="none"/>
        <c:tickLblPos val="nextTo"/>
        <c:crossAx val="1136906448"/>
        <c:crosses val="autoZero"/>
        <c:auto val="1"/>
        <c:lblAlgn val="ctr"/>
        <c:lblOffset val="100"/>
        <c:noMultiLvlLbl val="0"/>
      </c:catAx>
      <c:spPr>
        <a:solidFill>
          <a:srgbClr val="FFFFFF"/>
        </a:solidFill>
        <a:ln w="9525" cap="flat" cmpd="sng" algn="ctr">
          <a:solidFill>
            <a:srgbClr val="DDDDDD"/>
          </a:solidFill>
          <a:prstDash val="solid"/>
          <a:round/>
          <a:headEnd type="none" w="med" len="med"/>
          <a:tailEnd type="none" w="med" len="med"/>
        </a:ln>
        <a:effectLst/>
      </c:spPr>
    </c:plotArea>
    <c:legend>
      <c:legendPos val="t"/>
      <c:layout>
        <c:manualLayout>
          <c:xMode val="edge"/>
          <c:yMode val="edge"/>
          <c:x val="0.127654012345679"/>
          <c:y val="0"/>
          <c:w val="0.77088595679012395"/>
          <c:h val="9.1890712840116906E-2"/>
        </c:manualLayout>
      </c:layout>
      <c:overlay val="0"/>
      <c:spPr>
        <a:noFill/>
        <a:ln>
          <a:noFill/>
        </a:ln>
        <a:effectLst/>
      </c:spPr>
      <c:txPr>
        <a:bodyPr rot="0" vert="horz"/>
        <a:lstStyle/>
        <a:p>
          <a:pPr>
            <a:defRPr/>
          </a:pPr>
          <a:endParaRPr lang="it-IT"/>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837185941119001E-2"/>
          <c:y val="0.11249133321855199"/>
          <c:w val="0.89947552894285998"/>
          <c:h val="0.61199953703703702"/>
        </c:manualLayout>
      </c:layout>
      <c:barChart>
        <c:barDir val="col"/>
        <c:grouping val="clustered"/>
        <c:varyColors val="0"/>
        <c:ser>
          <c:idx val="0"/>
          <c:order val="0"/>
          <c:tx>
            <c:strRef>
              <c:f>'[coe_extraue_92022.xlsx]Figura 3 - 4'!$D$35</c:f>
              <c:strCache>
                <c:ptCount val="1"/>
                <c:pt idx="0">
                  <c:v>Contributi alla variazione (punti percentuali - scala sinistra)</c:v>
                </c:pt>
              </c:strCache>
            </c:strRef>
          </c:tx>
          <c:spPr>
            <a:solidFill>
              <a:srgbClr val="C00000"/>
            </a:solidFill>
            <a:ln w="9525" cap="flat" cmpd="sng" algn="ctr">
              <a:solidFill>
                <a:srgbClr val="FFFFFF"/>
              </a:solidFill>
              <a:prstDash val="solid"/>
              <a:round/>
              <a:headEnd type="none" w="med" len="med"/>
              <a:tailEnd type="none" w="med" len="med"/>
            </a:ln>
            <a:effectLst/>
          </c:spPr>
          <c:invertIfNegative val="0"/>
          <c:cat>
            <c:strRef>
              <c:f>'[coe_extraue_92022.xlsx]Figura 3 - 4'!$A$51:$A$60</c:f>
              <c:strCache>
                <c:ptCount val="10"/>
                <c:pt idx="0">
                  <c:v>OPEC</c:v>
                </c:pt>
                <c:pt idx="1">
                  <c:v>Cina</c:v>
                </c:pt>
                <c:pt idx="2">
                  <c:v>Stati Uniti</c:v>
                </c:pt>
                <c:pt idx="3">
                  <c:v>Svizzera</c:v>
                </c:pt>
                <c:pt idx="4">
                  <c:v>Russia</c:v>
                </c:pt>
                <c:pt idx="5">
                  <c:v>ASEAN</c:v>
                </c:pt>
                <c:pt idx="6">
                  <c:v>India</c:v>
                </c:pt>
                <c:pt idx="7">
                  <c:v>MERCOSUR</c:v>
                </c:pt>
                <c:pt idx="8">
                  <c:v>Turchia</c:v>
                </c:pt>
                <c:pt idx="9">
                  <c:v>Regno Unito</c:v>
                </c:pt>
              </c:strCache>
            </c:strRef>
          </c:cat>
          <c:val>
            <c:numRef>
              <c:f>'[coe_extraue_92022.xlsx]Figura 3 - 4'!$D$51:$D$60</c:f>
              <c:numCache>
                <c:formatCode>0.0</c:formatCode>
                <c:ptCount val="10"/>
                <c:pt idx="0">
                  <c:v>13.482642339559501</c:v>
                </c:pt>
                <c:pt idx="1">
                  <c:v>8.5405563453240596</c:v>
                </c:pt>
                <c:pt idx="2">
                  <c:v>5.67264002901923</c:v>
                </c:pt>
                <c:pt idx="3">
                  <c:v>4.0334327648070838</c:v>
                </c:pt>
                <c:pt idx="4">
                  <c:v>1.6409634090545679</c:v>
                </c:pt>
                <c:pt idx="5">
                  <c:v>1.512777840911784</c:v>
                </c:pt>
                <c:pt idx="6">
                  <c:v>1.3021548871367561</c:v>
                </c:pt>
                <c:pt idx="7">
                  <c:v>1.0757346434956709</c:v>
                </c:pt>
                <c:pt idx="8">
                  <c:v>1.0729538059757699</c:v>
                </c:pt>
                <c:pt idx="9">
                  <c:v>0.21518215361714901</c:v>
                </c:pt>
              </c:numCache>
            </c:numRef>
          </c:val>
          <c:extLst>
            <c:ext xmlns:c16="http://schemas.microsoft.com/office/drawing/2014/chart" uri="{C3380CC4-5D6E-409C-BE32-E72D297353CC}">
              <c16:uniqueId val="{00000000-F4EE-4A0F-B7BC-624C0A26C8B3}"/>
            </c:ext>
          </c:extLst>
        </c:ser>
        <c:dLbls>
          <c:showLegendKey val="0"/>
          <c:showVal val="0"/>
          <c:showCatName val="0"/>
          <c:showSerName val="0"/>
          <c:showPercent val="0"/>
          <c:showBubbleSize val="0"/>
        </c:dLbls>
        <c:gapWidth val="0"/>
        <c:axId val="1137126608"/>
        <c:axId val="1137129440"/>
      </c:barChart>
      <c:lineChart>
        <c:grouping val="standard"/>
        <c:varyColors val="0"/>
        <c:ser>
          <c:idx val="1"/>
          <c:order val="1"/>
          <c:tx>
            <c:strRef>
              <c:f>'[coe_extraue_92022.xlsx]Figura 3 - 4'!$B$35</c:f>
              <c:strCache>
                <c:ptCount val="1"/>
                <c:pt idx="0">
                  <c:v>Variazioni percentuali (scala destra)</c:v>
                </c:pt>
              </c:strCache>
            </c:strRef>
          </c:tx>
          <c:spPr>
            <a:ln w="25400" cap="rnd">
              <a:noFill/>
              <a:round/>
            </a:ln>
            <a:effectLst/>
            <a:extLst>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spPr>
          <c:marker>
            <c:symbol val="diamond"/>
            <c:size val="6"/>
            <c:spPr>
              <a:solidFill>
                <a:srgbClr val="FFFFFF"/>
              </a:solidFill>
              <a:ln w="3175">
                <a:solidFill>
                  <a:srgbClr val="141E28"/>
                </a:solidFill>
                <a:prstDash val="solid"/>
              </a:ln>
              <a:effectLst/>
            </c:spPr>
          </c:marker>
          <c:dLbls>
            <c:dLbl>
              <c:idx val="0"/>
              <c:layout>
                <c:manualLayout>
                  <c:x val="-3.81613359535833E-2"/>
                  <c:y val="-5.2845370370370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EE-4A0F-B7BC-624C0A26C8B3}"/>
                </c:ext>
              </c:extLst>
            </c:dLbl>
            <c:dLbl>
              <c:idx val="1"/>
              <c:layout>
                <c:manualLayout>
                  <c:x val="-2.8608450034874E-2"/>
                  <c:y val="-7.6853703703703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EE-4A0F-B7BC-624C0A26C8B3}"/>
                </c:ext>
              </c:extLst>
            </c:dLbl>
            <c:dLbl>
              <c:idx val="2"/>
              <c:layout>
                <c:manualLayout>
                  <c:x val="-2.4747129490387099E-2"/>
                  <c:y val="-4.7326851851851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EE-4A0F-B7BC-624C0A26C8B3}"/>
                </c:ext>
              </c:extLst>
            </c:dLbl>
            <c:dLbl>
              <c:idx val="3"/>
              <c:layout>
                <c:manualLayout>
                  <c:x val="-3.4338010441396699E-2"/>
                  <c:y val="-6.3832407407407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EE-4A0F-B7BC-624C0A26C8B3}"/>
                </c:ext>
              </c:extLst>
            </c:dLbl>
            <c:dLbl>
              <c:idx val="4"/>
              <c:layout>
                <c:manualLayout>
                  <c:x val="-3.4345549138281702E-2"/>
                  <c:y val="-5.21032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EE-4A0F-B7BC-624C0A26C8B3}"/>
                </c:ext>
              </c:extLst>
            </c:dLbl>
            <c:dLbl>
              <c:idx val="5"/>
              <c:layout>
                <c:manualLayout>
                  <c:x val="-2.8593372641104099E-2"/>
                  <c:y val="-6.3470370370370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4EE-4A0F-B7BC-624C0A26C8B3}"/>
                </c:ext>
              </c:extLst>
            </c:dLbl>
            <c:dLbl>
              <c:idx val="6"/>
              <c:layout>
                <c:manualLayout>
                  <c:x val="-3.05008137269418E-2"/>
                  <c:y val="-4.6741203703703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4EE-4A0F-B7BC-624C0A26C8B3}"/>
                </c:ext>
              </c:extLst>
            </c:dLbl>
            <c:dLbl>
              <c:idx val="7"/>
              <c:layout>
                <c:manualLayout>
                  <c:x val="-3.2423030658674003E-2"/>
                  <c:y val="-5.2668981481481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4EE-4A0F-B7BC-624C0A26C8B3}"/>
                </c:ext>
              </c:extLst>
            </c:dLbl>
            <c:dLbl>
              <c:idx val="8"/>
              <c:layout>
                <c:manualLayout>
                  <c:x val="-2.6686233103141901E-2"/>
                  <c:y val="-5.2445370370370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4EE-4A0F-B7BC-624C0A26C8B3}"/>
                </c:ext>
              </c:extLst>
            </c:dLbl>
            <c:dLbl>
              <c:idx val="9"/>
              <c:layout>
                <c:manualLayout>
                  <c:x val="-2.6693771800026699E-2"/>
                  <c:y val="-4.6766203703703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4EE-4A0F-B7BC-624C0A26C8B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'[coe_extraue_92022.xlsx]Figura 3 - 4'!$A$51:$A$60</c:f>
              <c:strCache>
                <c:ptCount val="10"/>
                <c:pt idx="0">
                  <c:v>OPEC</c:v>
                </c:pt>
                <c:pt idx="1">
                  <c:v>Cina</c:v>
                </c:pt>
                <c:pt idx="2">
                  <c:v>Stati Uniti</c:v>
                </c:pt>
                <c:pt idx="3">
                  <c:v>Svizzera</c:v>
                </c:pt>
                <c:pt idx="4">
                  <c:v>Russia</c:v>
                </c:pt>
                <c:pt idx="5">
                  <c:v>ASEAN</c:v>
                </c:pt>
                <c:pt idx="6">
                  <c:v>India</c:v>
                </c:pt>
                <c:pt idx="7">
                  <c:v>MERCOSUR</c:v>
                </c:pt>
                <c:pt idx="8">
                  <c:v>Turchia</c:v>
                </c:pt>
                <c:pt idx="9">
                  <c:v>Regno Unito</c:v>
                </c:pt>
              </c:strCache>
            </c:strRef>
          </c:cat>
          <c:val>
            <c:numRef>
              <c:f>'[coe_extraue_92022.xlsx]Figura 3 - 4'!$B$51:$B$60</c:f>
              <c:numCache>
                <c:formatCode>0.0</c:formatCode>
                <c:ptCount val="10"/>
                <c:pt idx="0">
                  <c:v>112.001109231001</c:v>
                </c:pt>
                <c:pt idx="1">
                  <c:v>39.614213377304203</c:v>
                </c:pt>
                <c:pt idx="2">
                  <c:v>90.065035193219245</c:v>
                </c:pt>
                <c:pt idx="3">
                  <c:v>74.359813841632402</c:v>
                </c:pt>
                <c:pt idx="4">
                  <c:v>20.905600250088209</c:v>
                </c:pt>
                <c:pt idx="5">
                  <c:v>25.77990422735062</c:v>
                </c:pt>
                <c:pt idx="6">
                  <c:v>43.991274649241291</c:v>
                </c:pt>
                <c:pt idx="7">
                  <c:v>42.865194391411251</c:v>
                </c:pt>
                <c:pt idx="8">
                  <c:v>25.332481129015211</c:v>
                </c:pt>
                <c:pt idx="9">
                  <c:v>5.4006640418791267</c:v>
                </c:pt>
              </c:numCache>
            </c:numRef>
          </c:val>
          <c:smooth val="0"/>
          <c:extLst>
            <c:ext xmlns:c16="http://schemas.microsoft.com/office/drawing/2014/chart" uri="{C3380CC4-5D6E-409C-BE32-E72D297353CC}">
              <c16:uniqueId val="{0000000B-F4EE-4A0F-B7BC-624C0A26C8B3}"/>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137135152"/>
        <c:axId val="1137131760"/>
      </c:lineChart>
      <c:catAx>
        <c:axId val="1137126608"/>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1000" b="1" i="0" u="none" strike="noStrike" kern="1200" baseline="0">
                <a:solidFill>
                  <a:srgbClr val="000000"/>
                </a:solidFill>
                <a:latin typeface="Arial Narrow" panose="020B0606020202030204" pitchFamily="34" charset="0"/>
                <a:ea typeface="+mn-ea"/>
                <a:cs typeface="+mn-cs"/>
              </a:defRPr>
            </a:pPr>
            <a:endParaRPr lang="it-IT"/>
          </a:p>
        </c:txPr>
        <c:crossAx val="1137129440"/>
        <c:crosses val="autoZero"/>
        <c:auto val="1"/>
        <c:lblAlgn val="ctr"/>
        <c:lblOffset val="0"/>
        <c:tickLblSkip val="1"/>
        <c:noMultiLvlLbl val="0"/>
      </c:catAx>
      <c:valAx>
        <c:axId val="1137129440"/>
        <c:scaling>
          <c:orientation val="minMax"/>
          <c:max val="20"/>
          <c:min val="-20"/>
        </c:scaling>
        <c:delete val="0"/>
        <c:axPos val="l"/>
        <c:majorGridlines>
          <c:spPr>
            <a:ln w="6350" cap="flat" cmpd="sng" algn="ctr">
              <a:solidFill>
                <a:srgbClr val="A6A6A6"/>
              </a:solidFill>
              <a:prstDash val="sysDash"/>
              <a:round/>
              <a:headEnd type="none" w="med" len="med"/>
              <a:tailEnd type="none" w="med" len="me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137126608"/>
        <c:crosses val="autoZero"/>
        <c:crossBetween val="between"/>
        <c:majorUnit val="5"/>
      </c:valAx>
      <c:valAx>
        <c:axId val="1137131760"/>
        <c:scaling>
          <c:orientation val="minMax"/>
          <c:max val="200"/>
          <c:min val="-200"/>
        </c:scaling>
        <c:delete val="0"/>
        <c:axPos val="r"/>
        <c:title>
          <c:tx>
            <c:rich>
              <a:bodyPr rot="0" vert="horz"/>
              <a:lstStyle/>
              <a:p>
                <a:pPr>
                  <a:defRPr b="0"/>
                </a:pPr>
                <a:r>
                  <a:rPr lang="it-IT" b="0"/>
                  <a:t>%</a:t>
                </a:r>
              </a:p>
            </c:rich>
          </c:tx>
          <c:layout>
            <c:manualLayout>
              <c:xMode val="edge"/>
              <c:yMode val="edge"/>
              <c:x val="0.96166481481481503"/>
              <c:y val="3.1515873015872998E-3"/>
            </c:manualLayout>
          </c:layout>
          <c:overlay val="0"/>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137135152"/>
        <c:crosses val="max"/>
        <c:crossBetween val="between"/>
        <c:majorUnit val="100"/>
      </c:valAx>
      <c:catAx>
        <c:axId val="1137135152"/>
        <c:scaling>
          <c:orientation val="minMax"/>
        </c:scaling>
        <c:delete val="1"/>
        <c:axPos val="b"/>
        <c:numFmt formatCode="General" sourceLinked="1"/>
        <c:majorTickMark val="out"/>
        <c:minorTickMark val="none"/>
        <c:tickLblPos val="nextTo"/>
        <c:crossAx val="1137131760"/>
        <c:crosses val="autoZero"/>
        <c:auto val="1"/>
        <c:lblAlgn val="ctr"/>
        <c:lblOffset val="100"/>
        <c:noMultiLvlLbl val="0"/>
      </c:catAx>
      <c:spPr>
        <a:solidFill>
          <a:srgbClr val="FFFFFF"/>
        </a:solidFill>
        <a:ln w="9525" cap="flat" cmpd="sng" algn="ctr">
          <a:solidFill>
            <a:srgbClr val="DDDDDD"/>
          </a:solidFill>
          <a:prstDash val="solid"/>
          <a:round/>
          <a:headEnd type="none" w="med" len="med"/>
          <a:tailEnd type="none" w="med" len="med"/>
        </a:ln>
        <a:effectLst/>
      </c:spPr>
    </c:plotArea>
    <c:legend>
      <c:legendPos val="t"/>
      <c:layout>
        <c:manualLayout>
          <c:xMode val="edge"/>
          <c:yMode val="edge"/>
          <c:x val="0.12747378568932199"/>
          <c:y val="0"/>
          <c:w val="0.76322656829772895"/>
          <c:h val="9.189071284011690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651638137696099E-2"/>
          <c:y val="0.108013425925926"/>
          <c:w val="0.89947552894285998"/>
          <c:h val="0.61787916666666698"/>
        </c:manualLayout>
      </c:layout>
      <c:barChart>
        <c:barDir val="col"/>
        <c:grouping val="clustered"/>
        <c:varyColors val="0"/>
        <c:ser>
          <c:idx val="0"/>
          <c:order val="0"/>
          <c:tx>
            <c:strRef>
              <c:f>'[coe_extraue_92022.xlsx]Figura 5'!$B$34</c:f>
              <c:strCache>
                <c:ptCount val="1"/>
                <c:pt idx="0">
                  <c:v>Saldi set.2022</c:v>
                </c:pt>
              </c:strCache>
            </c:strRef>
          </c:tx>
          <c:spPr>
            <a:solidFill>
              <a:srgbClr val="008264"/>
            </a:solidFill>
            <a:ln w="9525" cap="flat" cmpd="sng" algn="ctr">
              <a:solidFill>
                <a:srgbClr val="FFFFFF"/>
              </a:solidFill>
              <a:prstDash val="solid"/>
              <a:round/>
              <a:headEnd type="none" w="med" len="med"/>
              <a:tailEnd type="none" w="med" len="med"/>
            </a:ln>
            <a:effectLst/>
          </c:spPr>
          <c:invertIfNegative val="0"/>
          <c:dLbls>
            <c:dLbl>
              <c:idx val="0"/>
              <c:layout>
                <c:manualLayout>
                  <c:x val="0"/>
                  <c:y val="1.7982513068000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09-4FF5-A032-1432D50BF47C}"/>
                </c:ext>
              </c:extLst>
            </c:dLbl>
            <c:dLbl>
              <c:idx val="4"/>
              <c:layout>
                <c:manualLayout>
                  <c:x val="1.9151888044396199E-3"/>
                  <c:y val="1.7638888888888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09-4FF5-A032-1432D50BF47C}"/>
                </c:ext>
              </c:extLst>
            </c:dLbl>
            <c:dLbl>
              <c:idx val="5"/>
              <c:layout>
                <c:manualLayout>
                  <c:x val="0"/>
                  <c:y val="5.93333454803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09-4FF5-A032-1432D50BF47C}"/>
                </c:ext>
              </c:extLst>
            </c:dLbl>
            <c:dLbl>
              <c:idx val="9"/>
              <c:layout>
                <c:manualLayout>
                  <c:x val="-1.4092629816719699E-16"/>
                  <c:y val="2.99708551133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09-4FF5-A032-1432D50BF47C}"/>
                </c:ext>
              </c:extLst>
            </c:dLbl>
            <c:dLbl>
              <c:idx val="37"/>
              <c:tx>
                <c:strRef>
                  <c:f>Foglio1!#REF!</c:f>
                  <c:strCache>
                    <c:ptCount val="1"/>
                    <c:pt idx="0">
                      <c:v>#REF!</c:v>
                    </c:pt>
                  </c:strCache>
                </c:strRef>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{7CD1454C-DA50-844D-9107-BA417C686B5E}</c15:txfldGUID>
                      <c15:f>Foglio1!#REF!</c15:f>
                      <c15:dlblFieldTableCache>
                        <c:ptCount val="1"/>
                        <c:pt idx="0">
                          <c:v>#REF!</c:v>
                        </c:pt>
                      </c15:dlblFieldTableCache>
                    </c15:dlblFTEntry>
                  </c15:dlblFieldTable>
                  <c15:showDataLabelsRange val="0"/>
                </c:ext>
                <c:ext xmlns:c16="http://schemas.microsoft.com/office/drawing/2014/chart" uri="{C3380CC4-5D6E-409C-BE32-E72D297353CC}">
                  <c16:uniqueId val="{00000004-DB09-4FF5-A032-1432D50BF47C}"/>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'[coe_extraue_92022.xlsx]Figura 5'!$A$36:$A$45</c:f>
              <c:strCache>
                <c:ptCount val="10"/>
                <c:pt idx="0">
                  <c:v>Stati Uniti</c:v>
                </c:pt>
                <c:pt idx="1">
                  <c:v>Regno Unito</c:v>
                </c:pt>
                <c:pt idx="2">
                  <c:v>Svizzera</c:v>
                </c:pt>
                <c:pt idx="3">
                  <c:v>Turchia</c:v>
                </c:pt>
                <c:pt idx="4">
                  <c:v>MERCOSUR</c:v>
                </c:pt>
                <c:pt idx="5">
                  <c:v>India</c:v>
                </c:pt>
                <c:pt idx="6">
                  <c:v>ASEAN</c:v>
                </c:pt>
                <c:pt idx="7">
                  <c:v>Russia</c:v>
                </c:pt>
                <c:pt idx="8">
                  <c:v>OPEC</c:v>
                </c:pt>
                <c:pt idx="9">
                  <c:v>Cina</c:v>
                </c:pt>
              </c:strCache>
            </c:strRef>
          </c:cat>
          <c:val>
            <c:numRef>
              <c:f>'[coe_extraue_92022.xlsx]Figura 5'!$B$36:$B$45</c:f>
              <c:numCache>
                <c:formatCode>#,##0</c:formatCode>
                <c:ptCount val="10"/>
                <c:pt idx="0">
                  <c:v>3651.7360060000001</c:v>
                </c:pt>
                <c:pt idx="1">
                  <c:v>1618.2839220000001</c:v>
                </c:pt>
                <c:pt idx="2">
                  <c:v>816.43291199999976</c:v>
                </c:pt>
                <c:pt idx="3">
                  <c:v>193.840395</c:v>
                </c:pt>
                <c:pt idx="4">
                  <c:v>-113.004818</c:v>
                </c:pt>
                <c:pt idx="5">
                  <c:v>-461.10040600000002</c:v>
                </c:pt>
                <c:pt idx="6">
                  <c:v>-625.761032</c:v>
                </c:pt>
                <c:pt idx="7">
                  <c:v>-1380.2844660000001</c:v>
                </c:pt>
                <c:pt idx="8">
                  <c:v>-3089.6591010000002</c:v>
                </c:pt>
                <c:pt idx="9">
                  <c:v>-4398.8046800000002</c:v>
                </c:pt>
              </c:numCache>
            </c:numRef>
          </c:val>
          <c:extLst>
            <c:ext xmlns:c16="http://schemas.microsoft.com/office/drawing/2014/chart" uri="{C3380CC4-5D6E-409C-BE32-E72D297353CC}">
              <c16:uniqueId val="{00000005-DB09-4FF5-A032-1432D50BF47C}"/>
            </c:ext>
          </c:extLst>
        </c:ser>
        <c:dLbls>
          <c:showLegendKey val="0"/>
          <c:showVal val="0"/>
          <c:showCatName val="0"/>
          <c:showSerName val="0"/>
          <c:showPercent val="0"/>
          <c:showBubbleSize val="0"/>
        </c:dLbls>
        <c:gapWidth val="0"/>
        <c:axId val="1132695520"/>
        <c:axId val="1079971424"/>
      </c:barChart>
      <c:catAx>
        <c:axId val="1132695520"/>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ysClr val="windowText" lastClr="000000"/>
            </a:solidFill>
            <a:round/>
          </a:ln>
          <a:effectLst/>
        </c:spPr>
        <c:txPr>
          <a:bodyPr rot="-2700000" spcFirstLastPara="1" vertOverflow="ellipsis" wrap="square" anchor="ctr" anchorCtr="1"/>
          <a:lstStyle/>
          <a:p>
            <a:pPr>
              <a:defRPr sz="1000" b="1" i="0" u="none" strike="noStrike" kern="1200" baseline="0">
                <a:solidFill>
                  <a:srgbClr val="000000"/>
                </a:solidFill>
                <a:latin typeface="Arial Narrow" panose="020B0606020202030204" pitchFamily="34" charset="0"/>
                <a:ea typeface="+mn-ea"/>
                <a:cs typeface="+mn-cs"/>
              </a:defRPr>
            </a:pPr>
            <a:endParaRPr lang="it-IT"/>
          </a:p>
        </c:txPr>
        <c:crossAx val="1079971424"/>
        <c:crosses val="autoZero"/>
        <c:auto val="1"/>
        <c:lblAlgn val="ctr"/>
        <c:lblOffset val="0"/>
        <c:noMultiLvlLbl val="0"/>
      </c:catAx>
      <c:valAx>
        <c:axId val="1079971424"/>
        <c:scaling>
          <c:orientation val="minMax"/>
          <c:max val="6000"/>
          <c:min val="-6000"/>
        </c:scaling>
        <c:delete val="0"/>
        <c:axPos val="l"/>
        <c:majorGridlines>
          <c:spPr>
            <a:ln w="6350" cap="flat" cmpd="sng" algn="ctr">
              <a:solidFill>
                <a:srgbClr val="A6A6A6"/>
              </a:solidFill>
              <a:prstDash val="sysDash"/>
              <a:round/>
              <a:headEnd type="none" w="med" len="med"/>
              <a:tailEnd type="none" w="med" len="me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132695520"/>
        <c:crosses val="autoZero"/>
        <c:crossBetween val="between"/>
        <c:majorUnit val="2000"/>
      </c:valAx>
      <c:spPr>
        <a:solidFill>
          <a:srgbClr val="FFFFFF"/>
        </a:solidFill>
        <a:ln w="9525" cap="flat" cmpd="sng" algn="ctr">
          <a:solidFill>
            <a:srgbClr val="DDDDDD"/>
          </a:solidFill>
          <a:prstDash val="solid"/>
          <a:round/>
          <a:headEnd type="none" w="med" len="med"/>
          <a:tailEnd type="none" w="med" len="med"/>
        </a:ln>
        <a:effectLst/>
      </c:spPr>
    </c:plotArea>
    <c:legend>
      <c:legendPos val="t"/>
      <c:layout>
        <c:manualLayout>
          <c:xMode val="edge"/>
          <c:yMode val="edge"/>
          <c:x val="0.388693755670246"/>
          <c:y val="0"/>
          <c:w val="0.208863607688102"/>
          <c:h val="9.189071284011690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0.03106</cdr:y>
    </cdr:from>
    <cdr:to>
      <cdr:x>0.06614</cdr:x>
      <cdr:y>0.09514</cdr:y>
    </cdr:to>
    <cdr:sp macro="" textlink="">
      <cdr:nvSpPr>
        <cdr:cNvPr id="2" name="CasellaDiTesto 5"/>
        <cdr:cNvSpPr txBox="1"/>
      </cdr:nvSpPr>
      <cdr:spPr>
        <a:xfrm xmlns:a="http://schemas.openxmlformats.org/drawingml/2006/main">
          <a:off x="0" y="100619"/>
          <a:ext cx="428587" cy="20761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it-IT" sz="900">
              <a:latin typeface="Arial Narrow" panose="020B0606020202030204" pitchFamily="34" charset="0"/>
            </a:rPr>
            <a:t>Flussi</a:t>
          </a:r>
        </a:p>
      </cdr:txBody>
    </cdr:sp>
  </cdr:relSizeAnchor>
  <cdr:relSizeAnchor xmlns:cdr="http://schemas.openxmlformats.org/drawingml/2006/chartDrawing">
    <cdr:from>
      <cdr:x>0.93949</cdr:x>
      <cdr:y>0.03903</cdr:y>
    </cdr:from>
    <cdr:to>
      <cdr:x>1</cdr:x>
      <cdr:y>0.10311</cdr:y>
    </cdr:to>
    <cdr:sp macro="" textlink="">
      <cdr:nvSpPr>
        <cdr:cNvPr id="3" name="CasellaDiTesto 6"/>
        <cdr:cNvSpPr txBox="1"/>
      </cdr:nvSpPr>
      <cdr:spPr>
        <a:xfrm xmlns:a="http://schemas.openxmlformats.org/drawingml/2006/main">
          <a:off x="6087895" y="126442"/>
          <a:ext cx="392105" cy="20761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it-IT" sz="900">
              <a:latin typeface="Arial Narrow" panose="020B0606020202030204" pitchFamily="34" charset="0"/>
            </a:rPr>
            <a:t>Saldi</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99B82D3-774F-45B9-9412-3FAAF08C4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F325F-EA70-436F-8D86-72521ECB0E2D}">
  <ds:schemaRefs>
    <ds:schemaRef ds:uri="http://schemas.microsoft.com/sharepoint/events"/>
  </ds:schemaRefs>
</ds:datastoreItem>
</file>

<file path=customXml/itemProps3.xml><?xml version="1.0" encoding="utf-8"?>
<ds:datastoreItem xmlns:ds="http://schemas.openxmlformats.org/officeDocument/2006/customXml" ds:itemID="{BC18B7C5-48CB-4D8F-B2CA-BDF055C20707}">
  <ds:schemaRefs>
    <ds:schemaRef ds:uri="http://schemas.microsoft.com/sharepoint/v3/contenttype/forms"/>
  </ds:schemaRefs>
</ds:datastoreItem>
</file>

<file path=customXml/itemProps4.xml><?xml version="1.0" encoding="utf-8"?>
<ds:datastoreItem xmlns:ds="http://schemas.openxmlformats.org/officeDocument/2006/customXml" ds:itemID="{F31540C7-411D-4144-955F-3350F569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CE3F18-72C1-4B62-93CB-D0C77E346EB6}">
  <ds:schemaRefs>
    <ds:schemaRef ds:uri="http://schemas.openxmlformats.org/officeDocument/2006/bibliography"/>
  </ds:schemaRefs>
</ds:datastoreItem>
</file>

<file path=customXml/itemProps6.xml><?xml version="1.0" encoding="utf-8"?>
<ds:datastoreItem xmlns:ds="http://schemas.openxmlformats.org/officeDocument/2006/customXml" ds:itemID="{B00D97CF-20CD-4046-A670-09B1A9EBF5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3968</Words>
  <Characters>22624</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Giugno 2010</vt:lpstr>
    </vt:vector>
  </TitlesOfParts>
  <Manager/>
  <Company>HP</Company>
  <LinksUpToDate>false</LinksUpToDate>
  <CharactersWithSpaces>26539</CharactersWithSpaces>
  <SharedDoc>false</SharedDoc>
  <HyperlinkBase/>
  <HLinks>
    <vt:vector size="72" baseType="variant">
      <vt:variant>
        <vt:i4>5898331</vt:i4>
      </vt:variant>
      <vt:variant>
        <vt:i4>33</vt:i4>
      </vt:variant>
      <vt:variant>
        <vt:i4>0</vt:i4>
      </vt:variant>
      <vt:variant>
        <vt:i4>5</vt:i4>
      </vt:variant>
      <vt:variant>
        <vt:lpwstr>http://www.istat.it/it/archivio/45225</vt:lpwstr>
      </vt:variant>
      <vt:variant>
        <vt:lpwstr/>
      </vt:variant>
      <vt:variant>
        <vt:i4>3604535</vt:i4>
      </vt:variant>
      <vt:variant>
        <vt:i4>30</vt:i4>
      </vt:variant>
      <vt:variant>
        <vt:i4>0</vt:i4>
      </vt:variant>
      <vt:variant>
        <vt:i4>5</vt:i4>
      </vt:variant>
      <vt:variant>
        <vt:lpwstr>http://www.istat.it/it/archivio/esportazioni+delle+regioni</vt:lpwstr>
      </vt:variant>
      <vt:variant>
        <vt:lpwstr/>
      </vt:variant>
      <vt:variant>
        <vt:i4>1245267</vt:i4>
      </vt:variant>
      <vt:variant>
        <vt:i4>27</vt:i4>
      </vt:variant>
      <vt:variant>
        <vt:i4>0</vt:i4>
      </vt:variant>
      <vt:variant>
        <vt:i4>5</vt:i4>
      </vt:variant>
      <vt:variant>
        <vt:lpwstr>http://www.istat.it/it/archivio/commercio+estero+extra+ue</vt:lpwstr>
      </vt:variant>
      <vt:variant>
        <vt:lpwstr/>
      </vt:variant>
      <vt:variant>
        <vt:i4>4259923</vt:i4>
      </vt:variant>
      <vt:variant>
        <vt:i4>24</vt:i4>
      </vt:variant>
      <vt:variant>
        <vt:i4>0</vt:i4>
      </vt:variant>
      <vt:variant>
        <vt:i4>5</vt:i4>
      </vt:variant>
      <vt:variant>
        <vt:lpwstr>http://www.istat.it/it/archivio/commercio+estero+e+prezzi+import</vt:lpwstr>
      </vt:variant>
      <vt:variant>
        <vt:lpwstr/>
      </vt:variant>
      <vt:variant>
        <vt:i4>1900613</vt:i4>
      </vt:variant>
      <vt:variant>
        <vt:i4>21</vt:i4>
      </vt:variant>
      <vt:variant>
        <vt:i4>0</vt:i4>
      </vt:variant>
      <vt:variant>
        <vt:i4>5</vt:i4>
      </vt:variant>
      <vt:variant>
        <vt:lpwstr>https://www.coeweb.istat.it/</vt:lpwstr>
      </vt:variant>
      <vt:variant>
        <vt:lpwstr/>
      </vt:variant>
      <vt:variant>
        <vt:i4>1900613</vt:i4>
      </vt:variant>
      <vt:variant>
        <vt:i4>18</vt:i4>
      </vt:variant>
      <vt:variant>
        <vt:i4>0</vt:i4>
      </vt:variant>
      <vt:variant>
        <vt:i4>5</vt:i4>
      </vt:variant>
      <vt:variant>
        <vt:lpwstr>https://www.coeweb.istat.it/</vt:lpwstr>
      </vt:variant>
      <vt:variant>
        <vt:lpwstr/>
      </vt:variant>
      <vt:variant>
        <vt:i4>5308420</vt:i4>
      </vt:variant>
      <vt:variant>
        <vt:i4>15</vt:i4>
      </vt:variant>
      <vt:variant>
        <vt:i4>0</vt:i4>
      </vt:variant>
      <vt:variant>
        <vt:i4>5</vt:i4>
      </vt:variant>
      <vt:variant>
        <vt:lpwstr>https://www.coeweb.istat.it/note_metodologiche/note_diffusione.htm</vt:lpwstr>
      </vt:variant>
      <vt:variant>
        <vt:lpwstr/>
      </vt:variant>
      <vt:variant>
        <vt:i4>3735592</vt:i4>
      </vt:variant>
      <vt:variant>
        <vt:i4>12</vt:i4>
      </vt:variant>
      <vt:variant>
        <vt:i4>0</vt:i4>
      </vt:variant>
      <vt:variant>
        <vt:i4>5</vt:i4>
      </vt:variant>
      <vt:variant>
        <vt:lpwstr>http://www.istat.it/it/files/2016/07/scheda-CommercioEsteroextraUE.pdf</vt:lpwstr>
      </vt:variant>
      <vt:variant>
        <vt:lpwstr/>
      </vt:variant>
      <vt:variant>
        <vt:i4>2031617</vt:i4>
      </vt:variant>
      <vt:variant>
        <vt:i4>9</vt:i4>
      </vt:variant>
      <vt:variant>
        <vt:i4>0</vt:i4>
      </vt:variant>
      <vt:variant>
        <vt:i4>5</vt:i4>
      </vt:variant>
      <vt:variant>
        <vt:lpwstr>http://www.istat.it/it/congiuntura/revisioni</vt:lpwstr>
      </vt:variant>
      <vt:variant>
        <vt:lpwstr/>
      </vt:variant>
      <vt:variant>
        <vt:i4>5898331</vt:i4>
      </vt:variant>
      <vt:variant>
        <vt:i4>6</vt:i4>
      </vt:variant>
      <vt:variant>
        <vt:i4>0</vt:i4>
      </vt:variant>
      <vt:variant>
        <vt:i4>5</vt:i4>
      </vt:variant>
      <vt:variant>
        <vt:lpwstr>http://www.istat.it/it/archivio/45225</vt:lpwstr>
      </vt:variant>
      <vt:variant>
        <vt:lpwstr/>
      </vt:variant>
      <vt:variant>
        <vt:i4>7208997</vt:i4>
      </vt:variant>
      <vt:variant>
        <vt:i4>3</vt:i4>
      </vt:variant>
      <vt:variant>
        <vt:i4>0</vt:i4>
      </vt:variant>
      <vt:variant>
        <vt:i4>5</vt:i4>
      </vt:variant>
      <vt:variant>
        <vt:lpwstr>http://www.istat.it/it/congiuntura</vt:lpwstr>
      </vt:variant>
      <vt:variant>
        <vt:lpwstr/>
      </vt:variant>
      <vt:variant>
        <vt:i4>6094849</vt:i4>
      </vt:variant>
      <vt:variant>
        <vt:i4>0</vt:i4>
      </vt:variant>
      <vt:variant>
        <vt:i4>0</vt:i4>
      </vt:variant>
      <vt:variant>
        <vt:i4>5</vt:i4>
      </vt:variant>
      <vt:variant>
        <vt:lpwstr>http://dati.istat.it/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Giugno 2010</dc:title>
  <dc:subject/>
  <dc:creator>ISTAT</dc:creator>
  <cp:keywords/>
  <dc:description/>
  <cp:lastModifiedBy>Mirella Morone</cp:lastModifiedBy>
  <cp:revision>3</cp:revision>
  <cp:lastPrinted>2022-10-22T10:09:00Z</cp:lastPrinted>
  <dcterms:created xsi:type="dcterms:W3CDTF">2022-10-25T20:37:00Z</dcterms:created>
  <dcterms:modified xsi:type="dcterms:W3CDTF">2022-10-25T20:42:00Z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2QYKZWF4TN2A-29-1481</vt:lpwstr>
  </property>
  <property fmtid="{D5CDD505-2E9C-101B-9397-08002B2CF9AE}" pid="3" name="_dlc_DocIdItemGuid">
    <vt:lpwstr>a854da55-5598-4bc3-a3c1-17f98066c950</vt:lpwstr>
  </property>
  <property fmtid="{D5CDD505-2E9C-101B-9397-08002B2CF9AE}" pid="4" name="_dlc_DocIdUrl">
    <vt:lpwstr>https://collaborazione.istat.it/siti/ed/ufficio_stampa/_layouts/DocIdRedir.aspx?ID=2QYKZWF4TN2A-29-1481, 2QYKZWF4TN2A-29-1481</vt:lpwstr>
  </property>
</Properties>
</file>