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8AD" w:rsidRPr="003643F1" w:rsidRDefault="00BE18AD" w:rsidP="00921CE1">
      <w:pPr>
        <w:spacing w:before="0" w:after="0"/>
        <w:ind w:left="1843"/>
        <w:rPr>
          <w:rFonts w:ascii="Arial" w:hAnsi="Arial" w:cs="Arial"/>
          <w:noProof/>
          <w:color w:val="5F5F5F"/>
          <w:sz w:val="16"/>
          <w:szCs w:val="28"/>
        </w:rPr>
      </w:pPr>
    </w:p>
    <w:p w:rsidR="008A27B3" w:rsidRPr="00C8504B" w:rsidRDefault="00691344" w:rsidP="00921CE1">
      <w:pPr>
        <w:spacing w:before="0" w:after="0"/>
        <w:ind w:left="1843"/>
        <w:rPr>
          <w:rFonts w:ascii="Arial" w:hAnsi="Arial" w:cs="Arial"/>
          <w:color w:val="5F5F5F"/>
          <w:sz w:val="28"/>
          <w:szCs w:val="28"/>
        </w:rPr>
      </w:pPr>
      <w:r>
        <w:rPr>
          <w:rFonts w:ascii="Arial" w:hAnsi="Arial" w:cs="Arial"/>
          <w:noProof/>
          <w:color w:val="5F5F5F"/>
          <w:sz w:val="28"/>
          <w:szCs w:val="28"/>
        </w:rPr>
        <w:t>Ottobre</w:t>
      </w:r>
      <w:r w:rsidR="00432B1B">
        <w:rPr>
          <w:rFonts w:ascii="Arial" w:hAnsi="Arial" w:cs="Arial"/>
          <w:noProof/>
          <w:color w:val="5F5F5F"/>
          <w:sz w:val="28"/>
          <w:szCs w:val="28"/>
        </w:rPr>
        <w:t xml:space="preserve"> 20</w:t>
      </w:r>
      <w:r w:rsidR="005B7BD6">
        <w:rPr>
          <w:rFonts w:ascii="Arial" w:hAnsi="Arial" w:cs="Arial"/>
          <w:noProof/>
          <w:color w:val="5F5F5F"/>
          <w:sz w:val="28"/>
          <w:szCs w:val="28"/>
        </w:rPr>
        <w:t>2</w:t>
      </w:r>
      <w:r w:rsidR="00432B1B">
        <w:rPr>
          <w:rFonts w:ascii="Arial" w:hAnsi="Arial" w:cs="Arial"/>
          <w:noProof/>
          <w:color w:val="5F5F5F"/>
          <w:sz w:val="28"/>
          <w:szCs w:val="28"/>
        </w:rPr>
        <w:t>2</w:t>
      </w:r>
    </w:p>
    <w:p w:rsidR="008A27B3" w:rsidRPr="00C8504B" w:rsidRDefault="004C4EFD" w:rsidP="00921CE1">
      <w:pPr>
        <w:spacing w:before="0" w:after="0"/>
        <w:ind w:left="1843"/>
        <w:rPr>
          <w:rFonts w:ascii="Calibri" w:hAnsi="Calibri" w:cs="Arial"/>
          <w:b/>
          <w:bCs/>
          <w:color w:val="5F5F5F"/>
          <w:w w:val="95"/>
          <w:sz w:val="52"/>
          <w:szCs w:val="52"/>
        </w:rPr>
      </w:pPr>
      <w:r>
        <w:rPr>
          <w:rFonts w:ascii="Calibri" w:hAnsi="Calibri" w:cs="Arial"/>
          <w:b/>
          <w:bCs/>
          <w:color w:val="5F5F5F"/>
          <w:w w:val="95"/>
          <w:sz w:val="52"/>
          <w:szCs w:val="52"/>
        </w:rPr>
        <w:t>P</w:t>
      </w:r>
      <w:r w:rsidR="008A27B3" w:rsidRPr="00C8504B">
        <w:rPr>
          <w:rFonts w:ascii="Calibri" w:hAnsi="Calibri" w:cs="Arial"/>
          <w:b/>
          <w:bCs/>
          <w:color w:val="5F5F5F"/>
          <w:w w:val="95"/>
          <w:sz w:val="52"/>
          <w:szCs w:val="52"/>
        </w:rPr>
        <w:t>REZZI AL CONSUMO</w:t>
      </w:r>
    </w:p>
    <w:p w:rsidR="008A27B3" w:rsidRPr="00FA655E" w:rsidRDefault="008A27B3" w:rsidP="00921CE1">
      <w:pPr>
        <w:spacing w:before="0" w:after="0"/>
        <w:ind w:left="1843"/>
        <w:rPr>
          <w:rFonts w:ascii="Arial" w:hAnsi="Arial" w:cs="Arial"/>
          <w:color w:val="808080"/>
          <w:sz w:val="28"/>
          <w:szCs w:val="28"/>
        </w:rPr>
      </w:pPr>
      <w:r w:rsidRPr="00FA655E">
        <w:rPr>
          <w:rFonts w:ascii="Arial" w:hAnsi="Arial" w:cs="Arial"/>
          <w:color w:val="808080"/>
          <w:sz w:val="28"/>
          <w:szCs w:val="28"/>
        </w:rPr>
        <w:t>Dati definitivi</w:t>
      </w:r>
    </w:p>
    <w:p w:rsidR="008A27B3" w:rsidRPr="00931034" w:rsidRDefault="008A27B3" w:rsidP="003643F1">
      <w:pPr>
        <w:spacing w:before="0" w:after="0" w:line="160" w:lineRule="exact"/>
        <w:ind w:left="1814"/>
        <w:rPr>
          <w:rFonts w:ascii="Arial Narrow" w:hAnsi="Arial Narrow" w:cs="Arial"/>
          <w:color w:val="808080"/>
        </w:rPr>
      </w:pPr>
    </w:p>
    <w:p w:rsidR="00EC66CA" w:rsidRDefault="00BA2932" w:rsidP="00FB1AA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9B6ACA">
        <w:rPr>
          <w:rFonts w:ascii="Arial" w:hAnsi="Arial" w:cs="Arial"/>
          <w:sz w:val="21"/>
          <w:szCs w:val="21"/>
        </w:rPr>
        <w:t xml:space="preserve">Nel mese di </w:t>
      </w:r>
      <w:r w:rsidR="0085624E">
        <w:rPr>
          <w:rFonts w:ascii="Arial" w:hAnsi="Arial" w:cs="Arial"/>
          <w:sz w:val="21"/>
          <w:szCs w:val="21"/>
        </w:rPr>
        <w:t>otto</w:t>
      </w:r>
      <w:r w:rsidR="009B6ACA" w:rsidRPr="009B6ACA">
        <w:rPr>
          <w:rFonts w:ascii="Arial" w:hAnsi="Arial" w:cs="Arial"/>
          <w:sz w:val="21"/>
          <w:szCs w:val="21"/>
        </w:rPr>
        <w:t>bre</w:t>
      </w:r>
      <w:r w:rsidR="00367107" w:rsidRPr="009B6ACA">
        <w:rPr>
          <w:rFonts w:ascii="Arial" w:hAnsi="Arial" w:cs="Arial"/>
          <w:sz w:val="21"/>
          <w:szCs w:val="21"/>
        </w:rPr>
        <w:t xml:space="preserve"> 2022</w:t>
      </w:r>
      <w:r w:rsidRPr="009B6ACA">
        <w:rPr>
          <w:rFonts w:ascii="Arial" w:hAnsi="Arial" w:cs="Arial"/>
          <w:sz w:val="21"/>
          <w:szCs w:val="21"/>
        </w:rPr>
        <w:t xml:space="preserve">, si stima che </w:t>
      </w:r>
      <w:r w:rsidRPr="00FA655E">
        <w:rPr>
          <w:rFonts w:ascii="Arial" w:hAnsi="Arial" w:cs="Arial"/>
          <w:sz w:val="21"/>
          <w:szCs w:val="21"/>
        </w:rPr>
        <w:t xml:space="preserve">l’indice nazionale dei prezzi al consumo per l’intera collettività (NIC), al lordo dei tabacchi, </w:t>
      </w:r>
      <w:r w:rsidR="0085624E">
        <w:rPr>
          <w:rFonts w:ascii="Arial" w:hAnsi="Arial" w:cs="Arial"/>
          <w:sz w:val="21"/>
          <w:szCs w:val="21"/>
        </w:rPr>
        <w:t xml:space="preserve">registri </w:t>
      </w:r>
      <w:r w:rsidR="00691344" w:rsidRPr="002E2387">
        <w:rPr>
          <w:rFonts w:ascii="Arial" w:hAnsi="Arial" w:cs="Arial"/>
          <w:sz w:val="21"/>
          <w:szCs w:val="21"/>
        </w:rPr>
        <w:t>un a</w:t>
      </w:r>
      <w:r w:rsidR="002C552E">
        <w:rPr>
          <w:rFonts w:ascii="Arial" w:hAnsi="Arial" w:cs="Arial"/>
          <w:sz w:val="21"/>
          <w:szCs w:val="21"/>
        </w:rPr>
        <w:t>umento del 3,4</w:t>
      </w:r>
      <w:r w:rsidR="00691344" w:rsidRPr="002E2387">
        <w:rPr>
          <w:rFonts w:ascii="Arial" w:hAnsi="Arial" w:cs="Arial"/>
          <w:sz w:val="21"/>
          <w:szCs w:val="21"/>
        </w:rPr>
        <w:t>% su base mensile e del</w:t>
      </w:r>
      <w:r w:rsidR="00691344">
        <w:rPr>
          <w:rFonts w:ascii="Arial" w:hAnsi="Arial" w:cs="Arial"/>
          <w:sz w:val="21"/>
          <w:szCs w:val="21"/>
        </w:rPr>
        <w:t>l’11,</w:t>
      </w:r>
      <w:r w:rsidR="002C552E">
        <w:rPr>
          <w:rFonts w:ascii="Arial" w:hAnsi="Arial" w:cs="Arial"/>
          <w:sz w:val="21"/>
          <w:szCs w:val="21"/>
        </w:rPr>
        <w:t>8</w:t>
      </w:r>
      <w:r w:rsidR="00691344" w:rsidRPr="002E2387">
        <w:rPr>
          <w:rFonts w:ascii="Arial" w:hAnsi="Arial" w:cs="Arial"/>
          <w:sz w:val="21"/>
          <w:szCs w:val="21"/>
        </w:rPr>
        <w:t xml:space="preserve">% su base annua </w:t>
      </w:r>
      <w:r w:rsidR="00BF6871" w:rsidRPr="002E2387">
        <w:rPr>
          <w:rFonts w:ascii="Arial" w:hAnsi="Arial" w:cs="Arial"/>
          <w:sz w:val="21"/>
          <w:szCs w:val="21"/>
        </w:rPr>
        <w:t>(</w:t>
      </w:r>
      <w:r w:rsidR="009B6ACA">
        <w:rPr>
          <w:rFonts w:ascii="Arial" w:hAnsi="Arial" w:cs="Arial"/>
          <w:sz w:val="21"/>
          <w:szCs w:val="21"/>
        </w:rPr>
        <w:t>da +8,</w:t>
      </w:r>
      <w:r w:rsidR="00691344">
        <w:rPr>
          <w:rFonts w:ascii="Arial" w:hAnsi="Arial" w:cs="Arial"/>
          <w:sz w:val="21"/>
          <w:szCs w:val="21"/>
        </w:rPr>
        <w:t>9</w:t>
      </w:r>
      <w:r w:rsidR="009B6ACA" w:rsidRPr="002E2387">
        <w:rPr>
          <w:rFonts w:ascii="Arial" w:hAnsi="Arial" w:cs="Arial"/>
          <w:sz w:val="21"/>
          <w:szCs w:val="21"/>
        </w:rPr>
        <w:t>% del mese precedente</w:t>
      </w:r>
      <w:r w:rsidR="00BF6871">
        <w:rPr>
          <w:rFonts w:ascii="Arial" w:hAnsi="Arial" w:cs="Arial"/>
          <w:sz w:val="21"/>
          <w:szCs w:val="21"/>
        </w:rPr>
        <w:t>)</w:t>
      </w:r>
      <w:r w:rsidR="00691344">
        <w:rPr>
          <w:rFonts w:ascii="Arial" w:hAnsi="Arial" w:cs="Arial"/>
          <w:sz w:val="21"/>
          <w:szCs w:val="21"/>
        </w:rPr>
        <w:t>;</w:t>
      </w:r>
      <w:r w:rsidR="00546233">
        <w:rPr>
          <w:rFonts w:ascii="Arial" w:hAnsi="Arial" w:cs="Arial"/>
          <w:sz w:val="21"/>
          <w:szCs w:val="21"/>
        </w:rPr>
        <w:t xml:space="preserve"> </w:t>
      </w:r>
      <w:r w:rsidR="00691344">
        <w:rPr>
          <w:rFonts w:ascii="Arial" w:hAnsi="Arial" w:cs="Arial"/>
          <w:sz w:val="21"/>
          <w:szCs w:val="21"/>
        </w:rPr>
        <w:t>la stima preliminare era +1</w:t>
      </w:r>
      <w:r w:rsidR="002C552E">
        <w:rPr>
          <w:rFonts w:ascii="Arial" w:hAnsi="Arial" w:cs="Arial"/>
          <w:sz w:val="21"/>
          <w:szCs w:val="21"/>
        </w:rPr>
        <w:t>1</w:t>
      </w:r>
      <w:r w:rsidR="00691344">
        <w:rPr>
          <w:rFonts w:ascii="Arial" w:hAnsi="Arial" w:cs="Arial"/>
          <w:sz w:val="21"/>
          <w:szCs w:val="21"/>
        </w:rPr>
        <w:t>,</w:t>
      </w:r>
      <w:r w:rsidR="002C552E">
        <w:rPr>
          <w:rFonts w:ascii="Arial" w:hAnsi="Arial" w:cs="Arial"/>
          <w:sz w:val="21"/>
          <w:szCs w:val="21"/>
        </w:rPr>
        <w:t>9</w:t>
      </w:r>
      <w:r w:rsidR="00691344">
        <w:rPr>
          <w:rFonts w:ascii="Arial" w:hAnsi="Arial" w:cs="Arial"/>
          <w:sz w:val="21"/>
          <w:szCs w:val="21"/>
        </w:rPr>
        <w:t>%</w:t>
      </w:r>
      <w:r w:rsidR="00691344" w:rsidRPr="00FC1229">
        <w:rPr>
          <w:rFonts w:ascii="Arial" w:hAnsi="Arial" w:cs="Arial"/>
          <w:sz w:val="21"/>
          <w:szCs w:val="21"/>
        </w:rPr>
        <w:t>.</w:t>
      </w:r>
    </w:p>
    <w:p w:rsidR="00691344" w:rsidRPr="003F1004" w:rsidRDefault="00691344" w:rsidP="0069134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Pr>
          <w:rFonts w:ascii="Arial" w:hAnsi="Arial" w:cs="Arial"/>
          <w:sz w:val="21"/>
          <w:szCs w:val="21"/>
        </w:rPr>
        <w:t>La forte</w:t>
      </w:r>
      <w:r w:rsidRPr="00F757FA">
        <w:rPr>
          <w:rFonts w:ascii="Arial" w:hAnsi="Arial" w:cs="Arial"/>
          <w:sz w:val="21"/>
          <w:szCs w:val="21"/>
        </w:rPr>
        <w:t xml:space="preserve"> accelerazione </w:t>
      </w:r>
      <w:r>
        <w:rPr>
          <w:rFonts w:ascii="Arial" w:hAnsi="Arial" w:cs="Arial"/>
          <w:sz w:val="21"/>
          <w:szCs w:val="21"/>
        </w:rPr>
        <w:t>dell’inflazione</w:t>
      </w:r>
      <w:r w:rsidRPr="00F757FA">
        <w:rPr>
          <w:rFonts w:ascii="Arial" w:hAnsi="Arial" w:cs="Arial"/>
          <w:sz w:val="21"/>
          <w:szCs w:val="21"/>
        </w:rPr>
        <w:t xml:space="preserve"> </w:t>
      </w:r>
      <w:r>
        <w:rPr>
          <w:rFonts w:ascii="Arial" w:hAnsi="Arial" w:cs="Arial"/>
          <w:sz w:val="21"/>
          <w:szCs w:val="21"/>
        </w:rPr>
        <w:t xml:space="preserve">su </w:t>
      </w:r>
      <w:r w:rsidRPr="00F757FA">
        <w:rPr>
          <w:rFonts w:ascii="Arial" w:hAnsi="Arial" w:cs="Arial"/>
          <w:sz w:val="21"/>
          <w:szCs w:val="21"/>
        </w:rPr>
        <w:t>base tendenziale si deve</w:t>
      </w:r>
      <w:r>
        <w:rPr>
          <w:rFonts w:ascii="Arial" w:hAnsi="Arial" w:cs="Arial"/>
          <w:sz w:val="21"/>
          <w:szCs w:val="21"/>
        </w:rPr>
        <w:t xml:space="preserve"> soprattutto</w:t>
      </w:r>
      <w:r w:rsidRPr="00F757FA">
        <w:rPr>
          <w:rFonts w:ascii="Arial" w:hAnsi="Arial" w:cs="Arial"/>
          <w:sz w:val="21"/>
          <w:szCs w:val="21"/>
        </w:rPr>
        <w:t xml:space="preserve"> </w:t>
      </w:r>
      <w:r>
        <w:rPr>
          <w:rFonts w:ascii="Arial" w:hAnsi="Arial" w:cs="Arial"/>
          <w:sz w:val="21"/>
          <w:szCs w:val="21"/>
        </w:rPr>
        <w:t xml:space="preserve">ai prezzi dei Beni energetici </w:t>
      </w:r>
      <w:r w:rsidRPr="00F757FA">
        <w:rPr>
          <w:rFonts w:ascii="Arial" w:hAnsi="Arial" w:cs="Arial"/>
          <w:sz w:val="21"/>
          <w:szCs w:val="21"/>
        </w:rPr>
        <w:t>(la cui crescita passa da +</w:t>
      </w:r>
      <w:r>
        <w:rPr>
          <w:rFonts w:ascii="Arial" w:hAnsi="Arial" w:cs="Arial"/>
          <w:sz w:val="21"/>
          <w:szCs w:val="21"/>
        </w:rPr>
        <w:t>44,5</w:t>
      </w:r>
      <w:r w:rsidRPr="00F757FA">
        <w:rPr>
          <w:rFonts w:ascii="Arial" w:hAnsi="Arial" w:cs="Arial"/>
          <w:sz w:val="21"/>
          <w:szCs w:val="21"/>
        </w:rPr>
        <w:t xml:space="preserve">% di </w:t>
      </w:r>
      <w:r>
        <w:rPr>
          <w:rFonts w:ascii="Arial" w:hAnsi="Arial" w:cs="Arial"/>
          <w:sz w:val="21"/>
          <w:szCs w:val="21"/>
        </w:rPr>
        <w:t>settembre</w:t>
      </w:r>
      <w:r w:rsidRPr="00F757FA">
        <w:rPr>
          <w:rFonts w:ascii="Arial" w:hAnsi="Arial" w:cs="Arial"/>
          <w:sz w:val="21"/>
          <w:szCs w:val="21"/>
        </w:rPr>
        <w:t xml:space="preserve"> a +</w:t>
      </w:r>
      <w:r>
        <w:rPr>
          <w:rFonts w:ascii="Arial" w:hAnsi="Arial" w:cs="Arial"/>
          <w:sz w:val="21"/>
          <w:szCs w:val="21"/>
        </w:rPr>
        <w:t>7</w:t>
      </w:r>
      <w:r w:rsidR="00D93C4C">
        <w:rPr>
          <w:rFonts w:ascii="Arial" w:hAnsi="Arial" w:cs="Arial"/>
          <w:sz w:val="21"/>
          <w:szCs w:val="21"/>
        </w:rPr>
        <w:t>1</w:t>
      </w:r>
      <w:r>
        <w:rPr>
          <w:rFonts w:ascii="Arial" w:hAnsi="Arial" w:cs="Arial"/>
          <w:sz w:val="21"/>
          <w:szCs w:val="21"/>
        </w:rPr>
        <w:t>,</w:t>
      </w:r>
      <w:r w:rsidR="00D93C4C">
        <w:rPr>
          <w:rFonts w:ascii="Arial" w:hAnsi="Arial" w:cs="Arial"/>
          <w:sz w:val="21"/>
          <w:szCs w:val="21"/>
        </w:rPr>
        <w:t>1</w:t>
      </w:r>
      <w:r w:rsidRPr="00F757FA">
        <w:rPr>
          <w:rFonts w:ascii="Arial" w:hAnsi="Arial" w:cs="Arial"/>
          <w:sz w:val="21"/>
          <w:szCs w:val="21"/>
        </w:rPr>
        <w:t xml:space="preserve">%) sia </w:t>
      </w:r>
      <w:r>
        <w:rPr>
          <w:rFonts w:ascii="Arial" w:hAnsi="Arial" w:cs="Arial"/>
          <w:sz w:val="21"/>
          <w:szCs w:val="21"/>
        </w:rPr>
        <w:t>regolamentati</w:t>
      </w:r>
      <w:r w:rsidRPr="00F757FA">
        <w:rPr>
          <w:rFonts w:ascii="Arial" w:hAnsi="Arial" w:cs="Arial"/>
          <w:sz w:val="21"/>
          <w:szCs w:val="21"/>
        </w:rPr>
        <w:t xml:space="preserve"> (da +</w:t>
      </w:r>
      <w:r>
        <w:rPr>
          <w:rFonts w:ascii="Arial" w:hAnsi="Arial" w:cs="Arial"/>
          <w:sz w:val="21"/>
          <w:szCs w:val="21"/>
        </w:rPr>
        <w:t>47,7</w:t>
      </w:r>
      <w:r w:rsidRPr="00F757FA">
        <w:rPr>
          <w:rFonts w:ascii="Arial" w:hAnsi="Arial" w:cs="Arial"/>
          <w:sz w:val="21"/>
          <w:szCs w:val="21"/>
        </w:rPr>
        <w:t>% a +</w:t>
      </w:r>
      <w:r w:rsidR="00D93C4C">
        <w:rPr>
          <w:rFonts w:ascii="Arial" w:hAnsi="Arial" w:cs="Arial"/>
          <w:sz w:val="21"/>
          <w:szCs w:val="21"/>
        </w:rPr>
        <w:t>51,6</w:t>
      </w:r>
      <w:r w:rsidRPr="00F757FA">
        <w:rPr>
          <w:rFonts w:ascii="Arial" w:hAnsi="Arial" w:cs="Arial"/>
          <w:sz w:val="21"/>
          <w:szCs w:val="21"/>
        </w:rPr>
        <w:t xml:space="preserve">%) </w:t>
      </w:r>
      <w:r>
        <w:rPr>
          <w:rFonts w:ascii="Arial" w:hAnsi="Arial" w:cs="Arial"/>
          <w:sz w:val="21"/>
          <w:szCs w:val="21"/>
        </w:rPr>
        <w:t>sia</w:t>
      </w:r>
      <w:r w:rsidRPr="00F757FA">
        <w:rPr>
          <w:rFonts w:ascii="Arial" w:hAnsi="Arial" w:cs="Arial"/>
          <w:sz w:val="21"/>
          <w:szCs w:val="21"/>
        </w:rPr>
        <w:t xml:space="preserve"> </w:t>
      </w:r>
      <w:r>
        <w:rPr>
          <w:rFonts w:ascii="Arial" w:hAnsi="Arial" w:cs="Arial"/>
          <w:sz w:val="21"/>
          <w:szCs w:val="21"/>
        </w:rPr>
        <w:t>non regolamentati</w:t>
      </w:r>
      <w:r w:rsidRPr="00F757FA">
        <w:rPr>
          <w:rFonts w:ascii="Arial" w:hAnsi="Arial" w:cs="Arial"/>
          <w:sz w:val="21"/>
          <w:szCs w:val="21"/>
        </w:rPr>
        <w:t xml:space="preserve"> (da +</w:t>
      </w:r>
      <w:r>
        <w:rPr>
          <w:rFonts w:ascii="Arial" w:hAnsi="Arial" w:cs="Arial"/>
          <w:sz w:val="21"/>
          <w:szCs w:val="21"/>
        </w:rPr>
        <w:t>41,2</w:t>
      </w:r>
      <w:r w:rsidRPr="00F757FA">
        <w:rPr>
          <w:rFonts w:ascii="Arial" w:hAnsi="Arial" w:cs="Arial"/>
          <w:sz w:val="21"/>
          <w:szCs w:val="21"/>
        </w:rPr>
        <w:t>% a +</w:t>
      </w:r>
      <w:r>
        <w:rPr>
          <w:rFonts w:ascii="Arial" w:hAnsi="Arial" w:cs="Arial"/>
          <w:sz w:val="21"/>
          <w:szCs w:val="21"/>
        </w:rPr>
        <w:t>79,</w:t>
      </w:r>
      <w:r w:rsidR="00D93C4C">
        <w:rPr>
          <w:rFonts w:ascii="Arial" w:hAnsi="Arial" w:cs="Arial"/>
          <w:sz w:val="21"/>
          <w:szCs w:val="21"/>
        </w:rPr>
        <w:t>4</w:t>
      </w:r>
      <w:r w:rsidRPr="00F757FA">
        <w:rPr>
          <w:rFonts w:ascii="Arial" w:hAnsi="Arial" w:cs="Arial"/>
          <w:sz w:val="21"/>
          <w:szCs w:val="21"/>
        </w:rPr>
        <w:t>%)</w:t>
      </w:r>
      <w:r>
        <w:rPr>
          <w:rFonts w:ascii="Arial" w:hAnsi="Arial" w:cs="Arial"/>
          <w:sz w:val="21"/>
          <w:szCs w:val="21"/>
        </w:rPr>
        <w:t xml:space="preserve">, e in misura minore ai prezzi </w:t>
      </w:r>
      <w:r w:rsidRPr="00F757FA">
        <w:rPr>
          <w:rFonts w:ascii="Arial" w:hAnsi="Arial" w:cs="Arial"/>
          <w:sz w:val="21"/>
          <w:szCs w:val="21"/>
        </w:rPr>
        <w:t>dei</w:t>
      </w:r>
      <w:r>
        <w:rPr>
          <w:rFonts w:ascii="Arial" w:hAnsi="Arial" w:cs="Arial"/>
          <w:sz w:val="21"/>
          <w:szCs w:val="21"/>
        </w:rPr>
        <w:t xml:space="preserve"> Beni alimentari (da +11,4% a +13,1%), sia lavorati</w:t>
      </w:r>
      <w:r w:rsidRPr="00F757FA">
        <w:rPr>
          <w:rFonts w:ascii="Arial" w:hAnsi="Arial" w:cs="Arial"/>
          <w:sz w:val="21"/>
          <w:szCs w:val="21"/>
        </w:rPr>
        <w:t xml:space="preserve"> (da +</w:t>
      </w:r>
      <w:r>
        <w:rPr>
          <w:rFonts w:ascii="Arial" w:hAnsi="Arial" w:cs="Arial"/>
          <w:sz w:val="21"/>
          <w:szCs w:val="21"/>
        </w:rPr>
        <w:t>11,4</w:t>
      </w:r>
      <w:r w:rsidRPr="00F757FA">
        <w:rPr>
          <w:rFonts w:ascii="Arial" w:hAnsi="Arial" w:cs="Arial"/>
          <w:sz w:val="21"/>
          <w:szCs w:val="21"/>
        </w:rPr>
        <w:t>% a +</w:t>
      </w:r>
      <w:r>
        <w:rPr>
          <w:rFonts w:ascii="Arial" w:hAnsi="Arial" w:cs="Arial"/>
          <w:sz w:val="21"/>
          <w:szCs w:val="21"/>
        </w:rPr>
        <w:t>13,</w:t>
      </w:r>
      <w:r w:rsidR="00D93C4C">
        <w:rPr>
          <w:rFonts w:ascii="Arial" w:hAnsi="Arial" w:cs="Arial"/>
          <w:sz w:val="21"/>
          <w:szCs w:val="21"/>
        </w:rPr>
        <w:t>3</w:t>
      </w:r>
      <w:r w:rsidRPr="00F757FA">
        <w:rPr>
          <w:rFonts w:ascii="Arial" w:hAnsi="Arial" w:cs="Arial"/>
          <w:sz w:val="21"/>
          <w:szCs w:val="21"/>
        </w:rPr>
        <w:t>%)</w:t>
      </w:r>
      <w:r>
        <w:rPr>
          <w:rFonts w:ascii="Arial" w:hAnsi="Arial" w:cs="Arial"/>
          <w:sz w:val="21"/>
          <w:szCs w:val="21"/>
        </w:rPr>
        <w:t xml:space="preserve"> sia non lavorati</w:t>
      </w:r>
      <w:r w:rsidRPr="00F757FA">
        <w:rPr>
          <w:rFonts w:ascii="Arial" w:hAnsi="Arial" w:cs="Arial"/>
          <w:sz w:val="21"/>
          <w:szCs w:val="21"/>
        </w:rPr>
        <w:t xml:space="preserve"> (da</w:t>
      </w:r>
      <w:r>
        <w:rPr>
          <w:rFonts w:ascii="Arial" w:hAnsi="Arial" w:cs="Arial"/>
          <w:sz w:val="21"/>
          <w:szCs w:val="21"/>
        </w:rPr>
        <w:t xml:space="preserve"> </w:t>
      </w:r>
      <w:r w:rsidRPr="00F757FA">
        <w:rPr>
          <w:rFonts w:ascii="Arial" w:hAnsi="Arial" w:cs="Arial"/>
          <w:sz w:val="21"/>
          <w:szCs w:val="21"/>
        </w:rPr>
        <w:t>+</w:t>
      </w:r>
      <w:r>
        <w:rPr>
          <w:rFonts w:ascii="Arial" w:hAnsi="Arial" w:cs="Arial"/>
          <w:sz w:val="21"/>
          <w:szCs w:val="21"/>
        </w:rPr>
        <w:t>11,0</w:t>
      </w:r>
      <w:r w:rsidRPr="00F757FA">
        <w:rPr>
          <w:rFonts w:ascii="Arial" w:hAnsi="Arial" w:cs="Arial"/>
          <w:sz w:val="21"/>
          <w:szCs w:val="21"/>
        </w:rPr>
        <w:t>% a +</w:t>
      </w:r>
      <w:r>
        <w:rPr>
          <w:rFonts w:ascii="Arial" w:hAnsi="Arial" w:cs="Arial"/>
          <w:sz w:val="21"/>
          <w:szCs w:val="21"/>
        </w:rPr>
        <w:t>12,9</w:t>
      </w:r>
      <w:r w:rsidRPr="00F757FA">
        <w:rPr>
          <w:rFonts w:ascii="Arial" w:hAnsi="Arial" w:cs="Arial"/>
          <w:sz w:val="21"/>
          <w:szCs w:val="21"/>
        </w:rPr>
        <w:t>%)</w:t>
      </w:r>
      <w:r w:rsidR="00DF75E8">
        <w:rPr>
          <w:rFonts w:ascii="Arial" w:hAnsi="Arial" w:cs="Arial"/>
          <w:sz w:val="21"/>
          <w:szCs w:val="21"/>
        </w:rPr>
        <w:t>,</w:t>
      </w:r>
      <w:r>
        <w:rPr>
          <w:rFonts w:ascii="Arial" w:hAnsi="Arial" w:cs="Arial"/>
          <w:sz w:val="21"/>
          <w:szCs w:val="21"/>
        </w:rPr>
        <w:t xml:space="preserve"> e degli Altri beni (da +4,0% a +4,</w:t>
      </w:r>
      <w:r w:rsidR="00D93C4C">
        <w:rPr>
          <w:rFonts w:ascii="Arial" w:hAnsi="Arial" w:cs="Arial"/>
          <w:sz w:val="21"/>
          <w:szCs w:val="21"/>
        </w:rPr>
        <w:t>6</w:t>
      </w:r>
      <w:r>
        <w:rPr>
          <w:rFonts w:ascii="Arial" w:hAnsi="Arial" w:cs="Arial"/>
          <w:sz w:val="21"/>
          <w:szCs w:val="21"/>
        </w:rPr>
        <w:t xml:space="preserve">%). Rallentano invece </w:t>
      </w:r>
      <w:r w:rsidRPr="00F757FA">
        <w:rPr>
          <w:rFonts w:ascii="Arial" w:hAnsi="Arial" w:cs="Arial"/>
          <w:sz w:val="21"/>
          <w:szCs w:val="21"/>
        </w:rPr>
        <w:t xml:space="preserve">i prezzi dei </w:t>
      </w:r>
      <w:r w:rsidRPr="00B044E0">
        <w:rPr>
          <w:rFonts w:ascii="Arial" w:hAnsi="Arial" w:cs="Arial"/>
          <w:sz w:val="21"/>
          <w:szCs w:val="21"/>
        </w:rPr>
        <w:t>Servizi ricreativi, culturali e per la cura della persona</w:t>
      </w:r>
      <w:r w:rsidRPr="00F757FA">
        <w:rPr>
          <w:rFonts w:ascii="Arial" w:hAnsi="Arial" w:cs="Arial"/>
          <w:sz w:val="21"/>
          <w:szCs w:val="21"/>
        </w:rPr>
        <w:t xml:space="preserve"> (da +</w:t>
      </w:r>
      <w:r>
        <w:rPr>
          <w:rFonts w:ascii="Arial" w:hAnsi="Arial" w:cs="Arial"/>
          <w:sz w:val="21"/>
          <w:szCs w:val="21"/>
        </w:rPr>
        <w:t>5,7</w:t>
      </w:r>
      <w:r w:rsidRPr="00F757FA">
        <w:rPr>
          <w:rFonts w:ascii="Arial" w:hAnsi="Arial" w:cs="Arial"/>
          <w:sz w:val="21"/>
          <w:szCs w:val="21"/>
        </w:rPr>
        <w:t xml:space="preserve">% di </w:t>
      </w:r>
      <w:r>
        <w:rPr>
          <w:rFonts w:ascii="Arial" w:hAnsi="Arial" w:cs="Arial"/>
          <w:sz w:val="21"/>
          <w:szCs w:val="21"/>
        </w:rPr>
        <w:t>settembre</w:t>
      </w:r>
      <w:r w:rsidRPr="00F757FA">
        <w:rPr>
          <w:rFonts w:ascii="Arial" w:hAnsi="Arial" w:cs="Arial"/>
          <w:sz w:val="21"/>
          <w:szCs w:val="21"/>
        </w:rPr>
        <w:t xml:space="preserve"> </w:t>
      </w:r>
      <w:r>
        <w:rPr>
          <w:rFonts w:ascii="Arial" w:hAnsi="Arial" w:cs="Arial"/>
          <w:sz w:val="21"/>
          <w:szCs w:val="21"/>
        </w:rPr>
        <w:t xml:space="preserve">a </w:t>
      </w:r>
      <w:r w:rsidRPr="00F757FA">
        <w:rPr>
          <w:rFonts w:ascii="Arial" w:hAnsi="Arial" w:cs="Arial"/>
          <w:sz w:val="21"/>
          <w:szCs w:val="21"/>
        </w:rPr>
        <w:t>+</w:t>
      </w:r>
      <w:r>
        <w:rPr>
          <w:rFonts w:ascii="Arial" w:hAnsi="Arial" w:cs="Arial"/>
          <w:sz w:val="21"/>
          <w:szCs w:val="21"/>
        </w:rPr>
        <w:t>5,</w:t>
      </w:r>
      <w:r w:rsidR="00D93C4C">
        <w:rPr>
          <w:rFonts w:ascii="Arial" w:hAnsi="Arial" w:cs="Arial"/>
          <w:sz w:val="21"/>
          <w:szCs w:val="21"/>
        </w:rPr>
        <w:t>2</w:t>
      </w:r>
      <w:r w:rsidRPr="00F757FA">
        <w:rPr>
          <w:rFonts w:ascii="Arial" w:hAnsi="Arial" w:cs="Arial"/>
          <w:sz w:val="21"/>
          <w:szCs w:val="21"/>
        </w:rPr>
        <w:t>%)</w:t>
      </w:r>
      <w:r>
        <w:rPr>
          <w:rFonts w:ascii="Arial" w:hAnsi="Arial" w:cs="Arial"/>
          <w:sz w:val="21"/>
          <w:szCs w:val="21"/>
        </w:rPr>
        <w:t>.</w:t>
      </w:r>
    </w:p>
    <w:p w:rsidR="00691344" w:rsidRDefault="00691344" w:rsidP="0069134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Pr>
          <w:rFonts w:ascii="Arial" w:hAnsi="Arial" w:cs="Arial"/>
          <w:sz w:val="21"/>
          <w:szCs w:val="21"/>
        </w:rPr>
        <w:t>L</w:t>
      </w:r>
      <w:r w:rsidRPr="00BB0BDC">
        <w:rPr>
          <w:rFonts w:ascii="Arial" w:hAnsi="Arial" w:cs="Arial"/>
          <w:sz w:val="21"/>
          <w:szCs w:val="21"/>
        </w:rPr>
        <w:t>’“inflazione di fondo”, al netto degli energe</w:t>
      </w:r>
      <w:r>
        <w:rPr>
          <w:rFonts w:ascii="Arial" w:hAnsi="Arial" w:cs="Arial"/>
          <w:sz w:val="21"/>
          <w:szCs w:val="21"/>
        </w:rPr>
        <w:t xml:space="preserve">tici e degli alimentari freschi, accelera da +5,0% a +5,3% e </w:t>
      </w:r>
      <w:r w:rsidRPr="00BB0BDC">
        <w:rPr>
          <w:rFonts w:ascii="Arial" w:hAnsi="Arial" w:cs="Arial"/>
          <w:sz w:val="21"/>
          <w:szCs w:val="21"/>
        </w:rPr>
        <w:t xml:space="preserve">quella al netto dei soli beni energetici </w:t>
      </w:r>
      <w:r>
        <w:rPr>
          <w:rFonts w:ascii="Arial" w:hAnsi="Arial" w:cs="Arial"/>
          <w:sz w:val="21"/>
          <w:szCs w:val="21"/>
        </w:rPr>
        <w:t>da +5,5% a +5,</w:t>
      </w:r>
      <w:r w:rsidR="00D93C4C">
        <w:rPr>
          <w:rFonts w:ascii="Arial" w:hAnsi="Arial" w:cs="Arial"/>
          <w:sz w:val="21"/>
          <w:szCs w:val="21"/>
        </w:rPr>
        <w:t>9</w:t>
      </w:r>
      <w:r>
        <w:rPr>
          <w:rFonts w:ascii="Arial" w:hAnsi="Arial" w:cs="Arial"/>
          <w:sz w:val="21"/>
          <w:szCs w:val="21"/>
        </w:rPr>
        <w:t>%.</w:t>
      </w:r>
    </w:p>
    <w:p w:rsidR="009B6ACA" w:rsidRDefault="00691344" w:rsidP="00FB1AA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Pr>
          <w:rFonts w:ascii="Arial" w:hAnsi="Arial" w:cs="Arial"/>
          <w:sz w:val="21"/>
          <w:szCs w:val="21"/>
        </w:rPr>
        <w:t>Su base annua accelerano i prezzi dei beni</w:t>
      </w:r>
      <w:r w:rsidRPr="00570391">
        <w:rPr>
          <w:rFonts w:ascii="Arial" w:hAnsi="Arial" w:cs="Arial"/>
          <w:sz w:val="21"/>
          <w:szCs w:val="21"/>
        </w:rPr>
        <w:t xml:space="preserve"> (da </w:t>
      </w:r>
      <w:r>
        <w:rPr>
          <w:rFonts w:ascii="Arial" w:hAnsi="Arial" w:cs="Arial"/>
          <w:sz w:val="21"/>
          <w:szCs w:val="21"/>
        </w:rPr>
        <w:t>+12,5%</w:t>
      </w:r>
      <w:r w:rsidRPr="00570391">
        <w:rPr>
          <w:rFonts w:ascii="Arial" w:hAnsi="Arial" w:cs="Arial"/>
          <w:sz w:val="21"/>
          <w:szCs w:val="21"/>
        </w:rPr>
        <w:t xml:space="preserve"> a </w:t>
      </w:r>
      <w:r>
        <w:rPr>
          <w:rFonts w:ascii="Arial" w:hAnsi="Arial" w:cs="Arial"/>
          <w:sz w:val="21"/>
          <w:szCs w:val="21"/>
        </w:rPr>
        <w:t>+17,</w:t>
      </w:r>
      <w:r w:rsidR="00D93C4C">
        <w:rPr>
          <w:rFonts w:ascii="Arial" w:hAnsi="Arial" w:cs="Arial"/>
          <w:sz w:val="21"/>
          <w:szCs w:val="21"/>
        </w:rPr>
        <w:t>6</w:t>
      </w:r>
      <w:r w:rsidRPr="00570391">
        <w:rPr>
          <w:rFonts w:ascii="Arial" w:hAnsi="Arial" w:cs="Arial"/>
          <w:sz w:val="21"/>
          <w:szCs w:val="21"/>
        </w:rPr>
        <w:t>%)</w:t>
      </w:r>
      <w:r>
        <w:rPr>
          <w:rFonts w:ascii="Arial" w:hAnsi="Arial" w:cs="Arial"/>
          <w:sz w:val="21"/>
          <w:szCs w:val="21"/>
        </w:rPr>
        <w:t>, mentre rallentano di poco quelli dei</w:t>
      </w:r>
      <w:r w:rsidRPr="00570391">
        <w:rPr>
          <w:rFonts w:ascii="Arial" w:hAnsi="Arial" w:cs="Arial"/>
          <w:sz w:val="21"/>
          <w:szCs w:val="21"/>
        </w:rPr>
        <w:t xml:space="preserve"> servizi </w:t>
      </w:r>
      <w:r>
        <w:rPr>
          <w:rFonts w:ascii="Arial" w:hAnsi="Arial" w:cs="Arial"/>
          <w:sz w:val="21"/>
          <w:szCs w:val="21"/>
        </w:rPr>
        <w:t>(da +3,9% a +3,</w:t>
      </w:r>
      <w:r w:rsidR="00D93C4C">
        <w:rPr>
          <w:rFonts w:ascii="Arial" w:hAnsi="Arial" w:cs="Arial"/>
          <w:sz w:val="21"/>
          <w:szCs w:val="21"/>
        </w:rPr>
        <w:t>8</w:t>
      </w:r>
      <w:r>
        <w:rPr>
          <w:rFonts w:ascii="Arial" w:hAnsi="Arial" w:cs="Arial"/>
          <w:sz w:val="21"/>
          <w:szCs w:val="21"/>
        </w:rPr>
        <w:t>%)</w:t>
      </w:r>
      <w:r w:rsidRPr="00570391">
        <w:rPr>
          <w:rFonts w:ascii="Arial" w:hAnsi="Arial" w:cs="Arial"/>
          <w:sz w:val="21"/>
          <w:szCs w:val="21"/>
        </w:rPr>
        <w:t xml:space="preserve">; </w:t>
      </w:r>
      <w:r>
        <w:rPr>
          <w:rFonts w:ascii="Arial" w:hAnsi="Arial" w:cs="Arial"/>
          <w:sz w:val="21"/>
          <w:szCs w:val="21"/>
        </w:rPr>
        <w:t xml:space="preserve">si amplia in misura marcata, quindi, </w:t>
      </w:r>
      <w:r w:rsidRPr="00570391">
        <w:rPr>
          <w:rFonts w:ascii="Arial" w:hAnsi="Arial" w:cs="Arial"/>
          <w:sz w:val="21"/>
          <w:szCs w:val="21"/>
        </w:rPr>
        <w:t xml:space="preserve">il differenziale inflazionistico </w:t>
      </w:r>
      <w:r>
        <w:rPr>
          <w:rFonts w:ascii="Arial" w:hAnsi="Arial" w:cs="Arial"/>
          <w:sz w:val="21"/>
          <w:szCs w:val="21"/>
        </w:rPr>
        <w:t xml:space="preserve">negativo </w:t>
      </w:r>
      <w:r w:rsidRPr="00D11F91">
        <w:rPr>
          <w:rFonts w:ascii="Arial" w:hAnsi="Arial" w:cs="Arial"/>
          <w:sz w:val="21"/>
          <w:szCs w:val="21"/>
        </w:rPr>
        <w:t>tra questi ultimi e i prezz</w:t>
      </w:r>
      <w:r>
        <w:rPr>
          <w:rFonts w:ascii="Arial" w:hAnsi="Arial" w:cs="Arial"/>
          <w:sz w:val="21"/>
          <w:szCs w:val="21"/>
        </w:rPr>
        <w:t>i dei beni (da -8,6 di settembre a -1</w:t>
      </w:r>
      <w:r w:rsidR="00177966">
        <w:rPr>
          <w:rFonts w:ascii="Arial" w:hAnsi="Arial" w:cs="Arial"/>
          <w:sz w:val="21"/>
          <w:szCs w:val="21"/>
        </w:rPr>
        <w:t>3</w:t>
      </w:r>
      <w:r>
        <w:rPr>
          <w:rFonts w:ascii="Arial" w:hAnsi="Arial" w:cs="Arial"/>
          <w:sz w:val="21"/>
          <w:szCs w:val="21"/>
        </w:rPr>
        <w:t>,</w:t>
      </w:r>
      <w:r w:rsidR="00177966">
        <w:rPr>
          <w:rFonts w:ascii="Arial" w:hAnsi="Arial" w:cs="Arial"/>
          <w:sz w:val="21"/>
          <w:szCs w:val="21"/>
        </w:rPr>
        <w:t>8</w:t>
      </w:r>
      <w:r>
        <w:rPr>
          <w:rFonts w:ascii="Arial" w:hAnsi="Arial" w:cs="Arial"/>
          <w:sz w:val="21"/>
          <w:szCs w:val="21"/>
        </w:rPr>
        <w:t xml:space="preserve"> </w:t>
      </w:r>
      <w:r w:rsidRPr="00D11F91">
        <w:rPr>
          <w:rFonts w:ascii="Arial" w:hAnsi="Arial" w:cs="Arial"/>
          <w:sz w:val="21"/>
          <w:szCs w:val="21"/>
        </w:rPr>
        <w:t>punti percentuali)</w:t>
      </w:r>
      <w:r>
        <w:rPr>
          <w:rFonts w:ascii="Arial" w:hAnsi="Arial" w:cs="Arial"/>
          <w:sz w:val="21"/>
          <w:szCs w:val="21"/>
        </w:rPr>
        <w:t>.</w:t>
      </w:r>
    </w:p>
    <w:p w:rsidR="00691344" w:rsidRPr="00B73DEE" w:rsidRDefault="00691344" w:rsidP="0069134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B73DEE">
        <w:rPr>
          <w:rFonts w:ascii="Arial" w:hAnsi="Arial" w:cs="Arial"/>
          <w:sz w:val="21"/>
          <w:szCs w:val="21"/>
        </w:rPr>
        <w:t>Accelerano i prezzi dei Beni alimentari, per la cura della casa e della persona (da +</w:t>
      </w:r>
      <w:r>
        <w:rPr>
          <w:rFonts w:ascii="Arial" w:hAnsi="Arial" w:cs="Arial"/>
          <w:sz w:val="21"/>
          <w:szCs w:val="21"/>
        </w:rPr>
        <w:t>10,9</w:t>
      </w:r>
      <w:r w:rsidRPr="00B73DEE">
        <w:rPr>
          <w:rFonts w:ascii="Arial" w:hAnsi="Arial" w:cs="Arial"/>
          <w:sz w:val="21"/>
          <w:szCs w:val="21"/>
        </w:rPr>
        <w:t>% a +</w:t>
      </w:r>
      <w:r>
        <w:rPr>
          <w:rFonts w:ascii="Arial" w:hAnsi="Arial" w:cs="Arial"/>
          <w:sz w:val="21"/>
          <w:szCs w:val="21"/>
        </w:rPr>
        <w:t>12,</w:t>
      </w:r>
      <w:r w:rsidR="00D93C4C">
        <w:rPr>
          <w:rFonts w:ascii="Arial" w:hAnsi="Arial" w:cs="Arial"/>
          <w:sz w:val="21"/>
          <w:szCs w:val="21"/>
        </w:rPr>
        <w:t>6</w:t>
      </w:r>
      <w:r w:rsidRPr="00B73DEE">
        <w:rPr>
          <w:rFonts w:ascii="Arial" w:hAnsi="Arial" w:cs="Arial"/>
          <w:sz w:val="21"/>
          <w:szCs w:val="21"/>
        </w:rPr>
        <w:t>%)</w:t>
      </w:r>
      <w:r>
        <w:rPr>
          <w:rFonts w:ascii="Arial" w:hAnsi="Arial" w:cs="Arial"/>
          <w:sz w:val="21"/>
          <w:szCs w:val="21"/>
        </w:rPr>
        <w:t xml:space="preserve"> e quelli dei</w:t>
      </w:r>
      <w:r w:rsidRPr="00B73DEE">
        <w:rPr>
          <w:rFonts w:ascii="Arial" w:hAnsi="Arial" w:cs="Arial"/>
          <w:sz w:val="21"/>
          <w:szCs w:val="21"/>
        </w:rPr>
        <w:t xml:space="preserve"> prodotti ad </w:t>
      </w:r>
      <w:r>
        <w:rPr>
          <w:rFonts w:ascii="Arial" w:hAnsi="Arial" w:cs="Arial"/>
          <w:sz w:val="21"/>
          <w:szCs w:val="21"/>
        </w:rPr>
        <w:t>alta frequenza d’acquisto (da +8,4</w:t>
      </w:r>
      <w:r w:rsidRPr="00B73DEE">
        <w:rPr>
          <w:rFonts w:ascii="Arial" w:hAnsi="Arial" w:cs="Arial"/>
          <w:sz w:val="21"/>
          <w:szCs w:val="21"/>
        </w:rPr>
        <w:t>% a +</w:t>
      </w:r>
      <w:r>
        <w:rPr>
          <w:rFonts w:ascii="Arial" w:hAnsi="Arial" w:cs="Arial"/>
          <w:sz w:val="21"/>
          <w:szCs w:val="21"/>
        </w:rPr>
        <w:t>8,9</w:t>
      </w:r>
      <w:r w:rsidRPr="00B73DEE">
        <w:rPr>
          <w:rFonts w:ascii="Arial" w:hAnsi="Arial" w:cs="Arial"/>
          <w:sz w:val="21"/>
          <w:szCs w:val="21"/>
        </w:rPr>
        <w:t>%).</w:t>
      </w:r>
    </w:p>
    <w:p w:rsidR="00691344" w:rsidRDefault="00691344" w:rsidP="0069134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BA5D8E">
        <w:rPr>
          <w:rFonts w:ascii="Arial" w:hAnsi="Arial" w:cs="Arial"/>
          <w:sz w:val="21"/>
          <w:szCs w:val="21"/>
        </w:rPr>
        <w:t>L’aumento congiunturale dell’indice generale è dovut</w:t>
      </w:r>
      <w:r>
        <w:rPr>
          <w:rFonts w:ascii="Arial" w:hAnsi="Arial" w:cs="Arial"/>
          <w:sz w:val="21"/>
          <w:szCs w:val="21"/>
        </w:rPr>
        <w:t>o prevalentemente a</w:t>
      </w:r>
      <w:r w:rsidRPr="00BA5D8E">
        <w:rPr>
          <w:rFonts w:ascii="Arial" w:hAnsi="Arial" w:cs="Arial"/>
          <w:sz w:val="21"/>
          <w:szCs w:val="21"/>
        </w:rPr>
        <w:t xml:space="preserve">i prezzi </w:t>
      </w:r>
      <w:r w:rsidR="00D93C4C">
        <w:rPr>
          <w:rFonts w:ascii="Arial" w:hAnsi="Arial" w:cs="Arial"/>
          <w:sz w:val="21"/>
          <w:szCs w:val="21"/>
        </w:rPr>
        <w:t xml:space="preserve">dei Beni Energetici non regolamentati (+28,3%), ai </w:t>
      </w:r>
      <w:r>
        <w:rPr>
          <w:rFonts w:ascii="Arial" w:hAnsi="Arial" w:cs="Arial"/>
          <w:sz w:val="21"/>
          <w:szCs w:val="21"/>
        </w:rPr>
        <w:t>Beni energetici regolamentati (+</w:t>
      </w:r>
      <w:r w:rsidR="00D93C4C">
        <w:rPr>
          <w:rFonts w:ascii="Arial" w:hAnsi="Arial" w:cs="Arial"/>
          <w:sz w:val="21"/>
          <w:szCs w:val="21"/>
        </w:rPr>
        <w:t>20,0%)</w:t>
      </w:r>
      <w:r>
        <w:rPr>
          <w:rFonts w:ascii="Arial" w:hAnsi="Arial" w:cs="Arial"/>
          <w:sz w:val="21"/>
          <w:szCs w:val="21"/>
        </w:rPr>
        <w:t xml:space="preserve"> e in misura minore a quelli degli Alimentari non lavorati (+2,4%), degli Alimentari lavorati (+1,</w:t>
      </w:r>
      <w:r w:rsidR="00D93C4C">
        <w:rPr>
          <w:rFonts w:ascii="Arial" w:hAnsi="Arial" w:cs="Arial"/>
          <w:sz w:val="21"/>
          <w:szCs w:val="21"/>
        </w:rPr>
        <w:t>6</w:t>
      </w:r>
      <w:r w:rsidR="0085624E">
        <w:rPr>
          <w:rFonts w:ascii="Arial" w:hAnsi="Arial" w:cs="Arial"/>
          <w:sz w:val="21"/>
          <w:szCs w:val="21"/>
        </w:rPr>
        <w:t>%),</w:t>
      </w:r>
      <w:r>
        <w:rPr>
          <w:rFonts w:ascii="Arial" w:hAnsi="Arial" w:cs="Arial"/>
          <w:sz w:val="21"/>
          <w:szCs w:val="21"/>
        </w:rPr>
        <w:t xml:space="preserve"> dei Beni non durevoli (+0,7%)</w:t>
      </w:r>
      <w:r w:rsidR="0085624E">
        <w:rPr>
          <w:rFonts w:ascii="Arial" w:hAnsi="Arial" w:cs="Arial"/>
          <w:sz w:val="21"/>
          <w:szCs w:val="21"/>
        </w:rPr>
        <w:t xml:space="preserve"> e dei Beni durevoli (+0,6%);</w:t>
      </w:r>
      <w:r>
        <w:rPr>
          <w:rFonts w:ascii="Arial" w:hAnsi="Arial" w:cs="Arial"/>
          <w:sz w:val="21"/>
          <w:szCs w:val="21"/>
        </w:rPr>
        <w:t xml:space="preserve"> in calo invece, a causa per lo più di fattori stagionali, i prezzi dei Servizi </w:t>
      </w:r>
      <w:r w:rsidRPr="00B044E0">
        <w:rPr>
          <w:rFonts w:ascii="Arial" w:hAnsi="Arial" w:cs="Arial"/>
          <w:sz w:val="21"/>
          <w:szCs w:val="21"/>
        </w:rPr>
        <w:t>ricreativi, culturali e per la cura della persona</w:t>
      </w:r>
      <w:r>
        <w:rPr>
          <w:rFonts w:ascii="Arial" w:hAnsi="Arial" w:cs="Arial"/>
          <w:sz w:val="21"/>
          <w:szCs w:val="21"/>
        </w:rPr>
        <w:t xml:space="preserve"> </w:t>
      </w:r>
      <w:r w:rsidR="0085624E">
        <w:rPr>
          <w:rFonts w:ascii="Arial" w:hAnsi="Arial" w:cs="Arial"/>
          <w:sz w:val="21"/>
          <w:szCs w:val="21"/>
        </w:rPr>
        <w:t xml:space="preserve">(-0,7%) </w:t>
      </w:r>
      <w:r>
        <w:rPr>
          <w:rFonts w:ascii="Arial" w:hAnsi="Arial" w:cs="Arial"/>
          <w:sz w:val="21"/>
          <w:szCs w:val="21"/>
        </w:rPr>
        <w:t xml:space="preserve">e dei Servizi </w:t>
      </w:r>
      <w:r w:rsidR="0085624E">
        <w:rPr>
          <w:rFonts w:ascii="Arial" w:hAnsi="Arial" w:cs="Arial"/>
          <w:sz w:val="21"/>
          <w:szCs w:val="21"/>
        </w:rPr>
        <w:t>relativi ai trasporti (</w:t>
      </w:r>
      <w:r>
        <w:rPr>
          <w:rFonts w:ascii="Arial" w:hAnsi="Arial" w:cs="Arial"/>
          <w:sz w:val="21"/>
          <w:szCs w:val="21"/>
        </w:rPr>
        <w:t>-0,</w:t>
      </w:r>
      <w:r w:rsidR="0085624E">
        <w:rPr>
          <w:rFonts w:ascii="Arial" w:hAnsi="Arial" w:cs="Arial"/>
          <w:sz w:val="21"/>
          <w:szCs w:val="21"/>
        </w:rPr>
        <w:t>8</w:t>
      </w:r>
      <w:r>
        <w:rPr>
          <w:rFonts w:ascii="Arial" w:hAnsi="Arial" w:cs="Arial"/>
          <w:sz w:val="21"/>
          <w:szCs w:val="21"/>
        </w:rPr>
        <w:t>%).</w:t>
      </w:r>
    </w:p>
    <w:p w:rsidR="00691344" w:rsidRDefault="00691344" w:rsidP="00CE4DD8">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C4222E">
        <w:rPr>
          <w:rFonts w:ascii="Arial" w:hAnsi="Arial" w:cs="Arial"/>
          <w:sz w:val="21"/>
          <w:szCs w:val="21"/>
        </w:rPr>
        <w:t xml:space="preserve">L’inflazione acquisita per </w:t>
      </w:r>
      <w:r>
        <w:rPr>
          <w:rFonts w:ascii="Arial" w:hAnsi="Arial" w:cs="Arial"/>
          <w:sz w:val="21"/>
          <w:szCs w:val="21"/>
        </w:rPr>
        <w:t xml:space="preserve">il 2022 è </w:t>
      </w:r>
      <w:r w:rsidRPr="00605FC8">
        <w:rPr>
          <w:rFonts w:ascii="Arial" w:hAnsi="Arial" w:cs="Arial"/>
          <w:sz w:val="21"/>
          <w:szCs w:val="21"/>
        </w:rPr>
        <w:t xml:space="preserve">pari </w:t>
      </w:r>
      <w:r w:rsidRPr="00DB2D2A">
        <w:rPr>
          <w:rFonts w:ascii="Arial" w:hAnsi="Arial" w:cs="Arial"/>
          <w:sz w:val="21"/>
          <w:szCs w:val="21"/>
        </w:rPr>
        <w:t xml:space="preserve">a </w:t>
      </w:r>
      <w:r>
        <w:rPr>
          <w:rFonts w:ascii="Arial" w:hAnsi="Arial" w:cs="Arial"/>
          <w:sz w:val="21"/>
          <w:szCs w:val="21"/>
        </w:rPr>
        <w:t>+8,0</w:t>
      </w:r>
      <w:r w:rsidRPr="00DB2D2A">
        <w:rPr>
          <w:rFonts w:ascii="Arial" w:hAnsi="Arial" w:cs="Arial"/>
          <w:sz w:val="21"/>
          <w:szCs w:val="21"/>
        </w:rPr>
        <w:t>% per l’indice generale e a +</w:t>
      </w:r>
      <w:r>
        <w:rPr>
          <w:rFonts w:ascii="Arial" w:hAnsi="Arial" w:cs="Arial"/>
          <w:sz w:val="21"/>
          <w:szCs w:val="21"/>
        </w:rPr>
        <w:t>3,7</w:t>
      </w:r>
      <w:r w:rsidRPr="00DB2D2A">
        <w:rPr>
          <w:rFonts w:ascii="Arial" w:hAnsi="Arial" w:cs="Arial"/>
          <w:sz w:val="21"/>
          <w:szCs w:val="21"/>
        </w:rPr>
        <w:t>% per</w:t>
      </w:r>
      <w:r w:rsidRPr="00605FC8">
        <w:rPr>
          <w:rFonts w:ascii="Arial" w:hAnsi="Arial" w:cs="Arial"/>
          <w:sz w:val="21"/>
          <w:szCs w:val="21"/>
        </w:rPr>
        <w:t xml:space="preserve"> la componente di fondo.</w:t>
      </w:r>
    </w:p>
    <w:p w:rsidR="009B6ACA" w:rsidRDefault="00691344" w:rsidP="00CE4DD8">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Pr>
          <w:rFonts w:ascii="Arial" w:hAnsi="Arial" w:cs="Arial"/>
          <w:sz w:val="21"/>
          <w:szCs w:val="21"/>
        </w:rPr>
        <w:t>L</w:t>
      </w:r>
      <w:r w:rsidR="009B6ACA" w:rsidRPr="00F91EBE">
        <w:rPr>
          <w:rFonts w:ascii="Arial" w:hAnsi="Arial" w:cs="Arial"/>
          <w:iCs/>
          <w:sz w:val="21"/>
          <w:szCs w:val="21"/>
        </w:rPr>
        <w:t>’indice</w:t>
      </w:r>
      <w:r w:rsidR="009B6ACA" w:rsidRPr="00F91EBE">
        <w:rPr>
          <w:rFonts w:ascii="Arial" w:hAnsi="Arial" w:cs="Arial"/>
          <w:sz w:val="21"/>
          <w:szCs w:val="21"/>
        </w:rPr>
        <w:t xml:space="preserve"> armonizzato dei prezzi al consumo (IPCA) </w:t>
      </w:r>
      <w:r w:rsidR="009B6ACA">
        <w:rPr>
          <w:rFonts w:ascii="Arial" w:hAnsi="Arial" w:cs="Arial"/>
          <w:sz w:val="21"/>
          <w:szCs w:val="21"/>
        </w:rPr>
        <w:t xml:space="preserve">aumenta </w:t>
      </w:r>
      <w:r>
        <w:rPr>
          <w:rFonts w:ascii="Arial" w:hAnsi="Arial" w:cs="Arial"/>
          <w:sz w:val="21"/>
          <w:szCs w:val="21"/>
        </w:rPr>
        <w:t xml:space="preserve">del </w:t>
      </w:r>
      <w:r w:rsidR="00D93C4C">
        <w:rPr>
          <w:rFonts w:ascii="Arial" w:hAnsi="Arial" w:cs="Arial"/>
          <w:sz w:val="21"/>
          <w:szCs w:val="21"/>
        </w:rPr>
        <w:t>3,8</w:t>
      </w:r>
      <w:r>
        <w:rPr>
          <w:rFonts w:ascii="Arial" w:hAnsi="Arial" w:cs="Arial"/>
          <w:sz w:val="21"/>
          <w:szCs w:val="21"/>
        </w:rPr>
        <w:t>%</w:t>
      </w:r>
      <w:r w:rsidRPr="00C86B09">
        <w:rPr>
          <w:rFonts w:ascii="Arial" w:hAnsi="Arial" w:cs="Arial"/>
          <w:sz w:val="21"/>
          <w:szCs w:val="21"/>
        </w:rPr>
        <w:t xml:space="preserve"> </w:t>
      </w:r>
      <w:r>
        <w:rPr>
          <w:rFonts w:ascii="Arial" w:hAnsi="Arial" w:cs="Arial"/>
          <w:sz w:val="21"/>
          <w:szCs w:val="21"/>
        </w:rPr>
        <w:t>su base mensile</w:t>
      </w:r>
      <w:r w:rsidRPr="00844544">
        <w:rPr>
          <w:rFonts w:ascii="Arial" w:hAnsi="Arial" w:cs="Arial"/>
          <w:sz w:val="21"/>
          <w:szCs w:val="21"/>
        </w:rPr>
        <w:t xml:space="preserve"> </w:t>
      </w:r>
      <w:r>
        <w:rPr>
          <w:rFonts w:ascii="Arial" w:hAnsi="Arial" w:cs="Arial"/>
          <w:sz w:val="21"/>
          <w:szCs w:val="21"/>
        </w:rPr>
        <w:t>e del 12,</w:t>
      </w:r>
      <w:r w:rsidR="00D93C4C">
        <w:rPr>
          <w:rFonts w:ascii="Arial" w:hAnsi="Arial" w:cs="Arial"/>
          <w:sz w:val="21"/>
          <w:szCs w:val="21"/>
        </w:rPr>
        <w:t>6</w:t>
      </w:r>
      <w:r>
        <w:rPr>
          <w:rFonts w:ascii="Arial" w:hAnsi="Arial" w:cs="Arial"/>
          <w:sz w:val="21"/>
          <w:szCs w:val="21"/>
        </w:rPr>
        <w:t>% su base annua (da +9,4</w:t>
      </w:r>
      <w:r w:rsidRPr="007B1698">
        <w:rPr>
          <w:rFonts w:ascii="Arial" w:hAnsi="Arial" w:cs="Arial"/>
          <w:sz w:val="21"/>
          <w:szCs w:val="21"/>
        </w:rPr>
        <w:t>% nel mese precedente</w:t>
      </w:r>
      <w:r>
        <w:rPr>
          <w:rFonts w:ascii="Arial" w:hAnsi="Arial" w:cs="Arial"/>
          <w:sz w:val="21"/>
          <w:szCs w:val="21"/>
        </w:rPr>
        <w:t>)</w:t>
      </w:r>
      <w:r w:rsidR="00434001">
        <w:rPr>
          <w:rFonts w:ascii="Arial" w:hAnsi="Arial" w:cs="Arial"/>
          <w:sz w:val="21"/>
          <w:szCs w:val="21"/>
        </w:rPr>
        <w:t>; la stima preliminare era +</w:t>
      </w:r>
      <w:r>
        <w:rPr>
          <w:rFonts w:ascii="Arial" w:hAnsi="Arial" w:cs="Arial"/>
          <w:sz w:val="21"/>
          <w:szCs w:val="21"/>
        </w:rPr>
        <w:t>12,8</w:t>
      </w:r>
      <w:r w:rsidR="00434001">
        <w:rPr>
          <w:rFonts w:ascii="Arial" w:hAnsi="Arial" w:cs="Arial"/>
          <w:sz w:val="21"/>
          <w:szCs w:val="21"/>
        </w:rPr>
        <w:t>%</w:t>
      </w:r>
      <w:r w:rsidR="009B6ACA" w:rsidRPr="00FC1229">
        <w:rPr>
          <w:rFonts w:ascii="Arial" w:hAnsi="Arial" w:cs="Arial"/>
          <w:sz w:val="21"/>
          <w:szCs w:val="21"/>
        </w:rPr>
        <w:t>.</w:t>
      </w:r>
      <w:r w:rsidR="009B6ACA">
        <w:rPr>
          <w:rFonts w:ascii="Arial" w:hAnsi="Arial" w:cs="Arial"/>
          <w:sz w:val="21"/>
          <w:szCs w:val="21"/>
        </w:rPr>
        <w:t xml:space="preserve"> </w:t>
      </w:r>
    </w:p>
    <w:p w:rsidR="003643F1" w:rsidRPr="00FE436E" w:rsidRDefault="003643F1" w:rsidP="003643F1">
      <w:pPr>
        <w:pStyle w:val="Paragrafoelenco"/>
        <w:widowControl/>
        <w:numPr>
          <w:ilvl w:val="0"/>
          <w:numId w:val="5"/>
        </w:numPr>
        <w:tabs>
          <w:tab w:val="left" w:pos="10206"/>
        </w:tabs>
        <w:overflowPunct/>
        <w:autoSpaceDE/>
        <w:autoSpaceDN/>
        <w:adjustRightInd/>
        <w:spacing w:before="0" w:line="230" w:lineRule="exact"/>
        <w:ind w:left="284" w:hanging="284"/>
        <w:contextualSpacing w:val="0"/>
        <w:jc w:val="both"/>
        <w:rPr>
          <w:rFonts w:ascii="Arial" w:hAnsi="Arial" w:cs="Arial"/>
          <w:b/>
          <w:sz w:val="21"/>
          <w:szCs w:val="21"/>
        </w:rPr>
      </w:pPr>
      <w:r w:rsidRPr="00FC5E9D">
        <w:rPr>
          <w:rFonts w:ascii="Arial" w:hAnsi="Arial" w:cs="Arial"/>
          <w:iCs/>
          <w:sz w:val="21"/>
          <w:szCs w:val="21"/>
        </w:rPr>
        <w:t xml:space="preserve">L’indice nazionale dei prezzi al consumo per le famiglie di operai e impiegati (FOI), al netto dei tabacchi, </w:t>
      </w:r>
      <w:r w:rsidRPr="00FC5E9D">
        <w:rPr>
          <w:rFonts w:ascii="Arial" w:hAnsi="Arial" w:cs="Arial"/>
          <w:sz w:val="21"/>
          <w:szCs w:val="21"/>
        </w:rPr>
        <w:t xml:space="preserve">registra </w:t>
      </w:r>
      <w:r>
        <w:rPr>
          <w:rFonts w:ascii="Arial" w:hAnsi="Arial" w:cs="Arial"/>
          <w:sz w:val="21"/>
          <w:szCs w:val="21"/>
        </w:rPr>
        <w:t xml:space="preserve">un </w:t>
      </w:r>
      <w:r w:rsidRPr="00C0472F">
        <w:rPr>
          <w:rFonts w:ascii="Arial" w:hAnsi="Arial" w:cs="Arial"/>
          <w:sz w:val="21"/>
          <w:szCs w:val="21"/>
        </w:rPr>
        <w:t>a</w:t>
      </w:r>
      <w:r w:rsidR="0085624E">
        <w:rPr>
          <w:rFonts w:ascii="Arial" w:hAnsi="Arial" w:cs="Arial"/>
          <w:sz w:val="21"/>
          <w:szCs w:val="21"/>
        </w:rPr>
        <w:t>umento del</w:t>
      </w:r>
      <w:r>
        <w:rPr>
          <w:rFonts w:ascii="Arial" w:hAnsi="Arial" w:cs="Arial"/>
          <w:sz w:val="21"/>
          <w:szCs w:val="21"/>
        </w:rPr>
        <w:t xml:space="preserve"> </w:t>
      </w:r>
      <w:r w:rsidR="00D93C4C">
        <w:rPr>
          <w:rFonts w:ascii="Arial" w:hAnsi="Arial" w:cs="Arial"/>
          <w:sz w:val="21"/>
          <w:szCs w:val="21"/>
        </w:rPr>
        <w:t>3</w:t>
      </w:r>
      <w:r>
        <w:rPr>
          <w:rFonts w:ascii="Arial" w:hAnsi="Arial" w:cs="Arial"/>
          <w:sz w:val="21"/>
          <w:szCs w:val="21"/>
        </w:rPr>
        <w:t>,3</w:t>
      </w:r>
      <w:r w:rsidRPr="00C0472F">
        <w:rPr>
          <w:rFonts w:ascii="Arial" w:hAnsi="Arial" w:cs="Arial"/>
          <w:sz w:val="21"/>
          <w:szCs w:val="21"/>
        </w:rPr>
        <w:t>% su base mensile e del</w:t>
      </w:r>
      <w:r>
        <w:rPr>
          <w:rFonts w:ascii="Arial" w:hAnsi="Arial" w:cs="Arial"/>
          <w:sz w:val="21"/>
          <w:szCs w:val="21"/>
        </w:rPr>
        <w:t>l’</w:t>
      </w:r>
      <w:r w:rsidR="00D93C4C">
        <w:rPr>
          <w:rFonts w:ascii="Arial" w:hAnsi="Arial" w:cs="Arial"/>
          <w:sz w:val="21"/>
          <w:szCs w:val="21"/>
        </w:rPr>
        <w:t>11,5</w:t>
      </w:r>
      <w:r w:rsidRPr="00FC5E9D">
        <w:rPr>
          <w:rFonts w:ascii="Arial" w:hAnsi="Arial" w:cs="Arial"/>
          <w:sz w:val="21"/>
          <w:szCs w:val="21"/>
        </w:rPr>
        <w:t>% su base annua</w:t>
      </w:r>
      <w:r w:rsidRPr="00FC5E9D">
        <w:rPr>
          <w:rFonts w:ascii="Arial" w:hAnsi="Arial" w:cs="Arial"/>
          <w:iCs/>
          <w:sz w:val="21"/>
          <w:szCs w:val="21"/>
        </w:rPr>
        <w:t>.</w:t>
      </w:r>
    </w:p>
    <w:p w:rsidR="00FE436E" w:rsidRPr="00FE436E" w:rsidRDefault="00FE436E" w:rsidP="00FE436E">
      <w:pPr>
        <w:widowControl/>
        <w:tabs>
          <w:tab w:val="left" w:pos="10206"/>
        </w:tabs>
        <w:overflowPunct/>
        <w:autoSpaceDE/>
        <w:autoSpaceDN/>
        <w:adjustRightInd/>
        <w:spacing w:before="0" w:line="230" w:lineRule="exact"/>
        <w:jc w:val="both"/>
        <w:rPr>
          <w:rFonts w:ascii="Arial" w:hAnsi="Arial" w:cs="Arial"/>
          <w:b/>
          <w:sz w:val="21"/>
          <w:szCs w:val="21"/>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24"/>
        <w:gridCol w:w="3282"/>
      </w:tblGrid>
      <w:tr w:rsidR="00FE436E" w:rsidRPr="002578CE" w:rsidTr="00DF75E8">
        <w:trPr>
          <w:trHeight w:val="1370"/>
        </w:trPr>
        <w:tc>
          <w:tcPr>
            <w:tcW w:w="6924" w:type="dxa"/>
            <w:vMerge w:val="restart"/>
            <w:tcBorders>
              <w:top w:val="nil"/>
              <w:left w:val="single" w:sz="4" w:space="0" w:color="FFFFFF"/>
              <w:right w:val="single" w:sz="48" w:space="0" w:color="FFFFFF"/>
            </w:tcBorders>
            <w:shd w:val="clear" w:color="auto" w:fill="D9D9D9"/>
          </w:tcPr>
          <w:p w:rsidR="00FE436E" w:rsidRDefault="00FE436E" w:rsidP="00DF75E8">
            <w:pPr>
              <w:pStyle w:val="Paragrafobase"/>
              <w:spacing w:before="120" w:line="140" w:lineRule="atLeast"/>
              <w:rPr>
                <w:rFonts w:ascii="Calibri" w:hAnsi="Calibri" w:cs="Arial"/>
                <w:color w:val="E31C18"/>
                <w:sz w:val="56"/>
                <w:szCs w:val="56"/>
              </w:rPr>
            </w:pPr>
            <w:r>
              <w:rPr>
                <w:rFonts w:ascii="Arial" w:hAnsi="Arial" w:cs="Arial"/>
                <w:noProof/>
                <w:sz w:val="22"/>
                <w:szCs w:val="22"/>
              </w:rPr>
              <w:drawing>
                <wp:anchor distT="0" distB="0" distL="114300" distR="114300" simplePos="0" relativeHeight="251689472" behindDoc="0" locked="0" layoutInCell="1" allowOverlap="1" wp14:anchorId="3B861FF3" wp14:editId="23847B94">
                  <wp:simplePos x="0" y="0"/>
                  <wp:positionH relativeFrom="column">
                    <wp:posOffset>-351155</wp:posOffset>
                  </wp:positionH>
                  <wp:positionV relativeFrom="paragraph">
                    <wp:posOffset>-106680</wp:posOffset>
                  </wp:positionV>
                  <wp:extent cx="920750" cy="920750"/>
                  <wp:effectExtent l="0" t="0" r="0" b="0"/>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anchor>
              </w:drawing>
            </w:r>
            <w:r w:rsidRPr="00957753">
              <w:rPr>
                <w:rFonts w:ascii="Arial" w:hAnsi="Arial" w:cs="Arial"/>
                <w:sz w:val="22"/>
                <w:szCs w:val="22"/>
              </w:rPr>
              <w:t xml:space="preserve">                  </w:t>
            </w:r>
            <w:r>
              <w:rPr>
                <w:rFonts w:ascii="Calibri" w:hAnsi="Calibri" w:cs="Arial"/>
                <w:color w:val="E31C18"/>
                <w:sz w:val="56"/>
                <w:szCs w:val="56"/>
              </w:rPr>
              <w:t>Il commento</w:t>
            </w:r>
          </w:p>
          <w:p w:rsidR="00FE436E" w:rsidRDefault="00FE436E" w:rsidP="00DF75E8">
            <w:pPr>
              <w:pStyle w:val="Paragrafobase"/>
              <w:tabs>
                <w:tab w:val="left" w:pos="6526"/>
              </w:tabs>
              <w:spacing w:line="260" w:lineRule="exact"/>
              <w:ind w:left="142" w:right="176"/>
              <w:jc w:val="both"/>
              <w:rPr>
                <w:rFonts w:ascii="Arial" w:hAnsi="Arial" w:cs="Arial"/>
                <w:sz w:val="21"/>
                <w:szCs w:val="21"/>
              </w:rPr>
            </w:pPr>
          </w:p>
          <w:p w:rsidR="00FE436E" w:rsidRDefault="00FE436E" w:rsidP="00DF75E8">
            <w:pPr>
              <w:pStyle w:val="Paragrafobase"/>
              <w:tabs>
                <w:tab w:val="left" w:pos="6526"/>
              </w:tabs>
              <w:spacing w:line="260" w:lineRule="exact"/>
              <w:ind w:left="142" w:right="176"/>
              <w:jc w:val="both"/>
              <w:rPr>
                <w:rFonts w:ascii="Arial" w:hAnsi="Arial" w:cs="Arial"/>
                <w:sz w:val="21"/>
                <w:szCs w:val="21"/>
              </w:rPr>
            </w:pPr>
          </w:p>
          <w:p w:rsidR="00FE436E" w:rsidRDefault="008A6408" w:rsidP="00DF75E8">
            <w:pPr>
              <w:pStyle w:val="Paragrafobase"/>
              <w:tabs>
                <w:tab w:val="left" w:pos="6526"/>
              </w:tabs>
              <w:spacing w:after="120" w:line="260" w:lineRule="exact"/>
              <w:ind w:left="142" w:right="176"/>
              <w:jc w:val="both"/>
              <w:rPr>
                <w:rFonts w:ascii="Arial" w:hAnsi="Arial" w:cs="Arial"/>
                <w:sz w:val="21"/>
                <w:szCs w:val="21"/>
              </w:rPr>
            </w:pPr>
            <w:r w:rsidRPr="00F10919">
              <w:rPr>
                <w:rFonts w:ascii="Arial" w:hAnsi="Arial" w:cs="Arial"/>
                <w:sz w:val="21"/>
                <w:szCs w:val="21"/>
              </w:rPr>
              <w:t xml:space="preserve">Sono </w:t>
            </w:r>
            <w:r>
              <w:rPr>
                <w:rFonts w:ascii="Arial" w:hAnsi="Arial" w:cs="Arial"/>
                <w:sz w:val="21"/>
                <w:szCs w:val="21"/>
              </w:rPr>
              <w:t xml:space="preserve">per lo più </w:t>
            </w:r>
            <w:r w:rsidRPr="00F10919">
              <w:rPr>
                <w:rFonts w:ascii="Arial" w:hAnsi="Arial" w:cs="Arial"/>
                <w:sz w:val="21"/>
                <w:szCs w:val="21"/>
              </w:rPr>
              <w:t xml:space="preserve">i Beni energetici, </w:t>
            </w:r>
            <w:r>
              <w:rPr>
                <w:rFonts w:ascii="Arial" w:hAnsi="Arial" w:cs="Arial"/>
                <w:sz w:val="21"/>
                <w:szCs w:val="21"/>
              </w:rPr>
              <w:t>sia</w:t>
            </w:r>
            <w:r w:rsidRPr="00F10919">
              <w:rPr>
                <w:rFonts w:ascii="Arial" w:hAnsi="Arial" w:cs="Arial"/>
                <w:sz w:val="21"/>
                <w:szCs w:val="21"/>
              </w:rPr>
              <w:t xml:space="preserve"> quelli regolamentati</w:t>
            </w:r>
            <w:r>
              <w:rPr>
                <w:rFonts w:ascii="Arial" w:hAnsi="Arial" w:cs="Arial"/>
                <w:sz w:val="21"/>
                <w:szCs w:val="21"/>
              </w:rPr>
              <w:t xml:space="preserve"> sia quelli non regolamentati</w:t>
            </w:r>
            <w:r w:rsidRPr="00F10919">
              <w:rPr>
                <w:rFonts w:ascii="Arial" w:hAnsi="Arial" w:cs="Arial"/>
                <w:sz w:val="21"/>
                <w:szCs w:val="21"/>
              </w:rPr>
              <w:t xml:space="preserve">, a spiegare la </w:t>
            </w:r>
            <w:r>
              <w:rPr>
                <w:rFonts w:ascii="Arial" w:hAnsi="Arial" w:cs="Arial"/>
                <w:sz w:val="21"/>
                <w:szCs w:val="21"/>
              </w:rPr>
              <w:t>straordinaria</w:t>
            </w:r>
            <w:r w:rsidRPr="00F10919">
              <w:rPr>
                <w:rFonts w:ascii="Arial" w:hAnsi="Arial" w:cs="Arial"/>
                <w:sz w:val="21"/>
                <w:szCs w:val="21"/>
              </w:rPr>
              <w:t xml:space="preserve"> accelerazione dell’inflazione</w:t>
            </w:r>
            <w:r>
              <w:rPr>
                <w:rFonts w:ascii="Arial" w:hAnsi="Arial" w:cs="Arial"/>
                <w:sz w:val="21"/>
                <w:szCs w:val="21"/>
              </w:rPr>
              <w:t xml:space="preserve"> di ottobre 2022. Anche i prezzi dei </w:t>
            </w:r>
            <w:r w:rsidRPr="00F10919">
              <w:rPr>
                <w:rFonts w:ascii="Arial" w:hAnsi="Arial" w:cs="Arial"/>
                <w:sz w:val="21"/>
                <w:szCs w:val="21"/>
              </w:rPr>
              <w:t xml:space="preserve">Beni alimentari (sia lavorati sia non lavorati) </w:t>
            </w:r>
            <w:r>
              <w:rPr>
                <w:rFonts w:ascii="Arial" w:hAnsi="Arial" w:cs="Arial"/>
                <w:sz w:val="21"/>
                <w:szCs w:val="21"/>
              </w:rPr>
              <w:t xml:space="preserve">continuano ad accelerare, </w:t>
            </w:r>
            <w:r w:rsidRPr="00F10919">
              <w:rPr>
                <w:rFonts w:ascii="Arial" w:hAnsi="Arial" w:cs="Arial"/>
                <w:sz w:val="21"/>
                <w:szCs w:val="21"/>
              </w:rPr>
              <w:t>in un quadro di tensioni inflazionistiche che attraversano quasi tutti i comparti merceologici</w:t>
            </w:r>
            <w:r>
              <w:rPr>
                <w:rFonts w:ascii="Arial" w:hAnsi="Arial" w:cs="Arial"/>
                <w:sz w:val="21"/>
                <w:szCs w:val="21"/>
              </w:rPr>
              <w:t xml:space="preserve"> (</w:t>
            </w:r>
            <w:r w:rsidRPr="00F10919">
              <w:rPr>
                <w:rFonts w:ascii="Arial" w:hAnsi="Arial" w:cs="Arial"/>
                <w:sz w:val="21"/>
                <w:szCs w:val="21"/>
              </w:rPr>
              <w:t>frenano solo i Servizi ricreativi, culturali e per la cura della persona</w:t>
            </w:r>
            <w:r>
              <w:rPr>
                <w:rFonts w:ascii="Arial" w:hAnsi="Arial" w:cs="Arial"/>
                <w:sz w:val="21"/>
                <w:szCs w:val="21"/>
              </w:rPr>
              <w:t>)</w:t>
            </w:r>
            <w:r w:rsidRPr="00F10919">
              <w:rPr>
                <w:rFonts w:ascii="Arial" w:hAnsi="Arial" w:cs="Arial"/>
                <w:sz w:val="21"/>
                <w:szCs w:val="21"/>
              </w:rPr>
              <w:t xml:space="preserve">. È necessario risalire a giugno 1983 (quando registrarono una variazione tendenziale del +13,0%) per trovare una crescita </w:t>
            </w:r>
            <w:r>
              <w:rPr>
                <w:rFonts w:ascii="Arial" w:hAnsi="Arial" w:cs="Arial"/>
                <w:sz w:val="21"/>
                <w:szCs w:val="21"/>
              </w:rPr>
              <w:t xml:space="preserve">su base annua </w:t>
            </w:r>
            <w:r w:rsidRPr="00F10919">
              <w:rPr>
                <w:rFonts w:ascii="Arial" w:hAnsi="Arial" w:cs="Arial"/>
                <w:sz w:val="21"/>
                <w:szCs w:val="21"/>
              </w:rPr>
              <w:t>dei prezzi del “carrello della spesa”</w:t>
            </w:r>
            <w:r>
              <w:rPr>
                <w:rFonts w:ascii="Arial" w:hAnsi="Arial" w:cs="Arial"/>
                <w:sz w:val="21"/>
                <w:szCs w:val="21"/>
              </w:rPr>
              <w:t xml:space="preserve"> </w:t>
            </w:r>
            <w:r w:rsidRPr="00F10919">
              <w:rPr>
                <w:rFonts w:ascii="Arial" w:hAnsi="Arial" w:cs="Arial"/>
                <w:sz w:val="21"/>
                <w:szCs w:val="21"/>
              </w:rPr>
              <w:t xml:space="preserve">superiore a quella di ottobre 2022 </w:t>
            </w:r>
            <w:r>
              <w:rPr>
                <w:rFonts w:ascii="Arial" w:hAnsi="Arial" w:cs="Arial"/>
                <w:sz w:val="21"/>
                <w:szCs w:val="21"/>
              </w:rPr>
              <w:t>e a marzo 1984 (quando fu +11,9%) per una variazione tendenziale dell’indice generale NIC</w:t>
            </w:r>
            <w:r>
              <w:t xml:space="preserve"> </w:t>
            </w:r>
            <w:r>
              <w:rPr>
                <w:rFonts w:ascii="Arial" w:hAnsi="Arial" w:cs="Arial"/>
                <w:sz w:val="21"/>
                <w:szCs w:val="21"/>
              </w:rPr>
              <w:t>superiore</w:t>
            </w:r>
            <w:r w:rsidRPr="003A49FE">
              <w:rPr>
                <w:rFonts w:ascii="Arial" w:hAnsi="Arial" w:cs="Arial"/>
                <w:sz w:val="21"/>
                <w:szCs w:val="21"/>
              </w:rPr>
              <w:t xml:space="preserve"> a</w:t>
            </w:r>
            <w:r>
              <w:rPr>
                <w:rFonts w:ascii="Arial" w:hAnsi="Arial" w:cs="Arial"/>
                <w:sz w:val="21"/>
                <w:szCs w:val="21"/>
              </w:rPr>
              <w:t xml:space="preserve"> +11,8%</w:t>
            </w:r>
          </w:p>
          <w:p w:rsidR="006C2A20" w:rsidRPr="002578CE" w:rsidRDefault="006C2A20" w:rsidP="00DF75E8">
            <w:pPr>
              <w:pStyle w:val="Paragrafobase"/>
              <w:tabs>
                <w:tab w:val="left" w:pos="6526"/>
              </w:tabs>
              <w:spacing w:after="120" w:line="260" w:lineRule="exact"/>
              <w:ind w:left="142" w:right="176"/>
              <w:jc w:val="both"/>
              <w:rPr>
                <w:rFonts w:ascii="Arial" w:hAnsi="Arial" w:cs="Arial"/>
                <w:sz w:val="21"/>
                <w:szCs w:val="21"/>
              </w:rPr>
            </w:pPr>
          </w:p>
        </w:tc>
        <w:tc>
          <w:tcPr>
            <w:tcW w:w="3282" w:type="dxa"/>
            <w:tcBorders>
              <w:top w:val="nil"/>
              <w:left w:val="single" w:sz="48" w:space="0" w:color="FFFFFF"/>
              <w:bottom w:val="single" w:sz="36" w:space="0" w:color="FFFFFF"/>
              <w:right w:val="single" w:sz="36" w:space="0" w:color="FFFFFF"/>
            </w:tcBorders>
            <w:shd w:val="clear" w:color="auto" w:fill="E31C18"/>
          </w:tcPr>
          <w:p w:rsidR="00FE436E" w:rsidRPr="00AC2483" w:rsidRDefault="00FE436E" w:rsidP="00DF75E8">
            <w:pPr>
              <w:pStyle w:val="Paragrafobase"/>
              <w:spacing w:before="120" w:line="320" w:lineRule="exact"/>
              <w:ind w:left="176"/>
              <w:rPr>
                <w:rFonts w:ascii="Calibri" w:hAnsi="Calibri" w:cs="Arial"/>
                <w:b/>
                <w:color w:val="FFFFFF"/>
                <w:sz w:val="28"/>
                <w:szCs w:val="28"/>
              </w:rPr>
            </w:pPr>
            <w:r>
              <w:rPr>
                <w:noProof/>
              </w:rPr>
              <w:drawing>
                <wp:anchor distT="0" distB="0" distL="114300" distR="114300" simplePos="0" relativeHeight="251691520" behindDoc="0" locked="0" layoutInCell="1" allowOverlap="1" wp14:anchorId="09F3B14D" wp14:editId="64E58700">
                  <wp:simplePos x="0" y="0"/>
                  <wp:positionH relativeFrom="column">
                    <wp:posOffset>1448739</wp:posOffset>
                  </wp:positionH>
                  <wp:positionV relativeFrom="paragraph">
                    <wp:posOffset>-107508</wp:posOffset>
                  </wp:positionV>
                  <wp:extent cx="657225" cy="638175"/>
                  <wp:effectExtent l="0" t="0" r="9525" b="9525"/>
                  <wp:wrapNone/>
                  <wp:docPr id="46" name="Immagine 46"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iconeComunicati-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anchor>
              </w:drawing>
            </w:r>
            <w:r w:rsidRPr="00AC2483">
              <w:rPr>
                <w:rFonts w:ascii="Calibri" w:hAnsi="Calibri" w:cs="Arial"/>
                <w:b/>
                <w:color w:val="FFFFFF"/>
                <w:sz w:val="28"/>
                <w:szCs w:val="28"/>
              </w:rPr>
              <w:t>PROSSIMA</w:t>
            </w:r>
            <w:r>
              <w:rPr>
                <w:noProof/>
              </w:rPr>
              <w:t xml:space="preserve"> </w:t>
            </w:r>
          </w:p>
          <w:p w:rsidR="00FE436E" w:rsidRDefault="00FE436E" w:rsidP="00DF75E8">
            <w:pPr>
              <w:pStyle w:val="Paragrafobase"/>
              <w:spacing w:line="320" w:lineRule="exact"/>
              <w:ind w:left="176"/>
              <w:rPr>
                <w:rFonts w:ascii="Calibri" w:hAnsi="Calibri" w:cs="Arial"/>
                <w:b/>
                <w:color w:val="FFFFFF"/>
                <w:sz w:val="28"/>
                <w:szCs w:val="28"/>
              </w:rPr>
            </w:pPr>
            <w:r w:rsidRPr="00AC2483">
              <w:rPr>
                <w:rFonts w:ascii="Calibri" w:hAnsi="Calibri" w:cs="Arial"/>
                <w:b/>
                <w:color w:val="FFFFFF"/>
                <w:sz w:val="28"/>
                <w:szCs w:val="28"/>
              </w:rPr>
              <w:t>DIFFUSIONE</w:t>
            </w:r>
          </w:p>
          <w:p w:rsidR="00FE436E" w:rsidRPr="002578CE" w:rsidRDefault="00FE436E" w:rsidP="00DF75E8">
            <w:pPr>
              <w:pStyle w:val="Paragrafobase"/>
              <w:spacing w:before="120" w:after="120" w:line="160" w:lineRule="atLeast"/>
              <w:ind w:left="176"/>
              <w:rPr>
                <w:rFonts w:ascii="Arial" w:hAnsi="Arial" w:cs="Arial"/>
                <w:sz w:val="21"/>
                <w:szCs w:val="21"/>
              </w:rPr>
            </w:pPr>
            <w:r>
              <w:rPr>
                <w:rFonts w:ascii="Arial Narrow" w:hAnsi="Arial Narrow" w:cs="Arial"/>
                <w:color w:val="FFFFFF"/>
                <w:sz w:val="22"/>
                <w:szCs w:val="22"/>
              </w:rPr>
              <w:t>30 novembre 2022</w:t>
            </w:r>
          </w:p>
        </w:tc>
      </w:tr>
      <w:tr w:rsidR="00FE436E" w:rsidRPr="00465EB9" w:rsidTr="00DF75E8">
        <w:trPr>
          <w:trHeight w:val="619"/>
        </w:trPr>
        <w:tc>
          <w:tcPr>
            <w:tcW w:w="6924" w:type="dxa"/>
            <w:vMerge/>
            <w:tcBorders>
              <w:left w:val="single" w:sz="4" w:space="0" w:color="FFFFFF"/>
              <w:right w:val="single" w:sz="48" w:space="0" w:color="FFFFFF"/>
            </w:tcBorders>
            <w:shd w:val="clear" w:color="auto" w:fill="D9D9D9"/>
          </w:tcPr>
          <w:p w:rsidR="00FE436E" w:rsidRPr="002578CE" w:rsidRDefault="00FE436E" w:rsidP="00DF75E8">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FFFFFF"/>
          </w:tcPr>
          <w:p w:rsidR="00FE436E" w:rsidRPr="00465EB9" w:rsidRDefault="00FE436E" w:rsidP="00DF75E8">
            <w:pPr>
              <w:pStyle w:val="Paragrafobase"/>
              <w:spacing w:line="240" w:lineRule="exact"/>
              <w:ind w:left="176"/>
              <w:rPr>
                <w:rFonts w:ascii="Arial" w:hAnsi="Arial" w:cs="Arial"/>
                <w:sz w:val="21"/>
                <w:szCs w:val="21"/>
                <w:lang w:val="en-US"/>
              </w:rPr>
            </w:pPr>
            <w:r>
              <w:rPr>
                <w:rFonts w:ascii="Arial" w:hAnsi="Arial" w:cs="Arial"/>
                <w:noProof/>
                <w:sz w:val="21"/>
                <w:szCs w:val="21"/>
              </w:rPr>
              <w:drawing>
                <wp:anchor distT="0" distB="0" distL="114300" distR="114300" simplePos="0" relativeHeight="251688448" behindDoc="0" locked="0" layoutInCell="1" allowOverlap="1" wp14:anchorId="2C85AF7D" wp14:editId="1FAA1645">
                  <wp:simplePos x="0" y="0"/>
                  <wp:positionH relativeFrom="column">
                    <wp:posOffset>1533525</wp:posOffset>
                  </wp:positionH>
                  <wp:positionV relativeFrom="paragraph">
                    <wp:posOffset>181981</wp:posOffset>
                  </wp:positionV>
                  <wp:extent cx="647700" cy="628650"/>
                  <wp:effectExtent l="0" t="0" r="0" b="0"/>
                  <wp:wrapNone/>
                  <wp:docPr id="50" name="Immagine 50"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c>
      </w:tr>
      <w:tr w:rsidR="00FE436E" w:rsidRPr="000B61B4" w:rsidTr="00DF75E8">
        <w:trPr>
          <w:trHeight w:val="115"/>
        </w:trPr>
        <w:tc>
          <w:tcPr>
            <w:tcW w:w="6924" w:type="dxa"/>
            <w:vMerge/>
            <w:tcBorders>
              <w:left w:val="single" w:sz="4" w:space="0" w:color="FFFFFF"/>
              <w:bottom w:val="nil"/>
              <w:right w:val="single" w:sz="48" w:space="0" w:color="FFFFFF"/>
            </w:tcBorders>
            <w:shd w:val="clear" w:color="auto" w:fill="D9D9D9"/>
          </w:tcPr>
          <w:p w:rsidR="00FE436E" w:rsidRPr="00465EB9" w:rsidRDefault="00FE436E" w:rsidP="00DF75E8">
            <w:pPr>
              <w:widowControl/>
              <w:tabs>
                <w:tab w:val="left" w:pos="284"/>
                <w:tab w:val="left" w:pos="709"/>
              </w:tabs>
              <w:overflowPunct/>
              <w:autoSpaceDE/>
              <w:autoSpaceDN/>
              <w:adjustRightInd/>
              <w:spacing w:before="0" w:after="120" w:line="230" w:lineRule="exact"/>
              <w:jc w:val="both"/>
              <w:rPr>
                <w:rFonts w:ascii="Arial" w:hAnsi="Arial" w:cs="Arial"/>
                <w:sz w:val="21"/>
                <w:szCs w:val="21"/>
                <w:lang w:val="en-US"/>
              </w:rPr>
            </w:pPr>
          </w:p>
        </w:tc>
        <w:tc>
          <w:tcPr>
            <w:tcW w:w="3282" w:type="dxa"/>
            <w:tcBorders>
              <w:top w:val="single" w:sz="36" w:space="0" w:color="FFFFFF"/>
              <w:left w:val="single" w:sz="48" w:space="0" w:color="FFFFFF"/>
              <w:bottom w:val="single" w:sz="36" w:space="0" w:color="FFFFFF"/>
              <w:right w:val="single" w:sz="36" w:space="0" w:color="FFFFFF"/>
            </w:tcBorders>
            <w:shd w:val="clear" w:color="auto" w:fill="E31C18"/>
          </w:tcPr>
          <w:p w:rsidR="00FE436E" w:rsidRPr="00465EB9" w:rsidRDefault="00FE436E" w:rsidP="00DF75E8">
            <w:pPr>
              <w:pStyle w:val="Paragrafobase"/>
              <w:spacing w:before="120" w:line="320" w:lineRule="exact"/>
              <w:ind w:left="176"/>
              <w:rPr>
                <w:rFonts w:ascii="Calibri" w:hAnsi="Calibri" w:cs="Arial"/>
                <w:b/>
                <w:color w:val="FFFFFF"/>
                <w:sz w:val="28"/>
                <w:szCs w:val="28"/>
                <w:lang w:val="en-US"/>
              </w:rPr>
            </w:pPr>
            <w:r w:rsidRPr="00465EB9">
              <w:rPr>
                <w:rFonts w:ascii="Calibri" w:hAnsi="Calibri" w:cs="Arial"/>
                <w:b/>
                <w:color w:val="FFFFFF"/>
                <w:sz w:val="28"/>
                <w:szCs w:val="28"/>
                <w:lang w:val="en-US"/>
              </w:rPr>
              <w:t xml:space="preserve">Link </w:t>
            </w:r>
            <w:proofErr w:type="spellStart"/>
            <w:r w:rsidRPr="00465EB9">
              <w:rPr>
                <w:rFonts w:ascii="Calibri" w:hAnsi="Calibri" w:cs="Arial"/>
                <w:b/>
                <w:color w:val="FFFFFF"/>
                <w:sz w:val="28"/>
                <w:szCs w:val="28"/>
                <w:lang w:val="en-US"/>
              </w:rPr>
              <w:t>utili</w:t>
            </w:r>
            <w:proofErr w:type="spellEnd"/>
          </w:p>
          <w:p w:rsidR="00FE436E" w:rsidRPr="004E5688" w:rsidRDefault="000B61B4" w:rsidP="00DF75E8">
            <w:pPr>
              <w:pStyle w:val="Paragrafobase"/>
              <w:spacing w:before="120" w:line="240" w:lineRule="exact"/>
              <w:ind w:left="176"/>
              <w:rPr>
                <w:rStyle w:val="Collegamentoipertestuale"/>
                <w:rFonts w:ascii="Arial Narrow" w:hAnsi="Arial Narrow" w:cs="Arial"/>
                <w:color w:val="FFFFFF"/>
                <w:sz w:val="22"/>
                <w:szCs w:val="22"/>
                <w:lang w:val="en-US"/>
              </w:rPr>
            </w:pPr>
            <w:hyperlink r:id="rId16" w:history="1">
              <w:r w:rsidR="00FE436E" w:rsidRPr="004E5688">
                <w:rPr>
                  <w:rStyle w:val="Collegamentoipertestuale"/>
                  <w:rFonts w:ascii="Arial Narrow" w:hAnsi="Arial Narrow" w:cs="Arial"/>
                  <w:color w:val="FFFFFF"/>
                  <w:sz w:val="22"/>
                  <w:szCs w:val="22"/>
                  <w:lang w:val="en-US"/>
                </w:rPr>
                <w:t>http://dati.istat.it/</w:t>
              </w:r>
            </w:hyperlink>
          </w:p>
          <w:p w:rsidR="00FE436E" w:rsidRDefault="000B61B4" w:rsidP="00DF75E8">
            <w:pPr>
              <w:pStyle w:val="Paragrafobase"/>
              <w:spacing w:before="120" w:line="240" w:lineRule="exact"/>
              <w:ind w:left="176"/>
              <w:rPr>
                <w:rStyle w:val="Collegamentoipertestuale"/>
                <w:rFonts w:ascii="Arial Narrow" w:hAnsi="Arial Narrow" w:cs="Arial"/>
                <w:color w:val="FFFFFF"/>
                <w:sz w:val="22"/>
                <w:szCs w:val="22"/>
                <w:lang w:val="en-US"/>
              </w:rPr>
            </w:pPr>
            <w:hyperlink r:id="rId17" w:history="1">
              <w:r w:rsidR="00FE436E" w:rsidRPr="004E5688">
                <w:rPr>
                  <w:rStyle w:val="Collegamentoipertestuale"/>
                  <w:rFonts w:ascii="Arial Narrow" w:hAnsi="Arial Narrow" w:cs="Arial"/>
                  <w:color w:val="FFFFFF"/>
                  <w:sz w:val="22"/>
                  <w:szCs w:val="22"/>
                  <w:lang w:val="en-US"/>
                </w:rPr>
                <w:t>http://www.istat.it/it/congiuntura</w:t>
              </w:r>
            </w:hyperlink>
          </w:p>
          <w:p w:rsidR="00FE436E" w:rsidRPr="004018F1" w:rsidRDefault="00FE436E" w:rsidP="00DF75E8">
            <w:pPr>
              <w:pStyle w:val="Paragrafobase"/>
              <w:spacing w:before="120" w:after="120" w:line="240" w:lineRule="exact"/>
              <w:ind w:left="176"/>
              <w:rPr>
                <w:rFonts w:ascii="Arial Narrow" w:hAnsi="Arial Narrow" w:cs="Arial"/>
                <w:sz w:val="22"/>
                <w:szCs w:val="22"/>
                <w:u w:val="single"/>
                <w:lang w:val="en-US"/>
              </w:rPr>
            </w:pPr>
            <w:r w:rsidRPr="004018F1">
              <w:rPr>
                <w:rFonts w:ascii="Arial Narrow" w:hAnsi="Arial Narrow" w:cs="Arial"/>
                <w:color w:val="FFFFFF" w:themeColor="background1"/>
                <w:sz w:val="22"/>
                <w:szCs w:val="22"/>
                <w:u w:val="single"/>
                <w:lang w:val="en-US"/>
              </w:rPr>
              <w:t>http://rivaluta.istat.it/Rivaluta/</w:t>
            </w:r>
          </w:p>
        </w:tc>
      </w:tr>
    </w:tbl>
    <w:p w:rsidR="00FE436E" w:rsidRDefault="00FE436E" w:rsidP="00FC4BD2">
      <w:pPr>
        <w:widowControl/>
        <w:overflowPunct/>
        <w:autoSpaceDE/>
        <w:autoSpaceDN/>
        <w:adjustRightInd/>
        <w:spacing w:before="0" w:after="0" w:line="230" w:lineRule="exact"/>
        <w:ind w:left="357"/>
        <w:jc w:val="both"/>
        <w:rPr>
          <w:rFonts w:ascii="Arial" w:hAnsi="Arial" w:cs="Arial"/>
          <w:b/>
          <w:sz w:val="8"/>
          <w:szCs w:val="8"/>
          <w:lang w:val="en-US"/>
        </w:rPr>
      </w:pPr>
    </w:p>
    <w:p w:rsidR="00FE436E" w:rsidRPr="00957753" w:rsidRDefault="00FE436E" w:rsidP="00FC4BD2">
      <w:pPr>
        <w:widowControl/>
        <w:overflowPunct/>
        <w:autoSpaceDE/>
        <w:autoSpaceDN/>
        <w:adjustRightInd/>
        <w:spacing w:before="0" w:after="0" w:line="230" w:lineRule="exact"/>
        <w:ind w:left="357"/>
        <w:jc w:val="both"/>
        <w:rPr>
          <w:rFonts w:ascii="Arial" w:hAnsi="Arial" w:cs="Arial"/>
          <w:b/>
          <w:sz w:val="8"/>
          <w:szCs w:val="8"/>
          <w:lang w:val="en-US"/>
        </w:rPr>
        <w:sectPr w:rsidR="00FE436E" w:rsidRPr="00957753" w:rsidSect="00DD3536">
          <w:headerReference w:type="even" r:id="rId18"/>
          <w:headerReference w:type="default" r:id="rId19"/>
          <w:footerReference w:type="even" r:id="rId20"/>
          <w:footerReference w:type="default" r:id="rId21"/>
          <w:headerReference w:type="first" r:id="rId22"/>
          <w:footerReference w:type="first" r:id="rId23"/>
          <w:pgSz w:w="11907" w:h="16840" w:code="9"/>
          <w:pgMar w:top="2238" w:right="851" w:bottom="680" w:left="851" w:header="567" w:footer="204" w:gutter="0"/>
          <w:cols w:space="720"/>
          <w:noEndnote/>
          <w:docGrid w:linePitch="272"/>
        </w:sectPr>
      </w:pPr>
    </w:p>
    <w:p w:rsidR="00487AB9" w:rsidRPr="00957753" w:rsidRDefault="00487AB9" w:rsidP="008D4068">
      <w:pPr>
        <w:pStyle w:val="001TitoGra"/>
        <w:spacing w:after="120" w:line="240" w:lineRule="auto"/>
        <w:rPr>
          <w:rFonts w:cs="Calibri"/>
          <w:bCs/>
          <w:color w:val="auto"/>
          <w:kern w:val="0"/>
          <w:lang w:val="en-US"/>
        </w:rPr>
      </w:pPr>
    </w:p>
    <w:p w:rsidR="00E273E3" w:rsidRPr="00C8504B" w:rsidRDefault="001033EA" w:rsidP="001033EA">
      <w:pPr>
        <w:pStyle w:val="001TitoGra"/>
        <w:rPr>
          <w:rFonts w:ascii="Arial" w:hAnsi="Arial"/>
          <w:b w:val="0"/>
          <w:color w:val="auto"/>
          <w:sz w:val="21"/>
          <w:szCs w:val="21"/>
        </w:rPr>
      </w:pPr>
      <w:r w:rsidRPr="00C8504B">
        <w:rPr>
          <w:rFonts w:cs="Calibri"/>
          <w:bCs/>
          <w:color w:val="FF0000"/>
          <w:kern w:val="0"/>
        </w:rPr>
        <w:t>FIGURA 1.</w:t>
      </w:r>
      <w:r w:rsidRPr="00C8504B">
        <w:rPr>
          <w:rFonts w:cs="Calibri"/>
          <w:bCs/>
          <w:kern w:val="0"/>
        </w:rPr>
        <w:t xml:space="preserve"> </w:t>
      </w:r>
      <w:r w:rsidR="00DA7A68" w:rsidRPr="00C8504B">
        <w:rPr>
          <w:rFonts w:cs="Calibri"/>
          <w:bCs/>
          <w:kern w:val="0"/>
        </w:rPr>
        <w:t>INDICI DEI PREZZI AL CONSUMO NIC</w:t>
      </w:r>
      <w:r w:rsidRPr="00C8504B">
        <w:rPr>
          <w:rFonts w:cs="Calibri"/>
          <w:bCs/>
          <w:color w:val="808080"/>
          <w:kern w:val="0"/>
        </w:rPr>
        <w:t xml:space="preserve"> </w:t>
      </w:r>
    </w:p>
    <w:p w:rsidR="001033EA" w:rsidRPr="00C8504B" w:rsidRDefault="005B7BD6" w:rsidP="00CB0759">
      <w:pPr>
        <w:pStyle w:val="001TitoGra"/>
        <w:spacing w:after="120" w:line="240" w:lineRule="auto"/>
        <w:rPr>
          <w:rFonts w:cs="Calibri"/>
          <w:b w:val="0"/>
          <w:kern w:val="0"/>
          <w:sz w:val="20"/>
          <w:szCs w:val="20"/>
        </w:rPr>
      </w:pPr>
      <w:r>
        <w:rPr>
          <w:b w:val="0"/>
          <w:sz w:val="20"/>
          <w:szCs w:val="20"/>
        </w:rPr>
        <w:t>Gennaio 2017</w:t>
      </w:r>
      <w:r w:rsidR="00141DAE" w:rsidRPr="00141DAE">
        <w:rPr>
          <w:b w:val="0"/>
          <w:sz w:val="20"/>
          <w:szCs w:val="20"/>
        </w:rPr>
        <w:t xml:space="preserve"> - </w:t>
      </w:r>
      <w:r w:rsidR="00691344">
        <w:rPr>
          <w:b w:val="0"/>
          <w:sz w:val="20"/>
          <w:szCs w:val="20"/>
        </w:rPr>
        <w:t>otto</w:t>
      </w:r>
      <w:r w:rsidR="009B6ACA">
        <w:rPr>
          <w:b w:val="0"/>
          <w:sz w:val="20"/>
          <w:szCs w:val="20"/>
        </w:rPr>
        <w:t>bre</w:t>
      </w:r>
      <w:r w:rsidR="009A20F3" w:rsidRPr="00F36E1D">
        <w:rPr>
          <w:b w:val="0"/>
          <w:sz w:val="20"/>
          <w:szCs w:val="20"/>
        </w:rPr>
        <w:t xml:space="preserve"> </w:t>
      </w:r>
      <w:r w:rsidR="00141DAE" w:rsidRPr="00141DAE">
        <w:rPr>
          <w:b w:val="0"/>
          <w:sz w:val="20"/>
          <w:szCs w:val="20"/>
        </w:rPr>
        <w:t>202</w:t>
      </w:r>
      <w:r>
        <w:rPr>
          <w:b w:val="0"/>
          <w:sz w:val="20"/>
          <w:szCs w:val="20"/>
        </w:rPr>
        <w:t>2</w:t>
      </w:r>
      <w:r w:rsidR="002A1B8C" w:rsidRPr="00C8504B">
        <w:rPr>
          <w:rFonts w:cs="Calibri"/>
          <w:b w:val="0"/>
          <w:kern w:val="0"/>
          <w:sz w:val="20"/>
          <w:szCs w:val="20"/>
        </w:rPr>
        <w:t>, variazioni percentuali congiunturali e tendenziali</w:t>
      </w:r>
      <w:r w:rsidR="0047143B" w:rsidRPr="00C8504B">
        <w:rPr>
          <w:rFonts w:cs="Calibri"/>
          <w:b w:val="0"/>
          <w:kern w:val="0"/>
          <w:sz w:val="20"/>
          <w:szCs w:val="20"/>
        </w:rPr>
        <w:t xml:space="preserve"> (base 2015=100)</w:t>
      </w:r>
    </w:p>
    <w:p w:rsidR="008D4068" w:rsidRPr="00C8504B" w:rsidRDefault="002026BD" w:rsidP="005E34B4">
      <w:pPr>
        <w:pStyle w:val="001TitoGra"/>
        <w:spacing w:after="120" w:line="240" w:lineRule="auto"/>
      </w:pPr>
      <w:r>
        <w:rPr>
          <w:noProof/>
        </w:rPr>
        <w:drawing>
          <wp:inline distT="0" distB="0" distL="0" distR="0" wp14:anchorId="4B2F28E8">
            <wp:extent cx="6437630" cy="3237230"/>
            <wp:effectExtent l="0" t="0" r="127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7630" cy="3237230"/>
                    </a:xfrm>
                    <a:prstGeom prst="rect">
                      <a:avLst/>
                    </a:prstGeom>
                    <a:noFill/>
                  </pic:spPr>
                </pic:pic>
              </a:graphicData>
            </a:graphic>
          </wp:inline>
        </w:drawing>
      </w:r>
    </w:p>
    <w:p w:rsidR="00377B2E" w:rsidRDefault="00377B2E" w:rsidP="00377B2E">
      <w:pPr>
        <w:pStyle w:val="001TitoGra"/>
        <w:spacing w:after="120" w:line="240" w:lineRule="auto"/>
        <w:rPr>
          <w:rFonts w:cs="Calibri"/>
          <w:bCs/>
          <w:color w:val="auto"/>
          <w:kern w:val="0"/>
        </w:rPr>
      </w:pPr>
    </w:p>
    <w:p w:rsidR="00487AB9" w:rsidRDefault="00487AB9" w:rsidP="00377B2E">
      <w:pPr>
        <w:pStyle w:val="001TitoGra"/>
        <w:spacing w:after="120" w:line="240" w:lineRule="auto"/>
        <w:rPr>
          <w:rFonts w:cs="Calibri"/>
          <w:bCs/>
          <w:color w:val="auto"/>
          <w:kern w:val="0"/>
        </w:rPr>
      </w:pPr>
    </w:p>
    <w:p w:rsidR="00743FF0" w:rsidRPr="00C8504B" w:rsidRDefault="00743FF0" w:rsidP="00377B2E">
      <w:pPr>
        <w:pStyle w:val="001TitoGra"/>
        <w:spacing w:after="120" w:line="240" w:lineRule="auto"/>
        <w:rPr>
          <w:rFonts w:cs="Calibri"/>
          <w:bCs/>
          <w:color w:val="auto"/>
          <w:kern w:val="0"/>
        </w:rPr>
      </w:pPr>
    </w:p>
    <w:p w:rsidR="005E34B4" w:rsidRPr="00C8504B" w:rsidRDefault="005E34B4" w:rsidP="005E34B4">
      <w:pPr>
        <w:pStyle w:val="001TitoGra"/>
        <w:spacing w:line="240" w:lineRule="auto"/>
      </w:pPr>
      <w:r w:rsidRPr="00C8504B">
        <w:rPr>
          <w:color w:val="E42618"/>
        </w:rPr>
        <w:t>PROSPETTO 1</w:t>
      </w:r>
      <w:r w:rsidRPr="00C8504B">
        <w:rPr>
          <w:color w:val="D90B13"/>
        </w:rPr>
        <w:t>.</w:t>
      </w:r>
      <w:r w:rsidRPr="00C8504B">
        <w:t xml:space="preserve"> </w:t>
      </w:r>
      <w:r w:rsidRPr="00C8504B">
        <w:rPr>
          <w:rFonts w:cs="Calibri"/>
          <w:bCs/>
          <w:kern w:val="0"/>
        </w:rPr>
        <w:t>INDICI DEI PREZZI AL CONSUMO NIC</w:t>
      </w:r>
      <w:r w:rsidR="00384595" w:rsidRPr="00C8504B">
        <w:rPr>
          <w:rFonts w:cs="Calibri"/>
          <w:bCs/>
          <w:kern w:val="0"/>
        </w:rPr>
        <w:t>,</w:t>
      </w:r>
      <w:r w:rsidRPr="00C8504B">
        <w:rPr>
          <w:rFonts w:cs="Calibri"/>
          <w:bCs/>
          <w:kern w:val="0"/>
        </w:rPr>
        <w:t xml:space="preserve"> IPCA</w:t>
      </w:r>
      <w:r w:rsidR="00384595" w:rsidRPr="00C8504B">
        <w:rPr>
          <w:rFonts w:cs="Calibri"/>
          <w:bCs/>
          <w:kern w:val="0"/>
        </w:rPr>
        <w:t xml:space="preserve"> E FOI</w:t>
      </w:r>
    </w:p>
    <w:p w:rsidR="005E34B4" w:rsidRDefault="00691344" w:rsidP="005E34B4">
      <w:pPr>
        <w:pStyle w:val="001TitoGra"/>
        <w:spacing w:after="120" w:line="240" w:lineRule="auto"/>
        <w:rPr>
          <w:b w:val="0"/>
          <w:sz w:val="20"/>
          <w:szCs w:val="20"/>
        </w:rPr>
      </w:pPr>
      <w:r>
        <w:rPr>
          <w:b w:val="0"/>
          <w:sz w:val="20"/>
          <w:szCs w:val="20"/>
        </w:rPr>
        <w:t>Otto</w:t>
      </w:r>
      <w:r w:rsidR="009B6ACA">
        <w:rPr>
          <w:b w:val="0"/>
          <w:sz w:val="20"/>
          <w:szCs w:val="20"/>
        </w:rPr>
        <w:t>bre</w:t>
      </w:r>
      <w:r w:rsidR="009A20F3">
        <w:rPr>
          <w:b w:val="0"/>
          <w:sz w:val="20"/>
          <w:szCs w:val="20"/>
        </w:rPr>
        <w:t xml:space="preserve"> </w:t>
      </w:r>
      <w:r w:rsidR="005B7BD6">
        <w:rPr>
          <w:b w:val="0"/>
          <w:sz w:val="20"/>
          <w:szCs w:val="20"/>
        </w:rPr>
        <w:t>2022</w:t>
      </w:r>
      <w:r w:rsidR="005F6217" w:rsidRPr="00C8504B">
        <w:rPr>
          <w:b w:val="0"/>
          <w:sz w:val="20"/>
          <w:szCs w:val="20"/>
        </w:rPr>
        <w:t>, i</w:t>
      </w:r>
      <w:r w:rsidR="005E34B4" w:rsidRPr="00C8504B">
        <w:rPr>
          <w:b w:val="0"/>
          <w:sz w:val="20"/>
          <w:szCs w:val="20"/>
        </w:rPr>
        <w:t>ndici e variazioni percentu</w:t>
      </w:r>
      <w:r w:rsidR="005F6217" w:rsidRPr="00C8504B">
        <w:rPr>
          <w:b w:val="0"/>
          <w:sz w:val="20"/>
          <w:szCs w:val="20"/>
        </w:rPr>
        <w:t>ali congiunturali e tendenziali</w:t>
      </w:r>
      <w:r w:rsidR="005E34B4" w:rsidRPr="00C8504B">
        <w:rPr>
          <w:b w:val="0"/>
          <w:sz w:val="20"/>
          <w:szCs w:val="20"/>
        </w:rPr>
        <w:t xml:space="preserve"> (base 2015=100)</w:t>
      </w:r>
    </w:p>
    <w:tbl>
      <w:tblPr>
        <w:tblW w:w="10206" w:type="dxa"/>
        <w:jc w:val="center"/>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599"/>
        <w:gridCol w:w="1869"/>
        <w:gridCol w:w="1869"/>
        <w:gridCol w:w="1869"/>
      </w:tblGrid>
      <w:tr w:rsidR="00073BDC" w:rsidRPr="00C8504B" w:rsidTr="00073BDC">
        <w:trPr>
          <w:trHeight w:val="255"/>
          <w:jc w:val="center"/>
        </w:trPr>
        <w:tc>
          <w:tcPr>
            <w:tcW w:w="4599" w:type="dxa"/>
            <w:vMerge w:val="restart"/>
            <w:vAlign w:val="center"/>
          </w:tcPr>
          <w:p w:rsidR="00073BDC" w:rsidRPr="00C8504B" w:rsidRDefault="00073BDC" w:rsidP="00073BDC">
            <w:pPr>
              <w:tabs>
                <w:tab w:val="left" w:pos="5093"/>
              </w:tabs>
              <w:spacing w:before="40" w:after="20"/>
              <w:ind w:left="-57"/>
              <w:jc w:val="center"/>
              <w:rPr>
                <w:rFonts w:ascii="Arial Narrow" w:hAnsi="Arial Narrow" w:cs="Arial"/>
                <w:b/>
                <w:bCs/>
                <w:sz w:val="18"/>
                <w:szCs w:val="18"/>
              </w:rPr>
            </w:pPr>
          </w:p>
        </w:tc>
        <w:tc>
          <w:tcPr>
            <w:tcW w:w="1869" w:type="dxa"/>
            <w:shd w:val="clear" w:color="auto" w:fill="D9D9D9"/>
            <w:vAlign w:val="center"/>
          </w:tcPr>
          <w:p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napToGrid w:val="0"/>
                <w:sz w:val="18"/>
                <w:szCs w:val="18"/>
              </w:rPr>
              <w:t>Indici</w:t>
            </w:r>
          </w:p>
        </w:tc>
        <w:tc>
          <w:tcPr>
            <w:tcW w:w="1869" w:type="dxa"/>
            <w:shd w:val="clear" w:color="auto" w:fill="auto"/>
            <w:vAlign w:val="center"/>
          </w:tcPr>
          <w:p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869" w:type="dxa"/>
            <w:shd w:val="clear" w:color="auto" w:fill="D9D9D9"/>
            <w:vAlign w:val="center"/>
          </w:tcPr>
          <w:p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tendenziali</w:t>
            </w:r>
          </w:p>
        </w:tc>
      </w:tr>
      <w:tr w:rsidR="00C22A24" w:rsidRPr="00C8504B" w:rsidTr="00073BDC">
        <w:trPr>
          <w:trHeight w:val="255"/>
          <w:jc w:val="center"/>
        </w:trPr>
        <w:tc>
          <w:tcPr>
            <w:tcW w:w="4599" w:type="dxa"/>
            <w:vMerge/>
            <w:vAlign w:val="center"/>
          </w:tcPr>
          <w:p w:rsidR="00C22A24" w:rsidRPr="00C8504B" w:rsidRDefault="00C22A24" w:rsidP="00C22A24">
            <w:pPr>
              <w:tabs>
                <w:tab w:val="left" w:pos="5093"/>
              </w:tabs>
              <w:spacing w:before="40" w:after="20"/>
              <w:ind w:left="-57"/>
              <w:rPr>
                <w:rFonts w:ascii="Arial Narrow" w:hAnsi="Arial Narrow" w:cs="Arial"/>
                <w:b/>
                <w:bCs/>
                <w:sz w:val="18"/>
                <w:szCs w:val="18"/>
              </w:rPr>
            </w:pPr>
          </w:p>
        </w:tc>
        <w:tc>
          <w:tcPr>
            <w:tcW w:w="1869" w:type="dxa"/>
            <w:shd w:val="clear" w:color="auto" w:fill="auto"/>
            <w:vAlign w:val="center"/>
          </w:tcPr>
          <w:p w:rsidR="00C22A24" w:rsidRDefault="00691344" w:rsidP="00C22A24">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ottobre</w:t>
            </w:r>
          </w:p>
          <w:p w:rsidR="00C22A24" w:rsidRPr="00C8504B" w:rsidRDefault="00C22A24" w:rsidP="00C22A24">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2022</w:t>
            </w:r>
          </w:p>
        </w:tc>
        <w:tc>
          <w:tcPr>
            <w:tcW w:w="1869" w:type="dxa"/>
            <w:shd w:val="clear" w:color="auto" w:fill="auto"/>
            <w:vAlign w:val="center"/>
          </w:tcPr>
          <w:p w:rsidR="00C22A24" w:rsidRDefault="00691344" w:rsidP="00C22A24">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ott</w:t>
            </w:r>
            <w:r w:rsidR="00C22A24">
              <w:rPr>
                <w:rFonts w:ascii="Arial Narrow" w:hAnsi="Arial Narrow" w:cs="Arial"/>
                <w:kern w:val="0"/>
                <w:sz w:val="18"/>
                <w:szCs w:val="18"/>
                <w:u w:val="single"/>
              </w:rPr>
              <w:t>-22</w:t>
            </w:r>
          </w:p>
          <w:p w:rsidR="00C22A24" w:rsidRPr="00E03E58" w:rsidRDefault="00691344" w:rsidP="00C22A24">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set</w:t>
            </w:r>
            <w:r w:rsidR="00C22A24">
              <w:rPr>
                <w:rFonts w:ascii="Arial Narrow" w:hAnsi="Arial Narrow" w:cs="Arial"/>
                <w:kern w:val="0"/>
                <w:sz w:val="18"/>
                <w:szCs w:val="18"/>
              </w:rPr>
              <w:t>-22</w:t>
            </w:r>
          </w:p>
        </w:tc>
        <w:tc>
          <w:tcPr>
            <w:tcW w:w="1869" w:type="dxa"/>
            <w:shd w:val="clear" w:color="auto" w:fill="auto"/>
            <w:vAlign w:val="center"/>
          </w:tcPr>
          <w:p w:rsidR="00C22A24" w:rsidRDefault="00691344" w:rsidP="00C22A24">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ot</w:t>
            </w:r>
            <w:r w:rsidR="00932AA7">
              <w:rPr>
                <w:rFonts w:ascii="Arial Narrow" w:hAnsi="Arial Narrow" w:cs="Arial"/>
                <w:kern w:val="0"/>
                <w:sz w:val="18"/>
                <w:szCs w:val="18"/>
                <w:u w:val="single"/>
              </w:rPr>
              <w:t>t</w:t>
            </w:r>
            <w:r w:rsidR="00C22A24">
              <w:rPr>
                <w:rFonts w:ascii="Arial Narrow" w:hAnsi="Arial Narrow" w:cs="Arial"/>
                <w:kern w:val="0"/>
                <w:sz w:val="18"/>
                <w:szCs w:val="18"/>
                <w:u w:val="single"/>
              </w:rPr>
              <w:t>-22</w:t>
            </w:r>
          </w:p>
          <w:p w:rsidR="00C22A24" w:rsidRPr="00EF00E1" w:rsidRDefault="00691344" w:rsidP="00C22A24">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ot</w:t>
            </w:r>
            <w:r w:rsidR="00932AA7">
              <w:rPr>
                <w:rFonts w:ascii="Arial Narrow" w:hAnsi="Arial Narrow" w:cs="Arial"/>
                <w:kern w:val="0"/>
                <w:sz w:val="18"/>
                <w:szCs w:val="18"/>
              </w:rPr>
              <w:t>t</w:t>
            </w:r>
            <w:r w:rsidR="00C22A24">
              <w:rPr>
                <w:rFonts w:ascii="Arial Narrow" w:hAnsi="Arial Narrow" w:cs="Arial"/>
                <w:kern w:val="0"/>
                <w:sz w:val="18"/>
                <w:szCs w:val="18"/>
              </w:rPr>
              <w:t>-21</w:t>
            </w:r>
          </w:p>
        </w:tc>
      </w:tr>
      <w:tr w:rsidR="002C552E" w:rsidRPr="00C8504B" w:rsidTr="00ED70FA">
        <w:trPr>
          <w:trHeight w:val="255"/>
          <w:jc w:val="center"/>
        </w:trPr>
        <w:tc>
          <w:tcPr>
            <w:tcW w:w="4599" w:type="dxa"/>
            <w:vAlign w:val="center"/>
          </w:tcPr>
          <w:p w:rsidR="002C552E" w:rsidRPr="00C8504B" w:rsidRDefault="002C552E" w:rsidP="002C552E">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nazionale per l’intera collettività NIC </w:t>
            </w:r>
          </w:p>
        </w:tc>
        <w:tc>
          <w:tcPr>
            <w:tcW w:w="1869" w:type="dxa"/>
            <w:shd w:val="clear" w:color="auto" w:fill="D9D9D9"/>
            <w:vAlign w:val="bottom"/>
          </w:tcPr>
          <w:p w:rsidR="002C552E" w:rsidRPr="002C552E" w:rsidRDefault="002C552E" w:rsidP="002C552E">
            <w:pPr>
              <w:tabs>
                <w:tab w:val="left" w:pos="5093"/>
              </w:tabs>
              <w:spacing w:before="40" w:after="20"/>
              <w:jc w:val="right"/>
              <w:rPr>
                <w:rFonts w:ascii="Arial Narrow" w:hAnsi="Arial Narrow" w:cs="Arial"/>
                <w:bCs/>
                <w:sz w:val="18"/>
                <w:szCs w:val="18"/>
              </w:rPr>
            </w:pPr>
            <w:r w:rsidRPr="002C552E">
              <w:rPr>
                <w:rFonts w:ascii="Arial Narrow" w:hAnsi="Arial Narrow" w:cs="Arial"/>
                <w:bCs/>
                <w:sz w:val="18"/>
                <w:szCs w:val="18"/>
              </w:rPr>
              <w:t>118,1</w:t>
            </w:r>
          </w:p>
        </w:tc>
        <w:tc>
          <w:tcPr>
            <w:tcW w:w="1869" w:type="dxa"/>
            <w:shd w:val="clear" w:color="auto" w:fill="FFFFFF" w:themeFill="background1"/>
            <w:vAlign w:val="center"/>
          </w:tcPr>
          <w:p w:rsidR="002C552E" w:rsidRPr="002C552E" w:rsidRDefault="002C552E" w:rsidP="002C552E">
            <w:pPr>
              <w:tabs>
                <w:tab w:val="left" w:pos="5093"/>
              </w:tabs>
              <w:spacing w:before="40" w:after="20"/>
              <w:jc w:val="right"/>
              <w:rPr>
                <w:rFonts w:ascii="Arial Narrow" w:hAnsi="Arial Narrow" w:cs="Arial"/>
                <w:bCs/>
                <w:sz w:val="18"/>
                <w:szCs w:val="18"/>
              </w:rPr>
            </w:pPr>
            <w:r w:rsidRPr="002C552E">
              <w:rPr>
                <w:rFonts w:ascii="Arial Narrow" w:hAnsi="Arial Narrow" w:cs="Arial"/>
                <w:bCs/>
                <w:sz w:val="18"/>
                <w:szCs w:val="18"/>
              </w:rPr>
              <w:t>+3,4</w:t>
            </w:r>
          </w:p>
        </w:tc>
        <w:tc>
          <w:tcPr>
            <w:tcW w:w="1869" w:type="dxa"/>
            <w:shd w:val="clear" w:color="auto" w:fill="D9D9D9"/>
            <w:vAlign w:val="center"/>
          </w:tcPr>
          <w:p w:rsidR="002C552E" w:rsidRPr="002C552E" w:rsidRDefault="002C552E" w:rsidP="002C552E">
            <w:pPr>
              <w:tabs>
                <w:tab w:val="left" w:pos="5093"/>
              </w:tabs>
              <w:spacing w:before="40" w:after="20"/>
              <w:jc w:val="right"/>
              <w:rPr>
                <w:rFonts w:ascii="Arial Narrow" w:hAnsi="Arial Narrow" w:cs="Arial"/>
                <w:bCs/>
                <w:sz w:val="18"/>
                <w:szCs w:val="18"/>
              </w:rPr>
            </w:pPr>
            <w:r w:rsidRPr="002C552E">
              <w:rPr>
                <w:rFonts w:ascii="Arial Narrow" w:hAnsi="Arial Narrow" w:cs="Arial"/>
                <w:bCs/>
                <w:sz w:val="18"/>
                <w:szCs w:val="18"/>
              </w:rPr>
              <w:t>+11,8</w:t>
            </w:r>
          </w:p>
        </w:tc>
      </w:tr>
      <w:tr w:rsidR="002C552E" w:rsidRPr="00C8504B" w:rsidTr="00ED70FA">
        <w:trPr>
          <w:trHeight w:val="255"/>
          <w:jc w:val="center"/>
        </w:trPr>
        <w:tc>
          <w:tcPr>
            <w:tcW w:w="4599" w:type="dxa"/>
            <w:vAlign w:val="center"/>
          </w:tcPr>
          <w:p w:rsidR="002C552E" w:rsidRPr="00C8504B" w:rsidRDefault="002C552E" w:rsidP="002C552E">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armonizzato IPCA </w:t>
            </w:r>
          </w:p>
        </w:tc>
        <w:tc>
          <w:tcPr>
            <w:tcW w:w="1869" w:type="dxa"/>
            <w:shd w:val="clear" w:color="auto" w:fill="D9D9D9"/>
            <w:vAlign w:val="bottom"/>
          </w:tcPr>
          <w:p w:rsidR="002C552E" w:rsidRPr="002C552E" w:rsidRDefault="002C552E" w:rsidP="002C552E">
            <w:pPr>
              <w:tabs>
                <w:tab w:val="left" w:pos="5093"/>
              </w:tabs>
              <w:spacing w:before="40" w:after="20"/>
              <w:jc w:val="right"/>
              <w:rPr>
                <w:rFonts w:ascii="Arial Narrow" w:hAnsi="Arial Narrow" w:cs="Arial"/>
                <w:bCs/>
                <w:sz w:val="18"/>
                <w:szCs w:val="18"/>
              </w:rPr>
            </w:pPr>
            <w:r w:rsidRPr="002C552E">
              <w:rPr>
                <w:rFonts w:ascii="Arial Narrow" w:hAnsi="Arial Narrow" w:cs="Arial"/>
                <w:bCs/>
                <w:sz w:val="18"/>
                <w:szCs w:val="18"/>
              </w:rPr>
              <w:t>120,0</w:t>
            </w:r>
          </w:p>
        </w:tc>
        <w:tc>
          <w:tcPr>
            <w:tcW w:w="1869" w:type="dxa"/>
            <w:shd w:val="clear" w:color="auto" w:fill="FFFFFF" w:themeFill="background1"/>
            <w:vAlign w:val="center"/>
          </w:tcPr>
          <w:p w:rsidR="002C552E" w:rsidRPr="002C552E" w:rsidRDefault="002C552E" w:rsidP="002C552E">
            <w:pPr>
              <w:tabs>
                <w:tab w:val="left" w:pos="5093"/>
              </w:tabs>
              <w:spacing w:before="40" w:after="20"/>
              <w:jc w:val="right"/>
              <w:rPr>
                <w:rFonts w:ascii="Arial Narrow" w:hAnsi="Arial Narrow" w:cs="Arial"/>
                <w:bCs/>
                <w:sz w:val="18"/>
                <w:szCs w:val="18"/>
              </w:rPr>
            </w:pPr>
            <w:r w:rsidRPr="002C552E">
              <w:rPr>
                <w:rFonts w:ascii="Arial Narrow" w:hAnsi="Arial Narrow" w:cs="Arial"/>
                <w:bCs/>
                <w:sz w:val="18"/>
                <w:szCs w:val="18"/>
              </w:rPr>
              <w:t>+3,8</w:t>
            </w:r>
          </w:p>
        </w:tc>
        <w:tc>
          <w:tcPr>
            <w:tcW w:w="1869" w:type="dxa"/>
            <w:shd w:val="clear" w:color="auto" w:fill="D9D9D9"/>
            <w:vAlign w:val="center"/>
          </w:tcPr>
          <w:p w:rsidR="002C552E" w:rsidRPr="002C552E" w:rsidRDefault="002C552E" w:rsidP="002C552E">
            <w:pPr>
              <w:tabs>
                <w:tab w:val="left" w:pos="5093"/>
              </w:tabs>
              <w:spacing w:before="40" w:after="20"/>
              <w:jc w:val="right"/>
              <w:rPr>
                <w:rFonts w:ascii="Arial Narrow" w:hAnsi="Arial Narrow" w:cs="Arial"/>
                <w:bCs/>
                <w:sz w:val="18"/>
                <w:szCs w:val="18"/>
              </w:rPr>
            </w:pPr>
            <w:r w:rsidRPr="002C552E">
              <w:rPr>
                <w:rFonts w:ascii="Arial Narrow" w:hAnsi="Arial Narrow" w:cs="Arial"/>
                <w:bCs/>
                <w:sz w:val="18"/>
                <w:szCs w:val="18"/>
              </w:rPr>
              <w:t>+12,6</w:t>
            </w:r>
          </w:p>
        </w:tc>
      </w:tr>
      <w:tr w:rsidR="002C552E" w:rsidRPr="00C8504B" w:rsidTr="00ED70FA">
        <w:trPr>
          <w:trHeight w:val="255"/>
          <w:jc w:val="center"/>
        </w:trPr>
        <w:tc>
          <w:tcPr>
            <w:tcW w:w="4599" w:type="dxa"/>
            <w:vAlign w:val="center"/>
          </w:tcPr>
          <w:p w:rsidR="002C552E" w:rsidRPr="00C8504B" w:rsidRDefault="002C552E" w:rsidP="002C552E">
            <w:pPr>
              <w:tabs>
                <w:tab w:val="left" w:pos="5093"/>
              </w:tabs>
              <w:spacing w:before="40" w:after="20"/>
              <w:ind w:left="-57"/>
              <w:rPr>
                <w:rFonts w:ascii="Arial Narrow" w:hAnsi="Arial Narrow" w:cs="Arial"/>
                <w:bCs/>
                <w:snapToGrid w:val="0"/>
                <w:sz w:val="18"/>
                <w:szCs w:val="18"/>
              </w:rPr>
            </w:pPr>
            <w:r w:rsidRPr="00C8504B">
              <w:rPr>
                <w:rFonts w:ascii="Arial Narrow" w:hAnsi="Arial Narrow" w:cs="Arial"/>
                <w:bCs/>
                <w:snapToGrid w:val="0"/>
                <w:sz w:val="18"/>
                <w:szCs w:val="18"/>
              </w:rPr>
              <w:t>Indice per le famiglie di operai e impiegati FOI (senza tabacchi)</w:t>
            </w:r>
          </w:p>
        </w:tc>
        <w:tc>
          <w:tcPr>
            <w:tcW w:w="1869" w:type="dxa"/>
            <w:shd w:val="clear" w:color="auto" w:fill="D9D9D9"/>
            <w:vAlign w:val="bottom"/>
          </w:tcPr>
          <w:p w:rsidR="002C552E" w:rsidRPr="002C552E" w:rsidRDefault="002C552E" w:rsidP="002C552E">
            <w:pPr>
              <w:tabs>
                <w:tab w:val="left" w:pos="5093"/>
              </w:tabs>
              <w:spacing w:before="40" w:after="20"/>
              <w:jc w:val="right"/>
              <w:rPr>
                <w:rFonts w:ascii="Arial Narrow" w:hAnsi="Arial Narrow" w:cs="Arial"/>
                <w:bCs/>
                <w:sz w:val="18"/>
                <w:szCs w:val="18"/>
              </w:rPr>
            </w:pPr>
            <w:r w:rsidRPr="002C552E">
              <w:rPr>
                <w:rFonts w:ascii="Arial Narrow" w:hAnsi="Arial Narrow" w:cs="Arial"/>
                <w:bCs/>
                <w:sz w:val="18"/>
                <w:szCs w:val="18"/>
              </w:rPr>
              <w:t>117,2</w:t>
            </w:r>
          </w:p>
        </w:tc>
        <w:tc>
          <w:tcPr>
            <w:tcW w:w="1869" w:type="dxa"/>
            <w:shd w:val="clear" w:color="auto" w:fill="FFFFFF" w:themeFill="background1"/>
            <w:vAlign w:val="center"/>
          </w:tcPr>
          <w:p w:rsidR="002C552E" w:rsidRPr="002C552E" w:rsidRDefault="002C552E" w:rsidP="002C552E">
            <w:pPr>
              <w:tabs>
                <w:tab w:val="left" w:pos="5093"/>
              </w:tabs>
              <w:spacing w:before="40" w:after="20"/>
              <w:jc w:val="right"/>
              <w:rPr>
                <w:rFonts w:ascii="Arial Narrow" w:hAnsi="Arial Narrow" w:cs="Arial"/>
                <w:bCs/>
                <w:sz w:val="18"/>
                <w:szCs w:val="18"/>
              </w:rPr>
            </w:pPr>
            <w:r w:rsidRPr="002C552E">
              <w:rPr>
                <w:rFonts w:ascii="Arial Narrow" w:hAnsi="Arial Narrow" w:cs="Arial"/>
                <w:bCs/>
                <w:sz w:val="18"/>
                <w:szCs w:val="18"/>
              </w:rPr>
              <w:t>+3,3</w:t>
            </w:r>
          </w:p>
        </w:tc>
        <w:tc>
          <w:tcPr>
            <w:tcW w:w="1869" w:type="dxa"/>
            <w:shd w:val="clear" w:color="auto" w:fill="D9D9D9"/>
            <w:vAlign w:val="center"/>
          </w:tcPr>
          <w:p w:rsidR="002C552E" w:rsidRPr="002C552E" w:rsidRDefault="002C552E" w:rsidP="002C552E">
            <w:pPr>
              <w:tabs>
                <w:tab w:val="left" w:pos="5093"/>
              </w:tabs>
              <w:spacing w:before="40" w:after="20"/>
              <w:jc w:val="right"/>
              <w:rPr>
                <w:rFonts w:ascii="Arial Narrow" w:hAnsi="Arial Narrow" w:cs="Arial"/>
                <w:bCs/>
                <w:sz w:val="18"/>
                <w:szCs w:val="18"/>
              </w:rPr>
            </w:pPr>
            <w:r w:rsidRPr="002C552E">
              <w:rPr>
                <w:rFonts w:ascii="Arial Narrow" w:hAnsi="Arial Narrow" w:cs="Arial"/>
                <w:bCs/>
                <w:sz w:val="18"/>
                <w:szCs w:val="18"/>
              </w:rPr>
              <w:t>+11,5</w:t>
            </w:r>
          </w:p>
        </w:tc>
      </w:tr>
    </w:tbl>
    <w:p w:rsidR="001033EA" w:rsidRPr="00C8504B" w:rsidRDefault="001033EA" w:rsidP="00A235C2">
      <w:pPr>
        <w:pStyle w:val="001TitoGra"/>
        <w:spacing w:line="240" w:lineRule="auto"/>
        <w:rPr>
          <w:rFonts w:cs="Calibri"/>
          <w:b w:val="0"/>
          <w:kern w:val="0"/>
        </w:rPr>
      </w:pPr>
    </w:p>
    <w:p w:rsidR="00DD056D" w:rsidRPr="00C8504B" w:rsidRDefault="00DD056D" w:rsidP="00A235C2">
      <w:pPr>
        <w:pStyle w:val="001TitoGra"/>
        <w:spacing w:line="240" w:lineRule="auto"/>
        <w:rPr>
          <w:rFonts w:cs="Calibri"/>
          <w:b w:val="0"/>
          <w:kern w:val="0"/>
        </w:rPr>
        <w:sectPr w:rsidR="00DD056D" w:rsidRPr="00C8504B" w:rsidSect="000161B7">
          <w:headerReference w:type="default" r:id="rId25"/>
          <w:footerReference w:type="default" r:id="rId26"/>
          <w:footerReference w:type="first" r:id="rId27"/>
          <w:pgSz w:w="11907" w:h="16840" w:code="9"/>
          <w:pgMar w:top="1534" w:right="851" w:bottom="680" w:left="851" w:header="567" w:footer="567" w:gutter="0"/>
          <w:cols w:space="720"/>
          <w:noEndnote/>
          <w:titlePg/>
          <w:docGrid w:linePitch="272"/>
        </w:sectPr>
      </w:pPr>
    </w:p>
    <w:p w:rsidR="002F10E9" w:rsidRPr="002C12B2" w:rsidRDefault="002F10E9" w:rsidP="002F10E9">
      <w:pPr>
        <w:tabs>
          <w:tab w:val="left" w:pos="851"/>
          <w:tab w:val="left" w:pos="9639"/>
        </w:tabs>
        <w:spacing w:before="0" w:after="120"/>
        <w:jc w:val="both"/>
        <w:rPr>
          <w:rFonts w:ascii="Arial" w:hAnsi="Arial" w:cs="Arial"/>
          <w:iCs/>
          <w:sz w:val="21"/>
          <w:szCs w:val="21"/>
        </w:rPr>
      </w:pPr>
    </w:p>
    <w:p w:rsidR="002F10E9" w:rsidRPr="00C8504B" w:rsidRDefault="002F10E9" w:rsidP="002F10E9">
      <w:pPr>
        <w:pStyle w:val="00TitoGra1"/>
        <w:spacing w:line="240" w:lineRule="auto"/>
        <w:rPr>
          <w:color w:val="E42618"/>
          <w:szCs w:val="36"/>
        </w:rPr>
      </w:pPr>
      <w:r w:rsidRPr="00C8504B">
        <w:rPr>
          <w:color w:val="E42618"/>
          <w:szCs w:val="36"/>
        </w:rPr>
        <w:t>Indice nazionale dei prezzi al consumo per l’intera collettività (NIC)</w:t>
      </w:r>
      <w:r w:rsidRPr="00C8504B">
        <w:rPr>
          <w:color w:val="E42618"/>
          <w:szCs w:val="36"/>
        </w:rPr>
        <w:tab/>
      </w:r>
    </w:p>
    <w:p w:rsidR="002F10E9" w:rsidRPr="002C12B2" w:rsidRDefault="002F10E9" w:rsidP="002F10E9">
      <w:pPr>
        <w:tabs>
          <w:tab w:val="left" w:pos="851"/>
          <w:tab w:val="left" w:pos="9639"/>
        </w:tabs>
        <w:spacing w:before="0" w:after="120"/>
        <w:jc w:val="both"/>
        <w:rPr>
          <w:rFonts w:ascii="Arial" w:hAnsi="Arial" w:cs="Arial"/>
          <w:iCs/>
          <w:sz w:val="21"/>
          <w:szCs w:val="21"/>
        </w:rPr>
      </w:pPr>
    </w:p>
    <w:p w:rsidR="00C423DB" w:rsidRPr="00C8504B" w:rsidRDefault="00C423DB" w:rsidP="00BD0487">
      <w:pPr>
        <w:pStyle w:val="001TitoloBolocco"/>
        <w:spacing w:after="120" w:line="240" w:lineRule="auto"/>
      </w:pPr>
      <w:r w:rsidRPr="00C8504B">
        <w:t>Le divisioni di spesa</w:t>
      </w:r>
    </w:p>
    <w:p w:rsidR="008A6408" w:rsidRDefault="008A6408" w:rsidP="008A6408">
      <w:pPr>
        <w:tabs>
          <w:tab w:val="left" w:pos="851"/>
          <w:tab w:val="left" w:pos="9639"/>
        </w:tabs>
        <w:spacing w:before="0" w:after="120"/>
        <w:jc w:val="both"/>
        <w:rPr>
          <w:rFonts w:ascii="Arial" w:hAnsi="Arial" w:cs="Arial"/>
          <w:iCs/>
          <w:sz w:val="21"/>
          <w:szCs w:val="21"/>
        </w:rPr>
      </w:pPr>
      <w:r w:rsidRPr="00797809">
        <w:rPr>
          <w:rFonts w:ascii="Arial" w:hAnsi="Arial" w:cs="Arial"/>
          <w:iCs/>
          <w:sz w:val="21"/>
          <w:szCs w:val="21"/>
        </w:rPr>
        <w:t xml:space="preserve">A </w:t>
      </w:r>
      <w:r>
        <w:rPr>
          <w:rFonts w:ascii="Arial" w:hAnsi="Arial" w:cs="Arial"/>
          <w:iCs/>
          <w:sz w:val="21"/>
          <w:szCs w:val="21"/>
        </w:rPr>
        <w:t>ottobre</w:t>
      </w:r>
      <w:r w:rsidRPr="00797809">
        <w:rPr>
          <w:rFonts w:ascii="Arial" w:hAnsi="Arial" w:cs="Arial"/>
          <w:iCs/>
          <w:sz w:val="21"/>
          <w:szCs w:val="21"/>
        </w:rPr>
        <w:t xml:space="preserve"> l</w:t>
      </w:r>
      <w:r>
        <w:rPr>
          <w:rFonts w:ascii="Arial" w:hAnsi="Arial" w:cs="Arial"/>
          <w:iCs/>
          <w:sz w:val="21"/>
          <w:szCs w:val="21"/>
        </w:rPr>
        <w:t>’accelerazione dell</w:t>
      </w:r>
      <w:r w:rsidRPr="00797809">
        <w:rPr>
          <w:rFonts w:ascii="Arial" w:hAnsi="Arial" w:cs="Arial"/>
          <w:iCs/>
          <w:sz w:val="21"/>
          <w:szCs w:val="21"/>
        </w:rPr>
        <w:t xml:space="preserve">a crescita tendenziale dei prezzi al consumo si deve prevalentemente </w:t>
      </w:r>
      <w:r>
        <w:rPr>
          <w:rFonts w:ascii="Arial" w:hAnsi="Arial" w:cs="Arial"/>
          <w:iCs/>
          <w:sz w:val="21"/>
          <w:szCs w:val="21"/>
        </w:rPr>
        <w:t>a quella</w:t>
      </w:r>
      <w:r w:rsidRPr="00797809">
        <w:rPr>
          <w:rFonts w:ascii="Arial" w:hAnsi="Arial" w:cs="Arial"/>
          <w:iCs/>
          <w:sz w:val="21"/>
          <w:szCs w:val="21"/>
        </w:rPr>
        <w:t xml:space="preserve"> </w:t>
      </w:r>
      <w:r>
        <w:rPr>
          <w:rFonts w:ascii="Arial" w:hAnsi="Arial" w:cs="Arial"/>
          <w:iCs/>
          <w:sz w:val="21"/>
          <w:szCs w:val="21"/>
        </w:rPr>
        <w:t xml:space="preserve">straordinaria </w:t>
      </w:r>
      <w:r w:rsidRPr="00797809">
        <w:rPr>
          <w:rFonts w:ascii="Arial" w:hAnsi="Arial" w:cs="Arial"/>
          <w:iCs/>
          <w:sz w:val="21"/>
          <w:szCs w:val="21"/>
        </w:rPr>
        <w:t xml:space="preserve">dei prezzi </w:t>
      </w:r>
      <w:r>
        <w:rPr>
          <w:rFonts w:ascii="Arial" w:hAnsi="Arial" w:cs="Arial"/>
          <w:iCs/>
          <w:sz w:val="21"/>
          <w:szCs w:val="21"/>
        </w:rPr>
        <w:t>di Abitazione, acqua, elettricità e combustibili (da +32,1% a +57,0%), sostenuta soprattutto dai beni energetici che sono inclusi in questo comparto merceologico, e, in misura minore, all’accelerazione dei prezzi dei</w:t>
      </w:r>
      <w:r w:rsidRPr="00797809">
        <w:rPr>
          <w:rFonts w:ascii="Arial" w:hAnsi="Arial" w:cs="Arial"/>
          <w:iCs/>
          <w:sz w:val="21"/>
          <w:szCs w:val="21"/>
        </w:rPr>
        <w:t xml:space="preserve"> Prodotti alimentari e bevande analcoliche (da +</w:t>
      </w:r>
      <w:r>
        <w:rPr>
          <w:rFonts w:ascii="Arial" w:hAnsi="Arial" w:cs="Arial"/>
          <w:iCs/>
          <w:sz w:val="21"/>
          <w:szCs w:val="21"/>
        </w:rPr>
        <w:t>11,7</w:t>
      </w:r>
      <w:r w:rsidRPr="00797809">
        <w:rPr>
          <w:rFonts w:ascii="Arial" w:hAnsi="Arial" w:cs="Arial"/>
          <w:iCs/>
          <w:sz w:val="21"/>
          <w:szCs w:val="21"/>
        </w:rPr>
        <w:t xml:space="preserve">% </w:t>
      </w:r>
      <w:r>
        <w:rPr>
          <w:rFonts w:ascii="Arial" w:hAnsi="Arial" w:cs="Arial"/>
          <w:iCs/>
          <w:sz w:val="21"/>
          <w:szCs w:val="21"/>
        </w:rPr>
        <w:t xml:space="preserve">di settembre </w:t>
      </w:r>
      <w:r>
        <w:rPr>
          <w:rFonts w:ascii="Arial" w:hAnsi="Arial" w:cs="Arial"/>
          <w:iCs/>
          <w:sz w:val="21"/>
          <w:szCs w:val="21"/>
        </w:rPr>
        <w:t>a +</w:t>
      </w:r>
      <w:r>
        <w:rPr>
          <w:rFonts w:ascii="Arial" w:hAnsi="Arial" w:cs="Arial"/>
          <w:iCs/>
          <w:sz w:val="21"/>
          <w:szCs w:val="21"/>
        </w:rPr>
        <w:t>13,5</w:t>
      </w:r>
      <w:r>
        <w:rPr>
          <w:rFonts w:ascii="Arial" w:hAnsi="Arial" w:cs="Arial"/>
          <w:iCs/>
          <w:sz w:val="21"/>
          <w:szCs w:val="21"/>
        </w:rPr>
        <w:t>%</w:t>
      </w:r>
      <w:r w:rsidRPr="00797809">
        <w:rPr>
          <w:rFonts w:ascii="Arial" w:hAnsi="Arial" w:cs="Arial"/>
          <w:iCs/>
          <w:sz w:val="21"/>
          <w:szCs w:val="21"/>
        </w:rPr>
        <w:t>)</w:t>
      </w:r>
      <w:r>
        <w:rPr>
          <w:rFonts w:ascii="Arial" w:hAnsi="Arial" w:cs="Arial"/>
          <w:iCs/>
          <w:sz w:val="21"/>
          <w:szCs w:val="21"/>
        </w:rPr>
        <w:t>, di Abbigliamento e calzature</w:t>
      </w:r>
      <w:r w:rsidRPr="00797809">
        <w:rPr>
          <w:rFonts w:ascii="Arial" w:hAnsi="Arial" w:cs="Arial"/>
          <w:iCs/>
          <w:sz w:val="21"/>
          <w:szCs w:val="21"/>
        </w:rPr>
        <w:t xml:space="preserve"> (da +</w:t>
      </w:r>
      <w:r>
        <w:rPr>
          <w:rFonts w:ascii="Arial" w:hAnsi="Arial" w:cs="Arial"/>
          <w:iCs/>
          <w:sz w:val="21"/>
          <w:szCs w:val="21"/>
        </w:rPr>
        <w:t>2,5</w:t>
      </w:r>
      <w:r w:rsidRPr="00797809">
        <w:rPr>
          <w:rFonts w:ascii="Arial" w:hAnsi="Arial" w:cs="Arial"/>
          <w:iCs/>
          <w:sz w:val="21"/>
          <w:szCs w:val="21"/>
        </w:rPr>
        <w:t>% a +</w:t>
      </w:r>
      <w:r>
        <w:rPr>
          <w:rFonts w:ascii="Arial" w:hAnsi="Arial" w:cs="Arial"/>
          <w:iCs/>
          <w:sz w:val="21"/>
          <w:szCs w:val="21"/>
        </w:rPr>
        <w:t>3,0</w:t>
      </w:r>
      <w:r w:rsidRPr="00797809">
        <w:rPr>
          <w:rFonts w:ascii="Arial" w:hAnsi="Arial" w:cs="Arial"/>
          <w:iCs/>
          <w:sz w:val="21"/>
          <w:szCs w:val="21"/>
        </w:rPr>
        <w:t>%)</w:t>
      </w:r>
      <w:r>
        <w:rPr>
          <w:rFonts w:ascii="Arial" w:hAnsi="Arial" w:cs="Arial"/>
          <w:iCs/>
          <w:sz w:val="21"/>
          <w:szCs w:val="21"/>
        </w:rPr>
        <w:t xml:space="preserve"> e di </w:t>
      </w:r>
      <w:r w:rsidRPr="006D1800">
        <w:rPr>
          <w:rFonts w:ascii="Arial" w:hAnsi="Arial" w:cs="Arial"/>
          <w:iCs/>
          <w:sz w:val="21"/>
          <w:szCs w:val="21"/>
        </w:rPr>
        <w:t>Mobili, articoli e servizi per la casa</w:t>
      </w:r>
      <w:r>
        <w:rPr>
          <w:rFonts w:ascii="Arial" w:hAnsi="Arial" w:cs="Arial"/>
          <w:iCs/>
          <w:sz w:val="21"/>
          <w:szCs w:val="21"/>
        </w:rPr>
        <w:t xml:space="preserve"> (da +6,5% a +7,0%), con i prezzi delle Comunicazioni che registrano una flessione meno ampia (da -3,0% a -2,4%) </w:t>
      </w:r>
      <w:r w:rsidRPr="00797809">
        <w:rPr>
          <w:rFonts w:ascii="Arial" w:hAnsi="Arial" w:cs="Arial"/>
          <w:iCs/>
          <w:sz w:val="21"/>
          <w:szCs w:val="21"/>
        </w:rPr>
        <w:t xml:space="preserve">(Prospetto 2 e Figura 2). Tale dinamica è stata </w:t>
      </w:r>
      <w:r>
        <w:rPr>
          <w:rFonts w:ascii="Arial" w:hAnsi="Arial" w:cs="Arial"/>
          <w:iCs/>
          <w:sz w:val="21"/>
          <w:szCs w:val="21"/>
        </w:rPr>
        <w:t xml:space="preserve">solo </w:t>
      </w:r>
      <w:r w:rsidRPr="00797809">
        <w:rPr>
          <w:rFonts w:ascii="Arial" w:hAnsi="Arial" w:cs="Arial"/>
          <w:iCs/>
          <w:sz w:val="21"/>
          <w:szCs w:val="21"/>
        </w:rPr>
        <w:t>in parte compensata dal rallentamento dei prezzi dei Trasporti (da +</w:t>
      </w:r>
      <w:r>
        <w:rPr>
          <w:rFonts w:ascii="Arial" w:hAnsi="Arial" w:cs="Arial"/>
          <w:iCs/>
          <w:sz w:val="21"/>
          <w:szCs w:val="21"/>
        </w:rPr>
        <w:t>9,5</w:t>
      </w:r>
      <w:r w:rsidRPr="00797809">
        <w:rPr>
          <w:rFonts w:ascii="Arial" w:hAnsi="Arial" w:cs="Arial"/>
          <w:iCs/>
          <w:sz w:val="21"/>
          <w:szCs w:val="21"/>
        </w:rPr>
        <w:t>% a +</w:t>
      </w:r>
      <w:r>
        <w:rPr>
          <w:rFonts w:ascii="Arial" w:hAnsi="Arial" w:cs="Arial"/>
          <w:iCs/>
          <w:sz w:val="21"/>
          <w:szCs w:val="21"/>
        </w:rPr>
        <w:t>8,1%) e</w:t>
      </w:r>
      <w:r w:rsidRPr="00FE436E">
        <w:rPr>
          <w:rFonts w:ascii="Arial" w:hAnsi="Arial" w:cs="Arial"/>
          <w:iCs/>
          <w:sz w:val="21"/>
          <w:szCs w:val="21"/>
        </w:rPr>
        <w:t xml:space="preserve"> </w:t>
      </w:r>
      <w:r>
        <w:rPr>
          <w:rFonts w:ascii="Arial" w:hAnsi="Arial" w:cs="Arial"/>
          <w:iCs/>
          <w:sz w:val="21"/>
          <w:szCs w:val="21"/>
        </w:rPr>
        <w:t>dei Servizi ricettivi e di ristorazione (da +8,0% a +7,6%).</w:t>
      </w:r>
    </w:p>
    <w:p w:rsidR="00BC6184" w:rsidRDefault="00BC6184" w:rsidP="00BC6184">
      <w:pPr>
        <w:tabs>
          <w:tab w:val="left" w:pos="851"/>
          <w:tab w:val="left" w:pos="9639"/>
        </w:tabs>
        <w:spacing w:before="0" w:after="120"/>
        <w:jc w:val="both"/>
        <w:rPr>
          <w:rFonts w:ascii="Arial" w:hAnsi="Arial" w:cs="Arial"/>
          <w:iCs/>
          <w:sz w:val="21"/>
          <w:szCs w:val="21"/>
        </w:rPr>
      </w:pPr>
      <w:r w:rsidRPr="00797809">
        <w:rPr>
          <w:rFonts w:ascii="Arial" w:hAnsi="Arial" w:cs="Arial"/>
          <w:iCs/>
          <w:sz w:val="21"/>
          <w:szCs w:val="21"/>
        </w:rPr>
        <w:t>In termini di contributi, l’inflazione è quindi dovuta principalmente ai prezzi di Abitazione, acqua, elettricità e combustibili</w:t>
      </w:r>
      <w:r w:rsidRPr="00797809" w:rsidDel="002F3F09">
        <w:rPr>
          <w:rFonts w:ascii="Arial" w:hAnsi="Arial" w:cs="Arial"/>
          <w:iCs/>
          <w:sz w:val="21"/>
          <w:szCs w:val="21"/>
        </w:rPr>
        <w:t xml:space="preserve"> </w:t>
      </w:r>
      <w:r w:rsidR="0055508A">
        <w:rPr>
          <w:rFonts w:ascii="Arial" w:hAnsi="Arial" w:cs="Arial"/>
          <w:iCs/>
          <w:sz w:val="21"/>
          <w:szCs w:val="21"/>
        </w:rPr>
        <w:t>(+6,180</w:t>
      </w:r>
      <w:r w:rsidR="00B84887">
        <w:rPr>
          <w:rFonts w:ascii="Arial" w:hAnsi="Arial" w:cs="Arial"/>
          <w:iCs/>
          <w:sz w:val="21"/>
          <w:szCs w:val="21"/>
        </w:rPr>
        <w:t xml:space="preserve"> </w:t>
      </w:r>
      <w:r w:rsidRPr="00797809">
        <w:rPr>
          <w:rFonts w:ascii="Arial" w:hAnsi="Arial" w:cs="Arial"/>
          <w:iCs/>
          <w:sz w:val="21"/>
          <w:szCs w:val="21"/>
        </w:rPr>
        <w:t>punti percentuali), dei Prodotti alimentari e bevande analcoliche (+</w:t>
      </w:r>
      <w:r w:rsidR="0055508A">
        <w:rPr>
          <w:rFonts w:ascii="Arial" w:hAnsi="Arial" w:cs="Arial"/>
          <w:iCs/>
          <w:sz w:val="21"/>
          <w:szCs w:val="21"/>
        </w:rPr>
        <w:t>2,484</w:t>
      </w:r>
      <w:r w:rsidRPr="00797809">
        <w:rPr>
          <w:rFonts w:ascii="Arial" w:hAnsi="Arial" w:cs="Arial"/>
          <w:iCs/>
          <w:sz w:val="21"/>
          <w:szCs w:val="21"/>
        </w:rPr>
        <w:t>) e dei Trasporti (+</w:t>
      </w:r>
      <w:r w:rsidR="0055508A">
        <w:rPr>
          <w:rFonts w:ascii="Arial" w:hAnsi="Arial" w:cs="Arial"/>
          <w:iCs/>
          <w:sz w:val="21"/>
          <w:szCs w:val="21"/>
        </w:rPr>
        <w:t>1,130</w:t>
      </w:r>
      <w:r w:rsidRPr="00797809">
        <w:rPr>
          <w:rFonts w:ascii="Arial" w:hAnsi="Arial" w:cs="Arial"/>
          <w:iCs/>
          <w:sz w:val="21"/>
          <w:szCs w:val="21"/>
        </w:rPr>
        <w:t xml:space="preserve">). </w:t>
      </w:r>
      <w:r>
        <w:rPr>
          <w:rFonts w:ascii="Arial" w:hAnsi="Arial" w:cs="Arial"/>
          <w:iCs/>
          <w:sz w:val="21"/>
          <w:szCs w:val="21"/>
        </w:rPr>
        <w:t>L’unico c</w:t>
      </w:r>
      <w:r w:rsidRPr="00607564">
        <w:rPr>
          <w:rFonts w:ascii="Arial" w:hAnsi="Arial" w:cs="Arial"/>
          <w:iCs/>
          <w:sz w:val="21"/>
          <w:szCs w:val="21"/>
        </w:rPr>
        <w:t xml:space="preserve">ontributo negativo </w:t>
      </w:r>
      <w:r>
        <w:rPr>
          <w:rFonts w:ascii="Arial" w:hAnsi="Arial" w:cs="Arial"/>
          <w:iCs/>
          <w:sz w:val="21"/>
          <w:szCs w:val="21"/>
        </w:rPr>
        <w:t>è quello dei</w:t>
      </w:r>
      <w:r w:rsidRPr="00797809">
        <w:rPr>
          <w:rFonts w:ascii="Arial" w:hAnsi="Arial" w:cs="Arial"/>
          <w:iCs/>
          <w:sz w:val="21"/>
          <w:szCs w:val="21"/>
        </w:rPr>
        <w:t xml:space="preserve"> prezzi del</w:t>
      </w:r>
      <w:r w:rsidR="001E1AF5">
        <w:rPr>
          <w:rFonts w:ascii="Arial" w:hAnsi="Arial" w:cs="Arial"/>
          <w:iCs/>
          <w:sz w:val="21"/>
          <w:szCs w:val="21"/>
        </w:rPr>
        <w:t>le Comunicazioni (-</w:t>
      </w:r>
      <w:r w:rsidR="0055508A">
        <w:rPr>
          <w:rFonts w:ascii="Arial" w:hAnsi="Arial" w:cs="Arial"/>
          <w:iCs/>
          <w:sz w:val="21"/>
          <w:szCs w:val="21"/>
        </w:rPr>
        <w:t>0,062</w:t>
      </w:r>
      <w:r w:rsidRPr="00797809">
        <w:rPr>
          <w:rFonts w:ascii="Arial" w:hAnsi="Arial" w:cs="Arial"/>
          <w:iCs/>
          <w:sz w:val="21"/>
          <w:szCs w:val="21"/>
        </w:rPr>
        <w:t>).</w:t>
      </w:r>
    </w:p>
    <w:p w:rsidR="002C12B2" w:rsidRDefault="002C12B2" w:rsidP="00D1705F">
      <w:pPr>
        <w:tabs>
          <w:tab w:val="left" w:pos="851"/>
          <w:tab w:val="left" w:pos="9639"/>
        </w:tabs>
        <w:spacing w:before="0" w:after="120"/>
        <w:jc w:val="both"/>
        <w:rPr>
          <w:rFonts w:ascii="Arial" w:hAnsi="Arial" w:cs="Arial"/>
          <w:iCs/>
          <w:sz w:val="21"/>
          <w:szCs w:val="21"/>
        </w:rPr>
      </w:pPr>
    </w:p>
    <w:p w:rsidR="00704407" w:rsidRDefault="005F50EA" w:rsidP="00704407">
      <w:pPr>
        <w:pStyle w:val="Corpotesto"/>
        <w:tabs>
          <w:tab w:val="left" w:pos="6237"/>
        </w:tabs>
        <w:spacing w:line="240" w:lineRule="exact"/>
        <w:jc w:val="both"/>
        <w:rPr>
          <w:rFonts w:ascii="Arial Narrow" w:hAnsi="Arial Narrow" w:cs="Calibri"/>
          <w:b/>
          <w:bCs/>
          <w:color w:val="5F5F5F"/>
          <w:kern w:val="0"/>
          <w:sz w:val="22"/>
          <w:szCs w:val="22"/>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2</w:t>
      </w:r>
      <w:r w:rsidRPr="00C8504B">
        <w:rPr>
          <w:rFonts w:ascii="Arial Narrow" w:hAnsi="Arial Narrow" w:cs="Arial"/>
          <w:b/>
          <w:color w:val="E42618"/>
          <w:sz w:val="22"/>
          <w:szCs w:val="22"/>
        </w:rPr>
        <w:t>.</w:t>
      </w:r>
      <w:r w:rsidRPr="00C8504B">
        <w:rPr>
          <w:rFonts w:ascii="Arial Narrow" w:hAnsi="Arial Narrow" w:cs="Arial"/>
          <w:b/>
          <w:color w:val="2298D1"/>
          <w:sz w:val="22"/>
          <w:szCs w:val="22"/>
        </w:rPr>
        <w:t xml:space="preserve"> </w:t>
      </w:r>
      <w:r w:rsidR="00C423DB" w:rsidRPr="00C8504B">
        <w:rPr>
          <w:rFonts w:ascii="Arial Narrow" w:hAnsi="Arial Narrow" w:cs="Calibri"/>
          <w:b/>
          <w:bCs/>
          <w:color w:val="5F5F5F"/>
          <w:kern w:val="0"/>
          <w:sz w:val="22"/>
          <w:szCs w:val="22"/>
        </w:rPr>
        <w:t>I</w:t>
      </w:r>
      <w:r w:rsidR="00FA79D6" w:rsidRPr="00C8504B">
        <w:rPr>
          <w:rFonts w:ascii="Arial Narrow" w:hAnsi="Arial Narrow" w:cs="Calibri"/>
          <w:b/>
          <w:bCs/>
          <w:color w:val="5F5F5F"/>
          <w:kern w:val="0"/>
          <w:sz w:val="22"/>
          <w:szCs w:val="22"/>
        </w:rPr>
        <w:t>NDICI DEI PREZZI AL CONSUMO NIC</w:t>
      </w:r>
      <w:r w:rsidR="00C423DB" w:rsidRPr="00C8504B">
        <w:rPr>
          <w:rFonts w:ascii="Arial Narrow" w:hAnsi="Arial Narrow" w:cs="Calibri"/>
          <w:b/>
          <w:bCs/>
          <w:color w:val="5F5F5F"/>
          <w:kern w:val="0"/>
          <w:sz w:val="22"/>
          <w:szCs w:val="22"/>
        </w:rPr>
        <w:t xml:space="preserve"> PER DIVISIONE DI SPESA</w:t>
      </w:r>
      <w:r w:rsidR="00B359A0">
        <w:rPr>
          <w:rFonts w:ascii="Arial Narrow" w:hAnsi="Arial Narrow" w:cs="Calibri"/>
          <w:b/>
          <w:bCs/>
          <w:color w:val="5F5F5F"/>
          <w:kern w:val="0"/>
          <w:sz w:val="22"/>
          <w:szCs w:val="22"/>
        </w:rPr>
        <w:t xml:space="preserve">, </w:t>
      </w:r>
    </w:p>
    <w:p w:rsidR="00C423DB" w:rsidRPr="00C8504B" w:rsidRDefault="00691344" w:rsidP="00201869">
      <w:pPr>
        <w:pStyle w:val="Corpotesto"/>
        <w:tabs>
          <w:tab w:val="left" w:pos="6237"/>
        </w:tabs>
        <w:spacing w:after="120" w:line="240" w:lineRule="exact"/>
        <w:jc w:val="both"/>
        <w:rPr>
          <w:rFonts w:ascii="Arial Narrow" w:hAnsi="Arial Narrow" w:cs="Arial"/>
          <w:color w:val="5F5F5F"/>
        </w:rPr>
      </w:pPr>
      <w:r>
        <w:rPr>
          <w:rFonts w:ascii="Arial Narrow" w:hAnsi="Arial Narrow" w:cs="Arial"/>
          <w:color w:val="5F5F5F"/>
        </w:rPr>
        <w:t>Otto</w:t>
      </w:r>
      <w:r w:rsidR="009B6ACA">
        <w:rPr>
          <w:rFonts w:ascii="Arial Narrow" w:hAnsi="Arial Narrow" w:cs="Arial"/>
          <w:color w:val="5F5F5F"/>
        </w:rPr>
        <w:t>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003630E3" w:rsidRPr="00C8504B">
        <w:rPr>
          <w:rFonts w:ascii="Arial Narrow" w:hAnsi="Arial Narrow" w:cs="Arial"/>
          <w:color w:val="5F5F5F"/>
        </w:rPr>
        <w:t xml:space="preserve">, pesi, </w:t>
      </w:r>
      <w:r w:rsidR="002A44B4">
        <w:rPr>
          <w:rFonts w:ascii="Arial Narrow" w:hAnsi="Arial Narrow" w:cs="Arial"/>
          <w:color w:val="5F5F5F"/>
        </w:rPr>
        <w:t>variazioni perc</w:t>
      </w:r>
      <w:r w:rsidR="006C5F1A">
        <w:rPr>
          <w:rFonts w:ascii="Arial Narrow" w:hAnsi="Arial Narrow" w:cs="Arial"/>
          <w:color w:val="5F5F5F"/>
        </w:rPr>
        <w:t>entuali</w:t>
      </w:r>
      <w:r w:rsidR="0060323E" w:rsidRPr="00C8504B">
        <w:rPr>
          <w:rFonts w:ascii="Arial Narrow" w:hAnsi="Arial Narrow" w:cs="Arial"/>
          <w:color w:val="5F5F5F"/>
        </w:rPr>
        <w:t xml:space="preserve"> congiunturali e tendenziali (base 2015=100)</w:t>
      </w:r>
      <w:r w:rsidR="00A25192" w:rsidRPr="00C8504B">
        <w:rPr>
          <w:rFonts w:ascii="Arial Narrow" w:hAnsi="Arial Narrow" w:cs="Arial"/>
          <w:color w:val="5F5F5F"/>
        </w:rPr>
        <w:t xml:space="preserve"> e</w:t>
      </w:r>
      <w:r w:rsidR="003630E3" w:rsidRPr="00C8504B">
        <w:rPr>
          <w:rFonts w:ascii="Arial Narrow" w:hAnsi="Arial Narrow" w:cs="Arial"/>
          <w:color w:val="5F5F5F"/>
        </w:rPr>
        <w:t xml:space="preserve"> contributi</w:t>
      </w:r>
      <w:r w:rsidR="00A25192" w:rsidRPr="00C8504B">
        <w:rPr>
          <w:rFonts w:ascii="Arial Narrow" w:hAnsi="Arial Narrow" w:cs="Arial"/>
          <w:color w:val="5F5F5F"/>
        </w:rPr>
        <w:t xml:space="preserve"> </w:t>
      </w:r>
      <w:r w:rsidR="00C17464" w:rsidRPr="00C8504B">
        <w:rPr>
          <w:rFonts w:ascii="Arial Narrow" w:hAnsi="Arial Narrow" w:cs="Arial"/>
          <w:color w:val="5F5F5F"/>
        </w:rPr>
        <w:t xml:space="preserve">alla variazione </w:t>
      </w:r>
      <w:proofErr w:type="spellStart"/>
      <w:r w:rsidR="00C17464" w:rsidRPr="00C8504B">
        <w:rPr>
          <w:rFonts w:ascii="Arial Narrow" w:hAnsi="Arial Narrow" w:cs="Arial"/>
          <w:color w:val="5F5F5F"/>
        </w:rPr>
        <w:t>tend</w:t>
      </w:r>
      <w:proofErr w:type="spellEnd"/>
      <w:r w:rsidR="00704407">
        <w:rPr>
          <w:rFonts w:ascii="Arial Narrow" w:hAnsi="Arial Narrow" w:cs="Arial"/>
          <w:color w:val="5F5F5F"/>
        </w:rPr>
        <w:t>.</w:t>
      </w:r>
      <w:r w:rsidR="00C17464" w:rsidRPr="00C8504B">
        <w:rPr>
          <w:rFonts w:ascii="Arial Narrow" w:hAnsi="Arial Narrow" w:cs="Arial"/>
          <w:color w:val="5F5F5F"/>
        </w:rPr>
        <w:t xml:space="preserve"> dell’indice generale</w:t>
      </w:r>
    </w:p>
    <w:tbl>
      <w:tblPr>
        <w:tblW w:w="10348" w:type="dxa"/>
        <w:tblInd w:w="70" w:type="dxa"/>
        <w:tblBorders>
          <w:top w:val="single" w:sz="4" w:space="0" w:color="000000"/>
          <w:bottom w:val="single" w:sz="4" w:space="0" w:color="000000"/>
          <w:insideH w:val="single" w:sz="4" w:space="0" w:color="000000"/>
        </w:tblBorders>
        <w:tblCellMar>
          <w:left w:w="70" w:type="dxa"/>
          <w:right w:w="0" w:type="dxa"/>
        </w:tblCellMar>
        <w:tblLook w:val="0000" w:firstRow="0" w:lastRow="0" w:firstColumn="0" w:lastColumn="0" w:noHBand="0" w:noVBand="0"/>
      </w:tblPr>
      <w:tblGrid>
        <w:gridCol w:w="3119"/>
        <w:gridCol w:w="1018"/>
        <w:gridCol w:w="845"/>
        <w:gridCol w:w="972"/>
        <w:gridCol w:w="931"/>
        <w:gridCol w:w="931"/>
        <w:gridCol w:w="1540"/>
        <w:gridCol w:w="992"/>
      </w:tblGrid>
      <w:tr w:rsidR="00B33C41" w:rsidRPr="00C8504B" w:rsidTr="0037471D">
        <w:trPr>
          <w:trHeight w:val="311"/>
        </w:trPr>
        <w:tc>
          <w:tcPr>
            <w:tcW w:w="3119" w:type="dxa"/>
            <w:vMerge w:val="restart"/>
            <w:vAlign w:val="center"/>
          </w:tcPr>
          <w:p w:rsidR="00B33C41" w:rsidRPr="00C8504B" w:rsidRDefault="00B33C41" w:rsidP="00B33C41">
            <w:pPr>
              <w:spacing w:before="40" w:after="20"/>
              <w:rPr>
                <w:rFonts w:ascii="Arial Narrow" w:hAnsi="Arial Narrow" w:cs="Arial"/>
                <w:bCs/>
                <w:sz w:val="18"/>
                <w:szCs w:val="18"/>
              </w:rPr>
            </w:pPr>
            <w:bookmarkStart w:id="0" w:name="OLE_LINK2"/>
            <w:r w:rsidRPr="00C8504B">
              <w:rPr>
                <w:rFonts w:ascii="Arial Narrow" w:hAnsi="Arial Narrow" w:cs="Arial"/>
                <w:b/>
                <w:bCs/>
                <w:sz w:val="18"/>
                <w:szCs w:val="18"/>
              </w:rPr>
              <w:t>DIVISIONI DI SPESA</w:t>
            </w:r>
          </w:p>
        </w:tc>
        <w:tc>
          <w:tcPr>
            <w:tcW w:w="1018" w:type="dxa"/>
            <w:vMerge w:val="restart"/>
            <w:shd w:val="clear" w:color="auto" w:fill="D9D9D9"/>
            <w:vAlign w:val="center"/>
          </w:tcPr>
          <w:p w:rsidR="00B33C41" w:rsidRPr="00C8504B" w:rsidRDefault="00B33C41" w:rsidP="00B33C4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817" w:type="dxa"/>
            <w:gridSpan w:val="2"/>
            <w:vAlign w:val="center"/>
          </w:tcPr>
          <w:p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862" w:type="dxa"/>
            <w:gridSpan w:val="2"/>
            <w:shd w:val="clear" w:color="auto" w:fill="D9D9D9"/>
            <w:vAlign w:val="center"/>
          </w:tcPr>
          <w:p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540" w:type="dxa"/>
            <w:vMerge w:val="restart"/>
            <w:shd w:val="clear" w:color="auto" w:fill="auto"/>
            <w:vAlign w:val="center"/>
          </w:tcPr>
          <w:p w:rsidR="00B33C41" w:rsidRPr="00C8504B" w:rsidRDefault="00B33C41" w:rsidP="00B33C41">
            <w:pPr>
              <w:tabs>
                <w:tab w:val="left" w:pos="5093"/>
              </w:tabs>
              <w:spacing w:before="40" w:after="20"/>
              <w:ind w:right="57"/>
              <w:jc w:val="right"/>
              <w:rPr>
                <w:rFonts w:ascii="Arial Narrow" w:hAnsi="Arial Narrow" w:cs="Arial"/>
                <w:b/>
                <w:bCs/>
                <w:sz w:val="18"/>
                <w:szCs w:val="18"/>
              </w:rPr>
            </w:pPr>
            <w:r w:rsidRPr="00C8504B">
              <w:rPr>
                <w:rFonts w:ascii="Arial Narrow" w:hAnsi="Arial Narrow" w:cs="Arial"/>
                <w:b/>
                <w:bCs/>
                <w:sz w:val="18"/>
                <w:szCs w:val="18"/>
              </w:rPr>
              <w:t>Contributo alla variazione tendenziale dell’indice generale</w:t>
            </w:r>
            <w:r w:rsidRPr="00C8504B" w:rsidDel="00CB4E07">
              <w:rPr>
                <w:rFonts w:ascii="Arial Narrow" w:hAnsi="Arial Narrow" w:cs="Arial"/>
                <w:b/>
                <w:bCs/>
                <w:snapToGrid w:val="0"/>
                <w:sz w:val="18"/>
                <w:szCs w:val="18"/>
              </w:rPr>
              <w:t xml:space="preserve"> </w:t>
            </w:r>
          </w:p>
        </w:tc>
        <w:tc>
          <w:tcPr>
            <w:tcW w:w="992" w:type="dxa"/>
            <w:vMerge w:val="restart"/>
            <w:shd w:val="clear" w:color="auto" w:fill="D9D9D9"/>
            <w:vAlign w:val="center"/>
          </w:tcPr>
          <w:p w:rsidR="00B33C41" w:rsidRPr="00C8504B" w:rsidRDefault="00B33C41" w:rsidP="00691344">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w:t>
            </w:r>
            <w:r w:rsidR="00D64913">
              <w:rPr>
                <w:rFonts w:ascii="Arial Narrow" w:hAnsi="Arial Narrow" w:cs="Arial"/>
                <w:b/>
                <w:bCs/>
                <w:kern w:val="0"/>
                <w:sz w:val="18"/>
                <w:szCs w:val="18"/>
              </w:rPr>
              <w:t xml:space="preserve">         </w:t>
            </w:r>
            <w:r>
              <w:rPr>
                <w:rFonts w:ascii="Arial Narrow" w:hAnsi="Arial Narrow" w:cs="Arial"/>
                <w:b/>
                <w:bCs/>
                <w:kern w:val="0"/>
                <w:sz w:val="18"/>
                <w:szCs w:val="18"/>
              </w:rPr>
              <w:t xml:space="preserve">a </w:t>
            </w:r>
            <w:r w:rsidR="00691344">
              <w:rPr>
                <w:rFonts w:ascii="Arial Narrow" w:hAnsi="Arial Narrow" w:cs="Arial"/>
                <w:b/>
                <w:bCs/>
                <w:kern w:val="0"/>
                <w:sz w:val="18"/>
                <w:szCs w:val="18"/>
              </w:rPr>
              <w:t>ottobre</w:t>
            </w:r>
          </w:p>
        </w:tc>
      </w:tr>
      <w:tr w:rsidR="00993203" w:rsidRPr="00C8504B" w:rsidTr="003750EC">
        <w:trPr>
          <w:trHeight w:val="454"/>
        </w:trPr>
        <w:tc>
          <w:tcPr>
            <w:tcW w:w="3119" w:type="dxa"/>
            <w:vMerge/>
            <w:vAlign w:val="center"/>
          </w:tcPr>
          <w:p w:rsidR="00993203" w:rsidRPr="00C8504B" w:rsidRDefault="00993203" w:rsidP="00993203">
            <w:pPr>
              <w:spacing w:before="40" w:after="20"/>
              <w:rPr>
                <w:rFonts w:ascii="Arial Narrow" w:hAnsi="Arial Narrow" w:cs="Arial"/>
                <w:b/>
                <w:bCs/>
                <w:sz w:val="18"/>
                <w:szCs w:val="18"/>
              </w:rPr>
            </w:pPr>
          </w:p>
        </w:tc>
        <w:tc>
          <w:tcPr>
            <w:tcW w:w="1018" w:type="dxa"/>
            <w:vMerge/>
            <w:shd w:val="clear" w:color="auto" w:fill="D9D9D9"/>
            <w:vAlign w:val="center"/>
          </w:tcPr>
          <w:p w:rsidR="00993203" w:rsidRPr="00C8504B" w:rsidRDefault="00993203" w:rsidP="00993203">
            <w:pPr>
              <w:spacing w:before="40" w:after="20"/>
              <w:ind w:right="57"/>
              <w:jc w:val="right"/>
              <w:rPr>
                <w:rFonts w:ascii="Arial Narrow" w:hAnsi="Arial Narrow" w:cs="Arial"/>
                <w:b/>
                <w:bCs/>
                <w:sz w:val="18"/>
                <w:szCs w:val="18"/>
              </w:rPr>
            </w:pPr>
          </w:p>
        </w:tc>
        <w:tc>
          <w:tcPr>
            <w:tcW w:w="845" w:type="dxa"/>
            <w:vAlign w:val="center"/>
          </w:tcPr>
          <w:p w:rsidR="00993203" w:rsidRDefault="00691344"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w:t>
            </w:r>
            <w:r w:rsidR="00932AA7">
              <w:rPr>
                <w:rFonts w:ascii="Arial Narrow" w:hAnsi="Arial Narrow" w:cs="Arial"/>
                <w:kern w:val="0"/>
                <w:sz w:val="18"/>
                <w:szCs w:val="18"/>
                <w:u w:val="single"/>
              </w:rPr>
              <w:t>t</w:t>
            </w:r>
            <w:r w:rsidR="00993203">
              <w:rPr>
                <w:rFonts w:ascii="Arial Narrow" w:hAnsi="Arial Narrow" w:cs="Arial"/>
                <w:kern w:val="0"/>
                <w:sz w:val="18"/>
                <w:szCs w:val="18"/>
                <w:u w:val="single"/>
              </w:rPr>
              <w:t>-</w:t>
            </w:r>
            <w:r w:rsidR="00EA385D">
              <w:rPr>
                <w:rFonts w:ascii="Arial Narrow" w:hAnsi="Arial Narrow" w:cs="Arial"/>
                <w:kern w:val="0"/>
                <w:sz w:val="18"/>
                <w:szCs w:val="18"/>
                <w:u w:val="single"/>
              </w:rPr>
              <w:t>22</w:t>
            </w:r>
          </w:p>
          <w:p w:rsidR="00993203" w:rsidRPr="00E03E58" w:rsidRDefault="000F49FA" w:rsidP="00993203">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set</w:t>
            </w:r>
            <w:r w:rsidR="00993203">
              <w:rPr>
                <w:rFonts w:ascii="Arial Narrow" w:hAnsi="Arial Narrow" w:cs="Arial"/>
                <w:kern w:val="0"/>
                <w:sz w:val="18"/>
                <w:szCs w:val="18"/>
              </w:rPr>
              <w:t>-2</w:t>
            </w:r>
            <w:r w:rsidR="008474B9">
              <w:rPr>
                <w:rFonts w:ascii="Arial Narrow" w:hAnsi="Arial Narrow" w:cs="Arial"/>
                <w:kern w:val="0"/>
                <w:sz w:val="18"/>
                <w:szCs w:val="18"/>
              </w:rPr>
              <w:t>2</w:t>
            </w:r>
          </w:p>
        </w:tc>
        <w:tc>
          <w:tcPr>
            <w:tcW w:w="972" w:type="dxa"/>
            <w:vAlign w:val="center"/>
          </w:tcPr>
          <w:p w:rsidR="00993203" w:rsidRDefault="00691344"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w:t>
            </w:r>
            <w:r w:rsidR="00EA385D">
              <w:rPr>
                <w:rFonts w:ascii="Arial Narrow" w:hAnsi="Arial Narrow" w:cs="Arial"/>
                <w:kern w:val="0"/>
                <w:sz w:val="18"/>
                <w:szCs w:val="18"/>
                <w:u w:val="single"/>
              </w:rPr>
              <w:t>-21</w:t>
            </w:r>
          </w:p>
          <w:p w:rsidR="00993203" w:rsidRPr="008814F3" w:rsidRDefault="000F49FA" w:rsidP="008E0F35">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w:t>
            </w:r>
            <w:r w:rsidR="00EA385D">
              <w:rPr>
                <w:rFonts w:ascii="Arial Narrow" w:hAnsi="Arial Narrow" w:cs="Arial"/>
                <w:kern w:val="0"/>
                <w:sz w:val="18"/>
                <w:szCs w:val="18"/>
              </w:rPr>
              <w:t>-</w:t>
            </w:r>
            <w:r w:rsidR="00993203">
              <w:rPr>
                <w:rFonts w:ascii="Arial Narrow" w:hAnsi="Arial Narrow" w:cs="Arial"/>
                <w:kern w:val="0"/>
                <w:sz w:val="18"/>
                <w:szCs w:val="18"/>
              </w:rPr>
              <w:t>2</w:t>
            </w:r>
            <w:r w:rsidR="00D40B90">
              <w:rPr>
                <w:rFonts w:ascii="Arial Narrow" w:hAnsi="Arial Narrow" w:cs="Arial"/>
                <w:kern w:val="0"/>
                <w:sz w:val="18"/>
                <w:szCs w:val="18"/>
              </w:rPr>
              <w:t>1</w:t>
            </w:r>
          </w:p>
        </w:tc>
        <w:tc>
          <w:tcPr>
            <w:tcW w:w="931" w:type="dxa"/>
            <w:shd w:val="clear" w:color="auto" w:fill="auto"/>
            <w:vAlign w:val="center"/>
          </w:tcPr>
          <w:p w:rsidR="00993203" w:rsidRDefault="00691344"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w:t>
            </w:r>
            <w:r w:rsidR="00993203">
              <w:rPr>
                <w:rFonts w:ascii="Arial Narrow" w:hAnsi="Arial Narrow" w:cs="Arial"/>
                <w:kern w:val="0"/>
                <w:sz w:val="18"/>
                <w:szCs w:val="18"/>
                <w:u w:val="single"/>
              </w:rPr>
              <w:t>-2</w:t>
            </w:r>
            <w:r w:rsidR="00EA385D">
              <w:rPr>
                <w:rFonts w:ascii="Arial Narrow" w:hAnsi="Arial Narrow" w:cs="Arial"/>
                <w:kern w:val="0"/>
                <w:sz w:val="18"/>
                <w:szCs w:val="18"/>
                <w:u w:val="single"/>
              </w:rPr>
              <w:t>2</w:t>
            </w:r>
          </w:p>
          <w:p w:rsidR="00993203" w:rsidRPr="008814F3" w:rsidRDefault="00691344"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w:t>
            </w:r>
            <w:r w:rsidR="00993203">
              <w:rPr>
                <w:rFonts w:ascii="Arial Narrow" w:hAnsi="Arial Narrow" w:cs="Arial"/>
                <w:kern w:val="0"/>
                <w:sz w:val="18"/>
                <w:szCs w:val="18"/>
              </w:rPr>
              <w:t>-2</w:t>
            </w:r>
            <w:r w:rsidR="00EA385D">
              <w:rPr>
                <w:rFonts w:ascii="Arial Narrow" w:hAnsi="Arial Narrow" w:cs="Arial"/>
                <w:kern w:val="0"/>
                <w:sz w:val="18"/>
                <w:szCs w:val="18"/>
              </w:rPr>
              <w:t>1</w:t>
            </w:r>
          </w:p>
        </w:tc>
        <w:tc>
          <w:tcPr>
            <w:tcW w:w="931" w:type="dxa"/>
            <w:shd w:val="clear" w:color="auto" w:fill="auto"/>
            <w:vAlign w:val="center"/>
          </w:tcPr>
          <w:p w:rsidR="00FF50A1" w:rsidRDefault="000F49FA" w:rsidP="00FF50A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w:t>
            </w:r>
            <w:r w:rsidR="00FF50A1">
              <w:rPr>
                <w:rFonts w:ascii="Arial Narrow" w:hAnsi="Arial Narrow" w:cs="Arial"/>
                <w:kern w:val="0"/>
                <w:sz w:val="18"/>
                <w:szCs w:val="18"/>
                <w:u w:val="single"/>
              </w:rPr>
              <w:t>-22</w:t>
            </w:r>
          </w:p>
          <w:p w:rsidR="00993203" w:rsidRPr="008814F3" w:rsidRDefault="00691344" w:rsidP="00FF50A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sett</w:t>
            </w:r>
            <w:r w:rsidR="00FF50A1">
              <w:rPr>
                <w:rFonts w:ascii="Arial Narrow" w:hAnsi="Arial Narrow" w:cs="Arial"/>
                <w:kern w:val="0"/>
                <w:sz w:val="18"/>
                <w:szCs w:val="18"/>
              </w:rPr>
              <w:t>21</w:t>
            </w:r>
          </w:p>
        </w:tc>
        <w:tc>
          <w:tcPr>
            <w:tcW w:w="1540" w:type="dxa"/>
            <w:vMerge/>
            <w:shd w:val="clear" w:color="auto" w:fill="auto"/>
          </w:tcPr>
          <w:p w:rsidR="00993203" w:rsidRPr="00C8504B" w:rsidRDefault="00993203" w:rsidP="00993203">
            <w:pPr>
              <w:spacing w:before="40" w:after="20"/>
              <w:ind w:right="57"/>
              <w:jc w:val="right"/>
              <w:rPr>
                <w:rFonts w:ascii="Arial Narrow" w:hAnsi="Arial Narrow" w:cs="Arial"/>
                <w:b/>
                <w:bCs/>
                <w:snapToGrid w:val="0"/>
                <w:sz w:val="18"/>
                <w:szCs w:val="18"/>
              </w:rPr>
            </w:pPr>
          </w:p>
        </w:tc>
        <w:tc>
          <w:tcPr>
            <w:tcW w:w="992" w:type="dxa"/>
            <w:vMerge/>
            <w:shd w:val="clear" w:color="auto" w:fill="D9D9D9"/>
            <w:vAlign w:val="center"/>
          </w:tcPr>
          <w:p w:rsidR="00993203" w:rsidRPr="00C8504B" w:rsidRDefault="00993203" w:rsidP="00993203">
            <w:pPr>
              <w:spacing w:before="40" w:after="20"/>
              <w:ind w:right="57"/>
              <w:jc w:val="right"/>
              <w:rPr>
                <w:rFonts w:ascii="Arial Narrow" w:hAnsi="Arial Narrow" w:cs="Arial"/>
                <w:b/>
                <w:bCs/>
                <w:sz w:val="18"/>
                <w:szCs w:val="18"/>
              </w:rPr>
            </w:pP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Prodotti alimentari e bevande analcoliche</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183.676</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+1,9</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+0,3</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+13,5</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+11,7</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2,484</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+8,9</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Bevande alcoliche e tabacchi</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34.038</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0,0</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-0,2</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+2,2</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+2,0</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0,076</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+1,3</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Abbigliamento e calzature</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63.855</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+0,6</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+0,1</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+3,0</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+2,5</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0,194</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+1,8</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109.684</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+24,1</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+4,4</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+57,0</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+32,1</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6,180</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+34,4</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Mobili, articoli e servizi per la casa</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79.950</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+0,6</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+0,2</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+7,0</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+6,5</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0,565</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+5,1</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Servizi sanitari e spese per la salute</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88.946</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0,0</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+0,1</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+0,8</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+0,9</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0,074</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+0,8</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Trasporti</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144.843</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-0,4</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+0,9</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+8,1</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+9,5</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1,130</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+9,7</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Comunicazioni</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25.749</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-0,1</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-0,7</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-2,4</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-3,0</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-0,062</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-3,0</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Ricreazione, spettacoli e cultura</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70.540</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-0,1</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-0,2</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+2,0</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+1,9</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0,139</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+1,2</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Istruzione</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10.835</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0,0</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-0,9</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+1,0</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+0,1</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0,010</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0,0</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Servizi ricettivi e di ristorazione</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93.754</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-0,8</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-0,5</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+7,6</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+8,0</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0,735</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+6,3</w:t>
            </w:r>
          </w:p>
        </w:tc>
      </w:tr>
      <w:tr w:rsidR="002C552E" w:rsidRPr="00C8504B" w:rsidTr="00ED70FA">
        <w:trPr>
          <w:trHeight w:val="255"/>
        </w:trPr>
        <w:tc>
          <w:tcPr>
            <w:tcW w:w="3119" w:type="dxa"/>
            <w:vAlign w:val="center"/>
          </w:tcPr>
          <w:p w:rsidR="002C552E" w:rsidRPr="00C8504B" w:rsidRDefault="002C552E" w:rsidP="002C552E">
            <w:pPr>
              <w:spacing w:before="40" w:after="20"/>
              <w:rPr>
                <w:rFonts w:ascii="Arial Narrow" w:hAnsi="Arial Narrow" w:cs="Arial"/>
                <w:sz w:val="18"/>
                <w:szCs w:val="18"/>
              </w:rPr>
            </w:pPr>
            <w:r w:rsidRPr="00C8504B">
              <w:rPr>
                <w:rFonts w:ascii="Arial Narrow" w:hAnsi="Arial Narrow" w:cs="Arial"/>
                <w:sz w:val="18"/>
                <w:szCs w:val="18"/>
              </w:rPr>
              <w:t>Altri beni e servizi</w:t>
            </w:r>
          </w:p>
        </w:tc>
        <w:tc>
          <w:tcPr>
            <w:tcW w:w="1018" w:type="dxa"/>
            <w:shd w:val="clear" w:color="auto" w:fill="D9D9D9"/>
            <w:vAlign w:val="center"/>
          </w:tcPr>
          <w:p w:rsidR="002C552E" w:rsidRPr="0052712B" w:rsidRDefault="002C552E" w:rsidP="002C552E">
            <w:pPr>
              <w:spacing w:before="40" w:after="20"/>
              <w:ind w:right="57"/>
              <w:jc w:val="right"/>
              <w:rPr>
                <w:rFonts w:ascii="Arial Narrow" w:hAnsi="Arial Narrow" w:cs="Arial"/>
                <w:sz w:val="18"/>
                <w:szCs w:val="18"/>
              </w:rPr>
            </w:pPr>
            <w:r w:rsidRPr="0052712B">
              <w:rPr>
                <w:rFonts w:ascii="Arial Narrow" w:hAnsi="Arial Narrow" w:cs="Arial"/>
                <w:sz w:val="18"/>
                <w:szCs w:val="18"/>
              </w:rPr>
              <w:t>94.130</w:t>
            </w:r>
          </w:p>
        </w:tc>
        <w:tc>
          <w:tcPr>
            <w:tcW w:w="845" w:type="dxa"/>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+0,3</w:t>
            </w:r>
          </w:p>
        </w:tc>
        <w:tc>
          <w:tcPr>
            <w:tcW w:w="97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+0,1</w:t>
            </w:r>
          </w:p>
        </w:tc>
        <w:tc>
          <w:tcPr>
            <w:tcW w:w="931" w:type="dxa"/>
            <w:shd w:val="clear" w:color="auto" w:fill="auto"/>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+3,0</w:t>
            </w:r>
          </w:p>
        </w:tc>
        <w:tc>
          <w:tcPr>
            <w:tcW w:w="931"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+2,8</w:t>
            </w:r>
          </w:p>
        </w:tc>
        <w:tc>
          <w:tcPr>
            <w:tcW w:w="1540" w:type="dxa"/>
            <w:shd w:val="clear" w:color="auto" w:fill="auto"/>
            <w:tcMar>
              <w:left w:w="284" w:type="dxa"/>
              <w:right w:w="57" w:type="dxa"/>
            </w:tcMar>
            <w:vAlign w:val="bottom"/>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0,290</w:t>
            </w:r>
          </w:p>
        </w:tc>
        <w:tc>
          <w:tcPr>
            <w:tcW w:w="992" w:type="dxa"/>
            <w:shd w:val="clear" w:color="auto" w:fill="D9D9D9"/>
            <w:vAlign w:val="center"/>
          </w:tcPr>
          <w:p w:rsidR="002C552E" w:rsidRPr="002C552E" w:rsidRDefault="002C552E" w:rsidP="002C552E">
            <w:pPr>
              <w:spacing w:before="40" w:after="20"/>
              <w:ind w:right="57"/>
              <w:jc w:val="right"/>
              <w:rPr>
                <w:rFonts w:ascii="Arial Narrow" w:hAnsi="Arial Narrow" w:cs="Arial"/>
                <w:sz w:val="18"/>
                <w:szCs w:val="18"/>
              </w:rPr>
            </w:pPr>
            <w:r w:rsidRPr="002C552E">
              <w:rPr>
                <w:rFonts w:ascii="Arial Narrow" w:hAnsi="Arial Narrow" w:cs="Arial"/>
                <w:sz w:val="18"/>
                <w:szCs w:val="18"/>
              </w:rPr>
              <w:t>+1,9</w:t>
            </w:r>
          </w:p>
        </w:tc>
      </w:tr>
      <w:tr w:rsidR="002C552E" w:rsidRPr="0019686B" w:rsidTr="00ED70FA">
        <w:trPr>
          <w:trHeight w:val="255"/>
        </w:trPr>
        <w:tc>
          <w:tcPr>
            <w:tcW w:w="3119" w:type="dxa"/>
            <w:shd w:val="clear" w:color="auto" w:fill="E42618"/>
            <w:vAlign w:val="center"/>
          </w:tcPr>
          <w:p w:rsidR="002C552E" w:rsidRPr="00C8504B" w:rsidRDefault="002C552E" w:rsidP="002C552E">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018" w:type="dxa"/>
            <w:shd w:val="clear" w:color="auto" w:fill="E42618"/>
            <w:vAlign w:val="center"/>
          </w:tcPr>
          <w:p w:rsidR="002C552E" w:rsidRPr="006673E6" w:rsidRDefault="002C552E" w:rsidP="002C552E">
            <w:pPr>
              <w:spacing w:before="40" w:after="20"/>
              <w:ind w:right="57"/>
              <w:jc w:val="right"/>
              <w:rPr>
                <w:rFonts w:ascii="Arial Narrow" w:hAnsi="Arial Narrow" w:cs="Arial"/>
                <w:b/>
                <w:color w:val="FFFFFF" w:themeColor="background1"/>
                <w:sz w:val="18"/>
                <w:szCs w:val="18"/>
              </w:rPr>
            </w:pPr>
            <w:r w:rsidRPr="006673E6">
              <w:rPr>
                <w:rFonts w:ascii="Arial Narrow" w:hAnsi="Arial Narrow" w:cs="Arial"/>
                <w:b/>
                <w:color w:val="FFFFFF" w:themeColor="background1"/>
                <w:sz w:val="18"/>
                <w:szCs w:val="18"/>
              </w:rPr>
              <w:t>1.000.000</w:t>
            </w:r>
          </w:p>
        </w:tc>
        <w:tc>
          <w:tcPr>
            <w:tcW w:w="845" w:type="dxa"/>
            <w:shd w:val="clear" w:color="auto" w:fill="E42618"/>
            <w:vAlign w:val="center"/>
          </w:tcPr>
          <w:p w:rsidR="002C552E" w:rsidRPr="002C552E" w:rsidRDefault="002C552E" w:rsidP="002C552E">
            <w:pPr>
              <w:spacing w:before="40" w:after="20"/>
              <w:ind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+3,4</w:t>
            </w:r>
          </w:p>
        </w:tc>
        <w:tc>
          <w:tcPr>
            <w:tcW w:w="972" w:type="dxa"/>
            <w:shd w:val="clear" w:color="auto" w:fill="E42618"/>
            <w:vAlign w:val="center"/>
          </w:tcPr>
          <w:p w:rsidR="002C552E" w:rsidRPr="002C552E" w:rsidRDefault="002C552E" w:rsidP="002C552E">
            <w:pPr>
              <w:spacing w:before="40" w:after="20"/>
              <w:ind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+0,7</w:t>
            </w:r>
          </w:p>
        </w:tc>
        <w:tc>
          <w:tcPr>
            <w:tcW w:w="931" w:type="dxa"/>
            <w:shd w:val="clear" w:color="auto" w:fill="E42618"/>
            <w:vAlign w:val="center"/>
          </w:tcPr>
          <w:p w:rsidR="002C552E" w:rsidRPr="002C552E" w:rsidRDefault="002C552E" w:rsidP="002C552E">
            <w:pPr>
              <w:spacing w:before="40" w:after="20"/>
              <w:ind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+11,8</w:t>
            </w:r>
          </w:p>
        </w:tc>
        <w:tc>
          <w:tcPr>
            <w:tcW w:w="931" w:type="dxa"/>
            <w:shd w:val="clear" w:color="auto" w:fill="E42618"/>
            <w:vAlign w:val="center"/>
          </w:tcPr>
          <w:p w:rsidR="002C552E" w:rsidRPr="002C552E" w:rsidRDefault="002C552E" w:rsidP="002C552E">
            <w:pPr>
              <w:spacing w:before="40" w:after="20"/>
              <w:ind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+8,9</w:t>
            </w:r>
          </w:p>
        </w:tc>
        <w:tc>
          <w:tcPr>
            <w:tcW w:w="1540" w:type="dxa"/>
            <w:shd w:val="clear" w:color="auto" w:fill="E42618"/>
            <w:tcMar>
              <w:left w:w="284" w:type="dxa"/>
              <w:right w:w="57" w:type="dxa"/>
            </w:tcMar>
            <w:vAlign w:val="bottom"/>
          </w:tcPr>
          <w:p w:rsidR="002C552E" w:rsidRPr="002C552E" w:rsidRDefault="002C552E" w:rsidP="002C552E">
            <w:pPr>
              <w:spacing w:before="40" w:after="20"/>
              <w:ind w:right="57"/>
              <w:jc w:val="right"/>
              <w:rPr>
                <w:rFonts w:ascii="Arial Narrow" w:hAnsi="Arial Narrow" w:cs="Arial"/>
                <w:b/>
                <w:color w:val="FFFFFF" w:themeColor="background1"/>
                <w:sz w:val="18"/>
                <w:szCs w:val="18"/>
              </w:rPr>
            </w:pPr>
          </w:p>
        </w:tc>
        <w:tc>
          <w:tcPr>
            <w:tcW w:w="992" w:type="dxa"/>
            <w:shd w:val="clear" w:color="auto" w:fill="E42618"/>
            <w:vAlign w:val="center"/>
          </w:tcPr>
          <w:p w:rsidR="002C552E" w:rsidRPr="002C552E" w:rsidRDefault="002C552E" w:rsidP="002C552E">
            <w:pPr>
              <w:spacing w:before="40" w:after="20"/>
              <w:ind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+8,0</w:t>
            </w:r>
          </w:p>
        </w:tc>
      </w:tr>
      <w:bookmarkEnd w:id="0"/>
    </w:tbl>
    <w:p w:rsidR="00D1705F" w:rsidRDefault="00D1705F" w:rsidP="00D1705F">
      <w:pPr>
        <w:tabs>
          <w:tab w:val="left" w:pos="851"/>
          <w:tab w:val="left" w:pos="9639"/>
        </w:tabs>
        <w:spacing w:before="0" w:after="120"/>
        <w:jc w:val="both"/>
        <w:rPr>
          <w:rFonts w:ascii="Arial" w:hAnsi="Arial" w:cs="Arial"/>
          <w:iCs/>
          <w:sz w:val="21"/>
          <w:szCs w:val="21"/>
        </w:rPr>
      </w:pPr>
    </w:p>
    <w:p w:rsidR="00184B06" w:rsidRPr="004324F0" w:rsidRDefault="00184B06" w:rsidP="00C1564D">
      <w:pPr>
        <w:spacing w:before="0" w:after="0"/>
        <w:rPr>
          <w:rFonts w:ascii="Arial Narrow" w:hAnsi="Arial Narrow" w:cs="Calibri"/>
          <w:b/>
          <w:bCs/>
          <w:color w:val="5F5F5F"/>
          <w:kern w:val="0"/>
          <w:sz w:val="22"/>
          <w:szCs w:val="22"/>
        </w:rPr>
      </w:pPr>
      <w:r w:rsidRPr="004324F0">
        <w:rPr>
          <w:rFonts w:ascii="Arial Narrow" w:hAnsi="Arial Narrow" w:cs="Arial"/>
          <w:b/>
          <w:color w:val="E42618"/>
          <w:sz w:val="22"/>
          <w:szCs w:val="22"/>
        </w:rPr>
        <w:t xml:space="preserve">FIGURA 2. </w:t>
      </w:r>
      <w:r w:rsidRPr="004324F0">
        <w:rPr>
          <w:rFonts w:ascii="Arial Narrow" w:hAnsi="Arial Narrow" w:cs="Calibri"/>
          <w:b/>
          <w:bCs/>
          <w:color w:val="5F5F5F"/>
          <w:kern w:val="0"/>
          <w:sz w:val="22"/>
          <w:szCs w:val="22"/>
        </w:rPr>
        <w:t>INDICI DEI PREZZI AL CONSUMO NIC PER DIVISIONE DI SPESA</w:t>
      </w:r>
    </w:p>
    <w:p w:rsidR="00184B06" w:rsidRDefault="00691344" w:rsidP="00C30CFD">
      <w:pPr>
        <w:pStyle w:val="001TitoGra"/>
        <w:spacing w:after="120" w:line="240" w:lineRule="auto"/>
        <w:rPr>
          <w:rFonts w:cs="Calibri"/>
          <w:b w:val="0"/>
          <w:kern w:val="0"/>
          <w:sz w:val="20"/>
          <w:szCs w:val="20"/>
        </w:rPr>
      </w:pPr>
      <w:r>
        <w:rPr>
          <w:b w:val="0"/>
          <w:sz w:val="20"/>
          <w:szCs w:val="20"/>
        </w:rPr>
        <w:t>Otto</w:t>
      </w:r>
      <w:r w:rsidR="009B6ACA">
        <w:rPr>
          <w:b w:val="0"/>
          <w:sz w:val="20"/>
          <w:szCs w:val="20"/>
        </w:rPr>
        <w:t>bre</w:t>
      </w:r>
      <w:r w:rsidR="009A20F3" w:rsidRPr="009A20F3">
        <w:rPr>
          <w:b w:val="0"/>
          <w:sz w:val="20"/>
          <w:szCs w:val="20"/>
        </w:rPr>
        <w:t xml:space="preserve"> </w:t>
      </w:r>
      <w:r w:rsidR="005B7BD6" w:rsidRPr="005B7BD6">
        <w:rPr>
          <w:b w:val="0"/>
          <w:sz w:val="20"/>
          <w:szCs w:val="20"/>
        </w:rPr>
        <w:t>2022</w:t>
      </w:r>
      <w:r w:rsidR="00184B06" w:rsidRPr="00BB71FB">
        <w:rPr>
          <w:rFonts w:cs="Calibri"/>
          <w:b w:val="0"/>
          <w:kern w:val="0"/>
          <w:sz w:val="20"/>
          <w:szCs w:val="20"/>
        </w:rPr>
        <w:t>, variazioni percentuali tendenziali</w:t>
      </w:r>
      <w:r w:rsidR="00184B06" w:rsidRPr="004324F0">
        <w:rPr>
          <w:rFonts w:cs="Calibri"/>
          <w:b w:val="0"/>
          <w:kern w:val="0"/>
          <w:sz w:val="20"/>
          <w:szCs w:val="20"/>
        </w:rPr>
        <w:t xml:space="preserve"> (base 2015=100)</w:t>
      </w:r>
    </w:p>
    <w:p w:rsidR="00665C10" w:rsidRPr="00C8504B" w:rsidRDefault="0069074D" w:rsidP="002B0DBA">
      <w:pPr>
        <w:pStyle w:val="001TitoGra"/>
        <w:spacing w:after="60" w:line="240" w:lineRule="auto"/>
        <w:rPr>
          <w:rFonts w:cs="Calibri"/>
          <w:b w:val="0"/>
          <w:kern w:val="0"/>
          <w:sz w:val="20"/>
          <w:szCs w:val="20"/>
        </w:rPr>
      </w:pPr>
      <w:r>
        <w:rPr>
          <w:rFonts w:cs="Calibri"/>
          <w:b w:val="0"/>
          <w:noProof/>
          <w:kern w:val="0"/>
          <w:sz w:val="20"/>
          <w:szCs w:val="20"/>
        </w:rPr>
        <w:drawing>
          <wp:inline distT="0" distB="0" distL="0" distR="0" wp14:anchorId="4E5A3AF7">
            <wp:extent cx="6864985" cy="204216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4985" cy="2042160"/>
                    </a:xfrm>
                    <a:prstGeom prst="rect">
                      <a:avLst/>
                    </a:prstGeom>
                    <a:noFill/>
                  </pic:spPr>
                </pic:pic>
              </a:graphicData>
            </a:graphic>
          </wp:inline>
        </w:drawing>
      </w:r>
    </w:p>
    <w:p w:rsidR="004B33E4" w:rsidRPr="00C8504B" w:rsidRDefault="005B1978" w:rsidP="00BD0487">
      <w:pPr>
        <w:pStyle w:val="001TitoloBolocco"/>
        <w:spacing w:after="120" w:line="240" w:lineRule="auto"/>
        <w:rPr>
          <w:szCs w:val="26"/>
        </w:rPr>
      </w:pPr>
      <w:r w:rsidRPr="00C8504B">
        <w:rPr>
          <w:szCs w:val="26"/>
        </w:rPr>
        <w:lastRenderedPageBreak/>
        <w:t>Le TIPOLOGIE DI PRODOTTO</w:t>
      </w:r>
    </w:p>
    <w:p w:rsidR="00DF75E8" w:rsidRPr="00AA6CC8" w:rsidRDefault="00DF75E8" w:rsidP="00DF75E8">
      <w:pPr>
        <w:spacing w:before="0" w:after="120"/>
        <w:jc w:val="both"/>
        <w:rPr>
          <w:rFonts w:ascii="Arial" w:hAnsi="Arial" w:cs="Arial"/>
          <w:color w:val="000000"/>
          <w:kern w:val="0"/>
          <w:sz w:val="21"/>
          <w:szCs w:val="21"/>
        </w:rPr>
      </w:pPr>
      <w:r w:rsidRPr="003B7708">
        <w:rPr>
          <w:rFonts w:ascii="Arial" w:hAnsi="Arial" w:cs="Arial"/>
          <w:color w:val="000000"/>
          <w:kern w:val="0"/>
          <w:sz w:val="21"/>
          <w:szCs w:val="21"/>
        </w:rPr>
        <w:t>A</w:t>
      </w:r>
      <w:r>
        <w:rPr>
          <w:rFonts w:ascii="Arial" w:hAnsi="Arial" w:cs="Arial"/>
          <w:color w:val="000000"/>
          <w:kern w:val="0"/>
          <w:sz w:val="21"/>
          <w:szCs w:val="21"/>
        </w:rPr>
        <w:t xml:space="preserve"> ottobre</w:t>
      </w:r>
      <w:r w:rsidRPr="003B7708">
        <w:rPr>
          <w:rFonts w:ascii="Arial" w:hAnsi="Arial" w:cs="Arial"/>
          <w:color w:val="000000"/>
          <w:kern w:val="0"/>
          <w:sz w:val="21"/>
          <w:szCs w:val="21"/>
        </w:rPr>
        <w:t xml:space="preserve">, </w:t>
      </w:r>
      <w:r>
        <w:rPr>
          <w:rFonts w:ascii="Arial" w:hAnsi="Arial" w:cs="Arial"/>
          <w:color w:val="000000"/>
          <w:kern w:val="0"/>
          <w:sz w:val="21"/>
          <w:szCs w:val="21"/>
        </w:rPr>
        <w:t>l’accelerazione</w:t>
      </w:r>
      <w:r w:rsidRPr="003B7708">
        <w:rPr>
          <w:rFonts w:ascii="Arial" w:hAnsi="Arial" w:cs="Arial"/>
          <w:color w:val="000000"/>
          <w:kern w:val="0"/>
          <w:sz w:val="21"/>
          <w:szCs w:val="21"/>
        </w:rPr>
        <w:t xml:space="preserve"> su base annua</w:t>
      </w:r>
      <w:r>
        <w:rPr>
          <w:rFonts w:ascii="Arial" w:hAnsi="Arial" w:cs="Arial"/>
          <w:color w:val="000000"/>
          <w:kern w:val="0"/>
          <w:sz w:val="21"/>
          <w:szCs w:val="21"/>
        </w:rPr>
        <w:t xml:space="preserve"> </w:t>
      </w:r>
      <w:r w:rsidRPr="003B7708">
        <w:rPr>
          <w:rFonts w:ascii="Arial" w:hAnsi="Arial" w:cs="Arial"/>
          <w:color w:val="000000"/>
          <w:kern w:val="0"/>
          <w:sz w:val="21"/>
          <w:szCs w:val="21"/>
        </w:rPr>
        <w:t>dell’indice generale dei prezzi al consumo NIC (da +</w:t>
      </w:r>
      <w:r>
        <w:rPr>
          <w:rFonts w:ascii="Arial" w:hAnsi="Arial" w:cs="Arial"/>
          <w:color w:val="000000"/>
          <w:kern w:val="0"/>
          <w:sz w:val="21"/>
          <w:szCs w:val="21"/>
        </w:rPr>
        <w:t>8,9</w:t>
      </w:r>
      <w:r w:rsidRPr="003B7708">
        <w:rPr>
          <w:rFonts w:ascii="Arial" w:hAnsi="Arial" w:cs="Arial"/>
          <w:color w:val="000000"/>
          <w:kern w:val="0"/>
          <w:sz w:val="21"/>
          <w:szCs w:val="21"/>
        </w:rPr>
        <w:t>% a +</w:t>
      </w:r>
      <w:r>
        <w:rPr>
          <w:rFonts w:ascii="Arial" w:hAnsi="Arial" w:cs="Arial"/>
          <w:color w:val="000000"/>
          <w:kern w:val="0"/>
          <w:sz w:val="21"/>
          <w:szCs w:val="21"/>
        </w:rPr>
        <w:t>11,8</w:t>
      </w:r>
      <w:r w:rsidRPr="003B7708">
        <w:rPr>
          <w:rFonts w:ascii="Arial" w:hAnsi="Arial" w:cs="Arial"/>
          <w:color w:val="000000"/>
          <w:kern w:val="0"/>
          <w:sz w:val="21"/>
          <w:szCs w:val="21"/>
        </w:rPr>
        <w:t xml:space="preserve">%) si deve </w:t>
      </w:r>
      <w:r>
        <w:rPr>
          <w:rFonts w:ascii="Arial" w:hAnsi="Arial" w:cs="Arial"/>
          <w:color w:val="000000"/>
          <w:kern w:val="0"/>
          <w:sz w:val="21"/>
          <w:szCs w:val="21"/>
        </w:rPr>
        <w:t>ai</w:t>
      </w:r>
      <w:r w:rsidRPr="003B7708">
        <w:rPr>
          <w:rFonts w:ascii="Arial" w:hAnsi="Arial" w:cs="Arial"/>
          <w:color w:val="000000"/>
          <w:kern w:val="0"/>
          <w:sz w:val="21"/>
          <w:szCs w:val="21"/>
        </w:rPr>
        <w:t xml:space="preserve"> prezzi dei beni (</w:t>
      </w:r>
      <w:r w:rsidRPr="00570391">
        <w:rPr>
          <w:rFonts w:ascii="Arial" w:hAnsi="Arial" w:cs="Arial"/>
          <w:sz w:val="21"/>
          <w:szCs w:val="21"/>
        </w:rPr>
        <w:t xml:space="preserve">da </w:t>
      </w:r>
      <w:r>
        <w:rPr>
          <w:rFonts w:ascii="Arial" w:hAnsi="Arial" w:cs="Arial"/>
          <w:sz w:val="21"/>
          <w:szCs w:val="21"/>
        </w:rPr>
        <w:t>+12,5%</w:t>
      </w:r>
      <w:r w:rsidRPr="00570391">
        <w:rPr>
          <w:rFonts w:ascii="Arial" w:hAnsi="Arial" w:cs="Arial"/>
          <w:sz w:val="21"/>
          <w:szCs w:val="21"/>
        </w:rPr>
        <w:t xml:space="preserve"> a </w:t>
      </w:r>
      <w:r>
        <w:rPr>
          <w:rFonts w:ascii="Arial" w:hAnsi="Arial" w:cs="Arial"/>
          <w:sz w:val="21"/>
          <w:szCs w:val="21"/>
        </w:rPr>
        <w:t>+17,</w:t>
      </w:r>
      <w:r w:rsidR="00110088">
        <w:rPr>
          <w:rFonts w:ascii="Arial" w:hAnsi="Arial" w:cs="Arial"/>
          <w:sz w:val="21"/>
          <w:szCs w:val="21"/>
        </w:rPr>
        <w:t>6</w:t>
      </w:r>
      <w:r w:rsidRPr="00570391">
        <w:rPr>
          <w:rFonts w:ascii="Arial" w:hAnsi="Arial" w:cs="Arial"/>
          <w:sz w:val="21"/>
          <w:szCs w:val="21"/>
        </w:rPr>
        <w:t>%</w:t>
      </w:r>
      <w:r w:rsidRPr="003B7708">
        <w:rPr>
          <w:rFonts w:ascii="Arial" w:hAnsi="Arial" w:cs="Arial"/>
          <w:sz w:val="21"/>
          <w:szCs w:val="21"/>
        </w:rPr>
        <w:t>)</w:t>
      </w:r>
      <w:r>
        <w:rPr>
          <w:rFonts w:ascii="Arial" w:hAnsi="Arial" w:cs="Arial"/>
          <w:sz w:val="21"/>
          <w:szCs w:val="21"/>
        </w:rPr>
        <w:t>,</w:t>
      </w:r>
      <w:r w:rsidRPr="003B7708">
        <w:rPr>
          <w:rFonts w:ascii="Arial" w:hAnsi="Arial" w:cs="Arial"/>
          <w:sz w:val="21"/>
          <w:szCs w:val="21"/>
        </w:rPr>
        <w:t xml:space="preserve"> </w:t>
      </w:r>
      <w:r w:rsidRPr="003B7708">
        <w:rPr>
          <w:rFonts w:ascii="Arial" w:hAnsi="Arial" w:cs="Arial"/>
          <w:color w:val="000000"/>
          <w:kern w:val="0"/>
          <w:sz w:val="21"/>
          <w:szCs w:val="21"/>
        </w:rPr>
        <w:t xml:space="preserve">mentre </w:t>
      </w:r>
      <w:r>
        <w:rPr>
          <w:rFonts w:ascii="Arial" w:hAnsi="Arial" w:cs="Arial"/>
          <w:color w:val="000000"/>
          <w:kern w:val="0"/>
          <w:sz w:val="21"/>
          <w:szCs w:val="21"/>
        </w:rPr>
        <w:t>decelerano di poco quelli</w:t>
      </w:r>
      <w:r w:rsidRPr="003B7708">
        <w:rPr>
          <w:rFonts w:ascii="Arial" w:hAnsi="Arial" w:cs="Arial"/>
          <w:color w:val="000000"/>
          <w:kern w:val="0"/>
          <w:sz w:val="21"/>
          <w:szCs w:val="21"/>
        </w:rPr>
        <w:t xml:space="preserve"> dei servizi (</w:t>
      </w:r>
      <w:r>
        <w:rPr>
          <w:rFonts w:ascii="Arial" w:hAnsi="Arial" w:cs="Arial"/>
          <w:sz w:val="21"/>
          <w:szCs w:val="21"/>
        </w:rPr>
        <w:t>da +3,9% a +3,8</w:t>
      </w:r>
      <w:r w:rsidRPr="003B7708">
        <w:rPr>
          <w:rFonts w:ascii="Arial" w:hAnsi="Arial" w:cs="Arial"/>
          <w:sz w:val="21"/>
          <w:szCs w:val="21"/>
        </w:rPr>
        <w:t>%</w:t>
      </w:r>
      <w:r w:rsidRPr="003B7708">
        <w:rPr>
          <w:rFonts w:ascii="Arial" w:hAnsi="Arial" w:cs="Arial"/>
          <w:color w:val="000000"/>
          <w:kern w:val="0"/>
          <w:sz w:val="21"/>
          <w:szCs w:val="21"/>
        </w:rPr>
        <w:t xml:space="preserve">); il differenziale inflazionistico tra questi ultimi e i prezzi dei beni rimane quindi negativo, ma si </w:t>
      </w:r>
      <w:r>
        <w:rPr>
          <w:rFonts w:ascii="Arial" w:hAnsi="Arial" w:cs="Arial"/>
          <w:color w:val="000000"/>
          <w:kern w:val="0"/>
          <w:sz w:val="21"/>
          <w:szCs w:val="21"/>
        </w:rPr>
        <w:t>amplia in misura marcata</w:t>
      </w:r>
      <w:r w:rsidRPr="003B7708">
        <w:rPr>
          <w:rFonts w:ascii="Arial" w:hAnsi="Arial" w:cs="Arial"/>
          <w:color w:val="000000"/>
          <w:kern w:val="0"/>
          <w:sz w:val="21"/>
          <w:szCs w:val="21"/>
        </w:rPr>
        <w:t xml:space="preserve"> a -</w:t>
      </w:r>
      <w:r>
        <w:rPr>
          <w:rFonts w:ascii="Arial" w:hAnsi="Arial" w:cs="Arial"/>
          <w:color w:val="000000"/>
          <w:kern w:val="0"/>
          <w:sz w:val="21"/>
          <w:szCs w:val="21"/>
        </w:rPr>
        <w:t xml:space="preserve">13,8 </w:t>
      </w:r>
      <w:r w:rsidRPr="003B7708">
        <w:rPr>
          <w:rFonts w:ascii="Arial" w:hAnsi="Arial" w:cs="Arial"/>
          <w:color w:val="000000"/>
          <w:kern w:val="0"/>
          <w:sz w:val="21"/>
          <w:szCs w:val="21"/>
        </w:rPr>
        <w:t>punti percentuali (</w:t>
      </w:r>
      <w:r>
        <w:rPr>
          <w:rFonts w:ascii="Arial" w:hAnsi="Arial" w:cs="Arial"/>
          <w:color w:val="000000"/>
          <w:kern w:val="0"/>
          <w:sz w:val="21"/>
          <w:szCs w:val="21"/>
        </w:rPr>
        <w:t>da</w:t>
      </w:r>
      <w:r w:rsidRPr="003B7708">
        <w:rPr>
          <w:rFonts w:ascii="Arial" w:hAnsi="Arial" w:cs="Arial"/>
          <w:color w:val="000000"/>
          <w:kern w:val="0"/>
          <w:sz w:val="21"/>
          <w:szCs w:val="21"/>
        </w:rPr>
        <w:t xml:space="preserve"> -</w:t>
      </w:r>
      <w:r>
        <w:rPr>
          <w:rFonts w:ascii="Arial" w:hAnsi="Arial" w:cs="Arial"/>
          <w:color w:val="000000"/>
          <w:kern w:val="0"/>
          <w:sz w:val="21"/>
          <w:szCs w:val="21"/>
        </w:rPr>
        <w:t>8,6 di settembre</w:t>
      </w:r>
      <w:r w:rsidRPr="003B7708">
        <w:rPr>
          <w:rFonts w:ascii="Arial" w:hAnsi="Arial" w:cs="Arial"/>
          <w:color w:val="000000"/>
          <w:kern w:val="0"/>
          <w:sz w:val="21"/>
          <w:szCs w:val="21"/>
        </w:rPr>
        <w:t>).</w:t>
      </w:r>
      <w:r>
        <w:rPr>
          <w:rFonts w:ascii="Arial" w:hAnsi="Arial" w:cs="Arial"/>
          <w:color w:val="000000"/>
          <w:kern w:val="0"/>
          <w:sz w:val="21"/>
          <w:szCs w:val="21"/>
        </w:rPr>
        <w:t xml:space="preserve"> </w:t>
      </w:r>
    </w:p>
    <w:p w:rsidR="006222C2" w:rsidRDefault="006222C2" w:rsidP="006222C2">
      <w:pPr>
        <w:spacing w:before="0" w:after="120"/>
        <w:jc w:val="both"/>
        <w:rPr>
          <w:rFonts w:ascii="Arial" w:hAnsi="Arial" w:cs="Arial"/>
          <w:color w:val="000000"/>
          <w:kern w:val="0"/>
          <w:sz w:val="21"/>
          <w:szCs w:val="21"/>
        </w:rPr>
      </w:pPr>
      <w:r>
        <w:rPr>
          <w:rFonts w:ascii="Arial" w:hAnsi="Arial" w:cs="Arial"/>
          <w:color w:val="000000"/>
          <w:kern w:val="0"/>
          <w:sz w:val="21"/>
          <w:szCs w:val="21"/>
        </w:rPr>
        <w:t>La forte accelerazione dei prezzi dei beni è imputabile prevalentemente ai</w:t>
      </w:r>
      <w:r w:rsidRPr="004B427C">
        <w:rPr>
          <w:rFonts w:ascii="Arial" w:hAnsi="Arial" w:cs="Arial"/>
          <w:color w:val="000000"/>
          <w:kern w:val="0"/>
          <w:sz w:val="21"/>
          <w:szCs w:val="21"/>
        </w:rPr>
        <w:t xml:space="preserve"> prezzi </w:t>
      </w:r>
      <w:r>
        <w:rPr>
          <w:rFonts w:ascii="Arial" w:hAnsi="Arial" w:cs="Arial"/>
          <w:color w:val="000000"/>
          <w:kern w:val="0"/>
          <w:sz w:val="21"/>
          <w:szCs w:val="21"/>
        </w:rPr>
        <w:t>dei Beni energetici (da +44,5% di settembre a +71,1%; +26,8% il congiunturale), a causa sia dei Beni energetici regolamentati (da +47,7% a +51,6%; +20,0% su mese) sia dei Beni energetici non regolamentati</w:t>
      </w:r>
      <w:r w:rsidRPr="00F07745">
        <w:rPr>
          <w:rFonts w:ascii="Arial" w:hAnsi="Arial" w:cs="Arial"/>
          <w:color w:val="000000"/>
          <w:kern w:val="0"/>
          <w:sz w:val="21"/>
          <w:szCs w:val="21"/>
        </w:rPr>
        <w:t xml:space="preserve"> (</w:t>
      </w:r>
      <w:r>
        <w:rPr>
          <w:rFonts w:ascii="Arial" w:hAnsi="Arial" w:cs="Arial"/>
          <w:color w:val="000000"/>
          <w:kern w:val="0"/>
          <w:sz w:val="21"/>
          <w:szCs w:val="21"/>
        </w:rPr>
        <w:t xml:space="preserve">da </w:t>
      </w:r>
      <w:r w:rsidRPr="00F07745">
        <w:rPr>
          <w:rFonts w:ascii="Arial" w:hAnsi="Arial" w:cs="Arial"/>
          <w:color w:val="000000"/>
          <w:kern w:val="0"/>
          <w:sz w:val="21"/>
          <w:szCs w:val="21"/>
        </w:rPr>
        <w:t>+</w:t>
      </w:r>
      <w:r>
        <w:rPr>
          <w:rFonts w:ascii="Arial" w:hAnsi="Arial" w:cs="Arial"/>
          <w:color w:val="000000"/>
          <w:kern w:val="0"/>
          <w:sz w:val="21"/>
          <w:szCs w:val="21"/>
        </w:rPr>
        <w:t>41,2% a +79,4%; +28,3% su mese).</w:t>
      </w:r>
      <w:r w:rsidRPr="00600BF5">
        <w:rPr>
          <w:rFonts w:ascii="Arial" w:hAnsi="Arial" w:cs="Arial"/>
          <w:color w:val="000000"/>
          <w:kern w:val="0"/>
          <w:sz w:val="21"/>
          <w:szCs w:val="21"/>
        </w:rPr>
        <w:t xml:space="preserve"> </w:t>
      </w:r>
      <w:r w:rsidRPr="003C0B11">
        <w:rPr>
          <w:rFonts w:ascii="Arial" w:hAnsi="Arial" w:cs="Arial"/>
          <w:color w:val="000000"/>
          <w:kern w:val="0"/>
          <w:sz w:val="21"/>
          <w:szCs w:val="21"/>
        </w:rPr>
        <w:t>Per la componente regolamentata</w:t>
      </w:r>
      <w:r>
        <w:rPr>
          <w:rFonts w:ascii="Arial" w:hAnsi="Arial" w:cs="Arial"/>
          <w:color w:val="000000"/>
          <w:kern w:val="0"/>
          <w:sz w:val="21"/>
          <w:szCs w:val="21"/>
        </w:rPr>
        <w:t xml:space="preserve"> ac</w:t>
      </w:r>
      <w:r w:rsidRPr="003C0B11">
        <w:rPr>
          <w:rFonts w:ascii="Arial" w:hAnsi="Arial" w:cs="Arial"/>
          <w:color w:val="000000"/>
          <w:kern w:val="0"/>
          <w:sz w:val="21"/>
          <w:szCs w:val="21"/>
        </w:rPr>
        <w:t>celerano i prezzi dell’Energia elettrica mercato tutelato (da +57,3% a +</w:t>
      </w:r>
      <w:r>
        <w:rPr>
          <w:rFonts w:ascii="Arial" w:hAnsi="Arial" w:cs="Arial"/>
          <w:color w:val="000000"/>
          <w:kern w:val="0"/>
          <w:sz w:val="21"/>
          <w:szCs w:val="21"/>
        </w:rPr>
        <w:t>91,5</w:t>
      </w:r>
      <w:r w:rsidRPr="003C0B11">
        <w:rPr>
          <w:rFonts w:ascii="Arial" w:hAnsi="Arial" w:cs="Arial"/>
          <w:color w:val="000000"/>
          <w:kern w:val="0"/>
          <w:sz w:val="21"/>
          <w:szCs w:val="21"/>
        </w:rPr>
        <w:t xml:space="preserve">%; </w:t>
      </w:r>
      <w:r>
        <w:rPr>
          <w:rFonts w:ascii="Arial" w:hAnsi="Arial" w:cs="Arial"/>
          <w:color w:val="000000"/>
          <w:kern w:val="0"/>
          <w:sz w:val="21"/>
          <w:szCs w:val="21"/>
        </w:rPr>
        <w:t>+51,9</w:t>
      </w:r>
      <w:r w:rsidRPr="003C0B11">
        <w:rPr>
          <w:rFonts w:ascii="Arial" w:hAnsi="Arial" w:cs="Arial"/>
          <w:color w:val="000000"/>
          <w:kern w:val="0"/>
          <w:sz w:val="21"/>
          <w:szCs w:val="21"/>
        </w:rPr>
        <w:t xml:space="preserve">% rispetto a </w:t>
      </w:r>
      <w:r>
        <w:rPr>
          <w:rFonts w:ascii="Arial" w:hAnsi="Arial" w:cs="Arial"/>
          <w:color w:val="000000"/>
          <w:kern w:val="0"/>
          <w:sz w:val="21"/>
          <w:szCs w:val="21"/>
        </w:rPr>
        <w:t>settembre</w:t>
      </w:r>
      <w:r w:rsidRPr="003C0B11">
        <w:rPr>
          <w:rFonts w:ascii="Arial" w:hAnsi="Arial" w:cs="Arial"/>
          <w:color w:val="000000"/>
          <w:kern w:val="0"/>
          <w:sz w:val="21"/>
          <w:szCs w:val="21"/>
        </w:rPr>
        <w:t>)</w:t>
      </w:r>
      <w:r>
        <w:rPr>
          <w:rFonts w:ascii="Arial" w:hAnsi="Arial" w:cs="Arial"/>
          <w:color w:val="000000"/>
          <w:kern w:val="0"/>
          <w:sz w:val="21"/>
          <w:szCs w:val="21"/>
        </w:rPr>
        <w:t>, mentre</w:t>
      </w:r>
      <w:r w:rsidRPr="003C0B11">
        <w:rPr>
          <w:rFonts w:ascii="Arial" w:hAnsi="Arial" w:cs="Arial"/>
          <w:color w:val="000000"/>
          <w:kern w:val="0"/>
          <w:sz w:val="21"/>
          <w:szCs w:val="21"/>
        </w:rPr>
        <w:t xml:space="preserve"> quelli del Gas di città e gas naturale mercato tutelato </w:t>
      </w:r>
      <w:r>
        <w:rPr>
          <w:rFonts w:ascii="Arial" w:hAnsi="Arial" w:cs="Arial"/>
          <w:color w:val="000000"/>
          <w:kern w:val="0"/>
          <w:sz w:val="21"/>
          <w:szCs w:val="21"/>
        </w:rPr>
        <w:t xml:space="preserve">rallentano </w:t>
      </w:r>
      <w:r w:rsidRPr="003C0B11">
        <w:rPr>
          <w:rFonts w:ascii="Arial" w:hAnsi="Arial" w:cs="Arial"/>
          <w:color w:val="000000"/>
          <w:kern w:val="0"/>
          <w:sz w:val="21"/>
          <w:szCs w:val="21"/>
        </w:rPr>
        <w:t>(</w:t>
      </w:r>
      <w:r>
        <w:rPr>
          <w:rFonts w:ascii="Arial" w:hAnsi="Arial" w:cs="Arial"/>
          <w:color w:val="000000"/>
          <w:kern w:val="0"/>
          <w:sz w:val="21"/>
          <w:szCs w:val="21"/>
        </w:rPr>
        <w:t xml:space="preserve">da </w:t>
      </w:r>
      <w:r w:rsidRPr="003C0B11">
        <w:rPr>
          <w:rFonts w:ascii="Arial" w:hAnsi="Arial" w:cs="Arial"/>
          <w:color w:val="000000"/>
          <w:kern w:val="0"/>
          <w:sz w:val="21"/>
          <w:szCs w:val="21"/>
        </w:rPr>
        <w:t>+</w:t>
      </w:r>
      <w:r>
        <w:rPr>
          <w:rFonts w:ascii="Arial" w:hAnsi="Arial" w:cs="Arial"/>
          <w:color w:val="000000"/>
          <w:kern w:val="0"/>
          <w:sz w:val="21"/>
          <w:szCs w:val="21"/>
        </w:rPr>
        <w:t>43,0</w:t>
      </w:r>
      <w:r w:rsidRPr="003C0B11">
        <w:rPr>
          <w:rFonts w:ascii="Arial" w:hAnsi="Arial" w:cs="Arial"/>
          <w:color w:val="000000"/>
          <w:kern w:val="0"/>
          <w:sz w:val="21"/>
          <w:szCs w:val="21"/>
        </w:rPr>
        <w:t>%</w:t>
      </w:r>
      <w:r>
        <w:rPr>
          <w:rFonts w:ascii="Arial" w:hAnsi="Arial" w:cs="Arial"/>
          <w:color w:val="000000"/>
          <w:kern w:val="0"/>
          <w:sz w:val="21"/>
          <w:szCs w:val="21"/>
        </w:rPr>
        <w:t xml:space="preserve"> a +3,4%; -18,3% la variazione congiunturale</w:t>
      </w:r>
      <w:r w:rsidRPr="003C0B11">
        <w:rPr>
          <w:rFonts w:ascii="Arial" w:hAnsi="Arial" w:cs="Arial"/>
          <w:color w:val="000000"/>
          <w:kern w:val="0"/>
          <w:sz w:val="21"/>
          <w:szCs w:val="21"/>
        </w:rPr>
        <w:t>)</w:t>
      </w:r>
      <w:r>
        <w:rPr>
          <w:rFonts w:ascii="Arial" w:hAnsi="Arial" w:cs="Arial"/>
          <w:color w:val="000000"/>
          <w:kern w:val="0"/>
          <w:sz w:val="21"/>
          <w:szCs w:val="21"/>
        </w:rPr>
        <w:t>. Il calo</w:t>
      </w:r>
      <w:r w:rsidRPr="00A34404">
        <w:rPr>
          <w:rFonts w:ascii="Arial" w:hAnsi="Arial" w:cs="Arial"/>
          <w:color w:val="000000"/>
          <w:kern w:val="0"/>
          <w:sz w:val="21"/>
          <w:szCs w:val="21"/>
        </w:rPr>
        <w:t xml:space="preserve"> su base congiunturale dei prezzi del Gas di città e gas naturale mercato tutelato si deve </w:t>
      </w:r>
      <w:r>
        <w:rPr>
          <w:rFonts w:ascii="Arial" w:hAnsi="Arial" w:cs="Arial"/>
          <w:color w:val="000000"/>
          <w:kern w:val="0"/>
          <w:sz w:val="21"/>
          <w:szCs w:val="21"/>
        </w:rPr>
        <w:t>all’aggiornamento del</w:t>
      </w:r>
      <w:r w:rsidRPr="009B10E7">
        <w:rPr>
          <w:rFonts w:ascii="Arial" w:hAnsi="Arial" w:cs="Arial"/>
          <w:color w:val="000000"/>
          <w:kern w:val="0"/>
          <w:sz w:val="21"/>
          <w:szCs w:val="21"/>
        </w:rPr>
        <w:t xml:space="preserve"> valore del </w:t>
      </w:r>
      <w:proofErr w:type="spellStart"/>
      <w:r w:rsidRPr="009B10E7">
        <w:rPr>
          <w:rFonts w:ascii="Arial" w:hAnsi="Arial" w:cs="Arial"/>
          <w:color w:val="000000"/>
          <w:kern w:val="0"/>
          <w:sz w:val="21"/>
          <w:szCs w:val="21"/>
        </w:rPr>
        <w:t>CMEMm</w:t>
      </w:r>
      <w:proofErr w:type="spellEnd"/>
      <w:r w:rsidRPr="009B10E7">
        <w:rPr>
          <w:rFonts w:ascii="Arial" w:hAnsi="Arial" w:cs="Arial"/>
          <w:color w:val="000000"/>
          <w:kern w:val="0"/>
          <w:sz w:val="21"/>
          <w:szCs w:val="21"/>
        </w:rPr>
        <w:t xml:space="preserve"> </w:t>
      </w:r>
      <w:r>
        <w:rPr>
          <w:rFonts w:ascii="Arial" w:hAnsi="Arial" w:cs="Arial"/>
          <w:color w:val="000000"/>
          <w:kern w:val="0"/>
          <w:sz w:val="21"/>
          <w:szCs w:val="21"/>
        </w:rPr>
        <w:t>(ossia il valore del</w:t>
      </w:r>
      <w:r w:rsidRPr="00A34404">
        <w:rPr>
          <w:rFonts w:ascii="Arial" w:hAnsi="Arial" w:cs="Arial"/>
          <w:color w:val="000000"/>
          <w:kern w:val="0"/>
          <w:sz w:val="21"/>
          <w:szCs w:val="21"/>
        </w:rPr>
        <w:t>la componente del prezzo del gas a copertura dei costi di approvvigionamento del gas naturale</w:t>
      </w:r>
      <w:r>
        <w:rPr>
          <w:rFonts w:ascii="Arial" w:hAnsi="Arial" w:cs="Arial"/>
          <w:color w:val="000000"/>
          <w:kern w:val="0"/>
          <w:sz w:val="21"/>
          <w:szCs w:val="21"/>
        </w:rPr>
        <w:t>,</w:t>
      </w:r>
      <w:r w:rsidRPr="00A34404">
        <w:rPr>
          <w:rFonts w:ascii="Arial" w:hAnsi="Arial" w:cs="Arial"/>
          <w:color w:val="000000"/>
          <w:kern w:val="0"/>
          <w:sz w:val="21"/>
          <w:szCs w:val="21"/>
        </w:rPr>
        <w:t xml:space="preserve"> applicat</w:t>
      </w:r>
      <w:r>
        <w:rPr>
          <w:rFonts w:ascii="Arial" w:hAnsi="Arial" w:cs="Arial"/>
          <w:color w:val="000000"/>
          <w:kern w:val="0"/>
          <w:sz w:val="21"/>
          <w:szCs w:val="21"/>
        </w:rPr>
        <w:t>a</w:t>
      </w:r>
      <w:r w:rsidRPr="00A34404">
        <w:rPr>
          <w:rFonts w:ascii="Arial" w:hAnsi="Arial" w:cs="Arial"/>
          <w:color w:val="000000"/>
          <w:kern w:val="0"/>
          <w:sz w:val="21"/>
          <w:szCs w:val="21"/>
        </w:rPr>
        <w:t xml:space="preserve"> ai client</w:t>
      </w:r>
      <w:r>
        <w:rPr>
          <w:rFonts w:ascii="Arial" w:hAnsi="Arial" w:cs="Arial"/>
          <w:color w:val="000000"/>
          <w:kern w:val="0"/>
          <w:sz w:val="21"/>
          <w:szCs w:val="21"/>
        </w:rPr>
        <w:t>i ancora in tutela) pubblicato dall’Autorità di regolazione per Energia Reti e Ambiente (ARERA) il 3 novembre scorso. Infatti, a seguito dell’adozione de</w:t>
      </w:r>
      <w:r w:rsidRPr="00A34404">
        <w:rPr>
          <w:rFonts w:ascii="Arial" w:hAnsi="Arial" w:cs="Arial"/>
          <w:color w:val="000000"/>
          <w:kern w:val="0"/>
          <w:sz w:val="21"/>
          <w:szCs w:val="21"/>
        </w:rPr>
        <w:t xml:space="preserve">l nuovo metodo introdotto dall’ARERA (delibera 374/2022/R/gas), </w:t>
      </w:r>
      <w:r>
        <w:rPr>
          <w:rFonts w:ascii="Arial" w:hAnsi="Arial" w:cs="Arial"/>
          <w:color w:val="000000"/>
          <w:kern w:val="0"/>
          <w:sz w:val="21"/>
          <w:szCs w:val="21"/>
        </w:rPr>
        <w:t xml:space="preserve">a </w:t>
      </w:r>
      <w:r w:rsidRPr="00A34404">
        <w:rPr>
          <w:rFonts w:ascii="Arial" w:hAnsi="Arial" w:cs="Arial"/>
          <w:color w:val="000000"/>
          <w:kern w:val="0"/>
          <w:sz w:val="21"/>
          <w:szCs w:val="21"/>
        </w:rPr>
        <w:t>partire dal mese di ottobre 2022</w:t>
      </w:r>
      <w:r>
        <w:rPr>
          <w:rFonts w:ascii="Arial" w:hAnsi="Arial" w:cs="Arial"/>
          <w:color w:val="000000"/>
          <w:kern w:val="0"/>
          <w:sz w:val="21"/>
          <w:szCs w:val="21"/>
        </w:rPr>
        <w:t xml:space="preserve"> il valore del</w:t>
      </w:r>
      <w:r w:rsidRPr="00A34404">
        <w:rPr>
          <w:rFonts w:ascii="Arial" w:hAnsi="Arial" w:cs="Arial"/>
          <w:color w:val="000000"/>
          <w:kern w:val="0"/>
          <w:sz w:val="21"/>
          <w:szCs w:val="21"/>
        </w:rPr>
        <w:t xml:space="preserve">la componente </w:t>
      </w:r>
      <w:proofErr w:type="spellStart"/>
      <w:r w:rsidRPr="00A34404">
        <w:rPr>
          <w:rFonts w:ascii="Arial" w:hAnsi="Arial" w:cs="Arial"/>
          <w:color w:val="000000"/>
          <w:kern w:val="0"/>
          <w:sz w:val="21"/>
          <w:szCs w:val="21"/>
        </w:rPr>
        <w:t>CMEMm</w:t>
      </w:r>
      <w:proofErr w:type="spellEnd"/>
      <w:r>
        <w:rPr>
          <w:rFonts w:ascii="Arial" w:hAnsi="Arial" w:cs="Arial"/>
          <w:color w:val="000000"/>
          <w:kern w:val="0"/>
          <w:sz w:val="21"/>
          <w:szCs w:val="21"/>
        </w:rPr>
        <w:t xml:space="preserve"> viene aggiornato su base mensile e pubblicato</w:t>
      </w:r>
      <w:r w:rsidRPr="00A34404">
        <w:rPr>
          <w:rFonts w:ascii="Arial" w:hAnsi="Arial" w:cs="Arial"/>
          <w:color w:val="000000"/>
          <w:kern w:val="0"/>
          <w:sz w:val="21"/>
          <w:szCs w:val="21"/>
        </w:rPr>
        <w:t xml:space="preserve"> nei primi giorni del mese successivo a quello di riferimento. </w:t>
      </w:r>
      <w:r>
        <w:rPr>
          <w:rFonts w:ascii="Arial" w:hAnsi="Arial" w:cs="Arial"/>
          <w:color w:val="000000"/>
          <w:kern w:val="0"/>
          <w:sz w:val="21"/>
          <w:szCs w:val="21"/>
        </w:rPr>
        <w:t xml:space="preserve">Con la diffusione dei dati preliminari, non essendo ancora disponibile il </w:t>
      </w:r>
      <w:r w:rsidRPr="00A34404">
        <w:rPr>
          <w:rFonts w:ascii="Arial" w:hAnsi="Arial" w:cs="Arial"/>
          <w:color w:val="000000"/>
          <w:kern w:val="0"/>
          <w:sz w:val="21"/>
          <w:szCs w:val="21"/>
        </w:rPr>
        <w:t xml:space="preserve">valore del </w:t>
      </w:r>
      <w:proofErr w:type="spellStart"/>
      <w:r w:rsidRPr="00A34404">
        <w:rPr>
          <w:rFonts w:ascii="Arial" w:hAnsi="Arial" w:cs="Arial"/>
          <w:color w:val="000000"/>
          <w:kern w:val="0"/>
          <w:sz w:val="21"/>
          <w:szCs w:val="21"/>
        </w:rPr>
        <w:t>CMEMm</w:t>
      </w:r>
      <w:proofErr w:type="spellEnd"/>
      <w:r w:rsidRPr="00A34404">
        <w:rPr>
          <w:rFonts w:ascii="Arial" w:hAnsi="Arial" w:cs="Arial"/>
          <w:color w:val="000000"/>
          <w:kern w:val="0"/>
          <w:sz w:val="21"/>
          <w:szCs w:val="21"/>
        </w:rPr>
        <w:t xml:space="preserve"> </w:t>
      </w:r>
      <w:r>
        <w:rPr>
          <w:rFonts w:ascii="Arial" w:hAnsi="Arial" w:cs="Arial"/>
          <w:color w:val="000000"/>
          <w:kern w:val="0"/>
          <w:sz w:val="21"/>
          <w:szCs w:val="21"/>
        </w:rPr>
        <w:t>di ottobre,</w:t>
      </w:r>
      <w:r w:rsidRPr="00A34404">
        <w:rPr>
          <w:rFonts w:ascii="Arial" w:hAnsi="Arial" w:cs="Arial"/>
          <w:color w:val="000000"/>
          <w:kern w:val="0"/>
          <w:sz w:val="21"/>
          <w:szCs w:val="21"/>
        </w:rPr>
        <w:t xml:space="preserve"> per la stima della variazione congiunturale </w:t>
      </w:r>
      <w:r>
        <w:rPr>
          <w:rFonts w:ascii="Arial" w:hAnsi="Arial" w:cs="Arial"/>
          <w:color w:val="000000"/>
          <w:kern w:val="0"/>
          <w:sz w:val="21"/>
          <w:szCs w:val="21"/>
        </w:rPr>
        <w:t xml:space="preserve">del </w:t>
      </w:r>
      <w:r w:rsidRPr="003C0B11">
        <w:rPr>
          <w:rFonts w:ascii="Arial" w:hAnsi="Arial" w:cs="Arial"/>
          <w:color w:val="000000"/>
          <w:kern w:val="0"/>
          <w:sz w:val="21"/>
          <w:szCs w:val="21"/>
        </w:rPr>
        <w:t xml:space="preserve">Gas di città e gas naturale mercato tutelato </w:t>
      </w:r>
      <w:r>
        <w:rPr>
          <w:rFonts w:ascii="Arial" w:hAnsi="Arial" w:cs="Arial"/>
          <w:color w:val="000000"/>
          <w:kern w:val="0"/>
          <w:sz w:val="21"/>
          <w:szCs w:val="21"/>
        </w:rPr>
        <w:t>era</w:t>
      </w:r>
      <w:r w:rsidRPr="00A34404">
        <w:rPr>
          <w:rFonts w:ascii="Arial" w:hAnsi="Arial" w:cs="Arial"/>
          <w:color w:val="000000"/>
          <w:kern w:val="0"/>
          <w:sz w:val="21"/>
          <w:szCs w:val="21"/>
        </w:rPr>
        <w:t xml:space="preserve"> stato </w:t>
      </w:r>
      <w:r>
        <w:rPr>
          <w:rFonts w:ascii="Arial" w:hAnsi="Arial" w:cs="Arial"/>
          <w:color w:val="000000"/>
          <w:kern w:val="0"/>
          <w:sz w:val="21"/>
          <w:szCs w:val="21"/>
        </w:rPr>
        <w:t xml:space="preserve">utilizzato </w:t>
      </w:r>
      <w:r w:rsidRPr="00A34404">
        <w:rPr>
          <w:rFonts w:ascii="Arial" w:hAnsi="Arial" w:cs="Arial"/>
          <w:color w:val="000000"/>
          <w:kern w:val="0"/>
          <w:sz w:val="21"/>
          <w:szCs w:val="21"/>
        </w:rPr>
        <w:t>quello del trimestre luglio-settembre</w:t>
      </w:r>
      <w:r>
        <w:rPr>
          <w:rFonts w:ascii="Arial" w:hAnsi="Arial" w:cs="Arial"/>
          <w:color w:val="000000"/>
          <w:kern w:val="0"/>
          <w:sz w:val="21"/>
          <w:szCs w:val="21"/>
        </w:rPr>
        <w:t xml:space="preserve"> e non quello pubblicato da ARERA </w:t>
      </w:r>
      <w:r w:rsidRPr="00A34404">
        <w:rPr>
          <w:rFonts w:ascii="Arial" w:hAnsi="Arial" w:cs="Arial"/>
          <w:color w:val="000000"/>
          <w:kern w:val="0"/>
          <w:sz w:val="21"/>
          <w:szCs w:val="21"/>
        </w:rPr>
        <w:t xml:space="preserve">ai primi di ottobre </w:t>
      </w:r>
      <w:r>
        <w:rPr>
          <w:rFonts w:ascii="Arial" w:hAnsi="Arial" w:cs="Arial"/>
          <w:color w:val="000000"/>
          <w:kern w:val="0"/>
          <w:sz w:val="21"/>
          <w:szCs w:val="21"/>
        </w:rPr>
        <w:t>(</w:t>
      </w:r>
      <w:r w:rsidRPr="00A34404">
        <w:rPr>
          <w:rFonts w:ascii="Arial" w:hAnsi="Arial" w:cs="Arial"/>
          <w:color w:val="000000"/>
          <w:kern w:val="0"/>
          <w:sz w:val="21"/>
          <w:szCs w:val="21"/>
        </w:rPr>
        <w:t>finalizzato a fornire un’indicazione agli operatori per quantificare la stima in acconto del valore di questa componente da applicare ai consumi del mese i</w:t>
      </w:r>
      <w:r>
        <w:rPr>
          <w:rFonts w:ascii="Arial" w:hAnsi="Arial" w:cs="Arial"/>
          <w:color w:val="000000"/>
          <w:kern w:val="0"/>
          <w:sz w:val="21"/>
          <w:szCs w:val="21"/>
        </w:rPr>
        <w:t xml:space="preserve">n cui la bolletta viene emessa) poiché incorporava </w:t>
      </w:r>
      <w:r w:rsidRPr="00A34404">
        <w:rPr>
          <w:rFonts w:ascii="Arial" w:hAnsi="Arial" w:cs="Arial"/>
          <w:color w:val="000000"/>
          <w:kern w:val="0"/>
          <w:sz w:val="21"/>
          <w:szCs w:val="21"/>
        </w:rPr>
        <w:t xml:space="preserve">gli andamenti dei prezzi all’ingrosso </w:t>
      </w:r>
      <w:r>
        <w:rPr>
          <w:rFonts w:ascii="Arial" w:hAnsi="Arial" w:cs="Arial"/>
          <w:color w:val="000000"/>
          <w:kern w:val="0"/>
          <w:sz w:val="21"/>
          <w:szCs w:val="21"/>
        </w:rPr>
        <w:t>del gas in forte crescita</w:t>
      </w:r>
      <w:r w:rsidRPr="00A34404">
        <w:rPr>
          <w:rFonts w:ascii="Arial" w:hAnsi="Arial" w:cs="Arial"/>
          <w:color w:val="000000"/>
          <w:kern w:val="0"/>
          <w:sz w:val="21"/>
          <w:szCs w:val="21"/>
        </w:rPr>
        <w:t xml:space="preserve"> </w:t>
      </w:r>
      <w:r>
        <w:rPr>
          <w:rFonts w:ascii="Arial" w:hAnsi="Arial" w:cs="Arial"/>
          <w:color w:val="000000"/>
          <w:kern w:val="0"/>
          <w:sz w:val="21"/>
          <w:szCs w:val="21"/>
        </w:rPr>
        <w:t>n</w:t>
      </w:r>
      <w:r w:rsidRPr="00A34404">
        <w:rPr>
          <w:rFonts w:ascii="Arial" w:hAnsi="Arial" w:cs="Arial"/>
          <w:color w:val="000000"/>
          <w:kern w:val="0"/>
          <w:sz w:val="21"/>
          <w:szCs w:val="21"/>
        </w:rPr>
        <w:t>el mese di settembre</w:t>
      </w:r>
      <w:r>
        <w:rPr>
          <w:rFonts w:ascii="Arial" w:hAnsi="Arial" w:cs="Arial"/>
          <w:color w:val="000000"/>
          <w:kern w:val="0"/>
          <w:sz w:val="21"/>
          <w:szCs w:val="21"/>
        </w:rPr>
        <w:t>.</w:t>
      </w:r>
    </w:p>
    <w:p w:rsidR="00DF75E8" w:rsidRPr="00DF75E8" w:rsidRDefault="00DF75E8" w:rsidP="00DF75E8">
      <w:pPr>
        <w:spacing w:before="0" w:after="120"/>
        <w:jc w:val="both"/>
        <w:rPr>
          <w:rFonts w:ascii="Arial" w:hAnsi="Arial" w:cs="Arial"/>
          <w:color w:val="000000"/>
          <w:kern w:val="0"/>
          <w:sz w:val="4"/>
          <w:szCs w:val="21"/>
        </w:rPr>
      </w:pPr>
    </w:p>
    <w:p w:rsidR="005B1978" w:rsidRPr="00C8504B" w:rsidRDefault="003961E3" w:rsidP="009612C2">
      <w:pPr>
        <w:spacing w:before="0" w:after="0"/>
        <w:jc w:val="both"/>
        <w:rPr>
          <w:rFonts w:ascii="Arial Narrow" w:hAnsi="Arial Narrow" w:cs="Arial"/>
          <w:b/>
          <w:color w:val="5F5F5F"/>
          <w:sz w:val="22"/>
          <w:szCs w:val="22"/>
        </w:rPr>
      </w:pPr>
      <w:r w:rsidRPr="00C8504B">
        <w:rPr>
          <w:rFonts w:ascii="Arial Narrow" w:hAnsi="Arial Narrow" w:cs="Arial"/>
          <w:b/>
          <w:color w:val="E42618"/>
          <w:sz w:val="22"/>
          <w:szCs w:val="22"/>
        </w:rPr>
        <w:t>PROSPETTO</w:t>
      </w:r>
      <w:r w:rsidR="005B1978" w:rsidRPr="00C8504B">
        <w:rPr>
          <w:rFonts w:ascii="Arial Narrow" w:hAnsi="Arial Narrow" w:cs="Arial"/>
          <w:b/>
          <w:color w:val="E42618"/>
          <w:sz w:val="22"/>
          <w:szCs w:val="22"/>
        </w:rPr>
        <w:t xml:space="preserve"> </w:t>
      </w:r>
      <w:r w:rsidR="00E74721" w:rsidRPr="00C8504B">
        <w:rPr>
          <w:rFonts w:ascii="Arial Narrow" w:hAnsi="Arial Narrow" w:cs="Arial"/>
          <w:b/>
          <w:color w:val="E42618"/>
          <w:sz w:val="22"/>
          <w:szCs w:val="22"/>
        </w:rPr>
        <w:t>3</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005B1978" w:rsidRPr="00C8504B">
        <w:rPr>
          <w:rFonts w:ascii="Arial Narrow" w:hAnsi="Arial Narrow" w:cs="Calibri"/>
          <w:b/>
          <w:bCs/>
          <w:color w:val="5F5F5F"/>
          <w:kern w:val="0"/>
          <w:sz w:val="22"/>
          <w:szCs w:val="22"/>
        </w:rPr>
        <w:t>INDICE DEI PREZZI AL CONSUMO NIC PER TIPOLOGIA DI PRODOTTO</w:t>
      </w:r>
    </w:p>
    <w:p w:rsidR="005B1978" w:rsidRPr="00C8504B" w:rsidRDefault="001E1AF5" w:rsidP="005B1978">
      <w:pPr>
        <w:spacing w:before="0" w:after="120"/>
        <w:jc w:val="both"/>
        <w:rPr>
          <w:rFonts w:ascii="Arial Narrow" w:hAnsi="Arial Narrow" w:cs="Arial"/>
          <w:color w:val="5F5F5F"/>
        </w:rPr>
      </w:pPr>
      <w:r>
        <w:rPr>
          <w:rFonts w:ascii="Arial Narrow" w:hAnsi="Arial Narrow" w:cs="Arial"/>
          <w:color w:val="5F5F5F"/>
        </w:rPr>
        <w:t>Otto</w:t>
      </w:r>
      <w:r w:rsidR="009B6ACA">
        <w:rPr>
          <w:rFonts w:ascii="Arial Narrow" w:hAnsi="Arial Narrow" w:cs="Arial"/>
          <w:color w:val="5F5F5F"/>
        </w:rPr>
        <w:t>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00CB0759" w:rsidRPr="00C8504B">
        <w:rPr>
          <w:rFonts w:ascii="Arial Narrow" w:hAnsi="Arial Narrow" w:cs="Arial"/>
          <w:color w:val="5F5F5F"/>
        </w:rPr>
        <w:t>,</w:t>
      </w:r>
      <w:r w:rsidR="00A25192" w:rsidRPr="00C8504B">
        <w:rPr>
          <w:rFonts w:ascii="Arial Narrow" w:hAnsi="Arial Narrow" w:cs="Arial"/>
          <w:color w:val="5F5F5F"/>
        </w:rPr>
        <w:t xml:space="preserve"> pesi e </w:t>
      </w:r>
      <w:r w:rsidR="005B1978" w:rsidRPr="00C8504B">
        <w:rPr>
          <w:rFonts w:ascii="Arial Narrow" w:hAnsi="Arial Narrow" w:cs="Arial"/>
          <w:color w:val="5F5F5F"/>
        </w:rPr>
        <w:t xml:space="preserve">variazioni </w:t>
      </w:r>
      <w:r w:rsidR="00A1287A" w:rsidRPr="00C8504B">
        <w:rPr>
          <w:rFonts w:ascii="Arial Narrow" w:hAnsi="Arial Narrow" w:cs="Arial"/>
          <w:color w:val="5F5F5F"/>
        </w:rPr>
        <w:t xml:space="preserve">congiunturali e tendenziali </w:t>
      </w:r>
      <w:r w:rsidR="005B1978" w:rsidRPr="00C8504B">
        <w:rPr>
          <w:rFonts w:ascii="Arial Narrow" w:hAnsi="Arial Narrow" w:cs="Arial"/>
          <w:color w:val="5F5F5F"/>
        </w:rPr>
        <w:t>percentuali (base 20</w:t>
      </w:r>
      <w:r w:rsidR="00FB2FA2" w:rsidRPr="00C8504B">
        <w:rPr>
          <w:rFonts w:ascii="Arial Narrow" w:hAnsi="Arial Narrow" w:cs="Arial"/>
          <w:color w:val="5F5F5F"/>
        </w:rPr>
        <w:t>15=100)</w:t>
      </w:r>
    </w:p>
    <w:tbl>
      <w:tblPr>
        <w:tblW w:w="10206" w:type="dxa"/>
        <w:tblInd w:w="70" w:type="dxa"/>
        <w:tblBorders>
          <w:top w:val="single" w:sz="4" w:space="0" w:color="auto"/>
          <w:bottom w:val="single" w:sz="4" w:space="0" w:color="auto"/>
          <w:insideH w:val="single" w:sz="4" w:space="0" w:color="auto"/>
        </w:tblBorders>
        <w:tblLayout w:type="fixed"/>
        <w:tblCellMar>
          <w:left w:w="70" w:type="dxa"/>
          <w:right w:w="0" w:type="dxa"/>
        </w:tblCellMar>
        <w:tblLook w:val="0400" w:firstRow="0" w:lastRow="0" w:firstColumn="0" w:lastColumn="0" w:noHBand="0" w:noVBand="1"/>
      </w:tblPr>
      <w:tblGrid>
        <w:gridCol w:w="4253"/>
        <w:gridCol w:w="992"/>
        <w:gridCol w:w="978"/>
        <w:gridCol w:w="1006"/>
        <w:gridCol w:w="992"/>
        <w:gridCol w:w="983"/>
        <w:gridCol w:w="1002"/>
      </w:tblGrid>
      <w:tr w:rsidR="00B33C41" w:rsidRPr="00C8504B" w:rsidTr="00851952">
        <w:trPr>
          <w:trHeight w:val="326"/>
          <w:tblHeader/>
        </w:trPr>
        <w:tc>
          <w:tcPr>
            <w:tcW w:w="4253" w:type="dxa"/>
            <w:vMerge w:val="restart"/>
            <w:vAlign w:val="center"/>
          </w:tcPr>
          <w:p w:rsidR="00B33C41" w:rsidRPr="00C8504B" w:rsidRDefault="00B33C41" w:rsidP="00B33C41">
            <w:pPr>
              <w:spacing w:before="0" w:after="0"/>
              <w:ind w:left="-68"/>
              <w:rPr>
                <w:rFonts w:ascii="Arial Narrow" w:hAnsi="Arial Narrow" w:cs="Arial"/>
                <w:b/>
                <w:bCs/>
                <w:sz w:val="18"/>
                <w:szCs w:val="18"/>
              </w:rPr>
            </w:pPr>
            <w:r w:rsidRPr="00C8504B">
              <w:rPr>
                <w:rFonts w:ascii="Arial Narrow" w:hAnsi="Arial Narrow" w:cs="Arial"/>
                <w:b/>
                <w:bCs/>
                <w:sz w:val="18"/>
                <w:szCs w:val="18"/>
              </w:rPr>
              <w:t>TIPOLOGIE DI PRODOTTO</w:t>
            </w:r>
          </w:p>
        </w:tc>
        <w:tc>
          <w:tcPr>
            <w:tcW w:w="992" w:type="dxa"/>
            <w:vMerge w:val="restart"/>
            <w:shd w:val="clear" w:color="auto" w:fill="D9D9D9"/>
            <w:vAlign w:val="center"/>
          </w:tcPr>
          <w:p w:rsidR="00B33C41" w:rsidRPr="00C8504B" w:rsidRDefault="00B33C41" w:rsidP="00B33C41">
            <w:pPr>
              <w:spacing w:before="0" w:after="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984" w:type="dxa"/>
            <w:gridSpan w:val="2"/>
            <w:vAlign w:val="center"/>
          </w:tcPr>
          <w:p w:rsidR="00B33C41" w:rsidRPr="003750EC" w:rsidRDefault="00B33C41" w:rsidP="00B33C41">
            <w:pPr>
              <w:spacing w:before="0" w:after="0"/>
              <w:ind w:right="57"/>
              <w:jc w:val="right"/>
              <w:rPr>
                <w:rFonts w:ascii="Arial Narrow" w:hAnsi="Arial Narrow" w:cs="Arial"/>
                <w:b/>
                <w:bCs/>
                <w:sz w:val="18"/>
                <w:szCs w:val="18"/>
              </w:rPr>
            </w:pPr>
            <w:r w:rsidRPr="003750EC">
              <w:rPr>
                <w:rFonts w:ascii="Arial Narrow" w:hAnsi="Arial Narrow" w:cs="Arial"/>
                <w:b/>
                <w:bCs/>
                <w:sz w:val="18"/>
                <w:szCs w:val="18"/>
              </w:rPr>
              <w:t>Variazioni congiunturali</w:t>
            </w:r>
          </w:p>
        </w:tc>
        <w:tc>
          <w:tcPr>
            <w:tcW w:w="1975" w:type="dxa"/>
            <w:gridSpan w:val="2"/>
            <w:shd w:val="clear" w:color="auto" w:fill="D9D9D9"/>
            <w:vAlign w:val="center"/>
          </w:tcPr>
          <w:p w:rsidR="00B33C41" w:rsidRPr="003750EC" w:rsidRDefault="00B33C41" w:rsidP="00B33C41">
            <w:pPr>
              <w:spacing w:before="0" w:after="0"/>
              <w:ind w:right="57"/>
              <w:jc w:val="right"/>
              <w:rPr>
                <w:rFonts w:ascii="Arial Narrow" w:hAnsi="Arial Narrow" w:cs="Arial"/>
                <w:b/>
                <w:bCs/>
                <w:sz w:val="18"/>
                <w:szCs w:val="18"/>
              </w:rPr>
            </w:pPr>
            <w:r w:rsidRPr="003750EC">
              <w:rPr>
                <w:rFonts w:ascii="Arial Narrow" w:hAnsi="Arial Narrow" w:cs="Arial"/>
                <w:b/>
                <w:bCs/>
                <w:sz w:val="18"/>
                <w:szCs w:val="18"/>
              </w:rPr>
              <w:t>Variazioni tendenziali</w:t>
            </w:r>
          </w:p>
        </w:tc>
        <w:tc>
          <w:tcPr>
            <w:tcW w:w="1002" w:type="dxa"/>
            <w:vMerge w:val="restart"/>
            <w:shd w:val="clear" w:color="auto" w:fill="auto"/>
            <w:vAlign w:val="center"/>
          </w:tcPr>
          <w:p w:rsidR="00B33C41" w:rsidRPr="00C8504B" w:rsidRDefault="00B33C41" w:rsidP="001E1AF5">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w:t>
            </w:r>
            <w:r w:rsidR="00D64913">
              <w:rPr>
                <w:rFonts w:ascii="Arial Narrow" w:hAnsi="Arial Narrow" w:cs="Arial"/>
                <w:b/>
                <w:bCs/>
                <w:kern w:val="0"/>
                <w:sz w:val="18"/>
                <w:szCs w:val="18"/>
              </w:rPr>
              <w:t xml:space="preserve">       </w:t>
            </w:r>
            <w:r>
              <w:rPr>
                <w:rFonts w:ascii="Arial Narrow" w:hAnsi="Arial Narrow" w:cs="Arial"/>
                <w:b/>
                <w:bCs/>
                <w:kern w:val="0"/>
                <w:sz w:val="18"/>
                <w:szCs w:val="18"/>
              </w:rPr>
              <w:t xml:space="preserve">a </w:t>
            </w:r>
            <w:r w:rsidR="001E1AF5">
              <w:rPr>
                <w:rFonts w:ascii="Arial Narrow" w:hAnsi="Arial Narrow" w:cs="Arial"/>
                <w:b/>
                <w:bCs/>
                <w:kern w:val="0"/>
                <w:sz w:val="18"/>
                <w:szCs w:val="18"/>
              </w:rPr>
              <w:t>otto</w:t>
            </w:r>
            <w:r w:rsidR="009B6ACA">
              <w:rPr>
                <w:rFonts w:ascii="Arial Narrow" w:hAnsi="Arial Narrow" w:cs="Arial"/>
                <w:b/>
                <w:bCs/>
                <w:kern w:val="0"/>
                <w:sz w:val="18"/>
                <w:szCs w:val="18"/>
              </w:rPr>
              <w:t>bre</w:t>
            </w:r>
          </w:p>
        </w:tc>
      </w:tr>
      <w:tr w:rsidR="000F49FA" w:rsidRPr="00C8504B" w:rsidTr="00A170DD">
        <w:trPr>
          <w:trHeight w:val="381"/>
          <w:tblHeader/>
        </w:trPr>
        <w:tc>
          <w:tcPr>
            <w:tcW w:w="4253" w:type="dxa"/>
            <w:vMerge/>
            <w:vAlign w:val="center"/>
          </w:tcPr>
          <w:p w:rsidR="000F49FA" w:rsidRPr="00C8504B" w:rsidRDefault="000F49FA" w:rsidP="000F49FA">
            <w:pPr>
              <w:spacing w:before="40" w:after="20"/>
              <w:ind w:left="-68"/>
              <w:rPr>
                <w:rFonts w:ascii="Arial Narrow" w:hAnsi="Arial Narrow" w:cs="Arial"/>
                <w:b/>
                <w:bCs/>
                <w:sz w:val="18"/>
                <w:szCs w:val="18"/>
              </w:rPr>
            </w:pPr>
          </w:p>
        </w:tc>
        <w:tc>
          <w:tcPr>
            <w:tcW w:w="992" w:type="dxa"/>
            <w:vMerge/>
            <w:shd w:val="clear" w:color="auto" w:fill="D9D9D9"/>
            <w:vAlign w:val="center"/>
          </w:tcPr>
          <w:p w:rsidR="000F49FA" w:rsidRPr="00C8504B" w:rsidRDefault="000F49FA" w:rsidP="000F49FA">
            <w:pPr>
              <w:spacing w:before="40" w:after="20"/>
              <w:ind w:right="57"/>
              <w:jc w:val="right"/>
              <w:rPr>
                <w:rFonts w:ascii="Arial Narrow" w:hAnsi="Arial Narrow" w:cs="Arial"/>
                <w:b/>
                <w:bCs/>
                <w:sz w:val="18"/>
                <w:szCs w:val="18"/>
              </w:rPr>
            </w:pPr>
          </w:p>
        </w:tc>
        <w:tc>
          <w:tcPr>
            <w:tcW w:w="978"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E03E58" w:rsidRDefault="000F49FA" w:rsidP="000F49FA">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set-22</w:t>
            </w:r>
          </w:p>
        </w:tc>
        <w:tc>
          <w:tcPr>
            <w:tcW w:w="1006"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ott-21</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992"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ott-21</w:t>
            </w:r>
          </w:p>
        </w:tc>
        <w:tc>
          <w:tcPr>
            <w:tcW w:w="983"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sett21</w:t>
            </w:r>
          </w:p>
        </w:tc>
        <w:tc>
          <w:tcPr>
            <w:tcW w:w="1002" w:type="dxa"/>
            <w:vMerge/>
            <w:shd w:val="clear" w:color="auto" w:fill="auto"/>
            <w:vAlign w:val="center"/>
          </w:tcPr>
          <w:p w:rsidR="000F49FA" w:rsidRPr="00CF0807" w:rsidRDefault="000F49FA" w:rsidP="000F49FA">
            <w:pPr>
              <w:spacing w:before="0" w:after="0"/>
              <w:jc w:val="right"/>
              <w:rPr>
                <w:rFonts w:ascii="Arial Narrow" w:hAnsi="Arial Narrow" w:cs="Arial"/>
                <w:bCs/>
                <w:sz w:val="18"/>
                <w:szCs w:val="18"/>
              </w:rPr>
            </w:pP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sz w:val="18"/>
                <w:szCs w:val="18"/>
              </w:rPr>
            </w:pPr>
            <w:r w:rsidRPr="00C8504B">
              <w:rPr>
                <w:rFonts w:ascii="Arial Narrow" w:hAnsi="Arial Narrow" w:cs="Arial"/>
                <w:sz w:val="18"/>
                <w:szCs w:val="18"/>
              </w:rPr>
              <w:t>Beni alimentari, di cui: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195.333</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+1,9</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+0,3</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+13,1</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+11,4</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+8,6</w:t>
            </w:r>
          </w:p>
        </w:tc>
      </w:tr>
      <w:tr w:rsidR="002C552E" w:rsidRPr="00C8504B" w:rsidTr="007B3359">
        <w:trPr>
          <w:trHeight w:val="255"/>
          <w:tblHeader/>
        </w:trPr>
        <w:tc>
          <w:tcPr>
            <w:tcW w:w="4253" w:type="dxa"/>
            <w:vAlign w:val="center"/>
          </w:tcPr>
          <w:p w:rsidR="002C552E" w:rsidRPr="00C8504B" w:rsidRDefault="002C552E" w:rsidP="002C552E">
            <w:pPr>
              <w:spacing w:before="40" w:after="20"/>
              <w:ind w:firstLine="214"/>
              <w:rPr>
                <w:rFonts w:ascii="Arial Narrow" w:hAnsi="Arial Narrow" w:cs="Arial"/>
                <w:sz w:val="18"/>
                <w:szCs w:val="18"/>
              </w:rPr>
            </w:pPr>
            <w:r w:rsidRPr="00C8504B">
              <w:rPr>
                <w:rFonts w:ascii="Arial Narrow" w:hAnsi="Arial Narrow" w:cs="Arial"/>
                <w:sz w:val="18"/>
                <w:szCs w:val="18"/>
              </w:rPr>
              <w:t>Alimentari lavorati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120.047</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+1,6</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-0,1</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+13,3</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+11,4</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+8,2</w:t>
            </w:r>
          </w:p>
        </w:tc>
      </w:tr>
      <w:tr w:rsidR="002C552E" w:rsidRPr="00C8504B" w:rsidTr="007B3359">
        <w:trPr>
          <w:trHeight w:val="255"/>
          <w:tblHeader/>
        </w:trPr>
        <w:tc>
          <w:tcPr>
            <w:tcW w:w="4253" w:type="dxa"/>
            <w:vAlign w:val="center"/>
          </w:tcPr>
          <w:p w:rsidR="002C552E" w:rsidRPr="00C8504B" w:rsidRDefault="002C552E" w:rsidP="002C552E">
            <w:pPr>
              <w:spacing w:before="40" w:after="20"/>
              <w:ind w:firstLine="214"/>
              <w:rPr>
                <w:rFonts w:ascii="Arial Narrow" w:hAnsi="Arial Narrow" w:cs="Arial"/>
                <w:sz w:val="18"/>
                <w:szCs w:val="18"/>
              </w:rPr>
            </w:pPr>
            <w:r w:rsidRPr="00C8504B">
              <w:rPr>
                <w:rFonts w:ascii="Arial Narrow" w:hAnsi="Arial Narrow" w:cs="Arial"/>
                <w:sz w:val="18"/>
                <w:szCs w:val="18"/>
              </w:rPr>
              <w:t>Alimentari non lavorati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75.286</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+2,4</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+0,7</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+12,9</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+11,0</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+9,2</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sz w:val="18"/>
                <w:szCs w:val="18"/>
              </w:rPr>
            </w:pPr>
            <w:r w:rsidRPr="00C8504B">
              <w:rPr>
                <w:rFonts w:ascii="Arial Narrow" w:hAnsi="Arial Narrow" w:cs="Arial"/>
                <w:sz w:val="18"/>
                <w:szCs w:val="18"/>
              </w:rPr>
              <w:t>Beni energetici, di cui: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92.494</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+26,8</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+7,0</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+71,1</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+44,5</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+50,3</w:t>
            </w:r>
          </w:p>
        </w:tc>
      </w:tr>
      <w:tr w:rsidR="002C552E" w:rsidRPr="00C8504B" w:rsidTr="007B3359">
        <w:trPr>
          <w:trHeight w:val="255"/>
          <w:tblHeader/>
        </w:trPr>
        <w:tc>
          <w:tcPr>
            <w:tcW w:w="4253" w:type="dxa"/>
            <w:vAlign w:val="center"/>
          </w:tcPr>
          <w:p w:rsidR="002C552E" w:rsidRPr="00C8504B" w:rsidRDefault="002C552E" w:rsidP="002C552E">
            <w:pPr>
              <w:spacing w:before="40" w:after="20"/>
              <w:ind w:firstLine="214"/>
              <w:rPr>
                <w:rFonts w:ascii="Arial Narrow" w:hAnsi="Arial Narrow" w:cs="Arial"/>
                <w:sz w:val="18"/>
                <w:szCs w:val="18"/>
              </w:rPr>
            </w:pPr>
            <w:r w:rsidRPr="00C8504B">
              <w:rPr>
                <w:rFonts w:ascii="Arial Narrow" w:hAnsi="Arial Narrow" w:cs="Arial"/>
                <w:sz w:val="18"/>
                <w:szCs w:val="18"/>
              </w:rPr>
              <w:t>Energetici regolamentati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17.411</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+20,0</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+17,0</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+51,6</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+47,7</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+63,0</w:t>
            </w:r>
          </w:p>
        </w:tc>
      </w:tr>
      <w:tr w:rsidR="002C552E" w:rsidRPr="00C8504B" w:rsidTr="007B3359">
        <w:trPr>
          <w:trHeight w:val="255"/>
          <w:tblHeader/>
        </w:trPr>
        <w:tc>
          <w:tcPr>
            <w:tcW w:w="4253" w:type="dxa"/>
            <w:vAlign w:val="center"/>
          </w:tcPr>
          <w:p w:rsidR="002C552E" w:rsidRPr="00C8504B" w:rsidRDefault="002C552E" w:rsidP="002C552E">
            <w:pPr>
              <w:spacing w:before="40" w:after="20"/>
              <w:ind w:firstLine="214"/>
              <w:rPr>
                <w:rFonts w:ascii="Arial Narrow" w:hAnsi="Arial Narrow" w:cs="Arial"/>
                <w:sz w:val="18"/>
                <w:szCs w:val="18"/>
              </w:rPr>
            </w:pPr>
            <w:r w:rsidRPr="00C8504B">
              <w:rPr>
                <w:rFonts w:ascii="Arial Narrow" w:hAnsi="Arial Narrow" w:cs="Arial"/>
                <w:sz w:val="18"/>
                <w:szCs w:val="18"/>
              </w:rPr>
              <w:t>Energetici non regolamentati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75.083</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+28,3</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+1,0</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+79,4</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+41,2</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+44,6</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sz w:val="18"/>
                <w:szCs w:val="18"/>
              </w:rPr>
            </w:pPr>
            <w:r w:rsidRPr="00C8504B">
              <w:rPr>
                <w:rFonts w:ascii="Arial Narrow" w:hAnsi="Arial Narrow" w:cs="Arial"/>
                <w:sz w:val="18"/>
                <w:szCs w:val="18"/>
              </w:rPr>
              <w:t>Tabacchi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22.381</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-0,2</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+0,2</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+0,2</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sz w:val="18"/>
                <w:szCs w:val="18"/>
              </w:rPr>
            </w:pPr>
            <w:r w:rsidRPr="00C8504B">
              <w:rPr>
                <w:rFonts w:ascii="Arial Narrow" w:hAnsi="Arial Narrow" w:cs="Arial"/>
                <w:sz w:val="18"/>
                <w:szCs w:val="18"/>
              </w:rPr>
              <w:t>Altri beni, di cui: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270.978</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+0,6</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+4,6</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+4,0</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+2,9</w:t>
            </w:r>
          </w:p>
        </w:tc>
      </w:tr>
      <w:tr w:rsidR="002C552E" w:rsidRPr="00C8504B" w:rsidTr="007B3359">
        <w:trPr>
          <w:trHeight w:val="255"/>
          <w:tblHeader/>
        </w:trPr>
        <w:tc>
          <w:tcPr>
            <w:tcW w:w="4253" w:type="dxa"/>
            <w:vAlign w:val="center"/>
          </w:tcPr>
          <w:p w:rsidR="002C552E" w:rsidRPr="00C8504B" w:rsidRDefault="002C552E" w:rsidP="002C552E">
            <w:pPr>
              <w:spacing w:before="40" w:after="20"/>
              <w:ind w:firstLine="214"/>
              <w:rPr>
                <w:rFonts w:ascii="Arial Narrow" w:hAnsi="Arial Narrow" w:cs="Arial"/>
                <w:sz w:val="18"/>
                <w:szCs w:val="18"/>
              </w:rPr>
            </w:pPr>
            <w:r w:rsidRPr="00C8504B">
              <w:rPr>
                <w:rFonts w:ascii="Arial Narrow" w:hAnsi="Arial Narrow" w:cs="Arial"/>
                <w:sz w:val="18"/>
                <w:szCs w:val="18"/>
              </w:rPr>
              <w:t>Beni durevoli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105.690</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+0,6</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-0,1</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+5,3</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+4,6</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+3,2</w:t>
            </w:r>
          </w:p>
        </w:tc>
      </w:tr>
      <w:tr w:rsidR="002C552E" w:rsidRPr="00C8504B" w:rsidTr="007B3359">
        <w:trPr>
          <w:trHeight w:val="255"/>
          <w:tblHeader/>
        </w:trPr>
        <w:tc>
          <w:tcPr>
            <w:tcW w:w="4253" w:type="dxa"/>
            <w:vAlign w:val="center"/>
          </w:tcPr>
          <w:p w:rsidR="002C552E" w:rsidRPr="00C8504B" w:rsidRDefault="002C552E" w:rsidP="002C552E">
            <w:pPr>
              <w:spacing w:before="40" w:after="20"/>
              <w:ind w:firstLine="214"/>
              <w:rPr>
                <w:rFonts w:ascii="Arial Narrow" w:hAnsi="Arial Narrow" w:cs="Arial"/>
                <w:sz w:val="18"/>
                <w:szCs w:val="18"/>
              </w:rPr>
            </w:pPr>
            <w:r w:rsidRPr="00C8504B">
              <w:rPr>
                <w:rFonts w:ascii="Arial Narrow" w:hAnsi="Arial Narrow" w:cs="Arial"/>
                <w:sz w:val="18"/>
                <w:szCs w:val="18"/>
              </w:rPr>
              <w:t>Beni non durevoli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70.411</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+0,7</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+5,2</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+4,6</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+3,2</w:t>
            </w:r>
          </w:p>
        </w:tc>
      </w:tr>
      <w:tr w:rsidR="002C552E" w:rsidRPr="00C8504B" w:rsidTr="007B3359">
        <w:trPr>
          <w:trHeight w:val="255"/>
          <w:tblHeader/>
        </w:trPr>
        <w:tc>
          <w:tcPr>
            <w:tcW w:w="4253" w:type="dxa"/>
            <w:vAlign w:val="center"/>
          </w:tcPr>
          <w:p w:rsidR="002C552E" w:rsidRPr="00C8504B" w:rsidRDefault="002C552E" w:rsidP="002C552E">
            <w:pPr>
              <w:spacing w:before="40" w:after="20"/>
              <w:ind w:firstLine="214"/>
              <w:rPr>
                <w:rFonts w:ascii="Arial Narrow" w:hAnsi="Arial Narrow" w:cs="Arial"/>
                <w:sz w:val="18"/>
                <w:szCs w:val="18"/>
              </w:rPr>
            </w:pPr>
            <w:r w:rsidRPr="00C8504B">
              <w:rPr>
                <w:rFonts w:ascii="Arial Narrow" w:hAnsi="Arial Narrow" w:cs="Arial"/>
                <w:sz w:val="18"/>
                <w:szCs w:val="18"/>
              </w:rPr>
              <w:t>Beni semidurevoli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94.877</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+0,5</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+0,1</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+3,2</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+2,8</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+2,1</w:t>
            </w:r>
          </w:p>
        </w:tc>
      </w:tr>
      <w:tr w:rsidR="002C552E" w:rsidRPr="007A2B61" w:rsidTr="007B3359">
        <w:trPr>
          <w:trHeight w:val="255"/>
          <w:tblHeader/>
        </w:trPr>
        <w:tc>
          <w:tcPr>
            <w:tcW w:w="4253" w:type="dxa"/>
            <w:shd w:val="clear" w:color="auto" w:fill="808080"/>
            <w:vAlign w:val="center"/>
          </w:tcPr>
          <w:p w:rsidR="002C552E" w:rsidRPr="007A2B61" w:rsidRDefault="002C552E" w:rsidP="002C552E">
            <w:pPr>
              <w:spacing w:before="40" w:after="20"/>
              <w:rPr>
                <w:rFonts w:ascii="Arial Narrow" w:hAnsi="Arial Narrow" w:cs="Arial"/>
                <w:b/>
                <w:bCs/>
                <w:color w:val="FFFFFF"/>
                <w:sz w:val="18"/>
                <w:szCs w:val="18"/>
              </w:rPr>
            </w:pPr>
            <w:r w:rsidRPr="007A2B61">
              <w:rPr>
                <w:rFonts w:ascii="Arial Narrow" w:hAnsi="Arial Narrow" w:cs="Arial"/>
                <w:b/>
                <w:bCs/>
                <w:color w:val="FFFFFF"/>
                <w:sz w:val="18"/>
                <w:szCs w:val="18"/>
              </w:rPr>
              <w:t>Beni</w:t>
            </w:r>
          </w:p>
        </w:tc>
        <w:tc>
          <w:tcPr>
            <w:tcW w:w="992" w:type="dxa"/>
            <w:shd w:val="clear" w:color="auto" w:fill="808080"/>
            <w:vAlign w:val="center"/>
          </w:tcPr>
          <w:p w:rsidR="002C552E" w:rsidRPr="007A2B61" w:rsidRDefault="002C552E" w:rsidP="002C552E">
            <w:pPr>
              <w:spacing w:before="40" w:after="20"/>
              <w:ind w:right="57"/>
              <w:jc w:val="right"/>
              <w:rPr>
                <w:rFonts w:ascii="Arial Narrow" w:hAnsi="Arial Narrow" w:cs="Arial"/>
                <w:b/>
                <w:bCs/>
                <w:color w:val="FFFFFF"/>
                <w:sz w:val="18"/>
                <w:szCs w:val="18"/>
              </w:rPr>
            </w:pPr>
            <w:r w:rsidRPr="007A2B61">
              <w:rPr>
                <w:rFonts w:ascii="Arial Narrow" w:hAnsi="Arial Narrow" w:cs="Arial"/>
                <w:b/>
                <w:bCs/>
                <w:color w:val="FFFFFF"/>
                <w:sz w:val="18"/>
                <w:szCs w:val="18"/>
              </w:rPr>
              <w:t>581.186</w:t>
            </w:r>
          </w:p>
        </w:tc>
        <w:tc>
          <w:tcPr>
            <w:tcW w:w="978" w:type="dxa"/>
            <w:shd w:val="clear" w:color="auto" w:fill="808080"/>
            <w:tcMar>
              <w:left w:w="142"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+5,9</w:t>
            </w:r>
          </w:p>
        </w:tc>
        <w:tc>
          <w:tcPr>
            <w:tcW w:w="1006" w:type="dxa"/>
            <w:shd w:val="clear" w:color="auto" w:fill="808080"/>
            <w:tcMar>
              <w:lef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+1,2</w:t>
            </w:r>
          </w:p>
        </w:tc>
        <w:tc>
          <w:tcPr>
            <w:tcW w:w="992" w:type="dxa"/>
            <w:shd w:val="clear" w:color="auto" w:fill="808080"/>
            <w:tcMar>
              <w:lef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+17,6</w:t>
            </w:r>
          </w:p>
        </w:tc>
        <w:tc>
          <w:tcPr>
            <w:tcW w:w="983" w:type="dxa"/>
            <w:shd w:val="clear" w:color="auto" w:fill="808080"/>
            <w:tcMar>
              <w:lef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+12,5</w:t>
            </w:r>
          </w:p>
        </w:tc>
        <w:tc>
          <w:tcPr>
            <w:tcW w:w="1002" w:type="dxa"/>
            <w:shd w:val="clear" w:color="auto" w:fill="808080"/>
            <w:tcMar>
              <w:left w:w="284" w:type="dxa"/>
              <w:righ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+11,7</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76.842</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+0,1</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+1,9</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+1,8</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+1,5</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17.859</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+0,1</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+0,1</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+0,2</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r>
      <w:tr w:rsidR="002C552E" w:rsidRPr="00C8504B" w:rsidTr="007B3359">
        <w:trPr>
          <w:trHeight w:val="255"/>
          <w:tblHeader/>
        </w:trPr>
        <w:tc>
          <w:tcPr>
            <w:tcW w:w="4253" w:type="dxa"/>
            <w:vAlign w:val="center"/>
          </w:tcPr>
          <w:p w:rsidR="002C552E" w:rsidRPr="00C8504B" w:rsidRDefault="002C552E" w:rsidP="002C552E">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143.087</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-0,7</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-0,3</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+5,2</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+5,7</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+4,4</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64.440</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-0,8</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-0,7</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+7,2</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+7,2</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+5,6</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116.586</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+0,2</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+1,9</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+1,7</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+1,4</w:t>
            </w:r>
          </w:p>
        </w:tc>
      </w:tr>
      <w:tr w:rsidR="002C552E" w:rsidRPr="007A2B61" w:rsidTr="007B3359">
        <w:trPr>
          <w:trHeight w:val="255"/>
          <w:tblHeader/>
        </w:trPr>
        <w:tc>
          <w:tcPr>
            <w:tcW w:w="4253" w:type="dxa"/>
            <w:shd w:val="clear" w:color="auto" w:fill="808080"/>
            <w:vAlign w:val="center"/>
          </w:tcPr>
          <w:p w:rsidR="002C552E" w:rsidRPr="00C8504B" w:rsidRDefault="002C552E" w:rsidP="002C552E">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992" w:type="dxa"/>
            <w:shd w:val="clear" w:color="auto" w:fill="808080"/>
            <w:vAlign w:val="center"/>
          </w:tcPr>
          <w:p w:rsidR="002C552E" w:rsidRPr="007A2B61" w:rsidRDefault="002C552E" w:rsidP="002C552E">
            <w:pPr>
              <w:spacing w:before="40" w:after="20"/>
              <w:ind w:right="57"/>
              <w:jc w:val="right"/>
              <w:rPr>
                <w:rFonts w:ascii="Arial Narrow" w:hAnsi="Arial Narrow" w:cs="Arial"/>
                <w:b/>
                <w:bCs/>
                <w:color w:val="FFFFFF"/>
                <w:sz w:val="18"/>
                <w:szCs w:val="18"/>
              </w:rPr>
            </w:pPr>
            <w:r w:rsidRPr="007A2B61">
              <w:rPr>
                <w:rFonts w:ascii="Arial Narrow" w:hAnsi="Arial Narrow" w:cs="Arial"/>
                <w:b/>
                <w:bCs/>
                <w:color w:val="FFFFFF"/>
                <w:sz w:val="18"/>
                <w:szCs w:val="18"/>
              </w:rPr>
              <w:t>418.814</w:t>
            </w:r>
          </w:p>
        </w:tc>
        <w:tc>
          <w:tcPr>
            <w:tcW w:w="978" w:type="dxa"/>
            <w:shd w:val="clear" w:color="auto" w:fill="808080"/>
            <w:tcMar>
              <w:left w:w="142"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-0,3</w:t>
            </w:r>
          </w:p>
        </w:tc>
        <w:tc>
          <w:tcPr>
            <w:tcW w:w="1006" w:type="dxa"/>
            <w:shd w:val="clear" w:color="auto" w:fill="808080"/>
            <w:tcMar>
              <w:lef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-0,2</w:t>
            </w:r>
          </w:p>
        </w:tc>
        <w:tc>
          <w:tcPr>
            <w:tcW w:w="992" w:type="dxa"/>
            <w:shd w:val="clear" w:color="auto" w:fill="808080"/>
            <w:tcMar>
              <w:lef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+3,8</w:t>
            </w:r>
          </w:p>
        </w:tc>
        <w:tc>
          <w:tcPr>
            <w:tcW w:w="983" w:type="dxa"/>
            <w:shd w:val="clear" w:color="auto" w:fill="808080"/>
            <w:tcMar>
              <w:lef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+3,9</w:t>
            </w:r>
          </w:p>
        </w:tc>
        <w:tc>
          <w:tcPr>
            <w:tcW w:w="1002" w:type="dxa"/>
            <w:shd w:val="clear" w:color="auto" w:fill="808080"/>
            <w:tcMar>
              <w:left w:w="284" w:type="dxa"/>
              <w:righ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+2,9</w:t>
            </w:r>
          </w:p>
        </w:tc>
      </w:tr>
      <w:tr w:rsidR="002C552E" w:rsidRPr="007A2B61" w:rsidTr="007B3359">
        <w:trPr>
          <w:trHeight w:val="255"/>
          <w:tblHeader/>
        </w:trPr>
        <w:tc>
          <w:tcPr>
            <w:tcW w:w="4253" w:type="dxa"/>
            <w:shd w:val="clear" w:color="auto" w:fill="E42618"/>
            <w:vAlign w:val="center"/>
          </w:tcPr>
          <w:p w:rsidR="002C552E" w:rsidRPr="00C8504B" w:rsidRDefault="002C552E" w:rsidP="002C552E">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992" w:type="dxa"/>
            <w:shd w:val="clear" w:color="auto" w:fill="E42618"/>
            <w:vAlign w:val="center"/>
          </w:tcPr>
          <w:p w:rsidR="002C552E" w:rsidRPr="007A2B61" w:rsidRDefault="002C552E" w:rsidP="002C552E">
            <w:pPr>
              <w:spacing w:before="40" w:after="20"/>
              <w:ind w:right="57"/>
              <w:jc w:val="right"/>
              <w:rPr>
                <w:rFonts w:ascii="Arial Narrow" w:hAnsi="Arial Narrow" w:cs="Arial"/>
                <w:b/>
                <w:bCs/>
                <w:color w:val="FFFFFF"/>
                <w:sz w:val="18"/>
                <w:szCs w:val="18"/>
              </w:rPr>
            </w:pPr>
            <w:r w:rsidRPr="007A2B61">
              <w:rPr>
                <w:rFonts w:ascii="Arial Narrow" w:hAnsi="Arial Narrow" w:cs="Arial"/>
                <w:b/>
                <w:bCs/>
                <w:color w:val="FFFFFF"/>
                <w:sz w:val="18"/>
                <w:szCs w:val="18"/>
              </w:rPr>
              <w:t>1.000.000</w:t>
            </w:r>
          </w:p>
        </w:tc>
        <w:tc>
          <w:tcPr>
            <w:tcW w:w="978" w:type="dxa"/>
            <w:shd w:val="clear" w:color="auto" w:fill="E42618"/>
            <w:tcMar>
              <w:left w:w="142"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+3,4</w:t>
            </w:r>
          </w:p>
        </w:tc>
        <w:tc>
          <w:tcPr>
            <w:tcW w:w="1006" w:type="dxa"/>
            <w:shd w:val="clear" w:color="auto" w:fill="E42618"/>
            <w:tcMar>
              <w:lef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+0,7</w:t>
            </w:r>
          </w:p>
        </w:tc>
        <w:tc>
          <w:tcPr>
            <w:tcW w:w="992" w:type="dxa"/>
            <w:shd w:val="clear" w:color="auto" w:fill="E42618"/>
            <w:tcMar>
              <w:lef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+11,8</w:t>
            </w:r>
          </w:p>
        </w:tc>
        <w:tc>
          <w:tcPr>
            <w:tcW w:w="983" w:type="dxa"/>
            <w:shd w:val="clear" w:color="auto" w:fill="E42618"/>
            <w:tcMar>
              <w:lef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+8,9</w:t>
            </w:r>
          </w:p>
        </w:tc>
        <w:tc>
          <w:tcPr>
            <w:tcW w:w="1002" w:type="dxa"/>
            <w:shd w:val="clear" w:color="auto" w:fill="E42618"/>
            <w:tcMar>
              <w:left w:w="284" w:type="dxa"/>
              <w:right w:w="85" w:type="dxa"/>
            </w:tcMar>
            <w:vAlign w:val="center"/>
          </w:tcPr>
          <w:p w:rsidR="002C552E" w:rsidRPr="002C552E" w:rsidRDefault="002C552E" w:rsidP="002C552E">
            <w:pPr>
              <w:spacing w:before="40" w:after="20"/>
              <w:ind w:right="57"/>
              <w:jc w:val="right"/>
              <w:rPr>
                <w:rFonts w:ascii="Arial Narrow" w:hAnsi="Arial Narrow" w:cs="Arial"/>
                <w:b/>
                <w:bCs/>
                <w:color w:val="FFFFFF"/>
                <w:sz w:val="18"/>
                <w:szCs w:val="18"/>
              </w:rPr>
            </w:pPr>
            <w:r w:rsidRPr="002C552E">
              <w:rPr>
                <w:rFonts w:ascii="Arial Narrow" w:hAnsi="Arial Narrow" w:cs="Arial"/>
                <w:b/>
                <w:bCs/>
                <w:color w:val="FFFFFF"/>
                <w:sz w:val="18"/>
                <w:szCs w:val="18"/>
              </w:rPr>
              <w:t>+8,0</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 e alimentari freschi (Componente di fondo)</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832.220</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+0,2</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-0,1</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+5,3</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+5,0</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+3,7</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689.792</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-0,2</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+4,2</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+3,9</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+3,0</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907.506</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+0,5</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0,0</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+5,9</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+5,5</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+4,0</w:t>
            </w:r>
          </w:p>
        </w:tc>
      </w:tr>
      <w:tr w:rsidR="002C552E" w:rsidRPr="00C8504B" w:rsidTr="007B3359">
        <w:trPr>
          <w:trHeight w:val="255"/>
          <w:tblHeader/>
        </w:trPr>
        <w:tc>
          <w:tcPr>
            <w:tcW w:w="4253" w:type="dxa"/>
            <w:vAlign w:val="center"/>
          </w:tcPr>
          <w:p w:rsidR="002C552E" w:rsidRPr="00C8504B" w:rsidRDefault="002C552E" w:rsidP="002C552E">
            <w:pPr>
              <w:spacing w:before="40" w:after="20"/>
              <w:ind w:left="-68"/>
              <w:rPr>
                <w:rFonts w:ascii="Arial Narrow" w:hAnsi="Arial Narrow" w:cs="Arial"/>
                <w:bCs/>
                <w:sz w:val="18"/>
                <w:szCs w:val="18"/>
              </w:rPr>
            </w:pPr>
            <w:r w:rsidRPr="00C8504B">
              <w:rPr>
                <w:rFonts w:ascii="Arial Narrow" w:hAnsi="Arial Narrow" w:cs="Arial"/>
                <w:bCs/>
                <w:sz w:val="18"/>
                <w:szCs w:val="18"/>
              </w:rPr>
              <w:t>Indice dei beni alimentari, per la cura della casa e della persona</w:t>
            </w:r>
          </w:p>
        </w:tc>
        <w:tc>
          <w:tcPr>
            <w:tcW w:w="992" w:type="dxa"/>
            <w:shd w:val="clear" w:color="auto" w:fill="D9D9D9"/>
            <w:vAlign w:val="center"/>
          </w:tcPr>
          <w:p w:rsidR="002C552E" w:rsidRPr="009612C2" w:rsidRDefault="002C552E" w:rsidP="002C552E">
            <w:pPr>
              <w:spacing w:before="40" w:after="20"/>
              <w:ind w:left="-68" w:right="57"/>
              <w:jc w:val="right"/>
              <w:rPr>
                <w:rFonts w:ascii="Arial Narrow" w:hAnsi="Arial Narrow" w:cs="Arial"/>
                <w:sz w:val="18"/>
                <w:szCs w:val="18"/>
              </w:rPr>
            </w:pPr>
            <w:r w:rsidRPr="009612C2">
              <w:rPr>
                <w:rFonts w:ascii="Arial Narrow" w:hAnsi="Arial Narrow" w:cs="Arial"/>
                <w:sz w:val="18"/>
                <w:szCs w:val="18"/>
              </w:rPr>
              <w:t>220.483</w:t>
            </w:r>
          </w:p>
        </w:tc>
        <w:tc>
          <w:tcPr>
            <w:tcW w:w="978" w:type="dxa"/>
            <w:tcMar>
              <w:left w:w="142"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+1,8</w:t>
            </w:r>
          </w:p>
        </w:tc>
        <w:tc>
          <w:tcPr>
            <w:tcW w:w="1006"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+0,3</w:t>
            </w:r>
          </w:p>
        </w:tc>
        <w:tc>
          <w:tcPr>
            <w:tcW w:w="992" w:type="dxa"/>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+12,6</w:t>
            </w:r>
          </w:p>
        </w:tc>
        <w:tc>
          <w:tcPr>
            <w:tcW w:w="983" w:type="dxa"/>
            <w:shd w:val="clear" w:color="auto" w:fill="D9D9D9"/>
            <w:tcMar>
              <w:lef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+10,9</w:t>
            </w:r>
          </w:p>
        </w:tc>
        <w:tc>
          <w:tcPr>
            <w:tcW w:w="1002" w:type="dxa"/>
            <w:shd w:val="clear" w:color="auto" w:fill="auto"/>
            <w:tcMar>
              <w:left w:w="284" w:type="dxa"/>
              <w:right w:w="85" w:type="dxa"/>
            </w:tcMar>
            <w:vAlign w:val="center"/>
          </w:tcPr>
          <w:p w:rsidR="002C552E" w:rsidRPr="002C552E" w:rsidRDefault="002C552E" w:rsidP="002C552E">
            <w:pPr>
              <w:spacing w:before="40" w:after="20"/>
              <w:ind w:left="-68" w:right="57"/>
              <w:jc w:val="right"/>
              <w:rPr>
                <w:rFonts w:ascii="Arial Narrow" w:hAnsi="Arial Narrow" w:cs="Arial"/>
                <w:sz w:val="18"/>
                <w:szCs w:val="18"/>
              </w:rPr>
            </w:pPr>
            <w:r w:rsidRPr="002C552E">
              <w:rPr>
                <w:rFonts w:ascii="Arial Narrow" w:hAnsi="Arial Narrow" w:cs="Arial"/>
                <w:sz w:val="18"/>
                <w:szCs w:val="18"/>
              </w:rPr>
              <w:t>+8,1</w:t>
            </w:r>
          </w:p>
        </w:tc>
      </w:tr>
    </w:tbl>
    <w:p w:rsidR="00DF75E8" w:rsidRDefault="00DF75E8" w:rsidP="00DF75E8">
      <w:pPr>
        <w:spacing w:before="0"/>
        <w:jc w:val="both"/>
        <w:rPr>
          <w:rFonts w:ascii="Arial" w:hAnsi="Arial" w:cs="Arial"/>
          <w:color w:val="000000"/>
          <w:kern w:val="0"/>
          <w:sz w:val="21"/>
          <w:szCs w:val="21"/>
        </w:rPr>
      </w:pPr>
      <w:r w:rsidRPr="000E726B">
        <w:rPr>
          <w:rFonts w:ascii="Arial" w:hAnsi="Arial" w:cs="Arial"/>
          <w:color w:val="000000"/>
          <w:kern w:val="0"/>
          <w:sz w:val="21"/>
          <w:szCs w:val="21"/>
        </w:rPr>
        <w:lastRenderedPageBreak/>
        <w:t>L</w:t>
      </w:r>
      <w:r>
        <w:rPr>
          <w:rFonts w:ascii="Arial" w:hAnsi="Arial" w:cs="Arial"/>
          <w:color w:val="000000"/>
          <w:kern w:val="0"/>
          <w:sz w:val="21"/>
          <w:szCs w:val="21"/>
        </w:rPr>
        <w:t>a dinamica de</w:t>
      </w:r>
      <w:r w:rsidRPr="000E726B">
        <w:rPr>
          <w:rFonts w:ascii="Arial" w:hAnsi="Arial" w:cs="Arial"/>
          <w:color w:val="000000"/>
          <w:kern w:val="0"/>
          <w:sz w:val="21"/>
          <w:szCs w:val="21"/>
        </w:rPr>
        <w:t xml:space="preserve">i prezzi degli Energetici non regolamentati </w:t>
      </w:r>
      <w:r>
        <w:rPr>
          <w:rFonts w:ascii="Arial" w:hAnsi="Arial" w:cs="Arial"/>
          <w:color w:val="000000"/>
          <w:kern w:val="0"/>
          <w:sz w:val="21"/>
          <w:szCs w:val="21"/>
        </w:rPr>
        <w:t>si deve</w:t>
      </w:r>
      <w:r w:rsidRPr="000E726B">
        <w:rPr>
          <w:rFonts w:ascii="Arial" w:hAnsi="Arial" w:cs="Arial"/>
          <w:color w:val="000000"/>
          <w:kern w:val="0"/>
          <w:sz w:val="21"/>
          <w:szCs w:val="21"/>
        </w:rPr>
        <w:t xml:space="preserve"> </w:t>
      </w:r>
      <w:r>
        <w:rPr>
          <w:rFonts w:ascii="Arial" w:hAnsi="Arial" w:cs="Arial"/>
          <w:color w:val="000000"/>
          <w:kern w:val="0"/>
          <w:sz w:val="21"/>
          <w:szCs w:val="21"/>
        </w:rPr>
        <w:t xml:space="preserve">all’impennata su base annua dei prezzi </w:t>
      </w:r>
      <w:r w:rsidRPr="000E726B">
        <w:rPr>
          <w:rFonts w:ascii="Arial" w:hAnsi="Arial" w:cs="Arial"/>
          <w:color w:val="000000"/>
          <w:kern w:val="0"/>
          <w:sz w:val="21"/>
          <w:szCs w:val="21"/>
        </w:rPr>
        <w:t>dell’Energia elettrica mercato libero (da +</w:t>
      </w:r>
      <w:r>
        <w:rPr>
          <w:rFonts w:ascii="Arial" w:hAnsi="Arial" w:cs="Arial"/>
          <w:color w:val="000000"/>
          <w:kern w:val="0"/>
          <w:sz w:val="21"/>
          <w:szCs w:val="21"/>
        </w:rPr>
        <w:t>136,7</w:t>
      </w:r>
      <w:r w:rsidRPr="000E726B">
        <w:rPr>
          <w:rFonts w:ascii="Arial" w:hAnsi="Arial" w:cs="Arial"/>
          <w:color w:val="000000"/>
          <w:kern w:val="0"/>
          <w:sz w:val="21"/>
          <w:szCs w:val="21"/>
        </w:rPr>
        <w:t>%</w:t>
      </w:r>
      <w:r>
        <w:rPr>
          <w:rFonts w:ascii="Arial" w:hAnsi="Arial" w:cs="Arial"/>
          <w:color w:val="000000"/>
          <w:kern w:val="0"/>
          <w:sz w:val="21"/>
          <w:szCs w:val="21"/>
        </w:rPr>
        <w:t xml:space="preserve"> di settembre</w:t>
      </w:r>
      <w:r w:rsidRPr="000E726B">
        <w:rPr>
          <w:rFonts w:ascii="Arial" w:hAnsi="Arial" w:cs="Arial"/>
          <w:color w:val="000000"/>
          <w:kern w:val="0"/>
          <w:sz w:val="21"/>
          <w:szCs w:val="21"/>
        </w:rPr>
        <w:t xml:space="preserve"> a +</w:t>
      </w:r>
      <w:r>
        <w:rPr>
          <w:rFonts w:ascii="Arial" w:hAnsi="Arial" w:cs="Arial"/>
          <w:color w:val="000000"/>
          <w:kern w:val="0"/>
          <w:sz w:val="21"/>
          <w:szCs w:val="21"/>
        </w:rPr>
        <w:t>329,0</w:t>
      </w:r>
      <w:r w:rsidRPr="000E726B">
        <w:rPr>
          <w:rFonts w:ascii="Arial" w:hAnsi="Arial" w:cs="Arial"/>
          <w:color w:val="000000"/>
          <w:kern w:val="0"/>
          <w:sz w:val="21"/>
          <w:szCs w:val="21"/>
        </w:rPr>
        <w:t>%</w:t>
      </w:r>
      <w:r>
        <w:rPr>
          <w:rFonts w:ascii="Arial" w:hAnsi="Arial" w:cs="Arial"/>
          <w:color w:val="000000"/>
          <w:kern w:val="0"/>
          <w:sz w:val="21"/>
          <w:szCs w:val="21"/>
        </w:rPr>
        <w:t>) che risente della differenza tra la variazione congiunturale di ottobre 2022 (</w:t>
      </w:r>
      <w:r w:rsidRPr="000E726B">
        <w:rPr>
          <w:rFonts w:ascii="Arial" w:hAnsi="Arial" w:cs="Arial"/>
          <w:color w:val="000000"/>
          <w:kern w:val="0"/>
          <w:sz w:val="21"/>
          <w:szCs w:val="21"/>
        </w:rPr>
        <w:t>+</w:t>
      </w:r>
      <w:r>
        <w:rPr>
          <w:rFonts w:ascii="Arial" w:hAnsi="Arial" w:cs="Arial"/>
          <w:color w:val="000000"/>
          <w:kern w:val="0"/>
          <w:sz w:val="21"/>
          <w:szCs w:val="21"/>
        </w:rPr>
        <w:t>62,7</w:t>
      </w:r>
      <w:r w:rsidRPr="000E726B">
        <w:rPr>
          <w:rFonts w:ascii="Arial" w:hAnsi="Arial" w:cs="Arial"/>
          <w:color w:val="000000"/>
          <w:kern w:val="0"/>
          <w:sz w:val="21"/>
          <w:szCs w:val="21"/>
        </w:rPr>
        <w:t>%</w:t>
      </w:r>
      <w:r>
        <w:rPr>
          <w:rFonts w:ascii="Arial" w:hAnsi="Arial" w:cs="Arial"/>
          <w:color w:val="000000"/>
          <w:kern w:val="0"/>
          <w:sz w:val="21"/>
          <w:szCs w:val="21"/>
        </w:rPr>
        <w:t xml:space="preserve">) e quella di ottobre 2021 (-10,2%); aumentano su base mensile anche i prezzi </w:t>
      </w:r>
      <w:r w:rsidRPr="000E726B">
        <w:rPr>
          <w:rFonts w:ascii="Arial" w:hAnsi="Arial" w:cs="Arial"/>
          <w:color w:val="000000"/>
          <w:kern w:val="0"/>
          <w:sz w:val="21"/>
          <w:szCs w:val="21"/>
        </w:rPr>
        <w:t xml:space="preserve">del Gas di città e gas naturale mercato libero </w:t>
      </w:r>
      <w:r>
        <w:rPr>
          <w:rFonts w:ascii="Arial" w:hAnsi="Arial" w:cs="Arial"/>
          <w:color w:val="000000"/>
          <w:kern w:val="0"/>
          <w:sz w:val="21"/>
          <w:szCs w:val="21"/>
        </w:rPr>
        <w:t xml:space="preserve">(+63,5%). Accelerano poi i prezzi dei Combustibili solidi (da +16,3% a +24,7%; +7,5% sul mese), mentre decelerano quelli </w:t>
      </w:r>
      <w:r w:rsidRPr="000E726B">
        <w:rPr>
          <w:rFonts w:ascii="Arial" w:hAnsi="Arial" w:cs="Arial"/>
          <w:color w:val="000000"/>
          <w:kern w:val="0"/>
          <w:sz w:val="21"/>
          <w:szCs w:val="21"/>
        </w:rPr>
        <w:t>del Gasolio per mezzi di trasporto (da +</w:t>
      </w:r>
      <w:r>
        <w:rPr>
          <w:rFonts w:ascii="Arial" w:hAnsi="Arial" w:cs="Arial"/>
          <w:color w:val="000000"/>
          <w:kern w:val="0"/>
          <w:sz w:val="21"/>
          <w:szCs w:val="21"/>
        </w:rPr>
        <w:t>19,8</w:t>
      </w:r>
      <w:r w:rsidRPr="000E726B">
        <w:rPr>
          <w:rFonts w:ascii="Arial" w:hAnsi="Arial" w:cs="Arial"/>
          <w:color w:val="000000"/>
          <w:kern w:val="0"/>
          <w:sz w:val="21"/>
          <w:szCs w:val="21"/>
        </w:rPr>
        <w:t>% a +</w:t>
      </w:r>
      <w:r>
        <w:rPr>
          <w:rFonts w:ascii="Arial" w:hAnsi="Arial" w:cs="Arial"/>
          <w:color w:val="000000"/>
          <w:kern w:val="0"/>
          <w:sz w:val="21"/>
          <w:szCs w:val="21"/>
        </w:rPr>
        <w:t>16,8%; +1,0</w:t>
      </w:r>
      <w:r w:rsidRPr="000E726B">
        <w:rPr>
          <w:rFonts w:ascii="Arial" w:hAnsi="Arial" w:cs="Arial"/>
          <w:color w:val="000000"/>
          <w:kern w:val="0"/>
          <w:sz w:val="21"/>
          <w:szCs w:val="21"/>
        </w:rPr>
        <w:t xml:space="preserve">% </w:t>
      </w:r>
      <w:r>
        <w:rPr>
          <w:rFonts w:ascii="Arial" w:hAnsi="Arial" w:cs="Arial"/>
          <w:color w:val="000000"/>
          <w:kern w:val="0"/>
          <w:sz w:val="21"/>
          <w:szCs w:val="21"/>
        </w:rPr>
        <w:t>il congiunturale</w:t>
      </w:r>
      <w:r w:rsidRPr="000E726B">
        <w:rPr>
          <w:rFonts w:ascii="Arial" w:hAnsi="Arial" w:cs="Arial"/>
          <w:color w:val="000000"/>
          <w:kern w:val="0"/>
          <w:sz w:val="21"/>
          <w:szCs w:val="21"/>
        </w:rPr>
        <w:t>)</w:t>
      </w:r>
      <w:r>
        <w:rPr>
          <w:rFonts w:ascii="Arial" w:hAnsi="Arial" w:cs="Arial"/>
          <w:color w:val="000000"/>
          <w:kern w:val="0"/>
          <w:sz w:val="21"/>
          <w:szCs w:val="21"/>
        </w:rPr>
        <w:t>, del Gasolio per riscaldamento</w:t>
      </w:r>
      <w:r w:rsidRPr="000E726B">
        <w:rPr>
          <w:rFonts w:ascii="Arial" w:hAnsi="Arial" w:cs="Arial"/>
          <w:color w:val="000000"/>
          <w:kern w:val="0"/>
          <w:sz w:val="21"/>
          <w:szCs w:val="21"/>
        </w:rPr>
        <w:t xml:space="preserve"> (da +</w:t>
      </w:r>
      <w:r>
        <w:rPr>
          <w:rFonts w:ascii="Arial" w:hAnsi="Arial" w:cs="Arial"/>
          <w:color w:val="000000"/>
          <w:kern w:val="0"/>
          <w:sz w:val="21"/>
          <w:szCs w:val="21"/>
        </w:rPr>
        <w:t>43,6</w:t>
      </w:r>
      <w:r w:rsidRPr="000E726B">
        <w:rPr>
          <w:rFonts w:ascii="Arial" w:hAnsi="Arial" w:cs="Arial"/>
          <w:color w:val="000000"/>
          <w:kern w:val="0"/>
          <w:sz w:val="21"/>
          <w:szCs w:val="21"/>
        </w:rPr>
        <w:t>% a +</w:t>
      </w:r>
      <w:r>
        <w:rPr>
          <w:rFonts w:ascii="Arial" w:hAnsi="Arial" w:cs="Arial"/>
          <w:color w:val="000000"/>
          <w:kern w:val="0"/>
          <w:sz w:val="21"/>
          <w:szCs w:val="21"/>
        </w:rPr>
        <w:t>36,4</w:t>
      </w:r>
      <w:r w:rsidRPr="000E726B">
        <w:rPr>
          <w:rFonts w:ascii="Arial" w:hAnsi="Arial" w:cs="Arial"/>
          <w:color w:val="000000"/>
          <w:kern w:val="0"/>
          <w:sz w:val="21"/>
          <w:szCs w:val="21"/>
        </w:rPr>
        <w:t xml:space="preserve">%; </w:t>
      </w:r>
      <w:r>
        <w:rPr>
          <w:rFonts w:ascii="Arial" w:hAnsi="Arial" w:cs="Arial"/>
          <w:color w:val="000000"/>
          <w:kern w:val="0"/>
          <w:sz w:val="21"/>
          <w:szCs w:val="21"/>
        </w:rPr>
        <w:t>+0,1</w:t>
      </w:r>
      <w:r w:rsidRPr="000E726B">
        <w:rPr>
          <w:rFonts w:ascii="Arial" w:hAnsi="Arial" w:cs="Arial"/>
          <w:color w:val="000000"/>
          <w:kern w:val="0"/>
          <w:sz w:val="21"/>
          <w:szCs w:val="21"/>
        </w:rPr>
        <w:t>% da</w:t>
      </w:r>
      <w:r>
        <w:rPr>
          <w:rFonts w:ascii="Arial" w:hAnsi="Arial" w:cs="Arial"/>
          <w:color w:val="000000"/>
          <w:kern w:val="0"/>
          <w:sz w:val="21"/>
          <w:szCs w:val="21"/>
        </w:rPr>
        <w:t xml:space="preserve"> settembre) e invertono la tendenza quelli della Benzina (da +3,3% a -2,2%; -2,5% sul mese).</w:t>
      </w:r>
    </w:p>
    <w:p w:rsidR="00DF75E8" w:rsidRDefault="00DF75E8" w:rsidP="00DF75E8">
      <w:pPr>
        <w:spacing w:before="0"/>
        <w:jc w:val="both"/>
        <w:rPr>
          <w:rFonts w:ascii="Arial" w:hAnsi="Arial" w:cs="Arial"/>
          <w:color w:val="000000"/>
          <w:kern w:val="0"/>
          <w:sz w:val="21"/>
          <w:szCs w:val="21"/>
        </w:rPr>
      </w:pPr>
      <w:r>
        <w:rPr>
          <w:rFonts w:ascii="Arial" w:hAnsi="Arial" w:cs="Arial"/>
          <w:sz w:val="21"/>
          <w:szCs w:val="21"/>
        </w:rPr>
        <w:t xml:space="preserve">Contribuiscono all’accelerazione </w:t>
      </w:r>
      <w:r w:rsidRPr="00D06CC3">
        <w:rPr>
          <w:rFonts w:ascii="Arial" w:hAnsi="Arial" w:cs="Arial"/>
          <w:sz w:val="21"/>
          <w:szCs w:val="21"/>
        </w:rPr>
        <w:t xml:space="preserve">dei prezzi dei beni </w:t>
      </w:r>
      <w:r>
        <w:rPr>
          <w:rFonts w:ascii="Arial" w:hAnsi="Arial" w:cs="Arial"/>
          <w:sz w:val="21"/>
          <w:szCs w:val="21"/>
        </w:rPr>
        <w:t>anche quelli dei Beni alimentari (da +11,4</w:t>
      </w:r>
      <w:r w:rsidRPr="00AE4A1B">
        <w:rPr>
          <w:rFonts w:ascii="Arial" w:hAnsi="Arial" w:cs="Arial"/>
          <w:sz w:val="21"/>
          <w:szCs w:val="21"/>
        </w:rPr>
        <w:t>% a +</w:t>
      </w:r>
      <w:r>
        <w:rPr>
          <w:rFonts w:ascii="Arial" w:hAnsi="Arial" w:cs="Arial"/>
          <w:sz w:val="21"/>
          <w:szCs w:val="21"/>
        </w:rPr>
        <w:t>13,1%; +1,9% il congiunturale), sia lavorati (da +11,4% a +13,3%; +1,6% rispetto al mese precedente</w:t>
      </w:r>
      <w:r>
        <w:rPr>
          <w:rFonts w:ascii="Arial" w:hAnsi="Arial" w:cs="Arial"/>
          <w:color w:val="000000"/>
          <w:kern w:val="0"/>
          <w:sz w:val="21"/>
          <w:szCs w:val="21"/>
        </w:rPr>
        <w:t xml:space="preserve">) sia non lavorati (da +11,0% a +12,9%; +2,4% da settembre); per quest’ultimo aggregato da segnalare l’accelerazione dei prezzi dei </w:t>
      </w:r>
      <w:r w:rsidRPr="00546C38">
        <w:rPr>
          <w:rFonts w:ascii="Arial" w:hAnsi="Arial" w:cs="Arial"/>
          <w:color w:val="000000"/>
          <w:kern w:val="0"/>
          <w:sz w:val="21"/>
          <w:szCs w:val="21"/>
        </w:rPr>
        <w:t xml:space="preserve">Vegetali freschi o refrigerati diversi dalle patate </w:t>
      </w:r>
      <w:r>
        <w:rPr>
          <w:rFonts w:ascii="Arial" w:hAnsi="Arial" w:cs="Arial"/>
          <w:color w:val="000000"/>
          <w:kern w:val="0"/>
          <w:sz w:val="21"/>
          <w:szCs w:val="21"/>
        </w:rPr>
        <w:t xml:space="preserve">(da +16,7% a +25,1%; +8,2% su base mensile), mentre rallentano quelli della </w:t>
      </w:r>
      <w:r w:rsidRPr="00546C38">
        <w:rPr>
          <w:rFonts w:ascii="Arial" w:hAnsi="Arial" w:cs="Arial"/>
          <w:color w:val="000000"/>
          <w:kern w:val="0"/>
          <w:sz w:val="21"/>
          <w:szCs w:val="21"/>
        </w:rPr>
        <w:t>Frutta fresca o refrigerata</w:t>
      </w:r>
      <w:r>
        <w:rPr>
          <w:rFonts w:ascii="Arial" w:hAnsi="Arial" w:cs="Arial"/>
          <w:color w:val="000000"/>
          <w:kern w:val="0"/>
          <w:sz w:val="21"/>
          <w:szCs w:val="21"/>
        </w:rPr>
        <w:t xml:space="preserve"> (da +7,9% a +6,4%; +0,6% rispetto a settembre).</w:t>
      </w:r>
      <w:r w:rsidRPr="003C0B11">
        <w:rPr>
          <w:rFonts w:ascii="Arial" w:hAnsi="Arial" w:cs="Arial"/>
          <w:color w:val="000000"/>
          <w:kern w:val="0"/>
          <w:sz w:val="21"/>
          <w:szCs w:val="21"/>
        </w:rPr>
        <w:t xml:space="preserve"> </w:t>
      </w:r>
      <w:r>
        <w:rPr>
          <w:rFonts w:ascii="Arial" w:hAnsi="Arial" w:cs="Arial"/>
          <w:color w:val="000000"/>
          <w:kern w:val="0"/>
          <w:sz w:val="21"/>
          <w:szCs w:val="21"/>
        </w:rPr>
        <w:t xml:space="preserve">In </w:t>
      </w:r>
      <w:r w:rsidRPr="00546C38">
        <w:rPr>
          <w:rFonts w:ascii="Arial" w:hAnsi="Arial" w:cs="Arial"/>
          <w:color w:val="000000"/>
          <w:kern w:val="0"/>
          <w:sz w:val="21"/>
          <w:szCs w:val="21"/>
        </w:rPr>
        <w:t xml:space="preserve">accelerazione anche </w:t>
      </w:r>
      <w:r>
        <w:rPr>
          <w:rFonts w:ascii="Arial" w:hAnsi="Arial" w:cs="Arial"/>
          <w:color w:val="000000"/>
          <w:kern w:val="0"/>
          <w:sz w:val="21"/>
          <w:szCs w:val="21"/>
        </w:rPr>
        <w:t>i prezzi</w:t>
      </w:r>
      <w:r w:rsidRPr="00546C38">
        <w:rPr>
          <w:rFonts w:ascii="Arial" w:hAnsi="Arial" w:cs="Arial"/>
          <w:color w:val="000000"/>
          <w:kern w:val="0"/>
          <w:sz w:val="21"/>
          <w:szCs w:val="21"/>
        </w:rPr>
        <w:t xml:space="preserve"> degli Altri beni (da +</w:t>
      </w:r>
      <w:r>
        <w:rPr>
          <w:rFonts w:ascii="Arial" w:hAnsi="Arial" w:cs="Arial"/>
          <w:color w:val="000000"/>
          <w:kern w:val="0"/>
          <w:sz w:val="21"/>
          <w:szCs w:val="21"/>
        </w:rPr>
        <w:t>4,0% a +4,6</w:t>
      </w:r>
      <w:r w:rsidRPr="00546C38">
        <w:rPr>
          <w:rFonts w:ascii="Arial" w:hAnsi="Arial" w:cs="Arial"/>
          <w:color w:val="000000"/>
          <w:kern w:val="0"/>
          <w:sz w:val="21"/>
          <w:szCs w:val="21"/>
        </w:rPr>
        <w:t>%; +0,</w:t>
      </w:r>
      <w:r>
        <w:rPr>
          <w:rFonts w:ascii="Arial" w:hAnsi="Arial" w:cs="Arial"/>
          <w:color w:val="000000"/>
          <w:kern w:val="0"/>
          <w:sz w:val="21"/>
          <w:szCs w:val="21"/>
        </w:rPr>
        <w:t>6</w:t>
      </w:r>
      <w:r w:rsidRPr="00546C38">
        <w:rPr>
          <w:rFonts w:ascii="Arial" w:hAnsi="Arial" w:cs="Arial"/>
          <w:color w:val="000000"/>
          <w:kern w:val="0"/>
          <w:sz w:val="21"/>
          <w:szCs w:val="21"/>
        </w:rPr>
        <w:t>% su</w:t>
      </w:r>
      <w:r>
        <w:rPr>
          <w:rFonts w:ascii="Arial" w:hAnsi="Arial" w:cs="Arial"/>
          <w:color w:val="000000"/>
          <w:kern w:val="0"/>
          <w:sz w:val="21"/>
          <w:szCs w:val="21"/>
        </w:rPr>
        <w:t>l mese</w:t>
      </w:r>
      <w:r w:rsidRPr="00546C38">
        <w:rPr>
          <w:rFonts w:ascii="Arial" w:hAnsi="Arial" w:cs="Arial"/>
          <w:color w:val="000000"/>
          <w:kern w:val="0"/>
          <w:sz w:val="21"/>
          <w:szCs w:val="21"/>
        </w:rPr>
        <w:t>) e di tutti gli aggregati che ne fanno parte e quindi dei p</w:t>
      </w:r>
      <w:r>
        <w:rPr>
          <w:rFonts w:ascii="Arial" w:hAnsi="Arial" w:cs="Arial"/>
          <w:color w:val="000000"/>
          <w:kern w:val="0"/>
          <w:sz w:val="21"/>
          <w:szCs w:val="21"/>
        </w:rPr>
        <w:t>rezzi dei Beni durevoli (da +4,6</w:t>
      </w:r>
      <w:r w:rsidRPr="00546C38">
        <w:rPr>
          <w:rFonts w:ascii="Arial" w:hAnsi="Arial" w:cs="Arial"/>
          <w:color w:val="000000"/>
          <w:kern w:val="0"/>
          <w:sz w:val="21"/>
          <w:szCs w:val="21"/>
        </w:rPr>
        <w:t>% a +</w:t>
      </w:r>
      <w:r>
        <w:rPr>
          <w:rFonts w:ascii="Arial" w:hAnsi="Arial" w:cs="Arial"/>
          <w:color w:val="000000"/>
          <w:kern w:val="0"/>
          <w:sz w:val="21"/>
          <w:szCs w:val="21"/>
        </w:rPr>
        <w:t>5,3%; +0,6</w:t>
      </w:r>
      <w:r w:rsidRPr="00546C38">
        <w:rPr>
          <w:rFonts w:ascii="Arial" w:hAnsi="Arial" w:cs="Arial"/>
          <w:color w:val="000000"/>
          <w:kern w:val="0"/>
          <w:sz w:val="21"/>
          <w:szCs w:val="21"/>
        </w:rPr>
        <w:t xml:space="preserve">% </w:t>
      </w:r>
      <w:r>
        <w:rPr>
          <w:rFonts w:ascii="Arial" w:hAnsi="Arial" w:cs="Arial"/>
          <w:color w:val="000000"/>
          <w:kern w:val="0"/>
          <w:sz w:val="21"/>
          <w:szCs w:val="21"/>
        </w:rPr>
        <w:t>da settembre</w:t>
      </w:r>
      <w:r w:rsidRPr="00546C38">
        <w:rPr>
          <w:rFonts w:ascii="Arial" w:hAnsi="Arial" w:cs="Arial"/>
          <w:color w:val="000000"/>
          <w:kern w:val="0"/>
          <w:sz w:val="21"/>
          <w:szCs w:val="21"/>
        </w:rPr>
        <w:t>), dei Beni non durevoli (da +4,6% a +</w:t>
      </w:r>
      <w:r>
        <w:rPr>
          <w:rFonts w:ascii="Arial" w:hAnsi="Arial" w:cs="Arial"/>
          <w:color w:val="000000"/>
          <w:kern w:val="0"/>
          <w:sz w:val="21"/>
          <w:szCs w:val="21"/>
        </w:rPr>
        <w:t>5,2%; +0,7</w:t>
      </w:r>
      <w:r w:rsidRPr="00546C38">
        <w:rPr>
          <w:rFonts w:ascii="Arial" w:hAnsi="Arial" w:cs="Arial"/>
          <w:color w:val="000000"/>
          <w:kern w:val="0"/>
          <w:sz w:val="21"/>
          <w:szCs w:val="21"/>
        </w:rPr>
        <w:t>% il congiunturale) e dei Beni semidurevoli (da +2,</w:t>
      </w:r>
      <w:r>
        <w:rPr>
          <w:rFonts w:ascii="Arial" w:hAnsi="Arial" w:cs="Arial"/>
          <w:color w:val="000000"/>
          <w:kern w:val="0"/>
          <w:sz w:val="21"/>
          <w:szCs w:val="21"/>
        </w:rPr>
        <w:t>8</w:t>
      </w:r>
      <w:r w:rsidRPr="00546C38">
        <w:rPr>
          <w:rFonts w:ascii="Arial" w:hAnsi="Arial" w:cs="Arial"/>
          <w:color w:val="000000"/>
          <w:kern w:val="0"/>
          <w:sz w:val="21"/>
          <w:szCs w:val="21"/>
        </w:rPr>
        <w:t>% a +</w:t>
      </w:r>
      <w:r>
        <w:rPr>
          <w:rFonts w:ascii="Arial" w:hAnsi="Arial" w:cs="Arial"/>
          <w:color w:val="000000"/>
          <w:kern w:val="0"/>
          <w:sz w:val="21"/>
          <w:szCs w:val="21"/>
        </w:rPr>
        <w:t>3,2</w:t>
      </w:r>
      <w:r w:rsidRPr="00546C38">
        <w:rPr>
          <w:rFonts w:ascii="Arial" w:hAnsi="Arial" w:cs="Arial"/>
          <w:color w:val="000000"/>
          <w:kern w:val="0"/>
          <w:sz w:val="21"/>
          <w:szCs w:val="21"/>
        </w:rPr>
        <w:t>%; +</w:t>
      </w:r>
      <w:r>
        <w:rPr>
          <w:rFonts w:ascii="Arial" w:hAnsi="Arial" w:cs="Arial"/>
          <w:color w:val="000000"/>
          <w:kern w:val="0"/>
          <w:sz w:val="21"/>
          <w:szCs w:val="21"/>
        </w:rPr>
        <w:t>0,5</w:t>
      </w:r>
      <w:r w:rsidRPr="00546C38">
        <w:rPr>
          <w:rFonts w:ascii="Arial" w:hAnsi="Arial" w:cs="Arial"/>
          <w:color w:val="000000"/>
          <w:kern w:val="0"/>
          <w:sz w:val="21"/>
          <w:szCs w:val="21"/>
        </w:rPr>
        <w:t>% sul mese).</w:t>
      </w:r>
    </w:p>
    <w:p w:rsidR="00DF75E8" w:rsidRDefault="00DF75E8" w:rsidP="00DF75E8">
      <w:pPr>
        <w:spacing w:before="0"/>
        <w:jc w:val="both"/>
        <w:rPr>
          <w:rFonts w:ascii="Arial" w:hAnsi="Arial" w:cs="Arial"/>
          <w:sz w:val="21"/>
          <w:szCs w:val="21"/>
        </w:rPr>
      </w:pPr>
      <w:r>
        <w:rPr>
          <w:rFonts w:ascii="Arial" w:hAnsi="Arial" w:cs="Arial"/>
          <w:sz w:val="21"/>
          <w:szCs w:val="21"/>
        </w:rPr>
        <w:t>La lieve decelerazione dei prezzi dei servizi (da</w:t>
      </w:r>
      <w:r w:rsidRPr="00B6384F">
        <w:rPr>
          <w:rFonts w:ascii="Arial" w:hAnsi="Arial" w:cs="Arial"/>
          <w:sz w:val="21"/>
          <w:szCs w:val="21"/>
        </w:rPr>
        <w:t xml:space="preserve"> +</w:t>
      </w:r>
      <w:r>
        <w:rPr>
          <w:rFonts w:ascii="Arial" w:hAnsi="Arial" w:cs="Arial"/>
          <w:sz w:val="21"/>
          <w:szCs w:val="21"/>
        </w:rPr>
        <w:t>3,9</w:t>
      </w:r>
      <w:r w:rsidRPr="00B6384F">
        <w:rPr>
          <w:rFonts w:ascii="Arial" w:hAnsi="Arial" w:cs="Arial"/>
          <w:sz w:val="21"/>
          <w:szCs w:val="21"/>
        </w:rPr>
        <w:t xml:space="preserve">% </w:t>
      </w:r>
      <w:r>
        <w:rPr>
          <w:rFonts w:ascii="Arial" w:hAnsi="Arial" w:cs="Arial"/>
          <w:sz w:val="21"/>
          <w:szCs w:val="21"/>
        </w:rPr>
        <w:t>a +3,8</w:t>
      </w:r>
      <w:r w:rsidRPr="00B6384F">
        <w:rPr>
          <w:rFonts w:ascii="Arial" w:hAnsi="Arial" w:cs="Arial"/>
          <w:sz w:val="21"/>
          <w:szCs w:val="21"/>
        </w:rPr>
        <w:t>%</w:t>
      </w:r>
      <w:r>
        <w:rPr>
          <w:rFonts w:ascii="Arial" w:hAnsi="Arial" w:cs="Arial"/>
          <w:sz w:val="21"/>
          <w:szCs w:val="21"/>
        </w:rPr>
        <w:t>; -0,3</w:t>
      </w:r>
      <w:r w:rsidRPr="00B6384F">
        <w:rPr>
          <w:rFonts w:ascii="Arial" w:hAnsi="Arial" w:cs="Arial"/>
          <w:sz w:val="21"/>
          <w:szCs w:val="21"/>
        </w:rPr>
        <w:t xml:space="preserve">% </w:t>
      </w:r>
      <w:r>
        <w:rPr>
          <w:rFonts w:ascii="Arial" w:hAnsi="Arial" w:cs="Arial"/>
          <w:sz w:val="21"/>
          <w:szCs w:val="21"/>
        </w:rPr>
        <w:t>su base mensile</w:t>
      </w:r>
      <w:r w:rsidRPr="00B6384F">
        <w:rPr>
          <w:rFonts w:ascii="Arial" w:hAnsi="Arial" w:cs="Arial"/>
          <w:sz w:val="21"/>
          <w:szCs w:val="21"/>
        </w:rPr>
        <w:t>)</w:t>
      </w:r>
      <w:r>
        <w:rPr>
          <w:rFonts w:ascii="Arial" w:hAnsi="Arial" w:cs="Arial"/>
          <w:sz w:val="21"/>
          <w:szCs w:val="21"/>
        </w:rPr>
        <w:t xml:space="preserve"> è imputabile al rallentamento dei prezzi dei </w:t>
      </w:r>
      <w:r w:rsidRPr="004A3029">
        <w:rPr>
          <w:rFonts w:ascii="Arial" w:hAnsi="Arial" w:cs="Arial"/>
          <w:sz w:val="21"/>
          <w:szCs w:val="21"/>
        </w:rPr>
        <w:t>Servizi ricreativi, culturali e per la cura della persona</w:t>
      </w:r>
      <w:r>
        <w:rPr>
          <w:rFonts w:ascii="Arial" w:hAnsi="Arial" w:cs="Arial"/>
          <w:sz w:val="21"/>
          <w:szCs w:val="21"/>
        </w:rPr>
        <w:t xml:space="preserve"> (da +5,7% a +5,2%; -0,7% su settembre), causato dai prezzi dei Servizi di alloggio (da +16,0% a +12,4%; -6,0% il congiunturale dovuto per lo più a fattori stagionali) e di quelli dei Pacchetti vacanza (che ampliano la flessione da -3,0% a -4,3%; -2,5% su base mensile anche in questo caso per fattori stagionali), mentre i prezzi di Ristoranti, bar e simili accelerano a +6,6% (da +6,1% di settembre; +0,8% la variazione congiunturale).</w:t>
      </w:r>
    </w:p>
    <w:p w:rsidR="00491FE4" w:rsidRDefault="008C4E8A" w:rsidP="00991D0E">
      <w:pPr>
        <w:spacing w:before="0" w:after="120"/>
        <w:jc w:val="both"/>
        <w:rPr>
          <w:rFonts w:ascii="Arial" w:hAnsi="Arial" w:cs="Arial"/>
          <w:iCs/>
          <w:sz w:val="21"/>
          <w:szCs w:val="21"/>
        </w:rPr>
      </w:pPr>
      <w:r w:rsidRPr="00F157E2">
        <w:rPr>
          <w:rFonts w:ascii="Arial" w:hAnsi="Arial" w:cs="Arial"/>
          <w:iCs/>
          <w:sz w:val="21"/>
          <w:szCs w:val="21"/>
        </w:rPr>
        <w:t xml:space="preserve">Il ruolo delle diverse tipologie di prodotto nel determinare l’inflazione del mese di </w:t>
      </w:r>
      <w:r>
        <w:rPr>
          <w:rFonts w:ascii="Arial" w:hAnsi="Arial" w:cs="Arial"/>
          <w:iCs/>
          <w:sz w:val="21"/>
          <w:szCs w:val="21"/>
        </w:rPr>
        <w:t>ottobre</w:t>
      </w:r>
      <w:r w:rsidRPr="00516709">
        <w:rPr>
          <w:rFonts w:ascii="Arial" w:hAnsi="Arial" w:cs="Arial"/>
          <w:iCs/>
          <w:sz w:val="21"/>
          <w:szCs w:val="21"/>
        </w:rPr>
        <w:t xml:space="preserve"> </w:t>
      </w:r>
      <w:r w:rsidRPr="00F157E2">
        <w:rPr>
          <w:rFonts w:ascii="Arial" w:hAnsi="Arial" w:cs="Arial"/>
          <w:iCs/>
          <w:sz w:val="21"/>
          <w:szCs w:val="21"/>
        </w:rPr>
        <w:t>è rappresentato dai contributi alla variazione dell’indice generale dei prezzi al consumo riportati nella figura 4.</w:t>
      </w:r>
    </w:p>
    <w:p w:rsidR="00184B06" w:rsidRPr="00C8504B" w:rsidRDefault="00184B06" w:rsidP="00184B06">
      <w:pPr>
        <w:pStyle w:val="001TitoGra"/>
        <w:spacing w:line="240" w:lineRule="auto"/>
      </w:pPr>
      <w:r w:rsidRPr="00C8504B">
        <w:rPr>
          <w:rFonts w:cs="Calibri"/>
          <w:bCs/>
          <w:color w:val="FF0000"/>
          <w:kern w:val="0"/>
        </w:rPr>
        <w:t xml:space="preserve">FIGURA 3. </w:t>
      </w:r>
      <w:r w:rsidRPr="00C8504B">
        <w:rPr>
          <w:rFonts w:cs="Calibri"/>
          <w:bCs/>
          <w:kern w:val="0"/>
        </w:rPr>
        <w:t>INDICI DEI PREZZI AL CONSU</w:t>
      </w:r>
      <w:r w:rsidR="00C17464" w:rsidRPr="00C8504B">
        <w:rPr>
          <w:rFonts w:cs="Calibri"/>
          <w:bCs/>
          <w:kern w:val="0"/>
        </w:rPr>
        <w:t>MO NIC PER CATEGORIE DI PRODOTTO</w:t>
      </w:r>
    </w:p>
    <w:p w:rsidR="00184B06" w:rsidRDefault="005B7BD6" w:rsidP="007C600E">
      <w:pPr>
        <w:pStyle w:val="001TitoGra"/>
        <w:spacing w:after="120" w:line="240" w:lineRule="auto"/>
        <w:rPr>
          <w:rFonts w:cs="Calibri"/>
          <w:b w:val="0"/>
          <w:kern w:val="0"/>
          <w:sz w:val="20"/>
          <w:szCs w:val="20"/>
        </w:rPr>
      </w:pPr>
      <w:r>
        <w:rPr>
          <w:b w:val="0"/>
          <w:sz w:val="20"/>
          <w:szCs w:val="20"/>
        </w:rPr>
        <w:t>Gennaio 2017</w:t>
      </w:r>
      <w:r w:rsidR="00141DAE" w:rsidRPr="00141DAE">
        <w:rPr>
          <w:b w:val="0"/>
          <w:sz w:val="20"/>
          <w:szCs w:val="20"/>
        </w:rPr>
        <w:t xml:space="preserve"> </w:t>
      </w:r>
      <w:r w:rsidR="00FF7AE4">
        <w:rPr>
          <w:b w:val="0"/>
          <w:sz w:val="20"/>
          <w:szCs w:val="20"/>
        </w:rPr>
        <w:t>–</w:t>
      </w:r>
      <w:r w:rsidR="00141DAE" w:rsidRPr="00141DAE">
        <w:rPr>
          <w:b w:val="0"/>
          <w:sz w:val="20"/>
          <w:szCs w:val="20"/>
        </w:rPr>
        <w:t xml:space="preserve"> </w:t>
      </w:r>
      <w:r w:rsidR="001E1AF5">
        <w:rPr>
          <w:b w:val="0"/>
          <w:sz w:val="20"/>
          <w:szCs w:val="20"/>
        </w:rPr>
        <w:t>otto</w:t>
      </w:r>
      <w:r w:rsidR="009B6ACA">
        <w:rPr>
          <w:b w:val="0"/>
          <w:sz w:val="20"/>
          <w:szCs w:val="20"/>
        </w:rPr>
        <w:t>bre</w:t>
      </w:r>
      <w:r w:rsidR="009A20F3" w:rsidRPr="00F36E1D">
        <w:rPr>
          <w:b w:val="0"/>
          <w:sz w:val="20"/>
          <w:szCs w:val="20"/>
        </w:rPr>
        <w:t xml:space="preserve"> </w:t>
      </w:r>
      <w:r w:rsidRPr="005B7BD6">
        <w:rPr>
          <w:b w:val="0"/>
          <w:sz w:val="20"/>
          <w:szCs w:val="20"/>
        </w:rPr>
        <w:t>2022</w:t>
      </w:r>
      <w:r w:rsidR="00184B06" w:rsidRPr="000D11A3">
        <w:rPr>
          <w:rFonts w:cs="Calibri"/>
          <w:b w:val="0"/>
          <w:kern w:val="0"/>
          <w:sz w:val="20"/>
          <w:szCs w:val="20"/>
        </w:rPr>
        <w:t>, variazioni percentuali tendenziali (base 2015=100)</w:t>
      </w:r>
      <w:r w:rsidR="00D456A7" w:rsidRPr="000D11A3">
        <w:rPr>
          <w:rFonts w:cs="Calibri"/>
          <w:b w:val="0"/>
          <w:kern w:val="0"/>
          <w:sz w:val="20"/>
          <w:szCs w:val="20"/>
        </w:rPr>
        <w:t xml:space="preserve"> </w:t>
      </w:r>
    </w:p>
    <w:p w:rsidR="00F84108" w:rsidRPr="0015726A" w:rsidRDefault="0069074D" w:rsidP="00F84108">
      <w:pPr>
        <w:spacing w:before="0" w:after="120"/>
        <w:jc w:val="both"/>
        <w:rPr>
          <w:rFonts w:ascii="Arial" w:hAnsi="Arial" w:cs="Arial"/>
          <w:color w:val="000000"/>
          <w:kern w:val="0"/>
          <w:sz w:val="21"/>
          <w:szCs w:val="21"/>
        </w:rPr>
      </w:pPr>
      <w:r>
        <w:rPr>
          <w:rFonts w:ascii="Arial" w:hAnsi="Arial" w:cs="Arial"/>
          <w:noProof/>
          <w:color w:val="000000"/>
          <w:kern w:val="0"/>
          <w:sz w:val="21"/>
          <w:szCs w:val="21"/>
        </w:rPr>
        <w:drawing>
          <wp:inline distT="0" distB="0" distL="0" distR="0" wp14:anchorId="1B05D8EE">
            <wp:extent cx="6669405" cy="208470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9405" cy="2084705"/>
                    </a:xfrm>
                    <a:prstGeom prst="rect">
                      <a:avLst/>
                    </a:prstGeom>
                    <a:noFill/>
                  </pic:spPr>
                </pic:pic>
              </a:graphicData>
            </a:graphic>
          </wp:inline>
        </w:drawing>
      </w:r>
    </w:p>
    <w:p w:rsidR="00491FE4" w:rsidRPr="00A51F45" w:rsidRDefault="00491FE4" w:rsidP="00491FE4">
      <w:pPr>
        <w:spacing w:before="0" w:after="120"/>
        <w:jc w:val="both"/>
        <w:rPr>
          <w:rFonts w:ascii="Arial" w:hAnsi="Arial" w:cs="Arial"/>
          <w:color w:val="000000"/>
          <w:kern w:val="0"/>
          <w:sz w:val="2"/>
          <w:szCs w:val="21"/>
        </w:rPr>
      </w:pPr>
    </w:p>
    <w:p w:rsidR="00A93E6A" w:rsidRDefault="00AE4283" w:rsidP="00427417">
      <w:pPr>
        <w:pStyle w:val="001SottotitoloGra"/>
        <w:spacing w:line="240" w:lineRule="auto"/>
        <w:jc w:val="both"/>
        <w:rPr>
          <w:rFonts w:cs="Calibri"/>
          <w:b/>
          <w:bCs/>
          <w:kern w:val="0"/>
          <w:sz w:val="22"/>
          <w:szCs w:val="22"/>
        </w:rPr>
      </w:pPr>
      <w:r w:rsidRPr="00415074">
        <w:rPr>
          <w:b/>
          <w:color w:val="E42618"/>
          <w:sz w:val="22"/>
          <w:szCs w:val="22"/>
        </w:rPr>
        <w:t>FIGURA 4</w:t>
      </w:r>
      <w:r w:rsidRPr="00415074">
        <w:rPr>
          <w:b/>
          <w:color w:val="E42618"/>
        </w:rPr>
        <w:t>.</w:t>
      </w:r>
      <w:r w:rsidRPr="00415074">
        <w:rPr>
          <w:b/>
        </w:rPr>
        <w:t xml:space="preserve"> </w:t>
      </w:r>
      <w:r w:rsidR="00DA7A68" w:rsidRPr="00415074">
        <w:rPr>
          <w:rFonts w:cs="Calibri"/>
          <w:b/>
          <w:bCs/>
          <w:kern w:val="0"/>
          <w:sz w:val="22"/>
          <w:szCs w:val="22"/>
        </w:rPr>
        <w:t>INDICE</w:t>
      </w:r>
      <w:r w:rsidRPr="00415074">
        <w:rPr>
          <w:rFonts w:cs="Calibri"/>
          <w:b/>
          <w:bCs/>
          <w:kern w:val="0"/>
          <w:sz w:val="22"/>
          <w:szCs w:val="22"/>
        </w:rPr>
        <w:t xml:space="preserve"> DEI PREZZI AL CONSUMO </w:t>
      </w:r>
      <w:r w:rsidR="00DA7A68" w:rsidRPr="00415074">
        <w:rPr>
          <w:rFonts w:cs="Calibri"/>
          <w:b/>
          <w:bCs/>
          <w:kern w:val="0"/>
          <w:sz w:val="22"/>
          <w:szCs w:val="22"/>
        </w:rPr>
        <w:t>NIC, CONTRIBUTI ALLA VARIAZIONE PERCENTUALE TENDENZIALE PER TIPOLOGIA DI</w:t>
      </w:r>
      <w:r w:rsidR="00DA7A68" w:rsidRPr="00CE4786">
        <w:rPr>
          <w:rFonts w:cs="Calibri"/>
          <w:b/>
          <w:bCs/>
          <w:kern w:val="0"/>
          <w:sz w:val="22"/>
          <w:szCs w:val="22"/>
        </w:rPr>
        <w:t xml:space="preserve"> PRODOTTO</w:t>
      </w:r>
      <w:r w:rsidR="00DF75E8">
        <w:rPr>
          <w:rFonts w:cs="Calibri"/>
          <w:b/>
          <w:bCs/>
          <w:kern w:val="0"/>
          <w:sz w:val="22"/>
          <w:szCs w:val="22"/>
        </w:rPr>
        <w:t xml:space="preserve">, </w:t>
      </w:r>
      <w:proofErr w:type="gramStart"/>
      <w:r w:rsidR="001E1AF5">
        <w:t>Otto</w:t>
      </w:r>
      <w:r w:rsidR="009B6ACA">
        <w:t>bre</w:t>
      </w:r>
      <w:proofErr w:type="gramEnd"/>
      <w:r w:rsidR="009A20F3" w:rsidRPr="009A20F3">
        <w:t xml:space="preserve"> </w:t>
      </w:r>
      <w:r w:rsidR="005B7BD6" w:rsidRPr="005B7BD6">
        <w:t>2022</w:t>
      </w:r>
      <w:r w:rsidR="00C85C69" w:rsidRPr="00CE4786">
        <w:t>, punti percentuali</w:t>
      </w:r>
    </w:p>
    <w:p w:rsidR="00A1287A" w:rsidRDefault="0069074D" w:rsidP="0091023A">
      <w:pPr>
        <w:pStyle w:val="001SottotitoloGra"/>
        <w:spacing w:line="240" w:lineRule="auto"/>
        <w:jc w:val="both"/>
      </w:pPr>
      <w:r>
        <w:rPr>
          <w:noProof/>
        </w:rPr>
        <w:drawing>
          <wp:inline distT="0" distB="0" distL="0" distR="0" wp14:anchorId="689ECCAE">
            <wp:extent cx="6840220" cy="2145665"/>
            <wp:effectExtent l="0" t="0" r="0" b="698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2145665"/>
                    </a:xfrm>
                    <a:prstGeom prst="rect">
                      <a:avLst/>
                    </a:prstGeom>
                    <a:noFill/>
                  </pic:spPr>
                </pic:pic>
              </a:graphicData>
            </a:graphic>
          </wp:inline>
        </w:drawing>
      </w:r>
    </w:p>
    <w:p w:rsidR="00300368" w:rsidRDefault="00300368" w:rsidP="00300368">
      <w:pPr>
        <w:spacing w:before="0" w:after="120"/>
        <w:rPr>
          <w:szCs w:val="26"/>
        </w:rPr>
      </w:pPr>
    </w:p>
    <w:p w:rsidR="00B32C69" w:rsidRPr="00C8504B" w:rsidRDefault="00B32C69" w:rsidP="00BD0487">
      <w:pPr>
        <w:pStyle w:val="001TitoloBolocco"/>
        <w:spacing w:after="120" w:line="240" w:lineRule="auto"/>
        <w:rPr>
          <w:szCs w:val="26"/>
        </w:rPr>
      </w:pPr>
      <w:r w:rsidRPr="00C8504B">
        <w:rPr>
          <w:szCs w:val="26"/>
        </w:rPr>
        <w:t>I BENI E I SERVIZI REGOLAMENTATI</w:t>
      </w:r>
    </w:p>
    <w:p w:rsidR="00B87271" w:rsidRPr="00491FE4" w:rsidRDefault="00B87271" w:rsidP="00566441">
      <w:pPr>
        <w:spacing w:before="0" w:after="120"/>
        <w:rPr>
          <w:sz w:val="14"/>
          <w:szCs w:val="26"/>
        </w:rPr>
      </w:pPr>
    </w:p>
    <w:p w:rsidR="00045623" w:rsidRPr="00C8504B" w:rsidRDefault="00EE2474" w:rsidP="00045623">
      <w:pPr>
        <w:widowControl/>
        <w:tabs>
          <w:tab w:val="left" w:pos="2041"/>
        </w:tabs>
        <w:overflowPunct/>
        <w:autoSpaceDE/>
        <w:autoSpaceDN/>
        <w:adjustRightInd/>
        <w:spacing w:before="0" w:after="120"/>
        <w:jc w:val="both"/>
        <w:rPr>
          <w:rFonts w:ascii="Arial Narrow" w:hAnsi="Arial Narrow" w:cs="Arial"/>
          <w:color w:val="5F5F5F"/>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4</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Pr="000345F9">
        <w:rPr>
          <w:rFonts w:ascii="Arial Narrow" w:hAnsi="Arial Narrow" w:cs="Calibri"/>
          <w:b/>
          <w:bCs/>
          <w:color w:val="5F5F5F"/>
          <w:kern w:val="0"/>
          <w:sz w:val="22"/>
          <w:szCs w:val="22"/>
        </w:rPr>
        <w:t>I</w:t>
      </w:r>
      <w:r w:rsidR="00C55B4B" w:rsidRPr="000345F9">
        <w:rPr>
          <w:rFonts w:ascii="Arial Narrow" w:hAnsi="Arial Narrow" w:cs="Calibri"/>
          <w:b/>
          <w:bCs/>
          <w:color w:val="5F5F5F"/>
          <w:kern w:val="0"/>
          <w:sz w:val="22"/>
          <w:szCs w:val="22"/>
        </w:rPr>
        <w:t>NDICI DEI PREZZI AL CONSUMO NIC</w:t>
      </w:r>
      <w:r w:rsidRPr="000345F9">
        <w:rPr>
          <w:rFonts w:ascii="Arial Narrow" w:hAnsi="Arial Narrow" w:cs="Calibri"/>
          <w:b/>
          <w:bCs/>
          <w:color w:val="5F5F5F"/>
          <w:kern w:val="0"/>
          <w:sz w:val="22"/>
          <w:szCs w:val="22"/>
        </w:rPr>
        <w:t xml:space="preserve"> PER BENI E SERVIZI REGOLAMENTATI E NON REGOLAMENTATI</w:t>
      </w:r>
      <w:r w:rsidR="00625F9C" w:rsidRPr="00C8504B">
        <w:rPr>
          <w:rFonts w:ascii="Arial Narrow" w:hAnsi="Arial Narrow" w:cs="Arial"/>
          <w:b/>
          <w:color w:val="5F5F5F"/>
          <w:sz w:val="22"/>
          <w:szCs w:val="22"/>
        </w:rPr>
        <w:br/>
      </w:r>
      <w:r w:rsidR="001E1AF5">
        <w:rPr>
          <w:rFonts w:ascii="Arial Narrow" w:hAnsi="Arial Narrow" w:cs="Arial"/>
          <w:color w:val="5F5F5F"/>
        </w:rPr>
        <w:t>Otto</w:t>
      </w:r>
      <w:r w:rsidR="009B6ACA">
        <w:rPr>
          <w:rFonts w:ascii="Arial Narrow" w:hAnsi="Arial Narrow" w:cs="Arial"/>
          <w:color w:val="5F5F5F"/>
        </w:rPr>
        <w:t>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xml:space="preserve">, pesi, variazioni </w:t>
      </w:r>
      <w:r w:rsidR="00625F9C" w:rsidRPr="00C8504B">
        <w:rPr>
          <w:rFonts w:ascii="Arial Narrow" w:hAnsi="Arial Narrow" w:cs="Arial"/>
          <w:color w:val="5F5F5F"/>
        </w:rPr>
        <w:t xml:space="preserve">percentuali congiunturali e tendenziali </w:t>
      </w:r>
      <w:r w:rsidRPr="00C8504B">
        <w:rPr>
          <w:rFonts w:ascii="Arial Narrow" w:hAnsi="Arial Narrow" w:cs="Arial"/>
          <w:color w:val="5F5F5F"/>
        </w:rPr>
        <w:t xml:space="preserve">e contributi alla variazione tendenziale dell’indice generale (base 2015=100) </w:t>
      </w:r>
    </w:p>
    <w:tbl>
      <w:tblPr>
        <w:tblW w:w="10278" w:type="dxa"/>
        <w:tblInd w:w="70" w:type="dxa"/>
        <w:tblBorders>
          <w:top w:val="single" w:sz="4" w:space="0" w:color="auto"/>
          <w:bottom w:val="single" w:sz="4" w:space="0" w:color="auto"/>
          <w:insideH w:val="single" w:sz="4" w:space="0" w:color="auto"/>
        </w:tblBorders>
        <w:tblLayout w:type="fixed"/>
        <w:tblCellMar>
          <w:left w:w="70" w:type="dxa"/>
          <w:right w:w="0" w:type="dxa"/>
        </w:tblCellMar>
        <w:tblLook w:val="0000" w:firstRow="0" w:lastRow="0" w:firstColumn="0" w:lastColumn="0" w:noHBand="0" w:noVBand="0"/>
      </w:tblPr>
      <w:tblGrid>
        <w:gridCol w:w="2698"/>
        <w:gridCol w:w="988"/>
        <w:gridCol w:w="1064"/>
        <w:gridCol w:w="992"/>
        <w:gridCol w:w="993"/>
        <w:gridCol w:w="966"/>
        <w:gridCol w:w="1585"/>
        <w:gridCol w:w="992"/>
      </w:tblGrid>
      <w:tr w:rsidR="00B33C41" w:rsidRPr="00C8504B" w:rsidTr="002D71E2">
        <w:trPr>
          <w:trHeight w:val="347"/>
        </w:trPr>
        <w:tc>
          <w:tcPr>
            <w:tcW w:w="2698" w:type="dxa"/>
            <w:vMerge w:val="restart"/>
            <w:vAlign w:val="center"/>
          </w:tcPr>
          <w:p w:rsidR="00B33C41" w:rsidRPr="00C8504B" w:rsidRDefault="00B33C41" w:rsidP="00B33C41">
            <w:pPr>
              <w:spacing w:before="40" w:after="20"/>
              <w:ind w:left="-57"/>
              <w:rPr>
                <w:rFonts w:ascii="Arial Narrow" w:hAnsi="Arial Narrow" w:cs="Arial"/>
                <w:b/>
                <w:bCs/>
                <w:sz w:val="18"/>
                <w:szCs w:val="18"/>
              </w:rPr>
            </w:pPr>
            <w:r w:rsidRPr="00C8504B">
              <w:rPr>
                <w:rFonts w:ascii="Arial Narrow" w:hAnsi="Arial Narrow" w:cs="Arial"/>
                <w:b/>
                <w:bCs/>
                <w:sz w:val="18"/>
                <w:szCs w:val="18"/>
              </w:rPr>
              <w:t>TIPOLOGIE DI PRODOTTO</w:t>
            </w:r>
          </w:p>
        </w:tc>
        <w:tc>
          <w:tcPr>
            <w:tcW w:w="988" w:type="dxa"/>
            <w:vMerge w:val="restart"/>
            <w:shd w:val="clear" w:color="auto" w:fill="D9D9D9"/>
            <w:vAlign w:val="center"/>
          </w:tcPr>
          <w:p w:rsidR="00B33C41" w:rsidRPr="00C8504B"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Pesi</w:t>
            </w:r>
          </w:p>
        </w:tc>
        <w:tc>
          <w:tcPr>
            <w:tcW w:w="2056" w:type="dxa"/>
            <w:gridSpan w:val="2"/>
            <w:shd w:val="clear" w:color="auto" w:fill="auto"/>
            <w:vAlign w:val="center"/>
          </w:tcPr>
          <w:p w:rsidR="00B33C41" w:rsidRPr="00C8504B"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1959" w:type="dxa"/>
            <w:gridSpan w:val="2"/>
            <w:shd w:val="clear" w:color="auto" w:fill="D9D9D9"/>
            <w:vAlign w:val="center"/>
          </w:tcPr>
          <w:p w:rsidR="00B33C41" w:rsidRPr="00C8504B"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585" w:type="dxa"/>
            <w:vMerge w:val="restart"/>
            <w:shd w:val="clear" w:color="auto" w:fill="auto"/>
            <w:vAlign w:val="center"/>
          </w:tcPr>
          <w:p w:rsidR="00B33C41" w:rsidRPr="00CF0807"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Contributo alla variazione tendenziale dell’indice generale</w:t>
            </w:r>
          </w:p>
        </w:tc>
        <w:tc>
          <w:tcPr>
            <w:tcW w:w="992" w:type="dxa"/>
            <w:vMerge w:val="restart"/>
            <w:shd w:val="clear" w:color="auto" w:fill="D9D9D9"/>
            <w:vAlign w:val="center"/>
          </w:tcPr>
          <w:p w:rsidR="00B33C41" w:rsidRPr="00C8504B" w:rsidRDefault="00B33C41" w:rsidP="001E1AF5">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sidR="00D64913">
              <w:rPr>
                <w:rFonts w:ascii="Arial Narrow" w:hAnsi="Arial Narrow" w:cs="Arial"/>
                <w:b/>
                <w:bCs/>
                <w:kern w:val="0"/>
                <w:sz w:val="18"/>
                <w:szCs w:val="18"/>
              </w:rPr>
              <w:t xml:space="preserve">         </w:t>
            </w:r>
            <w:r>
              <w:rPr>
                <w:rFonts w:ascii="Arial Narrow" w:hAnsi="Arial Narrow" w:cs="Arial"/>
                <w:b/>
                <w:bCs/>
                <w:kern w:val="0"/>
                <w:sz w:val="18"/>
                <w:szCs w:val="18"/>
              </w:rPr>
              <w:t xml:space="preserve"> a </w:t>
            </w:r>
            <w:r w:rsidR="001E1AF5">
              <w:rPr>
                <w:rFonts w:ascii="Arial Narrow" w:hAnsi="Arial Narrow" w:cs="Arial"/>
                <w:b/>
                <w:bCs/>
                <w:kern w:val="0"/>
                <w:sz w:val="18"/>
                <w:szCs w:val="18"/>
              </w:rPr>
              <w:t>otto</w:t>
            </w:r>
            <w:r w:rsidR="009B6ACA">
              <w:rPr>
                <w:rFonts w:ascii="Arial Narrow" w:hAnsi="Arial Narrow" w:cs="Arial"/>
                <w:b/>
                <w:bCs/>
                <w:kern w:val="0"/>
                <w:sz w:val="18"/>
                <w:szCs w:val="18"/>
              </w:rPr>
              <w:t>bre</w:t>
            </w:r>
          </w:p>
        </w:tc>
      </w:tr>
      <w:tr w:rsidR="000F49FA" w:rsidRPr="00C8504B" w:rsidTr="002D71E2">
        <w:trPr>
          <w:trHeight w:val="346"/>
        </w:trPr>
        <w:tc>
          <w:tcPr>
            <w:tcW w:w="2698" w:type="dxa"/>
            <w:vMerge/>
            <w:vAlign w:val="center"/>
          </w:tcPr>
          <w:p w:rsidR="000F49FA" w:rsidRPr="00C8504B" w:rsidRDefault="000F49FA" w:rsidP="000F49FA">
            <w:pPr>
              <w:spacing w:before="40" w:after="20"/>
              <w:ind w:left="-57"/>
              <w:rPr>
                <w:rFonts w:ascii="Arial Narrow" w:hAnsi="Arial Narrow" w:cs="Arial"/>
                <w:b/>
                <w:bCs/>
                <w:sz w:val="18"/>
                <w:szCs w:val="18"/>
              </w:rPr>
            </w:pPr>
          </w:p>
        </w:tc>
        <w:tc>
          <w:tcPr>
            <w:tcW w:w="988" w:type="dxa"/>
            <w:vMerge/>
            <w:shd w:val="clear" w:color="auto" w:fill="D9D9D9"/>
            <w:vAlign w:val="center"/>
          </w:tcPr>
          <w:p w:rsidR="000F49FA" w:rsidRPr="00C8504B" w:rsidRDefault="000F49FA" w:rsidP="000F49FA">
            <w:pPr>
              <w:spacing w:before="40" w:after="20"/>
              <w:ind w:left="-57" w:right="57"/>
              <w:jc w:val="right"/>
              <w:rPr>
                <w:rFonts w:ascii="Arial Narrow" w:hAnsi="Arial Narrow" w:cs="Arial"/>
                <w:b/>
                <w:bCs/>
                <w:sz w:val="18"/>
                <w:szCs w:val="18"/>
              </w:rPr>
            </w:pPr>
          </w:p>
        </w:tc>
        <w:tc>
          <w:tcPr>
            <w:tcW w:w="1064" w:type="dxa"/>
            <w:shd w:val="clear" w:color="auto" w:fill="auto"/>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E03E58" w:rsidRDefault="000F49FA" w:rsidP="000F49FA">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set-22</w:t>
            </w:r>
          </w:p>
        </w:tc>
        <w:tc>
          <w:tcPr>
            <w:tcW w:w="992" w:type="dxa"/>
            <w:shd w:val="clear" w:color="auto" w:fill="auto"/>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ott-21</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993" w:type="dxa"/>
            <w:shd w:val="clear" w:color="auto" w:fill="auto"/>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ott-21</w:t>
            </w:r>
          </w:p>
        </w:tc>
        <w:tc>
          <w:tcPr>
            <w:tcW w:w="966" w:type="dxa"/>
            <w:shd w:val="clear" w:color="auto" w:fill="auto"/>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sett21</w:t>
            </w:r>
          </w:p>
        </w:tc>
        <w:tc>
          <w:tcPr>
            <w:tcW w:w="1585" w:type="dxa"/>
            <w:vMerge/>
            <w:shd w:val="clear" w:color="auto" w:fill="auto"/>
            <w:vAlign w:val="center"/>
          </w:tcPr>
          <w:p w:rsidR="000F49FA" w:rsidRPr="00CF0807" w:rsidRDefault="000F49FA" w:rsidP="000F49FA">
            <w:pPr>
              <w:spacing w:before="40" w:after="20"/>
              <w:ind w:left="-57" w:right="57"/>
              <w:jc w:val="right"/>
              <w:rPr>
                <w:rFonts w:ascii="Arial Narrow" w:hAnsi="Arial Narrow" w:cs="Arial"/>
                <w:b/>
                <w:bCs/>
                <w:sz w:val="18"/>
                <w:szCs w:val="18"/>
              </w:rPr>
            </w:pPr>
          </w:p>
        </w:tc>
        <w:tc>
          <w:tcPr>
            <w:tcW w:w="992" w:type="dxa"/>
            <w:vMerge/>
            <w:shd w:val="clear" w:color="auto" w:fill="D9D9D9"/>
            <w:vAlign w:val="center"/>
          </w:tcPr>
          <w:p w:rsidR="000F49FA" w:rsidRPr="00CF0807" w:rsidRDefault="000F49FA" w:rsidP="000F49FA">
            <w:pPr>
              <w:spacing w:before="40" w:after="20"/>
              <w:ind w:left="-57" w:right="57"/>
              <w:jc w:val="right"/>
              <w:rPr>
                <w:rFonts w:ascii="Arial Narrow" w:hAnsi="Arial Narrow" w:cs="Arial"/>
                <w:b/>
                <w:bCs/>
                <w:sz w:val="18"/>
                <w:szCs w:val="18"/>
              </w:rPr>
            </w:pPr>
          </w:p>
        </w:tc>
      </w:tr>
      <w:tr w:rsidR="002C552E" w:rsidRPr="00C8504B" w:rsidTr="00ED70FA">
        <w:tblPrEx>
          <w:tblCellMar>
            <w:right w:w="70" w:type="dxa"/>
          </w:tblCellMar>
        </w:tblPrEx>
        <w:trPr>
          <w:trHeight w:val="255"/>
        </w:trPr>
        <w:tc>
          <w:tcPr>
            <w:tcW w:w="2698" w:type="dxa"/>
            <w:vAlign w:val="center"/>
          </w:tcPr>
          <w:p w:rsidR="002C552E" w:rsidRPr="00C8504B" w:rsidRDefault="002C552E" w:rsidP="002C552E">
            <w:pPr>
              <w:spacing w:before="40" w:after="20"/>
              <w:ind w:left="-57"/>
              <w:rPr>
                <w:rFonts w:ascii="Arial Narrow" w:hAnsi="Arial Narrow" w:cs="Arial"/>
                <w:sz w:val="18"/>
                <w:szCs w:val="18"/>
              </w:rPr>
            </w:pPr>
            <w:r w:rsidRPr="00C8504B">
              <w:rPr>
                <w:rFonts w:ascii="Arial Narrow" w:hAnsi="Arial Narrow" w:cs="Arial"/>
                <w:sz w:val="18"/>
                <w:szCs w:val="18"/>
              </w:rPr>
              <w:t>Beni non regolamentati</w:t>
            </w:r>
          </w:p>
        </w:tc>
        <w:tc>
          <w:tcPr>
            <w:tcW w:w="988" w:type="dxa"/>
            <w:shd w:val="clear" w:color="auto" w:fill="D9D9D9"/>
            <w:vAlign w:val="center"/>
          </w:tcPr>
          <w:p w:rsidR="002C552E" w:rsidRPr="00B65833" w:rsidRDefault="002C552E" w:rsidP="002C552E">
            <w:pPr>
              <w:spacing w:before="40" w:after="20"/>
              <w:ind w:left="-57"/>
              <w:jc w:val="right"/>
              <w:rPr>
                <w:rFonts w:ascii="Arial Narrow" w:hAnsi="Arial Narrow" w:cs="Arial"/>
                <w:sz w:val="18"/>
                <w:szCs w:val="18"/>
              </w:rPr>
            </w:pPr>
            <w:r w:rsidRPr="00B65833">
              <w:rPr>
                <w:rFonts w:ascii="Arial Narrow" w:hAnsi="Arial Narrow" w:cs="Arial"/>
                <w:sz w:val="18"/>
                <w:szCs w:val="18"/>
              </w:rPr>
              <w:t>538.587</w:t>
            </w:r>
          </w:p>
        </w:tc>
        <w:tc>
          <w:tcPr>
            <w:tcW w:w="1064" w:type="dxa"/>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+5,6</w:t>
            </w:r>
          </w:p>
        </w:tc>
        <w:tc>
          <w:tcPr>
            <w:tcW w:w="992"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+0,2</w:t>
            </w:r>
          </w:p>
        </w:tc>
        <w:tc>
          <w:tcPr>
            <w:tcW w:w="993" w:type="dxa"/>
            <w:shd w:val="clear" w:color="auto" w:fill="auto"/>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+17,5</w:t>
            </w:r>
          </w:p>
        </w:tc>
        <w:tc>
          <w:tcPr>
            <w:tcW w:w="966"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+11,4</w:t>
            </w:r>
          </w:p>
        </w:tc>
        <w:tc>
          <w:tcPr>
            <w:tcW w:w="1585" w:type="dxa"/>
            <w:shd w:val="clear" w:color="auto" w:fill="auto"/>
            <w:vAlign w:val="bottom"/>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9,295</w:t>
            </w:r>
          </w:p>
        </w:tc>
        <w:tc>
          <w:tcPr>
            <w:tcW w:w="992"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+10,2</w:t>
            </w:r>
          </w:p>
        </w:tc>
      </w:tr>
      <w:tr w:rsidR="002C552E" w:rsidRPr="00C8504B" w:rsidTr="00ED70FA">
        <w:tblPrEx>
          <w:tblCellMar>
            <w:right w:w="70" w:type="dxa"/>
          </w:tblCellMar>
        </w:tblPrEx>
        <w:trPr>
          <w:trHeight w:val="255"/>
        </w:trPr>
        <w:tc>
          <w:tcPr>
            <w:tcW w:w="2698" w:type="dxa"/>
            <w:vAlign w:val="center"/>
          </w:tcPr>
          <w:p w:rsidR="002C552E" w:rsidRPr="00C8504B" w:rsidRDefault="002C552E" w:rsidP="002C552E">
            <w:pPr>
              <w:spacing w:before="40" w:after="20"/>
              <w:ind w:left="-57"/>
              <w:rPr>
                <w:rFonts w:ascii="Arial Narrow" w:hAnsi="Arial Narrow" w:cs="Arial"/>
                <w:sz w:val="18"/>
                <w:szCs w:val="18"/>
              </w:rPr>
            </w:pPr>
            <w:r w:rsidRPr="00C8504B">
              <w:rPr>
                <w:rFonts w:ascii="Arial Narrow" w:hAnsi="Arial Narrow" w:cs="Arial"/>
                <w:sz w:val="18"/>
                <w:szCs w:val="18"/>
              </w:rPr>
              <w:t>Beni regolamentati, di cui:</w:t>
            </w:r>
          </w:p>
        </w:tc>
        <w:tc>
          <w:tcPr>
            <w:tcW w:w="988" w:type="dxa"/>
            <w:shd w:val="clear" w:color="auto" w:fill="D9D9D9"/>
            <w:vAlign w:val="center"/>
          </w:tcPr>
          <w:p w:rsidR="002C552E" w:rsidRPr="00B65833" w:rsidRDefault="002C552E" w:rsidP="002C552E">
            <w:pPr>
              <w:spacing w:before="40" w:after="20"/>
              <w:ind w:left="-57"/>
              <w:jc w:val="right"/>
              <w:rPr>
                <w:rFonts w:ascii="Arial Narrow" w:hAnsi="Arial Narrow" w:cs="Arial"/>
                <w:sz w:val="18"/>
                <w:szCs w:val="18"/>
              </w:rPr>
            </w:pPr>
            <w:r w:rsidRPr="00B65833">
              <w:rPr>
                <w:rFonts w:ascii="Arial Narrow" w:hAnsi="Arial Narrow" w:cs="Arial"/>
                <w:sz w:val="18"/>
                <w:szCs w:val="18"/>
              </w:rPr>
              <w:t>42.599</w:t>
            </w:r>
          </w:p>
        </w:tc>
        <w:tc>
          <w:tcPr>
            <w:tcW w:w="1064" w:type="dxa"/>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+9,3</w:t>
            </w:r>
          </w:p>
        </w:tc>
        <w:tc>
          <w:tcPr>
            <w:tcW w:w="992"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+9,9</w:t>
            </w:r>
          </w:p>
        </w:tc>
        <w:tc>
          <w:tcPr>
            <w:tcW w:w="993" w:type="dxa"/>
            <w:shd w:val="clear" w:color="auto" w:fill="auto"/>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+21,4</w:t>
            </w:r>
          </w:p>
        </w:tc>
        <w:tc>
          <w:tcPr>
            <w:tcW w:w="966"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+22,1</w:t>
            </w:r>
          </w:p>
        </w:tc>
        <w:tc>
          <w:tcPr>
            <w:tcW w:w="1585" w:type="dxa"/>
            <w:shd w:val="clear" w:color="auto" w:fill="auto"/>
            <w:vAlign w:val="bottom"/>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0,920</w:t>
            </w:r>
          </w:p>
        </w:tc>
        <w:tc>
          <w:tcPr>
            <w:tcW w:w="992"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+28,0</w:t>
            </w:r>
          </w:p>
        </w:tc>
      </w:tr>
      <w:tr w:rsidR="002C552E" w:rsidRPr="00E92779" w:rsidTr="00ED70FA">
        <w:tblPrEx>
          <w:tblCellMar>
            <w:right w:w="70" w:type="dxa"/>
          </w:tblCellMar>
        </w:tblPrEx>
        <w:trPr>
          <w:trHeight w:val="255"/>
        </w:trPr>
        <w:tc>
          <w:tcPr>
            <w:tcW w:w="2698" w:type="dxa"/>
          </w:tcPr>
          <w:p w:rsidR="002C552E" w:rsidRPr="00E92779" w:rsidRDefault="002C552E" w:rsidP="002C552E">
            <w:pPr>
              <w:spacing w:before="40" w:after="20"/>
              <w:ind w:left="-57"/>
              <w:rPr>
                <w:rFonts w:ascii="Arial Narrow" w:hAnsi="Arial Narrow" w:cs="Arial"/>
                <w:sz w:val="18"/>
                <w:szCs w:val="18"/>
              </w:rPr>
            </w:pPr>
            <w:r w:rsidRPr="00E92779">
              <w:rPr>
                <w:rFonts w:ascii="Arial Narrow" w:hAnsi="Arial Narrow" w:cs="Arial"/>
                <w:sz w:val="18"/>
                <w:szCs w:val="18"/>
              </w:rPr>
              <w:t xml:space="preserve">   Energetici regolamentati </w:t>
            </w:r>
          </w:p>
        </w:tc>
        <w:tc>
          <w:tcPr>
            <w:tcW w:w="988" w:type="dxa"/>
            <w:shd w:val="clear" w:color="auto" w:fill="D9D9D9"/>
            <w:vAlign w:val="center"/>
          </w:tcPr>
          <w:p w:rsidR="002C552E" w:rsidRPr="00B65833" w:rsidRDefault="002C552E" w:rsidP="002C552E">
            <w:pPr>
              <w:spacing w:before="40" w:after="20"/>
              <w:ind w:left="-57"/>
              <w:jc w:val="right"/>
              <w:rPr>
                <w:rFonts w:ascii="Arial Narrow" w:hAnsi="Arial Narrow" w:cs="Arial"/>
                <w:sz w:val="18"/>
                <w:szCs w:val="18"/>
              </w:rPr>
            </w:pPr>
            <w:r w:rsidRPr="00B65833">
              <w:rPr>
                <w:rFonts w:ascii="Arial Narrow" w:hAnsi="Arial Narrow" w:cs="Arial"/>
                <w:sz w:val="18"/>
                <w:szCs w:val="18"/>
              </w:rPr>
              <w:t>17.411</w:t>
            </w:r>
          </w:p>
        </w:tc>
        <w:tc>
          <w:tcPr>
            <w:tcW w:w="1064" w:type="dxa"/>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+20,0</w:t>
            </w:r>
          </w:p>
        </w:tc>
        <w:tc>
          <w:tcPr>
            <w:tcW w:w="992"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+17,0</w:t>
            </w:r>
          </w:p>
        </w:tc>
        <w:tc>
          <w:tcPr>
            <w:tcW w:w="993" w:type="dxa"/>
            <w:shd w:val="clear" w:color="auto" w:fill="auto"/>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+51,6</w:t>
            </w:r>
          </w:p>
        </w:tc>
        <w:tc>
          <w:tcPr>
            <w:tcW w:w="966"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+47,7</w:t>
            </w:r>
          </w:p>
        </w:tc>
        <w:tc>
          <w:tcPr>
            <w:tcW w:w="1585" w:type="dxa"/>
            <w:shd w:val="clear" w:color="auto" w:fill="auto"/>
            <w:vAlign w:val="bottom"/>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0,908</w:t>
            </w:r>
          </w:p>
        </w:tc>
        <w:tc>
          <w:tcPr>
            <w:tcW w:w="992"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+63,0</w:t>
            </w:r>
          </w:p>
        </w:tc>
      </w:tr>
      <w:tr w:rsidR="002C552E" w:rsidRPr="00E92779" w:rsidTr="00ED70FA">
        <w:tblPrEx>
          <w:tblCellMar>
            <w:right w:w="70" w:type="dxa"/>
          </w:tblCellMar>
        </w:tblPrEx>
        <w:trPr>
          <w:trHeight w:val="255"/>
        </w:trPr>
        <w:tc>
          <w:tcPr>
            <w:tcW w:w="2698" w:type="dxa"/>
          </w:tcPr>
          <w:p w:rsidR="002C552E" w:rsidRPr="00E92779" w:rsidRDefault="002C552E" w:rsidP="002C552E">
            <w:pPr>
              <w:spacing w:before="40" w:after="20"/>
              <w:ind w:left="-57"/>
              <w:rPr>
                <w:rFonts w:ascii="Arial Narrow" w:hAnsi="Arial Narrow" w:cs="Arial"/>
                <w:sz w:val="18"/>
                <w:szCs w:val="18"/>
              </w:rPr>
            </w:pPr>
            <w:r w:rsidRPr="00E92779">
              <w:rPr>
                <w:rFonts w:ascii="Arial Narrow" w:hAnsi="Arial Narrow" w:cs="Arial"/>
                <w:sz w:val="18"/>
                <w:szCs w:val="18"/>
              </w:rPr>
              <w:t xml:space="preserve">   Altri beni regolamentati</w:t>
            </w:r>
          </w:p>
        </w:tc>
        <w:tc>
          <w:tcPr>
            <w:tcW w:w="988" w:type="dxa"/>
            <w:shd w:val="clear" w:color="auto" w:fill="D9D9D9"/>
            <w:vAlign w:val="center"/>
          </w:tcPr>
          <w:p w:rsidR="002C552E" w:rsidRPr="00B65833" w:rsidRDefault="002C552E" w:rsidP="002C552E">
            <w:pPr>
              <w:spacing w:before="40" w:after="20"/>
              <w:ind w:left="-57"/>
              <w:jc w:val="right"/>
              <w:rPr>
                <w:rFonts w:ascii="Arial Narrow" w:hAnsi="Arial Narrow" w:cs="Arial"/>
                <w:sz w:val="18"/>
                <w:szCs w:val="18"/>
              </w:rPr>
            </w:pPr>
            <w:r w:rsidRPr="00B65833">
              <w:rPr>
                <w:rFonts w:ascii="Arial Narrow" w:hAnsi="Arial Narrow" w:cs="Arial"/>
                <w:sz w:val="18"/>
                <w:szCs w:val="18"/>
              </w:rPr>
              <w:t>25.188</w:t>
            </w:r>
          </w:p>
        </w:tc>
        <w:tc>
          <w:tcPr>
            <w:tcW w:w="1064" w:type="dxa"/>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-0,1</w:t>
            </w:r>
          </w:p>
        </w:tc>
        <w:tc>
          <w:tcPr>
            <w:tcW w:w="992"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+0,1</w:t>
            </w:r>
          </w:p>
        </w:tc>
        <w:tc>
          <w:tcPr>
            <w:tcW w:w="993" w:type="dxa"/>
            <w:shd w:val="clear" w:color="auto" w:fill="auto"/>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+0,4</w:t>
            </w:r>
          </w:p>
        </w:tc>
        <w:tc>
          <w:tcPr>
            <w:tcW w:w="966"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+0,6</w:t>
            </w:r>
          </w:p>
        </w:tc>
        <w:tc>
          <w:tcPr>
            <w:tcW w:w="1585" w:type="dxa"/>
            <w:shd w:val="clear" w:color="auto" w:fill="auto"/>
            <w:vAlign w:val="bottom"/>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0,012</w:t>
            </w:r>
          </w:p>
        </w:tc>
        <w:tc>
          <w:tcPr>
            <w:tcW w:w="992" w:type="dxa"/>
            <w:shd w:val="clear" w:color="auto" w:fill="D9D9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+0,3</w:t>
            </w:r>
          </w:p>
        </w:tc>
      </w:tr>
      <w:tr w:rsidR="002C552E" w:rsidRPr="00AC07E2" w:rsidTr="00ED70FA">
        <w:tblPrEx>
          <w:tblCellMar>
            <w:right w:w="70" w:type="dxa"/>
          </w:tblCellMar>
        </w:tblPrEx>
        <w:trPr>
          <w:trHeight w:val="255"/>
        </w:trPr>
        <w:tc>
          <w:tcPr>
            <w:tcW w:w="2698" w:type="dxa"/>
            <w:shd w:val="clear" w:color="auto" w:fill="808080" w:themeFill="background1" w:themeFillShade="80"/>
          </w:tcPr>
          <w:p w:rsidR="002C552E" w:rsidRPr="00E92779" w:rsidRDefault="002C552E" w:rsidP="002C552E">
            <w:pPr>
              <w:spacing w:before="40" w:after="20"/>
              <w:rPr>
                <w:rFonts w:ascii="Arial Narrow" w:hAnsi="Arial Narrow" w:cs="Arial"/>
                <w:b/>
                <w:bCs/>
                <w:color w:val="FFFFFF"/>
                <w:sz w:val="18"/>
                <w:szCs w:val="18"/>
              </w:rPr>
            </w:pPr>
            <w:r w:rsidRPr="00E92779">
              <w:rPr>
                <w:rFonts w:ascii="Arial Narrow" w:hAnsi="Arial Narrow" w:cs="Arial"/>
                <w:b/>
                <w:bCs/>
                <w:color w:val="FFFFFF"/>
                <w:sz w:val="18"/>
                <w:szCs w:val="18"/>
              </w:rPr>
              <w:t>Beni</w:t>
            </w:r>
          </w:p>
        </w:tc>
        <w:tc>
          <w:tcPr>
            <w:tcW w:w="988" w:type="dxa"/>
            <w:shd w:val="clear" w:color="auto" w:fill="808080" w:themeFill="background1" w:themeFillShade="80"/>
            <w:vAlign w:val="center"/>
          </w:tcPr>
          <w:p w:rsidR="002C552E" w:rsidRPr="00B65833" w:rsidRDefault="002C552E" w:rsidP="002C552E">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581.186</w:t>
            </w:r>
          </w:p>
        </w:tc>
        <w:tc>
          <w:tcPr>
            <w:tcW w:w="1064" w:type="dxa"/>
            <w:shd w:val="clear" w:color="auto" w:fill="808080" w:themeFill="background1" w:themeFillShade="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+5,9</w:t>
            </w:r>
          </w:p>
        </w:tc>
        <w:tc>
          <w:tcPr>
            <w:tcW w:w="992" w:type="dxa"/>
            <w:shd w:val="clear" w:color="auto" w:fill="808080" w:themeFill="background1" w:themeFillShade="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+1,2</w:t>
            </w:r>
          </w:p>
        </w:tc>
        <w:tc>
          <w:tcPr>
            <w:tcW w:w="993" w:type="dxa"/>
            <w:shd w:val="clear" w:color="auto" w:fill="808080" w:themeFill="background1" w:themeFillShade="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+17,6</w:t>
            </w:r>
          </w:p>
        </w:tc>
        <w:tc>
          <w:tcPr>
            <w:tcW w:w="966" w:type="dxa"/>
            <w:shd w:val="clear" w:color="auto" w:fill="808080" w:themeFill="background1" w:themeFillShade="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+12,5</w:t>
            </w:r>
          </w:p>
        </w:tc>
        <w:tc>
          <w:tcPr>
            <w:tcW w:w="1585" w:type="dxa"/>
            <w:shd w:val="clear" w:color="auto" w:fill="808080" w:themeFill="background1" w:themeFillShade="80"/>
            <w:vAlign w:val="bottom"/>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10,215</w:t>
            </w:r>
          </w:p>
        </w:tc>
        <w:tc>
          <w:tcPr>
            <w:tcW w:w="992" w:type="dxa"/>
            <w:shd w:val="clear" w:color="auto" w:fill="808080" w:themeFill="background1" w:themeFillShade="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+11,7</w:t>
            </w:r>
          </w:p>
        </w:tc>
      </w:tr>
      <w:tr w:rsidR="002C552E" w:rsidRPr="00524BE4" w:rsidTr="00ED70FA">
        <w:tblPrEx>
          <w:tblCellMar>
            <w:right w:w="70" w:type="dxa"/>
          </w:tblCellMar>
        </w:tblPrEx>
        <w:trPr>
          <w:trHeight w:val="255"/>
        </w:trPr>
        <w:tc>
          <w:tcPr>
            <w:tcW w:w="2698" w:type="dxa"/>
            <w:shd w:val="clear" w:color="auto" w:fill="auto"/>
            <w:vAlign w:val="center"/>
          </w:tcPr>
          <w:p w:rsidR="002C552E" w:rsidRPr="00C8504B" w:rsidRDefault="002C552E" w:rsidP="002C552E">
            <w:pPr>
              <w:spacing w:before="40" w:after="20"/>
              <w:ind w:left="-57"/>
              <w:rPr>
                <w:rFonts w:ascii="Arial Narrow" w:hAnsi="Arial Narrow" w:cs="Arial"/>
                <w:sz w:val="18"/>
                <w:szCs w:val="18"/>
              </w:rPr>
            </w:pPr>
            <w:r w:rsidRPr="00C8504B">
              <w:rPr>
                <w:rFonts w:ascii="Arial Narrow" w:hAnsi="Arial Narrow" w:cs="Arial"/>
                <w:sz w:val="18"/>
                <w:szCs w:val="18"/>
              </w:rPr>
              <w:t>Servizi non regolamentati</w:t>
            </w:r>
          </w:p>
        </w:tc>
        <w:tc>
          <w:tcPr>
            <w:tcW w:w="988" w:type="dxa"/>
            <w:shd w:val="clear" w:color="auto" w:fill="D9D9D9" w:themeFill="background1" w:themeFillShade="D9"/>
            <w:vAlign w:val="center"/>
          </w:tcPr>
          <w:p w:rsidR="002C552E" w:rsidRPr="00B65833" w:rsidRDefault="002C552E" w:rsidP="002C552E">
            <w:pPr>
              <w:spacing w:before="40" w:after="20"/>
              <w:ind w:left="-57"/>
              <w:jc w:val="right"/>
              <w:rPr>
                <w:rFonts w:ascii="Arial Narrow" w:hAnsi="Arial Narrow" w:cs="Arial"/>
                <w:sz w:val="18"/>
                <w:szCs w:val="18"/>
              </w:rPr>
            </w:pPr>
            <w:r w:rsidRPr="00B65833">
              <w:rPr>
                <w:rFonts w:ascii="Arial Narrow" w:hAnsi="Arial Narrow" w:cs="Arial"/>
                <w:sz w:val="18"/>
                <w:szCs w:val="18"/>
              </w:rPr>
              <w:t>363.774</w:t>
            </w:r>
          </w:p>
        </w:tc>
        <w:tc>
          <w:tcPr>
            <w:tcW w:w="1064" w:type="dxa"/>
            <w:shd w:val="clear" w:color="auto" w:fill="auto"/>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-0,3</w:t>
            </w:r>
          </w:p>
        </w:tc>
        <w:tc>
          <w:tcPr>
            <w:tcW w:w="992" w:type="dxa"/>
            <w:shd w:val="clear" w:color="auto" w:fill="D9D9D9" w:themeFill="background1" w:themeFillShade="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-0,2</w:t>
            </w:r>
          </w:p>
        </w:tc>
        <w:tc>
          <w:tcPr>
            <w:tcW w:w="993" w:type="dxa"/>
            <w:shd w:val="clear" w:color="auto" w:fill="auto"/>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+4,1</w:t>
            </w:r>
          </w:p>
        </w:tc>
        <w:tc>
          <w:tcPr>
            <w:tcW w:w="966" w:type="dxa"/>
            <w:shd w:val="clear" w:color="auto" w:fill="D9D9D9" w:themeFill="background1" w:themeFillShade="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+4,2</w:t>
            </w:r>
          </w:p>
        </w:tc>
        <w:tc>
          <w:tcPr>
            <w:tcW w:w="1585" w:type="dxa"/>
            <w:shd w:val="clear" w:color="auto" w:fill="auto"/>
            <w:vAlign w:val="bottom"/>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1,495</w:t>
            </w:r>
          </w:p>
        </w:tc>
        <w:tc>
          <w:tcPr>
            <w:tcW w:w="992" w:type="dxa"/>
            <w:shd w:val="clear" w:color="auto" w:fill="D9D9D9" w:themeFill="background1" w:themeFillShade="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+3,2</w:t>
            </w:r>
          </w:p>
        </w:tc>
      </w:tr>
      <w:tr w:rsidR="002C552E" w:rsidRPr="00524BE4" w:rsidTr="00ED70FA">
        <w:tblPrEx>
          <w:tblCellMar>
            <w:right w:w="70" w:type="dxa"/>
          </w:tblCellMar>
        </w:tblPrEx>
        <w:trPr>
          <w:trHeight w:val="255"/>
        </w:trPr>
        <w:tc>
          <w:tcPr>
            <w:tcW w:w="2698" w:type="dxa"/>
            <w:shd w:val="clear" w:color="auto" w:fill="auto"/>
            <w:vAlign w:val="center"/>
          </w:tcPr>
          <w:p w:rsidR="002C552E" w:rsidRPr="00C8504B" w:rsidRDefault="002C552E" w:rsidP="002C552E">
            <w:pPr>
              <w:spacing w:before="40" w:after="20"/>
              <w:ind w:left="-57"/>
              <w:rPr>
                <w:rFonts w:ascii="Arial Narrow" w:hAnsi="Arial Narrow" w:cs="Arial"/>
                <w:sz w:val="18"/>
                <w:szCs w:val="18"/>
              </w:rPr>
            </w:pPr>
            <w:r w:rsidRPr="00C8504B">
              <w:rPr>
                <w:rFonts w:ascii="Arial Narrow" w:hAnsi="Arial Narrow" w:cs="Arial"/>
                <w:sz w:val="18"/>
                <w:szCs w:val="18"/>
              </w:rPr>
              <w:t>Servizi regolamentati</w:t>
            </w:r>
          </w:p>
        </w:tc>
        <w:tc>
          <w:tcPr>
            <w:tcW w:w="988" w:type="dxa"/>
            <w:shd w:val="clear" w:color="auto" w:fill="D9D9D9" w:themeFill="background1" w:themeFillShade="D9"/>
            <w:vAlign w:val="center"/>
          </w:tcPr>
          <w:p w:rsidR="002C552E" w:rsidRPr="00B65833" w:rsidRDefault="002C552E" w:rsidP="002C552E">
            <w:pPr>
              <w:spacing w:before="40" w:after="20"/>
              <w:ind w:left="-57"/>
              <w:jc w:val="right"/>
              <w:rPr>
                <w:rFonts w:ascii="Arial Narrow" w:hAnsi="Arial Narrow" w:cs="Arial"/>
                <w:sz w:val="18"/>
                <w:szCs w:val="18"/>
              </w:rPr>
            </w:pPr>
            <w:r w:rsidRPr="00B65833">
              <w:rPr>
                <w:rFonts w:ascii="Arial Narrow" w:hAnsi="Arial Narrow" w:cs="Arial"/>
                <w:sz w:val="18"/>
                <w:szCs w:val="18"/>
              </w:rPr>
              <w:t>55.040</w:t>
            </w:r>
          </w:p>
        </w:tc>
        <w:tc>
          <w:tcPr>
            <w:tcW w:w="1064" w:type="dxa"/>
            <w:shd w:val="clear" w:color="auto" w:fill="auto"/>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0,0</w:t>
            </w:r>
          </w:p>
        </w:tc>
        <w:tc>
          <w:tcPr>
            <w:tcW w:w="992" w:type="dxa"/>
            <w:shd w:val="clear" w:color="auto" w:fill="D9D9D9" w:themeFill="background1" w:themeFillShade="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+0,1</w:t>
            </w:r>
          </w:p>
        </w:tc>
        <w:tc>
          <w:tcPr>
            <w:tcW w:w="993" w:type="dxa"/>
            <w:shd w:val="clear" w:color="auto" w:fill="auto"/>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+1,9</w:t>
            </w:r>
          </w:p>
        </w:tc>
        <w:tc>
          <w:tcPr>
            <w:tcW w:w="966" w:type="dxa"/>
            <w:shd w:val="clear" w:color="auto" w:fill="D9D9D9" w:themeFill="background1" w:themeFillShade="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+2,0</w:t>
            </w:r>
          </w:p>
        </w:tc>
        <w:tc>
          <w:tcPr>
            <w:tcW w:w="1585" w:type="dxa"/>
            <w:shd w:val="clear" w:color="auto" w:fill="auto"/>
            <w:vAlign w:val="bottom"/>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0,104</w:t>
            </w:r>
          </w:p>
        </w:tc>
        <w:tc>
          <w:tcPr>
            <w:tcW w:w="992" w:type="dxa"/>
            <w:shd w:val="clear" w:color="auto" w:fill="D9D9D9" w:themeFill="background1" w:themeFillShade="D9"/>
            <w:vAlign w:val="center"/>
          </w:tcPr>
          <w:p w:rsidR="002C552E" w:rsidRPr="002C552E" w:rsidRDefault="002C552E" w:rsidP="002C552E">
            <w:pPr>
              <w:spacing w:before="40" w:after="20"/>
              <w:ind w:left="-57"/>
              <w:jc w:val="right"/>
              <w:rPr>
                <w:rFonts w:ascii="Arial Narrow" w:hAnsi="Arial Narrow" w:cs="Arial"/>
                <w:sz w:val="18"/>
                <w:szCs w:val="18"/>
              </w:rPr>
            </w:pPr>
            <w:r w:rsidRPr="002C552E">
              <w:rPr>
                <w:rFonts w:ascii="Arial Narrow" w:hAnsi="Arial Narrow" w:cs="Arial"/>
                <w:sz w:val="18"/>
                <w:szCs w:val="18"/>
              </w:rPr>
              <w:t>+1,6</w:t>
            </w:r>
          </w:p>
        </w:tc>
      </w:tr>
      <w:tr w:rsidR="002C552E" w:rsidRPr="00CF6371" w:rsidTr="00ED70FA">
        <w:tblPrEx>
          <w:tblCellMar>
            <w:right w:w="70" w:type="dxa"/>
          </w:tblCellMar>
        </w:tblPrEx>
        <w:trPr>
          <w:trHeight w:val="255"/>
        </w:trPr>
        <w:tc>
          <w:tcPr>
            <w:tcW w:w="2698" w:type="dxa"/>
            <w:shd w:val="clear" w:color="auto" w:fill="808080"/>
            <w:vAlign w:val="center"/>
          </w:tcPr>
          <w:p w:rsidR="002C552E" w:rsidRPr="00C8504B" w:rsidRDefault="002C552E" w:rsidP="002C552E">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988" w:type="dxa"/>
            <w:shd w:val="clear" w:color="auto" w:fill="808080"/>
            <w:vAlign w:val="center"/>
          </w:tcPr>
          <w:p w:rsidR="002C552E" w:rsidRPr="00B65833" w:rsidRDefault="002C552E" w:rsidP="002C552E">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418.814</w:t>
            </w:r>
          </w:p>
        </w:tc>
        <w:tc>
          <w:tcPr>
            <w:tcW w:w="1064" w:type="dxa"/>
            <w:shd w:val="clear" w:color="auto" w:fill="8080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-0,3</w:t>
            </w:r>
          </w:p>
        </w:tc>
        <w:tc>
          <w:tcPr>
            <w:tcW w:w="992" w:type="dxa"/>
            <w:shd w:val="clear" w:color="auto" w:fill="8080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-0,2</w:t>
            </w:r>
          </w:p>
        </w:tc>
        <w:tc>
          <w:tcPr>
            <w:tcW w:w="993" w:type="dxa"/>
            <w:shd w:val="clear" w:color="auto" w:fill="8080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+3,8</w:t>
            </w:r>
          </w:p>
        </w:tc>
        <w:tc>
          <w:tcPr>
            <w:tcW w:w="966" w:type="dxa"/>
            <w:shd w:val="clear" w:color="auto" w:fill="8080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+3,9</w:t>
            </w:r>
          </w:p>
        </w:tc>
        <w:tc>
          <w:tcPr>
            <w:tcW w:w="1585" w:type="dxa"/>
            <w:shd w:val="clear" w:color="auto" w:fill="808080"/>
            <w:vAlign w:val="bottom"/>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1,599</w:t>
            </w:r>
          </w:p>
        </w:tc>
        <w:tc>
          <w:tcPr>
            <w:tcW w:w="992" w:type="dxa"/>
            <w:shd w:val="clear" w:color="auto" w:fill="808080"/>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+2,9</w:t>
            </w:r>
          </w:p>
        </w:tc>
      </w:tr>
      <w:tr w:rsidR="002C552E" w:rsidRPr="00CF6371" w:rsidTr="00ED70FA">
        <w:tblPrEx>
          <w:tblCellMar>
            <w:right w:w="70" w:type="dxa"/>
          </w:tblCellMar>
        </w:tblPrEx>
        <w:trPr>
          <w:trHeight w:val="255"/>
        </w:trPr>
        <w:tc>
          <w:tcPr>
            <w:tcW w:w="2698" w:type="dxa"/>
            <w:shd w:val="clear" w:color="auto" w:fill="E42618"/>
            <w:vAlign w:val="center"/>
          </w:tcPr>
          <w:p w:rsidR="002C552E" w:rsidRPr="00C8504B" w:rsidRDefault="002C552E" w:rsidP="002C552E">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988" w:type="dxa"/>
            <w:shd w:val="clear" w:color="auto" w:fill="E42618"/>
            <w:vAlign w:val="center"/>
          </w:tcPr>
          <w:p w:rsidR="002C552E" w:rsidRPr="00B65833" w:rsidRDefault="002C552E" w:rsidP="002C552E">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1.000.000</w:t>
            </w:r>
          </w:p>
        </w:tc>
        <w:tc>
          <w:tcPr>
            <w:tcW w:w="1064" w:type="dxa"/>
            <w:shd w:val="clear" w:color="auto" w:fill="E42618"/>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+3,4</w:t>
            </w:r>
          </w:p>
        </w:tc>
        <w:tc>
          <w:tcPr>
            <w:tcW w:w="992" w:type="dxa"/>
            <w:shd w:val="clear" w:color="auto" w:fill="E42618"/>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+0,7</w:t>
            </w:r>
          </w:p>
        </w:tc>
        <w:tc>
          <w:tcPr>
            <w:tcW w:w="993" w:type="dxa"/>
            <w:shd w:val="clear" w:color="auto" w:fill="E42618"/>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+11,8</w:t>
            </w:r>
          </w:p>
        </w:tc>
        <w:tc>
          <w:tcPr>
            <w:tcW w:w="966" w:type="dxa"/>
            <w:shd w:val="clear" w:color="auto" w:fill="E42618"/>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+8,9</w:t>
            </w:r>
          </w:p>
        </w:tc>
        <w:tc>
          <w:tcPr>
            <w:tcW w:w="1585" w:type="dxa"/>
            <w:shd w:val="clear" w:color="auto" w:fill="E42618"/>
            <w:vAlign w:val="bottom"/>
          </w:tcPr>
          <w:p w:rsidR="002C552E" w:rsidRPr="002C552E" w:rsidRDefault="002C552E" w:rsidP="002C552E">
            <w:pPr>
              <w:spacing w:before="40" w:after="20"/>
              <w:ind w:left="-57"/>
              <w:jc w:val="right"/>
              <w:rPr>
                <w:rFonts w:ascii="Arial Narrow" w:hAnsi="Arial Narrow" w:cs="Arial"/>
                <w:b/>
                <w:color w:val="FFFFFF" w:themeColor="background1"/>
                <w:sz w:val="18"/>
                <w:szCs w:val="18"/>
              </w:rPr>
            </w:pPr>
          </w:p>
        </w:tc>
        <w:tc>
          <w:tcPr>
            <w:tcW w:w="992" w:type="dxa"/>
            <w:shd w:val="clear" w:color="auto" w:fill="E42618"/>
            <w:vAlign w:val="center"/>
          </w:tcPr>
          <w:p w:rsidR="002C552E" w:rsidRPr="002C552E" w:rsidRDefault="002C552E" w:rsidP="002C552E">
            <w:pPr>
              <w:spacing w:before="40" w:after="20"/>
              <w:ind w:lef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+8,0</w:t>
            </w:r>
          </w:p>
        </w:tc>
      </w:tr>
    </w:tbl>
    <w:p w:rsidR="003232CA" w:rsidRDefault="003232CA" w:rsidP="003232CA">
      <w:pPr>
        <w:spacing w:before="60" w:after="120"/>
        <w:rPr>
          <w:szCs w:val="26"/>
        </w:rPr>
      </w:pPr>
    </w:p>
    <w:p w:rsidR="00F24676" w:rsidRPr="00C8504B" w:rsidRDefault="00F24676" w:rsidP="00F24676">
      <w:pPr>
        <w:pStyle w:val="001TitoloBolocco"/>
        <w:spacing w:after="120" w:line="240" w:lineRule="auto"/>
        <w:rPr>
          <w:szCs w:val="26"/>
        </w:rPr>
      </w:pPr>
      <w:r w:rsidRPr="00C8504B">
        <w:rPr>
          <w:szCs w:val="26"/>
        </w:rPr>
        <w:t>I prodotti per frequenza di acquisto</w:t>
      </w:r>
    </w:p>
    <w:p w:rsidR="00B87271" w:rsidRPr="00491FE4" w:rsidRDefault="00B87271" w:rsidP="00566441">
      <w:pPr>
        <w:spacing w:before="0" w:after="120"/>
        <w:rPr>
          <w:sz w:val="16"/>
          <w:szCs w:val="26"/>
        </w:rPr>
      </w:pPr>
    </w:p>
    <w:p w:rsidR="00A6652B" w:rsidRPr="00C8504B" w:rsidRDefault="00A6652B" w:rsidP="00A6652B">
      <w:pPr>
        <w:pStyle w:val="Corpotesto"/>
        <w:spacing w:after="120" w:line="240" w:lineRule="auto"/>
        <w:jc w:val="both"/>
        <w:rPr>
          <w:rFonts w:ascii="Arial Narrow" w:hAnsi="Arial Narrow" w:cs="Arial"/>
          <w:color w:val="5F5F5F"/>
        </w:rPr>
      </w:pPr>
      <w:r w:rsidRPr="00C8504B">
        <w:rPr>
          <w:rFonts w:ascii="Arial Narrow" w:hAnsi="Arial Narrow" w:cs="Arial"/>
          <w:b/>
          <w:color w:val="E42618"/>
          <w:kern w:val="0"/>
          <w:sz w:val="22"/>
          <w:szCs w:val="22"/>
        </w:rPr>
        <w:t xml:space="preserve">PROSPETTO </w:t>
      </w:r>
      <w:r w:rsidR="00E74721" w:rsidRPr="00C8504B">
        <w:rPr>
          <w:rFonts w:ascii="Arial Narrow" w:hAnsi="Arial Narrow" w:cs="Arial"/>
          <w:b/>
          <w:color w:val="E42618"/>
          <w:kern w:val="0"/>
          <w:sz w:val="22"/>
          <w:szCs w:val="22"/>
        </w:rPr>
        <w:t>5</w:t>
      </w:r>
      <w:r w:rsidRPr="00C8504B">
        <w:rPr>
          <w:rFonts w:ascii="Arial Narrow" w:hAnsi="Arial Narrow" w:cs="Arial"/>
          <w:b/>
          <w:color w:val="E42618"/>
          <w:kern w:val="0"/>
          <w:sz w:val="22"/>
          <w:szCs w:val="22"/>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 xml:space="preserve">INDICI DEI </w:t>
      </w:r>
      <w:r w:rsidRPr="00752767">
        <w:rPr>
          <w:rFonts w:ascii="Arial Narrow" w:hAnsi="Arial Narrow" w:cs="Calibri"/>
          <w:b/>
          <w:bCs/>
          <w:color w:val="5F5F5F"/>
          <w:kern w:val="0"/>
          <w:sz w:val="22"/>
          <w:szCs w:val="22"/>
        </w:rPr>
        <w:t>PREZZI AL CONSUMO NIC PER PRODOTTI</w:t>
      </w:r>
      <w:r w:rsidRPr="00C8504B">
        <w:rPr>
          <w:rFonts w:ascii="Arial Narrow" w:hAnsi="Arial Narrow" w:cs="Calibri"/>
          <w:b/>
          <w:bCs/>
          <w:color w:val="5F5F5F"/>
          <w:kern w:val="0"/>
          <w:sz w:val="22"/>
          <w:szCs w:val="22"/>
        </w:rPr>
        <w:t xml:space="preserve"> A DIVERSA FREQUENZA DI ACQUISTO</w:t>
      </w:r>
      <w:r w:rsidRPr="00C8504B">
        <w:rPr>
          <w:rFonts w:ascii="Arial Narrow" w:hAnsi="Arial Narrow" w:cs="Arial"/>
          <w:b/>
          <w:color w:val="5F5F5F"/>
          <w:sz w:val="22"/>
          <w:szCs w:val="22"/>
        </w:rPr>
        <w:br/>
      </w:r>
      <w:r w:rsidR="001E1AF5">
        <w:rPr>
          <w:rFonts w:ascii="Arial Narrow" w:hAnsi="Arial Narrow" w:cs="Arial"/>
          <w:color w:val="5F5F5F"/>
        </w:rPr>
        <w:t>Ottobre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xml:space="preserve">, pesi, variazioni percentuali </w:t>
      </w:r>
      <w:r w:rsidR="009E7068" w:rsidRPr="00C8504B">
        <w:rPr>
          <w:rFonts w:ascii="Arial Narrow" w:hAnsi="Arial Narrow" w:cs="Arial"/>
          <w:color w:val="5F5F5F"/>
        </w:rPr>
        <w:t>congiunturali</w:t>
      </w:r>
      <w:r w:rsidR="00625F9C" w:rsidRPr="00C8504B">
        <w:rPr>
          <w:rFonts w:ascii="Arial Narrow" w:hAnsi="Arial Narrow" w:cs="Arial"/>
          <w:color w:val="5F5F5F"/>
        </w:rPr>
        <w:t xml:space="preserve"> e tendenziali </w:t>
      </w:r>
      <w:r w:rsidRPr="00C8504B">
        <w:rPr>
          <w:rFonts w:ascii="Arial Narrow" w:hAnsi="Arial Narrow" w:cs="Arial"/>
          <w:color w:val="5F5F5F"/>
        </w:rPr>
        <w:t>e contributi alla variazione tendenziale dell’</w:t>
      </w:r>
      <w:r w:rsidR="007758FD" w:rsidRPr="00C8504B">
        <w:rPr>
          <w:rFonts w:ascii="Arial Narrow" w:hAnsi="Arial Narrow" w:cs="Arial"/>
          <w:color w:val="5F5F5F"/>
        </w:rPr>
        <w:t>indice generale (base 2015=100)</w:t>
      </w:r>
    </w:p>
    <w:tbl>
      <w:tblPr>
        <w:tblW w:w="10086" w:type="dxa"/>
        <w:jc w:val="center"/>
        <w:tblBorders>
          <w:top w:val="single" w:sz="4" w:space="0" w:color="auto"/>
          <w:bottom w:val="single" w:sz="4" w:space="0" w:color="auto"/>
          <w:insideH w:val="single" w:sz="4" w:space="0" w:color="auto"/>
        </w:tblBorders>
        <w:tblCellMar>
          <w:left w:w="70" w:type="dxa"/>
          <w:right w:w="0" w:type="dxa"/>
        </w:tblCellMar>
        <w:tblLook w:val="0000" w:firstRow="0" w:lastRow="0" w:firstColumn="0" w:lastColumn="0" w:noHBand="0" w:noVBand="0"/>
      </w:tblPr>
      <w:tblGrid>
        <w:gridCol w:w="1882"/>
        <w:gridCol w:w="1189"/>
        <w:gridCol w:w="1118"/>
        <w:gridCol w:w="1117"/>
        <w:gridCol w:w="1014"/>
        <w:gridCol w:w="1094"/>
        <w:gridCol w:w="40"/>
        <w:gridCol w:w="1577"/>
        <w:gridCol w:w="1055"/>
      </w:tblGrid>
      <w:tr w:rsidR="00B33C41" w:rsidRPr="00C8504B" w:rsidTr="00631826">
        <w:trPr>
          <w:trHeight w:val="347"/>
          <w:jc w:val="center"/>
        </w:trPr>
        <w:tc>
          <w:tcPr>
            <w:tcW w:w="1882" w:type="dxa"/>
            <w:vMerge w:val="restart"/>
            <w:vAlign w:val="center"/>
          </w:tcPr>
          <w:p w:rsidR="00B33C41" w:rsidRPr="00C8504B" w:rsidRDefault="00B33C41" w:rsidP="00B33C41">
            <w:pPr>
              <w:spacing w:before="40" w:after="20"/>
              <w:ind w:left="-57"/>
              <w:rPr>
                <w:rFonts w:ascii="Arial Narrow" w:hAnsi="Arial Narrow" w:cs="Arial"/>
                <w:sz w:val="18"/>
                <w:szCs w:val="18"/>
              </w:rPr>
            </w:pPr>
            <w:r w:rsidRPr="00C8504B">
              <w:rPr>
                <w:rFonts w:ascii="Arial Narrow" w:hAnsi="Arial Narrow" w:cs="Arial"/>
                <w:b/>
                <w:bCs/>
                <w:sz w:val="18"/>
                <w:szCs w:val="18"/>
              </w:rPr>
              <w:t>TIPOLOGIE DI PRODOTTO</w:t>
            </w:r>
          </w:p>
        </w:tc>
        <w:tc>
          <w:tcPr>
            <w:tcW w:w="1189" w:type="dxa"/>
            <w:vMerge w:val="restart"/>
            <w:shd w:val="clear" w:color="auto" w:fill="D9D9D9" w:themeFill="background1" w:themeFillShade="D9"/>
            <w:vAlign w:val="center"/>
          </w:tcPr>
          <w:p w:rsidR="00B33C41" w:rsidRPr="00C8504B" w:rsidRDefault="00B33C41" w:rsidP="00B33C41">
            <w:pPr>
              <w:spacing w:before="40" w:after="20"/>
              <w:ind w:right="57"/>
              <w:jc w:val="right"/>
              <w:rPr>
                <w:rFonts w:ascii="Arial Narrow" w:hAnsi="Arial Narrow" w:cs="Arial"/>
                <w:sz w:val="18"/>
                <w:szCs w:val="18"/>
              </w:rPr>
            </w:pPr>
            <w:r w:rsidRPr="00C8504B">
              <w:rPr>
                <w:rFonts w:ascii="Arial Narrow" w:hAnsi="Arial Narrow" w:cs="Arial"/>
                <w:b/>
                <w:bCs/>
                <w:sz w:val="18"/>
                <w:szCs w:val="18"/>
              </w:rPr>
              <w:t>Pesi</w:t>
            </w:r>
          </w:p>
        </w:tc>
        <w:tc>
          <w:tcPr>
            <w:tcW w:w="2235" w:type="dxa"/>
            <w:gridSpan w:val="2"/>
            <w:vAlign w:val="center"/>
          </w:tcPr>
          <w:p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2108" w:type="dxa"/>
            <w:gridSpan w:val="2"/>
            <w:shd w:val="clear" w:color="auto" w:fill="D9D9D9"/>
            <w:vAlign w:val="center"/>
          </w:tcPr>
          <w:p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617" w:type="dxa"/>
            <w:gridSpan w:val="2"/>
            <w:vMerge w:val="restart"/>
            <w:shd w:val="clear" w:color="auto" w:fill="auto"/>
            <w:vAlign w:val="center"/>
          </w:tcPr>
          <w:p w:rsidR="00B33C41" w:rsidRPr="00C8504B" w:rsidRDefault="00B33C41" w:rsidP="00B33C41">
            <w:pPr>
              <w:spacing w:before="40" w:after="20"/>
              <w:ind w:left="-46" w:right="57"/>
              <w:jc w:val="right"/>
              <w:rPr>
                <w:rFonts w:ascii="Arial Narrow" w:hAnsi="Arial Narrow" w:cs="Arial"/>
                <w:sz w:val="18"/>
                <w:szCs w:val="18"/>
                <w:highlight w:val="yellow"/>
              </w:rPr>
            </w:pPr>
            <w:r w:rsidRPr="00C8504B">
              <w:rPr>
                <w:rFonts w:ascii="Arial Narrow" w:hAnsi="Arial Narrow" w:cs="Arial"/>
                <w:b/>
                <w:bCs/>
                <w:sz w:val="18"/>
                <w:szCs w:val="18"/>
              </w:rPr>
              <w:t>Contributo alla variazione tendenziale dell’indice generale</w:t>
            </w:r>
          </w:p>
        </w:tc>
        <w:tc>
          <w:tcPr>
            <w:tcW w:w="1055" w:type="dxa"/>
            <w:vMerge w:val="restart"/>
            <w:shd w:val="clear" w:color="auto" w:fill="D9D9D9"/>
            <w:vAlign w:val="center"/>
          </w:tcPr>
          <w:p w:rsidR="00B33C41" w:rsidRPr="00C8504B" w:rsidRDefault="00B33C41" w:rsidP="001E1AF5">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sidR="00D64913">
              <w:rPr>
                <w:rFonts w:ascii="Arial Narrow" w:hAnsi="Arial Narrow" w:cs="Arial"/>
                <w:b/>
                <w:bCs/>
                <w:kern w:val="0"/>
                <w:sz w:val="18"/>
                <w:szCs w:val="18"/>
              </w:rPr>
              <w:t xml:space="preserve">          </w:t>
            </w:r>
            <w:r>
              <w:rPr>
                <w:rFonts w:ascii="Arial Narrow" w:hAnsi="Arial Narrow" w:cs="Arial"/>
                <w:b/>
                <w:bCs/>
                <w:kern w:val="0"/>
                <w:sz w:val="18"/>
                <w:szCs w:val="18"/>
              </w:rPr>
              <w:t xml:space="preserve"> a </w:t>
            </w:r>
            <w:r w:rsidR="001E1AF5">
              <w:rPr>
                <w:rFonts w:ascii="Arial Narrow" w:hAnsi="Arial Narrow" w:cs="Arial"/>
                <w:b/>
                <w:bCs/>
                <w:kern w:val="0"/>
                <w:sz w:val="18"/>
                <w:szCs w:val="18"/>
              </w:rPr>
              <w:t>ottobre</w:t>
            </w:r>
          </w:p>
        </w:tc>
      </w:tr>
      <w:tr w:rsidR="000F49FA" w:rsidRPr="00AF7AF5" w:rsidTr="00476619">
        <w:trPr>
          <w:trHeight w:val="346"/>
          <w:jc w:val="center"/>
        </w:trPr>
        <w:tc>
          <w:tcPr>
            <w:tcW w:w="1882" w:type="dxa"/>
            <w:vMerge/>
            <w:vAlign w:val="center"/>
          </w:tcPr>
          <w:p w:rsidR="000F49FA" w:rsidRPr="00C8504B" w:rsidRDefault="000F49FA" w:rsidP="000F49FA">
            <w:pPr>
              <w:spacing w:before="40" w:after="20"/>
              <w:ind w:left="-57"/>
              <w:rPr>
                <w:rFonts w:ascii="Arial Narrow" w:hAnsi="Arial Narrow" w:cs="Arial"/>
                <w:b/>
                <w:bCs/>
                <w:sz w:val="18"/>
                <w:szCs w:val="18"/>
              </w:rPr>
            </w:pPr>
          </w:p>
        </w:tc>
        <w:tc>
          <w:tcPr>
            <w:tcW w:w="1189" w:type="dxa"/>
            <w:vMerge/>
            <w:shd w:val="clear" w:color="auto" w:fill="D9D9D9" w:themeFill="background1" w:themeFillShade="D9"/>
            <w:vAlign w:val="center"/>
          </w:tcPr>
          <w:p w:rsidR="000F49FA" w:rsidRPr="00C8504B" w:rsidRDefault="000F49FA" w:rsidP="000F49FA">
            <w:pPr>
              <w:spacing w:before="40" w:after="20"/>
              <w:ind w:right="57"/>
              <w:jc w:val="right"/>
              <w:rPr>
                <w:rFonts w:ascii="Arial Narrow" w:hAnsi="Arial Narrow" w:cs="Arial"/>
                <w:b/>
                <w:bCs/>
                <w:sz w:val="18"/>
                <w:szCs w:val="18"/>
              </w:rPr>
            </w:pPr>
          </w:p>
        </w:tc>
        <w:tc>
          <w:tcPr>
            <w:tcW w:w="1118"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E03E58" w:rsidRDefault="000F49FA" w:rsidP="000F49FA">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set-22</w:t>
            </w:r>
          </w:p>
        </w:tc>
        <w:tc>
          <w:tcPr>
            <w:tcW w:w="1117"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ott-21</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1014"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ott-21</w:t>
            </w:r>
          </w:p>
        </w:tc>
        <w:tc>
          <w:tcPr>
            <w:tcW w:w="1094"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sett21</w:t>
            </w:r>
          </w:p>
        </w:tc>
        <w:tc>
          <w:tcPr>
            <w:tcW w:w="1617" w:type="dxa"/>
            <w:gridSpan w:val="2"/>
            <w:vMerge/>
            <w:shd w:val="clear" w:color="auto" w:fill="auto"/>
            <w:vAlign w:val="center"/>
          </w:tcPr>
          <w:p w:rsidR="000F49FA" w:rsidRPr="00C8504B" w:rsidRDefault="000F49FA" w:rsidP="000F49FA">
            <w:pPr>
              <w:spacing w:before="40" w:after="20"/>
              <w:ind w:left="-46" w:right="57"/>
              <w:jc w:val="right"/>
              <w:rPr>
                <w:rFonts w:ascii="Arial Narrow" w:hAnsi="Arial Narrow" w:cs="Arial"/>
                <w:b/>
                <w:bCs/>
                <w:snapToGrid w:val="0"/>
                <w:sz w:val="18"/>
                <w:szCs w:val="18"/>
              </w:rPr>
            </w:pPr>
          </w:p>
        </w:tc>
        <w:tc>
          <w:tcPr>
            <w:tcW w:w="1055" w:type="dxa"/>
            <w:vMerge/>
            <w:shd w:val="clear" w:color="auto" w:fill="D9D9D9"/>
            <w:vAlign w:val="center"/>
          </w:tcPr>
          <w:p w:rsidR="000F49FA" w:rsidRPr="00C8504B" w:rsidRDefault="000F49FA" w:rsidP="000F49FA">
            <w:pPr>
              <w:spacing w:before="40" w:after="20"/>
              <w:ind w:right="57"/>
              <w:jc w:val="right"/>
              <w:rPr>
                <w:rFonts w:ascii="Arial Narrow" w:hAnsi="Arial Narrow" w:cs="Arial"/>
                <w:b/>
                <w:bCs/>
                <w:snapToGrid w:val="0"/>
                <w:sz w:val="18"/>
                <w:szCs w:val="18"/>
              </w:rPr>
            </w:pPr>
          </w:p>
        </w:tc>
      </w:tr>
      <w:tr w:rsidR="002C552E" w:rsidRPr="00C8504B" w:rsidTr="00ED70FA">
        <w:trPr>
          <w:trHeight w:val="134"/>
          <w:jc w:val="center"/>
        </w:trPr>
        <w:tc>
          <w:tcPr>
            <w:tcW w:w="1882" w:type="dxa"/>
            <w:vAlign w:val="center"/>
          </w:tcPr>
          <w:p w:rsidR="002C552E" w:rsidRPr="00C8504B" w:rsidRDefault="002C552E" w:rsidP="002C552E">
            <w:pPr>
              <w:spacing w:before="40" w:after="20"/>
              <w:ind w:left="-57"/>
              <w:rPr>
                <w:rFonts w:ascii="Arial Narrow" w:hAnsi="Arial Narrow" w:cs="Arial"/>
                <w:sz w:val="18"/>
                <w:szCs w:val="18"/>
              </w:rPr>
            </w:pPr>
            <w:r w:rsidRPr="00C8504B">
              <w:rPr>
                <w:rFonts w:ascii="Arial Narrow" w:hAnsi="Arial Narrow" w:cs="Arial"/>
                <w:sz w:val="18"/>
                <w:szCs w:val="18"/>
              </w:rPr>
              <w:t>Alta frequenza</w:t>
            </w:r>
          </w:p>
        </w:tc>
        <w:tc>
          <w:tcPr>
            <w:tcW w:w="1189" w:type="dxa"/>
            <w:shd w:val="clear" w:color="auto" w:fill="D9D9D9"/>
            <w:vAlign w:val="center"/>
          </w:tcPr>
          <w:p w:rsidR="002C552E" w:rsidRPr="00622A93" w:rsidRDefault="002C552E" w:rsidP="002C552E">
            <w:pPr>
              <w:spacing w:before="40" w:after="20"/>
              <w:ind w:left="-57" w:right="57"/>
              <w:jc w:val="right"/>
              <w:rPr>
                <w:rFonts w:ascii="Arial Narrow" w:hAnsi="Arial Narrow" w:cs="Arial"/>
                <w:sz w:val="18"/>
                <w:szCs w:val="18"/>
              </w:rPr>
            </w:pPr>
            <w:r w:rsidRPr="00622A93">
              <w:rPr>
                <w:rFonts w:ascii="Arial Narrow" w:hAnsi="Arial Narrow" w:cs="Arial"/>
                <w:sz w:val="18"/>
                <w:szCs w:val="18"/>
              </w:rPr>
              <w:t>414.890</w:t>
            </w:r>
          </w:p>
        </w:tc>
        <w:tc>
          <w:tcPr>
            <w:tcW w:w="1118" w:type="dxa"/>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+1,0</w:t>
            </w:r>
          </w:p>
        </w:tc>
        <w:tc>
          <w:tcPr>
            <w:tcW w:w="1117" w:type="dxa"/>
            <w:shd w:val="clear" w:color="auto" w:fill="D9D9D9"/>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+0,6</w:t>
            </w:r>
          </w:p>
        </w:tc>
        <w:tc>
          <w:tcPr>
            <w:tcW w:w="1014" w:type="dxa"/>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+8,9</w:t>
            </w:r>
          </w:p>
        </w:tc>
        <w:tc>
          <w:tcPr>
            <w:tcW w:w="1134" w:type="dxa"/>
            <w:gridSpan w:val="2"/>
            <w:shd w:val="clear" w:color="auto" w:fill="D9D9D9"/>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+8,4</w:t>
            </w:r>
          </w:p>
        </w:tc>
        <w:tc>
          <w:tcPr>
            <w:tcW w:w="1577" w:type="dxa"/>
            <w:shd w:val="clear" w:color="auto" w:fill="auto"/>
            <w:vAlign w:val="bottom"/>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3,681</w:t>
            </w:r>
          </w:p>
        </w:tc>
        <w:tc>
          <w:tcPr>
            <w:tcW w:w="1055" w:type="dxa"/>
            <w:shd w:val="clear" w:color="auto" w:fill="D9D9D9"/>
            <w:tcMar>
              <w:right w:w="57" w:type="dxa"/>
            </w:tcMar>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+7,2</w:t>
            </w:r>
          </w:p>
        </w:tc>
      </w:tr>
      <w:tr w:rsidR="002C552E" w:rsidRPr="00C8504B" w:rsidTr="00ED70FA">
        <w:trPr>
          <w:trHeight w:val="255"/>
          <w:jc w:val="center"/>
        </w:trPr>
        <w:tc>
          <w:tcPr>
            <w:tcW w:w="1882" w:type="dxa"/>
            <w:vAlign w:val="center"/>
          </w:tcPr>
          <w:p w:rsidR="002C552E" w:rsidRPr="00C8504B" w:rsidRDefault="002C552E" w:rsidP="002C552E">
            <w:pPr>
              <w:spacing w:before="40" w:after="20"/>
              <w:ind w:left="-57"/>
              <w:rPr>
                <w:rFonts w:ascii="Arial Narrow" w:hAnsi="Arial Narrow" w:cs="Arial"/>
                <w:sz w:val="18"/>
                <w:szCs w:val="18"/>
              </w:rPr>
            </w:pPr>
            <w:r w:rsidRPr="00C8504B">
              <w:rPr>
                <w:rFonts w:ascii="Arial Narrow" w:hAnsi="Arial Narrow" w:cs="Arial"/>
                <w:sz w:val="18"/>
                <w:szCs w:val="18"/>
              </w:rPr>
              <w:t xml:space="preserve">Media frequenza </w:t>
            </w:r>
          </w:p>
        </w:tc>
        <w:tc>
          <w:tcPr>
            <w:tcW w:w="1189" w:type="dxa"/>
            <w:shd w:val="clear" w:color="auto" w:fill="D9D9D9"/>
            <w:vAlign w:val="center"/>
          </w:tcPr>
          <w:p w:rsidR="002C552E" w:rsidRPr="00622A93" w:rsidRDefault="002C552E" w:rsidP="002C552E">
            <w:pPr>
              <w:spacing w:before="40" w:after="20"/>
              <w:ind w:left="-57" w:right="57"/>
              <w:jc w:val="right"/>
              <w:rPr>
                <w:rFonts w:ascii="Arial Narrow" w:hAnsi="Arial Narrow" w:cs="Arial"/>
                <w:sz w:val="18"/>
                <w:szCs w:val="18"/>
              </w:rPr>
            </w:pPr>
            <w:r w:rsidRPr="00622A93">
              <w:rPr>
                <w:rFonts w:ascii="Arial Narrow" w:hAnsi="Arial Narrow" w:cs="Arial"/>
                <w:sz w:val="18"/>
                <w:szCs w:val="18"/>
              </w:rPr>
              <w:t>387.426</w:t>
            </w:r>
          </w:p>
        </w:tc>
        <w:tc>
          <w:tcPr>
            <w:tcW w:w="1118" w:type="dxa"/>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+7,3</w:t>
            </w:r>
          </w:p>
        </w:tc>
        <w:tc>
          <w:tcPr>
            <w:tcW w:w="1117" w:type="dxa"/>
            <w:shd w:val="clear" w:color="auto" w:fill="D9D9D9"/>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+1,1</w:t>
            </w:r>
          </w:p>
        </w:tc>
        <w:tc>
          <w:tcPr>
            <w:tcW w:w="1014" w:type="dxa"/>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+18,7</w:t>
            </w:r>
          </w:p>
        </w:tc>
        <w:tc>
          <w:tcPr>
            <w:tcW w:w="1134" w:type="dxa"/>
            <w:gridSpan w:val="2"/>
            <w:shd w:val="clear" w:color="auto" w:fill="D9D9D9"/>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+11,9</w:t>
            </w:r>
          </w:p>
        </w:tc>
        <w:tc>
          <w:tcPr>
            <w:tcW w:w="1577" w:type="dxa"/>
            <w:shd w:val="clear" w:color="auto" w:fill="auto"/>
            <w:vAlign w:val="bottom"/>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7,255</w:t>
            </w:r>
          </w:p>
        </w:tc>
        <w:tc>
          <w:tcPr>
            <w:tcW w:w="1055" w:type="dxa"/>
            <w:shd w:val="clear" w:color="auto" w:fill="D9D9D9"/>
            <w:tcMar>
              <w:right w:w="57" w:type="dxa"/>
            </w:tcMar>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+11,6</w:t>
            </w:r>
          </w:p>
        </w:tc>
      </w:tr>
      <w:tr w:rsidR="002C552E" w:rsidRPr="00C8504B" w:rsidTr="00ED70FA">
        <w:trPr>
          <w:trHeight w:val="255"/>
          <w:jc w:val="center"/>
        </w:trPr>
        <w:tc>
          <w:tcPr>
            <w:tcW w:w="1882" w:type="dxa"/>
            <w:vAlign w:val="center"/>
          </w:tcPr>
          <w:p w:rsidR="002C552E" w:rsidRPr="00C8504B" w:rsidRDefault="002C552E" w:rsidP="002C552E">
            <w:pPr>
              <w:spacing w:before="40" w:after="20"/>
              <w:ind w:left="-57"/>
              <w:rPr>
                <w:rFonts w:ascii="Arial Narrow" w:hAnsi="Arial Narrow" w:cs="Arial"/>
                <w:sz w:val="18"/>
                <w:szCs w:val="18"/>
              </w:rPr>
            </w:pPr>
            <w:r w:rsidRPr="00C8504B">
              <w:rPr>
                <w:rFonts w:ascii="Arial Narrow" w:hAnsi="Arial Narrow" w:cs="Arial"/>
                <w:sz w:val="18"/>
                <w:szCs w:val="18"/>
              </w:rPr>
              <w:t xml:space="preserve">Bassa frequenza </w:t>
            </w:r>
          </w:p>
        </w:tc>
        <w:tc>
          <w:tcPr>
            <w:tcW w:w="1189" w:type="dxa"/>
            <w:shd w:val="clear" w:color="auto" w:fill="D9D9D9"/>
            <w:vAlign w:val="center"/>
          </w:tcPr>
          <w:p w:rsidR="002C552E" w:rsidRPr="00622A93" w:rsidRDefault="002C552E" w:rsidP="002C552E">
            <w:pPr>
              <w:spacing w:before="40" w:after="20"/>
              <w:ind w:left="-57" w:right="57"/>
              <w:jc w:val="right"/>
              <w:rPr>
                <w:rFonts w:ascii="Arial Narrow" w:hAnsi="Arial Narrow" w:cs="Arial"/>
                <w:sz w:val="18"/>
                <w:szCs w:val="18"/>
              </w:rPr>
            </w:pPr>
            <w:r w:rsidRPr="00622A93">
              <w:rPr>
                <w:rFonts w:ascii="Arial Narrow" w:hAnsi="Arial Narrow" w:cs="Arial"/>
                <w:sz w:val="18"/>
                <w:szCs w:val="18"/>
              </w:rPr>
              <w:t>197.684</w:t>
            </w:r>
          </w:p>
        </w:tc>
        <w:tc>
          <w:tcPr>
            <w:tcW w:w="1118" w:type="dxa"/>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+0,5</w:t>
            </w:r>
          </w:p>
        </w:tc>
        <w:tc>
          <w:tcPr>
            <w:tcW w:w="1117" w:type="dxa"/>
            <w:shd w:val="clear" w:color="auto" w:fill="D9D9D9"/>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-0,1</w:t>
            </w:r>
          </w:p>
        </w:tc>
        <w:tc>
          <w:tcPr>
            <w:tcW w:w="1014" w:type="dxa"/>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+4,5</w:t>
            </w:r>
          </w:p>
        </w:tc>
        <w:tc>
          <w:tcPr>
            <w:tcW w:w="1134" w:type="dxa"/>
            <w:gridSpan w:val="2"/>
            <w:shd w:val="clear" w:color="auto" w:fill="D9D9D9"/>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+3,9</w:t>
            </w:r>
          </w:p>
        </w:tc>
        <w:tc>
          <w:tcPr>
            <w:tcW w:w="1577" w:type="dxa"/>
            <w:shd w:val="clear" w:color="auto" w:fill="auto"/>
            <w:vAlign w:val="bottom"/>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0,878</w:t>
            </w:r>
          </w:p>
        </w:tc>
        <w:tc>
          <w:tcPr>
            <w:tcW w:w="1055" w:type="dxa"/>
            <w:shd w:val="clear" w:color="auto" w:fill="D9D9D9"/>
            <w:tcMar>
              <w:right w:w="57" w:type="dxa"/>
            </w:tcMar>
            <w:vAlign w:val="center"/>
          </w:tcPr>
          <w:p w:rsidR="002C552E" w:rsidRPr="002C552E" w:rsidRDefault="002C552E" w:rsidP="002C552E">
            <w:pPr>
              <w:spacing w:before="40" w:after="20"/>
              <w:ind w:left="-57" w:right="57"/>
              <w:jc w:val="right"/>
              <w:rPr>
                <w:rFonts w:ascii="Arial Narrow" w:hAnsi="Arial Narrow" w:cs="Arial"/>
                <w:sz w:val="18"/>
                <w:szCs w:val="18"/>
              </w:rPr>
            </w:pPr>
            <w:r w:rsidRPr="002C552E">
              <w:rPr>
                <w:rFonts w:ascii="Arial Narrow" w:hAnsi="Arial Narrow" w:cs="Arial"/>
                <w:sz w:val="18"/>
                <w:szCs w:val="18"/>
              </w:rPr>
              <w:t>+2,9</w:t>
            </w:r>
          </w:p>
        </w:tc>
      </w:tr>
      <w:tr w:rsidR="002C552E" w:rsidRPr="00C8504B" w:rsidTr="00ED70FA">
        <w:trPr>
          <w:trHeight w:val="255"/>
          <w:jc w:val="center"/>
        </w:trPr>
        <w:tc>
          <w:tcPr>
            <w:tcW w:w="1882" w:type="dxa"/>
            <w:shd w:val="clear" w:color="auto" w:fill="E42618"/>
            <w:vAlign w:val="center"/>
          </w:tcPr>
          <w:p w:rsidR="002C552E" w:rsidRPr="00476619" w:rsidRDefault="002C552E" w:rsidP="002C552E">
            <w:pPr>
              <w:spacing w:before="40" w:after="20"/>
              <w:ind w:left="-57"/>
              <w:rPr>
                <w:rFonts w:ascii="Arial Narrow" w:hAnsi="Arial Narrow" w:cs="Arial"/>
                <w:b/>
                <w:color w:val="FFFFFF" w:themeColor="background1"/>
                <w:sz w:val="18"/>
                <w:szCs w:val="18"/>
              </w:rPr>
            </w:pPr>
            <w:r w:rsidRPr="00476619">
              <w:rPr>
                <w:rFonts w:ascii="Arial Narrow" w:hAnsi="Arial Narrow" w:cs="Arial"/>
                <w:b/>
                <w:color w:val="FFFFFF" w:themeColor="background1"/>
                <w:sz w:val="18"/>
                <w:szCs w:val="18"/>
              </w:rPr>
              <w:t>Indice generale</w:t>
            </w:r>
          </w:p>
        </w:tc>
        <w:tc>
          <w:tcPr>
            <w:tcW w:w="1189" w:type="dxa"/>
            <w:shd w:val="clear" w:color="auto" w:fill="E42618"/>
            <w:vAlign w:val="center"/>
          </w:tcPr>
          <w:p w:rsidR="002C552E" w:rsidRPr="00622A93" w:rsidRDefault="002C552E" w:rsidP="002C552E">
            <w:pPr>
              <w:spacing w:before="40" w:after="20"/>
              <w:ind w:left="-57" w:right="57"/>
              <w:jc w:val="right"/>
              <w:rPr>
                <w:rFonts w:ascii="Arial Narrow" w:hAnsi="Arial Narrow" w:cs="Arial"/>
                <w:b/>
                <w:color w:val="FFFFFF" w:themeColor="background1"/>
                <w:sz w:val="18"/>
                <w:szCs w:val="18"/>
              </w:rPr>
            </w:pPr>
            <w:r w:rsidRPr="00622A93">
              <w:rPr>
                <w:rFonts w:ascii="Arial Narrow" w:hAnsi="Arial Narrow" w:cs="Arial"/>
                <w:b/>
                <w:color w:val="FFFFFF" w:themeColor="background1"/>
                <w:sz w:val="18"/>
                <w:szCs w:val="18"/>
              </w:rPr>
              <w:t>1.000.000</w:t>
            </w:r>
          </w:p>
        </w:tc>
        <w:tc>
          <w:tcPr>
            <w:tcW w:w="1118" w:type="dxa"/>
            <w:shd w:val="clear" w:color="auto" w:fill="E42618"/>
            <w:vAlign w:val="center"/>
          </w:tcPr>
          <w:p w:rsidR="002C552E" w:rsidRPr="002C552E" w:rsidRDefault="002C552E" w:rsidP="002C552E">
            <w:pPr>
              <w:spacing w:before="40" w:after="20"/>
              <w:ind w:left="-57"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+3,4</w:t>
            </w:r>
          </w:p>
        </w:tc>
        <w:tc>
          <w:tcPr>
            <w:tcW w:w="1117" w:type="dxa"/>
            <w:shd w:val="clear" w:color="auto" w:fill="E42618"/>
            <w:vAlign w:val="center"/>
          </w:tcPr>
          <w:p w:rsidR="002C552E" w:rsidRPr="002C552E" w:rsidRDefault="002C552E" w:rsidP="002C552E">
            <w:pPr>
              <w:spacing w:before="40" w:after="20"/>
              <w:ind w:left="-57"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+0,7</w:t>
            </w:r>
          </w:p>
        </w:tc>
        <w:tc>
          <w:tcPr>
            <w:tcW w:w="1014" w:type="dxa"/>
            <w:shd w:val="clear" w:color="auto" w:fill="E42618"/>
            <w:vAlign w:val="center"/>
          </w:tcPr>
          <w:p w:rsidR="002C552E" w:rsidRPr="002C552E" w:rsidRDefault="002C552E" w:rsidP="002C552E">
            <w:pPr>
              <w:spacing w:before="40" w:after="20"/>
              <w:ind w:left="-57"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+11,8</w:t>
            </w:r>
          </w:p>
        </w:tc>
        <w:tc>
          <w:tcPr>
            <w:tcW w:w="1134" w:type="dxa"/>
            <w:gridSpan w:val="2"/>
            <w:shd w:val="clear" w:color="auto" w:fill="E42618"/>
            <w:vAlign w:val="center"/>
          </w:tcPr>
          <w:p w:rsidR="002C552E" w:rsidRPr="002C552E" w:rsidRDefault="002C552E" w:rsidP="002C552E">
            <w:pPr>
              <w:spacing w:before="40" w:after="20"/>
              <w:ind w:left="-57"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+8,9</w:t>
            </w:r>
          </w:p>
        </w:tc>
        <w:tc>
          <w:tcPr>
            <w:tcW w:w="1577" w:type="dxa"/>
            <w:shd w:val="clear" w:color="auto" w:fill="E42618"/>
            <w:vAlign w:val="bottom"/>
          </w:tcPr>
          <w:p w:rsidR="002C552E" w:rsidRPr="002C552E" w:rsidRDefault="002C552E" w:rsidP="002C552E">
            <w:pPr>
              <w:spacing w:before="40" w:after="20"/>
              <w:ind w:left="-57" w:right="57"/>
              <w:jc w:val="right"/>
              <w:rPr>
                <w:rFonts w:ascii="Arial Narrow" w:hAnsi="Arial Narrow" w:cs="Arial"/>
                <w:b/>
                <w:color w:val="FFFFFF" w:themeColor="background1"/>
                <w:sz w:val="18"/>
                <w:szCs w:val="18"/>
              </w:rPr>
            </w:pPr>
          </w:p>
        </w:tc>
        <w:tc>
          <w:tcPr>
            <w:tcW w:w="1055" w:type="dxa"/>
            <w:shd w:val="clear" w:color="auto" w:fill="E42618"/>
            <w:tcMar>
              <w:right w:w="57" w:type="dxa"/>
            </w:tcMar>
            <w:vAlign w:val="center"/>
          </w:tcPr>
          <w:p w:rsidR="002C552E" w:rsidRPr="002C552E" w:rsidRDefault="002C552E" w:rsidP="002C552E">
            <w:pPr>
              <w:spacing w:before="40" w:after="20"/>
              <w:ind w:left="-57" w:right="57"/>
              <w:jc w:val="right"/>
              <w:rPr>
                <w:rFonts w:ascii="Arial Narrow" w:hAnsi="Arial Narrow" w:cs="Arial"/>
                <w:b/>
                <w:color w:val="FFFFFF" w:themeColor="background1"/>
                <w:sz w:val="18"/>
                <w:szCs w:val="18"/>
              </w:rPr>
            </w:pPr>
            <w:r w:rsidRPr="002C552E">
              <w:rPr>
                <w:rFonts w:ascii="Arial Narrow" w:hAnsi="Arial Narrow" w:cs="Arial"/>
                <w:b/>
                <w:color w:val="FFFFFF" w:themeColor="background1"/>
                <w:sz w:val="18"/>
                <w:szCs w:val="18"/>
              </w:rPr>
              <w:t>+8,0</w:t>
            </w:r>
          </w:p>
        </w:tc>
      </w:tr>
    </w:tbl>
    <w:p w:rsidR="00E00390" w:rsidRPr="00C8504B" w:rsidRDefault="0047143B" w:rsidP="00A64388">
      <w:pPr>
        <w:pStyle w:val="001TitoloBolocco"/>
        <w:spacing w:after="120" w:line="240" w:lineRule="auto"/>
        <w:rPr>
          <w:sz w:val="20"/>
          <w:szCs w:val="20"/>
        </w:rPr>
      </w:pPr>
      <w:r w:rsidRPr="00C8504B">
        <w:rPr>
          <w:szCs w:val="26"/>
        </w:rPr>
        <w:br w:type="page"/>
      </w:r>
    </w:p>
    <w:p w:rsidR="00C7029E" w:rsidRPr="009A24B3" w:rsidRDefault="00C7029E" w:rsidP="009A24B3">
      <w:pPr>
        <w:tabs>
          <w:tab w:val="left" w:pos="2940"/>
        </w:tabs>
        <w:spacing w:before="0" w:after="120"/>
        <w:jc w:val="both"/>
        <w:rPr>
          <w:rFonts w:ascii="Arial" w:hAnsi="Arial" w:cs="Arial"/>
          <w:iCs/>
          <w:sz w:val="21"/>
          <w:szCs w:val="21"/>
        </w:rPr>
      </w:pPr>
    </w:p>
    <w:p w:rsidR="00A64388" w:rsidRPr="00C8504B" w:rsidRDefault="00A64388" w:rsidP="00BD0487">
      <w:pPr>
        <w:pStyle w:val="001TitoloBolocco"/>
        <w:spacing w:after="120" w:line="240" w:lineRule="auto"/>
        <w:rPr>
          <w:szCs w:val="26"/>
        </w:rPr>
      </w:pPr>
      <w:r w:rsidRPr="00C8504B">
        <w:rPr>
          <w:szCs w:val="26"/>
        </w:rPr>
        <w:t>I dati del territorio</w:t>
      </w:r>
    </w:p>
    <w:p w:rsidR="003C45C2" w:rsidRPr="00182C91" w:rsidRDefault="003C45C2" w:rsidP="003C45C2">
      <w:pPr>
        <w:tabs>
          <w:tab w:val="left" w:pos="2940"/>
        </w:tabs>
        <w:spacing w:before="0" w:after="120"/>
        <w:jc w:val="both"/>
        <w:rPr>
          <w:rFonts w:ascii="Arial" w:hAnsi="Arial" w:cs="Arial"/>
          <w:iCs/>
          <w:sz w:val="21"/>
          <w:szCs w:val="21"/>
        </w:rPr>
      </w:pPr>
      <w:r w:rsidRPr="008148E1">
        <w:rPr>
          <w:rFonts w:ascii="Arial" w:hAnsi="Arial" w:cs="Arial"/>
          <w:iCs/>
          <w:sz w:val="21"/>
          <w:szCs w:val="21"/>
        </w:rPr>
        <w:t>A</w:t>
      </w:r>
      <w:r>
        <w:rPr>
          <w:rFonts w:ascii="Arial" w:hAnsi="Arial" w:cs="Arial"/>
          <w:iCs/>
          <w:sz w:val="21"/>
          <w:szCs w:val="21"/>
        </w:rPr>
        <w:t xml:space="preserve"> </w:t>
      </w:r>
      <w:r w:rsidR="000E199B">
        <w:rPr>
          <w:rFonts w:ascii="Arial" w:hAnsi="Arial" w:cs="Arial"/>
          <w:iCs/>
          <w:sz w:val="21"/>
          <w:szCs w:val="21"/>
        </w:rPr>
        <w:t>ottobre</w:t>
      </w:r>
      <w:r>
        <w:rPr>
          <w:rFonts w:ascii="Arial" w:hAnsi="Arial" w:cs="Arial"/>
          <w:iCs/>
          <w:sz w:val="21"/>
          <w:szCs w:val="21"/>
        </w:rPr>
        <w:t xml:space="preserve"> </w:t>
      </w:r>
      <w:r w:rsidRPr="007533A4">
        <w:rPr>
          <w:rFonts w:ascii="Arial" w:hAnsi="Arial" w:cs="Arial"/>
          <w:iCs/>
          <w:sz w:val="21"/>
          <w:szCs w:val="21"/>
        </w:rPr>
        <w:t xml:space="preserve">l’inflazione </w:t>
      </w:r>
      <w:r>
        <w:rPr>
          <w:rFonts w:ascii="Arial" w:hAnsi="Arial" w:cs="Arial"/>
          <w:iCs/>
          <w:sz w:val="21"/>
          <w:szCs w:val="21"/>
        </w:rPr>
        <w:t>nel</w:t>
      </w:r>
      <w:r w:rsidRPr="007533A4">
        <w:rPr>
          <w:rFonts w:ascii="Arial" w:hAnsi="Arial" w:cs="Arial"/>
          <w:iCs/>
          <w:sz w:val="21"/>
          <w:szCs w:val="21"/>
        </w:rPr>
        <w:t xml:space="preserve">le </w:t>
      </w:r>
      <w:r>
        <w:rPr>
          <w:rFonts w:ascii="Arial" w:hAnsi="Arial" w:cs="Arial"/>
          <w:iCs/>
          <w:sz w:val="21"/>
          <w:szCs w:val="21"/>
        </w:rPr>
        <w:t xml:space="preserve">diverse </w:t>
      </w:r>
      <w:r w:rsidRPr="007533A4">
        <w:rPr>
          <w:rFonts w:ascii="Arial" w:hAnsi="Arial" w:cs="Arial"/>
          <w:iCs/>
          <w:sz w:val="21"/>
          <w:szCs w:val="21"/>
        </w:rPr>
        <w:t xml:space="preserve">ripartizioni geografiche (Figura 5) </w:t>
      </w:r>
      <w:r>
        <w:rPr>
          <w:rFonts w:ascii="Arial" w:hAnsi="Arial" w:cs="Arial"/>
          <w:iCs/>
          <w:sz w:val="21"/>
          <w:szCs w:val="21"/>
        </w:rPr>
        <w:t xml:space="preserve">è più alta di quella nazionale nelle </w:t>
      </w:r>
      <w:r w:rsidRPr="00182C91">
        <w:rPr>
          <w:rFonts w:ascii="Arial" w:hAnsi="Arial" w:cs="Arial"/>
          <w:iCs/>
          <w:sz w:val="21"/>
          <w:szCs w:val="21"/>
        </w:rPr>
        <w:t>Isole (in accelerazione da +</w:t>
      </w:r>
      <w:r w:rsidR="000E199B">
        <w:rPr>
          <w:rFonts w:ascii="Arial" w:hAnsi="Arial" w:cs="Arial"/>
          <w:iCs/>
          <w:sz w:val="21"/>
          <w:szCs w:val="21"/>
        </w:rPr>
        <w:t>10,2</w:t>
      </w:r>
      <w:r>
        <w:rPr>
          <w:rFonts w:ascii="Arial" w:hAnsi="Arial" w:cs="Arial"/>
          <w:iCs/>
          <w:sz w:val="21"/>
          <w:szCs w:val="21"/>
        </w:rPr>
        <w:t>% a +</w:t>
      </w:r>
      <w:r w:rsidR="00782F78">
        <w:rPr>
          <w:rFonts w:ascii="Arial" w:hAnsi="Arial" w:cs="Arial"/>
          <w:iCs/>
          <w:sz w:val="21"/>
          <w:szCs w:val="21"/>
        </w:rPr>
        <w:t>14,2</w:t>
      </w:r>
      <w:r>
        <w:rPr>
          <w:rFonts w:ascii="Arial" w:hAnsi="Arial" w:cs="Arial"/>
          <w:iCs/>
          <w:sz w:val="21"/>
          <w:szCs w:val="21"/>
        </w:rPr>
        <w:t>%</w:t>
      </w:r>
      <w:r w:rsidRPr="00182C91">
        <w:rPr>
          <w:rFonts w:ascii="Arial" w:hAnsi="Arial" w:cs="Arial"/>
          <w:iCs/>
          <w:sz w:val="21"/>
          <w:szCs w:val="21"/>
        </w:rPr>
        <w:t>) e nel Nord-Est (</w:t>
      </w:r>
      <w:r>
        <w:rPr>
          <w:rFonts w:ascii="Arial" w:hAnsi="Arial" w:cs="Arial"/>
          <w:iCs/>
          <w:sz w:val="21"/>
          <w:szCs w:val="21"/>
        </w:rPr>
        <w:t>da</w:t>
      </w:r>
      <w:r w:rsidRPr="00182C91">
        <w:rPr>
          <w:rFonts w:ascii="Arial" w:hAnsi="Arial" w:cs="Arial"/>
          <w:iCs/>
          <w:sz w:val="21"/>
          <w:szCs w:val="21"/>
        </w:rPr>
        <w:t xml:space="preserve"> +</w:t>
      </w:r>
      <w:r w:rsidR="000E199B">
        <w:rPr>
          <w:rFonts w:ascii="Arial" w:hAnsi="Arial" w:cs="Arial"/>
          <w:iCs/>
          <w:sz w:val="21"/>
          <w:szCs w:val="21"/>
        </w:rPr>
        <w:t>9,4</w:t>
      </w:r>
      <w:r w:rsidRPr="00182C91">
        <w:rPr>
          <w:rFonts w:ascii="Arial" w:hAnsi="Arial" w:cs="Arial"/>
          <w:iCs/>
          <w:sz w:val="21"/>
          <w:szCs w:val="21"/>
        </w:rPr>
        <w:t>%</w:t>
      </w:r>
      <w:r>
        <w:rPr>
          <w:rFonts w:ascii="Arial" w:hAnsi="Arial" w:cs="Arial"/>
          <w:iCs/>
          <w:sz w:val="21"/>
          <w:szCs w:val="21"/>
        </w:rPr>
        <w:t xml:space="preserve"> di </w:t>
      </w:r>
      <w:r w:rsidR="00D64913">
        <w:rPr>
          <w:rFonts w:ascii="Arial" w:hAnsi="Arial" w:cs="Arial"/>
          <w:iCs/>
          <w:sz w:val="21"/>
          <w:szCs w:val="21"/>
        </w:rPr>
        <w:t>settembre</w:t>
      </w:r>
      <w:r>
        <w:rPr>
          <w:rFonts w:ascii="Arial" w:hAnsi="Arial" w:cs="Arial"/>
          <w:iCs/>
          <w:sz w:val="21"/>
          <w:szCs w:val="21"/>
        </w:rPr>
        <w:t xml:space="preserve"> a +</w:t>
      </w:r>
      <w:r w:rsidR="00782F78">
        <w:rPr>
          <w:rFonts w:ascii="Arial" w:hAnsi="Arial" w:cs="Arial"/>
          <w:iCs/>
          <w:sz w:val="21"/>
          <w:szCs w:val="21"/>
        </w:rPr>
        <w:t>12,0</w:t>
      </w:r>
      <w:r>
        <w:rPr>
          <w:rFonts w:ascii="Arial" w:hAnsi="Arial" w:cs="Arial"/>
          <w:iCs/>
          <w:sz w:val="21"/>
          <w:szCs w:val="21"/>
        </w:rPr>
        <w:t>%</w:t>
      </w:r>
      <w:r w:rsidRPr="00182C91">
        <w:rPr>
          <w:rFonts w:ascii="Arial" w:hAnsi="Arial" w:cs="Arial"/>
          <w:iCs/>
          <w:sz w:val="21"/>
          <w:szCs w:val="21"/>
        </w:rPr>
        <w:t xml:space="preserve">), mentre si posiziona al di sotto </w:t>
      </w:r>
      <w:r w:rsidR="00782F78" w:rsidRPr="00182C91">
        <w:rPr>
          <w:rFonts w:ascii="Arial" w:hAnsi="Arial" w:cs="Arial"/>
          <w:iCs/>
          <w:sz w:val="21"/>
          <w:szCs w:val="21"/>
        </w:rPr>
        <w:t>nel Centro (da +</w:t>
      </w:r>
      <w:r w:rsidR="00782F78">
        <w:rPr>
          <w:rFonts w:ascii="Arial" w:hAnsi="Arial" w:cs="Arial"/>
          <w:iCs/>
          <w:sz w:val="21"/>
          <w:szCs w:val="21"/>
        </w:rPr>
        <w:t>8,6</w:t>
      </w:r>
      <w:r w:rsidR="00782F78" w:rsidRPr="00182C91">
        <w:rPr>
          <w:rFonts w:ascii="Arial" w:hAnsi="Arial" w:cs="Arial"/>
          <w:iCs/>
          <w:sz w:val="21"/>
          <w:szCs w:val="21"/>
        </w:rPr>
        <w:t>% a +</w:t>
      </w:r>
      <w:r w:rsidR="00782F78">
        <w:rPr>
          <w:rFonts w:ascii="Arial" w:hAnsi="Arial" w:cs="Arial"/>
          <w:iCs/>
          <w:sz w:val="21"/>
          <w:szCs w:val="21"/>
        </w:rPr>
        <w:t>11,6</w:t>
      </w:r>
      <w:r w:rsidR="00782F78" w:rsidRPr="00182C91">
        <w:rPr>
          <w:rFonts w:ascii="Arial" w:hAnsi="Arial" w:cs="Arial"/>
          <w:iCs/>
          <w:sz w:val="21"/>
          <w:szCs w:val="21"/>
        </w:rPr>
        <w:t>%)</w:t>
      </w:r>
      <w:r w:rsidR="00782F78">
        <w:rPr>
          <w:rFonts w:ascii="Arial" w:hAnsi="Arial" w:cs="Arial"/>
          <w:iCs/>
          <w:sz w:val="21"/>
          <w:szCs w:val="21"/>
        </w:rPr>
        <w:t>,</w:t>
      </w:r>
      <w:r w:rsidR="00782F78" w:rsidRPr="00182C91">
        <w:rPr>
          <w:rFonts w:ascii="Arial" w:hAnsi="Arial" w:cs="Arial"/>
          <w:iCs/>
          <w:sz w:val="21"/>
          <w:szCs w:val="21"/>
        </w:rPr>
        <w:t xml:space="preserve"> </w:t>
      </w:r>
      <w:r w:rsidRPr="00182C91">
        <w:rPr>
          <w:rFonts w:ascii="Arial" w:hAnsi="Arial" w:cs="Arial"/>
          <w:iCs/>
          <w:sz w:val="21"/>
          <w:szCs w:val="21"/>
        </w:rPr>
        <w:t>nel Sud (da +</w:t>
      </w:r>
      <w:r w:rsidR="000E199B">
        <w:rPr>
          <w:rFonts w:ascii="Arial" w:hAnsi="Arial" w:cs="Arial"/>
          <w:iCs/>
          <w:sz w:val="21"/>
          <w:szCs w:val="21"/>
        </w:rPr>
        <w:t>8,8</w:t>
      </w:r>
      <w:r w:rsidRPr="00182C91">
        <w:rPr>
          <w:rFonts w:ascii="Arial" w:hAnsi="Arial" w:cs="Arial"/>
          <w:iCs/>
          <w:sz w:val="21"/>
          <w:szCs w:val="21"/>
        </w:rPr>
        <w:t>% a +</w:t>
      </w:r>
      <w:r w:rsidR="00782F78">
        <w:rPr>
          <w:rFonts w:ascii="Arial" w:hAnsi="Arial" w:cs="Arial"/>
          <w:iCs/>
          <w:sz w:val="21"/>
          <w:szCs w:val="21"/>
        </w:rPr>
        <w:t>11,5</w:t>
      </w:r>
      <w:r w:rsidRPr="00182C91">
        <w:rPr>
          <w:rFonts w:ascii="Arial" w:hAnsi="Arial" w:cs="Arial"/>
          <w:iCs/>
          <w:sz w:val="21"/>
          <w:szCs w:val="21"/>
        </w:rPr>
        <w:t>%) e nel Nord-Ovest (</w:t>
      </w:r>
      <w:r>
        <w:rPr>
          <w:rFonts w:ascii="Arial" w:hAnsi="Arial" w:cs="Arial"/>
          <w:iCs/>
          <w:sz w:val="21"/>
          <w:szCs w:val="21"/>
        </w:rPr>
        <w:t>da +</w:t>
      </w:r>
      <w:r w:rsidR="000E199B">
        <w:rPr>
          <w:rFonts w:ascii="Arial" w:hAnsi="Arial" w:cs="Arial"/>
          <w:iCs/>
          <w:sz w:val="21"/>
          <w:szCs w:val="21"/>
        </w:rPr>
        <w:t>8,2</w:t>
      </w:r>
      <w:r>
        <w:rPr>
          <w:rFonts w:ascii="Arial" w:hAnsi="Arial" w:cs="Arial"/>
          <w:iCs/>
          <w:sz w:val="21"/>
          <w:szCs w:val="21"/>
        </w:rPr>
        <w:t xml:space="preserve">% </w:t>
      </w:r>
      <w:r w:rsidRPr="00182C91">
        <w:rPr>
          <w:rFonts w:ascii="Arial" w:hAnsi="Arial" w:cs="Arial"/>
          <w:iCs/>
          <w:sz w:val="21"/>
          <w:szCs w:val="21"/>
        </w:rPr>
        <w:t>a +</w:t>
      </w:r>
      <w:r w:rsidR="00782F78">
        <w:rPr>
          <w:rFonts w:ascii="Arial" w:hAnsi="Arial" w:cs="Arial"/>
          <w:iCs/>
          <w:sz w:val="21"/>
          <w:szCs w:val="21"/>
        </w:rPr>
        <w:t>11,3</w:t>
      </w:r>
      <w:r w:rsidRPr="00182C91">
        <w:rPr>
          <w:rFonts w:ascii="Arial" w:hAnsi="Arial" w:cs="Arial"/>
          <w:iCs/>
          <w:sz w:val="21"/>
          <w:szCs w:val="21"/>
        </w:rPr>
        <w:t>%).</w:t>
      </w:r>
    </w:p>
    <w:p w:rsidR="003C45C2" w:rsidRPr="00A70B4B" w:rsidRDefault="003C45C2" w:rsidP="003C45C2">
      <w:pPr>
        <w:tabs>
          <w:tab w:val="left" w:pos="2940"/>
        </w:tabs>
        <w:spacing w:before="0" w:after="120"/>
        <w:jc w:val="both"/>
        <w:rPr>
          <w:rFonts w:ascii="Arial" w:hAnsi="Arial" w:cs="Arial"/>
          <w:iCs/>
          <w:sz w:val="21"/>
          <w:szCs w:val="21"/>
        </w:rPr>
      </w:pPr>
      <w:r w:rsidRPr="00CD1CF3">
        <w:rPr>
          <w:rFonts w:ascii="Arial" w:hAnsi="Arial" w:cs="Arial"/>
          <w:iCs/>
          <w:sz w:val="21"/>
          <w:szCs w:val="21"/>
        </w:rPr>
        <w:t xml:space="preserve">Nei capoluoghi delle regioni e delle province autonome e nei comuni non capoluoghi di regione con più di 150mila abitanti (Figura 6) l’inflazione più elevata si osserva a </w:t>
      </w:r>
      <w:r>
        <w:rPr>
          <w:rFonts w:ascii="Arial" w:hAnsi="Arial" w:cs="Arial"/>
          <w:iCs/>
          <w:sz w:val="21"/>
          <w:szCs w:val="21"/>
        </w:rPr>
        <w:t>Catania (+</w:t>
      </w:r>
      <w:r w:rsidR="00782F78">
        <w:rPr>
          <w:rFonts w:ascii="Arial" w:hAnsi="Arial" w:cs="Arial"/>
          <w:iCs/>
          <w:sz w:val="21"/>
          <w:szCs w:val="21"/>
        </w:rPr>
        <w:t>15,6</w:t>
      </w:r>
      <w:r>
        <w:rPr>
          <w:rFonts w:ascii="Arial" w:hAnsi="Arial" w:cs="Arial"/>
          <w:iCs/>
          <w:sz w:val="21"/>
          <w:szCs w:val="21"/>
        </w:rPr>
        <w:t>%)</w:t>
      </w:r>
      <w:r w:rsidR="00777203">
        <w:rPr>
          <w:rFonts w:ascii="Arial" w:hAnsi="Arial" w:cs="Arial"/>
          <w:iCs/>
          <w:sz w:val="21"/>
          <w:szCs w:val="21"/>
        </w:rPr>
        <w:t>,</w:t>
      </w:r>
      <w:r>
        <w:rPr>
          <w:rFonts w:ascii="Arial" w:hAnsi="Arial" w:cs="Arial"/>
          <w:iCs/>
          <w:sz w:val="21"/>
          <w:szCs w:val="21"/>
        </w:rPr>
        <w:t xml:space="preserve"> </w:t>
      </w:r>
      <w:r w:rsidRPr="00CD1CF3">
        <w:rPr>
          <w:rFonts w:ascii="Arial" w:hAnsi="Arial" w:cs="Arial"/>
          <w:iCs/>
          <w:sz w:val="21"/>
          <w:szCs w:val="21"/>
        </w:rPr>
        <w:t>Palermo (+</w:t>
      </w:r>
      <w:r w:rsidR="00782F78">
        <w:rPr>
          <w:rFonts w:ascii="Arial" w:hAnsi="Arial" w:cs="Arial"/>
          <w:iCs/>
          <w:sz w:val="21"/>
          <w:szCs w:val="21"/>
        </w:rPr>
        <w:t>14,9</w:t>
      </w:r>
      <w:r w:rsidRPr="00CD1CF3">
        <w:rPr>
          <w:rFonts w:ascii="Arial" w:hAnsi="Arial" w:cs="Arial"/>
          <w:iCs/>
          <w:sz w:val="21"/>
          <w:szCs w:val="21"/>
        </w:rPr>
        <w:t>%)</w:t>
      </w:r>
      <w:r w:rsidR="00782F78">
        <w:rPr>
          <w:rFonts w:ascii="Arial" w:hAnsi="Arial" w:cs="Arial"/>
          <w:iCs/>
          <w:sz w:val="21"/>
          <w:szCs w:val="21"/>
        </w:rPr>
        <w:t xml:space="preserve"> e Messina (+14,1%)</w:t>
      </w:r>
      <w:r w:rsidR="00777203">
        <w:rPr>
          <w:rFonts w:ascii="Arial" w:hAnsi="Arial" w:cs="Arial"/>
          <w:iCs/>
          <w:sz w:val="21"/>
          <w:szCs w:val="21"/>
        </w:rPr>
        <w:t>,</w:t>
      </w:r>
      <w:r w:rsidRPr="00CD1CF3">
        <w:rPr>
          <w:rFonts w:ascii="Arial" w:hAnsi="Arial" w:cs="Arial"/>
          <w:iCs/>
          <w:sz w:val="21"/>
          <w:szCs w:val="21"/>
        </w:rPr>
        <w:t xml:space="preserve"> mentre le variazioni tendenziali più contenute si registrano </w:t>
      </w:r>
      <w:r>
        <w:rPr>
          <w:rFonts w:ascii="Arial" w:hAnsi="Arial" w:cs="Arial"/>
          <w:iCs/>
          <w:sz w:val="21"/>
          <w:szCs w:val="21"/>
        </w:rPr>
        <w:t xml:space="preserve">a </w:t>
      </w:r>
      <w:r w:rsidR="00782F78">
        <w:rPr>
          <w:rFonts w:ascii="Arial" w:hAnsi="Arial" w:cs="Arial"/>
          <w:iCs/>
          <w:sz w:val="21"/>
          <w:szCs w:val="21"/>
        </w:rPr>
        <w:t>Potenza</w:t>
      </w:r>
      <w:r w:rsidRPr="00CD1CF3">
        <w:rPr>
          <w:rFonts w:ascii="Arial" w:hAnsi="Arial" w:cs="Arial"/>
          <w:iCs/>
          <w:sz w:val="21"/>
          <w:szCs w:val="21"/>
        </w:rPr>
        <w:t xml:space="preserve"> </w:t>
      </w:r>
      <w:r>
        <w:rPr>
          <w:rFonts w:ascii="Arial" w:hAnsi="Arial" w:cs="Arial"/>
          <w:iCs/>
          <w:sz w:val="21"/>
          <w:szCs w:val="21"/>
        </w:rPr>
        <w:t>(+</w:t>
      </w:r>
      <w:r w:rsidR="00782F78">
        <w:rPr>
          <w:rFonts w:ascii="Arial" w:hAnsi="Arial" w:cs="Arial"/>
          <w:iCs/>
          <w:sz w:val="21"/>
          <w:szCs w:val="21"/>
        </w:rPr>
        <w:t>9,1</w:t>
      </w:r>
      <w:r>
        <w:rPr>
          <w:rFonts w:ascii="Arial" w:hAnsi="Arial" w:cs="Arial"/>
          <w:iCs/>
          <w:sz w:val="21"/>
          <w:szCs w:val="21"/>
        </w:rPr>
        <w:t>%)</w:t>
      </w:r>
      <w:r w:rsidR="00777203">
        <w:rPr>
          <w:rFonts w:ascii="Arial" w:hAnsi="Arial" w:cs="Arial"/>
          <w:iCs/>
          <w:sz w:val="21"/>
          <w:szCs w:val="21"/>
        </w:rPr>
        <w:t xml:space="preserve"> e</w:t>
      </w:r>
      <w:r w:rsidRPr="00CD1CF3">
        <w:rPr>
          <w:rFonts w:ascii="Arial" w:hAnsi="Arial" w:cs="Arial"/>
          <w:iCs/>
          <w:sz w:val="21"/>
          <w:szCs w:val="21"/>
        </w:rPr>
        <w:t xml:space="preserve"> </w:t>
      </w:r>
      <w:r w:rsidR="00782F78">
        <w:rPr>
          <w:rFonts w:ascii="Arial" w:hAnsi="Arial" w:cs="Arial"/>
          <w:iCs/>
          <w:sz w:val="21"/>
          <w:szCs w:val="21"/>
        </w:rPr>
        <w:t>Aosta</w:t>
      </w:r>
      <w:r w:rsidR="00965084">
        <w:rPr>
          <w:rFonts w:ascii="Arial" w:hAnsi="Arial" w:cs="Arial"/>
          <w:iCs/>
          <w:sz w:val="21"/>
          <w:szCs w:val="21"/>
        </w:rPr>
        <w:t xml:space="preserve"> (+</w:t>
      </w:r>
      <w:r w:rsidR="00782F78">
        <w:rPr>
          <w:rFonts w:ascii="Arial" w:hAnsi="Arial" w:cs="Arial"/>
          <w:iCs/>
          <w:sz w:val="21"/>
          <w:szCs w:val="21"/>
        </w:rPr>
        <w:t>8,7</w:t>
      </w:r>
      <w:r w:rsidR="00965084">
        <w:rPr>
          <w:rFonts w:ascii="Arial" w:hAnsi="Arial" w:cs="Arial"/>
          <w:iCs/>
          <w:sz w:val="21"/>
          <w:szCs w:val="21"/>
        </w:rPr>
        <w:t>%)</w:t>
      </w:r>
      <w:r w:rsidRPr="00CD1CF3">
        <w:rPr>
          <w:rFonts w:ascii="Arial" w:hAnsi="Arial" w:cs="Arial"/>
          <w:iCs/>
          <w:sz w:val="21"/>
          <w:szCs w:val="21"/>
        </w:rPr>
        <w:t>.</w:t>
      </w:r>
    </w:p>
    <w:p w:rsidR="002C59AC" w:rsidRDefault="002C59AC" w:rsidP="002C59AC">
      <w:pPr>
        <w:tabs>
          <w:tab w:val="left" w:pos="2940"/>
        </w:tabs>
        <w:spacing w:before="0" w:after="120"/>
        <w:jc w:val="both"/>
        <w:rPr>
          <w:rFonts w:ascii="Arial" w:hAnsi="Arial" w:cs="Arial"/>
          <w:iCs/>
          <w:sz w:val="21"/>
          <w:szCs w:val="21"/>
        </w:rPr>
      </w:pPr>
    </w:p>
    <w:p w:rsidR="00B1023A" w:rsidRDefault="00F53362" w:rsidP="009F6A3F">
      <w:pPr>
        <w:pStyle w:val="Titolo1"/>
        <w:rPr>
          <w:rFonts w:ascii="Arial Narrow" w:hAnsi="Arial Narrow" w:cs="Arial"/>
          <w:b w:val="0"/>
          <w:color w:val="5F5F5F"/>
          <w:kern w:val="28"/>
          <w:sz w:val="20"/>
        </w:rPr>
      </w:pPr>
      <w:r w:rsidRPr="00CC2304">
        <w:rPr>
          <w:rFonts w:ascii="Arial Narrow" w:hAnsi="Arial Narrow" w:cs="Arial"/>
          <w:color w:val="E42618"/>
          <w:kern w:val="0"/>
          <w:sz w:val="22"/>
          <w:szCs w:val="22"/>
        </w:rPr>
        <w:t>FIGURA 5</w:t>
      </w:r>
      <w:r w:rsidR="009F6A3F" w:rsidRPr="00CC2304">
        <w:rPr>
          <w:rFonts w:ascii="Arial Narrow" w:hAnsi="Arial Narrow" w:cs="Arial"/>
          <w:color w:val="E42618"/>
          <w:kern w:val="0"/>
          <w:sz w:val="22"/>
          <w:szCs w:val="22"/>
        </w:rPr>
        <w:t>.</w:t>
      </w:r>
      <w:r w:rsidR="009F6A3F" w:rsidRPr="00CC2304">
        <w:rPr>
          <w:rFonts w:ascii="Arial Narrow" w:hAnsi="Arial Narrow" w:cs="Arial"/>
          <w:color w:val="5F5F5F"/>
          <w:sz w:val="20"/>
        </w:rPr>
        <w:t xml:space="preserve"> </w:t>
      </w:r>
      <w:r w:rsidR="009F6A3F" w:rsidRPr="00CC2304">
        <w:rPr>
          <w:rFonts w:ascii="Arial Narrow" w:hAnsi="Arial Narrow" w:cs="Calibri"/>
          <w:bCs/>
          <w:color w:val="5F5F5F"/>
          <w:kern w:val="0"/>
          <w:sz w:val="22"/>
          <w:szCs w:val="22"/>
        </w:rPr>
        <w:t>INDICI DEI PREZZI AL CONSUMO NIC PER REGIONE E RIPARTIZIONE GEOGRAFICA</w:t>
      </w:r>
      <w:r w:rsidR="009F6A3F" w:rsidRPr="00C8504B">
        <w:rPr>
          <w:rFonts w:ascii="Arial Narrow" w:hAnsi="Arial Narrow" w:cs="Arial"/>
          <w:color w:val="5F5F5F"/>
          <w:sz w:val="20"/>
        </w:rPr>
        <w:br/>
      </w:r>
      <w:r w:rsidR="002026BD">
        <w:rPr>
          <w:rFonts w:ascii="Arial Narrow" w:hAnsi="Arial Narrow" w:cs="Arial"/>
          <w:b w:val="0"/>
          <w:color w:val="5F5F5F"/>
          <w:kern w:val="28"/>
          <w:sz w:val="20"/>
        </w:rPr>
        <w:t>Settembre</w:t>
      </w:r>
      <w:r w:rsidR="00C22A24">
        <w:rPr>
          <w:rFonts w:ascii="Arial Narrow" w:hAnsi="Arial Narrow" w:cs="Arial"/>
          <w:b w:val="0"/>
          <w:color w:val="5F5F5F"/>
          <w:kern w:val="28"/>
          <w:sz w:val="20"/>
        </w:rPr>
        <w:t xml:space="preserve"> </w:t>
      </w:r>
      <w:r w:rsidR="008E006C">
        <w:rPr>
          <w:rFonts w:ascii="Arial Narrow" w:hAnsi="Arial Narrow" w:cs="Arial"/>
          <w:b w:val="0"/>
          <w:color w:val="5F5F5F"/>
          <w:kern w:val="28"/>
          <w:sz w:val="20"/>
        </w:rPr>
        <w:t>–</w:t>
      </w:r>
      <w:r w:rsidR="007D4534" w:rsidRPr="007A798D">
        <w:rPr>
          <w:rFonts w:ascii="Arial Narrow" w:hAnsi="Arial Narrow" w:cs="Arial"/>
          <w:b w:val="0"/>
          <w:color w:val="5F5F5F"/>
          <w:kern w:val="28"/>
          <w:sz w:val="20"/>
        </w:rPr>
        <w:t xml:space="preserve"> </w:t>
      </w:r>
      <w:r w:rsidR="001E1AF5">
        <w:rPr>
          <w:rFonts w:ascii="Arial Narrow" w:hAnsi="Arial Narrow" w:cs="Arial"/>
          <w:b w:val="0"/>
          <w:color w:val="5F5F5F"/>
          <w:kern w:val="28"/>
          <w:sz w:val="20"/>
        </w:rPr>
        <w:t>otto</w:t>
      </w:r>
      <w:r w:rsidR="009B6ACA">
        <w:rPr>
          <w:rFonts w:ascii="Arial Narrow" w:hAnsi="Arial Narrow" w:cs="Arial"/>
          <w:b w:val="0"/>
          <w:color w:val="5F5F5F"/>
          <w:kern w:val="28"/>
          <w:sz w:val="20"/>
        </w:rPr>
        <w:t>bre</w:t>
      </w:r>
      <w:r w:rsidR="009A20F3" w:rsidRPr="009A20F3">
        <w:rPr>
          <w:rFonts w:ascii="Arial Narrow" w:hAnsi="Arial Narrow" w:cs="Arial"/>
          <w:b w:val="0"/>
          <w:color w:val="5F5F5F"/>
          <w:kern w:val="28"/>
          <w:sz w:val="20"/>
        </w:rPr>
        <w:t xml:space="preserve"> </w:t>
      </w:r>
      <w:r w:rsidR="005B7BD6" w:rsidRPr="005B7BD6">
        <w:rPr>
          <w:rFonts w:ascii="Arial Narrow" w:hAnsi="Arial Narrow" w:cs="Arial"/>
          <w:b w:val="0"/>
          <w:color w:val="5F5F5F"/>
          <w:kern w:val="28"/>
          <w:sz w:val="20"/>
        </w:rPr>
        <w:t>2022</w:t>
      </w:r>
      <w:r w:rsidR="007D4534" w:rsidRPr="007A798D">
        <w:rPr>
          <w:rFonts w:ascii="Arial Narrow" w:hAnsi="Arial Narrow" w:cs="Arial"/>
          <w:b w:val="0"/>
          <w:color w:val="5F5F5F"/>
          <w:kern w:val="28"/>
          <w:sz w:val="20"/>
        </w:rPr>
        <w:t>, variazioni percentuali tendenziali (base 2015=100</w:t>
      </w:r>
      <w:r w:rsidR="007D4534" w:rsidRPr="00C8504B">
        <w:rPr>
          <w:rFonts w:ascii="Arial Narrow" w:hAnsi="Arial Narrow" w:cs="Arial"/>
          <w:b w:val="0"/>
          <w:color w:val="5F5F5F"/>
          <w:kern w:val="28"/>
          <w:sz w:val="20"/>
        </w:rPr>
        <w:t xml:space="preserve">) </w:t>
      </w:r>
    </w:p>
    <w:p w:rsidR="00427417" w:rsidRPr="00427417" w:rsidRDefault="002026BD" w:rsidP="00427417">
      <w:r>
        <w:rPr>
          <w:noProof/>
        </w:rPr>
        <w:drawing>
          <wp:inline distT="0" distB="0" distL="0" distR="0" wp14:anchorId="3F04A85D">
            <wp:extent cx="6614795" cy="216408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4795" cy="2164080"/>
                    </a:xfrm>
                    <a:prstGeom prst="rect">
                      <a:avLst/>
                    </a:prstGeom>
                    <a:noFill/>
                  </pic:spPr>
                </pic:pic>
              </a:graphicData>
            </a:graphic>
          </wp:inline>
        </w:drawing>
      </w:r>
    </w:p>
    <w:p w:rsidR="008B53F6" w:rsidRPr="00054BF7" w:rsidRDefault="008B53F6" w:rsidP="008B53F6">
      <w:pPr>
        <w:pStyle w:val="00TitoGra1"/>
        <w:spacing w:after="120" w:line="240" w:lineRule="auto"/>
        <w:ind w:left="284"/>
        <w:jc w:val="both"/>
        <w:rPr>
          <w:rFonts w:ascii="Arial" w:hAnsi="Arial"/>
          <w:b w:val="0"/>
          <w:color w:val="auto"/>
          <w:sz w:val="16"/>
          <w:szCs w:val="20"/>
        </w:rPr>
      </w:pPr>
    </w:p>
    <w:p w:rsidR="00525A45" w:rsidRDefault="00ED4CE5" w:rsidP="00C45C2E">
      <w:pPr>
        <w:spacing w:before="0" w:after="0"/>
        <w:jc w:val="both"/>
        <w:rPr>
          <w:rFonts w:ascii="Arial Narrow" w:hAnsi="Arial Narrow" w:cs="Calibri"/>
          <w:b/>
          <w:bCs/>
          <w:color w:val="5F5F5F"/>
          <w:kern w:val="0"/>
          <w:sz w:val="22"/>
          <w:szCs w:val="22"/>
          <w:vertAlign w:val="superscript"/>
        </w:rPr>
      </w:pPr>
      <w:r w:rsidRPr="00CC2304">
        <w:rPr>
          <w:rFonts w:ascii="Arial Narrow" w:hAnsi="Arial Narrow" w:cs="Arial"/>
          <w:b/>
          <w:color w:val="E42618"/>
          <w:kern w:val="0"/>
          <w:sz w:val="22"/>
          <w:szCs w:val="22"/>
        </w:rPr>
        <w:t xml:space="preserve">FIGURA </w:t>
      </w:r>
      <w:r w:rsidR="00F53362" w:rsidRPr="00CC2304">
        <w:rPr>
          <w:rFonts w:ascii="Arial Narrow" w:hAnsi="Arial Narrow" w:cs="Arial"/>
          <w:b/>
          <w:color w:val="E42618"/>
          <w:kern w:val="0"/>
          <w:sz w:val="22"/>
          <w:szCs w:val="22"/>
        </w:rPr>
        <w:t>6</w:t>
      </w:r>
      <w:r w:rsidRPr="00CC2304">
        <w:rPr>
          <w:b/>
          <w:color w:val="E42618"/>
        </w:rPr>
        <w:t>.</w:t>
      </w:r>
      <w:r w:rsidRPr="00CC2304">
        <w:t xml:space="preserve"> </w:t>
      </w:r>
      <w:r w:rsidRPr="00CC2304">
        <w:rPr>
          <w:rFonts w:ascii="Arial Narrow" w:hAnsi="Arial Narrow" w:cs="Calibri"/>
          <w:b/>
          <w:bCs/>
          <w:color w:val="5F5F5F"/>
          <w:kern w:val="0"/>
          <w:sz w:val="22"/>
          <w:szCs w:val="22"/>
        </w:rPr>
        <w:t>I</w:t>
      </w:r>
      <w:r w:rsidR="00DA7A68" w:rsidRPr="00CC2304">
        <w:rPr>
          <w:rFonts w:ascii="Arial Narrow" w:hAnsi="Arial Narrow" w:cs="Calibri"/>
          <w:b/>
          <w:bCs/>
          <w:color w:val="5F5F5F"/>
          <w:kern w:val="0"/>
          <w:sz w:val="22"/>
          <w:szCs w:val="22"/>
        </w:rPr>
        <w:t>NDICI DEI PREZZI AL CONSUMO NIC</w:t>
      </w:r>
      <w:r w:rsidR="0047143B" w:rsidRPr="00CC2304">
        <w:rPr>
          <w:rFonts w:ascii="Arial Narrow" w:hAnsi="Arial Narrow" w:cs="Calibri"/>
          <w:b/>
          <w:bCs/>
          <w:color w:val="5F5F5F"/>
          <w:kern w:val="0"/>
          <w:sz w:val="22"/>
          <w:szCs w:val="22"/>
        </w:rPr>
        <w:t xml:space="preserve"> PER CAPOLUOGO DI REGIONE, </w:t>
      </w:r>
      <w:r w:rsidRPr="00CC2304">
        <w:rPr>
          <w:rFonts w:ascii="Arial Narrow" w:hAnsi="Arial Narrow" w:cs="Calibri"/>
          <w:b/>
          <w:bCs/>
          <w:color w:val="5F5F5F"/>
          <w:kern w:val="0"/>
          <w:sz w:val="22"/>
          <w:szCs w:val="22"/>
        </w:rPr>
        <w:t xml:space="preserve">PROVINCIA AUTONOMA </w:t>
      </w:r>
      <w:r w:rsidR="00DE4758" w:rsidRPr="00CC2304">
        <w:rPr>
          <w:rFonts w:ascii="Arial Narrow" w:hAnsi="Arial Narrow" w:cs="Calibri"/>
          <w:b/>
          <w:bCs/>
          <w:color w:val="5F5F5F"/>
          <w:kern w:val="0"/>
          <w:sz w:val="22"/>
          <w:szCs w:val="22"/>
        </w:rPr>
        <w:t>E</w:t>
      </w:r>
      <w:r w:rsidR="00AD29B6" w:rsidRPr="00CC2304">
        <w:rPr>
          <w:rFonts w:ascii="Arial Narrow" w:hAnsi="Arial Narrow" w:cs="Calibri"/>
          <w:b/>
          <w:bCs/>
          <w:color w:val="5F5F5F"/>
          <w:kern w:val="0"/>
          <w:sz w:val="22"/>
          <w:szCs w:val="22"/>
        </w:rPr>
        <w:t xml:space="preserve"> </w:t>
      </w:r>
      <w:r w:rsidR="00DE4758" w:rsidRPr="00CC2304">
        <w:rPr>
          <w:rFonts w:ascii="Arial Narrow" w:hAnsi="Arial Narrow" w:cs="Calibri"/>
          <w:b/>
          <w:bCs/>
          <w:color w:val="5F5F5F"/>
          <w:kern w:val="0"/>
          <w:sz w:val="22"/>
          <w:szCs w:val="22"/>
        </w:rPr>
        <w:t>GRANDI</w:t>
      </w:r>
      <w:r w:rsidR="00DE4758" w:rsidRPr="00C8504B">
        <w:rPr>
          <w:rFonts w:ascii="Arial Narrow" w:hAnsi="Arial Narrow" w:cs="Calibri"/>
          <w:b/>
          <w:bCs/>
          <w:color w:val="5F5F5F"/>
          <w:kern w:val="0"/>
          <w:sz w:val="22"/>
          <w:szCs w:val="22"/>
        </w:rPr>
        <w:t xml:space="preserve"> </w:t>
      </w:r>
      <w:r w:rsidR="0047143B" w:rsidRPr="00C8504B">
        <w:rPr>
          <w:rFonts w:ascii="Arial Narrow" w:hAnsi="Arial Narrow" w:cs="Calibri"/>
          <w:b/>
          <w:bCs/>
          <w:color w:val="5F5F5F"/>
          <w:kern w:val="0"/>
          <w:sz w:val="22"/>
          <w:szCs w:val="22"/>
        </w:rPr>
        <w:t xml:space="preserve">COMUNI </w:t>
      </w:r>
      <w:r w:rsidR="006464B5">
        <w:rPr>
          <w:rFonts w:ascii="Arial Narrow" w:hAnsi="Arial Narrow" w:cs="Calibri"/>
          <w:b/>
          <w:bCs/>
          <w:color w:val="5F5F5F"/>
          <w:kern w:val="0"/>
          <w:sz w:val="22"/>
          <w:szCs w:val="22"/>
          <w:vertAlign w:val="superscript"/>
        </w:rPr>
        <w:t>(a</w:t>
      </w:r>
      <w:r w:rsidR="009D6407">
        <w:rPr>
          <w:rFonts w:ascii="Arial Narrow" w:hAnsi="Arial Narrow" w:cs="Calibri"/>
          <w:b/>
          <w:bCs/>
          <w:color w:val="5F5F5F"/>
          <w:kern w:val="0"/>
          <w:sz w:val="22"/>
          <w:szCs w:val="22"/>
          <w:vertAlign w:val="superscript"/>
        </w:rPr>
        <w:t>)</w:t>
      </w:r>
    </w:p>
    <w:p w:rsidR="00F24676" w:rsidRPr="00C8504B" w:rsidRDefault="001E1AF5" w:rsidP="00427417">
      <w:pPr>
        <w:spacing w:before="0" w:after="120"/>
        <w:jc w:val="both"/>
        <w:rPr>
          <w:rFonts w:ascii="Arial Narrow" w:hAnsi="Arial Narrow" w:cs="Arial"/>
          <w:color w:val="5F5F5F"/>
        </w:rPr>
      </w:pPr>
      <w:r>
        <w:rPr>
          <w:rFonts w:ascii="Arial Narrow" w:hAnsi="Arial Narrow" w:cs="Arial"/>
          <w:color w:val="5F5F5F"/>
        </w:rPr>
        <w:t>Otto</w:t>
      </w:r>
      <w:r w:rsidR="009B6ACA">
        <w:rPr>
          <w:rFonts w:ascii="Arial Narrow" w:hAnsi="Arial Narrow" w:cs="Arial"/>
          <w:color w:val="5F5F5F"/>
        </w:rPr>
        <w:t>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00795E10">
        <w:rPr>
          <w:rFonts w:ascii="Arial Narrow" w:hAnsi="Arial Narrow" w:cs="Arial"/>
          <w:color w:val="5F5F5F"/>
        </w:rPr>
        <w:t xml:space="preserve">, </w:t>
      </w:r>
      <w:r w:rsidR="00ED4CE5" w:rsidRPr="00873FB5">
        <w:rPr>
          <w:rFonts w:ascii="Arial Narrow" w:hAnsi="Arial Narrow" w:cs="Arial"/>
          <w:color w:val="5F5F5F"/>
        </w:rPr>
        <w:t>graduatoria delle variazion</w:t>
      </w:r>
      <w:r w:rsidR="0047143B" w:rsidRPr="00873FB5">
        <w:rPr>
          <w:rFonts w:ascii="Arial Narrow" w:hAnsi="Arial Narrow" w:cs="Arial"/>
          <w:color w:val="5F5F5F"/>
        </w:rPr>
        <w:t>i percentuali tendenziali (base 2015=100)</w:t>
      </w:r>
    </w:p>
    <w:p w:rsidR="00617E92" w:rsidRPr="00C8504B" w:rsidRDefault="00ED300B" w:rsidP="00E95076">
      <w:pPr>
        <w:pStyle w:val="00TitoGra1"/>
        <w:spacing w:after="120" w:line="240" w:lineRule="auto"/>
        <w:rPr>
          <w:rFonts w:ascii="Arial" w:hAnsi="Arial"/>
          <w:color w:val="auto"/>
          <w:sz w:val="21"/>
          <w:szCs w:val="21"/>
        </w:rPr>
      </w:pPr>
      <w:r>
        <w:rPr>
          <w:rFonts w:ascii="Arial" w:hAnsi="Arial"/>
          <w:noProof/>
          <w:color w:val="auto"/>
          <w:sz w:val="21"/>
          <w:szCs w:val="21"/>
        </w:rPr>
        <w:drawing>
          <wp:inline distT="0" distB="0" distL="0" distR="0" wp14:anchorId="42B18892">
            <wp:extent cx="6657340" cy="223139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7340" cy="2231390"/>
                    </a:xfrm>
                    <a:prstGeom prst="rect">
                      <a:avLst/>
                    </a:prstGeom>
                    <a:noFill/>
                  </pic:spPr>
                </pic:pic>
              </a:graphicData>
            </a:graphic>
          </wp:inline>
        </w:drawing>
      </w:r>
    </w:p>
    <w:p w:rsidR="00A96B46" w:rsidRPr="00401AC1" w:rsidRDefault="00E24384" w:rsidP="00A73D96">
      <w:pPr>
        <w:pStyle w:val="00TitoGra1"/>
        <w:spacing w:after="120" w:line="240" w:lineRule="auto"/>
        <w:ind w:left="284" w:hanging="284"/>
        <w:jc w:val="both"/>
        <w:rPr>
          <w:rFonts w:ascii="Arial" w:hAnsi="Arial"/>
          <w:b w:val="0"/>
          <w:color w:val="auto"/>
          <w:sz w:val="16"/>
          <w:szCs w:val="20"/>
        </w:rPr>
      </w:pPr>
      <w:r w:rsidRPr="005F6AFE">
        <w:rPr>
          <w:rFonts w:ascii="Arial" w:hAnsi="Arial"/>
          <w:b w:val="0"/>
          <w:color w:val="auto"/>
          <w:sz w:val="16"/>
          <w:szCs w:val="20"/>
        </w:rPr>
        <w:t>(</w:t>
      </w:r>
      <w:r w:rsidR="009D6407">
        <w:rPr>
          <w:rFonts w:ascii="Arial" w:hAnsi="Arial"/>
          <w:b w:val="0"/>
          <w:color w:val="auto"/>
          <w:sz w:val="16"/>
          <w:szCs w:val="20"/>
        </w:rPr>
        <w:t>a</w:t>
      </w:r>
      <w:r w:rsidRPr="005F6AFE">
        <w:rPr>
          <w:rFonts w:ascii="Arial" w:hAnsi="Arial"/>
          <w:b w:val="0"/>
          <w:color w:val="auto"/>
          <w:sz w:val="16"/>
          <w:szCs w:val="20"/>
        </w:rPr>
        <w:t>)</w:t>
      </w:r>
      <w:r w:rsidR="00C45C2E">
        <w:rPr>
          <w:rFonts w:ascii="Arial" w:hAnsi="Arial"/>
          <w:b w:val="0"/>
          <w:color w:val="auto"/>
          <w:sz w:val="16"/>
          <w:szCs w:val="20"/>
        </w:rPr>
        <w:t xml:space="preserve"> </w:t>
      </w:r>
      <w:r w:rsidR="00B32E96">
        <w:rPr>
          <w:rFonts w:ascii="Arial" w:hAnsi="Arial"/>
          <w:b w:val="0"/>
          <w:color w:val="auto"/>
          <w:sz w:val="16"/>
          <w:szCs w:val="20"/>
        </w:rPr>
        <w:t xml:space="preserve"> </w:t>
      </w:r>
      <w:r w:rsidR="0006292D" w:rsidRPr="005F6AFE">
        <w:rPr>
          <w:rFonts w:ascii="Arial" w:hAnsi="Arial"/>
          <w:b w:val="0"/>
          <w:color w:val="auto"/>
          <w:sz w:val="16"/>
          <w:szCs w:val="20"/>
        </w:rPr>
        <w:t>I grandi c</w:t>
      </w:r>
      <w:r w:rsidR="00CC0849" w:rsidRPr="005F6AFE">
        <w:rPr>
          <w:rFonts w:ascii="Arial" w:hAnsi="Arial"/>
          <w:b w:val="0"/>
          <w:color w:val="auto"/>
          <w:sz w:val="16"/>
          <w:szCs w:val="20"/>
        </w:rPr>
        <w:t xml:space="preserve">omuni </w:t>
      </w:r>
      <w:r w:rsidR="001F142B" w:rsidRPr="005F6AFE">
        <w:rPr>
          <w:rFonts w:ascii="Arial" w:hAnsi="Arial"/>
          <w:b w:val="0"/>
          <w:color w:val="auto"/>
          <w:sz w:val="16"/>
          <w:szCs w:val="20"/>
        </w:rPr>
        <w:t xml:space="preserve">presenti nel grafico </w:t>
      </w:r>
      <w:r w:rsidR="00CC0849" w:rsidRPr="005F6AFE">
        <w:rPr>
          <w:rFonts w:ascii="Arial" w:hAnsi="Arial"/>
          <w:b w:val="0"/>
          <w:color w:val="auto"/>
          <w:sz w:val="16"/>
          <w:szCs w:val="20"/>
        </w:rPr>
        <w:t xml:space="preserve">sono </w:t>
      </w:r>
      <w:r w:rsidR="001F142B" w:rsidRPr="005F6AFE">
        <w:rPr>
          <w:rFonts w:ascii="Arial" w:hAnsi="Arial"/>
          <w:b w:val="0"/>
          <w:color w:val="auto"/>
          <w:sz w:val="16"/>
          <w:szCs w:val="20"/>
        </w:rPr>
        <w:t xml:space="preserve">i comuni capoluogo di provincia </w:t>
      </w:r>
      <w:r w:rsidR="00CC0849" w:rsidRPr="005F6AFE">
        <w:rPr>
          <w:rFonts w:ascii="Arial" w:hAnsi="Arial"/>
          <w:b w:val="0"/>
          <w:color w:val="auto"/>
          <w:sz w:val="16"/>
          <w:szCs w:val="20"/>
        </w:rPr>
        <w:t>con più di 150.000 abitanti.</w:t>
      </w:r>
      <w:r w:rsidR="00B87271" w:rsidRPr="00C8504B">
        <w:rPr>
          <w:rFonts w:ascii="Arial" w:hAnsi="Arial"/>
          <w:sz w:val="21"/>
          <w:szCs w:val="21"/>
        </w:rPr>
        <w:br w:type="page"/>
      </w:r>
    </w:p>
    <w:p w:rsidR="00817C60" w:rsidRPr="00F93CBE" w:rsidRDefault="00817C60" w:rsidP="00817C60">
      <w:pPr>
        <w:spacing w:before="0" w:after="120"/>
        <w:jc w:val="both"/>
        <w:rPr>
          <w:rFonts w:ascii="Arial" w:hAnsi="Arial" w:cs="Arial"/>
          <w:color w:val="000000"/>
          <w:kern w:val="0"/>
          <w:sz w:val="18"/>
          <w:szCs w:val="21"/>
        </w:rPr>
      </w:pPr>
    </w:p>
    <w:p w:rsidR="00007E47" w:rsidRPr="00C8504B" w:rsidRDefault="00007E47" w:rsidP="000362B0">
      <w:pPr>
        <w:pStyle w:val="00TitoGra1"/>
        <w:spacing w:line="240" w:lineRule="auto"/>
        <w:rPr>
          <w:color w:val="E42618"/>
          <w:szCs w:val="36"/>
        </w:rPr>
      </w:pPr>
      <w:r w:rsidRPr="00C8504B">
        <w:rPr>
          <w:color w:val="E42618"/>
          <w:szCs w:val="36"/>
        </w:rPr>
        <w:t>Indice armonizzato dei prezzi al consumo (IPCA)</w:t>
      </w:r>
    </w:p>
    <w:p w:rsidR="002674D4" w:rsidRPr="00F93CBE" w:rsidRDefault="002674D4" w:rsidP="002674D4">
      <w:pPr>
        <w:spacing w:before="0" w:after="120"/>
        <w:jc w:val="both"/>
        <w:rPr>
          <w:rFonts w:ascii="Arial" w:hAnsi="Arial" w:cs="Arial"/>
          <w:color w:val="000000"/>
          <w:kern w:val="0"/>
          <w:sz w:val="18"/>
          <w:szCs w:val="21"/>
        </w:rPr>
      </w:pPr>
    </w:p>
    <w:p w:rsidR="00373F6B" w:rsidRPr="00C8504B" w:rsidRDefault="00373F6B" w:rsidP="00BD0487">
      <w:pPr>
        <w:pStyle w:val="001TitoloBolocco"/>
        <w:spacing w:after="120" w:line="240" w:lineRule="auto"/>
        <w:rPr>
          <w:szCs w:val="26"/>
        </w:rPr>
      </w:pPr>
      <w:r w:rsidRPr="00C8504B">
        <w:rPr>
          <w:szCs w:val="26"/>
        </w:rPr>
        <w:t>Le divisioni di spesa</w:t>
      </w:r>
    </w:p>
    <w:p w:rsidR="002F10E9" w:rsidRDefault="002F10E9" w:rsidP="002F10E9">
      <w:pPr>
        <w:spacing w:before="0" w:after="120"/>
        <w:jc w:val="both"/>
        <w:rPr>
          <w:rFonts w:ascii="Arial" w:hAnsi="Arial" w:cs="Arial"/>
          <w:color w:val="000000"/>
          <w:kern w:val="0"/>
          <w:sz w:val="21"/>
          <w:szCs w:val="21"/>
        </w:rPr>
      </w:pPr>
      <w:r>
        <w:rPr>
          <w:rFonts w:ascii="Arial" w:hAnsi="Arial" w:cs="Arial"/>
          <w:color w:val="000000"/>
          <w:kern w:val="0"/>
          <w:sz w:val="21"/>
          <w:szCs w:val="21"/>
        </w:rPr>
        <w:t xml:space="preserve">A </w:t>
      </w:r>
      <w:r w:rsidR="00CA5B03">
        <w:rPr>
          <w:rFonts w:ascii="Arial" w:hAnsi="Arial" w:cs="Arial"/>
          <w:color w:val="000000"/>
          <w:kern w:val="0"/>
          <w:sz w:val="21"/>
          <w:szCs w:val="21"/>
        </w:rPr>
        <w:t>ottobre</w:t>
      </w:r>
      <w:r w:rsidRPr="007A6C81">
        <w:rPr>
          <w:rFonts w:ascii="Arial" w:hAnsi="Arial" w:cs="Arial"/>
          <w:color w:val="000000"/>
          <w:kern w:val="0"/>
          <w:sz w:val="21"/>
          <w:szCs w:val="21"/>
        </w:rPr>
        <w:t xml:space="preserve">, </w:t>
      </w:r>
      <w:r>
        <w:rPr>
          <w:rFonts w:ascii="Arial" w:hAnsi="Arial" w:cs="Arial"/>
          <w:color w:val="000000"/>
          <w:kern w:val="0"/>
          <w:sz w:val="21"/>
          <w:szCs w:val="21"/>
        </w:rPr>
        <w:t>l’</w:t>
      </w:r>
      <w:r w:rsidRPr="00F12D9A">
        <w:rPr>
          <w:rFonts w:ascii="Arial" w:hAnsi="Arial" w:cs="Arial"/>
          <w:color w:val="000000"/>
          <w:kern w:val="0"/>
          <w:sz w:val="21"/>
          <w:szCs w:val="21"/>
        </w:rPr>
        <w:t>indice armonizzato dei prezzi al consumo (IPCA)</w:t>
      </w:r>
      <w:r>
        <w:rPr>
          <w:rFonts w:ascii="Arial" w:hAnsi="Arial" w:cs="Arial"/>
          <w:color w:val="000000"/>
          <w:kern w:val="0"/>
          <w:sz w:val="21"/>
          <w:szCs w:val="21"/>
        </w:rPr>
        <w:t xml:space="preserve"> </w:t>
      </w:r>
      <w:r w:rsidRPr="007A6C81">
        <w:rPr>
          <w:rFonts w:ascii="Arial" w:hAnsi="Arial" w:cs="Arial"/>
          <w:color w:val="000000"/>
          <w:kern w:val="0"/>
          <w:sz w:val="21"/>
          <w:szCs w:val="21"/>
        </w:rPr>
        <w:t>registra</w:t>
      </w:r>
      <w:r w:rsidRPr="007A6C81">
        <w:rPr>
          <w:rFonts w:ascii="Arial" w:hAnsi="Arial" w:cs="Arial"/>
          <w:sz w:val="21"/>
          <w:szCs w:val="21"/>
        </w:rPr>
        <w:t xml:space="preserve"> </w:t>
      </w:r>
      <w:r>
        <w:rPr>
          <w:rFonts w:ascii="Arial" w:hAnsi="Arial" w:cs="Arial"/>
          <w:sz w:val="21"/>
          <w:szCs w:val="21"/>
        </w:rPr>
        <w:t>un aumento del</w:t>
      </w:r>
      <w:r w:rsidR="006222C2">
        <w:rPr>
          <w:rFonts w:ascii="Arial" w:hAnsi="Arial" w:cs="Arial"/>
          <w:sz w:val="21"/>
          <w:szCs w:val="21"/>
        </w:rPr>
        <w:t xml:space="preserve"> </w:t>
      </w:r>
      <w:r w:rsidR="00CA5B03">
        <w:rPr>
          <w:rFonts w:ascii="Arial" w:hAnsi="Arial" w:cs="Arial"/>
          <w:sz w:val="21"/>
          <w:szCs w:val="21"/>
        </w:rPr>
        <w:t>3,8</w:t>
      </w:r>
      <w:r>
        <w:rPr>
          <w:rFonts w:ascii="Arial" w:hAnsi="Arial" w:cs="Arial"/>
          <w:sz w:val="21"/>
          <w:szCs w:val="21"/>
        </w:rPr>
        <w:t>%</w:t>
      </w:r>
      <w:r w:rsidRPr="008B15EE">
        <w:rPr>
          <w:rFonts w:ascii="Arial" w:hAnsi="Arial" w:cs="Arial"/>
          <w:sz w:val="21"/>
          <w:szCs w:val="21"/>
        </w:rPr>
        <w:t xml:space="preserve"> su base mensile e </w:t>
      </w:r>
      <w:r w:rsidR="00777203">
        <w:rPr>
          <w:rFonts w:ascii="Arial" w:hAnsi="Arial" w:cs="Arial"/>
          <w:sz w:val="21"/>
          <w:szCs w:val="21"/>
        </w:rPr>
        <w:t xml:space="preserve">del </w:t>
      </w:r>
      <w:r w:rsidR="00CA5B03">
        <w:rPr>
          <w:rFonts w:ascii="Arial" w:hAnsi="Arial" w:cs="Arial"/>
          <w:sz w:val="21"/>
          <w:szCs w:val="21"/>
        </w:rPr>
        <w:t>12,6</w:t>
      </w:r>
      <w:r>
        <w:rPr>
          <w:rFonts w:ascii="Arial" w:hAnsi="Arial" w:cs="Arial"/>
          <w:sz w:val="21"/>
          <w:szCs w:val="21"/>
        </w:rPr>
        <w:t xml:space="preserve">% </w:t>
      </w:r>
      <w:r w:rsidRPr="008B15EE">
        <w:rPr>
          <w:rFonts w:ascii="Arial" w:hAnsi="Arial" w:cs="Arial"/>
          <w:sz w:val="21"/>
          <w:szCs w:val="21"/>
        </w:rPr>
        <w:t>su bas</w:t>
      </w:r>
      <w:r>
        <w:rPr>
          <w:rFonts w:ascii="Arial" w:hAnsi="Arial" w:cs="Arial"/>
          <w:sz w:val="21"/>
          <w:szCs w:val="21"/>
        </w:rPr>
        <w:t>e annua, da +</w:t>
      </w:r>
      <w:r w:rsidR="003C45C2">
        <w:rPr>
          <w:rFonts w:ascii="Arial" w:hAnsi="Arial" w:cs="Arial"/>
          <w:sz w:val="21"/>
          <w:szCs w:val="21"/>
        </w:rPr>
        <w:t>9,</w:t>
      </w:r>
      <w:r w:rsidR="00CA5B03">
        <w:rPr>
          <w:rFonts w:ascii="Arial" w:hAnsi="Arial" w:cs="Arial"/>
          <w:sz w:val="21"/>
          <w:szCs w:val="21"/>
        </w:rPr>
        <w:t>4</w:t>
      </w:r>
      <w:r w:rsidRPr="008B15EE">
        <w:rPr>
          <w:rFonts w:ascii="Arial" w:hAnsi="Arial" w:cs="Arial"/>
          <w:sz w:val="21"/>
          <w:szCs w:val="21"/>
        </w:rPr>
        <w:t>% di</w:t>
      </w:r>
      <w:r>
        <w:rPr>
          <w:rFonts w:ascii="Arial" w:hAnsi="Arial" w:cs="Arial"/>
          <w:sz w:val="21"/>
          <w:szCs w:val="21"/>
        </w:rPr>
        <w:t xml:space="preserve"> </w:t>
      </w:r>
      <w:r w:rsidR="00CA5B03">
        <w:rPr>
          <w:rFonts w:ascii="Arial" w:hAnsi="Arial" w:cs="Arial"/>
          <w:sz w:val="21"/>
          <w:szCs w:val="21"/>
        </w:rPr>
        <w:t>settembre</w:t>
      </w:r>
      <w:r>
        <w:rPr>
          <w:rFonts w:ascii="Arial" w:hAnsi="Arial" w:cs="Arial"/>
          <w:color w:val="000000"/>
          <w:kern w:val="0"/>
          <w:sz w:val="21"/>
          <w:szCs w:val="21"/>
        </w:rPr>
        <w:t xml:space="preserve"> (Prospetto 6).</w:t>
      </w:r>
    </w:p>
    <w:p w:rsidR="00DF75E8" w:rsidRDefault="00DF75E8" w:rsidP="00DF75E8">
      <w:pPr>
        <w:tabs>
          <w:tab w:val="left" w:pos="851"/>
          <w:tab w:val="left" w:pos="9639"/>
        </w:tabs>
        <w:spacing w:before="0" w:after="120"/>
        <w:jc w:val="both"/>
        <w:rPr>
          <w:rFonts w:ascii="Arial" w:hAnsi="Arial" w:cs="Arial"/>
          <w:iCs/>
          <w:sz w:val="21"/>
          <w:szCs w:val="21"/>
        </w:rPr>
      </w:pPr>
      <w:r>
        <w:rPr>
          <w:rFonts w:ascii="Arial" w:hAnsi="Arial" w:cs="Arial"/>
          <w:color w:val="000000"/>
          <w:kern w:val="0"/>
          <w:sz w:val="21"/>
          <w:szCs w:val="21"/>
        </w:rPr>
        <w:t>L’</w:t>
      </w:r>
      <w:r w:rsidRPr="00931743">
        <w:rPr>
          <w:rFonts w:ascii="Arial" w:hAnsi="Arial" w:cs="Arial"/>
          <w:color w:val="000000"/>
          <w:kern w:val="0"/>
          <w:sz w:val="21"/>
          <w:szCs w:val="21"/>
        </w:rPr>
        <w:t>a</w:t>
      </w:r>
      <w:r>
        <w:rPr>
          <w:rFonts w:ascii="Arial" w:hAnsi="Arial" w:cs="Arial"/>
          <w:color w:val="000000"/>
          <w:kern w:val="0"/>
          <w:sz w:val="21"/>
          <w:szCs w:val="21"/>
        </w:rPr>
        <w:t xml:space="preserve">ccelerazione </w:t>
      </w:r>
      <w:r w:rsidRPr="00931743">
        <w:rPr>
          <w:rFonts w:ascii="Arial" w:hAnsi="Arial" w:cs="Arial"/>
          <w:color w:val="000000"/>
          <w:kern w:val="0"/>
          <w:sz w:val="21"/>
          <w:szCs w:val="21"/>
        </w:rPr>
        <w:t xml:space="preserve">dell’IPCA </w:t>
      </w:r>
      <w:r>
        <w:rPr>
          <w:rFonts w:ascii="Arial" w:hAnsi="Arial" w:cs="Arial"/>
          <w:color w:val="000000"/>
          <w:kern w:val="0"/>
          <w:sz w:val="21"/>
          <w:szCs w:val="21"/>
        </w:rPr>
        <w:t>è spiegata prevalentemente, come per il NIC, d</w:t>
      </w:r>
      <w:r w:rsidRPr="0065501C">
        <w:rPr>
          <w:rFonts w:ascii="Arial" w:hAnsi="Arial" w:cs="Arial"/>
          <w:color w:val="000000"/>
          <w:kern w:val="0"/>
          <w:sz w:val="21"/>
          <w:szCs w:val="21"/>
        </w:rPr>
        <w:t xml:space="preserve">ai </w:t>
      </w:r>
      <w:r w:rsidRPr="00797809">
        <w:rPr>
          <w:rFonts w:ascii="Arial" w:hAnsi="Arial" w:cs="Arial"/>
          <w:iCs/>
          <w:sz w:val="21"/>
          <w:szCs w:val="21"/>
        </w:rPr>
        <w:t xml:space="preserve">prezzi </w:t>
      </w:r>
      <w:r>
        <w:rPr>
          <w:rFonts w:ascii="Arial" w:hAnsi="Arial" w:cs="Arial"/>
          <w:iCs/>
          <w:sz w:val="21"/>
          <w:szCs w:val="21"/>
        </w:rPr>
        <w:t xml:space="preserve">di Abitazione, acqua, elettricità e combustibili (da +32,2% a +57,2%), e, in misura minore, </w:t>
      </w:r>
      <w:r w:rsidRPr="00797809">
        <w:rPr>
          <w:rFonts w:ascii="Arial" w:hAnsi="Arial" w:cs="Arial"/>
          <w:iCs/>
          <w:sz w:val="21"/>
          <w:szCs w:val="21"/>
        </w:rPr>
        <w:t>d</w:t>
      </w:r>
      <w:r>
        <w:rPr>
          <w:rFonts w:ascii="Arial" w:hAnsi="Arial" w:cs="Arial"/>
          <w:iCs/>
          <w:sz w:val="21"/>
          <w:szCs w:val="21"/>
        </w:rPr>
        <w:t>ai</w:t>
      </w:r>
      <w:r w:rsidRPr="00797809">
        <w:rPr>
          <w:rFonts w:ascii="Arial" w:hAnsi="Arial" w:cs="Arial"/>
          <w:iCs/>
          <w:sz w:val="21"/>
          <w:szCs w:val="21"/>
        </w:rPr>
        <w:t xml:space="preserve"> </w:t>
      </w:r>
      <w:r>
        <w:rPr>
          <w:rFonts w:ascii="Arial" w:hAnsi="Arial" w:cs="Arial"/>
          <w:iCs/>
          <w:sz w:val="21"/>
          <w:szCs w:val="21"/>
        </w:rPr>
        <w:t xml:space="preserve">prezzi dei </w:t>
      </w:r>
      <w:r w:rsidRPr="00797809">
        <w:rPr>
          <w:rFonts w:ascii="Arial" w:hAnsi="Arial" w:cs="Arial"/>
          <w:iCs/>
          <w:sz w:val="21"/>
          <w:szCs w:val="21"/>
        </w:rPr>
        <w:t>Prodotti alimentari e bevande analcoliche (da +</w:t>
      </w:r>
      <w:r>
        <w:rPr>
          <w:rFonts w:ascii="Arial" w:hAnsi="Arial" w:cs="Arial"/>
          <w:iCs/>
          <w:sz w:val="21"/>
          <w:szCs w:val="21"/>
        </w:rPr>
        <w:t>11,8</w:t>
      </w:r>
      <w:r w:rsidRPr="00797809">
        <w:rPr>
          <w:rFonts w:ascii="Arial" w:hAnsi="Arial" w:cs="Arial"/>
          <w:iCs/>
          <w:sz w:val="21"/>
          <w:szCs w:val="21"/>
        </w:rPr>
        <w:t xml:space="preserve">% </w:t>
      </w:r>
      <w:r>
        <w:rPr>
          <w:rFonts w:ascii="Arial" w:hAnsi="Arial" w:cs="Arial"/>
          <w:iCs/>
          <w:sz w:val="21"/>
          <w:szCs w:val="21"/>
        </w:rPr>
        <w:t xml:space="preserve">di settembre </w:t>
      </w:r>
      <w:r w:rsidRPr="00797809">
        <w:rPr>
          <w:rFonts w:ascii="Arial" w:hAnsi="Arial" w:cs="Arial"/>
          <w:iCs/>
          <w:sz w:val="21"/>
          <w:szCs w:val="21"/>
        </w:rPr>
        <w:t>a +</w:t>
      </w:r>
      <w:r>
        <w:rPr>
          <w:rFonts w:ascii="Arial" w:hAnsi="Arial" w:cs="Arial"/>
          <w:iCs/>
          <w:sz w:val="21"/>
          <w:szCs w:val="21"/>
        </w:rPr>
        <w:t>13,6</w:t>
      </w:r>
      <w:r w:rsidRPr="00797809">
        <w:rPr>
          <w:rFonts w:ascii="Arial" w:hAnsi="Arial" w:cs="Arial"/>
          <w:iCs/>
          <w:sz w:val="21"/>
          <w:szCs w:val="21"/>
        </w:rPr>
        <w:t>%)</w:t>
      </w:r>
      <w:r>
        <w:rPr>
          <w:rFonts w:ascii="Arial" w:hAnsi="Arial" w:cs="Arial"/>
          <w:iCs/>
          <w:sz w:val="21"/>
          <w:szCs w:val="21"/>
        </w:rPr>
        <w:t>, di Abbigliamento e calzature</w:t>
      </w:r>
      <w:r w:rsidRPr="00797809">
        <w:rPr>
          <w:rFonts w:ascii="Arial" w:hAnsi="Arial" w:cs="Arial"/>
          <w:iCs/>
          <w:sz w:val="21"/>
          <w:szCs w:val="21"/>
        </w:rPr>
        <w:t xml:space="preserve"> (da +</w:t>
      </w:r>
      <w:r>
        <w:rPr>
          <w:rFonts w:ascii="Arial" w:hAnsi="Arial" w:cs="Arial"/>
          <w:iCs/>
          <w:sz w:val="21"/>
          <w:szCs w:val="21"/>
        </w:rPr>
        <w:t>2,8</w:t>
      </w:r>
      <w:r w:rsidRPr="00797809">
        <w:rPr>
          <w:rFonts w:ascii="Arial" w:hAnsi="Arial" w:cs="Arial"/>
          <w:iCs/>
          <w:sz w:val="21"/>
          <w:szCs w:val="21"/>
        </w:rPr>
        <w:t>% a +</w:t>
      </w:r>
      <w:r>
        <w:rPr>
          <w:rFonts w:ascii="Arial" w:hAnsi="Arial" w:cs="Arial"/>
          <w:iCs/>
          <w:sz w:val="21"/>
          <w:szCs w:val="21"/>
        </w:rPr>
        <w:t>3,2</w:t>
      </w:r>
      <w:r w:rsidRPr="00797809">
        <w:rPr>
          <w:rFonts w:ascii="Arial" w:hAnsi="Arial" w:cs="Arial"/>
          <w:iCs/>
          <w:sz w:val="21"/>
          <w:szCs w:val="21"/>
        </w:rPr>
        <w:t>%)</w:t>
      </w:r>
      <w:r>
        <w:rPr>
          <w:rFonts w:ascii="Arial" w:hAnsi="Arial" w:cs="Arial"/>
          <w:iCs/>
          <w:sz w:val="21"/>
          <w:szCs w:val="21"/>
        </w:rPr>
        <w:t xml:space="preserve">, e di </w:t>
      </w:r>
      <w:r w:rsidRPr="006D1800">
        <w:rPr>
          <w:rFonts w:ascii="Arial" w:hAnsi="Arial" w:cs="Arial"/>
          <w:iCs/>
          <w:sz w:val="21"/>
          <w:szCs w:val="21"/>
        </w:rPr>
        <w:t>Mobili, articoli e servizi per la casa</w:t>
      </w:r>
      <w:r>
        <w:rPr>
          <w:rFonts w:ascii="Arial" w:hAnsi="Arial" w:cs="Arial"/>
          <w:iCs/>
          <w:sz w:val="21"/>
          <w:szCs w:val="21"/>
        </w:rPr>
        <w:t xml:space="preserve"> (da +6,5% a +7,0%), con i prezzi delle Comunicazioni che registrano una flessione meno ampia (da -3,0% a -2,4%) </w:t>
      </w:r>
      <w:r w:rsidR="005050EC">
        <w:rPr>
          <w:rFonts w:ascii="Arial" w:hAnsi="Arial" w:cs="Arial"/>
          <w:iCs/>
          <w:sz w:val="21"/>
          <w:szCs w:val="21"/>
        </w:rPr>
        <w:t>(Prospetto 6</w:t>
      </w:r>
      <w:r w:rsidRPr="00797809">
        <w:rPr>
          <w:rFonts w:ascii="Arial" w:hAnsi="Arial" w:cs="Arial"/>
          <w:iCs/>
          <w:sz w:val="21"/>
          <w:szCs w:val="21"/>
        </w:rPr>
        <w:t xml:space="preserve">). Tale dinamica è stata </w:t>
      </w:r>
      <w:r>
        <w:rPr>
          <w:rFonts w:ascii="Arial" w:hAnsi="Arial" w:cs="Arial"/>
          <w:iCs/>
          <w:sz w:val="21"/>
          <w:szCs w:val="21"/>
        </w:rPr>
        <w:t xml:space="preserve">solo </w:t>
      </w:r>
      <w:r w:rsidRPr="00797809">
        <w:rPr>
          <w:rFonts w:ascii="Arial" w:hAnsi="Arial" w:cs="Arial"/>
          <w:iCs/>
          <w:sz w:val="21"/>
          <w:szCs w:val="21"/>
        </w:rPr>
        <w:t>in parte compensata dal rallentamento dei prezzi dei Trasporti (da +</w:t>
      </w:r>
      <w:r>
        <w:rPr>
          <w:rFonts w:ascii="Arial" w:hAnsi="Arial" w:cs="Arial"/>
          <w:iCs/>
          <w:sz w:val="21"/>
          <w:szCs w:val="21"/>
        </w:rPr>
        <w:t>9,5</w:t>
      </w:r>
      <w:r w:rsidRPr="00797809">
        <w:rPr>
          <w:rFonts w:ascii="Arial" w:hAnsi="Arial" w:cs="Arial"/>
          <w:iCs/>
          <w:sz w:val="21"/>
          <w:szCs w:val="21"/>
        </w:rPr>
        <w:t>% a +</w:t>
      </w:r>
      <w:r>
        <w:rPr>
          <w:rFonts w:ascii="Arial" w:hAnsi="Arial" w:cs="Arial"/>
          <w:iCs/>
          <w:sz w:val="21"/>
          <w:szCs w:val="21"/>
        </w:rPr>
        <w:t>8,0%) e dei Servizi ricettivi e di ristorazione (da +7,9% a +7,5%).</w:t>
      </w:r>
    </w:p>
    <w:p w:rsidR="004B71DC" w:rsidRDefault="00566989" w:rsidP="004B71DC">
      <w:pPr>
        <w:spacing w:before="0" w:after="120"/>
        <w:jc w:val="both"/>
        <w:rPr>
          <w:rFonts w:ascii="Arial" w:hAnsi="Arial" w:cs="Arial"/>
          <w:color w:val="000000"/>
          <w:kern w:val="0"/>
          <w:sz w:val="21"/>
          <w:szCs w:val="21"/>
        </w:rPr>
      </w:pPr>
      <w:r>
        <w:rPr>
          <w:rFonts w:ascii="Arial" w:hAnsi="Arial" w:cs="Arial"/>
          <w:color w:val="000000"/>
          <w:kern w:val="0"/>
          <w:sz w:val="21"/>
          <w:szCs w:val="21"/>
        </w:rPr>
        <w:t xml:space="preserve">In assenza degli interventi di natura fiscale adottati dal governo per contrastare i rincari dei prodotti energetici (riduzione dell’IVA sul gas a ottobre 2021 e delle accise sui carburanti a partire dal 22 marzo 2022), l’inflazione misurata dall’IPCA a tassazione constante (IPCA-TC) a </w:t>
      </w:r>
      <w:r w:rsidR="00646CE4">
        <w:rPr>
          <w:rFonts w:ascii="Arial" w:hAnsi="Arial" w:cs="Arial"/>
          <w:color w:val="000000"/>
          <w:kern w:val="0"/>
          <w:sz w:val="21"/>
          <w:szCs w:val="21"/>
        </w:rPr>
        <w:t>ottobre</w:t>
      </w:r>
      <w:r>
        <w:rPr>
          <w:rFonts w:ascii="Arial" w:hAnsi="Arial" w:cs="Arial"/>
          <w:color w:val="000000"/>
          <w:kern w:val="0"/>
          <w:sz w:val="21"/>
          <w:szCs w:val="21"/>
        </w:rPr>
        <w:t xml:space="preserve"> sarebbe stata pari a +</w:t>
      </w:r>
      <w:r w:rsidR="005C5284">
        <w:rPr>
          <w:rFonts w:ascii="Arial" w:hAnsi="Arial" w:cs="Arial"/>
          <w:color w:val="000000"/>
          <w:kern w:val="0"/>
          <w:sz w:val="21"/>
          <w:szCs w:val="21"/>
        </w:rPr>
        <w:t>1</w:t>
      </w:r>
      <w:r w:rsidR="00CA5B03">
        <w:rPr>
          <w:rFonts w:ascii="Arial" w:hAnsi="Arial" w:cs="Arial"/>
          <w:color w:val="000000"/>
          <w:kern w:val="0"/>
          <w:sz w:val="21"/>
          <w:szCs w:val="21"/>
        </w:rPr>
        <w:t>3</w:t>
      </w:r>
      <w:r w:rsidR="005C5284">
        <w:rPr>
          <w:rFonts w:ascii="Arial" w:hAnsi="Arial" w:cs="Arial"/>
          <w:color w:val="000000"/>
          <w:kern w:val="0"/>
          <w:sz w:val="21"/>
          <w:szCs w:val="21"/>
        </w:rPr>
        <w:t>,</w:t>
      </w:r>
      <w:r w:rsidR="00CA5B03">
        <w:rPr>
          <w:rFonts w:ascii="Arial" w:hAnsi="Arial" w:cs="Arial"/>
          <w:color w:val="000000"/>
          <w:kern w:val="0"/>
          <w:sz w:val="21"/>
          <w:szCs w:val="21"/>
        </w:rPr>
        <w:t>4</w:t>
      </w:r>
      <w:r>
        <w:rPr>
          <w:rFonts w:ascii="Arial" w:hAnsi="Arial" w:cs="Arial"/>
          <w:color w:val="000000"/>
          <w:kern w:val="0"/>
          <w:sz w:val="21"/>
          <w:szCs w:val="21"/>
        </w:rPr>
        <w:t>% (da +</w:t>
      </w:r>
      <w:r w:rsidR="005C5284">
        <w:rPr>
          <w:rFonts w:ascii="Arial" w:hAnsi="Arial" w:cs="Arial"/>
          <w:color w:val="000000"/>
          <w:kern w:val="0"/>
          <w:sz w:val="21"/>
          <w:szCs w:val="21"/>
        </w:rPr>
        <w:t>10,</w:t>
      </w:r>
      <w:r w:rsidR="00CA5B03">
        <w:rPr>
          <w:rFonts w:ascii="Arial" w:hAnsi="Arial" w:cs="Arial"/>
          <w:color w:val="000000"/>
          <w:kern w:val="0"/>
          <w:sz w:val="21"/>
          <w:szCs w:val="21"/>
        </w:rPr>
        <w:t>6</w:t>
      </w:r>
      <w:r>
        <w:rPr>
          <w:rFonts w:ascii="Arial" w:hAnsi="Arial" w:cs="Arial"/>
          <w:color w:val="000000"/>
          <w:kern w:val="0"/>
          <w:sz w:val="21"/>
          <w:szCs w:val="21"/>
        </w:rPr>
        <w:t xml:space="preserve">% di </w:t>
      </w:r>
      <w:r w:rsidR="00646CE4">
        <w:rPr>
          <w:rFonts w:ascii="Arial" w:hAnsi="Arial" w:cs="Arial"/>
          <w:color w:val="000000"/>
          <w:kern w:val="0"/>
          <w:sz w:val="21"/>
          <w:szCs w:val="21"/>
        </w:rPr>
        <w:t>settembre</w:t>
      </w:r>
      <w:r>
        <w:rPr>
          <w:rFonts w:ascii="Arial" w:hAnsi="Arial" w:cs="Arial"/>
          <w:color w:val="000000"/>
          <w:kern w:val="0"/>
          <w:sz w:val="21"/>
          <w:szCs w:val="21"/>
        </w:rPr>
        <w:t xml:space="preserve">). </w:t>
      </w:r>
    </w:p>
    <w:p w:rsidR="00BF5066" w:rsidRPr="0071037E" w:rsidRDefault="00BF5066" w:rsidP="0027680C">
      <w:pPr>
        <w:spacing w:before="0" w:after="120"/>
        <w:jc w:val="both"/>
        <w:rPr>
          <w:rFonts w:ascii="Arial" w:hAnsi="Arial" w:cs="Arial"/>
          <w:color w:val="000000"/>
          <w:kern w:val="0"/>
          <w:sz w:val="18"/>
          <w:szCs w:val="21"/>
        </w:rPr>
      </w:pPr>
    </w:p>
    <w:p w:rsidR="00373F6B" w:rsidRPr="00C8504B" w:rsidRDefault="00373F6B" w:rsidP="0027680C">
      <w:pPr>
        <w:spacing w:before="0" w:after="120"/>
        <w:jc w:val="both"/>
        <w:rPr>
          <w:rFonts w:ascii="Arial Narrow" w:hAnsi="Arial Narrow" w:cs="Arial"/>
          <w:color w:val="5F5F5F"/>
          <w:sz w:val="22"/>
          <w:szCs w:val="22"/>
        </w:rPr>
      </w:pPr>
      <w:r w:rsidRPr="00C8504B">
        <w:rPr>
          <w:rFonts w:ascii="Arial Narrow" w:hAnsi="Arial Narrow" w:cs="Arial"/>
          <w:b/>
          <w:color w:val="E42618"/>
          <w:kern w:val="0"/>
          <w:sz w:val="22"/>
          <w:szCs w:val="22"/>
        </w:rPr>
        <w:t>PROSPETTO</w:t>
      </w:r>
      <w:r w:rsidR="00E74721" w:rsidRPr="00C8504B">
        <w:rPr>
          <w:rFonts w:ascii="Arial Narrow" w:hAnsi="Arial Narrow" w:cs="Arial"/>
          <w:b/>
          <w:color w:val="E42618"/>
          <w:kern w:val="0"/>
          <w:sz w:val="22"/>
          <w:szCs w:val="22"/>
        </w:rPr>
        <w:t xml:space="preserve"> 6</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DIVISIONE DI SPESA</w:t>
      </w:r>
      <w:r w:rsidR="00AB4D53" w:rsidRPr="00C8504B">
        <w:rPr>
          <w:rFonts w:ascii="Arial Narrow" w:hAnsi="Arial Narrow" w:cs="Arial"/>
          <w:b/>
          <w:color w:val="5F5F5F"/>
        </w:rPr>
        <w:br/>
      </w:r>
      <w:r w:rsidR="001E1AF5">
        <w:rPr>
          <w:rFonts w:ascii="Arial Narrow" w:hAnsi="Arial Narrow" w:cs="Arial"/>
          <w:color w:val="5F5F5F"/>
        </w:rPr>
        <w:t>Ottobre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pesi e variazioni percentuali</w:t>
      </w:r>
      <w:r w:rsidR="00625F9C" w:rsidRPr="00C8504B">
        <w:rPr>
          <w:rFonts w:ascii="Arial Narrow" w:hAnsi="Arial Narrow" w:cs="Arial"/>
          <w:color w:val="5F5F5F"/>
        </w:rPr>
        <w:t xml:space="preserve"> </w:t>
      </w:r>
      <w:r w:rsidR="00AD29B6" w:rsidRPr="00C8504B">
        <w:rPr>
          <w:rFonts w:ascii="Arial Narrow" w:hAnsi="Arial Narrow" w:cs="Arial"/>
          <w:color w:val="5F5F5F"/>
        </w:rPr>
        <w:t>congiunturali</w:t>
      </w:r>
      <w:r w:rsidR="00625F9C" w:rsidRPr="00C8504B">
        <w:rPr>
          <w:rFonts w:ascii="Arial Narrow" w:hAnsi="Arial Narrow" w:cs="Arial"/>
          <w:color w:val="5F5F5F"/>
        </w:rPr>
        <w:t xml:space="preserve"> e tendenziali</w:t>
      </w:r>
      <w:r w:rsidRPr="00C8504B">
        <w:rPr>
          <w:rFonts w:ascii="Arial Narrow" w:hAnsi="Arial Narrow" w:cs="Arial"/>
          <w:color w:val="5F5F5F"/>
        </w:rPr>
        <w:t xml:space="preserve"> (base 2015=100</w:t>
      </w:r>
      <w:r w:rsidRPr="00C8504B">
        <w:rPr>
          <w:rFonts w:ascii="Arial Narrow" w:hAnsi="Arial Narrow" w:cs="Arial"/>
          <w:color w:val="5F5F5F"/>
          <w:sz w:val="22"/>
          <w:szCs w:val="22"/>
        </w:rPr>
        <w:t xml:space="preserve">) </w:t>
      </w:r>
    </w:p>
    <w:tbl>
      <w:tblPr>
        <w:tblW w:w="10250" w:type="dxa"/>
        <w:jc w:val="center"/>
        <w:tblBorders>
          <w:top w:val="single" w:sz="4" w:space="0" w:color="080808"/>
          <w:bottom w:val="single" w:sz="4" w:space="0" w:color="080808"/>
          <w:insideH w:val="single" w:sz="4" w:space="0" w:color="080808"/>
        </w:tblBorders>
        <w:tblCellMar>
          <w:left w:w="70" w:type="dxa"/>
          <w:right w:w="0" w:type="dxa"/>
        </w:tblCellMar>
        <w:tblLook w:val="0000" w:firstRow="0" w:lastRow="0" w:firstColumn="0" w:lastColumn="0" w:noHBand="0" w:noVBand="0"/>
      </w:tblPr>
      <w:tblGrid>
        <w:gridCol w:w="3593"/>
        <w:gridCol w:w="1294"/>
        <w:gridCol w:w="1080"/>
        <w:gridCol w:w="69"/>
        <w:gridCol w:w="1005"/>
        <w:gridCol w:w="62"/>
        <w:gridCol w:w="1087"/>
        <w:gridCol w:w="62"/>
        <w:gridCol w:w="934"/>
        <w:gridCol w:w="1051"/>
        <w:gridCol w:w="13"/>
      </w:tblGrid>
      <w:tr w:rsidR="00B33C41" w:rsidRPr="00C8504B" w:rsidTr="00C70BCF">
        <w:trPr>
          <w:gridAfter w:val="1"/>
          <w:wAfter w:w="13" w:type="dxa"/>
          <w:trHeight w:val="347"/>
          <w:jc w:val="center"/>
        </w:trPr>
        <w:tc>
          <w:tcPr>
            <w:tcW w:w="3593" w:type="dxa"/>
            <w:vMerge w:val="restart"/>
            <w:vAlign w:val="center"/>
          </w:tcPr>
          <w:p w:rsidR="00B33C41" w:rsidRPr="00C8504B" w:rsidRDefault="00B33C41" w:rsidP="00B33C41">
            <w:pPr>
              <w:spacing w:before="40" w:after="20"/>
              <w:ind w:left="-57"/>
              <w:rPr>
                <w:rFonts w:ascii="Arial Narrow" w:hAnsi="Arial Narrow" w:cs="Arial"/>
                <w:bCs/>
                <w:sz w:val="18"/>
                <w:szCs w:val="18"/>
              </w:rPr>
            </w:pPr>
            <w:r w:rsidRPr="00C8504B">
              <w:rPr>
                <w:rFonts w:ascii="Arial Narrow" w:hAnsi="Arial Narrow" w:cs="Arial"/>
                <w:b/>
                <w:bCs/>
                <w:sz w:val="18"/>
                <w:szCs w:val="18"/>
              </w:rPr>
              <w:t>DIVISIONI DI SPESA</w:t>
            </w:r>
          </w:p>
        </w:tc>
        <w:tc>
          <w:tcPr>
            <w:tcW w:w="1294" w:type="dxa"/>
            <w:vMerge w:val="restart"/>
            <w:shd w:val="clear" w:color="auto" w:fill="D9D9D9"/>
            <w:vAlign w:val="center"/>
          </w:tcPr>
          <w:p w:rsidR="00B33C41" w:rsidRPr="00C8504B" w:rsidRDefault="00B33C41" w:rsidP="00B33C4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2154" w:type="dxa"/>
            <w:gridSpan w:val="3"/>
            <w:vAlign w:val="center"/>
          </w:tcPr>
          <w:p w:rsidR="00B33C41" w:rsidRPr="00C8504B" w:rsidRDefault="00B33C41" w:rsidP="00B33C4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2145" w:type="dxa"/>
            <w:gridSpan w:val="4"/>
            <w:shd w:val="clear" w:color="auto" w:fill="D9D9D9"/>
            <w:vAlign w:val="center"/>
          </w:tcPr>
          <w:p w:rsidR="00B33C41" w:rsidRPr="00C8504B" w:rsidRDefault="00B33C41" w:rsidP="00B33C4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051" w:type="dxa"/>
            <w:vMerge w:val="restart"/>
            <w:shd w:val="clear" w:color="auto" w:fill="auto"/>
            <w:vAlign w:val="center"/>
          </w:tcPr>
          <w:p w:rsidR="00B33C41" w:rsidRPr="00C8504B" w:rsidRDefault="00B33C41" w:rsidP="001E1AF5">
            <w:pPr>
              <w:spacing w:before="40" w:after="20"/>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w:t>
            </w:r>
            <w:r w:rsidR="00646CE4">
              <w:rPr>
                <w:rFonts w:ascii="Arial Narrow" w:hAnsi="Arial Narrow" w:cs="Arial"/>
                <w:b/>
                <w:bCs/>
                <w:kern w:val="0"/>
                <w:sz w:val="18"/>
                <w:szCs w:val="18"/>
              </w:rPr>
              <w:t xml:space="preserve">         </w:t>
            </w:r>
            <w:r>
              <w:rPr>
                <w:rFonts w:ascii="Arial Narrow" w:hAnsi="Arial Narrow" w:cs="Arial"/>
                <w:b/>
                <w:bCs/>
                <w:kern w:val="0"/>
                <w:sz w:val="18"/>
                <w:szCs w:val="18"/>
              </w:rPr>
              <w:t xml:space="preserve">a </w:t>
            </w:r>
            <w:r w:rsidR="001E1AF5">
              <w:rPr>
                <w:rFonts w:ascii="Arial Narrow" w:hAnsi="Arial Narrow" w:cs="Arial"/>
                <w:b/>
                <w:bCs/>
                <w:kern w:val="0"/>
                <w:sz w:val="18"/>
                <w:szCs w:val="18"/>
              </w:rPr>
              <w:t>ottobre</w:t>
            </w:r>
          </w:p>
        </w:tc>
      </w:tr>
      <w:tr w:rsidR="000F49FA" w:rsidRPr="00C8504B" w:rsidTr="00C70BCF">
        <w:trPr>
          <w:gridAfter w:val="1"/>
          <w:wAfter w:w="13" w:type="dxa"/>
          <w:trHeight w:val="346"/>
          <w:jc w:val="center"/>
        </w:trPr>
        <w:tc>
          <w:tcPr>
            <w:tcW w:w="3593" w:type="dxa"/>
            <w:vMerge/>
            <w:vAlign w:val="center"/>
          </w:tcPr>
          <w:p w:rsidR="000F49FA" w:rsidRPr="00C8504B" w:rsidRDefault="000F49FA" w:rsidP="000F49FA">
            <w:pPr>
              <w:spacing w:before="40" w:after="20"/>
              <w:ind w:left="-57"/>
              <w:rPr>
                <w:rFonts w:ascii="Arial Narrow" w:hAnsi="Arial Narrow" w:cs="Arial"/>
                <w:b/>
                <w:bCs/>
                <w:sz w:val="18"/>
                <w:szCs w:val="18"/>
              </w:rPr>
            </w:pPr>
          </w:p>
        </w:tc>
        <w:tc>
          <w:tcPr>
            <w:tcW w:w="1294" w:type="dxa"/>
            <w:vMerge/>
            <w:shd w:val="clear" w:color="auto" w:fill="D9D9D9"/>
            <w:vAlign w:val="center"/>
          </w:tcPr>
          <w:p w:rsidR="000F49FA" w:rsidRPr="00C8504B" w:rsidRDefault="000F49FA" w:rsidP="000F49FA">
            <w:pPr>
              <w:spacing w:before="40" w:after="20"/>
              <w:ind w:right="57"/>
              <w:jc w:val="right"/>
              <w:rPr>
                <w:rFonts w:ascii="Arial Narrow" w:hAnsi="Arial Narrow" w:cs="Arial"/>
                <w:b/>
                <w:bCs/>
                <w:sz w:val="18"/>
                <w:szCs w:val="18"/>
              </w:rPr>
            </w:pPr>
          </w:p>
        </w:tc>
        <w:tc>
          <w:tcPr>
            <w:tcW w:w="1149" w:type="dxa"/>
            <w:gridSpan w:val="2"/>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E03E58" w:rsidRDefault="000F49FA" w:rsidP="000F49FA">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set-22</w:t>
            </w:r>
          </w:p>
        </w:tc>
        <w:tc>
          <w:tcPr>
            <w:tcW w:w="1005"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ott-21</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1149" w:type="dxa"/>
            <w:gridSpan w:val="2"/>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ott-21</w:t>
            </w:r>
          </w:p>
        </w:tc>
        <w:tc>
          <w:tcPr>
            <w:tcW w:w="996" w:type="dxa"/>
            <w:gridSpan w:val="2"/>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sett21</w:t>
            </w:r>
          </w:p>
        </w:tc>
        <w:tc>
          <w:tcPr>
            <w:tcW w:w="1051" w:type="dxa"/>
            <w:vMerge/>
            <w:shd w:val="clear" w:color="auto" w:fill="auto"/>
            <w:vAlign w:val="center"/>
          </w:tcPr>
          <w:p w:rsidR="000F49FA" w:rsidRPr="00F86CA5" w:rsidRDefault="000F49FA" w:rsidP="000F49FA">
            <w:pPr>
              <w:spacing w:before="40" w:after="20"/>
              <w:jc w:val="right"/>
              <w:rPr>
                <w:rFonts w:ascii="Arial Narrow" w:hAnsi="Arial Narrow" w:cs="Arial"/>
                <w:b/>
                <w:bCs/>
                <w:sz w:val="18"/>
                <w:szCs w:val="18"/>
              </w:rPr>
            </w:pP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Prodotti alimentari e bevande analcoliche</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194.554</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+1,9</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+0,3</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+13,6</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+11,8</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+9,1</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Bevande alcoliche e tabacchi</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36.056</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0,0</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-0,2</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+2,2</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+2,0</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+1,3</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Abbigliamento e calzature</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73.176</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+3,1</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+2,8</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+3,2</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+2,8</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+1,5</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116.179</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+24,1</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+4,4</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+57,2</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+32,2</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+34,5</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Mobili, articoli e servizi per la casa</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84.989</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+0,8</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+0,3</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+7,0</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+6,5</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+5,0</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Servizi sanitari e spese per la salute</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46.145</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+0,1</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0,0</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+1,2</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+1,1</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+0,9</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Trasporti</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153.242</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-0,5</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+0,9</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+8,0</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+9,5</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+9,7</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Comunicazioni</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27.265</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-0,1</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-0,7</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-2,4</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-3,0</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-3,0</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Ricreazione, spettacoli e cultura</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57.663</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+0,1</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-0,2</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+2,7</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+2,4</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+1,5</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Istruzione</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11.474</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0,0</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-0,9</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+0,9</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0,0</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-0,1</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Servizi ricettivi e di ristorazione</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99.319</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-0,8</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-0,5</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+7,5</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+7,9</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+6,3</w:t>
            </w:r>
          </w:p>
        </w:tc>
      </w:tr>
      <w:tr w:rsidR="00C91D01" w:rsidRPr="00C8504B" w:rsidTr="0011319E">
        <w:trPr>
          <w:trHeight w:val="255"/>
          <w:jc w:val="center"/>
        </w:trPr>
        <w:tc>
          <w:tcPr>
            <w:tcW w:w="3593" w:type="dxa"/>
            <w:vAlign w:val="center"/>
          </w:tcPr>
          <w:p w:rsidR="00C91D01" w:rsidRPr="00C8504B" w:rsidRDefault="00C91D01" w:rsidP="00C91D01">
            <w:pPr>
              <w:spacing w:before="40" w:after="20"/>
              <w:ind w:left="-57"/>
              <w:rPr>
                <w:rFonts w:ascii="Arial Narrow" w:hAnsi="Arial Narrow" w:cs="Arial"/>
                <w:sz w:val="18"/>
                <w:szCs w:val="18"/>
              </w:rPr>
            </w:pPr>
            <w:r w:rsidRPr="00C8504B">
              <w:rPr>
                <w:rFonts w:ascii="Arial Narrow" w:hAnsi="Arial Narrow" w:cs="Arial"/>
                <w:sz w:val="18"/>
                <w:szCs w:val="18"/>
              </w:rPr>
              <w:t>Altri beni e servizi</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99.938</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+0,5</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+0,2</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+3,1</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+2,8</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+2,0</w:t>
            </w:r>
          </w:p>
        </w:tc>
      </w:tr>
      <w:tr w:rsidR="00C91D01" w:rsidRPr="005F1D37" w:rsidTr="0011319E">
        <w:trPr>
          <w:trHeight w:val="255"/>
          <w:jc w:val="center"/>
        </w:trPr>
        <w:tc>
          <w:tcPr>
            <w:tcW w:w="3593" w:type="dxa"/>
            <w:shd w:val="clear" w:color="auto" w:fill="E42618"/>
            <w:vAlign w:val="center"/>
          </w:tcPr>
          <w:p w:rsidR="00C91D01" w:rsidRPr="00C8504B" w:rsidRDefault="00C91D01" w:rsidP="00C91D01">
            <w:pPr>
              <w:spacing w:before="40" w:after="20"/>
              <w:ind w:left="-69"/>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294" w:type="dxa"/>
            <w:shd w:val="clear" w:color="auto" w:fill="E42618"/>
            <w:vAlign w:val="center"/>
          </w:tcPr>
          <w:p w:rsidR="00C91D01" w:rsidRPr="00B9429C" w:rsidRDefault="00C91D01" w:rsidP="00C91D01">
            <w:pPr>
              <w:spacing w:before="40" w:after="20"/>
              <w:ind w:left="-57" w:right="57"/>
              <w:jc w:val="right"/>
              <w:rPr>
                <w:rFonts w:ascii="Arial Narrow" w:hAnsi="Arial Narrow" w:cs="Arial"/>
                <w:b/>
                <w:color w:val="FFFFFF" w:themeColor="background1"/>
                <w:sz w:val="18"/>
                <w:szCs w:val="18"/>
              </w:rPr>
            </w:pPr>
            <w:r w:rsidRPr="00B9429C">
              <w:rPr>
                <w:rFonts w:ascii="Arial Narrow" w:hAnsi="Arial Narrow" w:cs="Arial"/>
                <w:b/>
                <w:color w:val="FFFFFF" w:themeColor="background1"/>
                <w:sz w:val="18"/>
                <w:szCs w:val="18"/>
              </w:rPr>
              <w:t>1.000.000</w:t>
            </w:r>
          </w:p>
        </w:tc>
        <w:tc>
          <w:tcPr>
            <w:tcW w:w="1080" w:type="dxa"/>
            <w:shd w:val="clear" w:color="auto" w:fill="E42618"/>
            <w:vAlign w:val="center"/>
          </w:tcPr>
          <w:p w:rsidR="00C91D01" w:rsidRPr="00C91D01" w:rsidRDefault="00C91D01" w:rsidP="00C91D01">
            <w:pPr>
              <w:spacing w:before="40" w:after="20"/>
              <w:ind w:left="-57" w:right="57"/>
              <w:jc w:val="right"/>
              <w:rPr>
                <w:rFonts w:ascii="Arial Narrow" w:hAnsi="Arial Narrow" w:cs="Arial"/>
                <w:b/>
                <w:color w:val="FFFFFF" w:themeColor="background1"/>
                <w:sz w:val="18"/>
                <w:szCs w:val="18"/>
              </w:rPr>
            </w:pPr>
            <w:r w:rsidRPr="00C91D01">
              <w:rPr>
                <w:rFonts w:ascii="Arial Narrow" w:hAnsi="Arial Narrow" w:cs="Arial"/>
                <w:b/>
                <w:color w:val="FFFFFF" w:themeColor="background1"/>
                <w:sz w:val="18"/>
                <w:szCs w:val="18"/>
              </w:rPr>
              <w:t>+3,8</w:t>
            </w:r>
          </w:p>
        </w:tc>
        <w:tc>
          <w:tcPr>
            <w:tcW w:w="1136" w:type="dxa"/>
            <w:gridSpan w:val="3"/>
            <w:shd w:val="clear" w:color="auto" w:fill="E42618"/>
            <w:tcMar>
              <w:left w:w="57" w:type="dxa"/>
              <w:right w:w="113" w:type="dxa"/>
            </w:tcMar>
            <w:vAlign w:val="center"/>
          </w:tcPr>
          <w:p w:rsidR="00C91D01" w:rsidRPr="00C91D01" w:rsidRDefault="00C91D01" w:rsidP="00C91D01">
            <w:pPr>
              <w:spacing w:before="40" w:after="20"/>
              <w:ind w:left="-57" w:right="57"/>
              <w:jc w:val="right"/>
              <w:rPr>
                <w:rFonts w:ascii="Arial Narrow" w:hAnsi="Arial Narrow" w:cs="Arial"/>
                <w:b/>
                <w:color w:val="FFFFFF" w:themeColor="background1"/>
                <w:sz w:val="18"/>
                <w:szCs w:val="18"/>
              </w:rPr>
            </w:pPr>
            <w:r w:rsidRPr="00C91D01">
              <w:rPr>
                <w:rFonts w:ascii="Arial Narrow" w:hAnsi="Arial Narrow" w:cs="Arial"/>
                <w:b/>
                <w:color w:val="FFFFFF" w:themeColor="background1"/>
                <w:sz w:val="18"/>
                <w:szCs w:val="18"/>
              </w:rPr>
              <w:t>+0,9</w:t>
            </w:r>
          </w:p>
        </w:tc>
        <w:tc>
          <w:tcPr>
            <w:tcW w:w="1149" w:type="dxa"/>
            <w:gridSpan w:val="2"/>
            <w:shd w:val="clear" w:color="auto" w:fill="E42618"/>
            <w:vAlign w:val="center"/>
          </w:tcPr>
          <w:p w:rsidR="00C91D01" w:rsidRPr="00C91D01" w:rsidRDefault="00C91D01" w:rsidP="00C91D01">
            <w:pPr>
              <w:spacing w:before="40" w:after="20"/>
              <w:ind w:left="-57" w:right="57"/>
              <w:jc w:val="right"/>
              <w:rPr>
                <w:rFonts w:ascii="Arial Narrow" w:hAnsi="Arial Narrow" w:cs="Arial"/>
                <w:b/>
                <w:color w:val="FFFFFF" w:themeColor="background1"/>
                <w:sz w:val="18"/>
                <w:szCs w:val="18"/>
              </w:rPr>
            </w:pPr>
            <w:r w:rsidRPr="00C91D01">
              <w:rPr>
                <w:rFonts w:ascii="Arial Narrow" w:hAnsi="Arial Narrow" w:cs="Arial"/>
                <w:b/>
                <w:color w:val="FFFFFF" w:themeColor="background1"/>
                <w:sz w:val="18"/>
                <w:szCs w:val="18"/>
              </w:rPr>
              <w:t>+12,6</w:t>
            </w:r>
          </w:p>
        </w:tc>
        <w:tc>
          <w:tcPr>
            <w:tcW w:w="934" w:type="dxa"/>
            <w:shd w:val="clear" w:color="auto" w:fill="E42618"/>
            <w:vAlign w:val="center"/>
          </w:tcPr>
          <w:p w:rsidR="00C91D01" w:rsidRPr="00C91D01" w:rsidRDefault="00C91D01" w:rsidP="00C91D01">
            <w:pPr>
              <w:spacing w:before="40" w:after="20"/>
              <w:ind w:left="-57" w:right="57"/>
              <w:jc w:val="right"/>
              <w:rPr>
                <w:rFonts w:ascii="Arial Narrow" w:hAnsi="Arial Narrow" w:cs="Arial"/>
                <w:b/>
                <w:color w:val="FFFFFF" w:themeColor="background1"/>
                <w:sz w:val="18"/>
                <w:szCs w:val="18"/>
              </w:rPr>
            </w:pPr>
            <w:r w:rsidRPr="00C91D01">
              <w:rPr>
                <w:rFonts w:ascii="Arial Narrow" w:hAnsi="Arial Narrow" w:cs="Arial"/>
                <w:b/>
                <w:color w:val="FFFFFF" w:themeColor="background1"/>
                <w:sz w:val="18"/>
                <w:szCs w:val="18"/>
              </w:rPr>
              <w:t>+9,4</w:t>
            </w:r>
          </w:p>
        </w:tc>
        <w:tc>
          <w:tcPr>
            <w:tcW w:w="1064" w:type="dxa"/>
            <w:gridSpan w:val="2"/>
            <w:shd w:val="clear" w:color="auto" w:fill="E42618"/>
            <w:tcMar>
              <w:right w:w="68" w:type="dxa"/>
            </w:tcMar>
            <w:vAlign w:val="center"/>
          </w:tcPr>
          <w:p w:rsidR="00C91D01" w:rsidRPr="00C91D01" w:rsidRDefault="00C91D01" w:rsidP="00C91D01">
            <w:pPr>
              <w:spacing w:before="40" w:after="20"/>
              <w:ind w:left="-57" w:right="57"/>
              <w:jc w:val="right"/>
              <w:rPr>
                <w:rFonts w:ascii="Arial Narrow" w:hAnsi="Arial Narrow" w:cs="Arial"/>
                <w:b/>
                <w:color w:val="FFFFFF" w:themeColor="background1"/>
                <w:sz w:val="18"/>
                <w:szCs w:val="18"/>
              </w:rPr>
            </w:pPr>
            <w:r w:rsidRPr="00C91D01">
              <w:rPr>
                <w:rFonts w:ascii="Arial Narrow" w:hAnsi="Arial Narrow" w:cs="Arial"/>
                <w:b/>
                <w:color w:val="FFFFFF" w:themeColor="background1"/>
                <w:sz w:val="18"/>
                <w:szCs w:val="18"/>
              </w:rPr>
              <w:t>+8,6</w:t>
            </w:r>
          </w:p>
        </w:tc>
      </w:tr>
      <w:tr w:rsidR="00C91D01" w:rsidRPr="00440749" w:rsidTr="0011319E">
        <w:trPr>
          <w:trHeight w:val="255"/>
          <w:jc w:val="center"/>
        </w:trPr>
        <w:tc>
          <w:tcPr>
            <w:tcW w:w="3593" w:type="dxa"/>
            <w:vAlign w:val="center"/>
          </w:tcPr>
          <w:p w:rsidR="00C91D01" w:rsidRPr="00530AB1" w:rsidRDefault="00C91D01" w:rsidP="00C91D01">
            <w:pPr>
              <w:spacing w:before="40" w:after="20"/>
              <w:ind w:left="-57"/>
              <w:rPr>
                <w:rFonts w:ascii="Arial Narrow" w:hAnsi="Arial Narrow" w:cs="Arial"/>
                <w:sz w:val="18"/>
                <w:szCs w:val="18"/>
                <w:vertAlign w:val="superscript"/>
              </w:rPr>
            </w:pPr>
            <w:r w:rsidRPr="00B10311">
              <w:rPr>
                <w:rFonts w:ascii="Arial Narrow" w:hAnsi="Arial Narrow" w:cs="Arial"/>
                <w:sz w:val="18"/>
                <w:szCs w:val="18"/>
              </w:rPr>
              <w:t>Indice generale a tassazione costante</w:t>
            </w:r>
          </w:p>
        </w:tc>
        <w:tc>
          <w:tcPr>
            <w:tcW w:w="1294" w:type="dxa"/>
            <w:shd w:val="clear" w:color="auto" w:fill="D9D9D9"/>
            <w:vAlign w:val="center"/>
          </w:tcPr>
          <w:p w:rsidR="00C91D01" w:rsidRPr="00393591" w:rsidRDefault="00C91D01" w:rsidP="00C91D01">
            <w:pPr>
              <w:spacing w:before="40" w:after="20"/>
              <w:ind w:left="-57" w:right="57"/>
              <w:jc w:val="right"/>
              <w:rPr>
                <w:rFonts w:ascii="Arial Narrow" w:hAnsi="Arial Narrow" w:cs="Arial"/>
                <w:sz w:val="18"/>
                <w:szCs w:val="18"/>
              </w:rPr>
            </w:pPr>
            <w:r w:rsidRPr="00393591">
              <w:rPr>
                <w:rFonts w:ascii="Arial Narrow" w:hAnsi="Arial Narrow" w:cs="Arial"/>
                <w:sz w:val="18"/>
                <w:szCs w:val="18"/>
              </w:rPr>
              <w:t>1.000.000</w:t>
            </w:r>
          </w:p>
        </w:tc>
        <w:tc>
          <w:tcPr>
            <w:tcW w:w="1080" w:type="dxa"/>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+3,8</w:t>
            </w:r>
          </w:p>
        </w:tc>
        <w:tc>
          <w:tcPr>
            <w:tcW w:w="1136" w:type="dxa"/>
            <w:gridSpan w:val="3"/>
            <w:shd w:val="clear" w:color="auto" w:fill="D9D9D9"/>
            <w:tcMar>
              <w:left w:w="28" w:type="dxa"/>
              <w:right w:w="85"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+1,2</w:t>
            </w:r>
          </w:p>
        </w:tc>
        <w:tc>
          <w:tcPr>
            <w:tcW w:w="1149" w:type="dxa"/>
            <w:gridSpan w:val="2"/>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+13,4</w:t>
            </w:r>
          </w:p>
        </w:tc>
        <w:tc>
          <w:tcPr>
            <w:tcW w:w="934" w:type="dxa"/>
            <w:shd w:val="clear" w:color="auto" w:fill="D9D9D9"/>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+10,6</w:t>
            </w:r>
          </w:p>
        </w:tc>
        <w:tc>
          <w:tcPr>
            <w:tcW w:w="1064" w:type="dxa"/>
            <w:gridSpan w:val="2"/>
            <w:shd w:val="clear" w:color="auto" w:fill="auto"/>
            <w:tcMar>
              <w:right w:w="68" w:type="dxa"/>
            </w:tcMar>
            <w:vAlign w:val="center"/>
          </w:tcPr>
          <w:p w:rsidR="00C91D01" w:rsidRPr="00C91D01" w:rsidRDefault="00C91D01" w:rsidP="00C91D01">
            <w:pPr>
              <w:spacing w:before="40" w:after="20"/>
              <w:ind w:left="-57" w:right="57"/>
              <w:jc w:val="right"/>
              <w:rPr>
                <w:rFonts w:ascii="Arial Narrow" w:hAnsi="Arial Narrow" w:cs="Arial"/>
                <w:sz w:val="18"/>
                <w:szCs w:val="18"/>
              </w:rPr>
            </w:pPr>
            <w:r w:rsidRPr="00C91D01">
              <w:rPr>
                <w:rFonts w:ascii="Arial Narrow" w:hAnsi="Arial Narrow" w:cs="Arial"/>
                <w:sz w:val="18"/>
                <w:szCs w:val="18"/>
              </w:rPr>
              <w:t>+9,5</w:t>
            </w:r>
          </w:p>
        </w:tc>
      </w:tr>
    </w:tbl>
    <w:p w:rsidR="002674D4" w:rsidRPr="00F93CBE" w:rsidRDefault="002674D4" w:rsidP="002674D4">
      <w:pPr>
        <w:spacing w:before="120" w:after="120"/>
        <w:jc w:val="both"/>
        <w:rPr>
          <w:rFonts w:ascii="Arial" w:hAnsi="Arial" w:cs="Arial"/>
          <w:color w:val="000000"/>
          <w:kern w:val="0"/>
          <w:szCs w:val="21"/>
        </w:rPr>
      </w:pPr>
    </w:p>
    <w:p w:rsidR="00676743" w:rsidRPr="00E25060" w:rsidRDefault="00676743" w:rsidP="00BD0487">
      <w:pPr>
        <w:pStyle w:val="001TitoloBolocco"/>
        <w:spacing w:after="120" w:line="240" w:lineRule="auto"/>
        <w:rPr>
          <w:szCs w:val="26"/>
        </w:rPr>
      </w:pPr>
      <w:r w:rsidRPr="00E25060">
        <w:rPr>
          <w:szCs w:val="26"/>
        </w:rPr>
        <w:t>gli aggregati speciali</w:t>
      </w:r>
    </w:p>
    <w:p w:rsidR="00DF75E8" w:rsidRDefault="00DF75E8" w:rsidP="00DF75E8">
      <w:pPr>
        <w:spacing w:before="0" w:after="120"/>
        <w:jc w:val="both"/>
        <w:rPr>
          <w:rFonts w:ascii="Arial" w:hAnsi="Arial" w:cs="Arial"/>
          <w:sz w:val="21"/>
          <w:szCs w:val="21"/>
        </w:rPr>
      </w:pPr>
      <w:r w:rsidRPr="00B9429C">
        <w:rPr>
          <w:rFonts w:ascii="Arial" w:hAnsi="Arial" w:cs="Arial"/>
          <w:sz w:val="21"/>
          <w:szCs w:val="21"/>
        </w:rPr>
        <w:t xml:space="preserve">Con riferimento agli aggregati speciali dell’IPCA, </w:t>
      </w:r>
      <w:r>
        <w:rPr>
          <w:rFonts w:ascii="Arial" w:hAnsi="Arial" w:cs="Arial"/>
          <w:sz w:val="21"/>
          <w:szCs w:val="21"/>
        </w:rPr>
        <w:t>accelerano</w:t>
      </w:r>
      <w:r w:rsidRPr="00B9429C">
        <w:rPr>
          <w:rFonts w:ascii="Arial" w:hAnsi="Arial" w:cs="Arial"/>
          <w:sz w:val="21"/>
          <w:szCs w:val="21"/>
        </w:rPr>
        <w:t xml:space="preserve"> i prezzi dei beni (da +</w:t>
      </w:r>
      <w:r>
        <w:rPr>
          <w:rFonts w:ascii="Arial" w:hAnsi="Arial" w:cs="Arial"/>
          <w:sz w:val="21"/>
          <w:szCs w:val="21"/>
        </w:rPr>
        <w:t>12,7</w:t>
      </w:r>
      <w:r w:rsidRPr="00B9429C">
        <w:rPr>
          <w:rFonts w:ascii="Arial" w:hAnsi="Arial" w:cs="Arial"/>
          <w:sz w:val="21"/>
          <w:szCs w:val="21"/>
        </w:rPr>
        <w:t>% a +</w:t>
      </w:r>
      <w:r>
        <w:rPr>
          <w:rFonts w:ascii="Arial" w:hAnsi="Arial" w:cs="Arial"/>
          <w:sz w:val="21"/>
          <w:szCs w:val="21"/>
        </w:rPr>
        <w:t>17,9</w:t>
      </w:r>
      <w:r w:rsidRPr="00B9429C">
        <w:rPr>
          <w:rFonts w:ascii="Arial" w:hAnsi="Arial" w:cs="Arial"/>
          <w:sz w:val="21"/>
          <w:szCs w:val="21"/>
        </w:rPr>
        <w:t xml:space="preserve">%; </w:t>
      </w:r>
      <w:r>
        <w:rPr>
          <w:rFonts w:ascii="Arial" w:hAnsi="Arial" w:cs="Arial"/>
          <w:sz w:val="21"/>
          <w:szCs w:val="21"/>
        </w:rPr>
        <w:t>+6,3</w:t>
      </w:r>
      <w:r w:rsidRPr="00B9429C">
        <w:rPr>
          <w:rFonts w:ascii="Arial" w:hAnsi="Arial" w:cs="Arial"/>
          <w:sz w:val="21"/>
          <w:szCs w:val="21"/>
        </w:rPr>
        <w:t xml:space="preserve">% rispetto a </w:t>
      </w:r>
      <w:r>
        <w:rPr>
          <w:rFonts w:ascii="Arial" w:hAnsi="Arial" w:cs="Arial"/>
          <w:sz w:val="21"/>
          <w:szCs w:val="21"/>
        </w:rPr>
        <w:t>settembre)</w:t>
      </w:r>
      <w:r w:rsidRPr="00B9429C">
        <w:rPr>
          <w:rFonts w:ascii="Arial" w:hAnsi="Arial" w:cs="Arial"/>
          <w:sz w:val="21"/>
          <w:szCs w:val="21"/>
        </w:rPr>
        <w:t xml:space="preserve"> a causa </w:t>
      </w:r>
      <w:r>
        <w:rPr>
          <w:rFonts w:ascii="Arial" w:hAnsi="Arial" w:cs="Arial"/>
          <w:sz w:val="21"/>
          <w:szCs w:val="21"/>
        </w:rPr>
        <w:t>dei prezzi dell’Energia (da +45,0% a +71,7%; +26,9% il congiunturale) e in particolare dell’accelerazione dei prezzi di Elettricità, gas e combustibili solidi</w:t>
      </w:r>
      <w:r w:rsidRPr="008F3DD1">
        <w:rPr>
          <w:rFonts w:ascii="Arial" w:hAnsi="Arial" w:cs="Arial"/>
          <w:sz w:val="21"/>
          <w:szCs w:val="21"/>
        </w:rPr>
        <w:t xml:space="preserve"> </w:t>
      </w:r>
      <w:r>
        <w:rPr>
          <w:rFonts w:ascii="Arial" w:hAnsi="Arial" w:cs="Arial"/>
          <w:sz w:val="21"/>
          <w:szCs w:val="21"/>
        </w:rPr>
        <w:t xml:space="preserve">(da +77,9% a </w:t>
      </w:r>
      <w:r w:rsidR="005050EC">
        <w:rPr>
          <w:rFonts w:ascii="Arial" w:hAnsi="Arial" w:cs="Arial"/>
          <w:sz w:val="21"/>
          <w:szCs w:val="21"/>
        </w:rPr>
        <w:t>+</w:t>
      </w:r>
      <w:r>
        <w:rPr>
          <w:rFonts w:ascii="Arial" w:hAnsi="Arial" w:cs="Arial"/>
          <w:sz w:val="21"/>
          <w:szCs w:val="21"/>
        </w:rPr>
        <w:t xml:space="preserve">136,7%; +46,4% su base mensile) mentre rallentano, anche questo mese, i prezzi dei </w:t>
      </w:r>
      <w:r w:rsidRPr="008F3DD1">
        <w:rPr>
          <w:rFonts w:ascii="Arial" w:hAnsi="Arial" w:cs="Arial"/>
          <w:sz w:val="21"/>
          <w:szCs w:val="21"/>
        </w:rPr>
        <w:t xml:space="preserve">Combustibili liquidi, carburanti e lubrificanti </w:t>
      </w:r>
      <w:r>
        <w:rPr>
          <w:rFonts w:ascii="Arial" w:hAnsi="Arial" w:cs="Arial"/>
          <w:sz w:val="21"/>
          <w:szCs w:val="21"/>
        </w:rPr>
        <w:t xml:space="preserve">(da +13,2% a +8,1%; -0,9% sul mese precedente). Accelerano anche i prezzi dei </w:t>
      </w:r>
      <w:r w:rsidRPr="008F3DD1">
        <w:rPr>
          <w:rFonts w:ascii="Arial" w:hAnsi="Arial" w:cs="Arial"/>
          <w:sz w:val="21"/>
          <w:szCs w:val="21"/>
        </w:rPr>
        <w:t>Beni alimentari (incluse bevande alcoliche) e tabacchi</w:t>
      </w:r>
      <w:r>
        <w:rPr>
          <w:rFonts w:ascii="Arial" w:hAnsi="Arial" w:cs="Arial"/>
          <w:sz w:val="21"/>
          <w:szCs w:val="21"/>
        </w:rPr>
        <w:t xml:space="preserve"> (da +10,2% +11,8%; +1,6% il congiunturale), sia di quelli lavorati </w:t>
      </w:r>
      <w:r w:rsidRPr="00AC6C64">
        <w:rPr>
          <w:rFonts w:ascii="Arial" w:hAnsi="Arial" w:cs="Arial"/>
          <w:sz w:val="21"/>
          <w:szCs w:val="21"/>
        </w:rPr>
        <w:t>(incluse bevande alcoliche) e tabacchi</w:t>
      </w:r>
      <w:r>
        <w:rPr>
          <w:rFonts w:ascii="Arial" w:hAnsi="Arial" w:cs="Arial"/>
          <w:sz w:val="21"/>
          <w:szCs w:val="21"/>
        </w:rPr>
        <w:t xml:space="preserve"> (da +9,8% a +11,3%, +1,3% sul mese precedente) sia di quelli</w:t>
      </w:r>
      <w:r w:rsidRPr="00B9429C">
        <w:rPr>
          <w:rFonts w:ascii="Arial" w:hAnsi="Arial" w:cs="Arial"/>
          <w:sz w:val="21"/>
          <w:szCs w:val="21"/>
        </w:rPr>
        <w:t xml:space="preserve"> </w:t>
      </w:r>
      <w:r w:rsidRPr="001431FB">
        <w:rPr>
          <w:rFonts w:ascii="Arial" w:hAnsi="Arial" w:cs="Arial"/>
          <w:sz w:val="21"/>
          <w:szCs w:val="21"/>
        </w:rPr>
        <w:t xml:space="preserve">non </w:t>
      </w:r>
      <w:r>
        <w:rPr>
          <w:rFonts w:ascii="Arial" w:hAnsi="Arial" w:cs="Arial"/>
          <w:sz w:val="21"/>
          <w:szCs w:val="21"/>
        </w:rPr>
        <w:t>lavorati</w:t>
      </w:r>
      <w:r w:rsidRPr="00B9429C">
        <w:rPr>
          <w:rFonts w:ascii="Arial" w:hAnsi="Arial" w:cs="Arial"/>
          <w:sz w:val="21"/>
          <w:szCs w:val="21"/>
        </w:rPr>
        <w:t xml:space="preserve"> (da +</w:t>
      </w:r>
      <w:r>
        <w:rPr>
          <w:rFonts w:ascii="Arial" w:hAnsi="Arial" w:cs="Arial"/>
          <w:sz w:val="21"/>
          <w:szCs w:val="21"/>
        </w:rPr>
        <w:t>11,4</w:t>
      </w:r>
      <w:r w:rsidRPr="00B9429C">
        <w:rPr>
          <w:rFonts w:ascii="Arial" w:hAnsi="Arial" w:cs="Arial"/>
          <w:sz w:val="21"/>
          <w:szCs w:val="21"/>
        </w:rPr>
        <w:t>% a +</w:t>
      </w:r>
      <w:r>
        <w:rPr>
          <w:rFonts w:ascii="Arial" w:hAnsi="Arial" w:cs="Arial"/>
          <w:sz w:val="21"/>
          <w:szCs w:val="21"/>
        </w:rPr>
        <w:t>13,1%;</w:t>
      </w:r>
      <w:r w:rsidRPr="00B9429C">
        <w:rPr>
          <w:rFonts w:ascii="Arial" w:hAnsi="Arial" w:cs="Arial"/>
          <w:sz w:val="21"/>
          <w:szCs w:val="21"/>
        </w:rPr>
        <w:t xml:space="preserve"> </w:t>
      </w:r>
      <w:r>
        <w:rPr>
          <w:rFonts w:ascii="Arial" w:hAnsi="Arial" w:cs="Arial"/>
          <w:sz w:val="21"/>
          <w:szCs w:val="21"/>
        </w:rPr>
        <w:t>+2,4</w:t>
      </w:r>
      <w:r w:rsidRPr="00B9429C">
        <w:rPr>
          <w:rFonts w:ascii="Arial" w:hAnsi="Arial" w:cs="Arial"/>
          <w:sz w:val="21"/>
          <w:szCs w:val="21"/>
        </w:rPr>
        <w:t xml:space="preserve">% </w:t>
      </w:r>
      <w:r>
        <w:rPr>
          <w:rFonts w:ascii="Arial" w:hAnsi="Arial" w:cs="Arial"/>
          <w:sz w:val="21"/>
          <w:szCs w:val="21"/>
        </w:rPr>
        <w:t>la variazione congiunturale</w:t>
      </w:r>
      <w:r w:rsidRPr="00B9429C">
        <w:rPr>
          <w:rFonts w:ascii="Arial" w:hAnsi="Arial" w:cs="Arial"/>
          <w:sz w:val="21"/>
          <w:szCs w:val="21"/>
        </w:rPr>
        <w:t>)</w:t>
      </w:r>
      <w:r w:rsidR="006222C2">
        <w:rPr>
          <w:rFonts w:ascii="Arial" w:hAnsi="Arial" w:cs="Arial"/>
          <w:sz w:val="21"/>
          <w:szCs w:val="21"/>
        </w:rPr>
        <w:t>,</w:t>
      </w:r>
      <w:bookmarkStart w:id="1" w:name="_GoBack"/>
      <w:bookmarkEnd w:id="1"/>
      <w:r>
        <w:rPr>
          <w:rFonts w:ascii="Arial" w:hAnsi="Arial" w:cs="Arial"/>
          <w:sz w:val="21"/>
          <w:szCs w:val="21"/>
        </w:rPr>
        <w:t xml:space="preserve"> e quelli dei </w:t>
      </w:r>
      <w:r w:rsidRPr="001431FB">
        <w:rPr>
          <w:rFonts w:ascii="Arial" w:hAnsi="Arial" w:cs="Arial"/>
          <w:sz w:val="21"/>
          <w:szCs w:val="21"/>
        </w:rPr>
        <w:t>Beni industriali non energetici</w:t>
      </w:r>
      <w:r>
        <w:rPr>
          <w:rFonts w:ascii="Arial" w:hAnsi="Arial" w:cs="Arial"/>
          <w:sz w:val="21"/>
          <w:szCs w:val="21"/>
        </w:rPr>
        <w:t xml:space="preserve"> (da +4,</w:t>
      </w:r>
      <w:r w:rsidR="00622248">
        <w:rPr>
          <w:rFonts w:ascii="Arial" w:hAnsi="Arial" w:cs="Arial"/>
          <w:sz w:val="21"/>
          <w:szCs w:val="21"/>
        </w:rPr>
        <w:t>4</w:t>
      </w:r>
      <w:r>
        <w:rPr>
          <w:rFonts w:ascii="Arial" w:hAnsi="Arial" w:cs="Arial"/>
          <w:sz w:val="21"/>
          <w:szCs w:val="21"/>
        </w:rPr>
        <w:t>% a +</w:t>
      </w:r>
      <w:r w:rsidR="00622248">
        <w:rPr>
          <w:rFonts w:ascii="Arial" w:hAnsi="Arial" w:cs="Arial"/>
          <w:sz w:val="21"/>
          <w:szCs w:val="21"/>
        </w:rPr>
        <w:t>4,9</w:t>
      </w:r>
      <w:r>
        <w:rPr>
          <w:rFonts w:ascii="Arial" w:hAnsi="Arial" w:cs="Arial"/>
          <w:sz w:val="21"/>
          <w:szCs w:val="21"/>
        </w:rPr>
        <w:t xml:space="preserve">%; +1,4% rispetto a settembre). </w:t>
      </w:r>
    </w:p>
    <w:p w:rsidR="00622248" w:rsidRDefault="00622248" w:rsidP="00DF75E8">
      <w:pPr>
        <w:spacing w:before="0" w:after="120"/>
        <w:jc w:val="both"/>
        <w:rPr>
          <w:rFonts w:ascii="Arial" w:hAnsi="Arial" w:cs="Arial"/>
          <w:sz w:val="21"/>
          <w:szCs w:val="21"/>
        </w:rPr>
      </w:pPr>
    </w:p>
    <w:p w:rsidR="00DF75E8" w:rsidRDefault="00DF75E8" w:rsidP="00DF75E8">
      <w:pPr>
        <w:spacing w:before="0" w:after="120"/>
        <w:jc w:val="both"/>
        <w:rPr>
          <w:rFonts w:ascii="Arial" w:hAnsi="Arial" w:cs="Arial"/>
          <w:iCs/>
          <w:sz w:val="21"/>
          <w:szCs w:val="21"/>
        </w:rPr>
      </w:pPr>
      <w:r>
        <w:rPr>
          <w:rFonts w:ascii="Arial" w:hAnsi="Arial" w:cs="Arial"/>
          <w:sz w:val="21"/>
          <w:szCs w:val="21"/>
        </w:rPr>
        <w:lastRenderedPageBreak/>
        <w:t>Il lieve rallentamento d</w:t>
      </w:r>
      <w:r w:rsidRPr="00B9429C">
        <w:rPr>
          <w:rFonts w:ascii="Arial" w:hAnsi="Arial" w:cs="Arial"/>
          <w:sz w:val="21"/>
          <w:szCs w:val="21"/>
        </w:rPr>
        <w:t xml:space="preserve">ei prezzi </w:t>
      </w:r>
      <w:r>
        <w:rPr>
          <w:rFonts w:ascii="Arial" w:hAnsi="Arial" w:cs="Arial"/>
          <w:sz w:val="21"/>
          <w:szCs w:val="21"/>
        </w:rPr>
        <w:t>dei servizi (la cui crescita passa da +4,4</w:t>
      </w:r>
      <w:r w:rsidRPr="00B9429C">
        <w:rPr>
          <w:rFonts w:ascii="Arial" w:hAnsi="Arial" w:cs="Arial"/>
          <w:sz w:val="21"/>
          <w:szCs w:val="21"/>
        </w:rPr>
        <w:t>% a +</w:t>
      </w:r>
      <w:r>
        <w:rPr>
          <w:rFonts w:ascii="Arial" w:hAnsi="Arial" w:cs="Arial"/>
          <w:sz w:val="21"/>
          <w:szCs w:val="21"/>
        </w:rPr>
        <w:t>4,3</w:t>
      </w:r>
      <w:r w:rsidRPr="00B9429C">
        <w:rPr>
          <w:rFonts w:ascii="Arial" w:hAnsi="Arial" w:cs="Arial"/>
          <w:sz w:val="21"/>
          <w:szCs w:val="21"/>
        </w:rPr>
        <w:t>%</w:t>
      </w:r>
      <w:r>
        <w:rPr>
          <w:rFonts w:ascii="Arial" w:hAnsi="Arial" w:cs="Arial"/>
          <w:sz w:val="21"/>
          <w:szCs w:val="21"/>
        </w:rPr>
        <w:t xml:space="preserve">; -0,4% </w:t>
      </w:r>
      <w:r w:rsidR="00AE1F86">
        <w:rPr>
          <w:rFonts w:ascii="Arial" w:hAnsi="Arial" w:cs="Arial"/>
          <w:sz w:val="21"/>
          <w:szCs w:val="21"/>
        </w:rPr>
        <w:t>sul mese</w:t>
      </w:r>
      <w:r w:rsidRPr="00B9429C">
        <w:rPr>
          <w:rFonts w:ascii="Arial" w:hAnsi="Arial" w:cs="Arial"/>
          <w:sz w:val="21"/>
          <w:szCs w:val="21"/>
        </w:rPr>
        <w:t xml:space="preserve">) </w:t>
      </w:r>
      <w:r>
        <w:rPr>
          <w:rFonts w:ascii="Arial" w:hAnsi="Arial" w:cs="Arial"/>
          <w:sz w:val="21"/>
          <w:szCs w:val="21"/>
        </w:rPr>
        <w:t>si deve</w:t>
      </w:r>
      <w:r w:rsidRPr="00B9429C">
        <w:rPr>
          <w:rFonts w:ascii="Arial" w:hAnsi="Arial" w:cs="Arial"/>
          <w:sz w:val="21"/>
          <w:szCs w:val="21"/>
        </w:rPr>
        <w:t xml:space="preserve"> essenzialmente </w:t>
      </w:r>
      <w:r>
        <w:rPr>
          <w:rFonts w:ascii="Arial" w:hAnsi="Arial" w:cs="Arial"/>
          <w:sz w:val="21"/>
          <w:szCs w:val="21"/>
        </w:rPr>
        <w:t>ai prezzi</w:t>
      </w:r>
      <w:r w:rsidRPr="00B9429C">
        <w:rPr>
          <w:rFonts w:ascii="Arial" w:hAnsi="Arial" w:cs="Arial"/>
          <w:color w:val="000000"/>
          <w:kern w:val="0"/>
          <w:sz w:val="21"/>
          <w:szCs w:val="21"/>
        </w:rPr>
        <w:t xml:space="preserve"> dei </w:t>
      </w:r>
      <w:r w:rsidRPr="003565F0">
        <w:rPr>
          <w:rFonts w:ascii="Arial" w:hAnsi="Arial" w:cs="Arial"/>
          <w:sz w:val="21"/>
          <w:szCs w:val="21"/>
        </w:rPr>
        <w:t xml:space="preserve">Servizi ricreativi, culturali e per la cura della persona </w:t>
      </w:r>
      <w:r w:rsidRPr="00B9429C">
        <w:rPr>
          <w:rFonts w:ascii="Arial" w:hAnsi="Arial" w:cs="Arial"/>
          <w:color w:val="000000"/>
          <w:kern w:val="0"/>
          <w:sz w:val="21"/>
          <w:szCs w:val="21"/>
        </w:rPr>
        <w:t>(da +</w:t>
      </w:r>
      <w:r>
        <w:rPr>
          <w:rFonts w:ascii="Arial" w:hAnsi="Arial" w:cs="Arial"/>
          <w:color w:val="000000"/>
          <w:kern w:val="0"/>
          <w:sz w:val="21"/>
          <w:szCs w:val="21"/>
        </w:rPr>
        <w:t>6,4</w:t>
      </w:r>
      <w:r w:rsidRPr="00B9429C">
        <w:rPr>
          <w:rFonts w:ascii="Arial" w:hAnsi="Arial" w:cs="Arial"/>
          <w:color w:val="000000"/>
          <w:kern w:val="0"/>
          <w:sz w:val="21"/>
          <w:szCs w:val="21"/>
        </w:rPr>
        <w:t>% a +</w:t>
      </w:r>
      <w:r>
        <w:rPr>
          <w:rFonts w:ascii="Arial" w:hAnsi="Arial" w:cs="Arial"/>
          <w:color w:val="000000"/>
          <w:kern w:val="0"/>
          <w:sz w:val="21"/>
          <w:szCs w:val="21"/>
        </w:rPr>
        <w:t>5,9</w:t>
      </w:r>
      <w:r w:rsidRPr="00B9429C">
        <w:rPr>
          <w:rFonts w:ascii="Arial" w:hAnsi="Arial" w:cs="Arial"/>
          <w:color w:val="000000"/>
          <w:kern w:val="0"/>
          <w:sz w:val="21"/>
          <w:szCs w:val="21"/>
        </w:rPr>
        <w:t xml:space="preserve">%; </w:t>
      </w:r>
      <w:r>
        <w:rPr>
          <w:rFonts w:ascii="Arial" w:hAnsi="Arial" w:cs="Arial"/>
          <w:color w:val="000000"/>
          <w:kern w:val="0"/>
          <w:sz w:val="21"/>
          <w:szCs w:val="21"/>
        </w:rPr>
        <w:t>-0,8</w:t>
      </w:r>
      <w:r w:rsidRPr="00B9429C">
        <w:rPr>
          <w:rFonts w:ascii="Arial" w:hAnsi="Arial" w:cs="Arial"/>
          <w:color w:val="000000"/>
          <w:kern w:val="0"/>
          <w:sz w:val="21"/>
          <w:szCs w:val="21"/>
        </w:rPr>
        <w:t xml:space="preserve">% </w:t>
      </w:r>
      <w:r>
        <w:rPr>
          <w:rFonts w:ascii="Arial" w:hAnsi="Arial" w:cs="Arial"/>
          <w:color w:val="000000"/>
          <w:kern w:val="0"/>
          <w:sz w:val="21"/>
          <w:szCs w:val="21"/>
        </w:rPr>
        <w:t>la variazione congiunturale</w:t>
      </w:r>
      <w:r w:rsidRPr="00B9429C">
        <w:rPr>
          <w:rFonts w:ascii="Arial" w:hAnsi="Arial" w:cs="Arial"/>
          <w:color w:val="000000"/>
          <w:kern w:val="0"/>
          <w:sz w:val="21"/>
          <w:szCs w:val="21"/>
        </w:rPr>
        <w:t>)</w:t>
      </w:r>
      <w:r>
        <w:rPr>
          <w:rFonts w:ascii="Arial" w:hAnsi="Arial" w:cs="Arial"/>
          <w:color w:val="000000"/>
          <w:kern w:val="0"/>
          <w:sz w:val="21"/>
          <w:szCs w:val="21"/>
        </w:rPr>
        <w:t xml:space="preserve"> e in misura minore a quelli dei Servizi relativi ai trasporti (da +7,2% a +7,1%; -0,8% su base mensile); accelerano invece, anche se di poco, i prezzi dei</w:t>
      </w:r>
      <w:r w:rsidR="00AE1F86">
        <w:rPr>
          <w:rFonts w:ascii="Arial" w:hAnsi="Arial" w:cs="Arial"/>
          <w:color w:val="000000"/>
          <w:kern w:val="0"/>
          <w:sz w:val="21"/>
          <w:szCs w:val="21"/>
        </w:rPr>
        <w:t xml:space="preserve"> Servizi vari (da +1,9% a +2,2%;</w:t>
      </w:r>
      <w:r>
        <w:rPr>
          <w:rFonts w:ascii="Arial" w:hAnsi="Arial" w:cs="Arial"/>
          <w:color w:val="000000"/>
          <w:kern w:val="0"/>
          <w:sz w:val="21"/>
          <w:szCs w:val="21"/>
        </w:rPr>
        <w:t xml:space="preserve"> +0,2% rispetto a settembre) e quelli dei Servizi relativi agli alloggi (da +1,7% a +1,8%; +0,1% il congiunturale).</w:t>
      </w:r>
    </w:p>
    <w:p w:rsidR="002F10E9" w:rsidRDefault="002F10E9" w:rsidP="002F10E9">
      <w:pPr>
        <w:widowControl/>
        <w:overflowPunct/>
        <w:autoSpaceDE/>
        <w:autoSpaceDN/>
        <w:adjustRightInd/>
        <w:spacing w:before="0" w:after="120"/>
        <w:jc w:val="both"/>
        <w:rPr>
          <w:rFonts w:ascii="Arial" w:hAnsi="Arial" w:cs="Arial"/>
          <w:iCs/>
          <w:sz w:val="21"/>
          <w:szCs w:val="21"/>
        </w:rPr>
      </w:pPr>
      <w:r>
        <w:rPr>
          <w:rFonts w:ascii="Arial" w:hAnsi="Arial" w:cs="Arial"/>
          <w:iCs/>
          <w:sz w:val="21"/>
          <w:szCs w:val="21"/>
        </w:rPr>
        <w:t>In accelerazione sia l’inflazione della componente di fondo</w:t>
      </w:r>
      <w:r w:rsidRPr="00E25060">
        <w:rPr>
          <w:rFonts w:ascii="Arial" w:hAnsi="Arial" w:cs="Arial"/>
          <w:iCs/>
          <w:sz w:val="21"/>
          <w:szCs w:val="21"/>
        </w:rPr>
        <w:t xml:space="preserve"> calcolata al netto </w:t>
      </w:r>
      <w:r>
        <w:rPr>
          <w:rFonts w:ascii="Arial" w:hAnsi="Arial" w:cs="Arial"/>
          <w:iCs/>
          <w:sz w:val="21"/>
          <w:szCs w:val="21"/>
        </w:rPr>
        <w:t>di energia e alimentari freschi (da +</w:t>
      </w:r>
      <w:r w:rsidR="00737966">
        <w:rPr>
          <w:rFonts w:ascii="Arial" w:hAnsi="Arial" w:cs="Arial"/>
          <w:iCs/>
          <w:sz w:val="21"/>
          <w:szCs w:val="21"/>
        </w:rPr>
        <w:t>5,3</w:t>
      </w:r>
      <w:r>
        <w:rPr>
          <w:rFonts w:ascii="Arial" w:hAnsi="Arial" w:cs="Arial"/>
          <w:iCs/>
          <w:sz w:val="21"/>
          <w:szCs w:val="21"/>
        </w:rPr>
        <w:t>% a +</w:t>
      </w:r>
      <w:r w:rsidR="00737966">
        <w:rPr>
          <w:rFonts w:ascii="Arial" w:hAnsi="Arial" w:cs="Arial"/>
          <w:iCs/>
          <w:sz w:val="21"/>
          <w:szCs w:val="21"/>
        </w:rPr>
        <w:t>5,7</w:t>
      </w:r>
      <w:r>
        <w:rPr>
          <w:rFonts w:ascii="Arial" w:hAnsi="Arial" w:cs="Arial"/>
          <w:iCs/>
          <w:sz w:val="21"/>
          <w:szCs w:val="21"/>
        </w:rPr>
        <w:t>%) sia quella</w:t>
      </w:r>
      <w:r w:rsidRPr="00A15DBF">
        <w:rPr>
          <w:rFonts w:ascii="Arial" w:hAnsi="Arial" w:cs="Arial"/>
          <w:iCs/>
          <w:sz w:val="21"/>
          <w:szCs w:val="21"/>
        </w:rPr>
        <w:t xml:space="preserve"> </w:t>
      </w:r>
      <w:r w:rsidRPr="00DF5BF6">
        <w:rPr>
          <w:rFonts w:ascii="Arial" w:hAnsi="Arial" w:cs="Arial"/>
          <w:iCs/>
          <w:sz w:val="21"/>
          <w:szCs w:val="21"/>
        </w:rPr>
        <w:t>al netto dell’energia,</w:t>
      </w:r>
      <w:r w:rsidRPr="00E33F44">
        <w:rPr>
          <w:rFonts w:ascii="Arial" w:hAnsi="Arial" w:cs="Arial"/>
          <w:iCs/>
          <w:sz w:val="21"/>
          <w:szCs w:val="21"/>
        </w:rPr>
        <w:t xml:space="preserve"> </w:t>
      </w:r>
      <w:r w:rsidRPr="00DF5BF6">
        <w:rPr>
          <w:rFonts w:ascii="Arial" w:hAnsi="Arial" w:cs="Arial"/>
          <w:iCs/>
          <w:sz w:val="21"/>
          <w:szCs w:val="21"/>
        </w:rPr>
        <w:t>degli alimentari (incluse bevande alcoliche) e tabacchi</w:t>
      </w:r>
      <w:r>
        <w:rPr>
          <w:rFonts w:ascii="Arial" w:hAnsi="Arial" w:cs="Arial"/>
          <w:iCs/>
          <w:sz w:val="21"/>
          <w:szCs w:val="21"/>
        </w:rPr>
        <w:t xml:space="preserve"> (da +</w:t>
      </w:r>
      <w:r w:rsidR="00737966">
        <w:rPr>
          <w:rFonts w:ascii="Arial" w:hAnsi="Arial" w:cs="Arial"/>
          <w:iCs/>
          <w:sz w:val="21"/>
          <w:szCs w:val="21"/>
        </w:rPr>
        <w:t>4,4</w:t>
      </w:r>
      <w:r>
        <w:rPr>
          <w:rFonts w:ascii="Arial" w:hAnsi="Arial" w:cs="Arial"/>
          <w:iCs/>
          <w:sz w:val="21"/>
          <w:szCs w:val="21"/>
        </w:rPr>
        <w:t>% a +</w:t>
      </w:r>
      <w:r w:rsidR="00737966">
        <w:rPr>
          <w:rFonts w:ascii="Arial" w:hAnsi="Arial" w:cs="Arial"/>
          <w:iCs/>
          <w:sz w:val="21"/>
          <w:szCs w:val="21"/>
        </w:rPr>
        <w:t>4,6</w:t>
      </w:r>
      <w:r>
        <w:rPr>
          <w:rFonts w:ascii="Arial" w:hAnsi="Arial" w:cs="Arial"/>
          <w:iCs/>
          <w:sz w:val="21"/>
          <w:szCs w:val="21"/>
        </w:rPr>
        <w:t xml:space="preserve">%) sia quella </w:t>
      </w:r>
      <w:r w:rsidRPr="00A15DBF">
        <w:rPr>
          <w:rFonts w:ascii="Arial" w:hAnsi="Arial" w:cs="Arial"/>
          <w:iCs/>
          <w:sz w:val="21"/>
          <w:szCs w:val="21"/>
        </w:rPr>
        <w:t>al netto dei so</w:t>
      </w:r>
      <w:r>
        <w:rPr>
          <w:rFonts w:ascii="Arial" w:hAnsi="Arial" w:cs="Arial"/>
          <w:iCs/>
          <w:sz w:val="21"/>
          <w:szCs w:val="21"/>
        </w:rPr>
        <w:t>li beni energetici (da +</w:t>
      </w:r>
      <w:r w:rsidR="00737966">
        <w:rPr>
          <w:rFonts w:ascii="Arial" w:hAnsi="Arial" w:cs="Arial"/>
          <w:iCs/>
          <w:sz w:val="21"/>
          <w:szCs w:val="21"/>
        </w:rPr>
        <w:t>5,8</w:t>
      </w:r>
      <w:r>
        <w:rPr>
          <w:rFonts w:ascii="Arial" w:hAnsi="Arial" w:cs="Arial"/>
          <w:iCs/>
          <w:sz w:val="21"/>
          <w:szCs w:val="21"/>
        </w:rPr>
        <w:t>% a +</w:t>
      </w:r>
      <w:r w:rsidR="00737966">
        <w:rPr>
          <w:rFonts w:ascii="Arial" w:hAnsi="Arial" w:cs="Arial"/>
          <w:iCs/>
          <w:sz w:val="21"/>
          <w:szCs w:val="21"/>
        </w:rPr>
        <w:t>6,4</w:t>
      </w:r>
      <w:r>
        <w:rPr>
          <w:rFonts w:ascii="Arial" w:hAnsi="Arial" w:cs="Arial"/>
          <w:iCs/>
          <w:sz w:val="21"/>
          <w:szCs w:val="21"/>
        </w:rPr>
        <w:t>%).</w:t>
      </w:r>
    </w:p>
    <w:p w:rsidR="00B546B5" w:rsidRPr="00DD629D" w:rsidRDefault="00B546B5" w:rsidP="00931034">
      <w:pPr>
        <w:widowControl/>
        <w:overflowPunct/>
        <w:autoSpaceDE/>
        <w:autoSpaceDN/>
        <w:adjustRightInd/>
        <w:spacing w:before="0" w:after="120"/>
        <w:jc w:val="both"/>
        <w:rPr>
          <w:rFonts w:ascii="Arial" w:hAnsi="Arial" w:cs="Arial"/>
          <w:iCs/>
          <w:sz w:val="8"/>
          <w:szCs w:val="8"/>
        </w:rPr>
      </w:pPr>
    </w:p>
    <w:p w:rsidR="00C24A59" w:rsidRPr="00C8504B" w:rsidRDefault="00C24A59" w:rsidP="00606B17">
      <w:pPr>
        <w:spacing w:before="0" w:after="60" w:line="216" w:lineRule="auto"/>
        <w:rPr>
          <w:rFonts w:ascii="Arial Narrow" w:hAnsi="Arial Narrow" w:cs="Arial"/>
          <w:color w:val="5F5F5F"/>
        </w:rPr>
      </w:pPr>
      <w:r w:rsidRPr="00C8504B">
        <w:rPr>
          <w:rFonts w:ascii="Arial Narrow" w:hAnsi="Arial Narrow" w:cs="Arial"/>
          <w:b/>
          <w:color w:val="E42618"/>
          <w:kern w:val="0"/>
          <w:sz w:val="22"/>
          <w:szCs w:val="22"/>
        </w:rPr>
        <w:t xml:space="preserve">PROSPETTO </w:t>
      </w:r>
      <w:r w:rsidR="00E74721" w:rsidRPr="00C8504B">
        <w:rPr>
          <w:rFonts w:ascii="Arial Narrow" w:hAnsi="Arial Narrow" w:cs="Arial"/>
          <w:b/>
          <w:color w:val="E42618"/>
          <w:kern w:val="0"/>
          <w:sz w:val="22"/>
          <w:szCs w:val="22"/>
        </w:rPr>
        <w:t>7</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AGGREGATI SPECIALI</w:t>
      </w:r>
      <w:r w:rsidRPr="00C8504B">
        <w:rPr>
          <w:rFonts w:ascii="Arial Narrow" w:hAnsi="Arial Narrow" w:cs="Arial"/>
          <w:b/>
          <w:color w:val="5F5F5F"/>
        </w:rPr>
        <w:br/>
      </w:r>
      <w:r w:rsidR="001E1AF5">
        <w:rPr>
          <w:rFonts w:ascii="Arial Narrow" w:hAnsi="Arial Narrow" w:cs="Arial"/>
          <w:color w:val="5F5F5F"/>
        </w:rPr>
        <w:t>Otto</w:t>
      </w:r>
      <w:r w:rsidR="009B6ACA">
        <w:rPr>
          <w:rFonts w:ascii="Arial Narrow" w:hAnsi="Arial Narrow" w:cs="Arial"/>
          <w:color w:val="5F5F5F"/>
        </w:rPr>
        <w:t>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xml:space="preserve">, pesi e variazioni percentuali </w:t>
      </w:r>
      <w:r w:rsidR="00312166" w:rsidRPr="00C8504B">
        <w:rPr>
          <w:rFonts w:ascii="Arial Narrow" w:hAnsi="Arial Narrow" w:cs="Arial"/>
          <w:color w:val="5F5F5F"/>
        </w:rPr>
        <w:t>congiunturali</w:t>
      </w:r>
      <w:r w:rsidR="00625F9C" w:rsidRPr="00C8504B">
        <w:rPr>
          <w:rFonts w:ascii="Arial Narrow" w:hAnsi="Arial Narrow" w:cs="Arial"/>
          <w:color w:val="5F5F5F"/>
        </w:rPr>
        <w:t xml:space="preserve"> e tendenziali </w:t>
      </w:r>
      <w:r w:rsidRPr="00C8504B">
        <w:rPr>
          <w:rFonts w:ascii="Arial Narrow" w:hAnsi="Arial Narrow" w:cs="Arial"/>
          <w:color w:val="5F5F5F"/>
        </w:rPr>
        <w:t>(base 2015=100)</w:t>
      </w:r>
    </w:p>
    <w:tbl>
      <w:tblPr>
        <w:tblW w:w="10206" w:type="dxa"/>
        <w:jc w:val="center"/>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4253"/>
        <w:gridCol w:w="1027"/>
        <w:gridCol w:w="974"/>
        <w:gridCol w:w="976"/>
        <w:gridCol w:w="1113"/>
        <w:gridCol w:w="793"/>
        <w:gridCol w:w="1070"/>
      </w:tblGrid>
      <w:tr w:rsidR="00FD0188" w:rsidRPr="00C8504B" w:rsidTr="009A110B">
        <w:trPr>
          <w:trHeight w:val="200"/>
          <w:jc w:val="center"/>
        </w:trPr>
        <w:tc>
          <w:tcPr>
            <w:tcW w:w="4253" w:type="dxa"/>
            <w:vMerge w:val="restart"/>
            <w:vAlign w:val="center"/>
          </w:tcPr>
          <w:p w:rsidR="00FD0188" w:rsidRPr="00C8504B" w:rsidRDefault="00FD0188" w:rsidP="00FD0188">
            <w:pPr>
              <w:spacing w:before="40" w:after="20"/>
              <w:ind w:left="-68"/>
              <w:rPr>
                <w:rFonts w:ascii="Arial Narrow" w:hAnsi="Arial Narrow" w:cs="Arial"/>
                <w:b/>
                <w:bCs/>
                <w:sz w:val="18"/>
                <w:szCs w:val="18"/>
              </w:rPr>
            </w:pPr>
            <w:r w:rsidRPr="00C8504B">
              <w:rPr>
                <w:rFonts w:ascii="Arial Narrow" w:hAnsi="Arial Narrow" w:cs="Arial"/>
                <w:b/>
                <w:bCs/>
                <w:sz w:val="18"/>
                <w:szCs w:val="18"/>
              </w:rPr>
              <w:t>AGGREGATI SPECIALI</w:t>
            </w:r>
          </w:p>
        </w:tc>
        <w:tc>
          <w:tcPr>
            <w:tcW w:w="1027" w:type="dxa"/>
            <w:vMerge w:val="restart"/>
            <w:shd w:val="clear" w:color="auto" w:fill="D9D9D9" w:themeFill="background1" w:themeFillShade="D9"/>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950" w:type="dxa"/>
            <w:gridSpan w:val="2"/>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1906" w:type="dxa"/>
            <w:gridSpan w:val="2"/>
            <w:shd w:val="clear" w:color="auto" w:fill="D9D9D9"/>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070" w:type="dxa"/>
            <w:vMerge w:val="restart"/>
            <w:shd w:val="clear" w:color="auto" w:fill="auto"/>
            <w:vAlign w:val="center"/>
          </w:tcPr>
          <w:p w:rsidR="00FD0188" w:rsidRPr="00C8504B" w:rsidRDefault="000830DA" w:rsidP="001E1AF5">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sidR="00873EA2">
              <w:rPr>
                <w:rFonts w:ascii="Arial Narrow" w:hAnsi="Arial Narrow" w:cs="Arial"/>
                <w:b/>
                <w:bCs/>
                <w:kern w:val="0"/>
                <w:sz w:val="18"/>
                <w:szCs w:val="18"/>
              </w:rPr>
              <w:t xml:space="preserve"> </w:t>
            </w:r>
            <w:r w:rsidR="00646CE4">
              <w:rPr>
                <w:rFonts w:ascii="Arial Narrow" w:hAnsi="Arial Narrow" w:cs="Arial"/>
                <w:b/>
                <w:bCs/>
                <w:kern w:val="0"/>
                <w:sz w:val="18"/>
                <w:szCs w:val="18"/>
              </w:rPr>
              <w:t xml:space="preserve">        </w:t>
            </w:r>
            <w:r w:rsidR="00873EA2">
              <w:rPr>
                <w:rFonts w:ascii="Arial Narrow" w:hAnsi="Arial Narrow" w:cs="Arial"/>
                <w:b/>
                <w:bCs/>
                <w:kern w:val="0"/>
                <w:sz w:val="18"/>
                <w:szCs w:val="18"/>
              </w:rPr>
              <w:t xml:space="preserve">a </w:t>
            </w:r>
            <w:r w:rsidR="001E1AF5">
              <w:rPr>
                <w:rFonts w:ascii="Arial Narrow" w:hAnsi="Arial Narrow" w:cs="Arial"/>
                <w:b/>
                <w:bCs/>
                <w:kern w:val="0"/>
                <w:sz w:val="18"/>
                <w:szCs w:val="18"/>
              </w:rPr>
              <w:t>ottobre</w:t>
            </w:r>
          </w:p>
        </w:tc>
      </w:tr>
      <w:tr w:rsidR="000F49FA" w:rsidRPr="00C8504B" w:rsidTr="00193989">
        <w:trPr>
          <w:trHeight w:val="346"/>
          <w:jc w:val="center"/>
        </w:trPr>
        <w:tc>
          <w:tcPr>
            <w:tcW w:w="4253" w:type="dxa"/>
            <w:vMerge/>
            <w:vAlign w:val="center"/>
          </w:tcPr>
          <w:p w:rsidR="000F49FA" w:rsidRPr="00C8504B" w:rsidRDefault="000F49FA" w:rsidP="000F49FA">
            <w:pPr>
              <w:spacing w:before="40" w:after="20"/>
              <w:ind w:left="-68"/>
              <w:rPr>
                <w:rFonts w:ascii="Arial Narrow" w:hAnsi="Arial Narrow" w:cs="Arial"/>
                <w:b/>
                <w:bCs/>
                <w:sz w:val="18"/>
                <w:szCs w:val="18"/>
              </w:rPr>
            </w:pPr>
          </w:p>
        </w:tc>
        <w:tc>
          <w:tcPr>
            <w:tcW w:w="1027" w:type="dxa"/>
            <w:vMerge/>
            <w:shd w:val="clear" w:color="auto" w:fill="D9D9D9" w:themeFill="background1" w:themeFillShade="D9"/>
            <w:vAlign w:val="center"/>
          </w:tcPr>
          <w:p w:rsidR="000F49FA" w:rsidRPr="00C8504B" w:rsidRDefault="000F49FA" w:rsidP="000F49FA">
            <w:pPr>
              <w:spacing w:before="40" w:after="20"/>
              <w:jc w:val="center"/>
              <w:rPr>
                <w:rFonts w:ascii="Arial Narrow" w:hAnsi="Arial Narrow" w:cs="Arial"/>
                <w:b/>
                <w:bCs/>
                <w:sz w:val="18"/>
                <w:szCs w:val="18"/>
              </w:rPr>
            </w:pPr>
          </w:p>
        </w:tc>
        <w:tc>
          <w:tcPr>
            <w:tcW w:w="974"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E03E58" w:rsidRDefault="000F49FA" w:rsidP="000F49FA">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set-22</w:t>
            </w:r>
          </w:p>
        </w:tc>
        <w:tc>
          <w:tcPr>
            <w:tcW w:w="976"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ott-21</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1113"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ott-22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ott-21</w:t>
            </w:r>
          </w:p>
        </w:tc>
        <w:tc>
          <w:tcPr>
            <w:tcW w:w="793" w:type="dxa"/>
            <w:vAlign w:val="center"/>
          </w:tcPr>
          <w:p w:rsidR="000F49FA"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0F49FA" w:rsidRPr="008814F3" w:rsidRDefault="000F49FA" w:rsidP="000F49FA">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sett21</w:t>
            </w:r>
          </w:p>
        </w:tc>
        <w:tc>
          <w:tcPr>
            <w:tcW w:w="1070" w:type="dxa"/>
            <w:vMerge/>
            <w:shd w:val="clear" w:color="auto" w:fill="auto"/>
            <w:vAlign w:val="center"/>
          </w:tcPr>
          <w:p w:rsidR="000F49FA" w:rsidRPr="00502CE8" w:rsidRDefault="000F49FA" w:rsidP="000F49FA">
            <w:pPr>
              <w:spacing w:before="40" w:after="20"/>
              <w:contextualSpacing/>
              <w:jc w:val="center"/>
              <w:rPr>
                <w:rFonts w:ascii="Arial Narrow" w:hAnsi="Arial Narrow" w:cs="Arial"/>
                <w:b/>
                <w:bCs/>
                <w:sz w:val="18"/>
                <w:szCs w:val="18"/>
              </w:rPr>
            </w:pP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sz w:val="18"/>
                <w:szCs w:val="18"/>
              </w:rPr>
            </w:pPr>
            <w:r w:rsidRPr="00C8504B">
              <w:rPr>
                <w:rFonts w:ascii="Arial Narrow" w:hAnsi="Arial Narrow" w:cs="Arial"/>
                <w:sz w:val="18"/>
                <w:szCs w:val="18"/>
              </w:rPr>
              <w:t>Beni alimentari (incluse bevande alcoliche) e tabacchi, di cui:</w:t>
            </w:r>
          </w:p>
        </w:tc>
        <w:tc>
          <w:tcPr>
            <w:tcW w:w="1027" w:type="dxa"/>
            <w:shd w:val="clear" w:color="auto" w:fill="D9D9D9" w:themeFill="background1" w:themeFillShade="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230.610</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+1,6</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+0,2</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+11,8</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+10,2</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+7,8</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247"/>
              <w:rPr>
                <w:rFonts w:ascii="Arial Narrow" w:hAnsi="Arial Narrow" w:cs="Arial"/>
                <w:sz w:val="18"/>
                <w:szCs w:val="18"/>
              </w:rPr>
            </w:pPr>
            <w:r w:rsidRPr="00C8504B">
              <w:rPr>
                <w:rFonts w:ascii="Arial Narrow" w:hAnsi="Arial Narrow" w:cs="Arial"/>
                <w:sz w:val="18"/>
                <w:szCs w:val="18"/>
              </w:rPr>
              <w:t>Alimentari lavorati (incluse bevande alcoliche) e tabacchi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159.028</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+1,3</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0,0</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+11,3</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+9,8</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+7,0</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247"/>
              <w:rPr>
                <w:rFonts w:ascii="Arial Narrow" w:hAnsi="Arial Narrow" w:cs="Arial"/>
                <w:sz w:val="18"/>
                <w:szCs w:val="18"/>
              </w:rPr>
            </w:pPr>
            <w:r w:rsidRPr="00C8504B">
              <w:rPr>
                <w:rFonts w:ascii="Arial Narrow" w:hAnsi="Arial Narrow" w:cs="Arial"/>
                <w:sz w:val="18"/>
                <w:szCs w:val="18"/>
              </w:rPr>
              <w:t>Alimentari non lavorati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71.582</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+2,4</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+0,8</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+13,1</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+11,4</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+9,7</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sz w:val="18"/>
                <w:szCs w:val="18"/>
              </w:rPr>
            </w:pPr>
            <w:r w:rsidRPr="00C8504B">
              <w:rPr>
                <w:rFonts w:ascii="Arial Narrow" w:hAnsi="Arial Narrow" w:cs="Arial"/>
                <w:sz w:val="18"/>
                <w:szCs w:val="18"/>
              </w:rPr>
              <w:t>Energia, di cui: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97.164</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+26,9</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+7,1</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+71,7</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+45,0</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+50,8</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247"/>
              <w:rPr>
                <w:rFonts w:ascii="Arial Narrow" w:hAnsi="Arial Narrow" w:cs="Arial"/>
                <w:sz w:val="18"/>
                <w:szCs w:val="18"/>
              </w:rPr>
            </w:pPr>
            <w:r w:rsidRPr="00C8504B">
              <w:rPr>
                <w:rFonts w:ascii="Arial Narrow" w:hAnsi="Arial Narrow" w:cs="Arial"/>
                <w:sz w:val="18"/>
                <w:szCs w:val="18"/>
              </w:rPr>
              <w:t>Elettricità, gas e combustibili solidi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48.838</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+46,4</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+10,0</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+136,7</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+77,9</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+84,8</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247"/>
              <w:rPr>
                <w:rFonts w:ascii="Arial Narrow" w:hAnsi="Arial Narrow" w:cs="Arial"/>
                <w:sz w:val="18"/>
                <w:szCs w:val="18"/>
              </w:rPr>
            </w:pPr>
            <w:r w:rsidRPr="00C8504B">
              <w:rPr>
                <w:rFonts w:ascii="Arial Narrow" w:hAnsi="Arial Narrow" w:cs="Arial"/>
                <w:sz w:val="18"/>
                <w:szCs w:val="18"/>
              </w:rPr>
              <w:t>Combustibili liquidi, carburanti e lubrificanti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48.326</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-0,9</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+3,8</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+8,1</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+13,2</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+17,9</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sz w:val="18"/>
                <w:szCs w:val="18"/>
              </w:rPr>
            </w:pPr>
            <w:r w:rsidRPr="00C8504B">
              <w:rPr>
                <w:rFonts w:ascii="Arial Narrow" w:hAnsi="Arial Narrow" w:cs="Arial"/>
                <w:sz w:val="18"/>
                <w:szCs w:val="18"/>
              </w:rPr>
              <w:t>Beni industriali non energetici, di cui: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284.285</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+1,4</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+0,9</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+4,9</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+4,4</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+3,0</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247"/>
              <w:rPr>
                <w:rFonts w:ascii="Arial Narrow" w:hAnsi="Arial Narrow" w:cs="Arial"/>
                <w:sz w:val="18"/>
                <w:szCs w:val="18"/>
              </w:rPr>
            </w:pPr>
            <w:r w:rsidRPr="00C8504B">
              <w:rPr>
                <w:rFonts w:ascii="Arial Narrow" w:hAnsi="Arial Narrow" w:cs="Arial"/>
                <w:sz w:val="18"/>
                <w:szCs w:val="18"/>
              </w:rPr>
              <w:t>Beni durevoli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110.163</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+0,8</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0,0</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+5,5</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+4,7</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+3,4</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247"/>
              <w:rPr>
                <w:rFonts w:ascii="Arial Narrow" w:hAnsi="Arial Narrow" w:cs="Arial"/>
                <w:sz w:val="18"/>
                <w:szCs w:val="18"/>
              </w:rPr>
            </w:pPr>
            <w:r w:rsidRPr="00C8504B">
              <w:rPr>
                <w:rFonts w:ascii="Arial Narrow" w:hAnsi="Arial Narrow" w:cs="Arial"/>
                <w:sz w:val="18"/>
                <w:szCs w:val="18"/>
              </w:rPr>
              <w:t>Beni non durevoli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64.441</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+0,8</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+0,1</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+6,6</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+5,9</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+4,0</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247"/>
              <w:rPr>
                <w:rFonts w:ascii="Arial Narrow" w:hAnsi="Arial Narrow" w:cs="Arial"/>
                <w:sz w:val="18"/>
                <w:szCs w:val="18"/>
              </w:rPr>
            </w:pPr>
            <w:r w:rsidRPr="00C8504B">
              <w:rPr>
                <w:rFonts w:ascii="Arial Narrow" w:hAnsi="Arial Narrow" w:cs="Arial"/>
                <w:sz w:val="18"/>
                <w:szCs w:val="18"/>
              </w:rPr>
              <w:t>Beni semidurevoli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109.681</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+2,4</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+2,0</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+3,3</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+2,9</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+1,8</w:t>
            </w:r>
          </w:p>
        </w:tc>
      </w:tr>
      <w:tr w:rsidR="0034637F" w:rsidRPr="00502CE8" w:rsidTr="009431DE">
        <w:trPr>
          <w:trHeight w:val="255"/>
          <w:jc w:val="center"/>
        </w:trPr>
        <w:tc>
          <w:tcPr>
            <w:tcW w:w="4253" w:type="dxa"/>
            <w:shd w:val="clear" w:color="auto" w:fill="808080"/>
            <w:vAlign w:val="center"/>
          </w:tcPr>
          <w:p w:rsidR="0034637F" w:rsidRPr="00C8504B" w:rsidRDefault="0034637F" w:rsidP="0034637F">
            <w:pPr>
              <w:spacing w:before="40" w:after="20"/>
              <w:rPr>
                <w:rFonts w:ascii="Arial Narrow" w:hAnsi="Arial Narrow" w:cs="Arial"/>
                <w:b/>
                <w:bCs/>
                <w:color w:val="FFFFFF"/>
                <w:sz w:val="18"/>
                <w:szCs w:val="18"/>
              </w:rPr>
            </w:pPr>
            <w:r w:rsidRPr="00C8504B">
              <w:rPr>
                <w:rFonts w:ascii="Arial Narrow" w:hAnsi="Arial Narrow" w:cs="Arial"/>
                <w:b/>
                <w:color w:val="FFFFFF"/>
                <w:sz w:val="18"/>
                <w:szCs w:val="18"/>
              </w:rPr>
              <w:t>Beni</w:t>
            </w:r>
          </w:p>
        </w:tc>
        <w:tc>
          <w:tcPr>
            <w:tcW w:w="1027" w:type="dxa"/>
            <w:shd w:val="clear" w:color="auto" w:fill="808080"/>
            <w:vAlign w:val="center"/>
          </w:tcPr>
          <w:p w:rsidR="0034637F" w:rsidRPr="00EF1C6D" w:rsidRDefault="0034637F" w:rsidP="0034637F">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612.059</w:t>
            </w:r>
          </w:p>
        </w:tc>
        <w:tc>
          <w:tcPr>
            <w:tcW w:w="974" w:type="dxa"/>
            <w:shd w:val="clear" w:color="auto" w:fill="808080"/>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+6,3</w:t>
            </w:r>
          </w:p>
        </w:tc>
        <w:tc>
          <w:tcPr>
            <w:tcW w:w="976" w:type="dxa"/>
            <w:shd w:val="clear" w:color="auto" w:fill="808080"/>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+1,6</w:t>
            </w:r>
          </w:p>
        </w:tc>
        <w:tc>
          <w:tcPr>
            <w:tcW w:w="1113" w:type="dxa"/>
            <w:shd w:val="clear" w:color="auto" w:fill="808080"/>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+17,9</w:t>
            </w:r>
          </w:p>
        </w:tc>
        <w:tc>
          <w:tcPr>
            <w:tcW w:w="793" w:type="dxa"/>
            <w:shd w:val="clear" w:color="auto" w:fill="808080"/>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+12,7</w:t>
            </w:r>
          </w:p>
        </w:tc>
        <w:tc>
          <w:tcPr>
            <w:tcW w:w="1070" w:type="dxa"/>
            <w:shd w:val="clear" w:color="auto" w:fill="808080"/>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+12,0</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81.415</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+0,1</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0,0</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+1,8</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+1,7</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+1,4</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18.908</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0,0</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0,0</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+0,1</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+0,1</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0,0</w:t>
            </w:r>
          </w:p>
        </w:tc>
      </w:tr>
      <w:tr w:rsidR="0034637F" w:rsidRPr="00502CE8" w:rsidTr="009431DE">
        <w:trPr>
          <w:trHeight w:val="255"/>
          <w:jc w:val="center"/>
        </w:trPr>
        <w:tc>
          <w:tcPr>
            <w:tcW w:w="4253" w:type="dxa"/>
            <w:vAlign w:val="center"/>
          </w:tcPr>
          <w:p w:rsidR="0034637F" w:rsidRPr="00C8504B" w:rsidRDefault="0034637F" w:rsidP="0034637F">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134.632</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-0,8</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-0,4</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+5,9</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+6,4</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+5,0</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68.097</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-0,8</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-0,6</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+7,1</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+7,2</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+5,4</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84.889</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+0,2</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-0,1</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+2,2</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+1,9</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+1,6</w:t>
            </w:r>
          </w:p>
        </w:tc>
      </w:tr>
      <w:tr w:rsidR="0034637F" w:rsidRPr="00502CE8" w:rsidTr="009431DE">
        <w:trPr>
          <w:trHeight w:val="255"/>
          <w:jc w:val="center"/>
        </w:trPr>
        <w:tc>
          <w:tcPr>
            <w:tcW w:w="4253" w:type="dxa"/>
            <w:shd w:val="clear" w:color="auto" w:fill="808080"/>
            <w:vAlign w:val="center"/>
          </w:tcPr>
          <w:p w:rsidR="0034637F" w:rsidRPr="00C8504B" w:rsidRDefault="0034637F" w:rsidP="0034637F">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1027" w:type="dxa"/>
            <w:shd w:val="clear" w:color="auto" w:fill="808080"/>
            <w:vAlign w:val="center"/>
          </w:tcPr>
          <w:p w:rsidR="0034637F" w:rsidRPr="00EF1C6D" w:rsidRDefault="0034637F" w:rsidP="0034637F">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387.941</w:t>
            </w:r>
          </w:p>
        </w:tc>
        <w:tc>
          <w:tcPr>
            <w:tcW w:w="974" w:type="dxa"/>
            <w:shd w:val="clear" w:color="auto" w:fill="808080"/>
            <w:vAlign w:val="center"/>
          </w:tcPr>
          <w:p w:rsidR="00DD0DC5" w:rsidRPr="0034637F" w:rsidRDefault="00646CE4" w:rsidP="0034637F">
            <w:pPr>
              <w:spacing w:before="40" w:after="20"/>
              <w:ind w:left="-68" w:right="57"/>
              <w:jc w:val="right"/>
              <w:rPr>
                <w:rFonts w:ascii="Arial Narrow" w:hAnsi="Arial Narrow" w:cs="Arial"/>
                <w:b/>
                <w:color w:val="FFFFFF" w:themeColor="background1"/>
                <w:sz w:val="18"/>
                <w:szCs w:val="18"/>
              </w:rPr>
            </w:pPr>
            <w:r w:rsidRPr="00646CE4">
              <w:rPr>
                <w:rFonts w:ascii="Arial Narrow" w:hAnsi="Arial Narrow" w:cs="Arial"/>
                <w:b/>
                <w:color w:val="FFFFFF" w:themeColor="background1"/>
                <w:sz w:val="18"/>
                <w:szCs w:val="18"/>
              </w:rPr>
              <w:t>-0,4</w:t>
            </w:r>
          </w:p>
        </w:tc>
        <w:tc>
          <w:tcPr>
            <w:tcW w:w="976" w:type="dxa"/>
            <w:shd w:val="clear" w:color="auto" w:fill="808080"/>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-0,3</w:t>
            </w:r>
          </w:p>
        </w:tc>
        <w:tc>
          <w:tcPr>
            <w:tcW w:w="1113" w:type="dxa"/>
            <w:shd w:val="clear" w:color="auto" w:fill="808080"/>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+4,3</w:t>
            </w:r>
          </w:p>
        </w:tc>
        <w:tc>
          <w:tcPr>
            <w:tcW w:w="793" w:type="dxa"/>
            <w:shd w:val="clear" w:color="auto" w:fill="808080"/>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+4,4</w:t>
            </w:r>
          </w:p>
        </w:tc>
        <w:tc>
          <w:tcPr>
            <w:tcW w:w="1070" w:type="dxa"/>
            <w:shd w:val="clear" w:color="auto" w:fill="808080"/>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+3,4</w:t>
            </w:r>
          </w:p>
        </w:tc>
      </w:tr>
      <w:tr w:rsidR="0034637F" w:rsidRPr="00502CE8" w:rsidTr="009431DE">
        <w:trPr>
          <w:trHeight w:val="255"/>
          <w:jc w:val="center"/>
        </w:trPr>
        <w:tc>
          <w:tcPr>
            <w:tcW w:w="4253" w:type="dxa"/>
            <w:shd w:val="clear" w:color="auto" w:fill="E42618"/>
            <w:vAlign w:val="center"/>
          </w:tcPr>
          <w:p w:rsidR="0034637F" w:rsidRPr="00C8504B" w:rsidRDefault="0034637F" w:rsidP="0034637F">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027" w:type="dxa"/>
            <w:shd w:val="clear" w:color="auto" w:fill="E42618"/>
            <w:vAlign w:val="center"/>
          </w:tcPr>
          <w:p w:rsidR="0034637F" w:rsidRPr="00EF1C6D" w:rsidRDefault="0034637F" w:rsidP="0034637F">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1.000.000</w:t>
            </w:r>
          </w:p>
        </w:tc>
        <w:tc>
          <w:tcPr>
            <w:tcW w:w="974" w:type="dxa"/>
            <w:shd w:val="clear" w:color="auto" w:fill="E42618"/>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+3,8</w:t>
            </w:r>
          </w:p>
        </w:tc>
        <w:tc>
          <w:tcPr>
            <w:tcW w:w="976" w:type="dxa"/>
            <w:shd w:val="clear" w:color="auto" w:fill="E42618"/>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+0,9</w:t>
            </w:r>
          </w:p>
        </w:tc>
        <w:tc>
          <w:tcPr>
            <w:tcW w:w="1113" w:type="dxa"/>
            <w:shd w:val="clear" w:color="auto" w:fill="E42618"/>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+12,6</w:t>
            </w:r>
          </w:p>
        </w:tc>
        <w:tc>
          <w:tcPr>
            <w:tcW w:w="793" w:type="dxa"/>
            <w:shd w:val="clear" w:color="auto" w:fill="E42618"/>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+9,4</w:t>
            </w:r>
          </w:p>
        </w:tc>
        <w:tc>
          <w:tcPr>
            <w:tcW w:w="1070" w:type="dxa"/>
            <w:shd w:val="clear" w:color="auto" w:fill="E42618"/>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b/>
                <w:color w:val="FFFFFF" w:themeColor="background1"/>
                <w:sz w:val="18"/>
                <w:szCs w:val="18"/>
              </w:rPr>
            </w:pPr>
            <w:r w:rsidRPr="0034637F">
              <w:rPr>
                <w:rFonts w:ascii="Arial Narrow" w:hAnsi="Arial Narrow" w:cs="Arial"/>
                <w:b/>
                <w:color w:val="FFFFFF" w:themeColor="background1"/>
                <w:sz w:val="18"/>
                <w:szCs w:val="18"/>
              </w:rPr>
              <w:t>+8,6</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e degli alimentari freschi (Componente di fondo)</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831.254</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+0,5</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+0,2</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+5,7</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+5,3</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+3,9</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672.226</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+0,4</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+0,2</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+4,6</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+4,4</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+3,2</w:t>
            </w:r>
          </w:p>
        </w:tc>
      </w:tr>
      <w:tr w:rsidR="0034637F" w:rsidRPr="00502CE8" w:rsidTr="009431DE">
        <w:trPr>
          <w:trHeight w:val="255"/>
          <w:jc w:val="center"/>
        </w:trPr>
        <w:tc>
          <w:tcPr>
            <w:tcW w:w="4253" w:type="dxa"/>
            <w:vAlign w:val="center"/>
          </w:tcPr>
          <w:p w:rsidR="0034637F" w:rsidRPr="00C8504B" w:rsidRDefault="0034637F" w:rsidP="0034637F">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w:t>
            </w:r>
          </w:p>
        </w:tc>
        <w:tc>
          <w:tcPr>
            <w:tcW w:w="1027" w:type="dxa"/>
            <w:shd w:val="clear" w:color="auto" w:fill="D9D9D9"/>
            <w:vAlign w:val="center"/>
          </w:tcPr>
          <w:p w:rsidR="0034637F" w:rsidRPr="00EF1C6D" w:rsidRDefault="0034637F" w:rsidP="0034637F">
            <w:pPr>
              <w:spacing w:before="40" w:after="20"/>
              <w:ind w:left="-68" w:right="57"/>
              <w:jc w:val="right"/>
              <w:rPr>
                <w:rFonts w:ascii="Arial Narrow" w:hAnsi="Arial Narrow" w:cs="Arial"/>
                <w:sz w:val="18"/>
                <w:szCs w:val="18"/>
              </w:rPr>
            </w:pPr>
            <w:r w:rsidRPr="00EF1C6D">
              <w:rPr>
                <w:rFonts w:ascii="Arial Narrow" w:hAnsi="Arial Narrow" w:cs="Arial"/>
                <w:sz w:val="18"/>
                <w:szCs w:val="18"/>
              </w:rPr>
              <w:t>902.836</w:t>
            </w:r>
          </w:p>
        </w:tc>
        <w:tc>
          <w:tcPr>
            <w:tcW w:w="974"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+0,7</w:t>
            </w:r>
          </w:p>
        </w:tc>
        <w:tc>
          <w:tcPr>
            <w:tcW w:w="976"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+0,2</w:t>
            </w:r>
          </w:p>
        </w:tc>
        <w:tc>
          <w:tcPr>
            <w:tcW w:w="1113" w:type="dxa"/>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+6,4</w:t>
            </w:r>
          </w:p>
        </w:tc>
        <w:tc>
          <w:tcPr>
            <w:tcW w:w="793" w:type="dxa"/>
            <w:shd w:val="clear" w:color="auto" w:fill="D9D9D9"/>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+5,8</w:t>
            </w:r>
          </w:p>
        </w:tc>
        <w:tc>
          <w:tcPr>
            <w:tcW w:w="1070" w:type="dxa"/>
            <w:shd w:val="clear" w:color="auto" w:fill="auto"/>
            <w:tcMar>
              <w:left w:w="85" w:type="dxa"/>
              <w:right w:w="28" w:type="dxa"/>
            </w:tcMar>
            <w:vAlign w:val="center"/>
          </w:tcPr>
          <w:p w:rsidR="0034637F" w:rsidRPr="0034637F" w:rsidRDefault="0034637F" w:rsidP="0034637F">
            <w:pPr>
              <w:spacing w:before="40" w:after="20"/>
              <w:ind w:left="-68" w:right="57"/>
              <w:jc w:val="right"/>
              <w:rPr>
                <w:rFonts w:ascii="Arial Narrow" w:hAnsi="Arial Narrow" w:cs="Arial"/>
                <w:sz w:val="18"/>
                <w:szCs w:val="18"/>
              </w:rPr>
            </w:pPr>
            <w:r w:rsidRPr="0034637F">
              <w:rPr>
                <w:rFonts w:ascii="Arial Narrow" w:hAnsi="Arial Narrow" w:cs="Arial"/>
                <w:sz w:val="18"/>
                <w:szCs w:val="18"/>
              </w:rPr>
              <w:t>+4,4</w:t>
            </w:r>
          </w:p>
        </w:tc>
      </w:tr>
    </w:tbl>
    <w:p w:rsidR="00CF6BC3" w:rsidRPr="00DD629D" w:rsidRDefault="00CF6BC3" w:rsidP="00CF6BC3">
      <w:pPr>
        <w:spacing w:before="0" w:after="120"/>
        <w:jc w:val="both"/>
        <w:rPr>
          <w:rFonts w:ascii="Arial" w:hAnsi="Arial" w:cs="Arial"/>
          <w:sz w:val="8"/>
          <w:szCs w:val="8"/>
        </w:rPr>
      </w:pPr>
    </w:p>
    <w:p w:rsidR="00901999" w:rsidRPr="00C8504B" w:rsidRDefault="00901999" w:rsidP="00C87256">
      <w:pPr>
        <w:widowControl/>
        <w:overflowPunct/>
        <w:autoSpaceDE/>
        <w:autoSpaceDN/>
        <w:adjustRightInd/>
        <w:spacing w:before="0" w:after="0"/>
        <w:jc w:val="both"/>
        <w:rPr>
          <w:rFonts w:ascii="Arial Narrow" w:hAnsi="Arial Narrow" w:cs="Arial"/>
          <w:color w:val="5F5F5F"/>
        </w:rPr>
      </w:pPr>
      <w:r w:rsidRPr="00C8504B">
        <w:rPr>
          <w:rFonts w:ascii="Arial Narrow" w:hAnsi="Arial Narrow" w:cs="Arial"/>
          <w:b/>
          <w:color w:val="E42618"/>
          <w:kern w:val="0"/>
          <w:sz w:val="22"/>
          <w:szCs w:val="22"/>
        </w:rPr>
        <w:t>FIGURA 7</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ITALIA E UNIONE ECONOMICA E MONETARIA</w:t>
      </w:r>
      <w:r w:rsidR="00DA78A0">
        <w:rPr>
          <w:rFonts w:ascii="Arial Narrow" w:hAnsi="Arial Narrow" w:cs="Calibri"/>
          <w:b/>
          <w:bCs/>
          <w:color w:val="5F5F5F"/>
          <w:kern w:val="0"/>
          <w:sz w:val="22"/>
          <w:szCs w:val="22"/>
          <w:vertAlign w:val="superscript"/>
        </w:rPr>
        <w:t>1</w:t>
      </w:r>
      <w:r w:rsidRPr="00C8504B">
        <w:rPr>
          <w:rFonts w:ascii="Arial Narrow" w:hAnsi="Arial Narrow"/>
          <w:color w:val="5F5F5F"/>
        </w:rPr>
        <w:br/>
      </w:r>
      <w:r w:rsidRPr="00C8504B">
        <w:rPr>
          <w:rFonts w:ascii="Arial Narrow" w:hAnsi="Arial Narrow" w:cs="Arial"/>
          <w:color w:val="5F5F5F"/>
        </w:rPr>
        <w:t>Gennaio 201</w:t>
      </w:r>
      <w:r w:rsidR="005B7BD6">
        <w:rPr>
          <w:rFonts w:ascii="Arial Narrow" w:hAnsi="Arial Narrow" w:cs="Arial"/>
          <w:color w:val="5F5F5F"/>
        </w:rPr>
        <w:t>7</w:t>
      </w:r>
      <w:r w:rsidRPr="00C8504B">
        <w:rPr>
          <w:rFonts w:ascii="Arial Narrow" w:hAnsi="Arial Narrow" w:cs="Arial"/>
          <w:color w:val="5F5F5F"/>
        </w:rPr>
        <w:t xml:space="preserve"> </w:t>
      </w:r>
      <w:r w:rsidR="008E006C">
        <w:rPr>
          <w:rFonts w:ascii="Arial Narrow" w:hAnsi="Arial Narrow" w:cs="Arial"/>
          <w:color w:val="5F5F5F"/>
        </w:rPr>
        <w:t>–</w:t>
      </w:r>
      <w:r w:rsidRPr="00C8504B">
        <w:rPr>
          <w:rFonts w:ascii="Arial Narrow" w:hAnsi="Arial Narrow" w:cs="Arial"/>
          <w:color w:val="5F5F5F"/>
        </w:rPr>
        <w:t xml:space="preserve"> </w:t>
      </w:r>
      <w:r w:rsidR="001E1AF5">
        <w:rPr>
          <w:rFonts w:ascii="Arial Narrow" w:hAnsi="Arial Narrow" w:cs="Arial"/>
          <w:color w:val="5F5F5F"/>
        </w:rPr>
        <w:t>otto</w:t>
      </w:r>
      <w:r w:rsidR="009B6ACA">
        <w:rPr>
          <w:rFonts w:ascii="Arial Narrow" w:hAnsi="Arial Narrow" w:cs="Arial"/>
          <w:color w:val="5F5F5F"/>
        </w:rPr>
        <w:t>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variazioni percentuali tendenziali (base 2015=100)</w:t>
      </w:r>
    </w:p>
    <w:p w:rsidR="00427417" w:rsidRDefault="00E74197" w:rsidP="00606B17">
      <w:pPr>
        <w:pStyle w:val="Corpotesto"/>
        <w:spacing w:line="240" w:lineRule="auto"/>
        <w:jc w:val="both"/>
        <w:rPr>
          <w:noProof/>
        </w:rPr>
      </w:pPr>
      <w:r>
        <w:rPr>
          <w:noProof/>
        </w:rPr>
        <w:drawing>
          <wp:inline distT="0" distB="0" distL="0" distR="0" wp14:anchorId="4C477069">
            <wp:extent cx="6657340" cy="215836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7340" cy="2158365"/>
                    </a:xfrm>
                    <a:prstGeom prst="rect">
                      <a:avLst/>
                    </a:prstGeom>
                    <a:noFill/>
                  </pic:spPr>
                </pic:pic>
              </a:graphicData>
            </a:graphic>
          </wp:inline>
        </w:drawing>
      </w:r>
    </w:p>
    <w:p w:rsidR="00CD5998" w:rsidRDefault="00DA78A0" w:rsidP="00606B17">
      <w:pPr>
        <w:pStyle w:val="Corpotesto"/>
        <w:spacing w:line="240" w:lineRule="auto"/>
        <w:jc w:val="both"/>
        <w:rPr>
          <w:rFonts w:ascii="Arial" w:hAnsi="Arial" w:cs="Arial"/>
          <w:sz w:val="16"/>
        </w:rPr>
      </w:pPr>
      <w:r>
        <w:rPr>
          <w:rFonts w:ascii="Arial" w:hAnsi="Arial" w:cs="Arial"/>
          <w:sz w:val="16"/>
          <w:vertAlign w:val="superscript"/>
        </w:rPr>
        <w:t xml:space="preserve">(1) </w:t>
      </w:r>
      <w:r>
        <w:rPr>
          <w:rFonts w:ascii="Arial" w:hAnsi="Arial" w:cs="Arial"/>
          <w:sz w:val="16"/>
        </w:rPr>
        <w:t>L’indice IPCA per l’Unione Economica e Monetaria (</w:t>
      </w:r>
      <w:proofErr w:type="spellStart"/>
      <w:r>
        <w:rPr>
          <w:rFonts w:ascii="Arial" w:hAnsi="Arial" w:cs="Arial"/>
          <w:sz w:val="16"/>
        </w:rPr>
        <w:t>Uem</w:t>
      </w:r>
      <w:proofErr w:type="spellEnd"/>
      <w:r>
        <w:rPr>
          <w:rFonts w:ascii="Arial" w:hAnsi="Arial" w:cs="Arial"/>
          <w:sz w:val="16"/>
        </w:rPr>
        <w:t xml:space="preserve">) </w:t>
      </w:r>
      <w:r w:rsidRPr="003B4962">
        <w:rPr>
          <w:rFonts w:ascii="Arial" w:hAnsi="Arial" w:cs="Arial"/>
          <w:sz w:val="16"/>
        </w:rPr>
        <w:t xml:space="preserve">di </w:t>
      </w:r>
      <w:r w:rsidR="00476786">
        <w:rPr>
          <w:rFonts w:ascii="Arial" w:hAnsi="Arial" w:cs="Arial"/>
          <w:sz w:val="16"/>
        </w:rPr>
        <w:t>ottobre</w:t>
      </w:r>
      <w:r w:rsidR="009A20F3" w:rsidRPr="009A20F3">
        <w:rPr>
          <w:rFonts w:ascii="Arial" w:hAnsi="Arial" w:cs="Arial"/>
          <w:sz w:val="16"/>
        </w:rPr>
        <w:t xml:space="preserve"> </w:t>
      </w:r>
      <w:r w:rsidR="00352DA4">
        <w:rPr>
          <w:rFonts w:ascii="Arial" w:hAnsi="Arial" w:cs="Arial"/>
          <w:sz w:val="16"/>
        </w:rPr>
        <w:t>2022</w:t>
      </w:r>
      <w:r w:rsidRPr="003B4962">
        <w:rPr>
          <w:rFonts w:ascii="Arial" w:hAnsi="Arial" w:cs="Arial"/>
          <w:sz w:val="16"/>
        </w:rPr>
        <w:t xml:space="preserve"> è la stima anticipata diffusa da </w:t>
      </w:r>
      <w:r w:rsidRPr="003074B3">
        <w:rPr>
          <w:rFonts w:ascii="Arial" w:hAnsi="Arial" w:cs="Arial"/>
          <w:sz w:val="16"/>
        </w:rPr>
        <w:t xml:space="preserve">Eurostat </w:t>
      </w:r>
      <w:r w:rsidR="00476786">
        <w:rPr>
          <w:rFonts w:ascii="Arial" w:hAnsi="Arial" w:cs="Arial"/>
          <w:sz w:val="16"/>
        </w:rPr>
        <w:t>lunedì</w:t>
      </w:r>
      <w:r w:rsidR="00352DA4">
        <w:rPr>
          <w:rFonts w:ascii="Arial" w:hAnsi="Arial" w:cs="Arial"/>
          <w:sz w:val="16"/>
        </w:rPr>
        <w:t xml:space="preserve"> </w:t>
      </w:r>
      <w:r w:rsidR="00476786">
        <w:rPr>
          <w:rFonts w:ascii="Arial" w:hAnsi="Arial" w:cs="Arial"/>
          <w:sz w:val="16"/>
        </w:rPr>
        <w:t>31/10</w:t>
      </w:r>
      <w:r w:rsidR="00DD629D" w:rsidRPr="00DD629D">
        <w:rPr>
          <w:rFonts w:ascii="Arial" w:hAnsi="Arial" w:cs="Arial"/>
          <w:sz w:val="16"/>
        </w:rPr>
        <w:t>/2022</w:t>
      </w:r>
      <w:r w:rsidRPr="003074B3">
        <w:rPr>
          <w:rFonts w:ascii="Arial" w:hAnsi="Arial" w:cs="Arial"/>
          <w:sz w:val="16"/>
        </w:rPr>
        <w:t>.</w:t>
      </w:r>
    </w:p>
    <w:p w:rsidR="00FC4BD2" w:rsidRPr="00C8504B" w:rsidRDefault="00FC4BD2" w:rsidP="00FC4BD2">
      <w:pPr>
        <w:pStyle w:val="Corpotesto"/>
        <w:spacing w:before="120" w:after="60" w:line="240" w:lineRule="auto"/>
        <w:jc w:val="both"/>
        <w:rPr>
          <w:rFonts w:ascii="Arial" w:hAnsi="Arial" w:cs="Arial"/>
          <w:iCs/>
          <w:sz w:val="21"/>
          <w:szCs w:val="21"/>
        </w:rPr>
        <w:sectPr w:rsidR="00FC4BD2" w:rsidRPr="00C8504B" w:rsidSect="000161B7">
          <w:headerReference w:type="default" r:id="rId34"/>
          <w:pgSz w:w="11907" w:h="16840" w:code="9"/>
          <w:pgMar w:top="1537" w:right="851" w:bottom="680" w:left="851" w:header="567" w:footer="567" w:gutter="0"/>
          <w:cols w:space="720"/>
          <w:noEndnote/>
          <w:docGrid w:linePitch="272"/>
        </w:sectPr>
      </w:pPr>
    </w:p>
    <w:p w:rsidR="00476786" w:rsidRDefault="00476786" w:rsidP="00014AF9">
      <w:pPr>
        <w:pStyle w:val="Corpotesto"/>
        <w:spacing w:after="120" w:line="240" w:lineRule="auto"/>
        <w:jc w:val="both"/>
        <w:rPr>
          <w:rFonts w:ascii="Arial" w:hAnsi="Arial" w:cs="Arial"/>
          <w:iCs/>
          <w:sz w:val="21"/>
          <w:szCs w:val="21"/>
        </w:rPr>
      </w:pPr>
    </w:p>
    <w:p w:rsidR="005D2A67" w:rsidRPr="00301136" w:rsidRDefault="005D2A67" w:rsidP="00014AF9">
      <w:pPr>
        <w:pStyle w:val="Corpotesto"/>
        <w:spacing w:after="120" w:line="240" w:lineRule="auto"/>
        <w:jc w:val="both"/>
        <w:rPr>
          <w:rFonts w:ascii="Arial" w:hAnsi="Arial" w:cs="Arial"/>
          <w:iCs/>
          <w:sz w:val="21"/>
          <w:szCs w:val="21"/>
        </w:rPr>
      </w:pPr>
      <w:r w:rsidRPr="00C8504B">
        <w:rPr>
          <w:rFonts w:ascii="Arial" w:hAnsi="Arial" w:cs="Arial"/>
          <w:iCs/>
          <w:sz w:val="21"/>
          <w:szCs w:val="21"/>
        </w:rPr>
        <w:t xml:space="preserve">Le stime preliminari e definitive delle variazioni congiunturali e tendenziali degli indici generali NIC e IPCA relative al mese di </w:t>
      </w:r>
      <w:r w:rsidR="00476786">
        <w:rPr>
          <w:rFonts w:ascii="Arial" w:hAnsi="Arial" w:cs="Arial"/>
          <w:iCs/>
          <w:sz w:val="21"/>
          <w:szCs w:val="21"/>
        </w:rPr>
        <w:t>otto</w:t>
      </w:r>
      <w:r w:rsidR="009B6ACA">
        <w:rPr>
          <w:rFonts w:ascii="Arial" w:hAnsi="Arial" w:cs="Arial"/>
          <w:iCs/>
          <w:sz w:val="21"/>
          <w:szCs w:val="21"/>
        </w:rPr>
        <w:t>bre</w:t>
      </w:r>
      <w:r w:rsidR="009A20F3" w:rsidRPr="009A20F3">
        <w:rPr>
          <w:rFonts w:ascii="Arial" w:hAnsi="Arial" w:cs="Arial"/>
          <w:iCs/>
          <w:sz w:val="21"/>
          <w:szCs w:val="21"/>
        </w:rPr>
        <w:t xml:space="preserve"> </w:t>
      </w:r>
      <w:r w:rsidR="00E24113">
        <w:rPr>
          <w:rFonts w:ascii="Arial" w:hAnsi="Arial" w:cs="Arial"/>
          <w:iCs/>
          <w:sz w:val="21"/>
          <w:szCs w:val="21"/>
        </w:rPr>
        <w:t>2022</w:t>
      </w:r>
      <w:r w:rsidRPr="00C8504B">
        <w:rPr>
          <w:rFonts w:ascii="Arial" w:hAnsi="Arial" w:cs="Arial"/>
          <w:iCs/>
          <w:sz w:val="21"/>
          <w:szCs w:val="21"/>
        </w:rPr>
        <w:t xml:space="preserve"> sono messe a confronto per valutare l’eventuale revisione intercorsa e</w:t>
      </w:r>
      <w:r w:rsidR="00A42B04">
        <w:rPr>
          <w:rFonts w:ascii="Arial" w:hAnsi="Arial" w:cs="Arial"/>
          <w:iCs/>
          <w:sz w:val="21"/>
          <w:szCs w:val="21"/>
        </w:rPr>
        <w:t>,</w:t>
      </w:r>
      <w:r w:rsidRPr="00C8504B">
        <w:rPr>
          <w:rFonts w:ascii="Arial" w:hAnsi="Arial" w:cs="Arial"/>
          <w:iCs/>
          <w:sz w:val="21"/>
          <w:szCs w:val="21"/>
        </w:rPr>
        <w:t xml:space="preserve"> quindi</w:t>
      </w:r>
      <w:r w:rsidR="00A42B04">
        <w:rPr>
          <w:rFonts w:ascii="Arial" w:hAnsi="Arial" w:cs="Arial"/>
          <w:iCs/>
          <w:sz w:val="21"/>
          <w:szCs w:val="21"/>
        </w:rPr>
        <w:t>,</w:t>
      </w:r>
      <w:r w:rsidRPr="00C8504B">
        <w:rPr>
          <w:rFonts w:ascii="Arial" w:hAnsi="Arial" w:cs="Arial"/>
          <w:iCs/>
          <w:sz w:val="21"/>
          <w:szCs w:val="21"/>
        </w:rPr>
        <w:t xml:space="preserve"> l’accuratezza della s</w:t>
      </w:r>
      <w:r w:rsidR="00B0446F" w:rsidRPr="00C8504B">
        <w:rPr>
          <w:rFonts w:ascii="Arial" w:hAnsi="Arial" w:cs="Arial"/>
          <w:iCs/>
          <w:sz w:val="21"/>
          <w:szCs w:val="21"/>
        </w:rPr>
        <w:t xml:space="preserve">tima </w:t>
      </w:r>
      <w:r w:rsidR="00B0446F" w:rsidRPr="00301136">
        <w:rPr>
          <w:rFonts w:ascii="Arial" w:hAnsi="Arial" w:cs="Arial"/>
          <w:iCs/>
          <w:sz w:val="21"/>
          <w:szCs w:val="21"/>
        </w:rPr>
        <w:t xml:space="preserve">preliminare (Prospetto </w:t>
      </w:r>
      <w:r w:rsidR="00476786">
        <w:rPr>
          <w:rFonts w:ascii="Arial" w:hAnsi="Arial" w:cs="Arial"/>
          <w:iCs/>
          <w:sz w:val="21"/>
          <w:szCs w:val="21"/>
        </w:rPr>
        <w:t>8</w:t>
      </w:r>
      <w:r w:rsidR="00B0446F" w:rsidRPr="00301136">
        <w:rPr>
          <w:rFonts w:ascii="Arial" w:hAnsi="Arial" w:cs="Arial"/>
          <w:iCs/>
          <w:sz w:val="21"/>
          <w:szCs w:val="21"/>
        </w:rPr>
        <w:t>).</w:t>
      </w:r>
    </w:p>
    <w:p w:rsidR="005D2A67" w:rsidRPr="00DA78A0" w:rsidRDefault="005D2A67" w:rsidP="00014AF9">
      <w:pPr>
        <w:pStyle w:val="Corpotesto"/>
        <w:spacing w:after="120" w:line="240" w:lineRule="auto"/>
        <w:jc w:val="both"/>
        <w:rPr>
          <w:rFonts w:ascii="Arial" w:hAnsi="Arial" w:cs="Arial"/>
          <w:iCs/>
          <w:sz w:val="21"/>
          <w:szCs w:val="21"/>
        </w:rPr>
      </w:pPr>
      <w:r w:rsidRPr="00301136">
        <w:rPr>
          <w:rFonts w:ascii="Arial" w:hAnsi="Arial" w:cs="Arial"/>
          <w:iCs/>
          <w:sz w:val="21"/>
          <w:szCs w:val="21"/>
        </w:rPr>
        <w:t>Per un’analisi più ampia dell’accuratezza e una descrizione della</w:t>
      </w:r>
      <w:r w:rsidRPr="00DA78A0">
        <w:rPr>
          <w:rFonts w:ascii="Arial" w:hAnsi="Arial" w:cs="Arial"/>
          <w:iCs/>
          <w:sz w:val="21"/>
          <w:szCs w:val="21"/>
        </w:rPr>
        <w:t xml:space="preserve"> metodologia della st</w:t>
      </w:r>
      <w:r w:rsidR="00A42B04" w:rsidRPr="00DA78A0">
        <w:rPr>
          <w:rFonts w:ascii="Arial" w:hAnsi="Arial" w:cs="Arial"/>
          <w:iCs/>
          <w:sz w:val="21"/>
          <w:szCs w:val="21"/>
        </w:rPr>
        <w:t>ima provvisoria dell’inflazione</w:t>
      </w:r>
      <w:r w:rsidRPr="00DA78A0">
        <w:rPr>
          <w:rFonts w:ascii="Arial" w:hAnsi="Arial" w:cs="Arial"/>
          <w:iCs/>
          <w:sz w:val="21"/>
          <w:szCs w:val="21"/>
        </w:rPr>
        <w:t xml:space="preserve"> si rimanda alla nota metodologica allegata al comunicato.</w:t>
      </w:r>
    </w:p>
    <w:p w:rsidR="00EA102B" w:rsidRPr="00DA78A0" w:rsidRDefault="00EA102B" w:rsidP="00D77C5C">
      <w:pPr>
        <w:pStyle w:val="Corpodeltesto2"/>
        <w:tabs>
          <w:tab w:val="left" w:pos="0"/>
          <w:tab w:val="left" w:pos="6300"/>
        </w:tabs>
        <w:spacing w:line="240" w:lineRule="auto"/>
        <w:jc w:val="both"/>
        <w:rPr>
          <w:rFonts w:ascii="Arial" w:hAnsi="Arial" w:cs="Arial"/>
          <w:iCs/>
          <w:kern w:val="28"/>
          <w:sz w:val="21"/>
          <w:szCs w:val="21"/>
        </w:rPr>
      </w:pPr>
    </w:p>
    <w:p w:rsidR="005D2A67" w:rsidRPr="00C8504B" w:rsidRDefault="005D2A67" w:rsidP="005D2A67">
      <w:pPr>
        <w:pStyle w:val="Corpotesto"/>
        <w:spacing w:after="120" w:line="240" w:lineRule="auto"/>
        <w:jc w:val="both"/>
        <w:rPr>
          <w:rFonts w:ascii="Arial Narrow" w:hAnsi="Arial Narrow" w:cs="Arial"/>
          <w:sz w:val="19"/>
          <w:szCs w:val="19"/>
        </w:rPr>
      </w:pPr>
      <w:r w:rsidRPr="00DA78A0">
        <w:rPr>
          <w:rFonts w:ascii="Arial Narrow" w:hAnsi="Arial Narrow" w:cs="Arial"/>
          <w:b/>
          <w:color w:val="E42618"/>
          <w:kern w:val="0"/>
          <w:sz w:val="22"/>
          <w:szCs w:val="22"/>
        </w:rPr>
        <w:t xml:space="preserve">PROSPETTO </w:t>
      </w:r>
      <w:r w:rsidR="00476786">
        <w:rPr>
          <w:rFonts w:ascii="Arial Narrow" w:hAnsi="Arial Narrow" w:cs="Arial"/>
          <w:b/>
          <w:color w:val="E42618"/>
          <w:kern w:val="0"/>
          <w:sz w:val="22"/>
          <w:szCs w:val="22"/>
        </w:rPr>
        <w:t>8</w:t>
      </w:r>
      <w:r w:rsidRPr="00DA78A0">
        <w:rPr>
          <w:rFonts w:ascii="Arial Narrow" w:hAnsi="Arial Narrow" w:cs="Arial"/>
          <w:b/>
          <w:color w:val="E42618"/>
          <w:kern w:val="0"/>
          <w:sz w:val="22"/>
          <w:szCs w:val="22"/>
        </w:rPr>
        <w:t>.</w:t>
      </w:r>
      <w:r w:rsidRPr="00DA78A0">
        <w:rPr>
          <w:rFonts w:ascii="Arial Narrow" w:hAnsi="Arial Narrow" w:cs="Arial"/>
          <w:b/>
          <w:color w:val="5F5F5F"/>
          <w:kern w:val="0"/>
          <w:sz w:val="22"/>
          <w:szCs w:val="22"/>
        </w:rPr>
        <w:t xml:space="preserve"> </w:t>
      </w:r>
      <w:r w:rsidRPr="00DA78A0">
        <w:rPr>
          <w:rFonts w:ascii="Arial Narrow" w:hAnsi="Arial Narrow" w:cs="Calibri"/>
          <w:b/>
          <w:bCs/>
          <w:color w:val="5F5F5F"/>
          <w:kern w:val="0"/>
          <w:sz w:val="22"/>
          <w:szCs w:val="22"/>
        </w:rPr>
        <w:t>REVISIONI DEGLI INDICI DEI PREZZI AL CONSUMO</w:t>
      </w:r>
      <w:r w:rsidRPr="00C8504B">
        <w:rPr>
          <w:rFonts w:ascii="Arial Narrow" w:hAnsi="Arial Narrow" w:cs="Arial"/>
          <w:b/>
          <w:color w:val="5F5F5F"/>
        </w:rPr>
        <w:t xml:space="preserve"> </w:t>
      </w:r>
      <w:r w:rsidRPr="00C8504B">
        <w:rPr>
          <w:rFonts w:ascii="Arial Narrow" w:hAnsi="Arial Narrow" w:cs="Arial"/>
          <w:b/>
          <w:color w:val="5F5F5F"/>
        </w:rPr>
        <w:br/>
      </w:r>
      <w:r w:rsidR="001E1AF5">
        <w:rPr>
          <w:rFonts w:ascii="Arial Narrow" w:hAnsi="Arial Narrow" w:cs="Arial"/>
          <w:color w:val="5F5F5F"/>
        </w:rPr>
        <w:t>Ottobre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indici e variazioni percentuali</w:t>
      </w:r>
      <w:r w:rsidR="00625F9C" w:rsidRPr="00C8504B">
        <w:rPr>
          <w:rFonts w:ascii="Arial Narrow" w:hAnsi="Arial Narrow" w:cs="Arial"/>
          <w:color w:val="5F5F5F"/>
        </w:rPr>
        <w:t xml:space="preserve"> congiunturali e tendenziali</w:t>
      </w:r>
      <w:r w:rsidRPr="00C8504B">
        <w:rPr>
          <w:rFonts w:ascii="Arial Narrow" w:hAnsi="Arial Narrow" w:cs="Arial"/>
          <w:color w:val="5F5F5F"/>
        </w:rPr>
        <w:t xml:space="preserve"> (base 2015=100)</w:t>
      </w:r>
    </w:p>
    <w:tbl>
      <w:tblPr>
        <w:tblW w:w="10206" w:type="dxa"/>
        <w:tblInd w:w="108" w:type="dxa"/>
        <w:tblLayout w:type="fixed"/>
        <w:tblLook w:val="04A0" w:firstRow="1" w:lastRow="0" w:firstColumn="1" w:lastColumn="0" w:noHBand="0" w:noVBand="1"/>
      </w:tblPr>
      <w:tblGrid>
        <w:gridCol w:w="3100"/>
        <w:gridCol w:w="1134"/>
        <w:gridCol w:w="1134"/>
        <w:gridCol w:w="71"/>
        <w:gridCol w:w="1205"/>
        <w:gridCol w:w="1153"/>
        <w:gridCol w:w="1290"/>
        <w:gridCol w:w="1119"/>
      </w:tblGrid>
      <w:tr w:rsidR="00E95076" w:rsidRPr="00C8504B" w:rsidTr="00E1200F">
        <w:trPr>
          <w:trHeight w:val="255"/>
        </w:trPr>
        <w:tc>
          <w:tcPr>
            <w:tcW w:w="3100" w:type="dxa"/>
            <w:vMerge w:val="restart"/>
            <w:tcBorders>
              <w:top w:val="single" w:sz="4" w:space="0" w:color="auto"/>
              <w:left w:val="nil"/>
              <w:right w:val="nil"/>
            </w:tcBorders>
            <w:shd w:val="clear" w:color="000000" w:fill="FFFFFF"/>
            <w:vAlign w:val="center"/>
            <w:hideMark/>
          </w:tcPr>
          <w:p w:rsidR="00E95076" w:rsidRPr="00C8504B" w:rsidRDefault="00E95076" w:rsidP="00E95076">
            <w:pPr>
              <w:widowControl/>
              <w:overflowPunct/>
              <w:autoSpaceDE/>
              <w:autoSpaceDN/>
              <w:adjustRightInd/>
              <w:spacing w:before="40" w:after="20"/>
              <w:rPr>
                <w:rFonts w:ascii="Arial Narrow" w:hAnsi="Arial Narrow"/>
                <w:color w:val="000000"/>
                <w:kern w:val="0"/>
                <w:sz w:val="18"/>
                <w:szCs w:val="18"/>
                <w:lang w:eastAsia="en-GB"/>
              </w:rPr>
            </w:pPr>
          </w:p>
        </w:tc>
        <w:tc>
          <w:tcPr>
            <w:tcW w:w="3544" w:type="dxa"/>
            <w:gridSpan w:val="4"/>
            <w:tcBorders>
              <w:top w:val="single" w:sz="4" w:space="0" w:color="auto"/>
              <w:left w:val="nil"/>
              <w:bottom w:val="single" w:sz="4" w:space="0" w:color="auto"/>
              <w:right w:val="nil"/>
            </w:tcBorders>
            <w:shd w:val="clear" w:color="auto" w:fill="D9D9D9"/>
            <w:vAlign w:val="center"/>
            <w:hideMark/>
          </w:tcPr>
          <w:p w:rsidR="00E95076" w:rsidRPr="00C8504B" w:rsidRDefault="00834B5B" w:rsidP="005D2A67">
            <w:pPr>
              <w:widowControl/>
              <w:overflowPunct/>
              <w:autoSpaceDE/>
              <w:autoSpaceDN/>
              <w:adjustRightInd/>
              <w:spacing w:before="40" w:after="20"/>
              <w:jc w:val="center"/>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DATI PROVVISORI</w:t>
            </w:r>
          </w:p>
        </w:tc>
        <w:tc>
          <w:tcPr>
            <w:tcW w:w="3562" w:type="dxa"/>
            <w:gridSpan w:val="3"/>
            <w:tcBorders>
              <w:top w:val="single" w:sz="4" w:space="0" w:color="auto"/>
              <w:left w:val="nil"/>
              <w:bottom w:val="single" w:sz="4" w:space="0" w:color="auto"/>
              <w:right w:val="nil"/>
            </w:tcBorders>
            <w:shd w:val="clear" w:color="000000" w:fill="FFFFFF"/>
            <w:noWrap/>
            <w:vAlign w:val="center"/>
            <w:hideMark/>
          </w:tcPr>
          <w:p w:rsidR="00E95076" w:rsidRPr="00C8504B" w:rsidRDefault="00834B5B" w:rsidP="005D2A67">
            <w:pPr>
              <w:widowControl/>
              <w:overflowPunct/>
              <w:autoSpaceDE/>
              <w:autoSpaceDN/>
              <w:adjustRightInd/>
              <w:spacing w:before="40" w:after="20"/>
              <w:jc w:val="center"/>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DATI DEFINITIVI</w:t>
            </w:r>
          </w:p>
        </w:tc>
      </w:tr>
      <w:tr w:rsidR="00834B5B" w:rsidRPr="00C8504B" w:rsidTr="004213C5">
        <w:trPr>
          <w:trHeight w:val="255"/>
        </w:trPr>
        <w:tc>
          <w:tcPr>
            <w:tcW w:w="3100" w:type="dxa"/>
            <w:vMerge/>
            <w:tcBorders>
              <w:left w:val="nil"/>
              <w:right w:val="nil"/>
            </w:tcBorders>
            <w:shd w:val="clear" w:color="000000" w:fill="FFFFFF"/>
            <w:vAlign w:val="center"/>
            <w:hideMark/>
          </w:tcPr>
          <w:p w:rsidR="00834B5B" w:rsidRPr="00C8504B" w:rsidRDefault="00834B5B" w:rsidP="005D2A67">
            <w:pPr>
              <w:spacing w:before="40" w:after="20"/>
              <w:rPr>
                <w:rFonts w:ascii="Arial Narrow" w:hAnsi="Arial Narrow"/>
                <w:color w:val="000000"/>
                <w:kern w:val="0"/>
                <w:sz w:val="18"/>
                <w:szCs w:val="18"/>
                <w:lang w:eastAsia="en-GB"/>
              </w:rPr>
            </w:pPr>
          </w:p>
        </w:tc>
        <w:tc>
          <w:tcPr>
            <w:tcW w:w="1134" w:type="dxa"/>
            <w:tcBorders>
              <w:top w:val="nil"/>
              <w:left w:val="nil"/>
              <w:bottom w:val="single" w:sz="4" w:space="0" w:color="auto"/>
              <w:right w:val="nil"/>
            </w:tcBorders>
            <w:shd w:val="clear" w:color="auto" w:fill="D9D9D9"/>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cs="Arial"/>
                <w:b/>
                <w:bCs/>
                <w:color w:val="000000"/>
                <w:kern w:val="0"/>
                <w:sz w:val="18"/>
                <w:szCs w:val="18"/>
                <w:lang w:eastAsia="en-GB"/>
              </w:rPr>
              <w:t>indici</w:t>
            </w:r>
          </w:p>
        </w:tc>
        <w:tc>
          <w:tcPr>
            <w:tcW w:w="1205" w:type="dxa"/>
            <w:gridSpan w:val="2"/>
            <w:tcBorders>
              <w:top w:val="nil"/>
              <w:left w:val="nil"/>
              <w:bottom w:val="single" w:sz="4" w:space="0" w:color="auto"/>
              <w:right w:val="nil"/>
            </w:tcBorders>
            <w:shd w:val="clear" w:color="auto" w:fill="FFFFFF"/>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congiunturali</w:t>
            </w:r>
          </w:p>
        </w:tc>
        <w:tc>
          <w:tcPr>
            <w:tcW w:w="1205" w:type="dxa"/>
            <w:tcBorders>
              <w:top w:val="nil"/>
              <w:left w:val="nil"/>
              <w:bottom w:val="single" w:sz="4" w:space="0" w:color="auto"/>
              <w:right w:val="nil"/>
            </w:tcBorders>
            <w:shd w:val="clear" w:color="auto" w:fill="D9D9D9"/>
            <w:vAlign w:val="center"/>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variazioni tendenziali</w:t>
            </w:r>
          </w:p>
        </w:tc>
        <w:tc>
          <w:tcPr>
            <w:tcW w:w="1153" w:type="dxa"/>
            <w:tcBorders>
              <w:top w:val="nil"/>
              <w:left w:val="nil"/>
              <w:bottom w:val="single" w:sz="4" w:space="0" w:color="auto"/>
              <w:right w:val="nil"/>
            </w:tcBorders>
            <w:shd w:val="clear" w:color="auto" w:fill="FFFFFF"/>
            <w:noWrap/>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lang w:eastAsia="en-GB"/>
              </w:rPr>
            </w:pPr>
            <w:r w:rsidRPr="00C8504B">
              <w:rPr>
                <w:rFonts w:ascii="Arial Narrow" w:hAnsi="Arial Narrow" w:cs="Arial"/>
                <w:b/>
                <w:bCs/>
                <w:color w:val="000000"/>
                <w:kern w:val="0"/>
                <w:sz w:val="18"/>
                <w:szCs w:val="18"/>
                <w:lang w:eastAsia="en-GB"/>
              </w:rPr>
              <w:t>indici</w:t>
            </w:r>
          </w:p>
        </w:tc>
        <w:tc>
          <w:tcPr>
            <w:tcW w:w="1290" w:type="dxa"/>
            <w:tcBorders>
              <w:top w:val="nil"/>
              <w:left w:val="nil"/>
              <w:bottom w:val="single" w:sz="4" w:space="0" w:color="auto"/>
              <w:right w:val="nil"/>
            </w:tcBorders>
            <w:shd w:val="clear" w:color="auto" w:fill="D9D9D9"/>
            <w:noWrap/>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congiunturali</w:t>
            </w:r>
          </w:p>
        </w:tc>
        <w:tc>
          <w:tcPr>
            <w:tcW w:w="1119" w:type="dxa"/>
            <w:tcBorders>
              <w:top w:val="nil"/>
              <w:left w:val="nil"/>
              <w:bottom w:val="single" w:sz="4" w:space="0" w:color="auto"/>
              <w:right w:val="nil"/>
            </w:tcBorders>
            <w:shd w:val="clear" w:color="auto" w:fill="FFFFFF"/>
            <w:vAlign w:val="center"/>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tendenziali</w:t>
            </w:r>
          </w:p>
        </w:tc>
      </w:tr>
      <w:tr w:rsidR="00932AA7" w:rsidRPr="00C8504B" w:rsidTr="000830DA">
        <w:trPr>
          <w:trHeight w:val="553"/>
        </w:trPr>
        <w:tc>
          <w:tcPr>
            <w:tcW w:w="3100" w:type="dxa"/>
            <w:vMerge/>
            <w:tcBorders>
              <w:left w:val="nil"/>
              <w:bottom w:val="single" w:sz="4" w:space="0" w:color="auto"/>
              <w:right w:val="nil"/>
            </w:tcBorders>
            <w:shd w:val="clear" w:color="000000" w:fill="FFFFFF"/>
            <w:vAlign w:val="center"/>
            <w:hideMark/>
          </w:tcPr>
          <w:p w:rsidR="00932AA7" w:rsidRPr="00C8504B" w:rsidRDefault="00932AA7" w:rsidP="00932AA7">
            <w:pPr>
              <w:spacing w:before="40" w:after="20"/>
              <w:rPr>
                <w:color w:val="000000"/>
                <w:kern w:val="0"/>
                <w:sz w:val="18"/>
                <w:szCs w:val="18"/>
                <w:lang w:eastAsia="en-GB"/>
              </w:rPr>
            </w:pPr>
          </w:p>
        </w:tc>
        <w:tc>
          <w:tcPr>
            <w:tcW w:w="1134" w:type="dxa"/>
            <w:tcBorders>
              <w:top w:val="nil"/>
              <w:left w:val="nil"/>
              <w:bottom w:val="single" w:sz="4" w:space="0" w:color="auto"/>
              <w:right w:val="nil"/>
            </w:tcBorders>
            <w:shd w:val="clear" w:color="auto" w:fill="auto"/>
            <w:vAlign w:val="center"/>
          </w:tcPr>
          <w:p w:rsidR="00932AA7" w:rsidRDefault="001E1AF5" w:rsidP="00932AA7">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ottobre</w:t>
            </w:r>
            <w:r w:rsidR="00932AA7" w:rsidRPr="009A20F3">
              <w:rPr>
                <w:rFonts w:ascii="Arial Narrow" w:hAnsi="Arial Narrow" w:cs="Arial"/>
                <w:bCs/>
                <w:sz w:val="18"/>
                <w:szCs w:val="18"/>
              </w:rPr>
              <w:t xml:space="preserve"> </w:t>
            </w:r>
          </w:p>
          <w:p w:rsidR="00932AA7" w:rsidRPr="00C8504B" w:rsidRDefault="00932AA7" w:rsidP="00932AA7">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2022</w:t>
            </w:r>
          </w:p>
        </w:tc>
        <w:tc>
          <w:tcPr>
            <w:tcW w:w="1134" w:type="dxa"/>
            <w:tcBorders>
              <w:top w:val="nil"/>
              <w:left w:val="nil"/>
              <w:bottom w:val="single" w:sz="4" w:space="0" w:color="auto"/>
              <w:right w:val="nil"/>
            </w:tcBorders>
            <w:shd w:val="clear" w:color="auto" w:fill="auto"/>
            <w:vAlign w:val="center"/>
          </w:tcPr>
          <w:p w:rsidR="00932AA7" w:rsidRDefault="001E1AF5" w:rsidP="00932AA7">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ott</w:t>
            </w:r>
            <w:r w:rsidR="00932AA7">
              <w:rPr>
                <w:rFonts w:ascii="Arial Narrow" w:hAnsi="Arial Narrow" w:cs="Arial"/>
                <w:kern w:val="0"/>
                <w:sz w:val="18"/>
                <w:szCs w:val="18"/>
                <w:u w:val="single"/>
              </w:rPr>
              <w:t>-22</w:t>
            </w:r>
          </w:p>
          <w:p w:rsidR="00932AA7" w:rsidRPr="00E03E58" w:rsidRDefault="001E1AF5" w:rsidP="001E1AF5">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set</w:t>
            </w:r>
            <w:r w:rsidR="00932AA7">
              <w:rPr>
                <w:rFonts w:ascii="Arial Narrow" w:hAnsi="Arial Narrow" w:cs="Arial"/>
                <w:kern w:val="0"/>
                <w:sz w:val="18"/>
                <w:szCs w:val="18"/>
              </w:rPr>
              <w:t>-22</w:t>
            </w:r>
          </w:p>
        </w:tc>
        <w:tc>
          <w:tcPr>
            <w:tcW w:w="1276" w:type="dxa"/>
            <w:gridSpan w:val="2"/>
            <w:tcBorders>
              <w:top w:val="nil"/>
              <w:left w:val="nil"/>
              <w:bottom w:val="single" w:sz="4" w:space="0" w:color="auto"/>
              <w:right w:val="nil"/>
            </w:tcBorders>
            <w:shd w:val="clear" w:color="auto" w:fill="auto"/>
            <w:vAlign w:val="center"/>
          </w:tcPr>
          <w:p w:rsidR="00932AA7" w:rsidRDefault="001E1AF5" w:rsidP="00932AA7">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ott</w:t>
            </w:r>
            <w:r w:rsidR="00932AA7">
              <w:rPr>
                <w:rFonts w:ascii="Arial Narrow" w:hAnsi="Arial Narrow" w:cs="Arial"/>
                <w:kern w:val="0"/>
                <w:sz w:val="18"/>
                <w:szCs w:val="18"/>
                <w:u w:val="single"/>
              </w:rPr>
              <w:t>-22</w:t>
            </w:r>
          </w:p>
          <w:p w:rsidR="00932AA7" w:rsidRPr="00EF00E1" w:rsidRDefault="001E1AF5" w:rsidP="00932AA7">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ott</w:t>
            </w:r>
            <w:r w:rsidR="00932AA7">
              <w:rPr>
                <w:rFonts w:ascii="Arial Narrow" w:hAnsi="Arial Narrow" w:cs="Arial"/>
                <w:kern w:val="0"/>
                <w:sz w:val="18"/>
                <w:szCs w:val="18"/>
              </w:rPr>
              <w:t>-21</w:t>
            </w:r>
          </w:p>
        </w:tc>
        <w:tc>
          <w:tcPr>
            <w:tcW w:w="1153" w:type="dxa"/>
            <w:tcBorders>
              <w:top w:val="nil"/>
              <w:left w:val="nil"/>
              <w:bottom w:val="single" w:sz="4" w:space="0" w:color="auto"/>
              <w:right w:val="nil"/>
            </w:tcBorders>
            <w:shd w:val="clear" w:color="auto" w:fill="auto"/>
            <w:noWrap/>
            <w:vAlign w:val="center"/>
            <w:hideMark/>
          </w:tcPr>
          <w:p w:rsidR="00932AA7" w:rsidRDefault="001E1AF5" w:rsidP="00932AA7">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ottobre</w:t>
            </w:r>
            <w:r w:rsidR="00932AA7" w:rsidRPr="009A20F3">
              <w:rPr>
                <w:rFonts w:ascii="Arial Narrow" w:hAnsi="Arial Narrow" w:cs="Arial"/>
                <w:bCs/>
                <w:sz w:val="18"/>
                <w:szCs w:val="18"/>
              </w:rPr>
              <w:t xml:space="preserve"> </w:t>
            </w:r>
          </w:p>
          <w:p w:rsidR="00932AA7" w:rsidRPr="00C8504B" w:rsidRDefault="00932AA7" w:rsidP="00932AA7">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2022</w:t>
            </w:r>
          </w:p>
        </w:tc>
        <w:tc>
          <w:tcPr>
            <w:tcW w:w="1290" w:type="dxa"/>
            <w:tcBorders>
              <w:top w:val="nil"/>
              <w:left w:val="nil"/>
              <w:bottom w:val="single" w:sz="4" w:space="0" w:color="auto"/>
              <w:right w:val="nil"/>
            </w:tcBorders>
            <w:shd w:val="clear" w:color="auto" w:fill="auto"/>
            <w:noWrap/>
            <w:vAlign w:val="center"/>
            <w:hideMark/>
          </w:tcPr>
          <w:p w:rsidR="00932AA7" w:rsidRDefault="001E1AF5" w:rsidP="00932AA7">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ott</w:t>
            </w:r>
            <w:r w:rsidR="00932AA7">
              <w:rPr>
                <w:rFonts w:ascii="Arial Narrow" w:hAnsi="Arial Narrow" w:cs="Arial"/>
                <w:kern w:val="0"/>
                <w:sz w:val="18"/>
                <w:szCs w:val="18"/>
                <w:u w:val="single"/>
              </w:rPr>
              <w:t>-22</w:t>
            </w:r>
          </w:p>
          <w:p w:rsidR="00932AA7" w:rsidRPr="00E03E58" w:rsidRDefault="001E1AF5" w:rsidP="001E1AF5">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set</w:t>
            </w:r>
            <w:r w:rsidR="00932AA7">
              <w:rPr>
                <w:rFonts w:ascii="Arial Narrow" w:hAnsi="Arial Narrow" w:cs="Arial"/>
                <w:kern w:val="0"/>
                <w:sz w:val="18"/>
                <w:szCs w:val="18"/>
              </w:rPr>
              <w:t>-22</w:t>
            </w:r>
          </w:p>
        </w:tc>
        <w:tc>
          <w:tcPr>
            <w:tcW w:w="1119" w:type="dxa"/>
            <w:tcBorders>
              <w:top w:val="nil"/>
              <w:left w:val="nil"/>
              <w:bottom w:val="single" w:sz="4" w:space="0" w:color="auto"/>
              <w:right w:val="nil"/>
            </w:tcBorders>
            <w:shd w:val="clear" w:color="auto" w:fill="auto"/>
            <w:noWrap/>
            <w:vAlign w:val="center"/>
            <w:hideMark/>
          </w:tcPr>
          <w:p w:rsidR="00932AA7" w:rsidRDefault="001E1AF5" w:rsidP="00932AA7">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ott</w:t>
            </w:r>
            <w:r w:rsidR="00932AA7">
              <w:rPr>
                <w:rFonts w:ascii="Arial Narrow" w:hAnsi="Arial Narrow" w:cs="Arial"/>
                <w:kern w:val="0"/>
                <w:sz w:val="18"/>
                <w:szCs w:val="18"/>
                <w:u w:val="single"/>
              </w:rPr>
              <w:t>-22</w:t>
            </w:r>
          </w:p>
          <w:p w:rsidR="00932AA7" w:rsidRPr="00EF00E1" w:rsidRDefault="001E1AF5" w:rsidP="00932AA7">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ott</w:t>
            </w:r>
            <w:r w:rsidR="00932AA7">
              <w:rPr>
                <w:rFonts w:ascii="Arial Narrow" w:hAnsi="Arial Narrow" w:cs="Arial"/>
                <w:kern w:val="0"/>
                <w:sz w:val="18"/>
                <w:szCs w:val="18"/>
              </w:rPr>
              <w:t>-21</w:t>
            </w:r>
          </w:p>
        </w:tc>
      </w:tr>
      <w:tr w:rsidR="00DD0DC5" w:rsidRPr="000830DA" w:rsidTr="002C552E">
        <w:trPr>
          <w:trHeight w:val="255"/>
        </w:trPr>
        <w:tc>
          <w:tcPr>
            <w:tcW w:w="3100" w:type="dxa"/>
            <w:tcBorders>
              <w:top w:val="single" w:sz="4" w:space="0" w:color="auto"/>
              <w:left w:val="nil"/>
              <w:bottom w:val="single" w:sz="4" w:space="0" w:color="auto"/>
              <w:right w:val="nil"/>
            </w:tcBorders>
            <w:shd w:val="clear" w:color="auto" w:fill="auto"/>
            <w:vAlign w:val="center"/>
            <w:hideMark/>
          </w:tcPr>
          <w:p w:rsidR="00DD0DC5" w:rsidRPr="000830DA" w:rsidRDefault="00DD0DC5" w:rsidP="00DD0DC5">
            <w:pPr>
              <w:widowControl/>
              <w:overflowPunct/>
              <w:autoSpaceDE/>
              <w:autoSpaceDN/>
              <w:adjustRightInd/>
              <w:spacing w:before="0" w:after="0"/>
              <w:rPr>
                <w:rFonts w:ascii="Arial Narrow" w:hAnsi="Arial Narrow"/>
                <w:color w:val="000000"/>
                <w:kern w:val="0"/>
                <w:sz w:val="18"/>
                <w:szCs w:val="18"/>
                <w:lang w:eastAsia="en-GB"/>
              </w:rPr>
            </w:pPr>
            <w:r w:rsidRPr="00C8504B">
              <w:rPr>
                <w:rFonts w:ascii="Arial Narrow" w:hAnsi="Arial Narrow"/>
                <w:color w:val="000000"/>
                <w:kern w:val="0"/>
                <w:sz w:val="18"/>
                <w:szCs w:val="18"/>
                <w:lang w:eastAsia="en-GB"/>
              </w:rPr>
              <w:t xml:space="preserve">Indice nazionale per l’intera collettività NIC </w:t>
            </w:r>
          </w:p>
        </w:tc>
        <w:tc>
          <w:tcPr>
            <w:tcW w:w="1134" w:type="dxa"/>
            <w:tcBorders>
              <w:top w:val="single" w:sz="4" w:space="0" w:color="auto"/>
              <w:left w:val="nil"/>
              <w:bottom w:val="single" w:sz="4" w:space="0" w:color="auto"/>
              <w:right w:val="nil"/>
            </w:tcBorders>
            <w:shd w:val="clear" w:color="000000" w:fill="D9D9D9"/>
            <w:noWrap/>
            <w:vAlign w:val="center"/>
          </w:tcPr>
          <w:p w:rsidR="00DD0DC5" w:rsidRPr="00245C6D" w:rsidRDefault="00DD0DC5" w:rsidP="00DD0DC5">
            <w:pPr>
              <w:spacing w:before="40" w:after="20"/>
              <w:jc w:val="right"/>
              <w:rPr>
                <w:rFonts w:ascii="Arial Narrow" w:hAnsi="Arial Narrow" w:cs="Arial"/>
                <w:bCs/>
                <w:sz w:val="18"/>
                <w:szCs w:val="18"/>
              </w:rPr>
            </w:pPr>
            <w:r w:rsidRPr="00245C6D">
              <w:rPr>
                <w:rFonts w:ascii="Arial Narrow" w:hAnsi="Arial Narrow" w:cs="Arial"/>
                <w:bCs/>
                <w:sz w:val="18"/>
                <w:szCs w:val="18"/>
              </w:rPr>
              <w:t>118,2</w:t>
            </w:r>
          </w:p>
        </w:tc>
        <w:tc>
          <w:tcPr>
            <w:tcW w:w="1134" w:type="dxa"/>
            <w:tcBorders>
              <w:top w:val="single" w:sz="4" w:space="0" w:color="auto"/>
              <w:left w:val="nil"/>
              <w:bottom w:val="single" w:sz="4" w:space="0" w:color="auto"/>
              <w:right w:val="nil"/>
            </w:tcBorders>
            <w:shd w:val="clear" w:color="000000" w:fill="FFFFFF"/>
            <w:noWrap/>
            <w:vAlign w:val="center"/>
          </w:tcPr>
          <w:p w:rsidR="00DD0DC5" w:rsidRPr="00245C6D" w:rsidRDefault="00DD0DC5" w:rsidP="00DD0DC5">
            <w:pPr>
              <w:spacing w:before="40" w:after="20"/>
              <w:jc w:val="right"/>
              <w:rPr>
                <w:rFonts w:ascii="Arial Narrow" w:hAnsi="Arial Narrow" w:cs="Arial"/>
                <w:bCs/>
                <w:sz w:val="18"/>
                <w:szCs w:val="18"/>
              </w:rPr>
            </w:pPr>
            <w:r w:rsidRPr="00245C6D">
              <w:rPr>
                <w:rFonts w:ascii="Arial Narrow" w:hAnsi="Arial Narrow" w:cs="Arial"/>
                <w:bCs/>
                <w:sz w:val="18"/>
                <w:szCs w:val="18"/>
              </w:rPr>
              <w:t>+3,5</w:t>
            </w:r>
          </w:p>
        </w:tc>
        <w:tc>
          <w:tcPr>
            <w:tcW w:w="1276" w:type="dxa"/>
            <w:gridSpan w:val="2"/>
            <w:tcBorders>
              <w:top w:val="single" w:sz="4" w:space="0" w:color="auto"/>
              <w:left w:val="nil"/>
              <w:bottom w:val="single" w:sz="4" w:space="0" w:color="auto"/>
              <w:right w:val="nil"/>
            </w:tcBorders>
            <w:shd w:val="clear" w:color="auto" w:fill="D9D9D9"/>
            <w:noWrap/>
            <w:vAlign w:val="center"/>
          </w:tcPr>
          <w:p w:rsidR="00DD0DC5" w:rsidRPr="00245C6D" w:rsidRDefault="00DD0DC5" w:rsidP="00DD0DC5">
            <w:pPr>
              <w:spacing w:before="40" w:after="20"/>
              <w:jc w:val="right"/>
              <w:rPr>
                <w:rFonts w:ascii="Arial Narrow" w:hAnsi="Arial Narrow" w:cs="Arial"/>
                <w:bCs/>
                <w:sz w:val="18"/>
                <w:szCs w:val="18"/>
              </w:rPr>
            </w:pPr>
            <w:r w:rsidRPr="00245C6D">
              <w:rPr>
                <w:rFonts w:ascii="Arial Narrow" w:hAnsi="Arial Narrow" w:cs="Arial"/>
                <w:bCs/>
                <w:sz w:val="18"/>
                <w:szCs w:val="18"/>
              </w:rPr>
              <w:t>+11,9</w:t>
            </w:r>
          </w:p>
        </w:tc>
        <w:tc>
          <w:tcPr>
            <w:tcW w:w="1153" w:type="dxa"/>
            <w:tcBorders>
              <w:top w:val="single" w:sz="4" w:space="0" w:color="auto"/>
              <w:left w:val="nil"/>
              <w:bottom w:val="single" w:sz="4" w:space="0" w:color="auto"/>
              <w:right w:val="nil"/>
            </w:tcBorders>
            <w:shd w:val="clear" w:color="auto" w:fill="FFFFFF"/>
            <w:noWrap/>
            <w:vAlign w:val="bottom"/>
          </w:tcPr>
          <w:p w:rsidR="00DD0DC5" w:rsidRPr="00DD0DC5" w:rsidRDefault="00DD0DC5" w:rsidP="00DD0DC5">
            <w:pPr>
              <w:spacing w:before="40" w:after="20"/>
              <w:jc w:val="right"/>
              <w:rPr>
                <w:rFonts w:ascii="Arial Narrow" w:hAnsi="Arial Narrow" w:cs="Arial"/>
                <w:bCs/>
                <w:sz w:val="18"/>
                <w:szCs w:val="18"/>
              </w:rPr>
            </w:pPr>
            <w:r w:rsidRPr="00DD0DC5">
              <w:rPr>
                <w:rFonts w:ascii="Arial Narrow" w:hAnsi="Arial Narrow" w:cs="Arial"/>
                <w:bCs/>
                <w:sz w:val="18"/>
                <w:szCs w:val="18"/>
              </w:rPr>
              <w:t>118,1</w:t>
            </w:r>
          </w:p>
        </w:tc>
        <w:tc>
          <w:tcPr>
            <w:tcW w:w="1290" w:type="dxa"/>
            <w:tcBorders>
              <w:top w:val="single" w:sz="4" w:space="0" w:color="auto"/>
              <w:left w:val="nil"/>
              <w:bottom w:val="single" w:sz="4" w:space="0" w:color="auto"/>
              <w:right w:val="nil"/>
            </w:tcBorders>
            <w:shd w:val="clear" w:color="auto" w:fill="D9D9D9"/>
            <w:noWrap/>
            <w:vAlign w:val="center"/>
          </w:tcPr>
          <w:p w:rsidR="00DD0DC5" w:rsidRPr="00DD0DC5" w:rsidRDefault="00DD0DC5" w:rsidP="00DD0DC5">
            <w:pPr>
              <w:spacing w:before="40" w:after="20"/>
              <w:jc w:val="right"/>
              <w:rPr>
                <w:rFonts w:ascii="Arial Narrow" w:hAnsi="Arial Narrow" w:cs="Arial"/>
                <w:bCs/>
                <w:sz w:val="18"/>
                <w:szCs w:val="18"/>
              </w:rPr>
            </w:pPr>
            <w:r w:rsidRPr="00DD0DC5">
              <w:rPr>
                <w:rFonts w:ascii="Arial Narrow" w:hAnsi="Arial Narrow" w:cs="Arial"/>
                <w:bCs/>
                <w:sz w:val="18"/>
                <w:szCs w:val="18"/>
              </w:rPr>
              <w:t>+3,4</w:t>
            </w:r>
          </w:p>
        </w:tc>
        <w:tc>
          <w:tcPr>
            <w:tcW w:w="1119" w:type="dxa"/>
            <w:tcBorders>
              <w:top w:val="single" w:sz="4" w:space="0" w:color="auto"/>
              <w:left w:val="nil"/>
              <w:bottom w:val="single" w:sz="4" w:space="0" w:color="auto"/>
              <w:right w:val="nil"/>
            </w:tcBorders>
            <w:shd w:val="clear" w:color="000000" w:fill="FFFFFF"/>
            <w:noWrap/>
            <w:vAlign w:val="center"/>
          </w:tcPr>
          <w:p w:rsidR="00DD0DC5" w:rsidRPr="00DD0DC5" w:rsidRDefault="00DD0DC5" w:rsidP="00DD0DC5">
            <w:pPr>
              <w:spacing w:before="40" w:after="20"/>
              <w:jc w:val="right"/>
              <w:rPr>
                <w:rFonts w:ascii="Arial Narrow" w:hAnsi="Arial Narrow" w:cs="Arial"/>
                <w:bCs/>
                <w:sz w:val="18"/>
                <w:szCs w:val="18"/>
              </w:rPr>
            </w:pPr>
            <w:r w:rsidRPr="00DD0DC5">
              <w:rPr>
                <w:rFonts w:ascii="Arial Narrow" w:hAnsi="Arial Narrow" w:cs="Arial"/>
                <w:bCs/>
                <w:sz w:val="18"/>
                <w:szCs w:val="18"/>
              </w:rPr>
              <w:t>+11,8</w:t>
            </w:r>
          </w:p>
        </w:tc>
      </w:tr>
      <w:tr w:rsidR="00DD0DC5" w:rsidRPr="000830DA" w:rsidTr="002C552E">
        <w:trPr>
          <w:trHeight w:val="255"/>
        </w:trPr>
        <w:tc>
          <w:tcPr>
            <w:tcW w:w="3100" w:type="dxa"/>
            <w:tcBorders>
              <w:top w:val="single" w:sz="4" w:space="0" w:color="auto"/>
              <w:left w:val="nil"/>
              <w:bottom w:val="single" w:sz="4" w:space="0" w:color="auto"/>
              <w:right w:val="nil"/>
            </w:tcBorders>
            <w:shd w:val="clear" w:color="000000" w:fill="FFFFFF"/>
            <w:vAlign w:val="center"/>
            <w:hideMark/>
          </w:tcPr>
          <w:p w:rsidR="00DD0DC5" w:rsidRPr="000830DA" w:rsidRDefault="00DD0DC5" w:rsidP="00DD0DC5">
            <w:pPr>
              <w:widowControl/>
              <w:overflowPunct/>
              <w:autoSpaceDE/>
              <w:autoSpaceDN/>
              <w:adjustRightInd/>
              <w:spacing w:before="0" w:after="0"/>
              <w:rPr>
                <w:rFonts w:ascii="Arial Narrow" w:hAnsi="Arial Narrow"/>
                <w:color w:val="000000"/>
                <w:kern w:val="0"/>
                <w:sz w:val="18"/>
                <w:szCs w:val="18"/>
                <w:lang w:eastAsia="en-GB"/>
              </w:rPr>
            </w:pPr>
            <w:r w:rsidRPr="00C8504B">
              <w:rPr>
                <w:rFonts w:ascii="Arial Narrow" w:hAnsi="Arial Narrow"/>
                <w:color w:val="000000"/>
                <w:kern w:val="0"/>
                <w:sz w:val="18"/>
                <w:szCs w:val="18"/>
                <w:lang w:eastAsia="en-GB"/>
              </w:rPr>
              <w:t xml:space="preserve">Indice armonizzato IPCA </w:t>
            </w:r>
          </w:p>
        </w:tc>
        <w:tc>
          <w:tcPr>
            <w:tcW w:w="1134" w:type="dxa"/>
            <w:tcBorders>
              <w:top w:val="single" w:sz="4" w:space="0" w:color="auto"/>
              <w:left w:val="nil"/>
              <w:bottom w:val="single" w:sz="4" w:space="0" w:color="auto"/>
              <w:right w:val="nil"/>
            </w:tcBorders>
            <w:shd w:val="clear" w:color="000000" w:fill="D9D9D9"/>
            <w:vAlign w:val="center"/>
          </w:tcPr>
          <w:p w:rsidR="00DD0DC5" w:rsidRPr="00245C6D" w:rsidRDefault="00DD0DC5" w:rsidP="00DD0DC5">
            <w:pPr>
              <w:spacing w:before="40" w:after="20"/>
              <w:jc w:val="right"/>
              <w:rPr>
                <w:rFonts w:ascii="Arial Narrow" w:hAnsi="Arial Narrow" w:cs="Arial"/>
                <w:bCs/>
                <w:sz w:val="18"/>
                <w:szCs w:val="18"/>
              </w:rPr>
            </w:pPr>
            <w:r w:rsidRPr="00245C6D">
              <w:rPr>
                <w:rFonts w:ascii="Arial Narrow" w:hAnsi="Arial Narrow" w:cs="Arial"/>
                <w:bCs/>
                <w:sz w:val="18"/>
                <w:szCs w:val="18"/>
              </w:rPr>
              <w:t>120,2</w:t>
            </w:r>
          </w:p>
        </w:tc>
        <w:tc>
          <w:tcPr>
            <w:tcW w:w="1134" w:type="dxa"/>
            <w:tcBorders>
              <w:top w:val="single" w:sz="4" w:space="0" w:color="auto"/>
              <w:left w:val="nil"/>
              <w:bottom w:val="single" w:sz="4" w:space="0" w:color="auto"/>
              <w:right w:val="nil"/>
            </w:tcBorders>
            <w:shd w:val="clear" w:color="000000" w:fill="FFFFFF"/>
            <w:vAlign w:val="center"/>
          </w:tcPr>
          <w:p w:rsidR="00DD0DC5" w:rsidRPr="00245C6D" w:rsidRDefault="00DD0DC5" w:rsidP="00DD0DC5">
            <w:pPr>
              <w:spacing w:before="40" w:after="20"/>
              <w:jc w:val="right"/>
              <w:rPr>
                <w:rFonts w:ascii="Arial Narrow" w:hAnsi="Arial Narrow" w:cs="Arial"/>
                <w:bCs/>
                <w:sz w:val="18"/>
                <w:szCs w:val="18"/>
              </w:rPr>
            </w:pPr>
            <w:r w:rsidRPr="00245C6D">
              <w:rPr>
                <w:rFonts w:ascii="Arial Narrow" w:hAnsi="Arial Narrow" w:cs="Arial"/>
                <w:bCs/>
                <w:sz w:val="18"/>
                <w:szCs w:val="18"/>
              </w:rPr>
              <w:t>+4,0</w:t>
            </w:r>
          </w:p>
        </w:tc>
        <w:tc>
          <w:tcPr>
            <w:tcW w:w="1276" w:type="dxa"/>
            <w:gridSpan w:val="2"/>
            <w:tcBorders>
              <w:top w:val="single" w:sz="4" w:space="0" w:color="auto"/>
              <w:left w:val="nil"/>
              <w:bottom w:val="single" w:sz="4" w:space="0" w:color="auto"/>
              <w:right w:val="nil"/>
            </w:tcBorders>
            <w:shd w:val="clear" w:color="auto" w:fill="D9D9D9"/>
            <w:vAlign w:val="center"/>
          </w:tcPr>
          <w:p w:rsidR="00DD0DC5" w:rsidRPr="00245C6D" w:rsidRDefault="00DD0DC5" w:rsidP="00DD0DC5">
            <w:pPr>
              <w:spacing w:before="40" w:after="20"/>
              <w:jc w:val="right"/>
              <w:rPr>
                <w:rFonts w:ascii="Arial Narrow" w:hAnsi="Arial Narrow" w:cs="Arial"/>
                <w:bCs/>
                <w:sz w:val="18"/>
                <w:szCs w:val="18"/>
              </w:rPr>
            </w:pPr>
            <w:r w:rsidRPr="00245C6D">
              <w:rPr>
                <w:rFonts w:ascii="Arial Narrow" w:hAnsi="Arial Narrow" w:cs="Arial"/>
                <w:bCs/>
                <w:sz w:val="18"/>
                <w:szCs w:val="18"/>
              </w:rPr>
              <w:t>+12,8</w:t>
            </w:r>
          </w:p>
        </w:tc>
        <w:tc>
          <w:tcPr>
            <w:tcW w:w="1153" w:type="dxa"/>
            <w:tcBorders>
              <w:top w:val="single" w:sz="4" w:space="0" w:color="auto"/>
              <w:left w:val="nil"/>
              <w:bottom w:val="single" w:sz="4" w:space="0" w:color="auto"/>
              <w:right w:val="nil"/>
            </w:tcBorders>
            <w:shd w:val="clear" w:color="auto" w:fill="FFFFFF"/>
            <w:noWrap/>
            <w:vAlign w:val="bottom"/>
          </w:tcPr>
          <w:p w:rsidR="00DD0DC5" w:rsidRPr="00DD0DC5" w:rsidRDefault="00DD0DC5" w:rsidP="00DD0DC5">
            <w:pPr>
              <w:spacing w:before="40" w:after="20"/>
              <w:jc w:val="right"/>
              <w:rPr>
                <w:rFonts w:ascii="Arial Narrow" w:hAnsi="Arial Narrow" w:cs="Arial"/>
                <w:bCs/>
                <w:sz w:val="18"/>
                <w:szCs w:val="18"/>
              </w:rPr>
            </w:pPr>
            <w:r w:rsidRPr="00DD0DC5">
              <w:rPr>
                <w:rFonts w:ascii="Arial Narrow" w:hAnsi="Arial Narrow" w:cs="Arial"/>
                <w:bCs/>
                <w:sz w:val="18"/>
                <w:szCs w:val="18"/>
              </w:rPr>
              <w:t>120,0</w:t>
            </w:r>
          </w:p>
        </w:tc>
        <w:tc>
          <w:tcPr>
            <w:tcW w:w="1290" w:type="dxa"/>
            <w:tcBorders>
              <w:top w:val="single" w:sz="4" w:space="0" w:color="auto"/>
              <w:left w:val="nil"/>
              <w:bottom w:val="single" w:sz="4" w:space="0" w:color="auto"/>
              <w:right w:val="nil"/>
            </w:tcBorders>
            <w:shd w:val="clear" w:color="auto" w:fill="D9D9D9"/>
            <w:noWrap/>
            <w:vAlign w:val="center"/>
          </w:tcPr>
          <w:p w:rsidR="00DD0DC5" w:rsidRPr="00DD0DC5" w:rsidRDefault="00DD0DC5" w:rsidP="00DD0DC5">
            <w:pPr>
              <w:spacing w:before="40" w:after="20"/>
              <w:jc w:val="right"/>
              <w:rPr>
                <w:rFonts w:ascii="Arial Narrow" w:hAnsi="Arial Narrow" w:cs="Arial"/>
                <w:bCs/>
                <w:sz w:val="18"/>
                <w:szCs w:val="18"/>
              </w:rPr>
            </w:pPr>
            <w:r w:rsidRPr="00DD0DC5">
              <w:rPr>
                <w:rFonts w:ascii="Arial Narrow" w:hAnsi="Arial Narrow" w:cs="Arial"/>
                <w:bCs/>
                <w:sz w:val="18"/>
                <w:szCs w:val="18"/>
              </w:rPr>
              <w:t>+3,8</w:t>
            </w:r>
          </w:p>
        </w:tc>
        <w:tc>
          <w:tcPr>
            <w:tcW w:w="1119" w:type="dxa"/>
            <w:tcBorders>
              <w:top w:val="single" w:sz="4" w:space="0" w:color="auto"/>
              <w:left w:val="nil"/>
              <w:bottom w:val="single" w:sz="4" w:space="0" w:color="auto"/>
              <w:right w:val="nil"/>
            </w:tcBorders>
            <w:shd w:val="clear" w:color="000000" w:fill="FFFFFF"/>
            <w:noWrap/>
            <w:vAlign w:val="center"/>
          </w:tcPr>
          <w:p w:rsidR="00DD0DC5" w:rsidRPr="00DD0DC5" w:rsidRDefault="00DD0DC5" w:rsidP="00DD0DC5">
            <w:pPr>
              <w:spacing w:before="40" w:after="20"/>
              <w:jc w:val="right"/>
              <w:rPr>
                <w:rFonts w:ascii="Arial Narrow" w:hAnsi="Arial Narrow" w:cs="Arial"/>
                <w:bCs/>
                <w:sz w:val="18"/>
                <w:szCs w:val="18"/>
              </w:rPr>
            </w:pPr>
            <w:r w:rsidRPr="00DD0DC5">
              <w:rPr>
                <w:rFonts w:ascii="Arial Narrow" w:hAnsi="Arial Narrow" w:cs="Arial"/>
                <w:bCs/>
                <w:sz w:val="18"/>
                <w:szCs w:val="18"/>
              </w:rPr>
              <w:t>+12,6</w:t>
            </w:r>
          </w:p>
        </w:tc>
      </w:tr>
    </w:tbl>
    <w:p w:rsidR="00EA102B" w:rsidRPr="000830DA" w:rsidRDefault="00EA102B" w:rsidP="000830DA">
      <w:pPr>
        <w:widowControl/>
        <w:overflowPunct/>
        <w:autoSpaceDE/>
        <w:autoSpaceDN/>
        <w:adjustRightInd/>
        <w:spacing w:before="0" w:after="0"/>
        <w:jc w:val="right"/>
        <w:rPr>
          <w:rFonts w:ascii="Arial Narrow" w:hAnsi="Arial Narrow"/>
          <w:color w:val="000000"/>
          <w:kern w:val="0"/>
          <w:sz w:val="18"/>
          <w:szCs w:val="18"/>
          <w:lang w:eastAsia="en-GB"/>
        </w:rPr>
      </w:pPr>
    </w:p>
    <w:p w:rsidR="00187F03" w:rsidRDefault="00187F03" w:rsidP="00D77C5C">
      <w:pPr>
        <w:pStyle w:val="Corpodeltesto2"/>
        <w:tabs>
          <w:tab w:val="left" w:pos="0"/>
          <w:tab w:val="left" w:pos="6300"/>
        </w:tabs>
        <w:spacing w:line="240" w:lineRule="auto"/>
        <w:jc w:val="both"/>
        <w:rPr>
          <w:rFonts w:ascii="Arial" w:hAnsi="Arial" w:cs="Arial"/>
          <w:iCs/>
          <w:kern w:val="28"/>
          <w:sz w:val="21"/>
          <w:szCs w:val="21"/>
        </w:rPr>
      </w:pPr>
    </w:p>
    <w:p w:rsidR="007C11B8" w:rsidRDefault="007C11B8" w:rsidP="00D77C5C">
      <w:pPr>
        <w:pStyle w:val="Corpodeltesto2"/>
        <w:tabs>
          <w:tab w:val="left" w:pos="0"/>
          <w:tab w:val="left" w:pos="6300"/>
        </w:tabs>
        <w:spacing w:line="240" w:lineRule="auto"/>
        <w:jc w:val="both"/>
        <w:rPr>
          <w:rFonts w:ascii="Arial" w:hAnsi="Arial" w:cs="Arial"/>
          <w:iCs/>
          <w:kern w:val="28"/>
          <w:sz w:val="21"/>
          <w:szCs w:val="21"/>
        </w:rPr>
      </w:pPr>
    </w:p>
    <w:p w:rsidR="007C11B8" w:rsidRDefault="007C11B8" w:rsidP="00D77C5C">
      <w:pPr>
        <w:pStyle w:val="Corpodeltesto2"/>
        <w:tabs>
          <w:tab w:val="left" w:pos="0"/>
          <w:tab w:val="left" w:pos="6300"/>
        </w:tabs>
        <w:spacing w:line="240" w:lineRule="auto"/>
        <w:jc w:val="both"/>
        <w:rPr>
          <w:rFonts w:ascii="Arial" w:hAnsi="Arial" w:cs="Arial"/>
          <w:iCs/>
          <w:kern w:val="28"/>
          <w:sz w:val="21"/>
          <w:szCs w:val="21"/>
        </w:rPr>
      </w:pPr>
    </w:p>
    <w:p w:rsidR="007C11B8" w:rsidRPr="00C8504B" w:rsidRDefault="007C11B8" w:rsidP="00D77C5C">
      <w:pPr>
        <w:pStyle w:val="Corpodeltesto2"/>
        <w:tabs>
          <w:tab w:val="left" w:pos="0"/>
          <w:tab w:val="left" w:pos="6300"/>
        </w:tabs>
        <w:spacing w:line="240" w:lineRule="auto"/>
        <w:jc w:val="both"/>
        <w:rPr>
          <w:rFonts w:ascii="Arial" w:hAnsi="Arial" w:cs="Arial"/>
          <w:iCs/>
          <w:kern w:val="28"/>
          <w:sz w:val="21"/>
          <w:szCs w:val="21"/>
        </w:rPr>
        <w:sectPr w:rsidR="007C11B8" w:rsidRPr="00C8504B" w:rsidSect="000161B7">
          <w:headerReference w:type="default" r:id="rId35"/>
          <w:pgSz w:w="11907" w:h="16840" w:code="9"/>
          <w:pgMar w:top="1537" w:right="851" w:bottom="680" w:left="851" w:header="567" w:footer="567" w:gutter="0"/>
          <w:cols w:space="720"/>
          <w:noEndnote/>
          <w:docGrid w:linePitch="272"/>
        </w:sectPr>
      </w:pPr>
    </w:p>
    <w:p w:rsidR="007D5F5F" w:rsidRDefault="007D5F5F" w:rsidP="007D5F5F">
      <w:pPr>
        <w:spacing w:before="0" w:after="120"/>
        <w:jc w:val="both"/>
        <w:rPr>
          <w:rFonts w:ascii="Arial" w:hAnsi="Arial" w:cs="Arial"/>
          <w:b/>
          <w:bCs/>
        </w:rPr>
      </w:pPr>
    </w:p>
    <w:p w:rsidR="005B7BD6" w:rsidRDefault="005B7BD6" w:rsidP="005B7BD6">
      <w:pPr>
        <w:spacing w:before="0" w:after="120"/>
        <w:jc w:val="both"/>
        <w:rPr>
          <w:rFonts w:ascii="Arial" w:hAnsi="Arial" w:cs="Arial"/>
          <w:b/>
          <w:bCs/>
        </w:rPr>
      </w:pPr>
      <w:r w:rsidRPr="000F531B">
        <w:rPr>
          <w:rFonts w:ascii="Arial" w:hAnsi="Arial" w:cs="Arial"/>
          <w:b/>
          <w:bCs/>
        </w:rPr>
        <w:t>Altri beni</w:t>
      </w:r>
      <w:r w:rsidRPr="000F531B">
        <w:rPr>
          <w:rFonts w:ascii="Arial" w:hAnsi="Arial" w:cs="Arial"/>
          <w:bCs/>
        </w:rPr>
        <w:t>:</w:t>
      </w:r>
      <w:r w:rsidRPr="000F531B">
        <w:rPr>
          <w:rFonts w:ascii="Arial" w:hAnsi="Arial" w:cs="Arial"/>
          <w:b/>
          <w:bCs/>
        </w:rPr>
        <w:t xml:space="preserve"> </w:t>
      </w:r>
      <w:r w:rsidRPr="000F531B">
        <w:rPr>
          <w:rFonts w:ascii="Arial" w:hAnsi="Arial" w:cs="Arial"/>
          <w:bCs/>
        </w:rPr>
        <w:t>comprendono i beni di consumo</w:t>
      </w:r>
    </w:p>
    <w:p w:rsidR="005B7BD6" w:rsidRPr="0052659F" w:rsidRDefault="005B7BD6" w:rsidP="005B7BD6">
      <w:pPr>
        <w:spacing w:before="0" w:after="120"/>
        <w:jc w:val="both"/>
        <w:rPr>
          <w:rFonts w:ascii="Arial" w:hAnsi="Arial" w:cs="Arial"/>
          <w:b/>
          <w:bCs/>
        </w:rPr>
      </w:pPr>
      <w:r w:rsidRPr="0052659F">
        <w:rPr>
          <w:rFonts w:ascii="Arial" w:hAnsi="Arial" w:cs="Arial"/>
          <w:b/>
          <w:bCs/>
        </w:rPr>
        <w:t>Altri beni</w:t>
      </w:r>
      <w:r w:rsidRPr="0052659F">
        <w:rPr>
          <w:rFonts w:ascii="Arial" w:hAnsi="Arial" w:cs="Arial"/>
          <w:bCs/>
        </w:rPr>
        <w:t>:</w:t>
      </w:r>
      <w:r w:rsidRPr="0052659F">
        <w:rPr>
          <w:rFonts w:ascii="Arial" w:hAnsi="Arial" w:cs="Arial"/>
          <w:b/>
          <w:bCs/>
        </w:rPr>
        <w:t xml:space="preserve"> </w:t>
      </w:r>
      <w:r w:rsidRPr="0052659F">
        <w:rPr>
          <w:rFonts w:ascii="Arial" w:hAnsi="Arial" w:cs="Arial"/>
          <w:bCs/>
        </w:rPr>
        <w:t>comprendono i beni di consumo ad esclusione dei beni alimentari, dei beni energetici e dei tabacchi.</w:t>
      </w:r>
    </w:p>
    <w:p w:rsidR="005B7BD6" w:rsidRPr="0052659F" w:rsidRDefault="005B7BD6" w:rsidP="005B7BD6">
      <w:pPr>
        <w:spacing w:before="0" w:after="120"/>
        <w:jc w:val="both"/>
        <w:rPr>
          <w:rFonts w:ascii="Arial" w:hAnsi="Arial" w:cs="Arial"/>
          <w:bCs/>
        </w:rPr>
      </w:pPr>
      <w:r w:rsidRPr="0052659F">
        <w:rPr>
          <w:rFonts w:ascii="Arial" w:hAnsi="Arial" w:cs="Arial"/>
          <w:b/>
          <w:bCs/>
        </w:rPr>
        <w:t>Altri beni regolamentati</w:t>
      </w:r>
      <w:r w:rsidRPr="0052659F">
        <w:rPr>
          <w:rFonts w:ascii="Arial" w:hAnsi="Arial" w:cs="Arial"/>
          <w:bCs/>
        </w:rPr>
        <w:t>: comprendono l’acqua potabile e i medicinali.</w:t>
      </w:r>
    </w:p>
    <w:p w:rsidR="005B7BD6" w:rsidRPr="000F531B" w:rsidRDefault="005B7BD6" w:rsidP="005B7BD6">
      <w:pPr>
        <w:spacing w:before="0" w:after="120"/>
        <w:jc w:val="both"/>
        <w:rPr>
          <w:rFonts w:ascii="Arial" w:hAnsi="Arial" w:cs="Arial"/>
          <w:bCs/>
        </w:rPr>
      </w:pPr>
      <w:r w:rsidRPr="0052659F">
        <w:rPr>
          <w:rFonts w:ascii="Arial" w:hAnsi="Arial" w:cs="Arial"/>
          <w:b/>
          <w:bCs/>
        </w:rPr>
        <w:t>Beni alimentari</w:t>
      </w:r>
      <w:r w:rsidRPr="0052659F">
        <w:rPr>
          <w:rFonts w:ascii="Arial" w:hAnsi="Arial" w:cs="Arial"/>
          <w:bCs/>
        </w:rPr>
        <w:t>: comprendono oltre ai generi alimentari (come, ad esempio, il pane, la carne, i formaggi), le bevande</w:t>
      </w:r>
      <w:r w:rsidRPr="000F531B">
        <w:rPr>
          <w:rFonts w:ascii="Arial" w:hAnsi="Arial" w:cs="Arial"/>
          <w:bCs/>
        </w:rPr>
        <w:t xml:space="preserve"> analcoliche e quelle alcoliche.</w:t>
      </w:r>
    </w:p>
    <w:p w:rsidR="005B7BD6" w:rsidRPr="000F531B" w:rsidRDefault="005B7BD6" w:rsidP="005B7BD6">
      <w:pPr>
        <w:spacing w:before="0" w:after="120"/>
        <w:jc w:val="both"/>
        <w:rPr>
          <w:rFonts w:ascii="Arial" w:hAnsi="Arial" w:cs="Arial"/>
          <w:bCs/>
        </w:rPr>
      </w:pPr>
      <w:r w:rsidRPr="000F531B">
        <w:rPr>
          <w:rFonts w:ascii="Arial" w:hAnsi="Arial" w:cs="Arial"/>
          <w:bCs/>
        </w:rPr>
        <w:t xml:space="preserve">Si definiscono </w:t>
      </w:r>
      <w:r w:rsidRPr="000F531B">
        <w:rPr>
          <w:rFonts w:ascii="Arial" w:hAnsi="Arial" w:cs="Arial"/>
          <w:bCs/>
          <w:i/>
        </w:rPr>
        <w:t>lavorati</w:t>
      </w:r>
      <w:r w:rsidRPr="000F531B">
        <w:rPr>
          <w:rFonts w:ascii="Arial" w:hAnsi="Arial" w:cs="Arial"/>
          <w:bCs/>
        </w:rPr>
        <w:t xml:space="preserve"> i beni alimentari destinati al consumo finale che sono il risultato di un processo di trasformazione industriale (come</w:t>
      </w:r>
      <w:r>
        <w:rPr>
          <w:rFonts w:ascii="Arial" w:hAnsi="Arial" w:cs="Arial"/>
          <w:bCs/>
        </w:rPr>
        <w:t>,</w:t>
      </w:r>
      <w:r w:rsidRPr="000F531B">
        <w:rPr>
          <w:rFonts w:ascii="Arial" w:hAnsi="Arial" w:cs="Arial"/>
          <w:bCs/>
        </w:rPr>
        <w:t xml:space="preserve"> ad esempio</w:t>
      </w:r>
      <w:r>
        <w:rPr>
          <w:rFonts w:ascii="Arial" w:hAnsi="Arial" w:cs="Arial"/>
          <w:bCs/>
        </w:rPr>
        <w:t>,</w:t>
      </w:r>
      <w:r w:rsidRPr="000F531B">
        <w:rPr>
          <w:rFonts w:ascii="Arial" w:hAnsi="Arial" w:cs="Arial"/>
          <w:bCs/>
        </w:rPr>
        <w:t xml:space="preserve"> i succhi di frutta, gli insaccati, i prodotti surgelati). Si dicono </w:t>
      </w:r>
      <w:r w:rsidRPr="000F531B">
        <w:rPr>
          <w:rFonts w:ascii="Arial" w:hAnsi="Arial" w:cs="Arial"/>
          <w:bCs/>
          <w:i/>
        </w:rPr>
        <w:t>non lavorati</w:t>
      </w:r>
      <w:r w:rsidRPr="000F531B">
        <w:rPr>
          <w:rFonts w:ascii="Arial" w:hAnsi="Arial" w:cs="Arial"/>
          <w:bCs/>
        </w:rPr>
        <w:t xml:space="preserve"> i beni alimentari non trasformati (come la carne fresca, il pesce fresco, la frutta e la verdura fresca).</w:t>
      </w:r>
    </w:p>
    <w:p w:rsidR="005B7BD6" w:rsidRPr="000F531B" w:rsidRDefault="005B7BD6" w:rsidP="005B7BD6">
      <w:pPr>
        <w:spacing w:before="0" w:after="120"/>
        <w:jc w:val="both"/>
        <w:rPr>
          <w:rFonts w:ascii="Arial" w:hAnsi="Arial" w:cs="Arial"/>
          <w:bCs/>
        </w:rPr>
      </w:pPr>
      <w:r w:rsidRPr="000F531B">
        <w:rPr>
          <w:rFonts w:ascii="Arial" w:hAnsi="Arial" w:cs="Arial"/>
          <w:b/>
          <w:bCs/>
        </w:rPr>
        <w:t>Beni alimentari, per la cura della casa e della persona</w:t>
      </w:r>
      <w:r w:rsidR="00FC185A">
        <w:rPr>
          <w:rFonts w:ascii="Arial" w:hAnsi="Arial" w:cs="Arial"/>
          <w:b/>
          <w:bCs/>
        </w:rPr>
        <w:t xml:space="preserve"> (</w:t>
      </w:r>
      <w:r w:rsidR="00FC185A" w:rsidRPr="00FC185A">
        <w:rPr>
          <w:rFonts w:ascii="Arial" w:hAnsi="Arial" w:cs="Arial"/>
          <w:b/>
          <w:bCs/>
        </w:rPr>
        <w:t>cos</w:t>
      </w:r>
      <w:r w:rsidR="00FC185A">
        <w:rPr>
          <w:rFonts w:ascii="Arial" w:hAnsi="Arial" w:cs="Arial"/>
          <w:b/>
          <w:bCs/>
        </w:rPr>
        <w:t>i</w:t>
      </w:r>
      <w:r w:rsidR="00FC185A" w:rsidRPr="00FC185A">
        <w:rPr>
          <w:rFonts w:ascii="Arial" w:hAnsi="Arial" w:cs="Arial"/>
          <w:b/>
          <w:bCs/>
        </w:rPr>
        <w:t>ddetto "carrello della spesa"</w:t>
      </w:r>
      <w:r w:rsidR="00FC185A">
        <w:rPr>
          <w:rFonts w:ascii="Arial" w:hAnsi="Arial" w:cs="Arial"/>
          <w:b/>
          <w:bCs/>
        </w:rPr>
        <w:t>)</w:t>
      </w:r>
      <w:r w:rsidRPr="000F531B">
        <w:rPr>
          <w:rFonts w:ascii="Arial" w:hAnsi="Arial" w:cs="Arial"/>
          <w:bCs/>
        </w:rPr>
        <w:t>: includono, oltre ai beni alimentari, i beni per la pulizia e la manutenzione ordinaria della casa e i beni per l’igiene personale e pr</w:t>
      </w:r>
      <w:r>
        <w:rPr>
          <w:rFonts w:ascii="Arial" w:hAnsi="Arial" w:cs="Arial"/>
          <w:bCs/>
        </w:rPr>
        <w:t>odotti di bellezza.</w:t>
      </w:r>
    </w:p>
    <w:p w:rsidR="005B7BD6" w:rsidRPr="000F531B" w:rsidRDefault="005B7BD6" w:rsidP="005B7BD6">
      <w:pPr>
        <w:spacing w:before="0" w:after="120"/>
        <w:jc w:val="both"/>
        <w:rPr>
          <w:rFonts w:ascii="Arial" w:hAnsi="Arial" w:cs="Arial"/>
          <w:b/>
          <w:bCs/>
        </w:rPr>
      </w:pPr>
      <w:r w:rsidRPr="000F531B">
        <w:rPr>
          <w:rFonts w:ascii="Arial" w:hAnsi="Arial" w:cs="Arial"/>
          <w:b/>
          <w:bCs/>
        </w:rPr>
        <w:t>Beni durevoli</w:t>
      </w:r>
      <w:r w:rsidRPr="000F531B">
        <w:rPr>
          <w:rFonts w:ascii="Arial" w:hAnsi="Arial" w:cs="Arial"/>
          <w:bCs/>
        </w:rPr>
        <w:t>: includono le autovetture, gli articoli di arredamento, gli elettrodomestici.</w:t>
      </w:r>
    </w:p>
    <w:p w:rsidR="005B7BD6" w:rsidRPr="000F531B" w:rsidRDefault="005B7BD6" w:rsidP="005B7BD6">
      <w:pPr>
        <w:spacing w:before="0" w:after="120"/>
        <w:jc w:val="both"/>
        <w:rPr>
          <w:rFonts w:ascii="Arial" w:hAnsi="Arial" w:cs="Arial"/>
          <w:b/>
          <w:bCs/>
        </w:rPr>
      </w:pPr>
      <w:r w:rsidRPr="000F531B">
        <w:rPr>
          <w:rFonts w:ascii="Arial" w:hAnsi="Arial" w:cs="Arial"/>
          <w:b/>
          <w:bCs/>
        </w:rPr>
        <w:t>Beni non durevoli</w:t>
      </w:r>
      <w:r w:rsidRPr="000F531B">
        <w:rPr>
          <w:rFonts w:ascii="Arial" w:hAnsi="Arial" w:cs="Arial"/>
          <w:bCs/>
        </w:rPr>
        <w:t>: comprendono i detergenti per la pulizia della casa, i prodotti per la cura della persona, i medicinali.</w:t>
      </w:r>
    </w:p>
    <w:p w:rsidR="005B7BD6" w:rsidRPr="000F531B" w:rsidRDefault="005B7BD6" w:rsidP="005B7BD6">
      <w:pPr>
        <w:spacing w:before="0" w:after="120"/>
        <w:jc w:val="both"/>
        <w:rPr>
          <w:rFonts w:ascii="Arial" w:hAnsi="Arial" w:cs="Arial"/>
          <w:b/>
          <w:bCs/>
        </w:rPr>
      </w:pPr>
      <w:r w:rsidRPr="000F531B">
        <w:rPr>
          <w:rFonts w:ascii="Arial" w:hAnsi="Arial" w:cs="Arial"/>
          <w:b/>
          <w:bCs/>
        </w:rPr>
        <w:t>Beni semidurevoli</w:t>
      </w:r>
      <w:r w:rsidRPr="000F531B">
        <w:rPr>
          <w:rFonts w:ascii="Arial" w:hAnsi="Arial" w:cs="Arial"/>
          <w:bCs/>
        </w:rPr>
        <w:t>: comprendono i capi di abbigliamento, le calzature, i libri.</w:t>
      </w:r>
      <w:r w:rsidRPr="000F531B">
        <w:rPr>
          <w:rFonts w:ascii="Arial" w:hAnsi="Arial" w:cs="Arial"/>
          <w:b/>
          <w:bCs/>
        </w:rPr>
        <w:t xml:space="preserve"> </w:t>
      </w:r>
    </w:p>
    <w:p w:rsidR="005B7BD6" w:rsidRPr="000F531B" w:rsidRDefault="005B7BD6" w:rsidP="005B7BD6">
      <w:pPr>
        <w:spacing w:before="0" w:after="120"/>
        <w:jc w:val="both"/>
        <w:rPr>
          <w:rFonts w:ascii="Arial" w:hAnsi="Arial" w:cs="Arial"/>
          <w:bCs/>
        </w:rPr>
      </w:pPr>
      <w:r w:rsidRPr="000F531B">
        <w:rPr>
          <w:rFonts w:ascii="Arial" w:hAnsi="Arial" w:cs="Arial"/>
          <w:b/>
          <w:bCs/>
        </w:rPr>
        <w:t>Beni energetici regolamentati</w:t>
      </w:r>
      <w:r w:rsidRPr="000F531B">
        <w:rPr>
          <w:rFonts w:ascii="Arial" w:hAnsi="Arial" w:cs="Arial"/>
          <w:bCs/>
        </w:rPr>
        <w:t xml:space="preserve">: includono le tariffe per l’energia elettrica </w:t>
      </w:r>
      <w:r>
        <w:rPr>
          <w:rFonts w:ascii="Arial" w:hAnsi="Arial" w:cs="Arial"/>
          <w:bCs/>
        </w:rPr>
        <w:t xml:space="preserve">mercato tutelato </w:t>
      </w:r>
      <w:r w:rsidRPr="000F531B">
        <w:rPr>
          <w:rFonts w:ascii="Arial" w:hAnsi="Arial" w:cs="Arial"/>
          <w:bCs/>
        </w:rPr>
        <w:t>e il gas di rete per uso domestico.</w:t>
      </w:r>
    </w:p>
    <w:p w:rsidR="005B7BD6" w:rsidRPr="000F531B" w:rsidRDefault="005B7BD6" w:rsidP="005B7BD6">
      <w:pPr>
        <w:spacing w:before="0" w:after="120"/>
        <w:jc w:val="both"/>
        <w:rPr>
          <w:rFonts w:ascii="Arial" w:hAnsi="Arial" w:cs="Arial"/>
          <w:bCs/>
        </w:rPr>
      </w:pPr>
      <w:r w:rsidRPr="000F531B">
        <w:rPr>
          <w:rFonts w:ascii="Arial" w:hAnsi="Arial" w:cs="Arial"/>
          <w:b/>
          <w:bCs/>
        </w:rPr>
        <w:t>Beni energetici non regolamentati</w:t>
      </w:r>
      <w:r w:rsidRPr="000F531B">
        <w:rPr>
          <w:rFonts w:ascii="Arial" w:hAnsi="Arial" w:cs="Arial"/>
          <w:bCs/>
        </w:rPr>
        <w:t>: comprendono i carburanti per g</w:t>
      </w:r>
      <w:r>
        <w:rPr>
          <w:rFonts w:ascii="Arial" w:hAnsi="Arial" w:cs="Arial"/>
          <w:bCs/>
        </w:rPr>
        <w:t>li autoveicoli, i lubrificanti,</w:t>
      </w:r>
      <w:r w:rsidRPr="000F531B">
        <w:rPr>
          <w:rFonts w:ascii="Arial" w:hAnsi="Arial" w:cs="Arial"/>
          <w:bCs/>
        </w:rPr>
        <w:t xml:space="preserve"> i combustibili per u</w:t>
      </w:r>
      <w:r>
        <w:rPr>
          <w:rFonts w:ascii="Arial" w:hAnsi="Arial" w:cs="Arial"/>
          <w:bCs/>
        </w:rPr>
        <w:t xml:space="preserve">so domestico non regolamentati </w:t>
      </w:r>
      <w:r w:rsidRPr="000F531B">
        <w:rPr>
          <w:rFonts w:ascii="Arial" w:hAnsi="Arial" w:cs="Arial"/>
          <w:bCs/>
        </w:rPr>
        <w:t xml:space="preserve">e l’energia elettrica </w:t>
      </w:r>
      <w:r>
        <w:rPr>
          <w:rFonts w:ascii="Arial" w:hAnsi="Arial" w:cs="Arial"/>
          <w:bCs/>
        </w:rPr>
        <w:t>mercato libero.</w:t>
      </w:r>
    </w:p>
    <w:p w:rsidR="005B7BD6" w:rsidRPr="000F531B" w:rsidRDefault="005B7BD6" w:rsidP="005B7BD6">
      <w:pPr>
        <w:spacing w:before="0" w:after="120"/>
        <w:jc w:val="both"/>
        <w:rPr>
          <w:rFonts w:ascii="Arial" w:hAnsi="Arial" w:cs="Arial"/>
          <w:bCs/>
        </w:rPr>
      </w:pPr>
      <w:r w:rsidRPr="000F531B">
        <w:rPr>
          <w:rFonts w:ascii="Arial" w:hAnsi="Arial" w:cs="Arial"/>
          <w:b/>
          <w:bCs/>
        </w:rPr>
        <w:t>Beni regolamentati</w:t>
      </w:r>
      <w:r w:rsidRPr="000F531B">
        <w:rPr>
          <w:rFonts w:ascii="Arial" w:hAnsi="Arial" w:cs="Arial"/>
          <w:bCs/>
        </w:rPr>
        <w:t>: includono i beni energetici regolamentati e gli altri beni regolamentati.</w:t>
      </w:r>
    </w:p>
    <w:p w:rsidR="005B7BD6" w:rsidRPr="000F531B" w:rsidRDefault="005B7BD6" w:rsidP="005B7BD6">
      <w:pPr>
        <w:spacing w:before="0" w:after="120"/>
        <w:jc w:val="both"/>
        <w:rPr>
          <w:rFonts w:ascii="Arial" w:hAnsi="Arial" w:cs="Arial"/>
          <w:bCs/>
        </w:rPr>
      </w:pPr>
      <w:r w:rsidRPr="000F531B">
        <w:rPr>
          <w:rFonts w:ascii="Arial" w:hAnsi="Arial" w:cs="Arial"/>
          <w:b/>
          <w:bCs/>
        </w:rPr>
        <w:t>COICOP</w:t>
      </w:r>
      <w:r w:rsidRPr="000F531B">
        <w:rPr>
          <w:rFonts w:ascii="Arial" w:hAnsi="Arial" w:cs="Arial"/>
          <w:bCs/>
        </w:rPr>
        <w:t>: classificazione dei consumi individuali secondo l’utilizzo finale</w:t>
      </w:r>
      <w:r>
        <w:rPr>
          <w:rFonts w:ascii="Arial" w:hAnsi="Arial" w:cs="Arial"/>
          <w:bCs/>
        </w:rPr>
        <w:t>.</w:t>
      </w:r>
    </w:p>
    <w:p w:rsidR="005B7BD6" w:rsidRPr="000F531B" w:rsidRDefault="005B7BD6" w:rsidP="005B7BD6">
      <w:pPr>
        <w:spacing w:before="0" w:after="120"/>
        <w:jc w:val="both"/>
        <w:rPr>
          <w:rFonts w:ascii="Arial" w:hAnsi="Arial" w:cs="Arial"/>
        </w:rPr>
      </w:pPr>
      <w:r w:rsidRPr="000F531B">
        <w:rPr>
          <w:rFonts w:ascii="Arial" w:hAnsi="Arial" w:cs="Arial"/>
          <w:b/>
        </w:rPr>
        <w:t>Componente di fondo</w:t>
      </w:r>
      <w:r w:rsidRPr="000F531B">
        <w:rPr>
          <w:rFonts w:ascii="Arial" w:hAnsi="Arial" w:cs="Arial"/>
        </w:rPr>
        <w:t xml:space="preserve">: viene calcolata escludendo i beni alimentari non lavorati e i beni energetici. </w:t>
      </w:r>
    </w:p>
    <w:p w:rsidR="005B7BD6" w:rsidRPr="000F531B" w:rsidRDefault="005B7BD6" w:rsidP="005B7BD6">
      <w:pPr>
        <w:spacing w:before="0" w:after="120"/>
        <w:jc w:val="both"/>
        <w:rPr>
          <w:rFonts w:ascii="Arial" w:hAnsi="Arial" w:cs="Arial"/>
          <w:bCs/>
        </w:rPr>
      </w:pPr>
      <w:r w:rsidRPr="000F531B">
        <w:rPr>
          <w:rFonts w:ascii="Arial" w:hAnsi="Arial" w:cs="Arial"/>
          <w:b/>
          <w:bCs/>
        </w:rPr>
        <w:t>Contributo alla variazione tendenziale dell’indice generale</w:t>
      </w:r>
      <w:r w:rsidRPr="000F531B">
        <w:rPr>
          <w:rFonts w:ascii="Arial" w:hAnsi="Arial" w:cs="Arial"/>
          <w:bCs/>
        </w:rPr>
        <w:t>: permette di valutare l’incidenza delle variazioni di prezzo delle singole componenti sull’aumento o sulla diminuzione dell’indice aggregato. A tal fine, il tasso di variazione tendenziale dell’indice generale viene scomposto nella somma degli effetti attribuibili a ciascuna delle variazioni delle sue componenti. Poiché si tratta di un indice concatenato, il contributo della componente i-esima alla variazione dell’indice generale è funzione della dinamica di prezzo di tale componente e della modifica del suo peso relativo nei due anni a confronto. I contributi alla variazione tendenziale dell’indice generale sono calcolati a partire dagli indici elementari di prezzo dei prodotti del paniere di riferimento. Per effetto degli arrotondamenti, la loro somma può differire dalla variazione dell’indice generale.</w:t>
      </w:r>
    </w:p>
    <w:p w:rsidR="005B7BD6" w:rsidRPr="000F531B" w:rsidRDefault="000B61B4" w:rsidP="005B7BD6">
      <w:pPr>
        <w:spacing w:before="0" w:after="120"/>
        <w:jc w:val="both"/>
        <w:rPr>
          <w:rFonts w:ascii="Arial" w:hAnsi="Arial" w:cs="Arial"/>
          <w:b/>
          <w:bCs/>
        </w:rPr>
      </w:pPr>
      <w:hyperlink r:id="rId36" w:history="1">
        <w:r w:rsidR="005B7BD6" w:rsidRPr="00C55AE4">
          <w:rPr>
            <w:rStyle w:val="Collegamentoipertestuale"/>
            <w:rFonts w:ascii="Arial" w:hAnsi="Arial" w:cs="Arial"/>
            <w:b/>
            <w:bCs/>
          </w:rPr>
          <w:t>ECOICOP</w:t>
        </w:r>
      </w:hyperlink>
      <w:r w:rsidR="005B7BD6">
        <w:rPr>
          <w:rFonts w:ascii="Arial" w:hAnsi="Arial" w:cs="Arial"/>
          <w:bCs/>
        </w:rPr>
        <w:t xml:space="preserve">: </w:t>
      </w:r>
      <w:r w:rsidR="005B7BD6" w:rsidRPr="000F531B">
        <w:rPr>
          <w:rFonts w:ascii="Arial" w:hAnsi="Arial" w:cs="Arial"/>
          <w:bCs/>
        </w:rPr>
        <w:t>classificazione europea dei consumi individuali secondo l’utilizzo finale</w:t>
      </w:r>
      <w:r w:rsidR="005B7BD6" w:rsidRPr="00C55AE4">
        <w:rPr>
          <w:rFonts w:ascii="Arial" w:hAnsi="Arial" w:cs="Arial"/>
          <w:bCs/>
        </w:rPr>
        <w:t>, che prevede un livello di dettaglio (le sottoclassi) maggiore rispetto alla COICOP.</w:t>
      </w:r>
    </w:p>
    <w:p w:rsidR="005B7BD6" w:rsidRDefault="005B7BD6" w:rsidP="005B7BD6">
      <w:pPr>
        <w:spacing w:before="0" w:after="120"/>
        <w:jc w:val="both"/>
        <w:rPr>
          <w:rFonts w:ascii="Arial" w:hAnsi="Arial" w:cs="Arial"/>
          <w:bCs/>
        </w:rPr>
      </w:pPr>
      <w:r w:rsidRPr="000F531B">
        <w:rPr>
          <w:rFonts w:ascii="Arial" w:hAnsi="Arial" w:cs="Arial"/>
          <w:b/>
          <w:bCs/>
        </w:rPr>
        <w:t>FOI</w:t>
      </w:r>
      <w:r w:rsidRPr="000F531B">
        <w:rPr>
          <w:rFonts w:ascii="Arial" w:hAnsi="Arial" w:cs="Arial"/>
          <w:bCs/>
        </w:rPr>
        <w:t>: indice nazionale dei prezzi al consumo per le famiglie di operai e impiegati.</w:t>
      </w:r>
    </w:p>
    <w:p w:rsidR="005B7BD6" w:rsidRDefault="005B7BD6" w:rsidP="005B7BD6">
      <w:pPr>
        <w:spacing w:before="0" w:after="120"/>
        <w:jc w:val="both"/>
        <w:rPr>
          <w:rFonts w:ascii="Arial" w:hAnsi="Arial" w:cs="Arial"/>
          <w:bCs/>
        </w:rPr>
      </w:pPr>
      <w:r w:rsidRPr="00C96343">
        <w:rPr>
          <w:rFonts w:ascii="Arial" w:hAnsi="Arial" w:cs="Arial"/>
          <w:b/>
          <w:bCs/>
        </w:rPr>
        <w:t>Inflazione</w:t>
      </w:r>
      <w:r w:rsidRPr="00C96343">
        <w:rPr>
          <w:rFonts w:ascii="Arial" w:hAnsi="Arial" w:cs="Arial"/>
          <w:bCs/>
        </w:rPr>
        <w:t>: misura le variazioni nel tempo dei prezzi di un insieme di prodotti (paniere) rappresentativo di tutti i beni e servizi destinati al consumo finale delle famiglie, acquistabili sul mercato attraverso transazioni monetarie.</w:t>
      </w:r>
    </w:p>
    <w:p w:rsidR="005B7BD6" w:rsidRPr="000F531B" w:rsidRDefault="005B7BD6" w:rsidP="005B7BD6">
      <w:pPr>
        <w:spacing w:before="0" w:after="120"/>
        <w:jc w:val="both"/>
        <w:rPr>
          <w:rFonts w:ascii="Arial" w:hAnsi="Arial" w:cs="Arial"/>
          <w:bCs/>
        </w:rPr>
      </w:pPr>
      <w:r w:rsidRPr="000F531B">
        <w:rPr>
          <w:rFonts w:ascii="Arial" w:hAnsi="Arial" w:cs="Arial"/>
          <w:b/>
          <w:bCs/>
        </w:rPr>
        <w:t>Inflazione acquisita</w:t>
      </w:r>
      <w:r w:rsidRPr="000F531B">
        <w:rPr>
          <w:rFonts w:ascii="Arial" w:hAnsi="Arial" w:cs="Arial"/>
          <w:bCs/>
        </w:rPr>
        <w:t xml:space="preserve">: rappresenta la variazione media dell’indice nell’anno indicato, che si avrebbe ipotizzando che l’indice stesso rimanga al medesimo livello dell’ultimo dato mensile disponibile nella restante parte dell’anno. </w:t>
      </w:r>
    </w:p>
    <w:p w:rsidR="005B7BD6" w:rsidRPr="000F531B" w:rsidRDefault="005B7BD6" w:rsidP="005B7BD6">
      <w:pPr>
        <w:spacing w:before="0" w:after="120"/>
        <w:jc w:val="both"/>
        <w:rPr>
          <w:rFonts w:ascii="Arial" w:hAnsi="Arial" w:cs="Arial"/>
          <w:bCs/>
        </w:rPr>
      </w:pPr>
      <w:r w:rsidRPr="000F531B">
        <w:rPr>
          <w:rFonts w:ascii="Arial" w:hAnsi="Arial" w:cs="Arial"/>
          <w:b/>
          <w:bCs/>
        </w:rPr>
        <w:t>IPCA</w:t>
      </w:r>
      <w:r w:rsidRPr="000F531B">
        <w:rPr>
          <w:rFonts w:ascii="Arial" w:hAnsi="Arial" w:cs="Arial"/>
          <w:bCs/>
        </w:rPr>
        <w:t>: indice armonizzato dei prezzi al consumo per i Paesi dell’Unione europea.</w:t>
      </w:r>
    </w:p>
    <w:p w:rsidR="005B7BD6" w:rsidRPr="000F531B" w:rsidRDefault="005B7BD6" w:rsidP="005B7BD6">
      <w:pPr>
        <w:spacing w:before="0" w:after="120"/>
        <w:jc w:val="both"/>
        <w:rPr>
          <w:rFonts w:ascii="Arial" w:hAnsi="Arial" w:cs="Arial"/>
          <w:bCs/>
        </w:rPr>
      </w:pPr>
      <w:r w:rsidRPr="000F531B">
        <w:rPr>
          <w:rFonts w:ascii="Arial" w:hAnsi="Arial" w:cs="Arial"/>
          <w:b/>
          <w:bCs/>
        </w:rPr>
        <w:t>IPCA-AS</w:t>
      </w:r>
      <w:r w:rsidRPr="000F531B">
        <w:rPr>
          <w:rFonts w:ascii="Arial" w:hAnsi="Arial" w:cs="Arial"/>
          <w:bCs/>
        </w:rPr>
        <w:t>: indici armonizzati dei prezzi al consumo per aggregati speciali</w:t>
      </w:r>
      <w:r>
        <w:rPr>
          <w:rFonts w:ascii="Arial" w:hAnsi="Arial" w:cs="Arial"/>
          <w:bCs/>
        </w:rPr>
        <w:t xml:space="preserve"> s</w:t>
      </w:r>
      <w:r w:rsidRPr="000F531B">
        <w:rPr>
          <w:rFonts w:ascii="Arial" w:hAnsi="Arial" w:cs="Arial"/>
          <w:bCs/>
        </w:rPr>
        <w:t xml:space="preserve">ono indicatori costruiti secondo uno schema classificatorio </w:t>
      </w:r>
      <w:r>
        <w:rPr>
          <w:rFonts w:ascii="Arial" w:hAnsi="Arial" w:cs="Arial"/>
          <w:bCs/>
        </w:rPr>
        <w:t>diverso</w:t>
      </w:r>
      <w:r w:rsidRPr="000F531B">
        <w:rPr>
          <w:rFonts w:ascii="Arial" w:hAnsi="Arial" w:cs="Arial"/>
          <w:bCs/>
        </w:rPr>
        <w:t xml:space="preserve"> </w:t>
      </w:r>
      <w:r>
        <w:rPr>
          <w:rFonts w:ascii="Arial" w:hAnsi="Arial" w:cs="Arial"/>
          <w:bCs/>
        </w:rPr>
        <w:t>d</w:t>
      </w:r>
      <w:r w:rsidRPr="000F531B">
        <w:rPr>
          <w:rFonts w:ascii="Arial" w:hAnsi="Arial" w:cs="Arial"/>
          <w:bCs/>
        </w:rPr>
        <w:t>alla ECOICOP-IPCA e da quello utilizzato per gli indici NIC per tipologia di prodotto. L</w:t>
      </w:r>
      <w:r>
        <w:rPr>
          <w:rFonts w:ascii="Arial" w:hAnsi="Arial" w:cs="Arial"/>
          <w:bCs/>
        </w:rPr>
        <w:t>a struttura</w:t>
      </w:r>
      <w:r w:rsidRPr="000F531B">
        <w:rPr>
          <w:rFonts w:ascii="Arial" w:hAnsi="Arial" w:cs="Arial"/>
          <w:bCs/>
        </w:rPr>
        <w:t xml:space="preserve"> di classificazione </w:t>
      </w:r>
      <w:r>
        <w:rPr>
          <w:rFonts w:ascii="Arial" w:hAnsi="Arial" w:cs="Arial"/>
          <w:bCs/>
        </w:rPr>
        <w:t>e le procedure</w:t>
      </w:r>
      <w:r w:rsidRPr="000F531B">
        <w:rPr>
          <w:rFonts w:ascii="Arial" w:hAnsi="Arial" w:cs="Arial"/>
          <w:bCs/>
        </w:rPr>
        <w:t xml:space="preserve"> di calcolo sono comuni a quell</w:t>
      </w:r>
      <w:r>
        <w:rPr>
          <w:rFonts w:ascii="Arial" w:hAnsi="Arial" w:cs="Arial"/>
          <w:bCs/>
        </w:rPr>
        <w:t>e</w:t>
      </w:r>
      <w:r w:rsidRPr="000F531B">
        <w:rPr>
          <w:rFonts w:ascii="Arial" w:hAnsi="Arial" w:cs="Arial"/>
          <w:bCs/>
        </w:rPr>
        <w:t xml:space="preserve"> </w:t>
      </w:r>
      <w:r w:rsidRPr="000F531B">
        <w:rPr>
          <w:rFonts w:ascii="Arial" w:hAnsi="Arial" w:cs="Arial"/>
        </w:rPr>
        <w:t>utilizzat</w:t>
      </w:r>
      <w:r>
        <w:rPr>
          <w:rFonts w:ascii="Arial" w:hAnsi="Arial" w:cs="Arial"/>
        </w:rPr>
        <w:t>e</w:t>
      </w:r>
      <w:r w:rsidRPr="000F531B">
        <w:rPr>
          <w:rFonts w:ascii="Arial" w:hAnsi="Arial" w:cs="Arial"/>
        </w:rPr>
        <w:t xml:space="preserve"> da Eurostat</w:t>
      </w:r>
      <w:r>
        <w:rPr>
          <w:rFonts w:ascii="Arial" w:hAnsi="Arial" w:cs="Arial"/>
        </w:rPr>
        <w:t xml:space="preserve"> e ne condividono le innovazioni di carattere metodologico</w:t>
      </w:r>
      <w:r w:rsidRPr="000F531B">
        <w:rPr>
          <w:rFonts w:ascii="Arial" w:hAnsi="Arial" w:cs="Arial"/>
        </w:rPr>
        <w:t>.</w:t>
      </w:r>
      <w:r>
        <w:rPr>
          <w:rFonts w:ascii="Arial" w:hAnsi="Arial" w:cs="Arial"/>
        </w:rPr>
        <w:t xml:space="preserve"> In particolare, dalla diffusione degli indici definitivi di gennaio 2019 cambia il metodo di calcolo degli aggregati speciali dell’IPCA che sono ottenuti aggregando gli indici delle sottoclassi della ECOICOP (in precedenza, per il computo di questi indicatori erano utilizzati gli indici delle classi).</w:t>
      </w:r>
      <w:r w:rsidRPr="000F531B">
        <w:rPr>
          <w:rFonts w:ascii="Arial" w:hAnsi="Arial" w:cs="Arial"/>
          <w:bCs/>
        </w:rPr>
        <w:t xml:space="preserve"> </w:t>
      </w:r>
      <w:r>
        <w:rPr>
          <w:rFonts w:ascii="Arial" w:hAnsi="Arial" w:cs="Arial"/>
          <w:bCs/>
        </w:rPr>
        <w:t>Per una migliore fruibilità dei nuovi indicatori, le serie degli aggregati speciali, secondo il nuovo schema, sono state ricostruite per il periodo gennaio 2017 - dicembre 2018 e sostituiscono, per l’intervallo temporale in questione, quelle precedentemente diffuse, basate sulla vecchia metodologia di calcolo</w:t>
      </w:r>
      <w:r w:rsidRPr="000F531B">
        <w:rPr>
          <w:rFonts w:ascii="Arial" w:hAnsi="Arial" w:cs="Arial"/>
        </w:rPr>
        <w:t>.</w:t>
      </w:r>
      <w:r w:rsidRPr="000F531B">
        <w:rPr>
          <w:rFonts w:ascii="Arial" w:hAnsi="Arial" w:cs="Arial"/>
          <w:bCs/>
        </w:rPr>
        <w:t xml:space="preserve"> </w:t>
      </w:r>
    </w:p>
    <w:p w:rsidR="005B0AE5" w:rsidRDefault="005B0AE5" w:rsidP="005B7BD6">
      <w:pPr>
        <w:spacing w:before="0" w:after="120"/>
        <w:jc w:val="both"/>
        <w:rPr>
          <w:rFonts w:ascii="Arial" w:hAnsi="Arial" w:cs="Arial"/>
          <w:b/>
          <w:bCs/>
        </w:rPr>
      </w:pPr>
    </w:p>
    <w:p w:rsidR="005B0AE5" w:rsidRDefault="005B0AE5" w:rsidP="005B7BD6">
      <w:pPr>
        <w:spacing w:before="0" w:after="120"/>
        <w:jc w:val="both"/>
        <w:rPr>
          <w:rFonts w:ascii="Arial" w:hAnsi="Arial" w:cs="Arial"/>
          <w:b/>
          <w:bCs/>
        </w:rPr>
      </w:pPr>
    </w:p>
    <w:p w:rsidR="005B7BD6" w:rsidRPr="000F531B" w:rsidRDefault="005B7BD6" w:rsidP="005B7BD6">
      <w:pPr>
        <w:spacing w:before="0" w:after="120"/>
        <w:jc w:val="both"/>
        <w:rPr>
          <w:rFonts w:ascii="Arial" w:hAnsi="Arial" w:cs="Arial"/>
          <w:bCs/>
        </w:rPr>
      </w:pPr>
      <w:r w:rsidRPr="000F531B">
        <w:rPr>
          <w:rFonts w:ascii="Arial" w:hAnsi="Arial" w:cs="Arial"/>
          <w:b/>
          <w:bCs/>
        </w:rPr>
        <w:t>IPCA-TC</w:t>
      </w:r>
      <w:r w:rsidRPr="000F531B">
        <w:rPr>
          <w:rFonts w:ascii="Arial" w:hAnsi="Arial" w:cs="Arial"/>
          <w:bCs/>
        </w:rPr>
        <w:t>: indice armonizzato dei prezzi al consumo a tassazione costante per i Paesi dell’Unione europea.</w:t>
      </w:r>
    </w:p>
    <w:p w:rsidR="005B7BD6" w:rsidRPr="000F531B" w:rsidRDefault="005B7BD6" w:rsidP="005B7BD6">
      <w:pPr>
        <w:spacing w:before="0" w:after="120"/>
        <w:jc w:val="both"/>
        <w:rPr>
          <w:rFonts w:ascii="Arial" w:hAnsi="Arial" w:cs="Arial"/>
        </w:rPr>
      </w:pPr>
      <w:r w:rsidRPr="000F531B">
        <w:rPr>
          <w:rFonts w:ascii="Arial" w:hAnsi="Arial" w:cs="Arial"/>
          <w:b/>
        </w:rPr>
        <w:t>NIC</w:t>
      </w:r>
      <w:r w:rsidRPr="000F531B">
        <w:rPr>
          <w:rFonts w:ascii="Arial" w:hAnsi="Arial" w:cs="Arial"/>
        </w:rPr>
        <w:t>: indice nazionale dei prezzi al consumo per l’intera collettività.</w:t>
      </w:r>
    </w:p>
    <w:p w:rsidR="005B7BD6" w:rsidRPr="000F531B" w:rsidRDefault="005B7BD6" w:rsidP="005B7BD6">
      <w:pPr>
        <w:widowControl/>
        <w:overflowPunct/>
        <w:autoSpaceDE/>
        <w:adjustRightInd/>
        <w:spacing w:before="0" w:after="120"/>
        <w:jc w:val="both"/>
        <w:rPr>
          <w:rFonts w:ascii="Arial" w:hAnsi="Arial" w:cs="Arial"/>
        </w:rPr>
      </w:pPr>
      <w:r w:rsidRPr="000F531B">
        <w:rPr>
          <w:rFonts w:ascii="Arial" w:hAnsi="Arial" w:cs="Arial"/>
          <w:b/>
        </w:rPr>
        <w:t>Prodotti ad alta frequenza di acquisto</w:t>
      </w:r>
      <w:r w:rsidRPr="000F531B">
        <w:rPr>
          <w:rFonts w:ascii="Arial" w:hAnsi="Arial" w:cs="Arial"/>
        </w:rPr>
        <w:t>: includono, oltre ai generi alimentari, le bevande alcoliche e analcoliche, i tabacchi, le spese per l’affitto, i beni non durevoli per la casa, i servizi per la pulizia e manutenzione della casa, i carburanti, i trasporti urbani, i giornali e i periodici, i servizi di ristorazione, le spese di assistenza.</w:t>
      </w:r>
    </w:p>
    <w:p w:rsidR="005B7BD6" w:rsidRPr="000F531B" w:rsidRDefault="005B7BD6" w:rsidP="005B7BD6">
      <w:pPr>
        <w:spacing w:before="0" w:after="120"/>
        <w:ind w:right="38"/>
        <w:jc w:val="both"/>
        <w:rPr>
          <w:rFonts w:ascii="Arial" w:hAnsi="Arial" w:cs="Arial"/>
        </w:rPr>
      </w:pPr>
      <w:r w:rsidRPr="000F531B">
        <w:rPr>
          <w:rFonts w:ascii="Arial" w:hAnsi="Arial" w:cs="Arial"/>
          <w:b/>
        </w:rPr>
        <w:t>Prodotti a media frequenza</w:t>
      </w:r>
      <w:r w:rsidRPr="000F531B">
        <w:rPr>
          <w:rFonts w:ascii="Arial" w:hAnsi="Arial" w:cs="Arial"/>
        </w:rPr>
        <w:t xml:space="preserve"> </w:t>
      </w:r>
      <w:r w:rsidRPr="000F531B">
        <w:rPr>
          <w:rFonts w:ascii="Arial" w:hAnsi="Arial" w:cs="Arial"/>
          <w:b/>
        </w:rPr>
        <w:t>di acquisto</w:t>
      </w:r>
      <w:r w:rsidRPr="000F531B">
        <w:rPr>
          <w:rFonts w:ascii="Arial" w:hAnsi="Arial" w:cs="Arial"/>
        </w:rPr>
        <w:t xml:space="preserve">: comprendono, </w:t>
      </w:r>
      <w:r w:rsidRPr="00642DBC">
        <w:rPr>
          <w:rFonts w:ascii="Arial" w:hAnsi="Arial" w:cs="Arial"/>
        </w:rPr>
        <w:t>tra gli altri,</w:t>
      </w:r>
      <w:r w:rsidRPr="000F531B">
        <w:rPr>
          <w:rFonts w:ascii="Arial" w:hAnsi="Arial" w:cs="Arial"/>
        </w:rPr>
        <w:t xml:space="preserve"> le spese di abbigliamento, le tariffe elettriche e quelle relative all’acqua potabile e lo smaltimento dei rifiuti, i medicinali, i servizi medici e quelli dentistici, i trasporti stradali, ferroviari marittimi e aerei, i servizi postali e telefonici, i servizi ricreativi e culturali, i pacchetti vacanze, i libri, gli alberghi e gli altri servizi di alloggio.</w:t>
      </w:r>
    </w:p>
    <w:p w:rsidR="005B7BD6" w:rsidRPr="000F531B" w:rsidRDefault="005B7BD6" w:rsidP="005B7BD6">
      <w:pPr>
        <w:spacing w:before="0" w:after="120"/>
        <w:jc w:val="both"/>
        <w:rPr>
          <w:rFonts w:ascii="Arial" w:hAnsi="Arial" w:cs="Arial"/>
        </w:rPr>
      </w:pPr>
      <w:r w:rsidRPr="000F531B">
        <w:rPr>
          <w:rFonts w:ascii="Arial" w:hAnsi="Arial" w:cs="Arial"/>
          <w:b/>
        </w:rPr>
        <w:t>Prodotti a bassa frequenza di acquisto</w:t>
      </w:r>
      <w:r w:rsidRPr="000F531B">
        <w:rPr>
          <w:rFonts w:ascii="Arial" w:hAnsi="Arial" w:cs="Arial"/>
        </w:rPr>
        <w:t>: comprendono gli elettrodomestici, i servizi ospedalieri, l’acquisto dei mezzi di trasporto, i servizi di trasloco, gli apparecchi audiovisivi, fotografici e informatici, gli articoli sportivi.</w:t>
      </w:r>
    </w:p>
    <w:p w:rsidR="005B7BD6" w:rsidRPr="000F531B" w:rsidRDefault="005B7BD6" w:rsidP="005B7BD6">
      <w:pPr>
        <w:spacing w:before="0" w:after="120"/>
        <w:jc w:val="both"/>
        <w:rPr>
          <w:rFonts w:ascii="Arial" w:hAnsi="Arial" w:cs="Arial"/>
        </w:rPr>
      </w:pPr>
      <w:r w:rsidRPr="000F531B">
        <w:rPr>
          <w:rFonts w:ascii="Arial" w:hAnsi="Arial" w:cs="Arial"/>
          <w:b/>
        </w:rPr>
        <w:t>Servizi regolamentati</w:t>
      </w:r>
      <w:r w:rsidRPr="000F531B">
        <w:rPr>
          <w:rFonts w:ascii="Arial" w:hAnsi="Arial" w:cs="Arial"/>
        </w:rPr>
        <w:t>: tipologie di servizio i cui prezzi sono stabiliti da amministrazioni nazionali o locali e da servizi di pubblica utilità soggetti a regolamentazione da parte di specifiche Agenzie (Authority). Comprendono i certificati anagrafici, il passaporto, la tariffa per i rifiuti solidi, la tariffa per la raccolta di acque reflue, l’istruzione secondaria, le mense scolastiche, i trasporti urbani unimodali e multimodali (biglietti e abbonamenti), il trasporto extra-urbano su bus e quello extra-urbano multimodale, i taxi, i trasporti ferroviari regionali, i pedaggi autostradali, i concorsi pronostici, il canone tv, i servizi di telefonia fissa, la revisione auto, le tasse per il trasferimento della proprietà delle autovetture e dei motoveicoli e alcuni servizi postali.</w:t>
      </w:r>
    </w:p>
    <w:p w:rsidR="005B7BD6" w:rsidRPr="000F531B" w:rsidRDefault="005B7BD6" w:rsidP="005B7BD6">
      <w:pPr>
        <w:spacing w:before="0" w:after="120"/>
        <w:jc w:val="both"/>
        <w:rPr>
          <w:rFonts w:ascii="Arial" w:hAnsi="Arial" w:cs="Arial"/>
        </w:rPr>
      </w:pPr>
      <w:r w:rsidRPr="000F531B">
        <w:rPr>
          <w:rFonts w:ascii="Arial" w:hAnsi="Arial" w:cs="Arial"/>
          <w:b/>
        </w:rPr>
        <w:t>Servizi relativi all’abitazione</w:t>
      </w:r>
      <w:r w:rsidRPr="000F531B">
        <w:rPr>
          <w:rFonts w:ascii="Arial" w:hAnsi="Arial" w:cs="Arial"/>
        </w:rPr>
        <w:t>: comprendono i servizi di riparazione, la pulizia e la manutenzione della casa, la tariffa per i rifiuti solidi, la tariffa per la raccolta acque reflue, il canone d'affitto, le spese condominiali.</w:t>
      </w:r>
    </w:p>
    <w:p w:rsidR="005B7BD6" w:rsidRPr="000F531B" w:rsidRDefault="005B7BD6" w:rsidP="005B7BD6">
      <w:pPr>
        <w:spacing w:before="0" w:after="120"/>
        <w:jc w:val="both"/>
        <w:rPr>
          <w:rFonts w:ascii="Arial" w:hAnsi="Arial" w:cs="Arial"/>
        </w:rPr>
      </w:pPr>
      <w:r w:rsidRPr="000F531B">
        <w:rPr>
          <w:rFonts w:ascii="Arial" w:hAnsi="Arial" w:cs="Arial"/>
          <w:b/>
        </w:rPr>
        <w:t>Servizi relativi alle comunicazioni</w:t>
      </w:r>
      <w:r w:rsidRPr="000F531B">
        <w:rPr>
          <w:rFonts w:ascii="Arial" w:hAnsi="Arial" w:cs="Arial"/>
        </w:rPr>
        <w:t>: comprendono i servizi di telefonia e i servizi postali.</w:t>
      </w:r>
    </w:p>
    <w:p w:rsidR="005B7BD6" w:rsidRPr="000F531B" w:rsidRDefault="005B7BD6" w:rsidP="005B7BD6">
      <w:pPr>
        <w:spacing w:before="0" w:after="120"/>
        <w:jc w:val="both"/>
        <w:rPr>
          <w:rFonts w:ascii="Arial" w:hAnsi="Arial" w:cs="Arial"/>
        </w:rPr>
      </w:pPr>
      <w:r w:rsidRPr="000F531B">
        <w:rPr>
          <w:rFonts w:ascii="Arial" w:hAnsi="Arial" w:cs="Arial"/>
          <w:b/>
        </w:rPr>
        <w:t>Servizi ricreativi, culturali e per la cura della persona</w:t>
      </w:r>
      <w:r w:rsidRPr="000F531B">
        <w:rPr>
          <w:rFonts w:ascii="Arial" w:hAnsi="Arial" w:cs="Arial"/>
        </w:rPr>
        <w:t>: comprendono i pacchetti vacanza, i servizi di alloggio, i ristoranti, bar e simili, le mense, la riparazione di apparecchi audiovisivi, fotografici e informatici, i servizi per l'abbigliamento, i servizi per l</w:t>
      </w:r>
      <w:r>
        <w:rPr>
          <w:rFonts w:ascii="Arial" w:hAnsi="Arial" w:cs="Arial"/>
        </w:rPr>
        <w:t>’</w:t>
      </w:r>
      <w:r w:rsidRPr="000F531B">
        <w:rPr>
          <w:rFonts w:ascii="Arial" w:hAnsi="Arial" w:cs="Arial"/>
        </w:rPr>
        <w:t>igiene personale, i servizi ricreativi e culturali vari, i concorsi e le lotterie.</w:t>
      </w:r>
    </w:p>
    <w:p w:rsidR="005B7BD6" w:rsidRPr="000F531B" w:rsidRDefault="005B7BD6" w:rsidP="005B7BD6">
      <w:pPr>
        <w:spacing w:before="0" w:after="120"/>
        <w:jc w:val="both"/>
        <w:rPr>
          <w:rFonts w:ascii="Arial" w:hAnsi="Arial" w:cs="Arial"/>
        </w:rPr>
      </w:pPr>
      <w:r w:rsidRPr="000F531B">
        <w:rPr>
          <w:rFonts w:ascii="Arial" w:hAnsi="Arial" w:cs="Arial"/>
          <w:b/>
        </w:rPr>
        <w:t>Servizi relativi ai trasporti</w:t>
      </w:r>
      <w:r w:rsidRPr="000F531B">
        <w:rPr>
          <w:rFonts w:ascii="Arial" w:hAnsi="Arial" w:cs="Arial"/>
        </w:rPr>
        <w:t>: comprendono i trasporti aerei, marittimi, ferroviari, e stradali, i servizi di manutenzione e riparazione di mezzi di trasporto, le assicurazioni sui mezzi di trasporto.</w:t>
      </w:r>
    </w:p>
    <w:p w:rsidR="005B7BD6" w:rsidRPr="000F531B" w:rsidRDefault="005B7BD6" w:rsidP="005B7BD6">
      <w:pPr>
        <w:spacing w:before="0" w:after="120"/>
        <w:jc w:val="both"/>
        <w:rPr>
          <w:rFonts w:ascii="Arial" w:hAnsi="Arial" w:cs="Arial"/>
        </w:rPr>
      </w:pPr>
      <w:r w:rsidRPr="000F531B">
        <w:rPr>
          <w:rFonts w:ascii="Arial" w:hAnsi="Arial" w:cs="Arial"/>
          <w:b/>
        </w:rPr>
        <w:t>Servizi vari</w:t>
      </w:r>
      <w:r w:rsidRPr="000F531B">
        <w:rPr>
          <w:rFonts w:ascii="Arial" w:hAnsi="Arial" w:cs="Arial"/>
        </w:rPr>
        <w:t>:</w:t>
      </w:r>
      <w:r w:rsidRPr="000F531B">
        <w:rPr>
          <w:rFonts w:ascii="Arial" w:hAnsi="Arial" w:cs="Arial"/>
          <w:b/>
        </w:rPr>
        <w:t xml:space="preserve"> </w:t>
      </w:r>
      <w:r w:rsidRPr="000F531B">
        <w:rPr>
          <w:rFonts w:ascii="Arial" w:hAnsi="Arial" w:cs="Arial"/>
        </w:rPr>
        <w:t>comprendono l’istruzione, i servizi medici, i servizi per l’assistenza, i servizi finanziari; professioni liberali; servizio funebre; assicurazioni sugli infortuni.</w:t>
      </w:r>
    </w:p>
    <w:p w:rsidR="005B7BD6" w:rsidRPr="000F531B" w:rsidRDefault="005B7BD6" w:rsidP="005B7BD6">
      <w:pPr>
        <w:spacing w:before="0" w:after="120"/>
        <w:jc w:val="both"/>
        <w:rPr>
          <w:rFonts w:ascii="Arial" w:hAnsi="Arial" w:cs="Arial"/>
          <w:bCs/>
        </w:rPr>
      </w:pPr>
      <w:r w:rsidRPr="000F531B">
        <w:rPr>
          <w:rFonts w:ascii="Arial" w:hAnsi="Arial" w:cs="Arial"/>
          <w:b/>
          <w:bCs/>
        </w:rPr>
        <w:t>Variazione congiunturale</w:t>
      </w:r>
      <w:r w:rsidRPr="000F531B">
        <w:rPr>
          <w:rFonts w:ascii="Arial" w:hAnsi="Arial" w:cs="Arial"/>
          <w:bCs/>
        </w:rPr>
        <w:t>: variazione rispetto al periodo precedente.</w:t>
      </w:r>
    </w:p>
    <w:p w:rsidR="007D5F5F" w:rsidRPr="00D8013C" w:rsidRDefault="005B7BD6" w:rsidP="005B7BD6">
      <w:pPr>
        <w:pStyle w:val="Corpotesto"/>
        <w:spacing w:after="120" w:line="240" w:lineRule="auto"/>
        <w:jc w:val="both"/>
        <w:rPr>
          <w:rFonts w:ascii="Arial" w:hAnsi="Arial" w:cs="Arial"/>
          <w:bCs/>
        </w:rPr>
      </w:pPr>
      <w:r w:rsidRPr="000F531B">
        <w:rPr>
          <w:rFonts w:ascii="Arial" w:hAnsi="Arial" w:cs="Arial"/>
          <w:b/>
          <w:bCs/>
        </w:rPr>
        <w:t>Variazione tendenziale</w:t>
      </w:r>
      <w:r w:rsidRPr="000F531B">
        <w:rPr>
          <w:rFonts w:ascii="Arial" w:hAnsi="Arial" w:cs="Arial"/>
          <w:bCs/>
        </w:rPr>
        <w:t>:</w:t>
      </w:r>
      <w:r w:rsidRPr="000F531B">
        <w:rPr>
          <w:rFonts w:ascii="Arial" w:hAnsi="Arial" w:cs="Arial"/>
          <w:b/>
          <w:bCs/>
        </w:rPr>
        <w:t xml:space="preserve"> </w:t>
      </w:r>
      <w:r w:rsidRPr="000F531B">
        <w:rPr>
          <w:rFonts w:ascii="Arial" w:hAnsi="Arial" w:cs="Arial"/>
          <w:bCs/>
        </w:rPr>
        <w:t>variazione rispetto allo stesso periodo dell’anno precedente</w:t>
      </w:r>
      <w:r w:rsidR="003F7131" w:rsidRPr="000F531B">
        <w:rPr>
          <w:rFonts w:ascii="Arial" w:hAnsi="Arial" w:cs="Arial"/>
          <w:bCs/>
        </w:rPr>
        <w:t>.</w:t>
      </w:r>
    </w:p>
    <w:p w:rsidR="00DC7F84" w:rsidRPr="00C8504B" w:rsidRDefault="00DC7F84" w:rsidP="00DC7F84">
      <w:pPr>
        <w:pStyle w:val="Corpotesto"/>
        <w:spacing w:after="120" w:line="240" w:lineRule="auto"/>
        <w:jc w:val="both"/>
        <w:rPr>
          <w:rFonts w:ascii="Arial" w:hAnsi="Arial" w:cs="Arial"/>
          <w:bCs/>
        </w:rPr>
      </w:pPr>
    </w:p>
    <w:p w:rsidR="004868BD" w:rsidRPr="00C8504B" w:rsidRDefault="004868BD" w:rsidP="00080F2D">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rsidR="00AA3917" w:rsidRPr="00C8504B" w:rsidRDefault="00AA3917" w:rsidP="00080F2D">
      <w:pPr>
        <w:pStyle w:val="Corpotesto"/>
        <w:spacing w:after="120" w:line="240" w:lineRule="auto"/>
        <w:jc w:val="both"/>
        <w:rPr>
          <w:rFonts w:ascii="Arial" w:hAnsi="Arial" w:cs="Arial"/>
          <w:b/>
          <w:sz w:val="24"/>
          <w:szCs w:val="24"/>
        </w:rPr>
        <w:sectPr w:rsidR="00AA3917" w:rsidRPr="00C8504B" w:rsidSect="000161B7">
          <w:headerReference w:type="default" r:id="rId37"/>
          <w:pgSz w:w="11907" w:h="16840" w:code="9"/>
          <w:pgMar w:top="1537" w:right="851" w:bottom="680" w:left="851" w:header="567" w:footer="567" w:gutter="0"/>
          <w:cols w:space="720"/>
          <w:noEndnote/>
          <w:docGrid w:linePitch="272"/>
        </w:sectPr>
      </w:pPr>
    </w:p>
    <w:p w:rsidR="00FC4BD2" w:rsidRPr="001969C1" w:rsidRDefault="00FC4BD2" w:rsidP="00FC4BD2">
      <w:pPr>
        <w:spacing w:before="0" w:after="120"/>
        <w:jc w:val="both"/>
        <w:rPr>
          <w:rFonts w:ascii="Arial" w:hAnsi="Arial" w:cs="Arial"/>
          <w:b/>
          <w:sz w:val="18"/>
          <w:szCs w:val="22"/>
        </w:rPr>
      </w:pPr>
    </w:p>
    <w:p w:rsidR="00FC4BD2" w:rsidRPr="00C8504B" w:rsidRDefault="00FC4BD2" w:rsidP="00FC4BD2">
      <w:pPr>
        <w:spacing w:before="0" w:after="120"/>
        <w:jc w:val="both"/>
        <w:rPr>
          <w:rFonts w:ascii="Arial" w:hAnsi="Arial" w:cs="Arial"/>
          <w:b/>
          <w:sz w:val="22"/>
          <w:szCs w:val="22"/>
        </w:rPr>
      </w:pPr>
      <w:r w:rsidRPr="00C8504B">
        <w:rPr>
          <w:rFonts w:ascii="Arial" w:hAnsi="Arial" w:cs="Arial"/>
          <w:b/>
          <w:sz w:val="22"/>
          <w:szCs w:val="22"/>
        </w:rPr>
        <w:t>Introduzione e quadro normativo</w:t>
      </w:r>
    </w:p>
    <w:p w:rsidR="00FC4BD2" w:rsidRDefault="00FC4BD2" w:rsidP="00FC4BD2">
      <w:pPr>
        <w:tabs>
          <w:tab w:val="left" w:pos="1843"/>
        </w:tabs>
        <w:spacing w:before="0" w:after="120"/>
        <w:jc w:val="both"/>
        <w:rPr>
          <w:rFonts w:ascii="Arial" w:hAnsi="Arial" w:cs="Arial"/>
          <w:szCs w:val="21"/>
        </w:rPr>
      </w:pPr>
      <w:r>
        <w:rPr>
          <w:rFonts w:ascii="Arial" w:hAnsi="Arial" w:cs="Arial"/>
          <w:szCs w:val="21"/>
        </w:rPr>
        <w:t>Gli indici</w:t>
      </w:r>
      <w:r w:rsidRPr="00784845">
        <w:rPr>
          <w:rFonts w:ascii="Arial" w:hAnsi="Arial" w:cs="Arial"/>
          <w:szCs w:val="21"/>
        </w:rPr>
        <w:t xml:space="preserve"> dei prezzi al consumo misura</w:t>
      </w:r>
      <w:r>
        <w:rPr>
          <w:rFonts w:ascii="Arial" w:hAnsi="Arial" w:cs="Arial"/>
          <w:szCs w:val="21"/>
        </w:rPr>
        <w:t>no</w:t>
      </w:r>
      <w:r w:rsidRPr="00784845">
        <w:rPr>
          <w:rFonts w:ascii="Arial" w:hAnsi="Arial" w:cs="Arial"/>
          <w:szCs w:val="21"/>
        </w:rPr>
        <w:t xml:space="preserve"> le variazioni nel tempo dei prezzi di un insieme di prodotti (paniere) rappresentativo di tutti i beni e servizi destinati al consumo finale delle famiglie, acquistabili sul mercato attraverso transazioni monetarie (sono escluse </w:t>
      </w:r>
      <w:r>
        <w:rPr>
          <w:rFonts w:ascii="Arial" w:hAnsi="Arial" w:cs="Arial"/>
          <w:szCs w:val="21"/>
        </w:rPr>
        <w:t xml:space="preserve">le </w:t>
      </w:r>
      <w:r w:rsidRPr="00784845">
        <w:rPr>
          <w:rFonts w:ascii="Arial" w:hAnsi="Arial" w:cs="Arial"/>
          <w:szCs w:val="21"/>
        </w:rPr>
        <w:t xml:space="preserve">transazioni a titolo gratuito, </w:t>
      </w:r>
      <w:r>
        <w:rPr>
          <w:rFonts w:ascii="Arial" w:hAnsi="Arial" w:cs="Arial"/>
          <w:szCs w:val="21"/>
        </w:rPr>
        <w:t xml:space="preserve">gli </w:t>
      </w:r>
      <w:r w:rsidRPr="00784845">
        <w:rPr>
          <w:rFonts w:ascii="Arial" w:hAnsi="Arial" w:cs="Arial"/>
          <w:szCs w:val="21"/>
        </w:rPr>
        <w:t xml:space="preserve">autoconsumi, </w:t>
      </w:r>
      <w:r>
        <w:rPr>
          <w:rFonts w:ascii="Arial" w:hAnsi="Arial" w:cs="Arial"/>
          <w:szCs w:val="21"/>
        </w:rPr>
        <w:t xml:space="preserve">i </w:t>
      </w:r>
      <w:r w:rsidRPr="00784845">
        <w:rPr>
          <w:rFonts w:ascii="Arial" w:hAnsi="Arial" w:cs="Arial"/>
          <w:szCs w:val="21"/>
        </w:rPr>
        <w:t>fitti figurativi, ecc</w:t>
      </w:r>
      <w:r>
        <w:rPr>
          <w:rFonts w:ascii="Arial" w:hAnsi="Arial" w:cs="Arial"/>
          <w:szCs w:val="21"/>
        </w:rPr>
        <w:t>.).</w:t>
      </w:r>
      <w:r w:rsidRPr="00784845">
        <w:rPr>
          <w:rFonts w:ascii="Arial" w:hAnsi="Arial" w:cs="Arial"/>
          <w:szCs w:val="21"/>
        </w:rPr>
        <w:t xml:space="preserve"> </w:t>
      </w:r>
    </w:p>
    <w:p w:rsidR="00FC4BD2" w:rsidRDefault="00FC4BD2" w:rsidP="00FC4BD2">
      <w:pPr>
        <w:tabs>
          <w:tab w:val="left" w:pos="1843"/>
        </w:tabs>
        <w:spacing w:before="0" w:after="120"/>
        <w:jc w:val="both"/>
        <w:rPr>
          <w:rFonts w:ascii="Arial" w:hAnsi="Arial" w:cs="Arial"/>
          <w:szCs w:val="21"/>
        </w:rPr>
      </w:pPr>
      <w:r>
        <w:rPr>
          <w:rFonts w:ascii="Arial" w:hAnsi="Arial" w:cs="Arial"/>
          <w:szCs w:val="21"/>
        </w:rPr>
        <w:t xml:space="preserve">Il sistema degli indici dei prezzi al consumo è articolato in tre diversi indicatori: </w:t>
      </w:r>
    </w:p>
    <w:p w:rsidR="00FC4BD2" w:rsidRDefault="00FC4BD2" w:rsidP="00FC4BD2">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AC2EF0">
        <w:rPr>
          <w:rFonts w:ascii="Arial" w:hAnsi="Arial" w:cs="Arial"/>
          <w:b/>
          <w:bCs/>
          <w:szCs w:val="21"/>
        </w:rPr>
        <w:t xml:space="preserve">l’indice nazionale dei prezzi al consumo per l’intera collettività (NIC) </w:t>
      </w:r>
      <w:r w:rsidRPr="00AC2EF0">
        <w:rPr>
          <w:rFonts w:ascii="Arial" w:hAnsi="Arial" w:cs="Arial"/>
          <w:szCs w:val="21"/>
        </w:rPr>
        <w:t xml:space="preserve">è utilizzato come misura dell’inflazione per l’intero sistema economico; </w:t>
      </w:r>
    </w:p>
    <w:p w:rsidR="00FC4BD2" w:rsidRPr="00AC2EF0" w:rsidRDefault="00FC4BD2" w:rsidP="00FC4BD2">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AC2EF0">
        <w:rPr>
          <w:rFonts w:ascii="Arial" w:hAnsi="Arial" w:cs="Arial"/>
          <w:b/>
          <w:bCs/>
          <w:szCs w:val="21"/>
        </w:rPr>
        <w:t xml:space="preserve">l’indice dei prezzi al consumo per le famiglie di operai e impiegati (FOI) </w:t>
      </w:r>
      <w:r w:rsidRPr="00AC2EF0">
        <w:rPr>
          <w:rFonts w:ascii="Arial" w:hAnsi="Arial" w:cs="Arial"/>
          <w:szCs w:val="21"/>
        </w:rPr>
        <w:t xml:space="preserve">si riferisce ai consumi dell’insieme delle famiglie che fanno capo ad un lavoratore dipendente; </w:t>
      </w:r>
    </w:p>
    <w:p w:rsidR="00FC4BD2" w:rsidRDefault="00FC4BD2" w:rsidP="00FC4BD2">
      <w:pPr>
        <w:numPr>
          <w:ilvl w:val="0"/>
          <w:numId w:val="2"/>
        </w:numPr>
        <w:tabs>
          <w:tab w:val="left" w:pos="284"/>
          <w:tab w:val="left" w:pos="1843"/>
          <w:tab w:val="left" w:pos="2127"/>
          <w:tab w:val="left" w:pos="2410"/>
        </w:tabs>
        <w:spacing w:before="0" w:after="120"/>
        <w:ind w:left="0" w:firstLine="0"/>
        <w:jc w:val="both"/>
        <w:rPr>
          <w:rFonts w:ascii="Arial" w:hAnsi="Arial" w:cs="Arial"/>
          <w:i/>
          <w:iCs/>
          <w:szCs w:val="21"/>
        </w:rPr>
      </w:pPr>
      <w:r>
        <w:rPr>
          <w:rFonts w:ascii="Arial" w:hAnsi="Arial" w:cs="Arial"/>
          <w:b/>
          <w:bCs/>
          <w:szCs w:val="21"/>
        </w:rPr>
        <w:t xml:space="preserve">l’indice dei prezzi al consumo armonizzato per i paesi dell’Unione europea (IPCA) </w:t>
      </w:r>
      <w:r>
        <w:rPr>
          <w:rFonts w:ascii="Arial" w:hAnsi="Arial" w:cs="Arial"/>
          <w:szCs w:val="21"/>
        </w:rPr>
        <w:t xml:space="preserve">assicura una misura dell’inflazione comparabile tra i diversi paesi europei, attraverso l’adozione di un impianto concettuale, metodologico e tecnico condiviso. </w:t>
      </w:r>
      <w:r w:rsidRPr="00E250D1">
        <w:rPr>
          <w:rFonts w:ascii="Arial" w:hAnsi="Arial" w:cs="Arial"/>
          <w:szCs w:val="21"/>
        </w:rPr>
        <w:t>In</w:t>
      </w:r>
      <w:r>
        <w:rPr>
          <w:rFonts w:ascii="Arial" w:hAnsi="Arial" w:cs="Arial"/>
          <w:szCs w:val="21"/>
        </w:rPr>
        <w:t xml:space="preserve"> ottemperanza alla normativa europea, e coerentemente agli standard previsti dai regolamenti, l’indice IPCA è elaborato anche nella versione “a tassazione costante (IPCA-TC)”.</w:t>
      </w:r>
    </w:p>
    <w:p w:rsidR="00FC4BD2" w:rsidRDefault="00FC4BD2" w:rsidP="00FC4BD2">
      <w:pPr>
        <w:spacing w:before="0" w:after="120"/>
        <w:jc w:val="both"/>
        <w:rPr>
          <w:rFonts w:ascii="Arial" w:hAnsi="Arial" w:cs="Arial"/>
          <w:szCs w:val="21"/>
        </w:rPr>
      </w:pPr>
      <w:r w:rsidRPr="009D6334">
        <w:rPr>
          <w:rFonts w:ascii="Arial" w:hAnsi="Arial" w:cs="Arial"/>
          <w:szCs w:val="21"/>
        </w:rPr>
        <w:t>Le serie degli indici nazionali NIC e FOI hanno base di riferimento 2015=100.</w:t>
      </w:r>
      <w:r>
        <w:rPr>
          <w:rFonts w:ascii="Arial" w:hAnsi="Arial" w:cs="Arial"/>
          <w:szCs w:val="21"/>
        </w:rPr>
        <w:t xml:space="preserve"> </w:t>
      </w:r>
      <w:r w:rsidRPr="009D6334">
        <w:rPr>
          <w:rFonts w:ascii="Arial" w:hAnsi="Arial" w:cs="Arial"/>
          <w:szCs w:val="21"/>
        </w:rPr>
        <w:t xml:space="preserve">Anche l’indice IPCA è calcolato e diffuso con base di riferimento 2015=100, in linea con gli altri Paesi dell’Unione europea e in conformità al </w:t>
      </w:r>
      <w:hyperlink r:id="rId38" w:history="1">
        <w:r w:rsidRPr="00126020">
          <w:rPr>
            <w:rStyle w:val="Collegamentoipertestuale"/>
            <w:rFonts w:ascii="Arial" w:hAnsi="Arial" w:cs="Arial"/>
            <w:b/>
            <w:szCs w:val="21"/>
          </w:rPr>
          <w:t>Regolamento (UE) n. 2016/792</w:t>
        </w:r>
      </w:hyperlink>
      <w:r w:rsidRPr="009D6334">
        <w:rPr>
          <w:rFonts w:ascii="Arial" w:hAnsi="Arial" w:cs="Arial"/>
          <w:szCs w:val="21"/>
        </w:rPr>
        <w:t xml:space="preserve"> </w:t>
      </w:r>
      <w:r w:rsidRPr="00E250D1">
        <w:rPr>
          <w:rFonts w:ascii="Arial" w:hAnsi="Arial" w:cs="Arial"/>
          <w:szCs w:val="21"/>
        </w:rPr>
        <w:t>del Parlamento e del Consiglio</w:t>
      </w:r>
      <w:r w:rsidRPr="00651A91">
        <w:t xml:space="preserve"> </w:t>
      </w:r>
      <w:r w:rsidRPr="00651A91">
        <w:rPr>
          <w:rFonts w:ascii="Arial" w:hAnsi="Arial" w:cs="Arial"/>
          <w:szCs w:val="21"/>
        </w:rPr>
        <w:t xml:space="preserve">e con il </w:t>
      </w:r>
      <w:hyperlink r:id="rId39" w:history="1">
        <w:r w:rsidRPr="00651A91">
          <w:rPr>
            <w:rStyle w:val="Collegamentoipertestuale"/>
            <w:rFonts w:ascii="Arial" w:hAnsi="Arial" w:cs="Arial"/>
            <w:b/>
            <w:szCs w:val="21"/>
          </w:rPr>
          <w:t>Regolamento di Esecuzione (UE) n. 2020/1148</w:t>
        </w:r>
      </w:hyperlink>
      <w:r w:rsidRPr="00651A91">
        <w:rPr>
          <w:rFonts w:ascii="Arial" w:hAnsi="Arial" w:cs="Arial"/>
          <w:szCs w:val="21"/>
        </w:rPr>
        <w:t xml:space="preserve"> della </w:t>
      </w:r>
      <w:r>
        <w:rPr>
          <w:rFonts w:ascii="Arial" w:hAnsi="Arial" w:cs="Arial"/>
          <w:szCs w:val="21"/>
        </w:rPr>
        <w:t>Commissione del 31 luglio 2020.</w:t>
      </w:r>
    </w:p>
    <w:p w:rsidR="00FC4BD2" w:rsidRDefault="00FC4BD2" w:rsidP="00FC4BD2">
      <w:pPr>
        <w:spacing w:before="0" w:after="120"/>
        <w:jc w:val="both"/>
        <w:rPr>
          <w:rFonts w:ascii="Arial" w:hAnsi="Arial" w:cs="Arial"/>
          <w:szCs w:val="21"/>
        </w:rPr>
      </w:pPr>
      <w:r w:rsidRPr="00A32505">
        <w:rPr>
          <w:rFonts w:ascii="Arial" w:hAnsi="Arial" w:cs="Arial"/>
          <w:szCs w:val="21"/>
        </w:rPr>
        <w:t xml:space="preserve">La rilevazione dei prezzi al consumo è </w:t>
      </w:r>
      <w:r>
        <w:rPr>
          <w:rFonts w:ascii="Arial" w:hAnsi="Arial" w:cs="Arial"/>
          <w:szCs w:val="21"/>
        </w:rPr>
        <w:t>disciplinata anche da diverse</w:t>
      </w:r>
      <w:r w:rsidRPr="00A32505">
        <w:rPr>
          <w:rFonts w:ascii="Arial" w:hAnsi="Arial" w:cs="Arial"/>
          <w:szCs w:val="21"/>
        </w:rPr>
        <w:t xml:space="preserve"> leggi e regolamenti</w:t>
      </w:r>
      <w:r>
        <w:rPr>
          <w:rFonts w:ascii="Arial" w:hAnsi="Arial" w:cs="Arial"/>
          <w:szCs w:val="21"/>
        </w:rPr>
        <w:t xml:space="preserve"> che </w:t>
      </w:r>
      <w:r w:rsidRPr="00A32505">
        <w:rPr>
          <w:rFonts w:ascii="Arial" w:hAnsi="Arial" w:cs="Arial"/>
          <w:szCs w:val="21"/>
        </w:rPr>
        <w:t xml:space="preserve">definiscono </w:t>
      </w:r>
      <w:r>
        <w:rPr>
          <w:rFonts w:ascii="Arial" w:hAnsi="Arial" w:cs="Arial"/>
          <w:szCs w:val="21"/>
        </w:rPr>
        <w:t xml:space="preserve">i </w:t>
      </w:r>
      <w:r w:rsidRPr="00A32505">
        <w:rPr>
          <w:rFonts w:ascii="Arial" w:hAnsi="Arial" w:cs="Arial"/>
          <w:szCs w:val="21"/>
        </w:rPr>
        <w:t xml:space="preserve">soggetti </w:t>
      </w:r>
      <w:r>
        <w:rPr>
          <w:rFonts w:ascii="Arial" w:hAnsi="Arial" w:cs="Arial"/>
          <w:szCs w:val="21"/>
        </w:rPr>
        <w:t>coinvolti (l’</w:t>
      </w:r>
      <w:r w:rsidRPr="00A32505">
        <w:rPr>
          <w:rFonts w:ascii="Arial" w:hAnsi="Arial" w:cs="Arial"/>
          <w:szCs w:val="21"/>
        </w:rPr>
        <w:t>Istituto nazionale di statistica e i Comuni</w:t>
      </w:r>
      <w:r>
        <w:rPr>
          <w:rFonts w:ascii="Arial" w:hAnsi="Arial" w:cs="Arial"/>
          <w:szCs w:val="21"/>
        </w:rPr>
        <w:t>)</w:t>
      </w:r>
      <w:r w:rsidRPr="00A32505">
        <w:rPr>
          <w:rFonts w:ascii="Arial" w:hAnsi="Arial" w:cs="Arial"/>
          <w:szCs w:val="21"/>
        </w:rPr>
        <w:t xml:space="preserve"> e </w:t>
      </w:r>
      <w:r>
        <w:rPr>
          <w:rFonts w:ascii="Arial" w:hAnsi="Arial" w:cs="Arial"/>
          <w:szCs w:val="21"/>
        </w:rPr>
        <w:t xml:space="preserve">le relative </w:t>
      </w:r>
      <w:r w:rsidRPr="00E250D1">
        <w:rPr>
          <w:rFonts w:ascii="Arial" w:hAnsi="Arial" w:cs="Arial"/>
          <w:szCs w:val="21"/>
        </w:rPr>
        <w:t>funzioni:</w:t>
      </w:r>
    </w:p>
    <w:p w:rsidR="00FC4BD2" w:rsidRPr="00936CFD" w:rsidRDefault="00FC4BD2" w:rsidP="00FC4BD2">
      <w:pPr>
        <w:numPr>
          <w:ilvl w:val="0"/>
          <w:numId w:val="6"/>
        </w:numPr>
        <w:spacing w:before="0" w:after="0"/>
        <w:ind w:left="426" w:hanging="284"/>
        <w:jc w:val="both"/>
        <w:rPr>
          <w:rFonts w:ascii="Arial" w:hAnsi="Arial" w:cs="Arial"/>
          <w:spacing w:val="-4"/>
          <w:szCs w:val="21"/>
        </w:rPr>
      </w:pPr>
      <w:r w:rsidRPr="00E250D1">
        <w:rPr>
          <w:rFonts w:ascii="Arial" w:hAnsi="Arial" w:cs="Arial"/>
          <w:szCs w:val="21"/>
        </w:rPr>
        <w:t xml:space="preserve">il </w:t>
      </w:r>
      <w:r w:rsidRPr="00E250D1">
        <w:rPr>
          <w:rFonts w:ascii="Arial" w:hAnsi="Arial" w:cs="Arial"/>
          <w:b/>
          <w:szCs w:val="21"/>
        </w:rPr>
        <w:t xml:space="preserve">Regio Decreto Legge </w:t>
      </w:r>
      <w:r w:rsidRPr="00E250D1">
        <w:rPr>
          <w:rFonts w:ascii="Arial" w:hAnsi="Arial" w:cs="Arial"/>
          <w:b/>
          <w:iCs/>
          <w:szCs w:val="21"/>
        </w:rPr>
        <w:t>n. 222/1927</w:t>
      </w:r>
      <w:r w:rsidRPr="00E250D1">
        <w:rPr>
          <w:rFonts w:ascii="Arial" w:hAnsi="Arial" w:cs="Arial"/>
          <w:szCs w:val="21"/>
        </w:rPr>
        <w:t>, che</w:t>
      </w:r>
      <w:r>
        <w:rPr>
          <w:rFonts w:ascii="Arial" w:hAnsi="Arial" w:cs="Arial"/>
          <w:i/>
          <w:iCs/>
          <w:szCs w:val="21"/>
        </w:rPr>
        <w:t xml:space="preserve"> </w:t>
      </w:r>
      <w:r>
        <w:rPr>
          <w:rFonts w:ascii="Arial" w:hAnsi="Arial" w:cs="Arial"/>
          <w:szCs w:val="21"/>
        </w:rPr>
        <w:t>conferisce l’incarico all’Istituto centrale di statistica di promuovere la formazione di indici del costo della vita in tutti i comuni con più di 100.000 abitanti e in altri, preferibilmente scelti tra i capoluoghi di provincia o tra quelli con più di 50.000 abitanti che abbiano uffici di statistica idonei;</w:t>
      </w:r>
    </w:p>
    <w:p w:rsidR="00FC4BD2" w:rsidRPr="00BE18E0" w:rsidRDefault="00FC4BD2" w:rsidP="00FC4BD2">
      <w:pPr>
        <w:numPr>
          <w:ilvl w:val="0"/>
          <w:numId w:val="6"/>
        </w:numPr>
        <w:spacing w:before="0" w:after="0"/>
        <w:ind w:left="426" w:hanging="284"/>
        <w:jc w:val="both"/>
        <w:rPr>
          <w:rFonts w:ascii="Arial" w:hAnsi="Arial" w:cs="Arial"/>
          <w:spacing w:val="-4"/>
          <w:szCs w:val="21"/>
        </w:rPr>
      </w:pPr>
      <w:r w:rsidRPr="00BE18E0">
        <w:rPr>
          <w:rFonts w:ascii="Arial" w:hAnsi="Arial" w:cs="Arial"/>
          <w:color w:val="000000"/>
          <w:szCs w:val="21"/>
        </w:rPr>
        <w:t xml:space="preserve">la </w:t>
      </w:r>
      <w:r w:rsidRPr="00BE18E0">
        <w:rPr>
          <w:rFonts w:ascii="Arial" w:hAnsi="Arial" w:cs="Arial"/>
          <w:b/>
          <w:iCs/>
          <w:szCs w:val="21"/>
        </w:rPr>
        <w:t>Legge n. 621/1975</w:t>
      </w:r>
      <w:r w:rsidRPr="00BE18E0">
        <w:rPr>
          <w:rFonts w:ascii="Arial" w:hAnsi="Arial" w:cs="Arial"/>
          <w:i/>
          <w:iCs/>
          <w:szCs w:val="21"/>
        </w:rPr>
        <w:t xml:space="preserve"> </w:t>
      </w:r>
      <w:r w:rsidRPr="00BE18E0">
        <w:rPr>
          <w:rFonts w:ascii="Arial" w:hAnsi="Arial" w:cs="Arial"/>
          <w:color w:val="000000"/>
          <w:szCs w:val="21"/>
        </w:rPr>
        <w:t>modifica come di seguito il regio decreto relativamente ai comuni cui spetta l’obbligo di condurre l’indagine sui prezzi al consumo: “tra i comuni di cui all’art. 1 … devono intendersi compresi tutti i comuni capoluogo di provincia e quelli con oltre 30.000 abitanti che abbiano un ufficio di statistica idoneo”</w:t>
      </w:r>
      <w:r>
        <w:rPr>
          <w:rFonts w:ascii="Arial" w:hAnsi="Arial" w:cs="Arial"/>
          <w:color w:val="000000"/>
          <w:szCs w:val="21"/>
        </w:rPr>
        <w:t>;</w:t>
      </w:r>
    </w:p>
    <w:p w:rsidR="00FC4BD2" w:rsidRPr="0022162A" w:rsidRDefault="00FC4BD2" w:rsidP="00FC4BD2">
      <w:pPr>
        <w:numPr>
          <w:ilvl w:val="0"/>
          <w:numId w:val="6"/>
        </w:numPr>
        <w:spacing w:before="0" w:after="0"/>
        <w:ind w:left="426" w:hanging="284"/>
        <w:jc w:val="both"/>
        <w:rPr>
          <w:rFonts w:ascii="Arial" w:hAnsi="Arial" w:cs="Arial"/>
          <w:spacing w:val="-4"/>
          <w:szCs w:val="21"/>
        </w:rPr>
      </w:pPr>
      <w:r>
        <w:rPr>
          <w:rFonts w:ascii="Arial" w:hAnsi="Arial" w:cs="Arial"/>
          <w:szCs w:val="21"/>
        </w:rPr>
        <w:t xml:space="preserve">il </w:t>
      </w:r>
      <w:hyperlink r:id="rId40" w:history="1">
        <w:proofErr w:type="spellStart"/>
        <w:r w:rsidRPr="00126020">
          <w:rPr>
            <w:rStyle w:val="Collegamentoipertestuale"/>
            <w:rFonts w:ascii="Arial" w:hAnsi="Arial" w:cs="Arial"/>
            <w:b/>
            <w:szCs w:val="21"/>
          </w:rPr>
          <w:t>D.lgs</w:t>
        </w:r>
        <w:proofErr w:type="spellEnd"/>
        <w:r w:rsidRPr="00126020">
          <w:rPr>
            <w:rStyle w:val="Collegamentoipertestuale"/>
            <w:rFonts w:ascii="Arial" w:hAnsi="Arial" w:cs="Arial"/>
            <w:b/>
            <w:szCs w:val="21"/>
          </w:rPr>
          <w:t xml:space="preserve"> n. 322/1989</w:t>
        </w:r>
      </w:hyperlink>
      <w:r w:rsidRPr="00881841">
        <w:rPr>
          <w:rFonts w:ascii="Arial" w:hAnsi="Arial" w:cs="Arial"/>
          <w:color w:val="000000"/>
          <w:szCs w:val="21"/>
        </w:rPr>
        <w:t>,</w:t>
      </w:r>
      <w:r>
        <w:rPr>
          <w:rFonts w:ascii="Arial" w:hAnsi="Arial" w:cs="Arial"/>
          <w:i/>
          <w:iCs/>
          <w:szCs w:val="21"/>
        </w:rPr>
        <w:t xml:space="preserve"> </w:t>
      </w:r>
      <w:r w:rsidRPr="00881841">
        <w:rPr>
          <w:rFonts w:ascii="Arial" w:hAnsi="Arial" w:cs="Arial"/>
          <w:color w:val="000000"/>
          <w:szCs w:val="21"/>
        </w:rPr>
        <w:t xml:space="preserve">che </w:t>
      </w:r>
      <w:r>
        <w:rPr>
          <w:rFonts w:ascii="Arial" w:hAnsi="Arial" w:cs="Arial"/>
          <w:color w:val="000000"/>
          <w:szCs w:val="21"/>
        </w:rPr>
        <w:t>disciplina le attività di rilevazione, elaborazione, analisi e diffusione e archiviazione dei dati statistici svolte dagli enti e organismi pubblici di informazione statistica, al fine di realizzare l’unità di indirizzo, l’omogeneità organizzativa e la razionalizzazione dei flussi a livello centrale e locale.</w:t>
      </w:r>
    </w:p>
    <w:p w:rsidR="00FC4BD2" w:rsidRPr="005F5A44" w:rsidRDefault="00FC4BD2" w:rsidP="00FC4BD2">
      <w:pPr>
        <w:spacing w:before="0" w:after="120"/>
        <w:jc w:val="both"/>
        <w:rPr>
          <w:rFonts w:ascii="Arial" w:hAnsi="Arial" w:cs="Arial"/>
          <w:sz w:val="16"/>
        </w:rPr>
      </w:pPr>
    </w:p>
    <w:p w:rsidR="00FC4BD2" w:rsidRPr="00C8504B" w:rsidRDefault="00FC4BD2" w:rsidP="00FC4BD2">
      <w:pPr>
        <w:spacing w:before="0" w:after="120"/>
        <w:jc w:val="both"/>
        <w:rPr>
          <w:rFonts w:ascii="Arial" w:hAnsi="Arial" w:cs="Arial"/>
          <w:b/>
          <w:sz w:val="22"/>
          <w:szCs w:val="22"/>
        </w:rPr>
      </w:pPr>
      <w:r w:rsidRPr="00C8504B">
        <w:rPr>
          <w:rFonts w:ascii="Arial" w:hAnsi="Arial" w:cs="Arial"/>
          <w:b/>
          <w:sz w:val="22"/>
          <w:szCs w:val="22"/>
        </w:rPr>
        <w:t xml:space="preserve">Copertura dell’indagine e organizzazione della rilevazione </w:t>
      </w:r>
    </w:p>
    <w:p w:rsidR="00FC4BD2" w:rsidRDefault="00FC4BD2" w:rsidP="00FC4BD2">
      <w:pPr>
        <w:spacing w:before="0" w:after="80"/>
        <w:jc w:val="both"/>
        <w:rPr>
          <w:rFonts w:ascii="Arial" w:hAnsi="Arial" w:cs="Arial"/>
          <w:szCs w:val="21"/>
        </w:rPr>
      </w:pPr>
      <w:r>
        <w:rPr>
          <w:rFonts w:ascii="Arial" w:hAnsi="Arial" w:cs="Arial"/>
          <w:szCs w:val="21"/>
        </w:rPr>
        <w:t xml:space="preserve">I dati che concorrono alla costruzione degli indici mensili dei prezzi al consumo sono raccolti attraverso l’utilizzo di una pluralità di fonti: la </w:t>
      </w:r>
      <w:r w:rsidRPr="00161B2D">
        <w:rPr>
          <w:rFonts w:ascii="Arial" w:hAnsi="Arial" w:cs="Arial"/>
          <w:i/>
          <w:szCs w:val="21"/>
        </w:rPr>
        <w:t>rilevazione territoriale</w:t>
      </w:r>
      <w:r>
        <w:rPr>
          <w:rFonts w:ascii="Arial" w:hAnsi="Arial" w:cs="Arial"/>
          <w:szCs w:val="21"/>
        </w:rPr>
        <w:t>, condotta dagli Uffici comunali di statistica (UCS);</w:t>
      </w:r>
      <w:r w:rsidRPr="005B714C">
        <w:rPr>
          <w:rFonts w:ascii="Arial" w:hAnsi="Arial" w:cs="Arial"/>
          <w:szCs w:val="21"/>
        </w:rPr>
        <w:t xml:space="preserve"> </w:t>
      </w:r>
      <w:r w:rsidRPr="00161B2D">
        <w:rPr>
          <w:rFonts w:ascii="Arial" w:hAnsi="Arial" w:cs="Arial"/>
          <w:szCs w:val="21"/>
        </w:rPr>
        <w:t xml:space="preserve">la </w:t>
      </w:r>
      <w:r w:rsidRPr="00161B2D">
        <w:rPr>
          <w:rFonts w:ascii="Arial" w:hAnsi="Arial" w:cs="Arial"/>
          <w:i/>
          <w:szCs w:val="21"/>
        </w:rPr>
        <w:t>rilevazione centralizzata</w:t>
      </w:r>
      <w:r w:rsidRPr="00161B2D">
        <w:rPr>
          <w:rFonts w:ascii="Arial" w:hAnsi="Arial" w:cs="Arial"/>
          <w:szCs w:val="21"/>
        </w:rPr>
        <w:t xml:space="preserve">, </w:t>
      </w:r>
      <w:r>
        <w:rPr>
          <w:rFonts w:ascii="Arial" w:hAnsi="Arial" w:cs="Arial"/>
          <w:szCs w:val="21"/>
        </w:rPr>
        <w:t xml:space="preserve">condotta dall’Istat </w:t>
      </w:r>
      <w:r w:rsidRPr="00161B2D">
        <w:rPr>
          <w:rFonts w:ascii="Arial" w:hAnsi="Arial" w:cs="Arial"/>
          <w:szCs w:val="21"/>
        </w:rPr>
        <w:t xml:space="preserve">direttamente </w:t>
      </w:r>
      <w:r>
        <w:rPr>
          <w:rFonts w:ascii="Arial" w:hAnsi="Arial" w:cs="Arial"/>
          <w:szCs w:val="21"/>
        </w:rPr>
        <w:t xml:space="preserve">o attraverso la collaborazione con grandi fornitori di dati; </w:t>
      </w:r>
      <w:proofErr w:type="gramStart"/>
      <w:r>
        <w:rPr>
          <w:rFonts w:ascii="Arial" w:hAnsi="Arial" w:cs="Arial"/>
          <w:szCs w:val="21"/>
        </w:rPr>
        <w:t xml:space="preserve">gli </w:t>
      </w:r>
      <w:r w:rsidRPr="00FA5D30">
        <w:rPr>
          <w:rFonts w:ascii="Arial" w:hAnsi="Arial" w:cs="Arial"/>
          <w:szCs w:val="21"/>
        </w:rPr>
        <w:t>scanner</w:t>
      </w:r>
      <w:proofErr w:type="gramEnd"/>
      <w:r w:rsidRPr="00FA5D30">
        <w:rPr>
          <w:rFonts w:ascii="Arial" w:hAnsi="Arial" w:cs="Arial"/>
          <w:szCs w:val="21"/>
        </w:rPr>
        <w:t xml:space="preserve"> data</w:t>
      </w:r>
      <w:r>
        <w:rPr>
          <w:rFonts w:ascii="Arial" w:hAnsi="Arial" w:cs="Arial"/>
          <w:szCs w:val="21"/>
        </w:rPr>
        <w:t xml:space="preserve"> provenienti dalla Grande Distribuzione Organizzata (GDO); la </w:t>
      </w:r>
      <w:r w:rsidRPr="001F3EF6">
        <w:rPr>
          <w:rFonts w:ascii="Arial" w:hAnsi="Arial" w:cs="Arial"/>
          <w:i/>
          <w:szCs w:val="21"/>
        </w:rPr>
        <w:t>fonte amministrativa</w:t>
      </w:r>
      <w:r>
        <w:rPr>
          <w:rFonts w:ascii="Arial" w:hAnsi="Arial" w:cs="Arial"/>
          <w:szCs w:val="21"/>
        </w:rPr>
        <w:t>.</w:t>
      </w:r>
      <w:r w:rsidRPr="00161B2D">
        <w:rPr>
          <w:rFonts w:ascii="Arial" w:hAnsi="Arial" w:cs="Arial"/>
          <w:szCs w:val="21"/>
        </w:rPr>
        <w:t xml:space="preserve"> </w:t>
      </w:r>
    </w:p>
    <w:p w:rsidR="00FC4BD2" w:rsidRPr="008A6A18" w:rsidRDefault="00FC4BD2" w:rsidP="00FC4BD2">
      <w:pPr>
        <w:jc w:val="both"/>
        <w:rPr>
          <w:rFonts w:ascii="Arial" w:hAnsi="Arial" w:cs="Arial"/>
          <w:szCs w:val="21"/>
        </w:rPr>
      </w:pPr>
      <w:r w:rsidRPr="001E01EB">
        <w:rPr>
          <w:rFonts w:ascii="Arial" w:hAnsi="Arial" w:cs="Arial"/>
          <w:szCs w:val="21"/>
        </w:rPr>
        <w:t>Nel 2022, i prodotti rilevati in modo esclusivo mediante la rilevazione territoriale ammontano, in termini di peso, a circa il 51,</w:t>
      </w:r>
      <w:r>
        <w:rPr>
          <w:rFonts w:ascii="Arial" w:hAnsi="Arial" w:cs="Arial"/>
          <w:szCs w:val="21"/>
        </w:rPr>
        <w:t>7</w:t>
      </w:r>
      <w:r w:rsidRPr="001E01EB">
        <w:rPr>
          <w:rFonts w:ascii="Arial" w:hAnsi="Arial" w:cs="Arial"/>
          <w:szCs w:val="21"/>
        </w:rPr>
        <w:t>% del paniere (dal 56,2% nel 2021), contro il 22,</w:t>
      </w:r>
      <w:r>
        <w:rPr>
          <w:rFonts w:ascii="Arial" w:hAnsi="Arial" w:cs="Arial"/>
          <w:szCs w:val="21"/>
        </w:rPr>
        <w:t>3</w:t>
      </w:r>
      <w:r w:rsidRPr="001E01EB">
        <w:rPr>
          <w:rFonts w:ascii="Arial" w:hAnsi="Arial" w:cs="Arial"/>
          <w:szCs w:val="21"/>
        </w:rPr>
        <w:t xml:space="preserve">% dei beni e servizi a rilevazione esclusivamente centralizzata (dal 22,8% nel 2021). Tramite l’acquisizione dei dati scanner dalla GDO vengono rilevati tutti i prodotti cosiddetti </w:t>
      </w:r>
      <w:r w:rsidRPr="00AD74D1">
        <w:rPr>
          <w:rFonts w:ascii="Arial" w:hAnsi="Arial" w:cs="Arial"/>
          <w:i/>
          <w:szCs w:val="21"/>
        </w:rPr>
        <w:t xml:space="preserve">grocery </w:t>
      </w:r>
      <w:r w:rsidRPr="00AD74D1">
        <w:rPr>
          <w:rFonts w:ascii="Arial" w:hAnsi="Arial" w:cs="Arial"/>
          <w:szCs w:val="21"/>
        </w:rPr>
        <w:t>(</w:t>
      </w:r>
      <w:r>
        <w:rPr>
          <w:rFonts w:ascii="Arial" w:hAnsi="Arial" w:cs="Arial"/>
          <w:szCs w:val="21"/>
        </w:rPr>
        <w:t>beni alimentari confezionati e beni per la cura della casa e della persona)</w:t>
      </w:r>
      <w:r w:rsidRPr="006D152C">
        <w:rPr>
          <w:rFonts w:ascii="Arial" w:hAnsi="Arial" w:cs="Arial"/>
          <w:szCs w:val="21"/>
        </w:rPr>
        <w:t>,</w:t>
      </w:r>
      <w:r w:rsidRPr="001E01EB">
        <w:rPr>
          <w:rFonts w:ascii="Arial" w:hAnsi="Arial" w:cs="Arial"/>
          <w:szCs w:val="21"/>
        </w:rPr>
        <w:t xml:space="preserve"> che rappresentano il </w:t>
      </w:r>
      <w:r>
        <w:rPr>
          <w:rFonts w:ascii="Arial" w:hAnsi="Arial" w:cs="Arial"/>
          <w:szCs w:val="21"/>
        </w:rPr>
        <w:t>12,9</w:t>
      </w:r>
      <w:r w:rsidRPr="001E01EB">
        <w:rPr>
          <w:rFonts w:ascii="Arial" w:hAnsi="Arial" w:cs="Arial"/>
          <w:szCs w:val="21"/>
        </w:rPr>
        <w:t>% in termini di peso. A queste tre modalità si aggiunge l’utilizzo delle fonti amministrative: la base dati</w:t>
      </w:r>
      <w:r>
        <w:rPr>
          <w:rFonts w:ascii="Arial" w:hAnsi="Arial" w:cs="Arial"/>
          <w:szCs w:val="21"/>
        </w:rPr>
        <w:t xml:space="preserve"> MISE dei prezzi dei carburanti,</w:t>
      </w:r>
      <w:r w:rsidRPr="001E01EB">
        <w:rPr>
          <w:rFonts w:ascii="Arial" w:hAnsi="Arial" w:cs="Arial"/>
          <w:szCs w:val="21"/>
        </w:rPr>
        <w:t xml:space="preserve"> che pesa per il 4,5% sul paniere, </w:t>
      </w:r>
      <w:r>
        <w:rPr>
          <w:rFonts w:ascii="Arial" w:hAnsi="Arial" w:cs="Arial"/>
          <w:szCs w:val="21"/>
        </w:rPr>
        <w:t>i dati forniti dall</w:t>
      </w:r>
      <w:r w:rsidRPr="001E01EB">
        <w:rPr>
          <w:rFonts w:ascii="Arial" w:hAnsi="Arial" w:cs="Arial"/>
          <w:szCs w:val="21"/>
        </w:rPr>
        <w:t>’Osservatorio immobiliare dell’Agenzia delle entrate (</w:t>
      </w:r>
      <w:r>
        <w:rPr>
          <w:rFonts w:ascii="Arial" w:hAnsi="Arial" w:cs="Arial"/>
          <w:szCs w:val="21"/>
        </w:rPr>
        <w:t>il cui utilizzo è stato avviato</w:t>
      </w:r>
      <w:r w:rsidRPr="001E01EB">
        <w:rPr>
          <w:rFonts w:ascii="Arial" w:hAnsi="Arial" w:cs="Arial"/>
          <w:szCs w:val="21"/>
        </w:rPr>
        <w:t xml:space="preserve"> quest’anno) per la rilevazione dei prezzi degli Affitti reali per abitazioni di privati che pesa per il 2,7% e l’Agenzia delle dogane e dei monopoli per la rilevazione dei tabacchi che incide sul paniere per il 2,</w:t>
      </w:r>
      <w:r>
        <w:rPr>
          <w:rFonts w:ascii="Arial" w:hAnsi="Arial" w:cs="Arial"/>
          <w:szCs w:val="21"/>
        </w:rPr>
        <w:t>2</w:t>
      </w:r>
      <w:r w:rsidRPr="001E01EB">
        <w:rPr>
          <w:rFonts w:ascii="Arial" w:hAnsi="Arial" w:cs="Arial"/>
          <w:szCs w:val="21"/>
        </w:rPr>
        <w:t>%. Infine per alcuni p</w:t>
      </w:r>
      <w:r>
        <w:rPr>
          <w:rFonts w:ascii="Arial" w:hAnsi="Arial" w:cs="Arial"/>
          <w:szCs w:val="21"/>
        </w:rPr>
        <w:t>rodotti, che incidono per il 3,7</w:t>
      </w:r>
      <w:r w:rsidRPr="001E01EB">
        <w:rPr>
          <w:rFonts w:ascii="Arial" w:hAnsi="Arial" w:cs="Arial"/>
          <w:szCs w:val="21"/>
        </w:rPr>
        <w:t>%, la rilevazione viene effettuata con modalità mista.</w:t>
      </w:r>
    </w:p>
    <w:p w:rsidR="00FC4BD2" w:rsidRDefault="00FC4BD2" w:rsidP="00FC4BD2">
      <w:pPr>
        <w:spacing w:before="0" w:after="120"/>
        <w:jc w:val="both"/>
        <w:rPr>
          <w:rFonts w:ascii="Arial" w:hAnsi="Arial" w:cs="Arial"/>
        </w:rPr>
      </w:pPr>
      <w:r>
        <w:rPr>
          <w:rFonts w:ascii="Arial" w:hAnsi="Arial" w:cs="Arial"/>
          <w:szCs w:val="21"/>
        </w:rPr>
        <w:t>Nel 2022 i comuni che concorrono al calcolo degli indici sono 80 per tutti gli aggregati di prodotto del paniere (di cui 19 capoluoghi di regione, 60 capoluoghi di provincia, 1 comune non capoluogo con più di 30.000 abitanti</w:t>
      </w:r>
      <w:r>
        <w:rPr>
          <w:rStyle w:val="Rimandonotaapidipagina"/>
          <w:rFonts w:ascii="Arial" w:hAnsi="Arial" w:cs="Arial"/>
          <w:szCs w:val="21"/>
        </w:rPr>
        <w:footnoteReference w:id="1"/>
      </w:r>
      <w:r>
        <w:rPr>
          <w:rFonts w:ascii="Arial" w:hAnsi="Arial" w:cs="Arial"/>
          <w:szCs w:val="21"/>
        </w:rPr>
        <w:t>); sono invece 12 i comuni</w:t>
      </w:r>
      <w:r>
        <w:rPr>
          <w:rStyle w:val="Rimandonotaapidipagina"/>
          <w:rFonts w:ascii="Arial" w:hAnsi="Arial"/>
          <w:szCs w:val="21"/>
        </w:rPr>
        <w:footnoteReference w:id="2"/>
      </w:r>
      <w:r>
        <w:rPr>
          <w:rFonts w:ascii="Arial" w:hAnsi="Arial" w:cs="Arial"/>
          <w:szCs w:val="21"/>
        </w:rPr>
        <w:t xml:space="preserve"> che partecipano al calcolo degli indici per un sottoinsieme di prodotti (</w:t>
      </w:r>
      <w:r>
        <w:rPr>
          <w:rFonts w:ascii="Arial" w:hAnsi="Arial" w:cs="Arial"/>
        </w:rPr>
        <w:t>tariffe locali quali fornitura acqua, raccolta rifiuti, raccolta acque reflue, gas di rete per uso domestico, trasporti urbani, taxi, mense scolastiche, nido d’infanzia comunale, e altri servizi come manifestazioni sportive, cinema, spettacoli teatrali, istruzione secondaria superiore, mense universitarie, ecc.).</w:t>
      </w:r>
    </w:p>
    <w:p w:rsidR="00FC4BD2" w:rsidRDefault="00FC4BD2" w:rsidP="00FC4BD2">
      <w:pPr>
        <w:widowControl/>
        <w:overflowPunct/>
        <w:spacing w:before="120" w:after="60"/>
        <w:jc w:val="both"/>
        <w:rPr>
          <w:rFonts w:ascii="Arial" w:hAnsi="Arial" w:cs="Arial"/>
          <w:szCs w:val="21"/>
        </w:rPr>
      </w:pPr>
    </w:p>
    <w:p w:rsidR="00FC4BD2" w:rsidRDefault="00FC4BD2" w:rsidP="00FC4BD2">
      <w:pPr>
        <w:widowControl/>
        <w:overflowPunct/>
        <w:spacing w:before="120" w:after="60"/>
        <w:jc w:val="both"/>
        <w:rPr>
          <w:rFonts w:ascii="Arial" w:hAnsi="Arial" w:cs="Arial"/>
          <w:szCs w:val="21"/>
        </w:rPr>
      </w:pPr>
      <w:r w:rsidRPr="008A6A18">
        <w:rPr>
          <w:rFonts w:ascii="Arial" w:hAnsi="Arial" w:cs="Arial"/>
          <w:szCs w:val="21"/>
        </w:rPr>
        <w:t>Nei 92 comuni (80 per il paniere completo e 12 per un sottoinsieme di prodotti) che partecipano nel 2022 alla rilevazione dei prezzi al consumo si contano 43mila unità di rilevazione (tra punti vendita, imprese e istituzioni) dove gli Uffici comunali di statistica monitorano il prezzo di almeno un prodotto; a queste si aggiungono quasi 2.200 le abitazioni per la rilevazione dei canoni di affitto d</w:t>
      </w:r>
      <w:r>
        <w:rPr>
          <w:rFonts w:ascii="Arial" w:hAnsi="Arial" w:cs="Arial"/>
          <w:szCs w:val="21"/>
        </w:rPr>
        <w:t>i abitazioni di Enti pubblici</w:t>
      </w:r>
      <w:r>
        <w:rPr>
          <w:rStyle w:val="Rimandonotaapidipagina"/>
          <w:rFonts w:ascii="Arial" w:hAnsi="Arial"/>
          <w:szCs w:val="21"/>
        </w:rPr>
        <w:footnoteReference w:id="3"/>
      </w:r>
      <w:r>
        <w:rPr>
          <w:rFonts w:ascii="Arial" w:hAnsi="Arial" w:cs="Arial"/>
          <w:szCs w:val="21"/>
        </w:rPr>
        <w:t xml:space="preserve">. </w:t>
      </w:r>
      <w:r w:rsidRPr="008A6A18">
        <w:rPr>
          <w:rFonts w:ascii="Arial" w:hAnsi="Arial" w:cs="Arial"/>
          <w:szCs w:val="21"/>
        </w:rPr>
        <w:t>Nel complesso sono circa 392mila le quotazioni che contribuiscono al calcolo dell’inflazione, inviate mensilmente all’Istat dagli Uffici comunali di statistica (erano 390mila del 2021). A seguito dell’aggiornamento annuale dei piani di rilevazione comunali sono nuove il 4,9% delle attuali referenze di prodotto (6,7% nel 2021): di queste, il 2,2% sono referenze di prodotti nuovi mentre nel restante 2,7% si tratta di referenze di prodotti già presenti nel paniere dello scorso anno.</w:t>
      </w:r>
    </w:p>
    <w:p w:rsidR="00FC4BD2" w:rsidRDefault="00FC4BD2" w:rsidP="00FC4BD2">
      <w:pPr>
        <w:widowControl/>
        <w:overflowPunct/>
        <w:spacing w:before="120" w:after="60"/>
        <w:jc w:val="both"/>
        <w:rPr>
          <w:rFonts w:ascii="Arial" w:hAnsi="Arial" w:cs="Arial"/>
          <w:kern w:val="0"/>
        </w:rPr>
      </w:pPr>
      <w:r w:rsidRPr="00243145">
        <w:rPr>
          <w:rFonts w:ascii="Arial" w:hAnsi="Arial" w:cs="Arial"/>
        </w:rPr>
        <w:t>Nel 20</w:t>
      </w:r>
      <w:r>
        <w:rPr>
          <w:rFonts w:ascii="Arial" w:hAnsi="Arial" w:cs="Arial"/>
        </w:rPr>
        <w:t>22</w:t>
      </w:r>
      <w:r w:rsidRPr="00243145">
        <w:rPr>
          <w:rFonts w:ascii="Arial" w:hAnsi="Arial" w:cs="Arial"/>
        </w:rPr>
        <w:t xml:space="preserve">, </w:t>
      </w:r>
      <w:r>
        <w:rPr>
          <w:rFonts w:ascii="Arial" w:hAnsi="Arial" w:cs="Arial"/>
        </w:rPr>
        <w:t>oltre</w:t>
      </w:r>
      <w:r w:rsidRPr="00243145">
        <w:rPr>
          <w:rFonts w:ascii="Arial" w:hAnsi="Arial" w:cs="Arial"/>
        </w:rPr>
        <w:t xml:space="preserve"> </w:t>
      </w:r>
      <w:r>
        <w:rPr>
          <w:rFonts w:ascii="Arial" w:hAnsi="Arial" w:cs="Arial"/>
        </w:rPr>
        <w:t>100mila</w:t>
      </w:r>
      <w:r w:rsidRPr="00243145">
        <w:rPr>
          <w:rFonts w:ascii="Arial" w:hAnsi="Arial" w:cs="Arial"/>
        </w:rPr>
        <w:t xml:space="preserve"> quotazioni di prezzo </w:t>
      </w:r>
      <w:r>
        <w:rPr>
          <w:rFonts w:ascii="Arial" w:hAnsi="Arial" w:cs="Arial"/>
        </w:rPr>
        <w:t xml:space="preserve">vengono </w:t>
      </w:r>
      <w:r w:rsidRPr="00243145">
        <w:rPr>
          <w:rFonts w:ascii="Arial" w:hAnsi="Arial" w:cs="Arial"/>
        </w:rPr>
        <w:t>raccolte ogni mese centralmente dall’Istat</w:t>
      </w:r>
      <w:r w:rsidRPr="003A6759">
        <w:rPr>
          <w:rFonts w:ascii="Arial" w:hAnsi="Arial" w:cs="Arial"/>
        </w:rPr>
        <w:t>.</w:t>
      </w:r>
      <w:r w:rsidRPr="00B929DD">
        <w:rPr>
          <w:rFonts w:ascii="Arial" w:hAnsi="Arial" w:cs="Arial"/>
        </w:rPr>
        <w:t xml:space="preserve"> Di queste </w:t>
      </w:r>
      <w:r>
        <w:rPr>
          <w:rFonts w:ascii="Arial" w:hAnsi="Arial" w:cs="Arial"/>
          <w:kern w:val="0"/>
        </w:rPr>
        <w:t>quasi</w:t>
      </w:r>
      <w:r w:rsidRPr="00B929DD">
        <w:rPr>
          <w:rFonts w:ascii="Arial" w:hAnsi="Arial" w:cs="Arial"/>
          <w:kern w:val="0"/>
        </w:rPr>
        <w:t xml:space="preserve"> </w:t>
      </w:r>
      <w:r>
        <w:rPr>
          <w:rFonts w:ascii="Arial" w:hAnsi="Arial" w:cs="Arial"/>
          <w:kern w:val="0"/>
        </w:rPr>
        <w:t>100mila</w:t>
      </w:r>
      <w:r w:rsidRPr="00B929DD">
        <w:rPr>
          <w:rFonts w:ascii="Arial" w:hAnsi="Arial" w:cs="Arial"/>
          <w:kern w:val="0"/>
        </w:rPr>
        <w:t xml:space="preserve"> </w:t>
      </w:r>
      <w:r>
        <w:rPr>
          <w:rFonts w:ascii="Arial" w:hAnsi="Arial" w:cs="Arial"/>
          <w:kern w:val="0"/>
        </w:rPr>
        <w:t xml:space="preserve">sono </w:t>
      </w:r>
      <w:r w:rsidRPr="00B929DD">
        <w:rPr>
          <w:rFonts w:ascii="Arial" w:hAnsi="Arial" w:cs="Arial"/>
          <w:kern w:val="0"/>
        </w:rPr>
        <w:t xml:space="preserve">acquisite tramite web, anche con l’utilizzo di procedure di raccolta automatica dei dati da web (tecniche di </w:t>
      </w:r>
      <w:r w:rsidRPr="00B929DD">
        <w:rPr>
          <w:rFonts w:ascii="Arial" w:hAnsi="Arial" w:cs="Arial"/>
          <w:i/>
          <w:kern w:val="0"/>
        </w:rPr>
        <w:t>web scraping</w:t>
      </w:r>
      <w:r w:rsidRPr="00B929DD">
        <w:rPr>
          <w:rFonts w:ascii="Arial" w:hAnsi="Arial" w:cs="Arial"/>
          <w:kern w:val="0"/>
        </w:rPr>
        <w:t>)</w:t>
      </w:r>
      <w:r>
        <w:rPr>
          <w:rFonts w:ascii="Arial" w:hAnsi="Arial" w:cs="Arial"/>
          <w:kern w:val="0"/>
        </w:rPr>
        <w:t>,</w:t>
      </w:r>
      <w:r w:rsidRPr="00B929DD">
        <w:rPr>
          <w:rFonts w:ascii="Arial" w:hAnsi="Arial" w:cs="Arial"/>
          <w:i/>
          <w:kern w:val="0"/>
        </w:rPr>
        <w:t xml:space="preserve"> </w:t>
      </w:r>
      <w:r w:rsidRPr="00B929DD">
        <w:rPr>
          <w:rFonts w:ascii="Arial" w:hAnsi="Arial" w:cs="Arial"/>
          <w:kern w:val="0"/>
        </w:rPr>
        <w:t>circa 400</w:t>
      </w:r>
      <w:r>
        <w:rPr>
          <w:rFonts w:ascii="Arial" w:hAnsi="Arial" w:cs="Arial"/>
          <w:kern w:val="0"/>
        </w:rPr>
        <w:t xml:space="preserve"> vengono</w:t>
      </w:r>
      <w:r w:rsidRPr="00B929DD">
        <w:rPr>
          <w:rFonts w:ascii="Arial" w:hAnsi="Arial" w:cs="Arial"/>
          <w:kern w:val="0"/>
        </w:rPr>
        <w:t xml:space="preserve"> rilevate mediante indagine diretta presso le imprese di assicurazione per la rilevazione dei prezzi </w:t>
      </w:r>
      <w:r w:rsidRPr="00B929DD">
        <w:rPr>
          <w:rFonts w:ascii="Arial" w:hAnsi="Arial" w:cs="Arial"/>
          <w:szCs w:val="21"/>
        </w:rPr>
        <w:t>dei servizi assicurativi sull’abitazione</w:t>
      </w:r>
      <w:r>
        <w:rPr>
          <w:rFonts w:ascii="Arial" w:hAnsi="Arial" w:cs="Arial"/>
          <w:kern w:val="0"/>
        </w:rPr>
        <w:t xml:space="preserve"> e oltre 7</w:t>
      </w:r>
      <w:r w:rsidRPr="003A6759">
        <w:rPr>
          <w:rFonts w:ascii="Arial" w:hAnsi="Arial" w:cs="Arial"/>
          <w:kern w:val="0"/>
        </w:rPr>
        <w:t xml:space="preserve">00 </w:t>
      </w:r>
      <w:r>
        <w:rPr>
          <w:rFonts w:ascii="Arial" w:hAnsi="Arial" w:cs="Arial"/>
          <w:kern w:val="0"/>
        </w:rPr>
        <w:t xml:space="preserve">sono </w:t>
      </w:r>
      <w:r w:rsidRPr="003A6759">
        <w:rPr>
          <w:rFonts w:ascii="Arial" w:hAnsi="Arial" w:cs="Arial"/>
          <w:kern w:val="0"/>
        </w:rPr>
        <w:t>rilevate da fonti interne.</w:t>
      </w:r>
    </w:p>
    <w:p w:rsidR="00FC4BD2" w:rsidRPr="00841D46" w:rsidRDefault="00FC4BD2" w:rsidP="00FC4BD2">
      <w:pPr>
        <w:widowControl/>
        <w:spacing w:before="0" w:after="120"/>
        <w:jc w:val="both"/>
        <w:rPr>
          <w:rFonts w:ascii="Arial" w:hAnsi="Arial" w:cs="Arial"/>
          <w:szCs w:val="21"/>
        </w:rPr>
      </w:pPr>
      <w:r w:rsidRPr="008A6A18">
        <w:rPr>
          <w:rFonts w:ascii="Arial" w:hAnsi="Arial" w:cs="Arial"/>
          <w:szCs w:val="21"/>
        </w:rPr>
        <w:t>La rilevazione dei prezzi al consumo tramite scanner data interessa cinque tipologie distributive della Grande Distribuzione Organizzata: ipermercati, supermercati, discount, piccole superfici di vendita (note anche come “libero servizio”, punti vendita con superficie compresa tra i 100 e i 400 mq) e specialist drug (specialisti dei prodotti per la cura della casa e della persona). Nel complesso, la rilevazione dei prezzi tramite scanner data interessa 84 aggregati di prodotto, appartenenti a sei divisioni della ECOICOP (Prodotti alimentari e bevande analcoliche, Bevande alcoliche e tabacchi, Mobili articoli e servizi per la casa, Servizi sanitari e spese per la salute, Ricreazione spettacoli e cultura, Altri beni e servizi).</w:t>
      </w:r>
    </w:p>
    <w:p w:rsidR="00FC4BD2" w:rsidRPr="008A6A18" w:rsidRDefault="00FC4BD2" w:rsidP="00FC4BD2">
      <w:pPr>
        <w:widowControl/>
        <w:overflowPunct/>
        <w:spacing w:before="0" w:after="120"/>
        <w:jc w:val="both"/>
        <w:rPr>
          <w:rFonts w:ascii="Arial" w:hAnsi="Arial" w:cs="Arial"/>
          <w:szCs w:val="21"/>
        </w:rPr>
      </w:pPr>
      <w:r w:rsidRPr="008A6A18">
        <w:rPr>
          <w:rFonts w:ascii="Arial" w:hAnsi="Arial" w:cs="Arial"/>
          <w:szCs w:val="21"/>
        </w:rPr>
        <w:t>L’Istat acquisisce i dati settimanali di fatturato e quantità distinti per punto vendita e per GTIN (codice a barre), per singolo punto vendita di 21 grandi gruppi della GDO in Italia per tutte le 107 province del territorio nazionale. Il campione dei punti vendita è rappresentativo di tutto l’universo delle cinque tipologie distributive della GDO e comprende circa 4mila punti vendita distribuiti sull’intero territorio nazionale.</w:t>
      </w:r>
    </w:p>
    <w:p w:rsidR="00FC4BD2" w:rsidRPr="008A6A18" w:rsidRDefault="00FC4BD2" w:rsidP="00FC4BD2">
      <w:pPr>
        <w:widowControl/>
        <w:overflowPunct/>
        <w:spacing w:before="0" w:after="120"/>
        <w:jc w:val="both"/>
        <w:rPr>
          <w:rFonts w:ascii="Arial" w:hAnsi="Arial" w:cs="Arial"/>
          <w:szCs w:val="21"/>
        </w:rPr>
      </w:pPr>
      <w:r w:rsidRPr="008A6A18">
        <w:rPr>
          <w:rFonts w:ascii="Arial" w:hAnsi="Arial" w:cs="Arial"/>
          <w:szCs w:val="21"/>
        </w:rPr>
        <w:t>L’individuazione delle referenze che entrano nel calcolo dell’indice avviene tramite i codici a barre (GTIN), che identificano univocamente i prodotti sull’intero territorio nazionale. Il valore unitario del prezzo per ciascun codice a barre è la media dei prezzi effettivamente pagati dai consumatori per quei prodotti.</w:t>
      </w:r>
      <w:r>
        <w:rPr>
          <w:rFonts w:ascii="Arial" w:hAnsi="Arial" w:cs="Arial"/>
          <w:szCs w:val="21"/>
        </w:rPr>
        <w:t xml:space="preserve"> </w:t>
      </w:r>
      <w:r w:rsidRPr="008A6A18">
        <w:rPr>
          <w:rFonts w:ascii="Arial" w:hAnsi="Arial" w:cs="Arial"/>
          <w:szCs w:val="21"/>
        </w:rPr>
        <w:t>Per la selezione delle referenze, l’Istat utilizza un approccio di tipo dinamico che implica una selezione del campione di referenze in ciascun mese. L’approccio dinamico permette di utilizzare l’informazione proveniente dall’universo dei GTIN venduti in ciascun punto vendita e di seguire l’evoluzione dei prodotti che entrano ed escono dal mercato nei dodici mesi dell’anno.</w:t>
      </w:r>
    </w:p>
    <w:p w:rsidR="00FC4BD2" w:rsidRDefault="00FC4BD2" w:rsidP="00FC4BD2">
      <w:pPr>
        <w:widowControl/>
        <w:overflowPunct/>
        <w:spacing w:before="0" w:after="120"/>
        <w:jc w:val="both"/>
        <w:rPr>
          <w:rFonts w:ascii="Arial" w:hAnsi="Arial" w:cs="Arial"/>
          <w:szCs w:val="21"/>
        </w:rPr>
      </w:pPr>
      <w:r w:rsidRPr="008A6A18">
        <w:rPr>
          <w:rFonts w:ascii="Arial" w:hAnsi="Arial" w:cs="Arial"/>
          <w:szCs w:val="21"/>
        </w:rPr>
        <w:t>Nel complesso, per ciascuna settimana, si utilizzano per il calcolo degli indici oltre 19 milioni di referenze il cui prezzo settimanale viene calcolato sulla base dei dati di fatturato e quantità vendute in ciascun punto vendita e relative a circa 240 mila GTIN distinti. A seguito della selezione dinamica contribuiscono quindi mediamente ogni mese al calcolo degli indici oltre 11 milioni di referenze, per un totale di oltre 30 milioni di quotazioni di prezzo.</w:t>
      </w:r>
    </w:p>
    <w:p w:rsidR="00FC4BD2" w:rsidRPr="002A49A5" w:rsidRDefault="00FC4BD2" w:rsidP="00FC4BD2">
      <w:pPr>
        <w:widowControl/>
        <w:overflowPunct/>
        <w:spacing w:before="0" w:after="120"/>
        <w:jc w:val="both"/>
        <w:rPr>
          <w:rFonts w:ascii="Arial" w:hAnsi="Arial" w:cs="Arial"/>
          <w:kern w:val="0"/>
        </w:rPr>
      </w:pPr>
      <w:r w:rsidRPr="002A49A5">
        <w:rPr>
          <w:rFonts w:ascii="Arial" w:hAnsi="Arial" w:cs="Arial"/>
          <w:kern w:val="0"/>
        </w:rPr>
        <w:t xml:space="preserve">Le rilevazioni di fonte amministrativa per il calcolo dei prezzi al consumo sono diverse. Tra queste rientrano quelle relative ai Tabacchi i cui dati sono forniti dall’Agenzia delle accise, dogane e monopoli (ADM). Gli indici calcolati sono relativi a tre aggregati di prodotto: Sigarette, Sigari e sigaretti e Altri tabacchi (trinciati per sigarette, tabacco da fiuto e da mastico, altri tabacchi da fumo, tabacchi da inalazione). </w:t>
      </w:r>
    </w:p>
    <w:p w:rsidR="00FC4BD2" w:rsidRPr="002A49A5" w:rsidRDefault="00FC4BD2" w:rsidP="00FC4BD2">
      <w:pPr>
        <w:widowControl/>
        <w:overflowPunct/>
        <w:spacing w:before="0" w:after="120"/>
        <w:jc w:val="both"/>
        <w:rPr>
          <w:rFonts w:ascii="Arial" w:hAnsi="Arial" w:cs="Arial"/>
          <w:kern w:val="0"/>
        </w:rPr>
      </w:pPr>
      <w:r w:rsidRPr="002A49A5">
        <w:rPr>
          <w:rFonts w:ascii="Arial" w:hAnsi="Arial" w:cs="Arial"/>
          <w:kern w:val="0"/>
        </w:rPr>
        <w:t xml:space="preserve">Dal 2017 anche per i prezzi al consumo dei carburanti si utilizzano dati di fonte amministrativa, grazie a un accordo siglato con il Ministero dello Sviluppo economico (MISE) che, in ottemperanza alla normativa vigente, raccoglie i dati </w:t>
      </w:r>
      <w:r>
        <w:rPr>
          <w:rFonts w:ascii="Arial" w:hAnsi="Arial" w:cs="Arial"/>
          <w:kern w:val="0"/>
        </w:rPr>
        <w:t xml:space="preserve">sui prezzi di questi prodotti. </w:t>
      </w:r>
      <w:r w:rsidRPr="002A49A5">
        <w:rPr>
          <w:rFonts w:ascii="Arial" w:hAnsi="Arial" w:cs="Arial"/>
          <w:kern w:val="0"/>
        </w:rPr>
        <w:t>Nel 2022 l’indice è calcolato attraverso l’elaborazione di 68mila osservazioni di prezzo al mese, provenienti da oltre 12.800 impianti, pari al 66,8% di quelli attivi e presenti nella banca dati del MISE. La copertura dei distributori di carburanti per area territoriale comprende</w:t>
      </w:r>
      <w:r>
        <w:rPr>
          <w:rFonts w:ascii="Arial" w:hAnsi="Arial" w:cs="Arial"/>
          <w:kern w:val="0"/>
        </w:rPr>
        <w:t xml:space="preserve"> oltre 3.200 impianti nel Nord-Ovest, circa 2.800 nel Nord-E</w:t>
      </w:r>
      <w:r w:rsidRPr="002A49A5">
        <w:rPr>
          <w:rFonts w:ascii="Arial" w:hAnsi="Arial" w:cs="Arial"/>
          <w:kern w:val="0"/>
        </w:rPr>
        <w:t>st, quasi 2.900 nel Centro, oltre 2.800 al Sud e quasi 1.200 nelle Isole.</w:t>
      </w:r>
      <w:r>
        <w:rPr>
          <w:rFonts w:ascii="Arial" w:hAnsi="Arial" w:cs="Arial"/>
          <w:kern w:val="0"/>
        </w:rPr>
        <w:t xml:space="preserve"> </w:t>
      </w:r>
      <w:r w:rsidRPr="002A49A5">
        <w:rPr>
          <w:rFonts w:ascii="Arial" w:hAnsi="Arial" w:cs="Arial"/>
          <w:kern w:val="0"/>
        </w:rPr>
        <w:t>I dati del Ministero dello Sviluppo economico coprono i 4 aggregati di prodotto riferiti ai carburanti per autotrazione che compongono il paniere: Benzina, Gasolio per mezzi di trasporto, Gas GPL e Gas metano per autotrazione.</w:t>
      </w:r>
    </w:p>
    <w:p w:rsidR="00FC4BD2" w:rsidRDefault="00FC4BD2" w:rsidP="00FC4BD2">
      <w:pPr>
        <w:widowControl/>
        <w:overflowPunct/>
        <w:spacing w:before="0" w:after="120"/>
        <w:jc w:val="both"/>
        <w:rPr>
          <w:rFonts w:ascii="Arial" w:hAnsi="Arial" w:cs="Arial"/>
          <w:kern w:val="0"/>
        </w:rPr>
      </w:pPr>
      <w:r w:rsidRPr="002A49A5">
        <w:rPr>
          <w:rFonts w:ascii="Arial" w:hAnsi="Arial" w:cs="Arial"/>
          <w:kern w:val="0"/>
        </w:rPr>
        <w:t>Infine, a partire dal 2022 la rilevazione sui canoni di affitto per le abitazioni di proprietà privata viene effettuata dall’Istat utilizzando la base dati locazioni immobiliari dell’Osservatorio del mercato immobiliare dell’Agenzia delle entrate. L’indice viene elaborato mensilmente utilizzando circa un milione e mezzo di canoni di affitto.</w:t>
      </w:r>
    </w:p>
    <w:p w:rsidR="00FC4BD2" w:rsidRDefault="00FC4BD2" w:rsidP="00FC4BD2">
      <w:pPr>
        <w:widowControl/>
        <w:overflowPunct/>
        <w:spacing w:before="0" w:after="120"/>
        <w:jc w:val="both"/>
        <w:rPr>
          <w:rFonts w:ascii="Arial" w:hAnsi="Arial" w:cs="Arial"/>
          <w:kern w:val="0"/>
        </w:rPr>
      </w:pPr>
    </w:p>
    <w:p w:rsidR="00FC4BD2" w:rsidRDefault="00FC4BD2" w:rsidP="00FC4BD2">
      <w:pPr>
        <w:widowControl/>
        <w:overflowPunct/>
        <w:spacing w:before="0" w:after="120"/>
        <w:jc w:val="both"/>
        <w:rPr>
          <w:rFonts w:ascii="Arial" w:hAnsi="Arial" w:cs="Arial"/>
          <w:kern w:val="0"/>
        </w:rPr>
      </w:pPr>
    </w:p>
    <w:p w:rsidR="00FC4BD2" w:rsidRPr="00B929DD" w:rsidRDefault="00FC4BD2" w:rsidP="00FC4BD2">
      <w:pPr>
        <w:widowControl/>
        <w:overflowPunct/>
        <w:spacing w:before="0" w:after="120"/>
        <w:jc w:val="both"/>
        <w:rPr>
          <w:rFonts w:ascii="Arial" w:hAnsi="Arial" w:cs="Arial"/>
          <w:kern w:val="0"/>
        </w:rPr>
      </w:pPr>
    </w:p>
    <w:p w:rsidR="00FC4BD2" w:rsidRPr="00C8504B" w:rsidRDefault="00FC4BD2" w:rsidP="00FC4BD2">
      <w:pPr>
        <w:spacing w:before="0" w:after="120"/>
        <w:jc w:val="both"/>
        <w:rPr>
          <w:rFonts w:ascii="Arial" w:hAnsi="Arial" w:cs="Arial"/>
          <w:b/>
          <w:sz w:val="6"/>
          <w:szCs w:val="6"/>
        </w:rPr>
      </w:pPr>
      <w:r w:rsidRPr="00C8504B">
        <w:rPr>
          <w:rFonts w:ascii="Arial" w:hAnsi="Arial" w:cs="Arial"/>
          <w:b/>
          <w:sz w:val="22"/>
          <w:szCs w:val="22"/>
        </w:rPr>
        <w:t>Metodologia di calcolo degli indici e delle variazioni</w:t>
      </w:r>
    </w:p>
    <w:p w:rsidR="00FC4BD2" w:rsidRPr="00C8504B" w:rsidRDefault="00FC4BD2" w:rsidP="00FC4BD2">
      <w:pPr>
        <w:spacing w:before="0" w:after="120"/>
        <w:jc w:val="both"/>
        <w:rPr>
          <w:rFonts w:ascii="Arial" w:hAnsi="Arial" w:cs="Arial"/>
          <w:b/>
          <w:sz w:val="18"/>
          <w:szCs w:val="18"/>
        </w:rPr>
      </w:pPr>
      <w:r w:rsidRPr="00C8504B">
        <w:rPr>
          <w:rFonts w:ascii="Arial" w:hAnsi="Arial" w:cs="Arial"/>
          <w:b/>
        </w:rPr>
        <w:t xml:space="preserve">Struttura di ponderazione </w:t>
      </w:r>
    </w:p>
    <w:p w:rsidR="00FC4BD2" w:rsidRDefault="00FC4BD2" w:rsidP="00FC4BD2">
      <w:pPr>
        <w:tabs>
          <w:tab w:val="left" w:pos="10206"/>
        </w:tabs>
        <w:spacing w:before="0" w:after="120"/>
        <w:jc w:val="both"/>
        <w:rPr>
          <w:rFonts w:ascii="Arial" w:hAnsi="Arial" w:cs="Arial"/>
          <w:szCs w:val="21"/>
        </w:rPr>
      </w:pPr>
      <w:r>
        <w:rPr>
          <w:rFonts w:ascii="Arial" w:hAnsi="Arial" w:cs="Arial"/>
          <w:szCs w:val="21"/>
        </w:rPr>
        <w:t>N</w:t>
      </w:r>
      <w:r w:rsidRPr="002A6B23">
        <w:rPr>
          <w:rFonts w:ascii="Arial" w:hAnsi="Arial" w:cs="Arial"/>
          <w:szCs w:val="21"/>
        </w:rPr>
        <w:t xml:space="preserve">on tutti i beni e i servizi che entrano nel paniere hanno la stessa importanza nei consumi della popolazione. </w:t>
      </w:r>
      <w:r>
        <w:rPr>
          <w:rFonts w:ascii="Arial" w:hAnsi="Arial" w:cs="Arial"/>
          <w:szCs w:val="21"/>
        </w:rPr>
        <w:t>Di conseguenza, l</w:t>
      </w:r>
      <w:r w:rsidRPr="002A6B23">
        <w:rPr>
          <w:rFonts w:ascii="Arial" w:hAnsi="Arial" w:cs="Arial"/>
          <w:szCs w:val="21"/>
        </w:rPr>
        <w:t>’esigenza di misurare il livello dei prezzi e la loro dinamica temporale attraverso indicatori di sintesi richiede la definizione di un sistema di ponderazione che consenta di elaborare tali indicatori tenendo conto della diversa rilevanza che i singoli prodotti assumono sulla spesa complessiva per consumi delle famiglie.</w:t>
      </w:r>
    </w:p>
    <w:p w:rsidR="00FC4BD2" w:rsidRPr="007F5CA7" w:rsidRDefault="00FC4BD2" w:rsidP="00FC4BD2">
      <w:pPr>
        <w:tabs>
          <w:tab w:val="left" w:pos="10206"/>
        </w:tabs>
        <w:spacing w:before="0" w:after="120"/>
        <w:jc w:val="both"/>
        <w:rPr>
          <w:rFonts w:ascii="Arial" w:hAnsi="Arial" w:cs="Arial"/>
          <w:szCs w:val="21"/>
        </w:rPr>
      </w:pPr>
      <w:r w:rsidRPr="007F5CA7">
        <w:rPr>
          <w:rFonts w:ascii="Arial" w:hAnsi="Arial" w:cs="Arial"/>
          <w:szCs w:val="21"/>
        </w:rPr>
        <w:t xml:space="preserve">Ogni anno, i coefficienti di ponderazione degli indici sono aggiornati per tener conto dell’evoluzione dei consumi finali delle famiglie, come risulta dalle stime della Contabilità nazionale dell’Istat e dell’indagine sulle Spese delle famiglie, oltre che dai dati provenienti da altre fonti ausiliarie interne e esterne all’Istituto, tra le quali le basi dati di importanti società di analisi e ricerche di mercato, quali A.C. Nielsen e GfK Italia </w:t>
      </w:r>
      <w:proofErr w:type="gramStart"/>
      <w:r w:rsidRPr="007F5CA7">
        <w:rPr>
          <w:rFonts w:ascii="Arial" w:hAnsi="Arial" w:cs="Arial"/>
          <w:szCs w:val="21"/>
        </w:rPr>
        <w:t>S.r.l..</w:t>
      </w:r>
      <w:proofErr w:type="gramEnd"/>
    </w:p>
    <w:p w:rsidR="00FC4BD2" w:rsidRDefault="00FC4BD2" w:rsidP="00FC4BD2">
      <w:pPr>
        <w:tabs>
          <w:tab w:val="left" w:pos="10206"/>
        </w:tabs>
        <w:spacing w:before="0" w:after="120"/>
        <w:jc w:val="both"/>
        <w:rPr>
          <w:rFonts w:ascii="Arial" w:hAnsi="Arial" w:cs="Arial"/>
          <w:szCs w:val="21"/>
        </w:rPr>
      </w:pPr>
      <w:r w:rsidRPr="007F5CA7">
        <w:rPr>
          <w:rFonts w:ascii="Arial" w:hAnsi="Arial" w:cs="Arial"/>
          <w:szCs w:val="21"/>
        </w:rPr>
        <w:t xml:space="preserve">Tale operazione garantisce che il sistema dei pesi utilizzato per la stima dell’inflazione mantenga elevato nel tempo il suo grado di rappresentatività delle quote di spesa che i consumatori destinano all’acquisto dei beni e servizi finali. </w:t>
      </w:r>
    </w:p>
    <w:p w:rsidR="00FC4BD2" w:rsidRDefault="00FC4BD2" w:rsidP="00FC4BD2">
      <w:pPr>
        <w:tabs>
          <w:tab w:val="left" w:pos="10206"/>
        </w:tabs>
        <w:spacing w:before="0" w:after="120"/>
        <w:jc w:val="both"/>
        <w:rPr>
          <w:rFonts w:ascii="Arial" w:hAnsi="Arial" w:cs="Arial"/>
          <w:szCs w:val="21"/>
        </w:rPr>
      </w:pPr>
      <w:r w:rsidRPr="003F5B16">
        <w:rPr>
          <w:rFonts w:ascii="Arial" w:hAnsi="Arial" w:cs="Arial"/>
          <w:szCs w:val="21"/>
        </w:rPr>
        <w:t xml:space="preserve">È da rilevare che lo scorso anno, in un quadro di relativa attenuazione dell’emergenza sanitaria dovuta al Covid-19, le spese delle famiglie sono state influenzate in misura minore rispetto al 2020 dagli effetti delle misure di contenimento della pandemia. Pertanto, </w:t>
      </w:r>
      <w:r>
        <w:rPr>
          <w:rFonts w:ascii="Arial" w:hAnsi="Arial" w:cs="Arial"/>
          <w:szCs w:val="21"/>
        </w:rPr>
        <w:t>analogamente a quanto</w:t>
      </w:r>
      <w:r w:rsidRPr="003F5B16">
        <w:rPr>
          <w:rFonts w:ascii="Arial" w:hAnsi="Arial" w:cs="Arial"/>
          <w:szCs w:val="21"/>
        </w:rPr>
        <w:t xml:space="preserve"> fatto per il paniere 2021, al fine di salvaguardare la coerenza tra la struttura di ponderazione degli indici e quella dei bilanci delle famiglie, e nel rispetto delle linee guida Eurostat, anche nel 2022 per la revisione dei pesi sono stati utilizzati i dati delle principali fonti interne più recenti a disposizione: le stime della Contabilità nazionale e le informazioni della indagine sulle Spese del famiglie relative al 2021</w:t>
      </w:r>
      <w:r w:rsidRPr="00B8724C">
        <w:rPr>
          <w:rStyle w:val="Rimandonotaapidipagina"/>
          <w:rFonts w:ascii="Arial" w:hAnsi="Arial" w:cs="Arial"/>
        </w:rPr>
        <w:footnoteReference w:id="4"/>
      </w:r>
      <w:r w:rsidRPr="00B8724C">
        <w:rPr>
          <w:rFonts w:ascii="Arial" w:hAnsi="Arial" w:cs="Arial"/>
          <w:szCs w:val="21"/>
        </w:rPr>
        <w:t>.</w:t>
      </w:r>
      <w:r w:rsidRPr="007F5CA7">
        <w:rPr>
          <w:rFonts w:ascii="Arial" w:hAnsi="Arial" w:cs="Arial"/>
          <w:szCs w:val="21"/>
        </w:rPr>
        <w:t xml:space="preserve"> </w:t>
      </w:r>
    </w:p>
    <w:p w:rsidR="00FC4BD2" w:rsidRPr="003F5B16" w:rsidRDefault="00FC4BD2" w:rsidP="00FC4BD2">
      <w:pPr>
        <w:tabs>
          <w:tab w:val="left" w:pos="10206"/>
        </w:tabs>
        <w:spacing w:before="0" w:after="120"/>
        <w:jc w:val="both"/>
        <w:rPr>
          <w:rFonts w:ascii="Arial" w:hAnsi="Arial" w:cs="Arial"/>
        </w:rPr>
      </w:pPr>
      <w:r w:rsidRPr="003F5B16">
        <w:rPr>
          <w:rFonts w:ascii="Arial" w:hAnsi="Arial" w:cs="Arial"/>
        </w:rPr>
        <w:t xml:space="preserve">Per ragioni di tempestività, il sistema dei pesi usato per la stima preliminare dell’inflazione di gennaio 2022 è stato calcolato sulla base dei dati della Contabilità nazionale disponibili a dicembre scorso, relativi ai primi tre trimestri dell’anno. </w:t>
      </w:r>
    </w:p>
    <w:p w:rsidR="00FC4BD2" w:rsidRPr="007F5CA7" w:rsidRDefault="00FC4BD2" w:rsidP="00FC4BD2">
      <w:pPr>
        <w:tabs>
          <w:tab w:val="left" w:pos="10206"/>
        </w:tabs>
        <w:spacing w:before="0" w:after="120"/>
        <w:jc w:val="both"/>
        <w:rPr>
          <w:rFonts w:ascii="Arial" w:hAnsi="Arial" w:cs="Arial"/>
          <w:szCs w:val="21"/>
        </w:rPr>
      </w:pPr>
      <w:r w:rsidRPr="003F5B16">
        <w:rPr>
          <w:rFonts w:ascii="Arial" w:hAnsi="Arial" w:cs="Arial"/>
        </w:rPr>
        <w:t>L’ampliamento della base informativa, a copertura dell’intero anno solare, ha poi consentito un ulteriore raffinamento delle strutture di ponderazione in occasione del rilascio delle stime definitive.</w:t>
      </w:r>
      <w:r>
        <w:rPr>
          <w:rFonts w:ascii="Arial" w:hAnsi="Arial" w:cs="Arial"/>
        </w:rPr>
        <w:t xml:space="preserve"> </w:t>
      </w:r>
      <w:r w:rsidRPr="00501BF7">
        <w:rPr>
          <w:rFonts w:ascii="Arial" w:hAnsi="Arial" w:cs="Arial"/>
        </w:rPr>
        <w:t>Tuttavia, al fine di misurare le quote di spesa</w:t>
      </w:r>
      <w:r>
        <w:rPr>
          <w:rFonts w:ascii="Arial" w:hAnsi="Arial" w:cs="Arial"/>
        </w:rPr>
        <w:t xml:space="preserve"> con cui ciascun aggregato contribuisce alla stima dell’inflazione,</w:t>
      </w:r>
      <w:r w:rsidRPr="00501BF7">
        <w:rPr>
          <w:rFonts w:ascii="Arial" w:hAnsi="Arial" w:cs="Arial"/>
        </w:rPr>
        <w:t xml:space="preserve"> con riferimento al valore del periodo base di calcolo degli indici (dicembre 2021), i dati sui consumi finali delle famiglie </w:t>
      </w:r>
      <w:r>
        <w:rPr>
          <w:rFonts w:ascii="Arial" w:hAnsi="Arial" w:cs="Arial"/>
        </w:rPr>
        <w:t xml:space="preserve">sono stati aggiornati </w:t>
      </w:r>
      <w:r w:rsidRPr="00501BF7">
        <w:rPr>
          <w:rFonts w:ascii="Arial" w:hAnsi="Arial" w:cs="Arial"/>
        </w:rPr>
        <w:t>utilizzando le variazioni di prezzo misurate tra la media dell'anno 2021 e dicembre 2021</w:t>
      </w:r>
      <w:r>
        <w:rPr>
          <w:rFonts w:ascii="Arial" w:hAnsi="Arial" w:cs="Arial"/>
        </w:rPr>
        <w:t>.</w:t>
      </w:r>
    </w:p>
    <w:p w:rsidR="00FC4BD2" w:rsidRDefault="00FC4BD2" w:rsidP="00FC4BD2">
      <w:pPr>
        <w:tabs>
          <w:tab w:val="left" w:pos="10206"/>
        </w:tabs>
        <w:spacing w:before="0" w:after="120"/>
        <w:jc w:val="both"/>
        <w:rPr>
          <w:rFonts w:ascii="Arial" w:hAnsi="Arial" w:cs="Arial"/>
        </w:rPr>
      </w:pPr>
      <w:r w:rsidRPr="00703E31">
        <w:rPr>
          <w:rFonts w:ascii="Arial" w:hAnsi="Arial" w:cs="Arial"/>
        </w:rPr>
        <w:t xml:space="preserve">Nel Prospetto </w:t>
      </w:r>
      <w:r>
        <w:rPr>
          <w:rFonts w:ascii="Arial" w:hAnsi="Arial" w:cs="Arial"/>
        </w:rPr>
        <w:t>1</w:t>
      </w:r>
      <w:r w:rsidRPr="00703E31">
        <w:rPr>
          <w:rFonts w:ascii="Arial" w:hAnsi="Arial" w:cs="Arial"/>
        </w:rPr>
        <w:t xml:space="preserve"> è </w:t>
      </w:r>
      <w:r>
        <w:rPr>
          <w:rFonts w:ascii="Arial" w:hAnsi="Arial" w:cs="Arial"/>
        </w:rPr>
        <w:t xml:space="preserve">quindi </w:t>
      </w:r>
      <w:r w:rsidRPr="00703E31">
        <w:rPr>
          <w:rFonts w:ascii="Arial" w:hAnsi="Arial" w:cs="Arial"/>
        </w:rPr>
        <w:t xml:space="preserve">riportata la struttura dei pesi </w:t>
      </w:r>
      <w:r>
        <w:rPr>
          <w:rFonts w:ascii="Arial" w:hAnsi="Arial" w:cs="Arial"/>
        </w:rPr>
        <w:t xml:space="preserve">finali </w:t>
      </w:r>
      <w:r w:rsidRPr="00703E31">
        <w:rPr>
          <w:rFonts w:ascii="Arial" w:hAnsi="Arial" w:cs="Arial"/>
        </w:rPr>
        <w:t>per divis</w:t>
      </w:r>
      <w:r>
        <w:rPr>
          <w:rFonts w:ascii="Arial" w:hAnsi="Arial" w:cs="Arial"/>
        </w:rPr>
        <w:t xml:space="preserve">ione di spesa utilizzata per il </w:t>
      </w:r>
      <w:r w:rsidRPr="00703E31">
        <w:rPr>
          <w:rFonts w:ascii="Arial" w:hAnsi="Arial" w:cs="Arial"/>
        </w:rPr>
        <w:t>calcolo dei tre indici dei prezzi al consumo (NIC, IPCA e FOI)</w:t>
      </w:r>
      <w:r>
        <w:rPr>
          <w:rFonts w:ascii="Arial" w:hAnsi="Arial" w:cs="Arial"/>
        </w:rPr>
        <w:t xml:space="preserve"> per la stima preliminare dell’inflazione di gennaio 2022</w:t>
      </w:r>
      <w:r w:rsidRPr="00703E31">
        <w:rPr>
          <w:rFonts w:ascii="Arial" w:hAnsi="Arial" w:cs="Arial"/>
        </w:rPr>
        <w:t>.</w:t>
      </w:r>
    </w:p>
    <w:p w:rsidR="00FC4BD2" w:rsidRDefault="00FC4BD2" w:rsidP="00FC4BD2">
      <w:pPr>
        <w:tabs>
          <w:tab w:val="left" w:pos="10206"/>
        </w:tabs>
        <w:spacing w:before="0" w:after="120"/>
        <w:jc w:val="both"/>
        <w:rPr>
          <w:rFonts w:ascii="Arial" w:hAnsi="Arial" w:cs="Arial"/>
        </w:rPr>
      </w:pPr>
    </w:p>
    <w:p w:rsidR="00FC4BD2" w:rsidRPr="00881841" w:rsidRDefault="00FC4BD2" w:rsidP="00FC4BD2">
      <w:pPr>
        <w:pStyle w:val="001TitoGra"/>
        <w:spacing w:after="120" w:line="240" w:lineRule="auto"/>
        <w:jc w:val="both"/>
        <w:rPr>
          <w:b w:val="0"/>
          <w:sz w:val="20"/>
          <w:szCs w:val="20"/>
        </w:rPr>
      </w:pPr>
      <w:r w:rsidRPr="001611C8">
        <w:rPr>
          <w:rStyle w:val="001TitoGraRed"/>
        </w:rPr>
        <w:t xml:space="preserve">PROSPETTO </w:t>
      </w:r>
      <w:r>
        <w:rPr>
          <w:rStyle w:val="001TitoGraRed"/>
        </w:rPr>
        <w:t>1</w:t>
      </w:r>
      <w:r w:rsidRPr="001611C8">
        <w:rPr>
          <w:rStyle w:val="001TitoGraRed"/>
        </w:rPr>
        <w:t>.</w:t>
      </w:r>
      <w:r w:rsidRPr="00703E31">
        <w:t xml:space="preserve"> PESI UTILIZZATI PER IL CALCOLO DEGLI INDICI NAZIONALI DEI PREZZI AL CONSUMO, PER DIVISIONI DI SPESA</w:t>
      </w:r>
      <w:r>
        <w:t xml:space="preserve">. </w:t>
      </w:r>
      <w:r>
        <w:rPr>
          <w:b w:val="0"/>
          <w:sz w:val="20"/>
          <w:szCs w:val="20"/>
        </w:rPr>
        <w:t>Anno 2022</w:t>
      </w:r>
      <w:r w:rsidRPr="00881841">
        <w:rPr>
          <w:b w:val="0"/>
          <w:sz w:val="20"/>
          <w:szCs w:val="20"/>
        </w:rPr>
        <w:t xml:space="preserve">, valori percentuali </w:t>
      </w:r>
    </w:p>
    <w:tbl>
      <w:tblPr>
        <w:tblW w:w="10206"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4872"/>
        <w:gridCol w:w="1778"/>
        <w:gridCol w:w="1778"/>
        <w:gridCol w:w="1778"/>
      </w:tblGrid>
      <w:tr w:rsidR="00FC4BD2" w:rsidRPr="00881841" w:rsidTr="00BD0687">
        <w:trPr>
          <w:trHeight w:val="255"/>
        </w:trPr>
        <w:tc>
          <w:tcPr>
            <w:tcW w:w="4872" w:type="dxa"/>
            <w:vMerge w:val="restart"/>
            <w:shd w:val="clear" w:color="auto" w:fill="FFFFFF"/>
            <w:vAlign w:val="center"/>
            <w:hideMark/>
          </w:tcPr>
          <w:p w:rsidR="00FC4BD2" w:rsidRPr="0046573B" w:rsidRDefault="00FC4BD2" w:rsidP="00BD0687">
            <w:pPr>
              <w:widowControl/>
              <w:overflowPunct/>
              <w:autoSpaceDE/>
              <w:adjustRightInd/>
              <w:spacing w:before="0" w:after="0"/>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DIVISIONI DI SPESA</w:t>
            </w:r>
          </w:p>
        </w:tc>
        <w:tc>
          <w:tcPr>
            <w:tcW w:w="5334" w:type="dxa"/>
            <w:gridSpan w:val="3"/>
            <w:shd w:val="clear" w:color="auto" w:fill="D9D9D9"/>
            <w:vAlign w:val="center"/>
            <w:hideMark/>
          </w:tcPr>
          <w:p w:rsidR="00FC4BD2" w:rsidRPr="00881841" w:rsidRDefault="00FC4BD2" w:rsidP="00BD0687">
            <w:pPr>
              <w:spacing w:before="0" w:after="0"/>
              <w:jc w:val="center"/>
              <w:rPr>
                <w:rFonts w:ascii="Arial Narrow" w:hAnsi="Arial Narrow" w:cs="Arial"/>
                <w:b/>
                <w:sz w:val="18"/>
                <w:szCs w:val="18"/>
              </w:rPr>
            </w:pPr>
            <w:r w:rsidRPr="0046573B">
              <w:rPr>
                <w:rFonts w:ascii="Arial Narrow" w:hAnsi="Arial Narrow" w:cs="Calibri"/>
                <w:b/>
                <w:bCs/>
                <w:color w:val="000000"/>
                <w:kern w:val="0"/>
                <w:sz w:val="18"/>
                <w:szCs w:val="18"/>
              </w:rPr>
              <w:t>Pesi</w:t>
            </w:r>
          </w:p>
        </w:tc>
      </w:tr>
      <w:tr w:rsidR="00FC4BD2" w:rsidRPr="00881841" w:rsidTr="00BD0687">
        <w:trPr>
          <w:trHeight w:val="255"/>
        </w:trPr>
        <w:tc>
          <w:tcPr>
            <w:tcW w:w="4872" w:type="dxa"/>
            <w:vMerge/>
            <w:vAlign w:val="center"/>
            <w:hideMark/>
          </w:tcPr>
          <w:p w:rsidR="00FC4BD2" w:rsidRPr="0046573B" w:rsidRDefault="00FC4BD2" w:rsidP="00BD0687">
            <w:pPr>
              <w:widowControl/>
              <w:overflowPunct/>
              <w:autoSpaceDE/>
              <w:autoSpaceDN/>
              <w:adjustRightInd/>
              <w:spacing w:before="0" w:after="0"/>
              <w:rPr>
                <w:rFonts w:ascii="Arial Narrow" w:hAnsi="Arial Narrow" w:cs="Calibri"/>
                <w:b/>
                <w:bCs/>
                <w:color w:val="000000"/>
                <w:kern w:val="0"/>
                <w:sz w:val="18"/>
                <w:szCs w:val="18"/>
              </w:rPr>
            </w:pPr>
          </w:p>
        </w:tc>
        <w:tc>
          <w:tcPr>
            <w:tcW w:w="1778" w:type="dxa"/>
            <w:shd w:val="clear" w:color="auto" w:fill="auto"/>
            <w:vAlign w:val="center"/>
            <w:hideMark/>
          </w:tcPr>
          <w:p w:rsidR="00FC4BD2" w:rsidRPr="0046573B" w:rsidRDefault="00FC4BD2" w:rsidP="00BD068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NIC</w:t>
            </w:r>
          </w:p>
        </w:tc>
        <w:tc>
          <w:tcPr>
            <w:tcW w:w="1778" w:type="dxa"/>
            <w:shd w:val="clear" w:color="auto" w:fill="auto"/>
            <w:vAlign w:val="center"/>
            <w:hideMark/>
          </w:tcPr>
          <w:p w:rsidR="00FC4BD2" w:rsidRPr="0046573B" w:rsidRDefault="00FC4BD2" w:rsidP="00BD068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IPCA</w:t>
            </w:r>
          </w:p>
        </w:tc>
        <w:tc>
          <w:tcPr>
            <w:tcW w:w="1778" w:type="dxa"/>
            <w:shd w:val="clear" w:color="auto" w:fill="auto"/>
            <w:vAlign w:val="center"/>
            <w:hideMark/>
          </w:tcPr>
          <w:p w:rsidR="00FC4BD2" w:rsidRPr="0046573B" w:rsidRDefault="00FC4BD2" w:rsidP="00BD068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FOI</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Prodotti alimentari e bevande analcoliche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18,3676</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19,4554</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17,2515</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Bevande alcoliche e tabacchi</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3,4038</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3,6056</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3,6654</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Abbigliamento e calzature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6,3855</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7,3176</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7,1436</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Abitazione, acqua, elettricità e combustibili</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10,9684</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11,6179</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11,0001</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Mobili, articoli e servizi per la casa</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7,995</w:t>
            </w:r>
            <w:r>
              <w:rPr>
                <w:rFonts w:ascii="Arial Narrow" w:hAnsi="Arial Narrow" w:cs="Calibri"/>
                <w:color w:val="000000"/>
                <w:kern w:val="0"/>
                <w:sz w:val="18"/>
                <w:szCs w:val="18"/>
              </w:rPr>
              <w:t>0</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8,4989</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6,9834</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sanitari e spese per la salute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8,8946</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4,6145</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7,1232</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Trasporti</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14,4843</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15,3242</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15,9564</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Comunicazioni</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2,5749</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2,7265</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2,9772</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Ricreazione, spettacoli e cultura</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7,054</w:t>
            </w:r>
            <w:r>
              <w:rPr>
                <w:rFonts w:ascii="Arial Narrow" w:hAnsi="Arial Narrow" w:cs="Calibri"/>
                <w:color w:val="000000"/>
                <w:kern w:val="0"/>
                <w:sz w:val="18"/>
                <w:szCs w:val="18"/>
              </w:rPr>
              <w:t>0</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5,7663</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7,4398</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Istruzione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1,0835</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1,1474</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1,2182</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ricettivi e di ristorazione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9,3754</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9,9319</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9,9741</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 xml:space="preserve">Altri beni e servizi </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9,413</w:t>
            </w:r>
            <w:r>
              <w:rPr>
                <w:rFonts w:ascii="Arial Narrow" w:hAnsi="Arial Narrow" w:cs="Calibri"/>
                <w:color w:val="000000"/>
                <w:kern w:val="0"/>
                <w:sz w:val="18"/>
                <w:szCs w:val="18"/>
              </w:rPr>
              <w:t>0</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9,9938</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9,2671</w:t>
            </w:r>
          </w:p>
        </w:tc>
      </w:tr>
      <w:tr w:rsidR="00FC4BD2" w:rsidRPr="00881841" w:rsidTr="00BD0687">
        <w:trPr>
          <w:trHeight w:val="255"/>
        </w:trPr>
        <w:tc>
          <w:tcPr>
            <w:tcW w:w="4872" w:type="dxa"/>
            <w:shd w:val="clear" w:color="auto" w:fill="E31C18"/>
            <w:vAlign w:val="center"/>
            <w:hideMark/>
          </w:tcPr>
          <w:p w:rsidR="00FC4BD2" w:rsidRPr="0046573B" w:rsidRDefault="00FC4BD2" w:rsidP="00BD0687">
            <w:pPr>
              <w:widowControl/>
              <w:overflowPunct/>
              <w:autoSpaceDE/>
              <w:adjustRightInd/>
              <w:spacing w:before="0" w:after="0"/>
              <w:rPr>
                <w:rFonts w:ascii="Arial Narrow" w:hAnsi="Arial Narrow" w:cs="Calibri"/>
                <w:b/>
                <w:bCs/>
                <w:color w:val="FFFFFF"/>
                <w:kern w:val="0"/>
                <w:sz w:val="18"/>
                <w:szCs w:val="18"/>
              </w:rPr>
            </w:pPr>
            <w:r w:rsidRPr="0046573B">
              <w:rPr>
                <w:rFonts w:ascii="Arial Narrow" w:hAnsi="Arial Narrow" w:cs="Calibri"/>
                <w:b/>
                <w:bCs/>
                <w:color w:val="FFFFFF"/>
                <w:kern w:val="0"/>
                <w:sz w:val="18"/>
                <w:szCs w:val="18"/>
              </w:rPr>
              <w:t>Indice generale</w:t>
            </w:r>
          </w:p>
        </w:tc>
        <w:tc>
          <w:tcPr>
            <w:tcW w:w="1778" w:type="dxa"/>
            <w:shd w:val="clear" w:color="auto" w:fill="E31C18"/>
            <w:vAlign w:val="center"/>
            <w:hideMark/>
          </w:tcPr>
          <w:p w:rsidR="00FC4BD2" w:rsidRPr="00074AC4" w:rsidRDefault="00FC4BD2" w:rsidP="00BD0687">
            <w:pPr>
              <w:widowControl/>
              <w:overflowPunct/>
              <w:autoSpaceDE/>
              <w:adjustRightInd/>
              <w:spacing w:before="0" w:after="0"/>
              <w:jc w:val="center"/>
              <w:rPr>
                <w:rFonts w:ascii="Arial Narrow" w:hAnsi="Arial Narrow" w:cs="Calibri"/>
                <w:b/>
                <w:color w:val="FFFFFF" w:themeColor="background1"/>
                <w:kern w:val="0"/>
                <w:sz w:val="18"/>
                <w:szCs w:val="18"/>
              </w:rPr>
            </w:pPr>
            <w:r w:rsidRPr="00074AC4">
              <w:rPr>
                <w:rFonts w:ascii="Arial Narrow" w:hAnsi="Arial Narrow" w:cs="Calibri"/>
                <w:b/>
                <w:color w:val="FFFFFF" w:themeColor="background1"/>
                <w:kern w:val="0"/>
                <w:sz w:val="18"/>
                <w:szCs w:val="18"/>
              </w:rPr>
              <w:t>100,0000</w:t>
            </w:r>
          </w:p>
        </w:tc>
        <w:tc>
          <w:tcPr>
            <w:tcW w:w="1778" w:type="dxa"/>
            <w:shd w:val="clear" w:color="auto" w:fill="E31C18"/>
            <w:vAlign w:val="center"/>
            <w:hideMark/>
          </w:tcPr>
          <w:p w:rsidR="00FC4BD2" w:rsidRPr="00074AC4" w:rsidRDefault="00FC4BD2" w:rsidP="00BD0687">
            <w:pPr>
              <w:widowControl/>
              <w:overflowPunct/>
              <w:autoSpaceDE/>
              <w:adjustRightInd/>
              <w:spacing w:before="0" w:after="0"/>
              <w:jc w:val="center"/>
              <w:rPr>
                <w:rFonts w:ascii="Arial Narrow" w:hAnsi="Arial Narrow" w:cs="Calibri"/>
                <w:b/>
                <w:color w:val="FFFFFF" w:themeColor="background1"/>
                <w:kern w:val="0"/>
                <w:sz w:val="18"/>
                <w:szCs w:val="18"/>
              </w:rPr>
            </w:pPr>
            <w:r w:rsidRPr="00074AC4">
              <w:rPr>
                <w:rFonts w:ascii="Arial Narrow" w:hAnsi="Arial Narrow" w:cs="Calibri"/>
                <w:b/>
                <w:color w:val="FFFFFF" w:themeColor="background1"/>
                <w:kern w:val="0"/>
                <w:sz w:val="18"/>
                <w:szCs w:val="18"/>
              </w:rPr>
              <w:t>100,0000</w:t>
            </w:r>
          </w:p>
        </w:tc>
        <w:tc>
          <w:tcPr>
            <w:tcW w:w="1778" w:type="dxa"/>
            <w:shd w:val="clear" w:color="auto" w:fill="E31C18"/>
            <w:vAlign w:val="center"/>
            <w:hideMark/>
          </w:tcPr>
          <w:p w:rsidR="00FC4BD2" w:rsidRPr="00074AC4" w:rsidRDefault="00FC4BD2" w:rsidP="00BD0687">
            <w:pPr>
              <w:widowControl/>
              <w:overflowPunct/>
              <w:autoSpaceDE/>
              <w:adjustRightInd/>
              <w:spacing w:before="0" w:after="0"/>
              <w:jc w:val="center"/>
              <w:rPr>
                <w:rFonts w:ascii="Arial Narrow" w:hAnsi="Arial Narrow" w:cs="Calibri"/>
                <w:b/>
                <w:color w:val="FFFFFF" w:themeColor="background1"/>
                <w:kern w:val="0"/>
                <w:sz w:val="18"/>
                <w:szCs w:val="18"/>
              </w:rPr>
            </w:pPr>
            <w:r w:rsidRPr="00074AC4">
              <w:rPr>
                <w:rFonts w:ascii="Arial Narrow" w:hAnsi="Arial Narrow" w:cs="Calibri"/>
                <w:b/>
                <w:color w:val="FFFFFF" w:themeColor="background1"/>
                <w:kern w:val="0"/>
                <w:sz w:val="18"/>
                <w:szCs w:val="18"/>
              </w:rPr>
              <w:t>100,0000</w:t>
            </w:r>
          </w:p>
        </w:tc>
      </w:tr>
    </w:tbl>
    <w:p w:rsidR="00FC4BD2" w:rsidRDefault="00FC4BD2" w:rsidP="00FC4BD2">
      <w:pPr>
        <w:tabs>
          <w:tab w:val="left" w:pos="10206"/>
        </w:tabs>
        <w:spacing w:before="0" w:after="120"/>
        <w:jc w:val="both"/>
        <w:rPr>
          <w:rFonts w:ascii="Arial" w:hAnsi="Arial" w:cs="Arial"/>
          <w:szCs w:val="21"/>
        </w:rPr>
      </w:pPr>
    </w:p>
    <w:p w:rsidR="00FC4BD2" w:rsidRPr="00C8504B" w:rsidRDefault="00FC4BD2" w:rsidP="00FC4BD2">
      <w:pPr>
        <w:tabs>
          <w:tab w:val="left" w:pos="-788"/>
          <w:tab w:val="left" w:pos="-567"/>
          <w:tab w:val="left" w:pos="565"/>
          <w:tab w:val="left" w:pos="849"/>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0" w:after="120"/>
        <w:jc w:val="both"/>
        <w:rPr>
          <w:rFonts w:ascii="Arial" w:hAnsi="Arial" w:cs="Arial"/>
          <w:sz w:val="2"/>
        </w:rPr>
      </w:pPr>
    </w:p>
    <w:p w:rsidR="00FC4BD2" w:rsidRPr="00C8504B" w:rsidRDefault="00FC4BD2" w:rsidP="00FC4BD2">
      <w:pPr>
        <w:pStyle w:val="Titolo4"/>
        <w:spacing w:before="0" w:after="120"/>
        <w:rPr>
          <w:rFonts w:ascii="Arial" w:hAnsi="Arial" w:cs="Arial"/>
          <w:bCs w:val="0"/>
          <w:i w:val="0"/>
          <w:color w:val="auto"/>
          <w:szCs w:val="22"/>
        </w:rPr>
      </w:pPr>
      <w:r w:rsidRPr="00C8504B">
        <w:rPr>
          <w:rFonts w:ascii="Arial" w:hAnsi="Arial" w:cs="Arial"/>
          <w:bCs w:val="0"/>
          <w:i w:val="0"/>
          <w:color w:val="auto"/>
          <w:szCs w:val="22"/>
        </w:rPr>
        <w:t xml:space="preserve">Indici nazionali e territoriali </w:t>
      </w:r>
    </w:p>
    <w:p w:rsidR="00230423" w:rsidRPr="00F07A0F" w:rsidRDefault="00230423" w:rsidP="00230423">
      <w:pPr>
        <w:spacing w:before="0" w:after="120"/>
        <w:jc w:val="both"/>
        <w:rPr>
          <w:rFonts w:ascii="Arial" w:hAnsi="Arial" w:cs="Arial"/>
          <w:szCs w:val="21"/>
        </w:rPr>
      </w:pPr>
      <w:r w:rsidRPr="00F07A0F">
        <w:rPr>
          <w:rFonts w:ascii="Arial" w:hAnsi="Arial" w:cs="Arial"/>
          <w:szCs w:val="21"/>
        </w:rPr>
        <w:t xml:space="preserve">La metodologia di calcolo degli indici dei prezzi al consumo prevede quattro diversi processi di sintesi degli indici di ciascun aggregato di prodotto calcolati per ogni capoluogo di provincia. </w:t>
      </w:r>
    </w:p>
    <w:p w:rsidR="00230423" w:rsidRPr="00C8504B" w:rsidRDefault="00230423" w:rsidP="00230423">
      <w:pPr>
        <w:spacing w:before="0" w:after="120"/>
        <w:ind w:firstLine="567"/>
        <w:jc w:val="both"/>
        <w:rPr>
          <w:rFonts w:ascii="Arial" w:hAnsi="Arial" w:cs="Arial"/>
          <w:szCs w:val="21"/>
        </w:rPr>
      </w:pPr>
      <w:r w:rsidRPr="00F07A0F">
        <w:rPr>
          <w:rFonts w:ascii="Arial" w:hAnsi="Arial" w:cs="Arial"/>
          <w:bCs/>
          <w:szCs w:val="21"/>
        </w:rPr>
        <w:t>L’</w:t>
      </w:r>
      <w:r w:rsidRPr="00F07A0F">
        <w:rPr>
          <w:rFonts w:ascii="Arial" w:hAnsi="Arial" w:cs="Arial"/>
          <w:bCs/>
          <w:i/>
          <w:szCs w:val="21"/>
        </w:rPr>
        <w:t>indice nazionale</w:t>
      </w:r>
      <w:r w:rsidRPr="00F07A0F">
        <w:rPr>
          <w:rFonts w:ascii="Arial" w:hAnsi="Arial" w:cs="Arial"/>
          <w:bCs/>
          <w:szCs w:val="21"/>
        </w:rPr>
        <w:t xml:space="preserve"> si ottiene nel modo seguente</w:t>
      </w:r>
      <w:r w:rsidRPr="00F07A0F">
        <w:rPr>
          <w:rFonts w:ascii="Arial" w:hAnsi="Arial" w:cs="Arial"/>
          <w:szCs w:val="21"/>
        </w:rPr>
        <w:t>:</w:t>
      </w:r>
    </w:p>
    <w:p w:rsidR="00230423" w:rsidRPr="00B629AE" w:rsidRDefault="00230423" w:rsidP="00230423">
      <w:pPr>
        <w:widowControl/>
        <w:numPr>
          <w:ilvl w:val="0"/>
          <w:numId w:val="7"/>
        </w:numPr>
        <w:tabs>
          <w:tab w:val="clear" w:pos="720"/>
          <w:tab w:val="left" w:pos="284"/>
        </w:tabs>
        <w:spacing w:before="0" w:after="120"/>
        <w:ind w:left="0" w:firstLine="0"/>
        <w:jc w:val="both"/>
        <w:rPr>
          <w:rFonts w:ascii="Arial" w:hAnsi="Arial" w:cs="Arial"/>
          <w:szCs w:val="21"/>
        </w:rPr>
      </w:pPr>
      <w:r w:rsidRPr="00B629AE">
        <w:rPr>
          <w:rFonts w:ascii="Arial" w:hAnsi="Arial" w:cs="Arial"/>
          <w:szCs w:val="21"/>
        </w:rPr>
        <w:t>si aggregano tra loro gli indici provinciali di aggregato di prodotto per costruire l’indice regionale di aggregato di prodotto. Per quanto riguarda i beni alimentari (esclusi i prodotti freschi) e per la cura della casa e della persona, gli indici regionali di aggregato di prodotto sono calcolati tenendo distinte le diverse tipologie distributive (ipermercati, supermercati, discount, libero servizio, specialist drug) per i quali si utilizzano le informazioni provenienti dai registratori elettronici di cassa (scanner data). Per un numero limitato di aggregati, l’indice viene calcolato integran</w:t>
      </w:r>
      <w:r>
        <w:rPr>
          <w:rFonts w:ascii="Arial" w:hAnsi="Arial" w:cs="Arial"/>
          <w:szCs w:val="21"/>
        </w:rPr>
        <w:t xml:space="preserve">do le informazioni provenienti </w:t>
      </w:r>
      <w:proofErr w:type="gramStart"/>
      <w:r w:rsidRPr="00B629AE">
        <w:rPr>
          <w:rFonts w:ascii="Arial" w:hAnsi="Arial" w:cs="Arial"/>
          <w:szCs w:val="21"/>
        </w:rPr>
        <w:t>dagli scanner</w:t>
      </w:r>
      <w:proofErr w:type="gramEnd"/>
      <w:r w:rsidRPr="00B629AE">
        <w:rPr>
          <w:rFonts w:ascii="Arial" w:hAnsi="Arial" w:cs="Arial"/>
          <w:szCs w:val="21"/>
        </w:rPr>
        <w:t xml:space="preserve"> data con quelle rilevate direttamente dagli Uffici Comunali di Statistica. I coefficienti di ponderazione adoperati per le sintesi degli indici provinciali si basano, in generale, sul peso di ciascun capoluogo di provincia in termini di popolazione residente;</w:t>
      </w:r>
    </w:p>
    <w:p w:rsidR="00230423" w:rsidRDefault="00230423" w:rsidP="00230423">
      <w:pPr>
        <w:widowControl/>
        <w:numPr>
          <w:ilvl w:val="0"/>
          <w:numId w:val="7"/>
        </w:numPr>
        <w:tabs>
          <w:tab w:val="clear" w:pos="720"/>
          <w:tab w:val="left" w:pos="284"/>
        </w:tabs>
        <w:spacing w:before="0" w:after="120"/>
        <w:ind w:left="0" w:firstLine="0"/>
        <w:jc w:val="both"/>
        <w:rPr>
          <w:rFonts w:ascii="Arial" w:hAnsi="Arial" w:cs="Arial"/>
          <w:szCs w:val="21"/>
        </w:rPr>
      </w:pPr>
      <w:r w:rsidRPr="001F5498">
        <w:rPr>
          <w:rFonts w:ascii="Arial" w:hAnsi="Arial" w:cs="Arial"/>
          <w:szCs w:val="21"/>
        </w:rPr>
        <w:t>si aggregano tra loro gli indici regionali di aggregato di prodotto per costruire l’indice nazionale di aggregato di prodotto. I coefficienti di ponderazione utilizzati si basano sul peso di ciascuna regione in termini di consumi delle famiglie;</w:t>
      </w:r>
    </w:p>
    <w:p w:rsidR="00230423" w:rsidRPr="00963ACB" w:rsidRDefault="00230423" w:rsidP="00230423">
      <w:pPr>
        <w:widowControl/>
        <w:numPr>
          <w:ilvl w:val="0"/>
          <w:numId w:val="7"/>
        </w:numPr>
        <w:tabs>
          <w:tab w:val="clear" w:pos="720"/>
          <w:tab w:val="left" w:pos="284"/>
        </w:tabs>
        <w:spacing w:before="0" w:after="120"/>
        <w:ind w:left="0" w:firstLine="0"/>
        <w:jc w:val="both"/>
        <w:rPr>
          <w:rFonts w:ascii="Arial" w:hAnsi="Arial" w:cs="Arial"/>
          <w:szCs w:val="21"/>
        </w:rPr>
      </w:pPr>
      <w:r w:rsidRPr="001F5498">
        <w:rPr>
          <w:rFonts w:ascii="Arial" w:hAnsi="Arial" w:cs="Arial"/>
          <w:szCs w:val="21"/>
        </w:rPr>
        <w:t>l’indice generale nazionale dei prezzi al consumo si ottiene come media ponderata degli indici nazionali di aggregato di prodotto. I coefficienti di ponderazione utilizzati si basano sul peso di ciascun aggregato di prodotto in termini di consumi delle famiglie.</w:t>
      </w:r>
    </w:p>
    <w:p w:rsidR="00230423" w:rsidRPr="00C8504B" w:rsidRDefault="00230423" w:rsidP="00230423">
      <w:pPr>
        <w:tabs>
          <w:tab w:val="left" w:pos="2098"/>
        </w:tabs>
        <w:spacing w:before="0" w:after="120"/>
        <w:ind w:firstLine="567"/>
        <w:jc w:val="both"/>
        <w:rPr>
          <w:rFonts w:ascii="Arial" w:hAnsi="Arial" w:cs="Arial"/>
          <w:szCs w:val="21"/>
        </w:rPr>
      </w:pPr>
      <w:r>
        <w:rPr>
          <w:rFonts w:ascii="Arial" w:hAnsi="Arial" w:cs="Arial"/>
          <w:bCs/>
          <w:szCs w:val="21"/>
        </w:rPr>
        <w:t xml:space="preserve">Gli </w:t>
      </w:r>
      <w:r>
        <w:rPr>
          <w:rFonts w:ascii="Arial" w:hAnsi="Arial" w:cs="Arial"/>
          <w:i/>
          <w:szCs w:val="21"/>
        </w:rPr>
        <w:t xml:space="preserve">indici per </w:t>
      </w:r>
      <w:r w:rsidRPr="00910289">
        <w:rPr>
          <w:rFonts w:ascii="Arial" w:hAnsi="Arial" w:cs="Arial"/>
          <w:bCs/>
          <w:i/>
          <w:szCs w:val="21"/>
        </w:rPr>
        <w:t>capoluogo di provincia</w:t>
      </w:r>
      <w:r>
        <w:rPr>
          <w:rFonts w:ascii="Arial" w:hAnsi="Arial" w:cs="Arial"/>
          <w:bCs/>
          <w:i/>
          <w:szCs w:val="21"/>
        </w:rPr>
        <w:t>, regione e</w:t>
      </w:r>
      <w:r w:rsidRPr="00910289">
        <w:rPr>
          <w:rFonts w:ascii="Arial" w:hAnsi="Arial" w:cs="Arial"/>
          <w:bCs/>
          <w:szCs w:val="21"/>
        </w:rPr>
        <w:t xml:space="preserve"> </w:t>
      </w:r>
      <w:r>
        <w:rPr>
          <w:rFonts w:ascii="Arial" w:hAnsi="Arial" w:cs="Arial"/>
          <w:i/>
          <w:szCs w:val="21"/>
        </w:rPr>
        <w:t>ripartizione geografica</w:t>
      </w:r>
      <w:r>
        <w:rPr>
          <w:rFonts w:ascii="Arial" w:hAnsi="Arial" w:cs="Arial"/>
          <w:szCs w:val="21"/>
        </w:rPr>
        <w:t xml:space="preserve"> si ottengono come segue:</w:t>
      </w:r>
    </w:p>
    <w:p w:rsidR="00230423" w:rsidRPr="00BE0AE9" w:rsidRDefault="00230423" w:rsidP="00230423">
      <w:pPr>
        <w:widowControl/>
        <w:numPr>
          <w:ilvl w:val="0"/>
          <w:numId w:val="3"/>
        </w:numPr>
        <w:tabs>
          <w:tab w:val="clear" w:pos="720"/>
          <w:tab w:val="left" w:pos="284"/>
        </w:tabs>
        <w:spacing w:before="0" w:after="120"/>
        <w:ind w:left="0" w:firstLine="0"/>
        <w:jc w:val="both"/>
        <w:rPr>
          <w:rFonts w:ascii="Arial" w:hAnsi="Arial" w:cs="Arial"/>
          <w:szCs w:val="21"/>
        </w:rPr>
      </w:pPr>
      <w:r w:rsidRPr="00BE0AE9">
        <w:rPr>
          <w:rFonts w:ascii="Arial" w:hAnsi="Arial" w:cs="Arial"/>
          <w:szCs w:val="21"/>
        </w:rPr>
        <w:t xml:space="preserve">l’indice generale per </w:t>
      </w:r>
      <w:r>
        <w:rPr>
          <w:rFonts w:ascii="Arial" w:hAnsi="Arial" w:cs="Arial"/>
          <w:szCs w:val="21"/>
        </w:rPr>
        <w:t xml:space="preserve">regione e per </w:t>
      </w:r>
      <w:r w:rsidRPr="00BE0AE9">
        <w:rPr>
          <w:rFonts w:ascii="Arial" w:hAnsi="Arial" w:cs="Arial"/>
          <w:szCs w:val="21"/>
        </w:rPr>
        <w:t xml:space="preserve">ripartizione geografica dei prezzi </w:t>
      </w:r>
      <w:r>
        <w:rPr>
          <w:rFonts w:ascii="Arial" w:hAnsi="Arial" w:cs="Arial"/>
          <w:szCs w:val="21"/>
        </w:rPr>
        <w:t xml:space="preserve">sono calcolati rispettivamente </w:t>
      </w:r>
      <w:r w:rsidRPr="00BE0AE9">
        <w:rPr>
          <w:rFonts w:ascii="Arial" w:hAnsi="Arial" w:cs="Arial"/>
          <w:szCs w:val="21"/>
        </w:rPr>
        <w:t xml:space="preserve">come media ponderata degli indici </w:t>
      </w:r>
      <w:r>
        <w:rPr>
          <w:rFonts w:ascii="Arial" w:hAnsi="Arial" w:cs="Arial"/>
          <w:szCs w:val="21"/>
        </w:rPr>
        <w:t xml:space="preserve">regionali e </w:t>
      </w:r>
      <w:r w:rsidRPr="00BE0AE9">
        <w:rPr>
          <w:rFonts w:ascii="Arial" w:hAnsi="Arial" w:cs="Arial"/>
          <w:szCs w:val="21"/>
        </w:rPr>
        <w:t>ripartizionali di aggregato di prodotto. I coefficienti di ponderazione utilizzat</w:t>
      </w:r>
      <w:r>
        <w:rPr>
          <w:rFonts w:ascii="Arial" w:hAnsi="Arial" w:cs="Arial"/>
          <w:szCs w:val="21"/>
        </w:rPr>
        <w:t>i si basano sul peso di ciascun</w:t>
      </w:r>
      <w:r w:rsidRPr="00BE0AE9">
        <w:rPr>
          <w:rFonts w:ascii="Arial" w:hAnsi="Arial" w:cs="Arial"/>
          <w:szCs w:val="21"/>
        </w:rPr>
        <w:t xml:space="preserve"> aggregato di prodotto in termini di consumi delle famiglie.</w:t>
      </w:r>
    </w:p>
    <w:p w:rsidR="00230423" w:rsidRDefault="00230423" w:rsidP="00230423">
      <w:pPr>
        <w:widowControl/>
        <w:numPr>
          <w:ilvl w:val="0"/>
          <w:numId w:val="3"/>
        </w:numPr>
        <w:tabs>
          <w:tab w:val="clear" w:pos="720"/>
          <w:tab w:val="left" w:pos="284"/>
        </w:tabs>
        <w:spacing w:before="0" w:after="120"/>
        <w:ind w:left="0" w:firstLine="0"/>
        <w:jc w:val="both"/>
        <w:rPr>
          <w:rFonts w:ascii="Arial" w:hAnsi="Arial" w:cs="Arial"/>
          <w:szCs w:val="21"/>
        </w:rPr>
      </w:pPr>
      <w:r>
        <w:rPr>
          <w:rFonts w:ascii="Arial" w:hAnsi="Arial" w:cs="Arial"/>
          <w:szCs w:val="21"/>
        </w:rPr>
        <w:t xml:space="preserve">l’indice generale provinciale si ottiene come media aritmetica ponderata </w:t>
      </w:r>
      <w:r w:rsidRPr="002C6C87">
        <w:rPr>
          <w:rFonts w:ascii="Arial" w:hAnsi="Arial" w:cs="Arial"/>
          <w:szCs w:val="21"/>
        </w:rPr>
        <w:t xml:space="preserve">degli aggregati di prodotto calcolati a livello di capoluogo di provincia. I coefficienti di ponderazione utilizzati si basano sul peso di ciascun aggregato di prodotto in termini di consumi delle famiglie. La struttura di ponderazione utilizzata è </w:t>
      </w:r>
      <w:r>
        <w:rPr>
          <w:rFonts w:ascii="Arial" w:hAnsi="Arial" w:cs="Arial"/>
          <w:szCs w:val="21"/>
        </w:rPr>
        <w:t xml:space="preserve">quella </w:t>
      </w:r>
      <w:r w:rsidRPr="002C6C87">
        <w:rPr>
          <w:rFonts w:ascii="Arial" w:hAnsi="Arial" w:cs="Arial"/>
          <w:szCs w:val="21"/>
        </w:rPr>
        <w:t>definita a livello regionale.</w:t>
      </w:r>
    </w:p>
    <w:p w:rsidR="00FC4BD2" w:rsidRPr="00963ACB" w:rsidRDefault="00FC4BD2" w:rsidP="00FC4BD2">
      <w:pPr>
        <w:widowControl/>
        <w:tabs>
          <w:tab w:val="left" w:pos="284"/>
        </w:tabs>
        <w:spacing w:before="0" w:after="120"/>
        <w:jc w:val="both"/>
        <w:rPr>
          <w:rFonts w:ascii="Arial" w:hAnsi="Arial" w:cs="Arial"/>
          <w:szCs w:val="21"/>
        </w:rPr>
      </w:pPr>
    </w:p>
    <w:p w:rsidR="00FC4BD2" w:rsidRPr="00833545" w:rsidRDefault="00FC4BD2" w:rsidP="00FC4BD2">
      <w:pPr>
        <w:tabs>
          <w:tab w:val="left" w:pos="10206"/>
        </w:tabs>
        <w:spacing w:before="0" w:after="120"/>
        <w:jc w:val="both"/>
        <w:rPr>
          <w:rFonts w:ascii="Arial" w:hAnsi="Arial" w:cs="Arial"/>
          <w:b/>
          <w:sz w:val="22"/>
          <w:szCs w:val="22"/>
        </w:rPr>
      </w:pPr>
      <w:r w:rsidRPr="00833545">
        <w:rPr>
          <w:rFonts w:ascii="Arial" w:hAnsi="Arial" w:cs="Arial"/>
          <w:b/>
          <w:sz w:val="22"/>
          <w:szCs w:val="22"/>
        </w:rPr>
        <w:t>Classificazione degli indici dei prezzi al consumo</w:t>
      </w:r>
    </w:p>
    <w:p w:rsidR="00230423" w:rsidRDefault="00230423" w:rsidP="00230423">
      <w:pPr>
        <w:widowControl/>
        <w:tabs>
          <w:tab w:val="left" w:pos="10206"/>
        </w:tabs>
        <w:overflowPunct/>
        <w:spacing w:before="0" w:after="120"/>
        <w:jc w:val="both"/>
        <w:rPr>
          <w:rFonts w:ascii="Arial" w:hAnsi="Arial" w:cs="Arial"/>
          <w:szCs w:val="21"/>
        </w:rPr>
      </w:pPr>
      <w:r w:rsidRPr="00320159">
        <w:rPr>
          <w:rFonts w:ascii="Arial" w:hAnsi="Arial" w:cs="Arial"/>
          <w:szCs w:val="21"/>
        </w:rPr>
        <w:t xml:space="preserve">La classificazione adottata per gli indici dei prezzi al consumo è la </w:t>
      </w:r>
      <w:r w:rsidRPr="00320159">
        <w:rPr>
          <w:rFonts w:ascii="Arial" w:hAnsi="Arial" w:cs="Arial"/>
          <w:i/>
          <w:szCs w:val="21"/>
        </w:rPr>
        <w:t xml:space="preserve">European </w:t>
      </w:r>
      <w:r w:rsidRPr="00320159">
        <w:rPr>
          <w:rFonts w:ascii="Arial" w:hAnsi="Arial" w:cs="Arial"/>
          <w:i/>
          <w:iCs/>
          <w:szCs w:val="21"/>
        </w:rPr>
        <w:t>Classification of Individual Consumption by Purpose</w:t>
      </w:r>
      <w:r w:rsidRPr="00320159">
        <w:rPr>
          <w:rFonts w:ascii="Arial" w:hAnsi="Arial" w:cs="Arial"/>
          <w:szCs w:val="21"/>
        </w:rPr>
        <w:t xml:space="preserve"> (ECO</w:t>
      </w:r>
      <w:r>
        <w:rPr>
          <w:rFonts w:ascii="Arial" w:hAnsi="Arial" w:cs="Arial"/>
          <w:szCs w:val="21"/>
        </w:rPr>
        <w:t>I</w:t>
      </w:r>
      <w:r w:rsidRPr="00320159">
        <w:rPr>
          <w:rFonts w:ascii="Arial" w:hAnsi="Arial" w:cs="Arial"/>
          <w:szCs w:val="21"/>
        </w:rPr>
        <w:t>COP), allegata al nuovo Regolamento quadro europeo degli indici dei prezzi al consumo armonizzati e dell’indice dei prezzi delle abitazioni (</w:t>
      </w:r>
      <w:r w:rsidRPr="00320159">
        <w:rPr>
          <w:rFonts w:ascii="Arial" w:hAnsi="Arial" w:cs="Arial"/>
          <w:b/>
          <w:szCs w:val="21"/>
        </w:rPr>
        <w:t>Reg. n. 2016/792</w:t>
      </w:r>
      <w:r w:rsidRPr="00320159">
        <w:rPr>
          <w:rFonts w:ascii="Arial" w:hAnsi="Arial" w:cs="Arial"/>
          <w:szCs w:val="21"/>
        </w:rPr>
        <w:t>). La struttura gerarchica prevista secondo la classificazione ECO</w:t>
      </w:r>
      <w:r>
        <w:rPr>
          <w:rFonts w:ascii="Arial" w:hAnsi="Arial" w:cs="Arial"/>
          <w:szCs w:val="21"/>
        </w:rPr>
        <w:t>I</w:t>
      </w:r>
      <w:r w:rsidRPr="00320159">
        <w:rPr>
          <w:rFonts w:ascii="Arial" w:hAnsi="Arial" w:cs="Arial"/>
          <w:szCs w:val="21"/>
        </w:rPr>
        <w:t>COP presenta quattro livelli di disaggregazione: Divisioni di spesa, Gruppi di prodotto, Classi di prodotto e Sottoclassi di prodotto (in luogo dei primi tre livelli della classificazione COICOP vigente fino a dicembre 2015).</w:t>
      </w:r>
    </w:p>
    <w:p w:rsidR="00230423" w:rsidRPr="00DC0F68" w:rsidRDefault="00230423" w:rsidP="00230423">
      <w:pPr>
        <w:widowControl/>
        <w:tabs>
          <w:tab w:val="left" w:pos="10206"/>
        </w:tabs>
        <w:overflowPunct/>
        <w:spacing w:before="0" w:after="120"/>
        <w:jc w:val="both"/>
        <w:rPr>
          <w:rFonts w:ascii="Arial" w:hAnsi="Arial" w:cs="Arial"/>
          <w:szCs w:val="21"/>
        </w:rPr>
      </w:pPr>
      <w:r>
        <w:rPr>
          <w:rFonts w:ascii="Arial" w:hAnsi="Arial" w:cs="Arial"/>
          <w:szCs w:val="21"/>
        </w:rPr>
        <w:t>Ai fini del calcolo degli indici dei prezzi al consumo, le Sottoclassi di prodotto sono ulteriormente disaggregate in Segmenti di consumo.</w:t>
      </w:r>
    </w:p>
    <w:p w:rsidR="00230423" w:rsidRPr="00E7690A" w:rsidRDefault="00230423" w:rsidP="00230423">
      <w:pPr>
        <w:widowControl/>
        <w:tabs>
          <w:tab w:val="left" w:pos="10206"/>
        </w:tabs>
        <w:overflowPunct/>
        <w:spacing w:before="0" w:after="120"/>
        <w:jc w:val="both"/>
        <w:rPr>
          <w:rFonts w:ascii="Arial" w:hAnsi="Arial" w:cs="Arial"/>
          <w:szCs w:val="21"/>
        </w:rPr>
      </w:pPr>
      <w:r w:rsidRPr="00E7690A">
        <w:rPr>
          <w:rFonts w:ascii="Arial" w:hAnsi="Arial" w:cs="Arial"/>
          <w:szCs w:val="21"/>
        </w:rPr>
        <w:t>In base alla struttura di classificazione degli indici e al dettaglio territoriale, gli indici NIC sono pubblicati fino al livello dei segmenti di consumo se riferiti all’intero territorio nazionale</w:t>
      </w:r>
      <w:r w:rsidRPr="00E7690A">
        <w:rPr>
          <w:rFonts w:ascii="Arial" w:hAnsi="Arial"/>
          <w:szCs w:val="21"/>
          <w:vertAlign w:val="superscript"/>
        </w:rPr>
        <w:footnoteReference w:id="5"/>
      </w:r>
      <w:r w:rsidRPr="00E7690A">
        <w:rPr>
          <w:rFonts w:ascii="Arial" w:hAnsi="Arial" w:cs="Arial"/>
          <w:szCs w:val="21"/>
        </w:rPr>
        <w:t xml:space="preserve">, fino a quello dei gruppi di prodotto se riferiti a ripartizione, regione e provincia. Gli indici FOI sono diffusi a livello nazionale e provinciale fino alle divisioni di spesa. </w:t>
      </w:r>
    </w:p>
    <w:p w:rsidR="00230423" w:rsidRDefault="00230423" w:rsidP="00230423">
      <w:pPr>
        <w:widowControl/>
        <w:overflowPunct/>
        <w:spacing w:before="0" w:after="120"/>
        <w:jc w:val="both"/>
        <w:rPr>
          <w:rFonts w:ascii="Arial" w:hAnsi="Arial" w:cs="Arial"/>
        </w:rPr>
      </w:pPr>
      <w:r>
        <w:rPr>
          <w:rFonts w:ascii="Arial" w:hAnsi="Arial" w:cs="Arial"/>
        </w:rPr>
        <w:t>In aggiunta, sia con riferimento all’indice NIC sia all’IPCA, vengono calcolati indici dei prezzi basati su schemi classificatori alternativi alla classificazione ECOICOP, rispettivamente gli indici per tipologia di prodotto e quelli degli aggregati speciali (IPCA-AS). In particolare,</w:t>
      </w:r>
      <w:r>
        <w:rPr>
          <w:rFonts w:ascii="Arial" w:hAnsi="Arial" w:cs="Arial"/>
          <w:szCs w:val="21"/>
        </w:rPr>
        <w:t xml:space="preserve"> </w:t>
      </w:r>
      <w:r>
        <w:rPr>
          <w:rFonts w:ascii="Arial" w:hAnsi="Arial" w:cs="Arial"/>
        </w:rPr>
        <w:t>g</w:t>
      </w:r>
      <w:r w:rsidRPr="000E4583">
        <w:rPr>
          <w:rFonts w:ascii="Arial" w:hAnsi="Arial" w:cs="Arial"/>
        </w:rPr>
        <w:t>li IPCA-AS sono elaborati adottando lo stesso metodo di calcolo utilizzato</w:t>
      </w:r>
      <w:r>
        <w:rPr>
          <w:rFonts w:ascii="Arial" w:hAnsi="Arial" w:cs="Arial"/>
        </w:rPr>
        <w:t xml:space="preserve"> da Eurostat (diverso</w:t>
      </w:r>
      <w:r w:rsidRPr="000E4583">
        <w:rPr>
          <w:rFonts w:ascii="Arial" w:hAnsi="Arial" w:cs="Arial"/>
        </w:rPr>
        <w:t xml:space="preserve"> da quello </w:t>
      </w:r>
      <w:r>
        <w:rPr>
          <w:rFonts w:ascii="Arial" w:hAnsi="Arial" w:cs="Arial"/>
        </w:rPr>
        <w:t>adottato</w:t>
      </w:r>
      <w:r w:rsidRPr="000E4583">
        <w:rPr>
          <w:rFonts w:ascii="Arial" w:hAnsi="Arial" w:cs="Arial"/>
        </w:rPr>
        <w:t xml:space="preserve"> per le tipologie di prodotto del NIC), al fine di permettere </w:t>
      </w:r>
      <w:r>
        <w:rPr>
          <w:rFonts w:ascii="Arial" w:hAnsi="Arial" w:cs="Arial"/>
        </w:rPr>
        <w:t>l</w:t>
      </w:r>
      <w:r w:rsidRPr="000E4583">
        <w:rPr>
          <w:rFonts w:ascii="Arial" w:hAnsi="Arial" w:cs="Arial"/>
        </w:rPr>
        <w:t>a piena</w:t>
      </w:r>
      <w:r>
        <w:rPr>
          <w:rFonts w:ascii="Arial" w:hAnsi="Arial" w:cs="Arial"/>
        </w:rPr>
        <w:t xml:space="preserve"> </w:t>
      </w:r>
      <w:r w:rsidRPr="000E4583">
        <w:rPr>
          <w:rFonts w:ascii="Arial" w:hAnsi="Arial" w:cs="Arial"/>
        </w:rPr>
        <w:t xml:space="preserve">comparabilità tra gli indici italiani e quelli elaborati da Eurostat per l’Ue, la zona euro e gli altri </w:t>
      </w:r>
      <w:r w:rsidRPr="00FE6E08">
        <w:rPr>
          <w:rFonts w:ascii="Arial" w:hAnsi="Arial" w:cs="Arial"/>
        </w:rPr>
        <w:t>Paesi europei</w:t>
      </w:r>
      <w:r w:rsidRPr="00FE6E08">
        <w:rPr>
          <w:rFonts w:ascii="Arial" w:hAnsi="Arial"/>
          <w:vertAlign w:val="superscript"/>
        </w:rPr>
        <w:footnoteReference w:id="6"/>
      </w:r>
      <w:r w:rsidRPr="00FE6E08">
        <w:rPr>
          <w:rFonts w:ascii="Arial" w:hAnsi="Arial" w:cs="Arial"/>
        </w:rPr>
        <w:t xml:space="preserve">. Gli </w:t>
      </w:r>
      <w:r w:rsidRPr="00FE6E08">
        <w:rPr>
          <w:rFonts w:ascii="Arial" w:hAnsi="Arial" w:cs="Arial"/>
        </w:rPr>
        <w:lastRenderedPageBreak/>
        <w:t>IPCA-AS a partire dai dati definitivi di gennaio 2019 sono calcolati aggregando gli indici delle sottoclassi della ECOICOP (in precedenza, per il computo di questi indicatori erano utilizzati gli indici delle classi). Per una migliore fruibilità dei nuovi indicatori, le serie degli aggregati speciali, secondo il nuovo schema, sono state ricostruite per il periodo gennaio 2017 - dicembre 2018.</w:t>
      </w:r>
    </w:p>
    <w:p w:rsidR="00FC4BD2" w:rsidRPr="008E006C" w:rsidRDefault="00FC4BD2" w:rsidP="00FC4BD2">
      <w:pPr>
        <w:widowControl/>
        <w:tabs>
          <w:tab w:val="left" w:pos="10206"/>
        </w:tabs>
        <w:overflowPunct/>
        <w:spacing w:before="0" w:after="120"/>
        <w:jc w:val="both"/>
        <w:rPr>
          <w:rFonts w:ascii="Arial" w:hAnsi="Arial" w:cs="Arial"/>
          <w:szCs w:val="21"/>
        </w:rPr>
      </w:pPr>
    </w:p>
    <w:p w:rsidR="00FC4BD2" w:rsidRPr="00833545" w:rsidRDefault="00FC4BD2" w:rsidP="00FC4BD2">
      <w:pPr>
        <w:pStyle w:val="Rientrocorpodeltesto"/>
        <w:spacing w:before="0"/>
        <w:ind w:left="0" w:hanging="1"/>
        <w:rPr>
          <w:rFonts w:ascii="Arial" w:hAnsi="Arial" w:cs="Arial"/>
          <w:b/>
          <w:bCs/>
          <w:szCs w:val="22"/>
        </w:rPr>
      </w:pPr>
      <w:r w:rsidRPr="00833545">
        <w:rPr>
          <w:rFonts w:ascii="Arial" w:hAnsi="Arial" w:cs="Arial"/>
          <w:b/>
          <w:bCs/>
          <w:szCs w:val="22"/>
        </w:rPr>
        <w:t>Rilevazione e calcolo degli indici dei prezzi dei prodotti stagionali</w:t>
      </w:r>
    </w:p>
    <w:p w:rsidR="00353727" w:rsidRDefault="00353727" w:rsidP="00353727">
      <w:pPr>
        <w:spacing w:before="0" w:after="120"/>
        <w:jc w:val="both"/>
        <w:rPr>
          <w:rFonts w:ascii="Arial" w:hAnsi="Arial" w:cs="Arial"/>
        </w:rPr>
      </w:pPr>
      <w:r>
        <w:rPr>
          <w:rFonts w:ascii="Arial" w:hAnsi="Arial" w:cs="Arial"/>
        </w:rPr>
        <w:t>Dai dati di gennaio 2011 viene adottata la met</w:t>
      </w:r>
      <w:r w:rsidRPr="00463B41">
        <w:rPr>
          <w:rFonts w:ascii="Arial" w:hAnsi="Arial" w:cs="Arial"/>
        </w:rPr>
        <w:t xml:space="preserve">odologia di rilevazione e calcolo degli indici dei prezzi dei prodotti stagionali, </w:t>
      </w:r>
      <w:r w:rsidRPr="008C214F">
        <w:rPr>
          <w:rFonts w:ascii="Arial" w:hAnsi="Arial" w:cs="Arial"/>
        </w:rPr>
        <w:t xml:space="preserve">conforme alle norme previste </w:t>
      </w:r>
      <w:r>
        <w:rPr>
          <w:rFonts w:ascii="Arial" w:hAnsi="Arial" w:cs="Arial"/>
        </w:rPr>
        <w:t xml:space="preserve">prima dal Regolamento </w:t>
      </w:r>
      <w:r w:rsidRPr="00FC6C36">
        <w:rPr>
          <w:rFonts w:ascii="Arial" w:hAnsi="Arial" w:cs="Arial"/>
        </w:rPr>
        <w:t xml:space="preserve">(CE) n. 330/2009 del 22 aprile 2009 </w:t>
      </w:r>
      <w:r>
        <w:rPr>
          <w:rFonts w:ascii="Arial" w:hAnsi="Arial" w:cs="Arial"/>
        </w:rPr>
        <w:t>e poi dal</w:t>
      </w:r>
      <w:r w:rsidRPr="009927F3">
        <w:rPr>
          <w:rFonts w:ascii="Arial" w:hAnsi="Arial" w:cs="Arial"/>
        </w:rPr>
        <w:t xml:space="preserve"> Regolamento di Esecuzione (UE) n. 2020/1148 della Commissione del 31 luglio 2020</w:t>
      </w:r>
      <w:r>
        <w:rPr>
          <w:rFonts w:ascii="Arial" w:hAnsi="Arial" w:cs="Arial"/>
        </w:rPr>
        <w:t xml:space="preserve"> (che ha abrogato il Regolamento 330/2009)</w:t>
      </w:r>
      <w:r w:rsidRPr="008C214F">
        <w:rPr>
          <w:rFonts w:ascii="Arial" w:hAnsi="Arial" w:cs="Arial"/>
        </w:rPr>
        <w:t xml:space="preserve">, per i prodotti stagionali appartenenti </w:t>
      </w:r>
      <w:r>
        <w:rPr>
          <w:rFonts w:ascii="Arial" w:hAnsi="Arial" w:cs="Arial"/>
        </w:rPr>
        <w:t>ai gruppi e classi di prodotto</w:t>
      </w:r>
      <w:r w:rsidRPr="008C214F">
        <w:rPr>
          <w:rFonts w:ascii="Arial" w:hAnsi="Arial" w:cs="Arial"/>
        </w:rPr>
        <w:t xml:space="preserve"> </w:t>
      </w:r>
      <w:r w:rsidRPr="008C214F">
        <w:rPr>
          <w:rFonts w:ascii="Arial" w:hAnsi="Arial" w:cs="Arial"/>
          <w:i/>
        </w:rPr>
        <w:t>Frutta,</w:t>
      </w:r>
      <w:r w:rsidRPr="008C214F">
        <w:rPr>
          <w:rFonts w:ascii="Arial" w:hAnsi="Arial" w:cs="Arial"/>
        </w:rPr>
        <w:t xml:space="preserve"> </w:t>
      </w:r>
      <w:r w:rsidRPr="008C214F">
        <w:rPr>
          <w:rFonts w:ascii="Arial" w:hAnsi="Arial" w:cs="Arial"/>
          <w:i/>
        </w:rPr>
        <w:t>Vegetali</w:t>
      </w:r>
      <w:r w:rsidRPr="008C214F">
        <w:rPr>
          <w:rFonts w:ascii="Arial" w:hAnsi="Arial" w:cs="Arial"/>
        </w:rPr>
        <w:t xml:space="preserve">, </w:t>
      </w:r>
      <w:r w:rsidRPr="008C214F">
        <w:rPr>
          <w:rFonts w:ascii="Arial" w:hAnsi="Arial" w:cs="Arial"/>
          <w:i/>
        </w:rPr>
        <w:t>Abbigliamento e Calzature</w:t>
      </w:r>
      <w:r w:rsidRPr="008C214F">
        <w:rPr>
          <w:rFonts w:ascii="Arial" w:hAnsi="Arial" w:cs="Arial"/>
        </w:rPr>
        <w:t>.</w:t>
      </w:r>
      <w:r>
        <w:rPr>
          <w:rFonts w:ascii="Arial" w:hAnsi="Arial" w:cs="Arial"/>
        </w:rPr>
        <w:t xml:space="preserve"> La</w:t>
      </w:r>
      <w:r w:rsidRPr="00463B41">
        <w:rPr>
          <w:rFonts w:ascii="Arial" w:hAnsi="Arial" w:cs="Arial"/>
        </w:rPr>
        <w:t xml:space="preserve"> metodologia è </w:t>
      </w:r>
      <w:r>
        <w:rPr>
          <w:rFonts w:ascii="Arial" w:hAnsi="Arial" w:cs="Arial"/>
        </w:rPr>
        <w:t>adottata</w:t>
      </w:r>
      <w:r w:rsidRPr="00463B41">
        <w:rPr>
          <w:rFonts w:ascii="Arial" w:hAnsi="Arial" w:cs="Arial"/>
        </w:rPr>
        <w:t xml:space="preserve"> per</w:t>
      </w:r>
      <w:r>
        <w:rPr>
          <w:rFonts w:ascii="Arial" w:hAnsi="Arial" w:cs="Arial"/>
        </w:rPr>
        <w:t xml:space="preserve"> i tre</w:t>
      </w:r>
      <w:r w:rsidRPr="00463B41">
        <w:rPr>
          <w:rFonts w:ascii="Arial" w:hAnsi="Arial" w:cs="Arial"/>
        </w:rPr>
        <w:t xml:space="preserve"> indici NIC</w:t>
      </w:r>
      <w:r>
        <w:rPr>
          <w:rFonts w:ascii="Arial" w:hAnsi="Arial" w:cs="Arial"/>
        </w:rPr>
        <w:t>,</w:t>
      </w:r>
      <w:r w:rsidRPr="00463B41">
        <w:rPr>
          <w:rFonts w:ascii="Arial" w:hAnsi="Arial" w:cs="Arial"/>
        </w:rPr>
        <w:t xml:space="preserve"> FOI</w:t>
      </w:r>
      <w:r>
        <w:rPr>
          <w:rFonts w:ascii="Arial" w:hAnsi="Arial" w:cs="Arial"/>
        </w:rPr>
        <w:t xml:space="preserve"> e IPCA</w:t>
      </w:r>
      <w:r w:rsidRPr="00463B41">
        <w:rPr>
          <w:rFonts w:ascii="Arial" w:hAnsi="Arial" w:cs="Arial"/>
        </w:rPr>
        <w:t>.</w:t>
      </w:r>
    </w:p>
    <w:p w:rsidR="00353727" w:rsidRPr="00EF5CEA" w:rsidRDefault="00353727" w:rsidP="00353727">
      <w:pPr>
        <w:spacing w:before="0" w:after="120"/>
        <w:jc w:val="both"/>
        <w:rPr>
          <w:rFonts w:ascii="Arial" w:hAnsi="Arial" w:cs="Arial"/>
        </w:rPr>
      </w:pPr>
      <w:r w:rsidRPr="00EF5CEA">
        <w:rPr>
          <w:rFonts w:ascii="Arial" w:hAnsi="Arial" w:cs="Arial"/>
        </w:rPr>
        <w:t xml:space="preserve">Secondo il citato Regolamento si definisce </w:t>
      </w:r>
      <w:r w:rsidRPr="00EF5CEA">
        <w:rPr>
          <w:rFonts w:ascii="Arial" w:hAnsi="Arial" w:cs="Arial"/>
          <w:i/>
        </w:rPr>
        <w:t>prodotto stagionale</w:t>
      </w:r>
      <w:r w:rsidRPr="00EF5CEA">
        <w:rPr>
          <w:rFonts w:ascii="Arial" w:hAnsi="Arial" w:cs="Arial"/>
        </w:rPr>
        <w:t xml:space="preserve"> </w:t>
      </w:r>
      <w:r w:rsidRPr="00BA7814">
        <w:rPr>
          <w:rFonts w:ascii="Arial" w:hAnsi="Arial" w:cs="Arial"/>
        </w:rPr>
        <w:t>un singolo prodotto acquistabile o acquistato in quantità significative solo durante una parte</w:t>
      </w:r>
      <w:r>
        <w:rPr>
          <w:rFonts w:ascii="Arial" w:hAnsi="Arial" w:cs="Arial"/>
        </w:rPr>
        <w:t xml:space="preserve"> </w:t>
      </w:r>
      <w:r w:rsidRPr="00BA7814">
        <w:rPr>
          <w:rFonts w:ascii="Arial" w:hAnsi="Arial" w:cs="Arial"/>
        </w:rPr>
        <w:t>dell’anno secondo uno schema ricorrente</w:t>
      </w:r>
      <w:r w:rsidRPr="00EF5CEA">
        <w:rPr>
          <w:rFonts w:ascii="Arial" w:hAnsi="Arial" w:cs="Arial"/>
        </w:rPr>
        <w:t xml:space="preserve">. </w:t>
      </w:r>
    </w:p>
    <w:p w:rsidR="00353727" w:rsidRDefault="00353727" w:rsidP="00353727">
      <w:pPr>
        <w:pStyle w:val="Default"/>
        <w:spacing w:after="120"/>
        <w:jc w:val="both"/>
        <w:rPr>
          <w:rFonts w:ascii="Arial" w:hAnsi="Arial" w:cs="Arial"/>
          <w:sz w:val="20"/>
          <w:szCs w:val="20"/>
        </w:rPr>
      </w:pPr>
      <w:r w:rsidRPr="00463B41">
        <w:rPr>
          <w:rFonts w:ascii="Arial" w:hAnsi="Arial" w:cs="Arial"/>
          <w:sz w:val="20"/>
          <w:szCs w:val="20"/>
        </w:rPr>
        <w:t>Il Regolamento stabilisce</w:t>
      </w:r>
      <w:r>
        <w:rPr>
          <w:rFonts w:ascii="Arial" w:hAnsi="Arial" w:cs="Arial"/>
          <w:sz w:val="20"/>
          <w:szCs w:val="20"/>
        </w:rPr>
        <w:t>,</w:t>
      </w:r>
      <w:r w:rsidRPr="00463B41">
        <w:rPr>
          <w:rFonts w:ascii="Arial" w:hAnsi="Arial" w:cs="Arial"/>
          <w:sz w:val="20"/>
          <w:szCs w:val="20"/>
        </w:rPr>
        <w:t xml:space="preserve"> inoltre</w:t>
      </w:r>
      <w:r>
        <w:rPr>
          <w:rFonts w:ascii="Arial" w:hAnsi="Arial" w:cs="Arial"/>
          <w:sz w:val="20"/>
          <w:szCs w:val="20"/>
        </w:rPr>
        <w:t>,</w:t>
      </w:r>
      <w:r w:rsidRPr="00463B41">
        <w:rPr>
          <w:rFonts w:ascii="Arial" w:hAnsi="Arial" w:cs="Arial"/>
          <w:sz w:val="20"/>
          <w:szCs w:val="20"/>
        </w:rPr>
        <w:t xml:space="preserve"> che, in un dato mese, i prodotti stagionali </w:t>
      </w:r>
      <w:r>
        <w:rPr>
          <w:rFonts w:ascii="Arial" w:hAnsi="Arial" w:cs="Arial"/>
          <w:sz w:val="20"/>
          <w:szCs w:val="20"/>
        </w:rPr>
        <w:t>siano</w:t>
      </w:r>
      <w:r w:rsidRPr="00463B41">
        <w:rPr>
          <w:rFonts w:ascii="Arial" w:hAnsi="Arial" w:cs="Arial"/>
          <w:sz w:val="20"/>
          <w:szCs w:val="20"/>
        </w:rPr>
        <w:t xml:space="preserve"> considerati “in stagione” o “fuori stagione”. Sulla base di tale norma</w:t>
      </w:r>
      <w:r>
        <w:rPr>
          <w:rFonts w:ascii="Arial" w:hAnsi="Arial" w:cs="Arial"/>
          <w:sz w:val="20"/>
          <w:szCs w:val="20"/>
        </w:rPr>
        <w:t xml:space="preserve">, ogni anno, l’Istat provvede alla definizione del </w:t>
      </w:r>
      <w:r w:rsidRPr="00463B41">
        <w:rPr>
          <w:rFonts w:ascii="Arial" w:hAnsi="Arial" w:cs="Arial"/>
          <w:sz w:val="20"/>
          <w:szCs w:val="20"/>
        </w:rPr>
        <w:t xml:space="preserve">calendario mensile </w:t>
      </w:r>
      <w:r>
        <w:rPr>
          <w:rFonts w:ascii="Arial" w:hAnsi="Arial" w:cs="Arial"/>
          <w:sz w:val="20"/>
          <w:szCs w:val="20"/>
        </w:rPr>
        <w:t xml:space="preserve">valido </w:t>
      </w:r>
      <w:r w:rsidRPr="00463B41">
        <w:rPr>
          <w:rFonts w:ascii="Arial" w:hAnsi="Arial" w:cs="Arial"/>
          <w:sz w:val="20"/>
          <w:szCs w:val="20"/>
        </w:rPr>
        <w:t xml:space="preserve">per tutto </w:t>
      </w:r>
      <w:r>
        <w:rPr>
          <w:rFonts w:ascii="Arial" w:hAnsi="Arial" w:cs="Arial"/>
          <w:sz w:val="20"/>
          <w:szCs w:val="20"/>
        </w:rPr>
        <w:t>l’anno</w:t>
      </w:r>
      <w:r w:rsidRPr="00463B41">
        <w:rPr>
          <w:rFonts w:ascii="Arial" w:hAnsi="Arial" w:cs="Arial"/>
          <w:sz w:val="20"/>
          <w:szCs w:val="20"/>
        </w:rPr>
        <w:t xml:space="preserve">, che stabilisce in un dato mese quando </w:t>
      </w:r>
      <w:r>
        <w:rPr>
          <w:rFonts w:ascii="Arial" w:hAnsi="Arial" w:cs="Arial"/>
          <w:sz w:val="20"/>
          <w:szCs w:val="20"/>
        </w:rPr>
        <w:t>ogni</w:t>
      </w:r>
      <w:r w:rsidRPr="00463B41">
        <w:rPr>
          <w:rFonts w:ascii="Arial" w:hAnsi="Arial" w:cs="Arial"/>
          <w:sz w:val="20"/>
          <w:szCs w:val="20"/>
        </w:rPr>
        <w:t xml:space="preserve"> specifico prodotto, appartenente alle suddette categorie o ai suddetti gruppi, deve essere considerato </w:t>
      </w:r>
      <w:r>
        <w:rPr>
          <w:rFonts w:ascii="Arial" w:hAnsi="Arial" w:cs="Arial"/>
          <w:sz w:val="20"/>
          <w:szCs w:val="20"/>
        </w:rPr>
        <w:t>“</w:t>
      </w:r>
      <w:r w:rsidRPr="00463B41">
        <w:rPr>
          <w:rFonts w:ascii="Arial" w:hAnsi="Arial" w:cs="Arial"/>
          <w:i/>
          <w:sz w:val="20"/>
          <w:szCs w:val="20"/>
        </w:rPr>
        <w:t>in stagione</w:t>
      </w:r>
      <w:r>
        <w:rPr>
          <w:rFonts w:ascii="Arial" w:hAnsi="Arial" w:cs="Arial"/>
          <w:i/>
          <w:sz w:val="20"/>
          <w:szCs w:val="20"/>
        </w:rPr>
        <w:t>”</w:t>
      </w:r>
      <w:r w:rsidRPr="00463B41">
        <w:rPr>
          <w:rFonts w:ascii="Arial" w:hAnsi="Arial" w:cs="Arial"/>
          <w:sz w:val="20"/>
          <w:szCs w:val="20"/>
        </w:rPr>
        <w:t xml:space="preserve"> oppure </w:t>
      </w:r>
      <w:r>
        <w:rPr>
          <w:rFonts w:ascii="Arial" w:hAnsi="Arial" w:cs="Arial"/>
          <w:sz w:val="20"/>
          <w:szCs w:val="20"/>
        </w:rPr>
        <w:t>“</w:t>
      </w:r>
      <w:r w:rsidRPr="00463B41">
        <w:rPr>
          <w:rFonts w:ascii="Arial" w:hAnsi="Arial" w:cs="Arial"/>
          <w:i/>
          <w:sz w:val="20"/>
          <w:szCs w:val="20"/>
        </w:rPr>
        <w:t>fuori stagione</w:t>
      </w:r>
      <w:r>
        <w:rPr>
          <w:rFonts w:ascii="Arial" w:hAnsi="Arial" w:cs="Arial"/>
          <w:i/>
          <w:sz w:val="20"/>
          <w:szCs w:val="20"/>
        </w:rPr>
        <w:t>”</w:t>
      </w:r>
      <w:r w:rsidRPr="00463B41">
        <w:rPr>
          <w:rFonts w:ascii="Arial" w:hAnsi="Arial" w:cs="Arial"/>
          <w:sz w:val="20"/>
          <w:szCs w:val="20"/>
        </w:rPr>
        <w:t>.</w:t>
      </w:r>
      <w:r>
        <w:rPr>
          <w:rFonts w:ascii="Arial" w:hAnsi="Arial" w:cs="Arial"/>
          <w:sz w:val="20"/>
          <w:szCs w:val="20"/>
        </w:rPr>
        <w:t xml:space="preserve"> </w:t>
      </w:r>
      <w:r w:rsidRPr="00463B41">
        <w:rPr>
          <w:rFonts w:ascii="Arial" w:hAnsi="Arial" w:cs="Arial"/>
          <w:sz w:val="20"/>
          <w:szCs w:val="20"/>
        </w:rPr>
        <w:t>L’adozione di un calendar</w:t>
      </w:r>
      <w:r>
        <w:rPr>
          <w:rFonts w:ascii="Arial" w:hAnsi="Arial" w:cs="Arial"/>
          <w:sz w:val="20"/>
          <w:szCs w:val="20"/>
        </w:rPr>
        <w:t xml:space="preserve">io della stagionalità comporta che la </w:t>
      </w:r>
      <w:r w:rsidRPr="00463B41">
        <w:rPr>
          <w:rFonts w:ascii="Arial" w:hAnsi="Arial" w:cs="Arial"/>
          <w:sz w:val="20"/>
          <w:szCs w:val="20"/>
        </w:rPr>
        <w:t>rilevazione territoriale dei prezzi al consumo</w:t>
      </w:r>
      <w:r>
        <w:rPr>
          <w:rFonts w:ascii="Arial" w:hAnsi="Arial" w:cs="Arial"/>
          <w:sz w:val="20"/>
          <w:szCs w:val="20"/>
        </w:rPr>
        <w:t xml:space="preserve"> sia effettuata</w:t>
      </w:r>
      <w:r w:rsidRPr="00463B41">
        <w:rPr>
          <w:rFonts w:ascii="Arial" w:hAnsi="Arial" w:cs="Arial"/>
          <w:sz w:val="20"/>
          <w:szCs w:val="20"/>
        </w:rPr>
        <w:t xml:space="preserve"> solo nei mesi in cui il prodotto in questione è definito “</w:t>
      </w:r>
      <w:r w:rsidRPr="00463B41">
        <w:rPr>
          <w:rFonts w:ascii="Arial" w:hAnsi="Arial" w:cs="Arial"/>
          <w:i/>
          <w:sz w:val="20"/>
          <w:szCs w:val="20"/>
        </w:rPr>
        <w:t>in stagione</w:t>
      </w:r>
      <w:r w:rsidRPr="00463B41">
        <w:rPr>
          <w:rFonts w:ascii="Arial" w:hAnsi="Arial" w:cs="Arial"/>
          <w:sz w:val="20"/>
          <w:szCs w:val="20"/>
        </w:rPr>
        <w:t>”</w:t>
      </w:r>
      <w:r>
        <w:rPr>
          <w:rFonts w:ascii="Arial" w:hAnsi="Arial" w:cs="Arial"/>
          <w:sz w:val="20"/>
          <w:szCs w:val="20"/>
        </w:rPr>
        <w:t>, mentre i</w:t>
      </w:r>
      <w:r w:rsidRPr="00463B41">
        <w:rPr>
          <w:rFonts w:ascii="Arial" w:hAnsi="Arial" w:cs="Arial"/>
          <w:sz w:val="20"/>
          <w:szCs w:val="20"/>
        </w:rPr>
        <w:t xml:space="preserve"> prezzi dei prodotti “</w:t>
      </w:r>
      <w:r w:rsidRPr="00463B41">
        <w:rPr>
          <w:rFonts w:ascii="Arial" w:hAnsi="Arial" w:cs="Arial"/>
          <w:i/>
          <w:sz w:val="20"/>
          <w:szCs w:val="20"/>
        </w:rPr>
        <w:t>fuori stagione</w:t>
      </w:r>
      <w:r w:rsidRPr="00463B41">
        <w:rPr>
          <w:rFonts w:ascii="Arial" w:hAnsi="Arial" w:cs="Arial"/>
          <w:sz w:val="20"/>
          <w:szCs w:val="20"/>
        </w:rPr>
        <w:t>”</w:t>
      </w:r>
      <w:r>
        <w:rPr>
          <w:rFonts w:ascii="Arial" w:hAnsi="Arial" w:cs="Arial"/>
          <w:sz w:val="20"/>
          <w:szCs w:val="20"/>
        </w:rPr>
        <w:t xml:space="preserve"> sono stimati sulla base di una metodologia coerente con le indicazioni contenute nel Regolamento europeo</w:t>
      </w:r>
      <w:r w:rsidRPr="00463B41">
        <w:rPr>
          <w:rFonts w:ascii="Arial" w:hAnsi="Arial" w:cs="Arial"/>
          <w:sz w:val="20"/>
          <w:szCs w:val="20"/>
        </w:rPr>
        <w:t>.</w:t>
      </w:r>
    </w:p>
    <w:p w:rsidR="00FC4BD2" w:rsidRDefault="00FC4BD2" w:rsidP="00FC4BD2">
      <w:pPr>
        <w:pStyle w:val="Default"/>
        <w:spacing w:after="120"/>
        <w:jc w:val="both"/>
        <w:rPr>
          <w:rFonts w:ascii="Arial" w:hAnsi="Arial" w:cs="Arial"/>
          <w:sz w:val="20"/>
          <w:szCs w:val="20"/>
        </w:rPr>
      </w:pPr>
    </w:p>
    <w:p w:rsidR="00FC4BD2" w:rsidRPr="001D642A" w:rsidRDefault="00FC4BD2" w:rsidP="00FC4BD2">
      <w:pPr>
        <w:spacing w:before="0" w:after="120"/>
        <w:jc w:val="both"/>
        <w:rPr>
          <w:rFonts w:ascii="Arial" w:hAnsi="Arial" w:cs="Arial"/>
          <w:b/>
          <w:szCs w:val="22"/>
        </w:rPr>
      </w:pPr>
      <w:r w:rsidRPr="001D642A">
        <w:rPr>
          <w:rFonts w:ascii="Arial" w:hAnsi="Arial" w:cs="Arial"/>
          <w:b/>
          <w:szCs w:val="22"/>
        </w:rPr>
        <w:t>Stim</w:t>
      </w:r>
      <w:r>
        <w:rPr>
          <w:rFonts w:ascii="Arial" w:hAnsi="Arial" w:cs="Arial"/>
          <w:b/>
          <w:szCs w:val="22"/>
        </w:rPr>
        <w:t>a</w:t>
      </w:r>
      <w:r w:rsidRPr="001D642A">
        <w:rPr>
          <w:rFonts w:ascii="Arial" w:hAnsi="Arial" w:cs="Arial"/>
          <w:b/>
          <w:szCs w:val="22"/>
        </w:rPr>
        <w:t xml:space="preserve"> delle </w:t>
      </w:r>
      <w:r>
        <w:rPr>
          <w:rFonts w:ascii="Arial" w:hAnsi="Arial" w:cs="Arial"/>
          <w:b/>
          <w:szCs w:val="22"/>
        </w:rPr>
        <w:t>osservazioni</w:t>
      </w:r>
      <w:r w:rsidRPr="001D642A">
        <w:rPr>
          <w:rFonts w:ascii="Arial" w:hAnsi="Arial" w:cs="Arial"/>
          <w:b/>
          <w:szCs w:val="22"/>
        </w:rPr>
        <w:t xml:space="preserve"> </w:t>
      </w:r>
      <w:r>
        <w:rPr>
          <w:rFonts w:ascii="Arial" w:hAnsi="Arial" w:cs="Arial"/>
          <w:b/>
          <w:szCs w:val="22"/>
        </w:rPr>
        <w:t xml:space="preserve">mancanti </w:t>
      </w:r>
      <w:r w:rsidRPr="001D642A">
        <w:rPr>
          <w:rFonts w:ascii="Arial" w:hAnsi="Arial" w:cs="Arial"/>
          <w:b/>
          <w:szCs w:val="22"/>
        </w:rPr>
        <w:t>negli indici dei prezzi al consumo</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Le procedure di imputazione delle </w:t>
      </w:r>
      <w:r>
        <w:rPr>
          <w:rFonts w:ascii="Arial" w:hAnsi="Arial" w:cs="Arial"/>
          <w:sz w:val="20"/>
          <w:szCs w:val="20"/>
        </w:rPr>
        <w:t xml:space="preserve">osservazioni mancanti </w:t>
      </w:r>
      <w:r w:rsidRPr="001D642A">
        <w:rPr>
          <w:rFonts w:ascii="Arial" w:hAnsi="Arial" w:cs="Arial"/>
          <w:sz w:val="20"/>
          <w:szCs w:val="20"/>
        </w:rPr>
        <w:t>adottate dall’Istat per la stima dell’inflazione sono coerenti con l’impianto metodologico indicato da Eurostat e condiviso con gli Stati membri dell’Unione europea</w:t>
      </w:r>
      <w:r w:rsidRPr="001D642A">
        <w:rPr>
          <w:rStyle w:val="Rimandonotaapidipagina"/>
          <w:rFonts w:ascii="Arial" w:hAnsi="Arial"/>
          <w:sz w:val="20"/>
          <w:szCs w:val="20"/>
        </w:rPr>
        <w:footnoteReference w:id="7"/>
      </w:r>
      <w:r w:rsidRPr="001D642A">
        <w:rPr>
          <w:rFonts w:ascii="Arial" w:hAnsi="Arial" w:cs="Arial"/>
          <w:sz w:val="20"/>
          <w:szCs w:val="20"/>
        </w:rPr>
        <w:t xml:space="preserve">. </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Questo impianto, che riguarda tutti e tre gli indici (NIC, FOI e IPCA), si basa su tre principi: </w:t>
      </w:r>
    </w:p>
    <w:p w:rsidR="00353727" w:rsidRPr="001D642A" w:rsidRDefault="00353727" w:rsidP="00353727">
      <w:pPr>
        <w:pStyle w:val="Default"/>
        <w:spacing w:after="120"/>
        <w:ind w:left="284"/>
        <w:jc w:val="both"/>
        <w:rPr>
          <w:rFonts w:ascii="Arial" w:hAnsi="Arial" w:cs="Arial"/>
          <w:sz w:val="20"/>
          <w:szCs w:val="20"/>
        </w:rPr>
      </w:pPr>
      <w:r w:rsidRPr="001D642A">
        <w:rPr>
          <w:rFonts w:ascii="Arial" w:hAnsi="Arial" w:cs="Arial"/>
          <w:sz w:val="20"/>
          <w:szCs w:val="20"/>
        </w:rPr>
        <w:t>1.</w:t>
      </w:r>
      <w:r w:rsidRPr="001D642A">
        <w:rPr>
          <w:rFonts w:ascii="Arial" w:hAnsi="Arial" w:cs="Arial"/>
          <w:sz w:val="20"/>
          <w:szCs w:val="20"/>
        </w:rPr>
        <w:tab/>
        <w:t>stabilità dei pesi degli aggregati di prodotto che compongono il paniere,</w:t>
      </w:r>
    </w:p>
    <w:p w:rsidR="00353727" w:rsidRPr="001D642A" w:rsidRDefault="00353727" w:rsidP="00353727">
      <w:pPr>
        <w:pStyle w:val="Default"/>
        <w:spacing w:after="120"/>
        <w:ind w:left="284"/>
        <w:jc w:val="both"/>
        <w:rPr>
          <w:rFonts w:ascii="Arial" w:hAnsi="Arial" w:cs="Arial"/>
          <w:sz w:val="20"/>
          <w:szCs w:val="20"/>
        </w:rPr>
      </w:pPr>
      <w:r w:rsidRPr="001D642A">
        <w:rPr>
          <w:rFonts w:ascii="Arial" w:hAnsi="Arial" w:cs="Arial"/>
          <w:sz w:val="20"/>
          <w:szCs w:val="20"/>
        </w:rPr>
        <w:t>2.</w:t>
      </w:r>
      <w:r w:rsidRPr="001D642A">
        <w:rPr>
          <w:rFonts w:ascii="Arial" w:hAnsi="Arial" w:cs="Arial"/>
          <w:sz w:val="20"/>
          <w:szCs w:val="20"/>
        </w:rPr>
        <w:tab/>
        <w:t>calcolo degli indici per tutti gli aggregati di prodotto e i diversi livelli di disaggregazione previsti dalla ECOICOP,</w:t>
      </w:r>
    </w:p>
    <w:p w:rsidR="00353727" w:rsidRPr="001D642A" w:rsidRDefault="00353727" w:rsidP="00353727">
      <w:pPr>
        <w:pStyle w:val="Default"/>
        <w:spacing w:after="120"/>
        <w:ind w:left="284"/>
        <w:jc w:val="both"/>
        <w:rPr>
          <w:rFonts w:ascii="Arial" w:hAnsi="Arial" w:cs="Arial"/>
          <w:sz w:val="20"/>
          <w:szCs w:val="20"/>
        </w:rPr>
      </w:pPr>
      <w:r w:rsidRPr="001D642A">
        <w:rPr>
          <w:rFonts w:ascii="Arial" w:hAnsi="Arial" w:cs="Arial"/>
          <w:sz w:val="20"/>
          <w:szCs w:val="20"/>
        </w:rPr>
        <w:t>3.</w:t>
      </w:r>
      <w:r w:rsidRPr="001D642A">
        <w:rPr>
          <w:rFonts w:ascii="Arial" w:hAnsi="Arial" w:cs="Arial"/>
          <w:sz w:val="20"/>
          <w:szCs w:val="20"/>
        </w:rPr>
        <w:tab/>
        <w:t>minimizzazione del numero di prezzi imputati</w:t>
      </w:r>
      <w:r w:rsidRPr="001D642A">
        <w:rPr>
          <w:rStyle w:val="Rimandonotaapidipagina"/>
          <w:rFonts w:ascii="Arial" w:hAnsi="Arial"/>
          <w:sz w:val="20"/>
          <w:szCs w:val="20"/>
        </w:rPr>
        <w:footnoteReference w:id="8"/>
      </w:r>
      <w:r w:rsidRPr="001D642A">
        <w:rPr>
          <w:rFonts w:ascii="Arial" w:hAnsi="Arial" w:cs="Arial"/>
          <w:sz w:val="20"/>
          <w:szCs w:val="20"/>
        </w:rPr>
        <w:t>.</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Le regole di imputazione si applicano sia ai casi in cui non è possibile rilevare il prezzo di un prodotto, sia ai casi nei quali l’assenza del prezzo deriva dalla sua indisponibilità nel mercato, e comportano l’applicazione di procedure di ricostruzione del prezzo mancante della referenza, basate </w:t>
      </w:r>
      <w:r>
        <w:rPr>
          <w:rFonts w:ascii="Arial" w:hAnsi="Arial" w:cs="Arial"/>
          <w:sz w:val="20"/>
          <w:szCs w:val="20"/>
        </w:rPr>
        <w:t>prevalentemente</w:t>
      </w:r>
      <w:r w:rsidRPr="001D642A">
        <w:rPr>
          <w:rFonts w:ascii="Arial" w:hAnsi="Arial" w:cs="Arial"/>
          <w:sz w:val="20"/>
          <w:szCs w:val="20"/>
        </w:rPr>
        <w:t xml:space="preserve"> sulla variazione del prezzo </w:t>
      </w:r>
      <w:r>
        <w:rPr>
          <w:rFonts w:ascii="Arial" w:hAnsi="Arial" w:cs="Arial"/>
          <w:sz w:val="20"/>
          <w:szCs w:val="20"/>
        </w:rPr>
        <w:t>rispetto al</w:t>
      </w:r>
      <w:r w:rsidRPr="001D642A">
        <w:rPr>
          <w:rFonts w:ascii="Arial" w:hAnsi="Arial" w:cs="Arial"/>
          <w:sz w:val="20"/>
          <w:szCs w:val="20"/>
        </w:rPr>
        <w:t xml:space="preserve"> mese precedente. </w:t>
      </w:r>
    </w:p>
    <w:p w:rsidR="00353727"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L’individuazione della variazione </w:t>
      </w:r>
      <w:r>
        <w:rPr>
          <w:rFonts w:ascii="Arial" w:hAnsi="Arial" w:cs="Arial"/>
          <w:sz w:val="20"/>
          <w:szCs w:val="20"/>
        </w:rPr>
        <w:t xml:space="preserve">congiunturale </w:t>
      </w:r>
      <w:r w:rsidRPr="001D642A">
        <w:rPr>
          <w:rFonts w:ascii="Arial" w:hAnsi="Arial" w:cs="Arial"/>
          <w:sz w:val="20"/>
          <w:szCs w:val="20"/>
        </w:rPr>
        <w:t xml:space="preserve">più idonea per la procedura di imputazione non è univocamente determinata, ma dipende da diversi fattori (tra i quali la quota di mancate rilevazioni per prodotto, la sua posizione nella struttura gerarchica, il suo grado di volatilità mensile e il carattere stagionale della dinamica dei prezzi). </w:t>
      </w:r>
    </w:p>
    <w:p w:rsidR="00353727" w:rsidRPr="001D642A" w:rsidRDefault="00353727" w:rsidP="00353727">
      <w:pPr>
        <w:pStyle w:val="Default"/>
        <w:spacing w:after="120"/>
        <w:jc w:val="both"/>
        <w:rPr>
          <w:rFonts w:ascii="Arial" w:hAnsi="Arial" w:cs="Arial"/>
          <w:sz w:val="20"/>
          <w:szCs w:val="20"/>
        </w:rPr>
      </w:pPr>
      <w:r>
        <w:rPr>
          <w:rFonts w:ascii="Arial" w:hAnsi="Arial" w:cs="Arial"/>
          <w:sz w:val="20"/>
          <w:szCs w:val="20"/>
        </w:rPr>
        <w:t>L</w:t>
      </w:r>
      <w:r w:rsidRPr="001D642A">
        <w:rPr>
          <w:rFonts w:ascii="Arial" w:hAnsi="Arial" w:cs="Arial"/>
          <w:sz w:val="20"/>
          <w:szCs w:val="20"/>
        </w:rPr>
        <w:t>e regole di imputazione delle mancate rilevazioni dei prezzi applicate ai prodotti delle diverse categorie merceologiche, sono di seguito elencate:</w:t>
      </w:r>
    </w:p>
    <w:p w:rsidR="00353727" w:rsidRPr="001D642A" w:rsidRDefault="00353727" w:rsidP="00353727">
      <w:pPr>
        <w:pStyle w:val="Default"/>
        <w:numPr>
          <w:ilvl w:val="0"/>
          <w:numId w:val="17"/>
        </w:numPr>
        <w:ind w:left="567" w:hanging="357"/>
        <w:jc w:val="both"/>
        <w:rPr>
          <w:rFonts w:ascii="Arial" w:hAnsi="Arial" w:cs="Arial"/>
          <w:sz w:val="20"/>
          <w:szCs w:val="20"/>
        </w:rPr>
      </w:pPr>
      <w:r w:rsidRPr="001D642A">
        <w:rPr>
          <w:rFonts w:ascii="Arial" w:hAnsi="Arial" w:cs="Arial"/>
          <w:sz w:val="20"/>
          <w:szCs w:val="20"/>
        </w:rPr>
        <w:t xml:space="preserve">Per i prodotti grocery rilevati tramite scanner data, nell’ambito dell’approccio dinamico utilizzato per il calcolo degli indici e in accordo </w:t>
      </w:r>
      <w:r>
        <w:rPr>
          <w:rFonts w:ascii="Arial" w:hAnsi="Arial" w:cs="Arial"/>
          <w:sz w:val="20"/>
          <w:szCs w:val="20"/>
        </w:rPr>
        <w:t>con le</w:t>
      </w:r>
      <w:r w:rsidRPr="001D642A">
        <w:rPr>
          <w:rFonts w:ascii="Arial" w:hAnsi="Arial" w:cs="Arial"/>
          <w:sz w:val="20"/>
          <w:szCs w:val="20"/>
        </w:rPr>
        <w:t xml:space="preserve"> linee guida dell’Eurostat, i prezzi delle referenze </w:t>
      </w:r>
      <w:r>
        <w:rPr>
          <w:rFonts w:ascii="Arial" w:hAnsi="Arial" w:cs="Arial"/>
          <w:sz w:val="20"/>
          <w:szCs w:val="20"/>
        </w:rPr>
        <w:t xml:space="preserve">(GTIN) </w:t>
      </w:r>
      <w:r w:rsidRPr="001D642A">
        <w:rPr>
          <w:rFonts w:ascii="Arial" w:hAnsi="Arial" w:cs="Arial"/>
          <w:sz w:val="20"/>
          <w:szCs w:val="20"/>
        </w:rPr>
        <w:t>temporaneamente assenti (per cause stagionali o accidentali) vengono imputati per un massimo di 14 mesi consecutivi.</w:t>
      </w:r>
    </w:p>
    <w:p w:rsidR="00353727" w:rsidRDefault="00353727" w:rsidP="00353727">
      <w:pPr>
        <w:pStyle w:val="Default"/>
        <w:spacing w:before="120"/>
        <w:ind w:left="567"/>
        <w:jc w:val="both"/>
        <w:rPr>
          <w:rFonts w:ascii="Arial" w:hAnsi="Arial" w:cs="Arial"/>
          <w:sz w:val="20"/>
          <w:szCs w:val="20"/>
        </w:rPr>
      </w:pPr>
      <w:r w:rsidRPr="001D642A">
        <w:rPr>
          <w:rFonts w:ascii="Arial" w:hAnsi="Arial" w:cs="Arial"/>
          <w:sz w:val="20"/>
          <w:szCs w:val="20"/>
        </w:rPr>
        <w:t>In particolare, qualora i prezzi mensili di alcune referenze di un determinato aggregato di prodotto risultino mancanti (come nel caso di assenza di vendite di un prodotto), essi vengono imputati per variazione, utilizzando il tasso di crescita su base mensile delle altre referenze, tenendo conto delle regole di aggregazione, per step succes</w:t>
      </w:r>
      <w:r>
        <w:rPr>
          <w:rFonts w:ascii="Arial" w:hAnsi="Arial" w:cs="Arial"/>
          <w:sz w:val="20"/>
          <w:szCs w:val="20"/>
        </w:rPr>
        <w:t>s</w:t>
      </w:r>
      <w:r w:rsidRPr="001D642A">
        <w:rPr>
          <w:rFonts w:ascii="Arial" w:hAnsi="Arial" w:cs="Arial"/>
          <w:sz w:val="20"/>
          <w:szCs w:val="20"/>
        </w:rPr>
        <w:t>ivi, adottate per la sintesi degli indici</w:t>
      </w:r>
      <w:r w:rsidRPr="001D642A">
        <w:rPr>
          <w:rStyle w:val="Rimandonotaapidipagina"/>
          <w:rFonts w:ascii="Arial" w:hAnsi="Arial"/>
          <w:sz w:val="20"/>
          <w:szCs w:val="20"/>
        </w:rPr>
        <w:footnoteReference w:id="9"/>
      </w:r>
      <w:r w:rsidRPr="001D642A">
        <w:rPr>
          <w:rFonts w:ascii="Arial" w:hAnsi="Arial" w:cs="Arial"/>
          <w:sz w:val="20"/>
          <w:szCs w:val="20"/>
        </w:rPr>
        <w:t xml:space="preserve">. </w:t>
      </w:r>
    </w:p>
    <w:p w:rsidR="00FC4BD2" w:rsidRPr="001D642A" w:rsidRDefault="00FC4BD2" w:rsidP="00FC4BD2">
      <w:pPr>
        <w:pStyle w:val="Default"/>
        <w:spacing w:before="120"/>
        <w:ind w:left="567"/>
        <w:jc w:val="both"/>
        <w:rPr>
          <w:rFonts w:ascii="Arial" w:hAnsi="Arial" w:cs="Arial"/>
          <w:sz w:val="20"/>
          <w:szCs w:val="20"/>
        </w:rPr>
      </w:pPr>
    </w:p>
    <w:p w:rsidR="00353727" w:rsidRDefault="00353727" w:rsidP="00353727">
      <w:pPr>
        <w:pStyle w:val="Default"/>
        <w:spacing w:before="120"/>
        <w:ind w:left="567"/>
        <w:jc w:val="both"/>
        <w:rPr>
          <w:rFonts w:ascii="Arial" w:hAnsi="Arial" w:cs="Arial"/>
          <w:sz w:val="20"/>
          <w:szCs w:val="20"/>
        </w:rPr>
      </w:pPr>
      <w:r w:rsidRPr="001D642A">
        <w:rPr>
          <w:rFonts w:ascii="Arial" w:hAnsi="Arial" w:cs="Arial"/>
          <w:sz w:val="20"/>
          <w:szCs w:val="20"/>
        </w:rPr>
        <w:t>Più in dettaglio, i prezzi mancanti vengono imputati all’interno di ciascun punto vendita stimando l’evoluzione dei prezzi dei GTIN effettivamente venduti nel mercato ECR cui il GTIN mancante appartiene. Per i GTIN che non trovano donatori all’interno del mercato ECR si considera lo strato cui appartiene il punto vendita e i prezzi mancanti vengono stimati seguendo l’evoluzione dei prezzi dello stesso mercato nello strato</w:t>
      </w:r>
      <w:r>
        <w:rPr>
          <w:rFonts w:ascii="Arial" w:hAnsi="Arial" w:cs="Arial"/>
          <w:sz w:val="20"/>
          <w:szCs w:val="20"/>
        </w:rPr>
        <w:t>.</w:t>
      </w:r>
      <w:r w:rsidRPr="001D642A">
        <w:rPr>
          <w:rFonts w:ascii="Arial" w:hAnsi="Arial" w:cs="Arial"/>
          <w:sz w:val="20"/>
          <w:szCs w:val="20"/>
        </w:rPr>
        <w:t xml:space="preserve"> Qualora non esistano donatori la procedura di stima sale di livello (provincia/aggregato di prodotto) fino ad imputare tutti i prezzi delle referenze mancanti. La metodologia implementata garantisce che la variazione degli aggregati di prodotto tenga conto delle sole informazioni effettivamente disponibili (l’imputazione è neutrale rispetto all’aggregazione).</w:t>
      </w:r>
    </w:p>
    <w:p w:rsidR="00353727" w:rsidRPr="001D642A" w:rsidRDefault="00353727" w:rsidP="00353727">
      <w:pPr>
        <w:pStyle w:val="Default"/>
        <w:spacing w:before="120"/>
        <w:ind w:left="567"/>
        <w:jc w:val="both"/>
        <w:rPr>
          <w:rFonts w:ascii="Arial" w:hAnsi="Arial" w:cs="Arial"/>
          <w:sz w:val="20"/>
          <w:szCs w:val="20"/>
        </w:rPr>
      </w:pPr>
      <w:r w:rsidRPr="001D642A">
        <w:rPr>
          <w:rFonts w:ascii="Arial" w:hAnsi="Arial" w:cs="Arial"/>
          <w:sz w:val="20"/>
          <w:szCs w:val="20"/>
        </w:rPr>
        <w:t>Le stesse regole di imputazione valgono nel caso in cui l’indisponibilità delle informazioni è dovuta alla chiusura del punto vendita. In tal caso vengono imputati i prezzi di tutte le corrispondenti referenze.</w:t>
      </w:r>
    </w:p>
    <w:p w:rsidR="00353727" w:rsidRPr="001D642A" w:rsidRDefault="00353727" w:rsidP="00353727">
      <w:pPr>
        <w:pStyle w:val="Default"/>
        <w:numPr>
          <w:ilvl w:val="0"/>
          <w:numId w:val="17"/>
        </w:numPr>
        <w:spacing w:before="120" w:after="120"/>
        <w:ind w:left="568" w:hanging="284"/>
        <w:jc w:val="both"/>
        <w:rPr>
          <w:rFonts w:ascii="Arial" w:hAnsi="Arial" w:cs="Arial"/>
          <w:sz w:val="20"/>
          <w:szCs w:val="20"/>
        </w:rPr>
      </w:pPr>
      <w:r w:rsidRPr="001D642A">
        <w:rPr>
          <w:rFonts w:ascii="Arial" w:hAnsi="Arial" w:cs="Arial"/>
          <w:sz w:val="20"/>
          <w:szCs w:val="20"/>
        </w:rPr>
        <w:t>Nel settore dell’abbigliamento e calzature e per i prodotti alimentari freschi, quali frutta e vegetali freschi, per i quali è prevista la rilevazione bimensile, nel caso in cui non siano disponibili i prezzi per entrambe le date di rilevazione, le mancate risposte sono imputate per variazione dei prezzi delle referenze che sono state rilevate per lo stesso prodotto nel capoluogo di provincia, oppure nella regione o a livello nazionale, applicando le consuete procedure per la stima dei prezzi dei prodotti stagionali.</w:t>
      </w:r>
    </w:p>
    <w:p w:rsidR="00353727" w:rsidRPr="001D642A" w:rsidRDefault="00353727" w:rsidP="00353727">
      <w:pPr>
        <w:pStyle w:val="Default"/>
        <w:numPr>
          <w:ilvl w:val="0"/>
          <w:numId w:val="17"/>
        </w:numPr>
        <w:spacing w:after="120"/>
        <w:ind w:left="567"/>
        <w:jc w:val="both"/>
        <w:rPr>
          <w:rFonts w:ascii="Arial" w:hAnsi="Arial" w:cs="Arial"/>
          <w:sz w:val="20"/>
          <w:szCs w:val="20"/>
        </w:rPr>
      </w:pPr>
      <w:r w:rsidRPr="001D642A">
        <w:rPr>
          <w:rFonts w:ascii="Arial" w:hAnsi="Arial" w:cs="Arial"/>
          <w:sz w:val="20"/>
          <w:szCs w:val="20"/>
        </w:rPr>
        <w:t>Per la stima dei prezzi dei prodotti alimentari freschi (per i quali è prevista la rilevazione mensile), dei prodotti ittici freschi (per i quali è prevista la rilevazione bimensile, nel caso in cui non siano disponibili i prezzi per entrambe le date di rilevazione), dei farmaci SOP, OTC e degli altri prodotti medicali rilevati mensilmente dagli UCS, le mancate risposte sono imputate per variazione dei prezzi delle referenze rilevate per lo stesso prodotto nel capoluogo di provincia, oppure nella</w:t>
      </w:r>
      <w:r>
        <w:rPr>
          <w:rFonts w:ascii="Arial" w:hAnsi="Arial" w:cs="Arial"/>
          <w:sz w:val="20"/>
          <w:szCs w:val="20"/>
        </w:rPr>
        <w:t xml:space="preserve"> regione o a livello nazionale.</w:t>
      </w:r>
    </w:p>
    <w:p w:rsidR="00353727" w:rsidRPr="001D642A" w:rsidRDefault="00353727" w:rsidP="0035372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P</w:t>
      </w:r>
      <w:r w:rsidRPr="001D642A">
        <w:rPr>
          <w:rFonts w:ascii="Arial" w:hAnsi="Arial" w:cs="Arial"/>
          <w:sz w:val="20"/>
          <w:szCs w:val="20"/>
        </w:rPr>
        <w:t>er i prodotti (definiti in base alla categoria) che compongono l’aggregato camera d’albergo, a partire da gennaio 2022, le mancate risposte imputate utilizzando la variazione congiunturale dei prezzi degli alberghi rilevati nella provincia per la stessa categoria di alberghi, oppure nello stesso aggregato o, se il numero di osservazioni disponibili nel mese di riferimento non lo consente, la variazione congiunturale osservata nella provincia nello stesso mese dell’anno precedente, al fine di preservare la din</w:t>
      </w:r>
      <w:r>
        <w:rPr>
          <w:rFonts w:ascii="Arial" w:hAnsi="Arial" w:cs="Arial"/>
          <w:sz w:val="20"/>
          <w:szCs w:val="20"/>
        </w:rPr>
        <w:t>amica stagionale dell’aggregato.</w:t>
      </w:r>
    </w:p>
    <w:p w:rsidR="00353727" w:rsidRPr="001D642A" w:rsidRDefault="00353727" w:rsidP="0035372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P</w:t>
      </w:r>
      <w:r w:rsidRPr="001D642A">
        <w:rPr>
          <w:rFonts w:ascii="Arial" w:hAnsi="Arial" w:cs="Arial"/>
          <w:sz w:val="20"/>
          <w:szCs w:val="20"/>
        </w:rPr>
        <w:t xml:space="preserve">er i prezzi dei prodotti di arredamento e dei prodotti per la casa si applica il metodo del </w:t>
      </w:r>
      <w:r w:rsidRPr="001D642A">
        <w:rPr>
          <w:rFonts w:ascii="Arial" w:hAnsi="Arial" w:cs="Arial"/>
          <w:i/>
          <w:sz w:val="20"/>
          <w:szCs w:val="20"/>
        </w:rPr>
        <w:t>carry forward</w:t>
      </w:r>
      <w:r w:rsidRPr="001D642A">
        <w:rPr>
          <w:rFonts w:ascii="Arial" w:hAnsi="Arial" w:cs="Arial"/>
          <w:sz w:val="20"/>
          <w:szCs w:val="20"/>
        </w:rPr>
        <w:t xml:space="preserve"> (ripetizione del prezzo del mese precedente), data la limitata variabilità temporale dei prezzi </w:t>
      </w:r>
      <w:r>
        <w:rPr>
          <w:rFonts w:ascii="Arial" w:hAnsi="Arial" w:cs="Arial"/>
          <w:sz w:val="20"/>
          <w:szCs w:val="20"/>
        </w:rPr>
        <w:t>di questa categoria di prodotti.</w:t>
      </w:r>
    </w:p>
    <w:p w:rsidR="00353727" w:rsidRPr="001D642A" w:rsidRDefault="00353727" w:rsidP="0035372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A</w:t>
      </w:r>
      <w:r w:rsidRPr="001D642A">
        <w:rPr>
          <w:rFonts w:ascii="Arial" w:hAnsi="Arial" w:cs="Arial"/>
          <w:sz w:val="20"/>
          <w:szCs w:val="20"/>
        </w:rPr>
        <w:t xml:space="preserve">nalogamente il metodo del </w:t>
      </w:r>
      <w:r w:rsidRPr="001D642A">
        <w:rPr>
          <w:rFonts w:ascii="Arial" w:hAnsi="Arial" w:cs="Arial"/>
          <w:i/>
          <w:sz w:val="20"/>
          <w:szCs w:val="20"/>
        </w:rPr>
        <w:t>carry forward</w:t>
      </w:r>
      <w:r w:rsidRPr="001D642A">
        <w:rPr>
          <w:rFonts w:ascii="Arial" w:hAnsi="Arial" w:cs="Arial"/>
          <w:sz w:val="20"/>
          <w:szCs w:val="20"/>
        </w:rPr>
        <w:t xml:space="preserve"> viene adottato per i prezzi dei servizi di ristorazione e dei servizi culturali e di intrattenimento.</w:t>
      </w:r>
    </w:p>
    <w:p w:rsidR="00353727" w:rsidRDefault="00353727" w:rsidP="0035372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P</w:t>
      </w:r>
      <w:r w:rsidRPr="001D642A">
        <w:rPr>
          <w:rFonts w:ascii="Arial" w:hAnsi="Arial" w:cs="Arial"/>
          <w:sz w:val="20"/>
          <w:szCs w:val="20"/>
        </w:rPr>
        <w:t>er i prodotti rilevati centralmente dall’Istat ogni quotazione mancante viene stimata utilizzando la variazione congiunturale degli indici che appartengono allo stesso strato; qualora i prezzi di uno strato risultino completamente assenti, la procedura di stima è basata sulla variazione degli indici di strato superiori.</w:t>
      </w:r>
    </w:p>
    <w:p w:rsidR="00353727" w:rsidRPr="005B0AE5" w:rsidRDefault="00353727" w:rsidP="00353727">
      <w:pPr>
        <w:pStyle w:val="Default"/>
        <w:numPr>
          <w:ilvl w:val="0"/>
          <w:numId w:val="17"/>
        </w:numPr>
        <w:spacing w:after="120"/>
        <w:ind w:left="567" w:hanging="283"/>
        <w:jc w:val="both"/>
        <w:rPr>
          <w:rFonts w:ascii="Arial" w:hAnsi="Arial" w:cs="Arial"/>
        </w:rPr>
      </w:pPr>
      <w:r>
        <w:rPr>
          <w:rFonts w:ascii="Arial" w:hAnsi="Arial" w:cs="Arial"/>
          <w:sz w:val="20"/>
          <w:szCs w:val="20"/>
        </w:rPr>
        <w:t>P</w:t>
      </w:r>
      <w:r w:rsidRPr="00FF77B1">
        <w:rPr>
          <w:rFonts w:ascii="Arial" w:hAnsi="Arial" w:cs="Arial"/>
          <w:sz w:val="20"/>
          <w:szCs w:val="20"/>
        </w:rPr>
        <w:t xml:space="preserve">er i prodotti indisponibili alla fruizione da parte delle famiglie </w:t>
      </w:r>
      <w:r>
        <w:rPr>
          <w:rFonts w:ascii="Arial" w:hAnsi="Arial" w:cs="Arial"/>
          <w:sz w:val="20"/>
          <w:szCs w:val="20"/>
        </w:rPr>
        <w:t xml:space="preserve">(come accaduto nei periodi di </w:t>
      </w:r>
      <w:proofErr w:type="spellStart"/>
      <w:r>
        <w:rPr>
          <w:rFonts w:ascii="Arial" w:hAnsi="Arial" w:cs="Arial"/>
          <w:sz w:val="20"/>
          <w:szCs w:val="20"/>
        </w:rPr>
        <w:t>lockdown</w:t>
      </w:r>
      <w:proofErr w:type="spellEnd"/>
      <w:r>
        <w:rPr>
          <w:rFonts w:ascii="Arial" w:hAnsi="Arial" w:cs="Arial"/>
          <w:sz w:val="20"/>
          <w:szCs w:val="20"/>
        </w:rPr>
        <w:t xml:space="preserve"> durante la pandemia causata dal Covid-19) </w:t>
      </w:r>
      <w:r w:rsidRPr="00FF77B1">
        <w:rPr>
          <w:rFonts w:ascii="Arial" w:hAnsi="Arial" w:cs="Arial"/>
          <w:sz w:val="20"/>
          <w:szCs w:val="20"/>
        </w:rPr>
        <w:t xml:space="preserve">e che presentano un chiaro profilo stagionale, </w:t>
      </w:r>
      <w:r>
        <w:rPr>
          <w:rFonts w:ascii="Arial" w:hAnsi="Arial" w:cs="Arial"/>
          <w:sz w:val="20"/>
          <w:szCs w:val="20"/>
        </w:rPr>
        <w:t xml:space="preserve">viene utilizzata </w:t>
      </w:r>
      <w:r w:rsidRPr="00FF77B1">
        <w:rPr>
          <w:rFonts w:ascii="Arial" w:hAnsi="Arial" w:cs="Arial"/>
          <w:sz w:val="20"/>
          <w:szCs w:val="20"/>
        </w:rPr>
        <w:t>la variazione dell’indice generale calcolata al netto di questi stessi prodotti.</w:t>
      </w:r>
    </w:p>
    <w:p w:rsidR="00353727"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Gli indici ai diversi livelli di aggregazione qualora abbiano una quota di imputazioni superiore al 50% (in termini di prezzi mancanti e/o di peso) sono segnalate, sulla base delle indicazioni di Eurostat, mediante l’utilizzo del flag “i” (dato imputato) sia nelle tabelle del Comunicato stampa, sia su </w:t>
      </w:r>
      <w:proofErr w:type="gramStart"/>
      <w:r w:rsidRPr="001D642A">
        <w:rPr>
          <w:rFonts w:ascii="Arial" w:hAnsi="Arial" w:cs="Arial"/>
          <w:sz w:val="20"/>
          <w:szCs w:val="20"/>
        </w:rPr>
        <w:t>I.Stat</w:t>
      </w:r>
      <w:proofErr w:type="gramEnd"/>
      <w:r w:rsidRPr="001D642A">
        <w:rPr>
          <w:rFonts w:ascii="Arial" w:hAnsi="Arial" w:cs="Arial"/>
          <w:sz w:val="20"/>
          <w:szCs w:val="20"/>
        </w:rPr>
        <w:t xml:space="preserve"> e nelle altre pubblicazioni. Per quanto riguarda gli indici diffusi su Rivaluta, in occasione del rilascio dei dati definitivi, quelli che presentano una quota di imputazioni superiore al 50% (in termini di prezzi mancanti e/o di peso) non sono resi disponibili.</w:t>
      </w:r>
    </w:p>
    <w:p w:rsidR="00FC4BD2" w:rsidRPr="001D642A" w:rsidRDefault="00FC4BD2" w:rsidP="00FC4BD2">
      <w:pPr>
        <w:pStyle w:val="Default"/>
        <w:spacing w:after="120"/>
        <w:jc w:val="both"/>
        <w:rPr>
          <w:rFonts w:ascii="Arial" w:hAnsi="Arial" w:cs="Arial"/>
          <w:sz w:val="20"/>
          <w:szCs w:val="20"/>
        </w:rPr>
      </w:pPr>
    </w:p>
    <w:p w:rsidR="00FC4BD2" w:rsidRPr="001D642A" w:rsidRDefault="00FC4BD2" w:rsidP="00FC4BD2">
      <w:pPr>
        <w:spacing w:before="0" w:after="120"/>
        <w:jc w:val="both"/>
        <w:rPr>
          <w:rFonts w:ascii="Arial" w:hAnsi="Arial" w:cs="Arial"/>
          <w:b/>
          <w:sz w:val="22"/>
          <w:szCs w:val="22"/>
        </w:rPr>
      </w:pPr>
      <w:r w:rsidRPr="001D642A">
        <w:rPr>
          <w:rFonts w:ascii="Arial" w:hAnsi="Arial" w:cs="Arial"/>
          <w:b/>
          <w:sz w:val="22"/>
          <w:szCs w:val="22"/>
        </w:rPr>
        <w:t>Stima preliminare degli indici dei prezzi al consumo IPCA: accuratezza e metodologia di calcolo</w:t>
      </w:r>
    </w:p>
    <w:p w:rsidR="00353727" w:rsidRPr="001D642A" w:rsidRDefault="00353727" w:rsidP="00353727">
      <w:pPr>
        <w:widowControl/>
        <w:overflowPunct/>
        <w:spacing w:before="0" w:after="120"/>
        <w:jc w:val="both"/>
        <w:rPr>
          <w:rFonts w:ascii="Arial" w:hAnsi="Arial" w:cs="Arial"/>
          <w:kern w:val="0"/>
        </w:rPr>
      </w:pPr>
      <w:r w:rsidRPr="001D642A">
        <w:rPr>
          <w:rFonts w:ascii="Arial" w:hAnsi="Arial" w:cs="Arial"/>
          <w:kern w:val="0"/>
        </w:rPr>
        <w:t xml:space="preserve">La diffusione degli indici dei prezzi al consumo avviene in due successivi istanti temporali secondo una diversa modalità di rilascio dei dati: prima come stima provvisoria, poi come stima definitiva. La diffusione della stima provvisoria degli indici IPCA (e degli indici NIC) avviene alla fine del mese di riferimento nel rispetto del calendario Eurostat di diffusione della stima anticipata dell’inflazione nell’area euro. Il rilascio dei dati definitivi avviene intorno alla metà del mese successivo a quello di riferimento. </w:t>
      </w:r>
    </w:p>
    <w:p w:rsidR="00353727" w:rsidRDefault="00353727" w:rsidP="00353727">
      <w:pPr>
        <w:spacing w:before="0" w:after="120"/>
        <w:jc w:val="both"/>
        <w:rPr>
          <w:rFonts w:ascii="Arial" w:hAnsi="Arial" w:cs="Arial"/>
        </w:rPr>
      </w:pPr>
      <w:r w:rsidRPr="001D642A">
        <w:rPr>
          <w:rFonts w:ascii="Arial" w:hAnsi="Arial" w:cs="Arial"/>
        </w:rPr>
        <w:t>La finalità della diffusione dei dati provvisori, sia dell’indice IPCA sia dall’indice NIC, è quella di fornire informazioni più tempestive sull’andamento dei prezzi al consumo, stimando nel modo più accurato possibile il dato definitivo dell’inflazione rilasciato circa due settimane dopo. In questo contesto, l’analisi delle revisioni delle stime provvisorie dei tassi tendenziali rappresenta un importante strumento per valutare il corretto bilanciamento tra le due dimensioni della qualità dei dati, tempestività e accuratezza.</w:t>
      </w:r>
    </w:p>
    <w:p w:rsidR="00353727" w:rsidRDefault="00353727" w:rsidP="00353727">
      <w:pPr>
        <w:spacing w:before="0" w:after="120"/>
        <w:jc w:val="both"/>
        <w:rPr>
          <w:rFonts w:ascii="Arial" w:hAnsi="Arial" w:cs="Arial"/>
        </w:rPr>
      </w:pPr>
    </w:p>
    <w:p w:rsidR="00353727" w:rsidRPr="001D642A" w:rsidRDefault="00353727" w:rsidP="00353727">
      <w:pPr>
        <w:spacing w:before="0" w:after="120"/>
        <w:jc w:val="both"/>
        <w:rPr>
          <w:rFonts w:ascii="Arial" w:hAnsi="Arial" w:cs="Arial"/>
          <w:szCs w:val="21"/>
        </w:rPr>
      </w:pPr>
      <w:r w:rsidRPr="001D642A">
        <w:rPr>
          <w:rFonts w:ascii="Arial" w:hAnsi="Arial" w:cs="Arial"/>
        </w:rPr>
        <w:t>In linea con la politica di diffusione di Eurostat, che pubblica mensilmente una nota sull’accuratezza della stima anticipata dell’inflazione per l’area euro, questa sezione è dedicata all’</w:t>
      </w:r>
      <w:r w:rsidRPr="001D642A">
        <w:rPr>
          <w:rFonts w:ascii="Arial" w:hAnsi="Arial" w:cs="Arial"/>
          <w:szCs w:val="21"/>
        </w:rPr>
        <w:t>analisi dell’accuratezza e alla metodologia utilizzata per il calcolo della stima preliminare dell’indice IPCA.</w:t>
      </w:r>
    </w:p>
    <w:p w:rsidR="00FC4BD2" w:rsidRPr="001D642A" w:rsidRDefault="00FC4BD2" w:rsidP="00FC4BD2">
      <w:pPr>
        <w:spacing w:before="0" w:after="120"/>
        <w:jc w:val="both"/>
        <w:rPr>
          <w:rFonts w:ascii="Arial" w:hAnsi="Arial" w:cs="Arial"/>
        </w:rPr>
      </w:pPr>
    </w:p>
    <w:p w:rsidR="00FC4BD2" w:rsidRPr="001D642A" w:rsidRDefault="00FC4BD2" w:rsidP="00FC4BD2">
      <w:pPr>
        <w:pStyle w:val="Rientrocorpodeltesto"/>
        <w:spacing w:before="0"/>
        <w:ind w:left="0" w:hanging="1"/>
        <w:rPr>
          <w:rFonts w:ascii="Arial" w:hAnsi="Arial" w:cs="Arial"/>
          <w:b/>
          <w:bCs/>
          <w:szCs w:val="22"/>
        </w:rPr>
      </w:pPr>
      <w:r w:rsidRPr="001D642A">
        <w:rPr>
          <w:rFonts w:ascii="Arial" w:hAnsi="Arial" w:cs="Arial"/>
          <w:b/>
          <w:bCs/>
          <w:szCs w:val="22"/>
        </w:rPr>
        <w:t>Accuratezza delle stime preliminari</w:t>
      </w:r>
    </w:p>
    <w:p w:rsidR="00A11573" w:rsidRPr="001D642A" w:rsidRDefault="00A11573" w:rsidP="00A11573">
      <w:pPr>
        <w:widowControl/>
        <w:overflowPunct/>
        <w:spacing w:before="0" w:after="120"/>
        <w:jc w:val="both"/>
        <w:rPr>
          <w:rFonts w:ascii="Arial" w:hAnsi="Arial" w:cs="Arial"/>
        </w:rPr>
      </w:pPr>
      <w:r w:rsidRPr="001D642A">
        <w:rPr>
          <w:rFonts w:ascii="Arial" w:hAnsi="Arial" w:cs="Arial"/>
        </w:rPr>
        <w:t>Nel Prospetto 2 sono confrontati i tassi di variazione tendenziale definitivi e provvisori dell’indice generale IPCA e dei principali aggregati speciali per gli ultimi tredici mesi. In questo arco temporale, la differenza maggiore tra la stima definitiva e quella provvisoria del tasso tendenziale dell’</w:t>
      </w:r>
      <w:r>
        <w:rPr>
          <w:rFonts w:ascii="Arial" w:hAnsi="Arial" w:cs="Arial"/>
        </w:rPr>
        <w:t>indice generale è stata pari a -0,3</w:t>
      </w:r>
      <w:r w:rsidRPr="001D642A">
        <w:rPr>
          <w:rFonts w:ascii="Arial" w:hAnsi="Arial" w:cs="Arial"/>
        </w:rPr>
        <w:t xml:space="preserve"> punti perce</w:t>
      </w:r>
      <w:r>
        <w:rPr>
          <w:rFonts w:ascii="Arial" w:hAnsi="Arial" w:cs="Arial"/>
        </w:rPr>
        <w:t>ntuali, osservata ad aprile 2022</w:t>
      </w:r>
      <w:r w:rsidRPr="001D642A">
        <w:rPr>
          <w:rFonts w:ascii="Arial" w:hAnsi="Arial" w:cs="Arial"/>
        </w:rPr>
        <w:t xml:space="preserve">. Con riferimento ai principali aggregati speciali, le differenze maggiori tra la stima definitiva e quella provvisoria in termini di tassi tendenziali hanno interessato l’aggregato degli Alimentari lavorati (-0,4 </w:t>
      </w:r>
      <w:r>
        <w:rPr>
          <w:rFonts w:ascii="Arial" w:hAnsi="Arial" w:cs="Arial"/>
        </w:rPr>
        <w:t>punti percentuali ad aprile 2022</w:t>
      </w:r>
      <w:r w:rsidRPr="001D642A">
        <w:rPr>
          <w:rFonts w:ascii="Arial" w:hAnsi="Arial" w:cs="Arial"/>
        </w:rPr>
        <w:t xml:space="preserve">), </w:t>
      </w:r>
      <w:r>
        <w:rPr>
          <w:rFonts w:ascii="Arial" w:hAnsi="Arial" w:cs="Arial"/>
        </w:rPr>
        <w:t xml:space="preserve">quindi quello dei </w:t>
      </w:r>
      <w:r w:rsidRPr="00BB1420">
        <w:rPr>
          <w:rFonts w:ascii="Arial" w:hAnsi="Arial" w:cs="Arial"/>
        </w:rPr>
        <w:t>Beni alimentari (incluse bevande alcoliche) e tabacchi</w:t>
      </w:r>
      <w:r>
        <w:rPr>
          <w:rFonts w:ascii="Arial" w:hAnsi="Arial" w:cs="Arial"/>
        </w:rPr>
        <w:t xml:space="preserve"> (-0,3 ad aprile 2022)</w:t>
      </w:r>
      <w:r w:rsidRPr="00BB1420">
        <w:rPr>
          <w:rFonts w:ascii="Arial" w:hAnsi="Arial" w:cs="Arial"/>
        </w:rPr>
        <w:t xml:space="preserve">, </w:t>
      </w:r>
      <w:r w:rsidRPr="001D642A">
        <w:rPr>
          <w:rFonts w:ascii="Arial" w:hAnsi="Arial" w:cs="Arial"/>
        </w:rPr>
        <w:t>quello dell’Ene</w:t>
      </w:r>
      <w:r>
        <w:rPr>
          <w:rFonts w:ascii="Arial" w:hAnsi="Arial" w:cs="Arial"/>
        </w:rPr>
        <w:t>rgia (</w:t>
      </w:r>
      <w:r w:rsidRPr="001D642A">
        <w:rPr>
          <w:rFonts w:ascii="Arial" w:hAnsi="Arial" w:cs="Arial"/>
        </w:rPr>
        <w:t>+1,9 a ottobre 2021</w:t>
      </w:r>
      <w:r>
        <w:rPr>
          <w:rFonts w:ascii="Arial" w:hAnsi="Arial" w:cs="Arial"/>
        </w:rPr>
        <w:t>, -2,0 a marzo 2022</w:t>
      </w:r>
      <w:r w:rsidR="007B052C">
        <w:rPr>
          <w:rFonts w:ascii="Arial" w:hAnsi="Arial" w:cs="Arial"/>
        </w:rPr>
        <w:t xml:space="preserve">, </w:t>
      </w:r>
      <w:r>
        <w:rPr>
          <w:rFonts w:ascii="Arial" w:hAnsi="Arial" w:cs="Arial"/>
        </w:rPr>
        <w:t>-2,8 ad aprile 2022</w:t>
      </w:r>
      <w:r w:rsidR="00476786">
        <w:rPr>
          <w:rFonts w:ascii="Arial" w:hAnsi="Arial" w:cs="Arial"/>
        </w:rPr>
        <w:t xml:space="preserve"> e -2,2 questo mese</w:t>
      </w:r>
      <w:r w:rsidRPr="001D642A">
        <w:rPr>
          <w:rFonts w:ascii="Arial" w:hAnsi="Arial" w:cs="Arial"/>
        </w:rPr>
        <w:t>) e quello dei Beni industriali non energetici (-0,8 a gennaio 2022</w:t>
      </w:r>
      <w:r>
        <w:rPr>
          <w:rFonts w:ascii="Arial" w:hAnsi="Arial" w:cs="Arial"/>
        </w:rPr>
        <w:t xml:space="preserve"> e +0,3 ad agosto 2022</w:t>
      </w:r>
      <w:r w:rsidRPr="001D642A">
        <w:rPr>
          <w:rFonts w:ascii="Arial" w:hAnsi="Arial" w:cs="Arial"/>
        </w:rPr>
        <w:t>).</w:t>
      </w:r>
    </w:p>
    <w:p w:rsidR="00BC6184" w:rsidRDefault="00BC6184" w:rsidP="00BC6184">
      <w:pPr>
        <w:widowControl/>
        <w:overflowPunct/>
        <w:spacing w:before="0" w:after="120"/>
        <w:jc w:val="both"/>
        <w:rPr>
          <w:rFonts w:ascii="Arial" w:hAnsi="Arial" w:cs="Arial"/>
        </w:rPr>
      </w:pPr>
      <w:r w:rsidRPr="001D642A">
        <w:rPr>
          <w:rFonts w:ascii="Arial" w:hAnsi="Arial" w:cs="Arial"/>
        </w:rPr>
        <w:t>La più elevata frequenza delle revisioni è osservata negli aggregati dei Beni alimentari lavorati (</w:t>
      </w:r>
      <w:r w:rsidR="000B61B4">
        <w:rPr>
          <w:rFonts w:ascii="Arial" w:hAnsi="Arial" w:cs="Arial"/>
        </w:rPr>
        <w:t>9</w:t>
      </w:r>
      <w:r w:rsidRPr="001D642A">
        <w:rPr>
          <w:rFonts w:ascii="Arial" w:hAnsi="Arial" w:cs="Arial"/>
        </w:rPr>
        <w:t xml:space="preserve"> mesi sui 13 in esame, imputabile in larga parte all’utilizzo, per la stima preliminare, degli scanner data, riferiti ai prezzi dei prodotti grocery provenienti dalla GDO, di una/due settimane rispetto alle tre incluse nell’indice definitivo)</w:t>
      </w:r>
      <w:r>
        <w:rPr>
          <w:rFonts w:ascii="Arial" w:hAnsi="Arial" w:cs="Arial"/>
        </w:rPr>
        <w:t>, di Energia (</w:t>
      </w:r>
      <w:r w:rsidR="00476786">
        <w:rPr>
          <w:rFonts w:ascii="Arial" w:hAnsi="Arial" w:cs="Arial"/>
        </w:rPr>
        <w:t>8</w:t>
      </w:r>
      <w:r>
        <w:rPr>
          <w:rFonts w:ascii="Arial" w:hAnsi="Arial" w:cs="Arial"/>
        </w:rPr>
        <w:t xml:space="preserve"> mesi su 13)</w:t>
      </w:r>
      <w:r w:rsidRPr="001D642A">
        <w:rPr>
          <w:rFonts w:ascii="Arial" w:hAnsi="Arial" w:cs="Arial"/>
        </w:rPr>
        <w:t xml:space="preserve"> e dei Beni industriali </w:t>
      </w:r>
      <w:r>
        <w:rPr>
          <w:rFonts w:ascii="Arial" w:hAnsi="Arial" w:cs="Arial"/>
        </w:rPr>
        <w:t>non energetici (</w:t>
      </w:r>
      <w:r w:rsidR="00476786">
        <w:rPr>
          <w:rFonts w:ascii="Arial" w:hAnsi="Arial" w:cs="Arial"/>
        </w:rPr>
        <w:t>7</w:t>
      </w:r>
      <w:r w:rsidRPr="001D642A">
        <w:rPr>
          <w:rFonts w:ascii="Arial" w:hAnsi="Arial" w:cs="Arial"/>
        </w:rPr>
        <w:t xml:space="preserve"> mesi su 13, da ascrivere principalmente alla dinamica dei saldi dell’Abbigliamento e calzature e alla disponibilità per la stima preliminare, con riferimento ad alcune categorie di Beni durevoli,</w:t>
      </w:r>
      <w:r w:rsidRPr="001D642A">
        <w:t xml:space="preserve"> </w:t>
      </w:r>
      <w:r w:rsidRPr="001D642A">
        <w:rPr>
          <w:rFonts w:ascii="Arial" w:hAnsi="Arial" w:cs="Arial"/>
        </w:rPr>
        <w:t>dei dati riferiti a una/due settimane rispetto alle tre incluse nell’indice definitivo); l’incompletezza delle informazioni utilizzate per il calcolo ha un impatto maggiore sulle stime provvisorie di questi aggregati speciali che, di conseguenza, risultano essere meno accurate</w:t>
      </w:r>
      <w:r>
        <w:rPr>
          <w:rFonts w:ascii="Arial" w:hAnsi="Arial" w:cs="Arial"/>
        </w:rPr>
        <w:t>.</w:t>
      </w:r>
    </w:p>
    <w:p w:rsidR="00577B6E" w:rsidRPr="001D642A" w:rsidRDefault="00577B6E" w:rsidP="00577B6E">
      <w:pPr>
        <w:widowControl/>
        <w:overflowPunct/>
        <w:spacing w:before="0" w:after="120"/>
        <w:jc w:val="both"/>
        <w:rPr>
          <w:rFonts w:ascii="Arial" w:hAnsi="Arial" w:cs="Arial"/>
        </w:rPr>
      </w:pPr>
    </w:p>
    <w:p w:rsidR="00577B6E" w:rsidRPr="001D642A" w:rsidRDefault="00577B6E" w:rsidP="00577B6E">
      <w:pPr>
        <w:pStyle w:val="001TitoGra"/>
        <w:spacing w:after="120" w:line="240" w:lineRule="auto"/>
        <w:jc w:val="both"/>
        <w:rPr>
          <w:vertAlign w:val="superscript"/>
        </w:rPr>
      </w:pPr>
      <w:r w:rsidRPr="001D642A">
        <w:rPr>
          <w:rStyle w:val="001TitoGraRed"/>
        </w:rPr>
        <w:t>PROSPETTO 2.</w:t>
      </w:r>
      <w:r w:rsidRPr="001D642A">
        <w:t xml:space="preserve"> STIME PRELIMINARI E DEFINITIVE DEGLI INDICI DEI PREZZI AL CONSUMO IPCA E DEI PRINCIPALI AGGREGATI SPECIALI</w:t>
      </w:r>
      <w:r w:rsidRPr="001D642A">
        <w:rPr>
          <w:b w:val="0"/>
          <w:sz w:val="20"/>
          <w:szCs w:val="20"/>
        </w:rPr>
        <w:t xml:space="preserve">. </w:t>
      </w:r>
      <w:r w:rsidR="001E1AF5">
        <w:rPr>
          <w:b w:val="0"/>
          <w:sz w:val="20"/>
          <w:szCs w:val="20"/>
        </w:rPr>
        <w:t>Otto</w:t>
      </w:r>
      <w:r w:rsidR="009B6ACA">
        <w:rPr>
          <w:b w:val="0"/>
          <w:sz w:val="20"/>
          <w:szCs w:val="20"/>
        </w:rPr>
        <w:t>bre</w:t>
      </w:r>
      <w:r w:rsidRPr="001D642A">
        <w:rPr>
          <w:b w:val="0"/>
          <w:sz w:val="20"/>
          <w:szCs w:val="20"/>
        </w:rPr>
        <w:t xml:space="preserve"> 2021 – </w:t>
      </w:r>
      <w:r w:rsidR="001E1AF5">
        <w:rPr>
          <w:b w:val="0"/>
          <w:sz w:val="20"/>
          <w:szCs w:val="20"/>
        </w:rPr>
        <w:t>otto</w:t>
      </w:r>
      <w:r w:rsidR="009B6ACA">
        <w:rPr>
          <w:b w:val="0"/>
          <w:sz w:val="20"/>
          <w:szCs w:val="20"/>
        </w:rPr>
        <w:t>bre</w:t>
      </w:r>
      <w:r>
        <w:rPr>
          <w:b w:val="0"/>
          <w:sz w:val="20"/>
          <w:szCs w:val="20"/>
        </w:rPr>
        <w:t xml:space="preserve"> </w:t>
      </w:r>
      <w:r w:rsidRPr="001D642A">
        <w:rPr>
          <w:b w:val="0"/>
          <w:sz w:val="20"/>
          <w:szCs w:val="20"/>
        </w:rPr>
        <w:t>2022, valori percentuali tendenziali (base 2015=100)</w:t>
      </w:r>
    </w:p>
    <w:tbl>
      <w:tblPr>
        <w:tblW w:w="10290" w:type="dxa"/>
        <w:jc w:val="center"/>
        <w:tblCellMar>
          <w:left w:w="70" w:type="dxa"/>
          <w:right w:w="70" w:type="dxa"/>
        </w:tblCellMar>
        <w:tblLook w:val="04A0" w:firstRow="1" w:lastRow="0" w:firstColumn="1" w:lastColumn="0" w:noHBand="0" w:noVBand="1"/>
      </w:tblPr>
      <w:tblGrid>
        <w:gridCol w:w="3261"/>
        <w:gridCol w:w="285"/>
        <w:gridCol w:w="510"/>
        <w:gridCol w:w="510"/>
        <w:gridCol w:w="510"/>
        <w:gridCol w:w="510"/>
        <w:gridCol w:w="510"/>
        <w:gridCol w:w="510"/>
        <w:gridCol w:w="510"/>
        <w:gridCol w:w="510"/>
        <w:gridCol w:w="510"/>
        <w:gridCol w:w="510"/>
        <w:gridCol w:w="510"/>
        <w:gridCol w:w="567"/>
        <w:gridCol w:w="567"/>
      </w:tblGrid>
      <w:tr w:rsidR="001E1AF5" w:rsidRPr="00363206" w:rsidTr="002C552E">
        <w:trPr>
          <w:trHeight w:val="316"/>
          <w:jc w:val="center"/>
        </w:trPr>
        <w:tc>
          <w:tcPr>
            <w:tcW w:w="3261" w:type="dxa"/>
            <w:tcBorders>
              <w:top w:val="single" w:sz="4" w:space="0" w:color="auto"/>
              <w:left w:val="nil"/>
              <w:bottom w:val="single" w:sz="4" w:space="0" w:color="auto"/>
              <w:right w:val="nil"/>
            </w:tcBorders>
            <w:shd w:val="clear" w:color="000000" w:fill="FFFFFF"/>
            <w:noWrap/>
            <w:vAlign w:val="center"/>
            <w:hideMark/>
          </w:tcPr>
          <w:p w:rsidR="001E1AF5" w:rsidRPr="00363206" w:rsidRDefault="001E1AF5" w:rsidP="001E1AF5">
            <w:pPr>
              <w:ind w:right="-13"/>
              <w:rPr>
                <w:rFonts w:ascii="Arial Narrow" w:hAnsi="Arial Narrow"/>
                <w:b/>
                <w:bCs/>
                <w:color w:val="000000"/>
                <w:kern w:val="0"/>
                <w:sz w:val="16"/>
                <w:szCs w:val="18"/>
              </w:rPr>
            </w:pPr>
            <w:r w:rsidRPr="00363206">
              <w:rPr>
                <w:rFonts w:ascii="Arial Narrow" w:hAnsi="Arial Narrow"/>
                <w:b/>
                <w:bCs/>
                <w:color w:val="000000"/>
                <w:kern w:val="0"/>
                <w:sz w:val="16"/>
                <w:szCs w:val="18"/>
              </w:rPr>
              <w:t>Aggregati speciali</w:t>
            </w:r>
          </w:p>
        </w:tc>
        <w:tc>
          <w:tcPr>
            <w:tcW w:w="285" w:type="dxa"/>
            <w:tcBorders>
              <w:top w:val="single" w:sz="4" w:space="0" w:color="auto"/>
              <w:left w:val="nil"/>
              <w:bottom w:val="single" w:sz="4" w:space="0" w:color="auto"/>
              <w:right w:val="nil"/>
            </w:tcBorders>
            <w:shd w:val="clear" w:color="000000" w:fill="FFFFFF"/>
            <w:noWrap/>
            <w:vAlign w:val="center"/>
            <w:hideMark/>
          </w:tcPr>
          <w:p w:rsidR="001E1AF5" w:rsidRPr="00363206" w:rsidRDefault="001E1AF5" w:rsidP="001E1AF5">
            <w:pPr>
              <w:ind w:left="-153" w:right="-13"/>
              <w:jc w:val="right"/>
              <w:rPr>
                <w:rFonts w:ascii="Arial Narrow" w:hAnsi="Arial Narrow"/>
                <w:b/>
                <w:bCs/>
                <w:color w:val="000000"/>
                <w:kern w:val="0"/>
                <w:sz w:val="16"/>
                <w:szCs w:val="18"/>
              </w:rPr>
            </w:pPr>
            <w:r w:rsidRPr="00363206">
              <w:rPr>
                <w:rFonts w:ascii="Arial Narrow" w:hAnsi="Arial Narrow"/>
                <w:b/>
                <w:bCs/>
                <w:color w:val="000000"/>
                <w:kern w:val="0"/>
                <w:sz w:val="16"/>
                <w:szCs w:val="18"/>
              </w:rPr>
              <w:t> </w:t>
            </w:r>
          </w:p>
        </w:tc>
        <w:tc>
          <w:tcPr>
            <w:tcW w:w="510" w:type="dxa"/>
            <w:tcBorders>
              <w:top w:val="single" w:sz="4" w:space="0" w:color="auto"/>
              <w:left w:val="nil"/>
              <w:bottom w:val="single" w:sz="4" w:space="0" w:color="auto"/>
              <w:right w:val="nil"/>
            </w:tcBorders>
            <w:shd w:val="clear" w:color="000000" w:fill="FFFFFF"/>
          </w:tcPr>
          <w:p w:rsidR="001E1AF5" w:rsidRPr="001D642A" w:rsidRDefault="001E1AF5" w:rsidP="001E1AF5">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ott-21</w:t>
            </w:r>
          </w:p>
        </w:tc>
        <w:tc>
          <w:tcPr>
            <w:tcW w:w="510" w:type="dxa"/>
            <w:tcBorders>
              <w:top w:val="single" w:sz="4" w:space="0" w:color="auto"/>
              <w:left w:val="nil"/>
              <w:bottom w:val="single" w:sz="4" w:space="0" w:color="auto"/>
              <w:right w:val="nil"/>
            </w:tcBorders>
            <w:shd w:val="clear" w:color="000000" w:fill="FFFFFF"/>
            <w:vAlign w:val="center"/>
          </w:tcPr>
          <w:p w:rsidR="001E1AF5" w:rsidRPr="001D642A" w:rsidRDefault="001E1AF5" w:rsidP="001E1AF5">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nov-21</w:t>
            </w:r>
          </w:p>
        </w:tc>
        <w:tc>
          <w:tcPr>
            <w:tcW w:w="510" w:type="dxa"/>
            <w:tcBorders>
              <w:top w:val="single" w:sz="4" w:space="0" w:color="auto"/>
              <w:left w:val="nil"/>
              <w:bottom w:val="single" w:sz="4" w:space="0" w:color="auto"/>
              <w:right w:val="nil"/>
            </w:tcBorders>
            <w:shd w:val="clear" w:color="000000" w:fill="FFFFFF"/>
          </w:tcPr>
          <w:p w:rsidR="001E1AF5" w:rsidRPr="001D642A" w:rsidRDefault="001E1AF5" w:rsidP="001E1AF5">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dic-21</w:t>
            </w:r>
          </w:p>
        </w:tc>
        <w:tc>
          <w:tcPr>
            <w:tcW w:w="510" w:type="dxa"/>
            <w:tcBorders>
              <w:top w:val="single" w:sz="4" w:space="0" w:color="auto"/>
              <w:left w:val="nil"/>
              <w:bottom w:val="single" w:sz="4" w:space="0" w:color="auto"/>
              <w:right w:val="nil"/>
            </w:tcBorders>
            <w:shd w:val="clear" w:color="000000" w:fill="FFFFFF"/>
          </w:tcPr>
          <w:p w:rsidR="001E1AF5" w:rsidRPr="001D642A" w:rsidRDefault="001E1AF5" w:rsidP="001E1AF5">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gen-22</w:t>
            </w:r>
          </w:p>
        </w:tc>
        <w:tc>
          <w:tcPr>
            <w:tcW w:w="510" w:type="dxa"/>
            <w:tcBorders>
              <w:top w:val="single" w:sz="4" w:space="0" w:color="auto"/>
              <w:left w:val="nil"/>
              <w:bottom w:val="single" w:sz="4" w:space="0" w:color="auto"/>
              <w:right w:val="nil"/>
            </w:tcBorders>
            <w:shd w:val="clear" w:color="000000" w:fill="FFFFFF"/>
          </w:tcPr>
          <w:p w:rsidR="001E1AF5" w:rsidRPr="001D642A" w:rsidRDefault="001E1AF5" w:rsidP="001E1AF5">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feb-22</w:t>
            </w:r>
          </w:p>
        </w:tc>
        <w:tc>
          <w:tcPr>
            <w:tcW w:w="510" w:type="dxa"/>
            <w:tcBorders>
              <w:top w:val="single" w:sz="4" w:space="0" w:color="auto"/>
              <w:left w:val="nil"/>
              <w:bottom w:val="single" w:sz="4" w:space="0" w:color="auto"/>
              <w:right w:val="nil"/>
            </w:tcBorders>
            <w:shd w:val="clear" w:color="000000" w:fill="FFFFFF"/>
            <w:vAlign w:val="center"/>
          </w:tcPr>
          <w:p w:rsidR="001E1AF5" w:rsidRPr="00363206" w:rsidRDefault="001E1AF5" w:rsidP="001E1AF5">
            <w:pPr>
              <w:ind w:left="-153" w:right="-13"/>
              <w:jc w:val="right"/>
              <w:rPr>
                <w:rFonts w:ascii="Arial Narrow" w:hAnsi="Arial Narrow"/>
                <w:b/>
                <w:bCs/>
                <w:color w:val="000000"/>
                <w:kern w:val="0"/>
                <w:sz w:val="16"/>
                <w:szCs w:val="18"/>
              </w:rPr>
            </w:pPr>
            <w:r w:rsidRPr="00363206">
              <w:rPr>
                <w:rFonts w:ascii="Arial Narrow" w:hAnsi="Arial Narrow"/>
                <w:b/>
                <w:bCs/>
                <w:color w:val="000000"/>
                <w:kern w:val="0"/>
                <w:sz w:val="16"/>
                <w:szCs w:val="18"/>
              </w:rPr>
              <w:t>mar-22</w:t>
            </w:r>
          </w:p>
        </w:tc>
        <w:tc>
          <w:tcPr>
            <w:tcW w:w="510" w:type="dxa"/>
            <w:tcBorders>
              <w:top w:val="single" w:sz="4" w:space="0" w:color="auto"/>
              <w:left w:val="nil"/>
              <w:bottom w:val="single" w:sz="4" w:space="0" w:color="auto"/>
              <w:right w:val="nil"/>
            </w:tcBorders>
            <w:shd w:val="clear" w:color="000000" w:fill="FFFFFF"/>
            <w:vAlign w:val="center"/>
          </w:tcPr>
          <w:p w:rsidR="001E1AF5" w:rsidRPr="00363206" w:rsidRDefault="001E1AF5" w:rsidP="001E1AF5">
            <w:pPr>
              <w:ind w:left="-153" w:right="-13"/>
              <w:jc w:val="right"/>
              <w:rPr>
                <w:rFonts w:ascii="Arial Narrow" w:hAnsi="Arial Narrow"/>
                <w:b/>
                <w:bCs/>
                <w:color w:val="000000"/>
                <w:kern w:val="0"/>
                <w:sz w:val="16"/>
                <w:szCs w:val="18"/>
              </w:rPr>
            </w:pPr>
            <w:r w:rsidRPr="00363206">
              <w:rPr>
                <w:rFonts w:ascii="Arial Narrow" w:hAnsi="Arial Narrow"/>
                <w:b/>
                <w:bCs/>
                <w:color w:val="000000"/>
                <w:kern w:val="0"/>
                <w:sz w:val="16"/>
                <w:szCs w:val="18"/>
              </w:rPr>
              <w:t xml:space="preserve">apr-22 </w:t>
            </w:r>
          </w:p>
        </w:tc>
        <w:tc>
          <w:tcPr>
            <w:tcW w:w="510" w:type="dxa"/>
            <w:tcBorders>
              <w:top w:val="single" w:sz="4" w:space="0" w:color="auto"/>
              <w:left w:val="nil"/>
              <w:bottom w:val="single" w:sz="4" w:space="0" w:color="auto"/>
              <w:right w:val="nil"/>
            </w:tcBorders>
            <w:shd w:val="clear" w:color="000000" w:fill="FFFFFF"/>
            <w:vAlign w:val="center"/>
          </w:tcPr>
          <w:p w:rsidR="001E1AF5" w:rsidRPr="006A00D9" w:rsidRDefault="001E1AF5" w:rsidP="001E1AF5">
            <w:pPr>
              <w:ind w:left="-153" w:right="-13"/>
              <w:jc w:val="right"/>
              <w:rPr>
                <w:rFonts w:ascii="Arial Narrow" w:hAnsi="Arial Narrow"/>
                <w:b/>
                <w:bCs/>
                <w:color w:val="000000"/>
                <w:kern w:val="0"/>
                <w:sz w:val="16"/>
                <w:szCs w:val="18"/>
              </w:rPr>
            </w:pPr>
            <w:r w:rsidRPr="006A00D9">
              <w:rPr>
                <w:rFonts w:ascii="Arial Narrow" w:hAnsi="Arial Narrow"/>
                <w:b/>
                <w:bCs/>
                <w:color w:val="000000"/>
                <w:kern w:val="0"/>
                <w:sz w:val="16"/>
                <w:szCs w:val="18"/>
              </w:rPr>
              <w:t>mag-22</w:t>
            </w:r>
          </w:p>
        </w:tc>
        <w:tc>
          <w:tcPr>
            <w:tcW w:w="510" w:type="dxa"/>
            <w:tcBorders>
              <w:top w:val="single" w:sz="4" w:space="0" w:color="auto"/>
              <w:left w:val="nil"/>
              <w:bottom w:val="single" w:sz="4" w:space="0" w:color="auto"/>
              <w:right w:val="nil"/>
            </w:tcBorders>
            <w:shd w:val="clear" w:color="000000" w:fill="FFFFFF"/>
            <w:vAlign w:val="center"/>
          </w:tcPr>
          <w:p w:rsidR="001E1AF5" w:rsidRDefault="001E1AF5" w:rsidP="001E1AF5">
            <w:pPr>
              <w:widowControl/>
              <w:overflowPunct/>
              <w:autoSpaceDE/>
              <w:autoSpaceDN/>
              <w:adjustRightInd/>
              <w:spacing w:before="0" w:after="0"/>
              <w:ind w:left="-132"/>
              <w:jc w:val="right"/>
              <w:rPr>
                <w:rFonts w:ascii="Arial Narrow" w:hAnsi="Arial Narrow"/>
                <w:b/>
                <w:bCs/>
                <w:color w:val="000000"/>
                <w:kern w:val="0"/>
                <w:sz w:val="18"/>
                <w:szCs w:val="18"/>
              </w:rPr>
            </w:pPr>
            <w:r>
              <w:rPr>
                <w:rFonts w:ascii="Arial Narrow" w:hAnsi="Arial Narrow"/>
                <w:b/>
                <w:bCs/>
                <w:color w:val="000000"/>
                <w:sz w:val="18"/>
                <w:szCs w:val="18"/>
              </w:rPr>
              <w:t>giu-22</w:t>
            </w:r>
          </w:p>
        </w:tc>
        <w:tc>
          <w:tcPr>
            <w:tcW w:w="510" w:type="dxa"/>
            <w:tcBorders>
              <w:top w:val="single" w:sz="4" w:space="0" w:color="auto"/>
              <w:left w:val="nil"/>
              <w:bottom w:val="single" w:sz="4" w:space="0" w:color="auto"/>
              <w:right w:val="nil"/>
            </w:tcBorders>
            <w:shd w:val="clear" w:color="000000" w:fill="FFFFFF"/>
          </w:tcPr>
          <w:p w:rsidR="001E1AF5" w:rsidRPr="001D642A" w:rsidRDefault="001E1AF5" w:rsidP="001E1AF5">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lug-22</w:t>
            </w:r>
          </w:p>
        </w:tc>
        <w:tc>
          <w:tcPr>
            <w:tcW w:w="510" w:type="dxa"/>
            <w:tcBorders>
              <w:top w:val="single" w:sz="4" w:space="0" w:color="auto"/>
              <w:left w:val="nil"/>
              <w:bottom w:val="single" w:sz="4" w:space="0" w:color="auto"/>
              <w:right w:val="nil"/>
            </w:tcBorders>
            <w:shd w:val="clear" w:color="000000" w:fill="FFFFFF"/>
            <w:vAlign w:val="center"/>
          </w:tcPr>
          <w:p w:rsidR="001E1AF5" w:rsidRDefault="001E1AF5" w:rsidP="001E1AF5">
            <w:pPr>
              <w:ind w:left="-153" w:right="-13"/>
              <w:jc w:val="right"/>
              <w:rPr>
                <w:rFonts w:ascii="Arial Narrow" w:hAnsi="Arial Narrow"/>
                <w:b/>
                <w:bCs/>
                <w:color w:val="000000"/>
                <w:kern w:val="0"/>
                <w:sz w:val="18"/>
                <w:szCs w:val="18"/>
              </w:rPr>
            </w:pPr>
            <w:r w:rsidRPr="009158DE">
              <w:rPr>
                <w:rFonts w:ascii="Arial Narrow" w:hAnsi="Arial Narrow"/>
                <w:b/>
                <w:bCs/>
                <w:color w:val="000000"/>
                <w:kern w:val="0"/>
                <w:sz w:val="16"/>
                <w:szCs w:val="18"/>
              </w:rPr>
              <w:t>ago-22</w:t>
            </w:r>
          </w:p>
        </w:tc>
        <w:tc>
          <w:tcPr>
            <w:tcW w:w="567" w:type="dxa"/>
            <w:tcBorders>
              <w:top w:val="single" w:sz="4" w:space="0" w:color="auto"/>
              <w:left w:val="nil"/>
              <w:bottom w:val="single" w:sz="4" w:space="0" w:color="auto"/>
              <w:right w:val="nil"/>
            </w:tcBorders>
            <w:shd w:val="clear" w:color="000000" w:fill="FFFFFF"/>
            <w:vAlign w:val="center"/>
          </w:tcPr>
          <w:p w:rsidR="001E1AF5" w:rsidRDefault="001E1AF5" w:rsidP="001E1AF5">
            <w:pPr>
              <w:widowControl/>
              <w:overflowPunct/>
              <w:autoSpaceDE/>
              <w:autoSpaceDN/>
              <w:adjustRightInd/>
              <w:spacing w:before="0" w:after="0"/>
              <w:ind w:left="-132"/>
              <w:jc w:val="right"/>
              <w:rPr>
                <w:rFonts w:ascii="Arial Narrow" w:hAnsi="Arial Narrow"/>
                <w:b/>
                <w:bCs/>
                <w:color w:val="000000"/>
                <w:kern w:val="0"/>
                <w:sz w:val="18"/>
                <w:szCs w:val="18"/>
              </w:rPr>
            </w:pPr>
            <w:r>
              <w:rPr>
                <w:rFonts w:ascii="Arial Narrow" w:hAnsi="Arial Narrow"/>
                <w:b/>
                <w:bCs/>
                <w:color w:val="000000"/>
                <w:sz w:val="18"/>
                <w:szCs w:val="18"/>
              </w:rPr>
              <w:t>set-22</w:t>
            </w:r>
          </w:p>
        </w:tc>
        <w:tc>
          <w:tcPr>
            <w:tcW w:w="567" w:type="dxa"/>
            <w:tcBorders>
              <w:top w:val="single" w:sz="4" w:space="0" w:color="auto"/>
              <w:left w:val="nil"/>
              <w:bottom w:val="single" w:sz="4" w:space="0" w:color="auto"/>
              <w:right w:val="nil"/>
            </w:tcBorders>
            <w:shd w:val="clear" w:color="000000" w:fill="FFFFFF"/>
            <w:vAlign w:val="center"/>
          </w:tcPr>
          <w:p w:rsidR="001E1AF5" w:rsidRDefault="001E1AF5" w:rsidP="001E1AF5">
            <w:pPr>
              <w:widowControl/>
              <w:overflowPunct/>
              <w:autoSpaceDE/>
              <w:autoSpaceDN/>
              <w:adjustRightInd/>
              <w:spacing w:before="0" w:after="0"/>
              <w:ind w:left="-132"/>
              <w:jc w:val="right"/>
              <w:rPr>
                <w:rFonts w:ascii="Arial Narrow" w:hAnsi="Arial Narrow"/>
                <w:b/>
                <w:bCs/>
                <w:color w:val="000000"/>
                <w:kern w:val="0"/>
                <w:sz w:val="18"/>
                <w:szCs w:val="18"/>
              </w:rPr>
            </w:pPr>
            <w:r>
              <w:rPr>
                <w:rFonts w:ascii="Arial Narrow" w:hAnsi="Arial Narrow"/>
                <w:b/>
                <w:bCs/>
                <w:color w:val="000000"/>
                <w:sz w:val="18"/>
                <w:szCs w:val="18"/>
              </w:rPr>
              <w:t>ott-22</w:t>
            </w:r>
          </w:p>
        </w:tc>
      </w:tr>
      <w:tr w:rsidR="00E74E7A"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Beni alimentari (incluse bevande alcoliche) e tabacchi, di cui:</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2,5</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4,3</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5,1</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5,8</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6,5</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8,0</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8,8</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9,3</w:t>
            </w:r>
          </w:p>
        </w:tc>
        <w:tc>
          <w:tcPr>
            <w:tcW w:w="567" w:type="dxa"/>
            <w:tcBorders>
              <w:top w:val="nil"/>
              <w:left w:val="nil"/>
              <w:bottom w:val="single" w:sz="4" w:space="0" w:color="auto"/>
              <w:right w:val="nil"/>
            </w:tcBorders>
            <w:shd w:val="clear" w:color="000000" w:fill="FFFFFF"/>
            <w:vAlign w:val="center"/>
          </w:tcPr>
          <w:p w:rsidR="00E74E7A" w:rsidRPr="00C8411E"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10,4</w:t>
            </w:r>
          </w:p>
        </w:tc>
        <w:tc>
          <w:tcPr>
            <w:tcW w:w="567" w:type="dxa"/>
            <w:tcBorders>
              <w:top w:val="nil"/>
              <w:left w:val="nil"/>
              <w:bottom w:val="single" w:sz="4" w:space="0" w:color="auto"/>
              <w:right w:val="nil"/>
            </w:tcBorders>
            <w:shd w:val="clear" w:color="000000" w:fill="FFFFFF"/>
            <w:vAlign w:val="center"/>
          </w:tcPr>
          <w:p w:rsidR="00E74E7A" w:rsidRP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11,9</w:t>
            </w:r>
          </w:p>
        </w:tc>
      </w:tr>
      <w:tr w:rsidR="00E74E7A" w:rsidRPr="001D642A" w:rsidTr="006966F0">
        <w:trPr>
          <w:trHeight w:val="255"/>
          <w:jc w:val="center"/>
        </w:trPr>
        <w:tc>
          <w:tcPr>
            <w:tcW w:w="3261" w:type="dxa"/>
            <w:vMerge/>
            <w:tcBorders>
              <w:top w:val="nil"/>
              <w:left w:val="nil"/>
              <w:bottom w:val="single" w:sz="4" w:space="0" w:color="000000"/>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0,9</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2,5</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4,2</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5,0</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5,5</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6,4</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7,9</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8,8</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9,2</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10,2</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11,8</w:t>
            </w:r>
          </w:p>
        </w:tc>
      </w:tr>
      <w:tr w:rsidR="00E74E7A" w:rsidRPr="001D642A" w:rsidTr="006966F0">
        <w:trPr>
          <w:trHeight w:val="255"/>
          <w:jc w:val="center"/>
        </w:trPr>
        <w:tc>
          <w:tcPr>
            <w:tcW w:w="3261" w:type="dxa"/>
            <w:vMerge w:val="restart"/>
            <w:tcBorders>
              <w:top w:val="nil"/>
              <w:left w:val="nil"/>
              <w:bottom w:val="nil"/>
              <w:right w:val="nil"/>
            </w:tcBorders>
            <w:shd w:val="clear" w:color="000000" w:fill="FFFFFF"/>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 xml:space="preserve">    Alimentari lavorati</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2,8</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4,6</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5,7</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7,0</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8,1</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8,9</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10,0</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11,3</w:t>
            </w:r>
          </w:p>
        </w:tc>
      </w:tr>
      <w:tr w:rsidR="00E74E7A" w:rsidRPr="001D642A" w:rsidTr="006966F0">
        <w:trPr>
          <w:trHeight w:val="255"/>
          <w:jc w:val="center"/>
        </w:trPr>
        <w:tc>
          <w:tcPr>
            <w:tcW w:w="3261" w:type="dxa"/>
            <w:vMerge/>
            <w:tcBorders>
              <w:top w:val="nil"/>
              <w:left w:val="nil"/>
              <w:bottom w:val="nil"/>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1,0</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2,7</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4,2</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5,6</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6,9</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8,1</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8,8</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9,8</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11,3</w:t>
            </w:r>
          </w:p>
        </w:tc>
      </w:tr>
      <w:tr w:rsidR="00E74E7A" w:rsidRPr="001D642A" w:rsidTr="006966F0">
        <w:trPr>
          <w:trHeight w:val="127"/>
          <w:jc w:val="center"/>
        </w:trPr>
        <w:tc>
          <w:tcPr>
            <w:tcW w:w="3261" w:type="dxa"/>
            <w:vMerge w:val="restart"/>
            <w:tcBorders>
              <w:top w:val="single" w:sz="4" w:space="0" w:color="auto"/>
              <w:left w:val="nil"/>
              <w:bottom w:val="single" w:sz="4" w:space="0" w:color="000000"/>
              <w:right w:val="nil"/>
            </w:tcBorders>
            <w:shd w:val="clear" w:color="000000" w:fill="FFFFFF"/>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 xml:space="preserve">    Alimentari non lavorati</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0,9</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3,9</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6,1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7,7</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8,8</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8,7</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8,6</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10,3</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10,1</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10,1</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11,4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13,1</w:t>
            </w:r>
          </w:p>
        </w:tc>
      </w:tr>
      <w:tr w:rsidR="00E74E7A" w:rsidRPr="001D642A" w:rsidTr="006966F0">
        <w:trPr>
          <w:trHeight w:val="255"/>
          <w:jc w:val="center"/>
        </w:trPr>
        <w:tc>
          <w:tcPr>
            <w:tcW w:w="3261" w:type="dxa"/>
            <w:vMerge/>
            <w:tcBorders>
              <w:top w:val="single" w:sz="4" w:space="0" w:color="auto"/>
              <w:left w:val="nil"/>
              <w:bottom w:val="single" w:sz="4" w:space="0" w:color="000000"/>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0,9</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4,0</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6,1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7,8</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8,8</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8,7</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8,6</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10,3</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10,1</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10,1</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11,4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13,1</w:t>
            </w:r>
          </w:p>
        </w:tc>
      </w:tr>
      <w:tr w:rsidR="00E74E7A"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Energia</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23,4</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31,2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29,6</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39,0</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46,4</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53,5</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42,8</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42,6</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49,1</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43,3</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45,4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45,0</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73,9</w:t>
            </w:r>
          </w:p>
        </w:tc>
      </w:tr>
      <w:tr w:rsidR="00E74E7A" w:rsidRPr="001D642A" w:rsidTr="006966F0">
        <w:trPr>
          <w:trHeight w:val="255"/>
          <w:jc w:val="center"/>
        </w:trPr>
        <w:tc>
          <w:tcPr>
            <w:tcW w:w="3261" w:type="dxa"/>
            <w:vMerge/>
            <w:tcBorders>
              <w:top w:val="nil"/>
              <w:left w:val="nil"/>
              <w:bottom w:val="single" w:sz="4" w:space="0" w:color="000000"/>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25,3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31,2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29,6</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39,1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46,5</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51,5</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40,0</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42,9</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49,1</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43,</w:t>
            </w:r>
            <w:r>
              <w:rPr>
                <w:rFonts w:ascii="Arial Narrow" w:hAnsi="Arial Narrow"/>
                <w:color w:val="000000"/>
                <w:sz w:val="18"/>
                <w:szCs w:val="18"/>
              </w:rPr>
              <w:t>4</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45,4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45,0</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71,7</w:t>
            </w:r>
          </w:p>
        </w:tc>
      </w:tr>
      <w:tr w:rsidR="00E74E7A"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Beni industriali non energetici</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0,9</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0,8</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2,6</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3,0</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2,5</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3,8</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4,8</w:t>
            </w:r>
          </w:p>
        </w:tc>
      </w:tr>
      <w:tr w:rsidR="00E74E7A" w:rsidRPr="001D642A" w:rsidTr="006966F0">
        <w:trPr>
          <w:trHeight w:val="255"/>
          <w:jc w:val="center"/>
        </w:trPr>
        <w:tc>
          <w:tcPr>
            <w:tcW w:w="3261" w:type="dxa"/>
            <w:vMerge/>
            <w:tcBorders>
              <w:top w:val="nil"/>
              <w:left w:val="nil"/>
              <w:bottom w:val="single" w:sz="4" w:space="0" w:color="000000"/>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0,8</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0,6</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2,6</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2,9</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2,5</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4,1</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4,9</w:t>
            </w:r>
          </w:p>
        </w:tc>
      </w:tr>
      <w:tr w:rsidR="00E74E7A"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Servizi</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2,0</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2,3</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3,3</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3,7</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4,0</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4,0</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4,2</w:t>
            </w:r>
          </w:p>
        </w:tc>
      </w:tr>
      <w:tr w:rsidR="00E74E7A" w:rsidRPr="001D642A" w:rsidTr="006966F0">
        <w:trPr>
          <w:trHeight w:val="255"/>
          <w:jc w:val="center"/>
        </w:trPr>
        <w:tc>
          <w:tcPr>
            <w:tcW w:w="3261" w:type="dxa"/>
            <w:vMerge/>
            <w:tcBorders>
              <w:top w:val="nil"/>
              <w:left w:val="nil"/>
              <w:bottom w:val="single" w:sz="4" w:space="0" w:color="000000"/>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2,0</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2,0</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2,4</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3,3</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3,7</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4,0</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4,0</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4,3</w:t>
            </w:r>
          </w:p>
        </w:tc>
      </w:tr>
      <w:tr w:rsidR="00E74E7A" w:rsidRPr="001D642A" w:rsidTr="006966F0">
        <w:trPr>
          <w:trHeight w:val="255"/>
          <w:jc w:val="center"/>
        </w:trPr>
        <w:tc>
          <w:tcPr>
            <w:tcW w:w="3261" w:type="dxa"/>
            <w:vMerge w:val="restart"/>
            <w:tcBorders>
              <w:top w:val="nil"/>
              <w:left w:val="nil"/>
              <w:bottom w:val="single" w:sz="4" w:space="0" w:color="000000"/>
              <w:right w:val="nil"/>
            </w:tcBorders>
            <w:shd w:val="clear" w:color="000000" w:fill="FF0000"/>
            <w:vAlign w:val="center"/>
            <w:hideMark/>
          </w:tcPr>
          <w:p w:rsidR="00E74E7A" w:rsidRPr="001D642A" w:rsidRDefault="00E74E7A" w:rsidP="00E74E7A">
            <w:pPr>
              <w:widowControl/>
              <w:overflowPunct/>
              <w:autoSpaceDE/>
              <w:autoSpaceDN/>
              <w:adjustRightInd/>
              <w:spacing w:before="0" w:after="0"/>
              <w:rPr>
                <w:rFonts w:ascii="Arial Narrow" w:hAnsi="Arial Narrow"/>
                <w:b/>
                <w:bCs/>
                <w:color w:val="FFFFFF"/>
                <w:kern w:val="0"/>
                <w:sz w:val="18"/>
                <w:szCs w:val="18"/>
              </w:rPr>
            </w:pPr>
            <w:r w:rsidRPr="001D642A">
              <w:rPr>
                <w:rFonts w:ascii="Arial Narrow" w:hAnsi="Arial Narrow"/>
                <w:b/>
                <w:bCs/>
                <w:color w:val="FFFFFF"/>
                <w:kern w:val="0"/>
                <w:sz w:val="18"/>
                <w:szCs w:val="18"/>
              </w:rPr>
              <w:t>Indice generale</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3,1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4,0</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4,2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5,3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6,2</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b/>
                <w:color w:val="000000"/>
                <w:sz w:val="18"/>
                <w:szCs w:val="18"/>
              </w:rPr>
            </w:pPr>
            <w:r w:rsidRPr="00E31451">
              <w:rPr>
                <w:rFonts w:ascii="Arial Narrow" w:hAnsi="Arial Narrow"/>
                <w:b/>
                <w:color w:val="000000"/>
                <w:sz w:val="18"/>
                <w:szCs w:val="18"/>
              </w:rPr>
              <w:t>7,0</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b/>
                <w:color w:val="000000"/>
                <w:sz w:val="18"/>
                <w:szCs w:val="18"/>
              </w:rPr>
            </w:pPr>
            <w:r w:rsidRPr="00BB1420">
              <w:rPr>
                <w:rFonts w:ascii="Arial Narrow" w:hAnsi="Arial Narrow"/>
                <w:b/>
                <w:color w:val="000000"/>
                <w:sz w:val="18"/>
                <w:szCs w:val="18"/>
              </w:rPr>
              <w:t>6,6</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b/>
                <w:color w:val="000000"/>
                <w:sz w:val="18"/>
                <w:szCs w:val="18"/>
              </w:rPr>
            </w:pPr>
            <w:r w:rsidRPr="006A00D9">
              <w:rPr>
                <w:rFonts w:ascii="Arial Narrow" w:hAnsi="Arial Narrow"/>
                <w:b/>
                <w:color w:val="000000"/>
                <w:sz w:val="18"/>
                <w:szCs w:val="18"/>
              </w:rPr>
              <w:t>7,3</w:t>
            </w:r>
          </w:p>
        </w:tc>
        <w:tc>
          <w:tcPr>
            <w:tcW w:w="510" w:type="dxa"/>
            <w:tcBorders>
              <w:top w:val="nil"/>
              <w:left w:val="nil"/>
              <w:bottom w:val="single" w:sz="4" w:space="0" w:color="auto"/>
              <w:right w:val="nil"/>
            </w:tcBorders>
            <w:shd w:val="clear" w:color="000000" w:fill="FFFFFF"/>
            <w:vAlign w:val="center"/>
          </w:tcPr>
          <w:p w:rsidR="00E74E7A" w:rsidRPr="00D25BC6" w:rsidRDefault="00E74E7A" w:rsidP="00E74E7A">
            <w:pPr>
              <w:widowControl/>
              <w:overflowPunct/>
              <w:autoSpaceDE/>
              <w:autoSpaceDN/>
              <w:adjustRightInd/>
              <w:spacing w:before="0" w:after="0"/>
              <w:jc w:val="right"/>
              <w:rPr>
                <w:rFonts w:ascii="Arial Narrow" w:hAnsi="Arial Narrow"/>
                <w:b/>
                <w:color w:val="000000"/>
                <w:sz w:val="18"/>
                <w:szCs w:val="18"/>
              </w:rPr>
            </w:pPr>
            <w:r w:rsidRPr="00D25BC6">
              <w:rPr>
                <w:rFonts w:ascii="Arial Narrow" w:hAnsi="Arial Narrow"/>
                <w:b/>
                <w:color w:val="000000"/>
                <w:sz w:val="18"/>
                <w:szCs w:val="18"/>
              </w:rPr>
              <w:t>8</w:t>
            </w:r>
            <w:r>
              <w:rPr>
                <w:rFonts w:ascii="Arial Narrow" w:hAnsi="Arial Narrow"/>
                <w:b/>
                <w:color w:val="000000"/>
                <w:sz w:val="18"/>
                <w:szCs w:val="18"/>
              </w:rPr>
              <w:t>,</w:t>
            </w:r>
            <w:r w:rsidRPr="00D25BC6">
              <w:rPr>
                <w:rFonts w:ascii="Arial Narrow" w:hAnsi="Arial Narrow"/>
                <w:b/>
                <w:color w:val="000000"/>
                <w:sz w:val="18"/>
                <w:szCs w:val="18"/>
              </w:rPr>
              <w:t>5</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b/>
                <w:color w:val="000000"/>
                <w:sz w:val="18"/>
                <w:szCs w:val="18"/>
              </w:rPr>
            </w:pPr>
            <w:r w:rsidRPr="009A6FDB">
              <w:rPr>
                <w:rFonts w:ascii="Arial Narrow" w:hAnsi="Arial Narrow"/>
                <w:b/>
                <w:color w:val="000000"/>
                <w:sz w:val="18"/>
                <w:szCs w:val="18"/>
              </w:rPr>
              <w:t>8,4</w:t>
            </w:r>
          </w:p>
        </w:tc>
        <w:tc>
          <w:tcPr>
            <w:tcW w:w="510" w:type="dxa"/>
            <w:tcBorders>
              <w:top w:val="nil"/>
              <w:left w:val="nil"/>
              <w:bottom w:val="single" w:sz="4" w:space="0" w:color="auto"/>
              <w:right w:val="nil"/>
            </w:tcBorders>
            <w:shd w:val="clear" w:color="000000" w:fill="FFFFFF"/>
            <w:vAlign w:val="center"/>
          </w:tcPr>
          <w:p w:rsidR="00E74E7A" w:rsidRPr="009158DE" w:rsidRDefault="00E74E7A" w:rsidP="00E74E7A">
            <w:pPr>
              <w:widowControl/>
              <w:overflowPunct/>
              <w:autoSpaceDE/>
              <w:autoSpaceDN/>
              <w:adjustRightInd/>
              <w:spacing w:before="0" w:after="0"/>
              <w:jc w:val="right"/>
              <w:rPr>
                <w:rFonts w:ascii="Arial Narrow" w:hAnsi="Arial Narrow"/>
                <w:b/>
                <w:color w:val="000000"/>
                <w:sz w:val="18"/>
                <w:szCs w:val="18"/>
              </w:rPr>
            </w:pPr>
            <w:r w:rsidRPr="009158DE">
              <w:rPr>
                <w:rFonts w:ascii="Arial Narrow" w:hAnsi="Arial Narrow"/>
                <w:b/>
                <w:color w:val="000000"/>
                <w:sz w:val="18"/>
                <w:szCs w:val="18"/>
              </w:rPr>
              <w:t>9,0</w:t>
            </w:r>
          </w:p>
        </w:tc>
        <w:tc>
          <w:tcPr>
            <w:tcW w:w="567" w:type="dxa"/>
            <w:tcBorders>
              <w:top w:val="nil"/>
              <w:left w:val="nil"/>
              <w:bottom w:val="single" w:sz="4" w:space="0" w:color="auto"/>
              <w:right w:val="nil"/>
            </w:tcBorders>
            <w:shd w:val="clear" w:color="000000" w:fill="FFFFFF"/>
            <w:vAlign w:val="center"/>
          </w:tcPr>
          <w:p w:rsidR="00E74E7A" w:rsidRPr="00C8411E" w:rsidRDefault="00E74E7A" w:rsidP="00E74E7A">
            <w:pPr>
              <w:widowControl/>
              <w:overflowPunct/>
              <w:autoSpaceDE/>
              <w:autoSpaceDN/>
              <w:adjustRightInd/>
              <w:spacing w:before="0" w:after="0"/>
              <w:jc w:val="right"/>
              <w:rPr>
                <w:rFonts w:ascii="Arial Narrow" w:hAnsi="Arial Narrow"/>
                <w:b/>
                <w:color w:val="000000"/>
                <w:sz w:val="18"/>
                <w:szCs w:val="18"/>
              </w:rPr>
            </w:pPr>
            <w:r w:rsidRPr="00C8411E">
              <w:rPr>
                <w:rFonts w:ascii="Arial Narrow" w:hAnsi="Arial Narrow"/>
                <w:b/>
                <w:color w:val="000000"/>
                <w:sz w:val="18"/>
                <w:szCs w:val="18"/>
              </w:rPr>
              <w:t>9,5</w:t>
            </w:r>
          </w:p>
        </w:tc>
        <w:tc>
          <w:tcPr>
            <w:tcW w:w="567" w:type="dxa"/>
            <w:tcBorders>
              <w:top w:val="nil"/>
              <w:left w:val="nil"/>
              <w:bottom w:val="single" w:sz="4" w:space="0" w:color="auto"/>
              <w:right w:val="nil"/>
            </w:tcBorders>
            <w:shd w:val="clear" w:color="000000" w:fill="FFFFFF"/>
            <w:vAlign w:val="center"/>
          </w:tcPr>
          <w:p w:rsidR="00E74E7A" w:rsidRPr="00E74E7A" w:rsidRDefault="00E74E7A" w:rsidP="00E74E7A">
            <w:pPr>
              <w:widowControl/>
              <w:overflowPunct/>
              <w:autoSpaceDE/>
              <w:autoSpaceDN/>
              <w:adjustRightInd/>
              <w:spacing w:before="0" w:after="0"/>
              <w:jc w:val="right"/>
              <w:rPr>
                <w:rFonts w:ascii="Arial Narrow" w:hAnsi="Arial Narrow"/>
                <w:b/>
                <w:color w:val="000000"/>
                <w:sz w:val="18"/>
                <w:szCs w:val="18"/>
              </w:rPr>
            </w:pPr>
            <w:r w:rsidRPr="00E74E7A">
              <w:rPr>
                <w:rFonts w:ascii="Arial Narrow" w:hAnsi="Arial Narrow"/>
                <w:b/>
                <w:color w:val="000000"/>
                <w:sz w:val="18"/>
                <w:szCs w:val="18"/>
              </w:rPr>
              <w:t>12,8</w:t>
            </w:r>
          </w:p>
        </w:tc>
      </w:tr>
      <w:tr w:rsidR="00E74E7A" w:rsidRPr="001D642A" w:rsidTr="006966F0">
        <w:trPr>
          <w:trHeight w:val="255"/>
          <w:jc w:val="center"/>
        </w:trPr>
        <w:tc>
          <w:tcPr>
            <w:tcW w:w="3261" w:type="dxa"/>
            <w:vMerge/>
            <w:tcBorders>
              <w:top w:val="nil"/>
              <w:left w:val="nil"/>
              <w:bottom w:val="single" w:sz="4" w:space="0" w:color="000000"/>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b/>
                <w:bCs/>
                <w:color w:val="FFFFFF"/>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3,2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3,9</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4,2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5,1</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6,2</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b/>
                <w:color w:val="000000"/>
                <w:sz w:val="18"/>
                <w:szCs w:val="18"/>
              </w:rPr>
            </w:pPr>
            <w:r w:rsidRPr="00E31451">
              <w:rPr>
                <w:rFonts w:ascii="Arial Narrow" w:hAnsi="Arial Narrow"/>
                <w:b/>
                <w:color w:val="000000"/>
                <w:sz w:val="18"/>
                <w:szCs w:val="18"/>
              </w:rPr>
              <w:t>6,8</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b/>
                <w:color w:val="000000"/>
                <w:sz w:val="18"/>
                <w:szCs w:val="18"/>
              </w:rPr>
            </w:pPr>
            <w:r w:rsidRPr="00BB1420">
              <w:rPr>
                <w:rFonts w:ascii="Arial Narrow" w:hAnsi="Arial Narrow"/>
                <w:b/>
                <w:color w:val="000000"/>
                <w:sz w:val="18"/>
                <w:szCs w:val="18"/>
              </w:rPr>
              <w:t>6,3</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b/>
                <w:color w:val="000000"/>
                <w:sz w:val="18"/>
                <w:szCs w:val="18"/>
              </w:rPr>
            </w:pPr>
            <w:r w:rsidRPr="006A00D9">
              <w:rPr>
                <w:rFonts w:ascii="Arial Narrow" w:hAnsi="Arial Narrow"/>
                <w:b/>
                <w:color w:val="000000"/>
                <w:sz w:val="18"/>
                <w:szCs w:val="18"/>
              </w:rPr>
              <w:t>7,3</w:t>
            </w:r>
          </w:p>
        </w:tc>
        <w:tc>
          <w:tcPr>
            <w:tcW w:w="510" w:type="dxa"/>
            <w:tcBorders>
              <w:top w:val="nil"/>
              <w:left w:val="nil"/>
              <w:bottom w:val="single" w:sz="4" w:space="0" w:color="auto"/>
              <w:right w:val="nil"/>
            </w:tcBorders>
            <w:shd w:val="clear" w:color="000000" w:fill="FFFFFF"/>
            <w:vAlign w:val="center"/>
          </w:tcPr>
          <w:p w:rsidR="00E74E7A" w:rsidRPr="00D25BC6" w:rsidRDefault="00E74E7A" w:rsidP="00E74E7A">
            <w:pPr>
              <w:widowControl/>
              <w:overflowPunct/>
              <w:autoSpaceDE/>
              <w:autoSpaceDN/>
              <w:adjustRightInd/>
              <w:spacing w:before="0" w:after="0"/>
              <w:jc w:val="right"/>
              <w:rPr>
                <w:rFonts w:ascii="Arial Narrow" w:hAnsi="Arial Narrow"/>
                <w:b/>
                <w:color w:val="000000"/>
                <w:sz w:val="18"/>
                <w:szCs w:val="18"/>
              </w:rPr>
            </w:pPr>
            <w:r w:rsidRPr="00D25BC6">
              <w:rPr>
                <w:rFonts w:ascii="Arial Narrow" w:hAnsi="Arial Narrow"/>
                <w:b/>
                <w:color w:val="000000"/>
                <w:sz w:val="18"/>
                <w:szCs w:val="18"/>
              </w:rPr>
              <w:t>8</w:t>
            </w:r>
            <w:r>
              <w:rPr>
                <w:rFonts w:ascii="Arial Narrow" w:hAnsi="Arial Narrow"/>
                <w:b/>
                <w:color w:val="000000"/>
                <w:sz w:val="18"/>
                <w:szCs w:val="18"/>
              </w:rPr>
              <w:t>,</w:t>
            </w:r>
            <w:r w:rsidRPr="00D25BC6">
              <w:rPr>
                <w:rFonts w:ascii="Arial Narrow" w:hAnsi="Arial Narrow"/>
                <w:b/>
                <w:color w:val="000000"/>
                <w:sz w:val="18"/>
                <w:szCs w:val="18"/>
              </w:rPr>
              <w:t>5</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b/>
                <w:color w:val="000000"/>
                <w:sz w:val="18"/>
                <w:szCs w:val="18"/>
              </w:rPr>
            </w:pPr>
            <w:r w:rsidRPr="009A6FDB">
              <w:rPr>
                <w:rFonts w:ascii="Arial Narrow" w:hAnsi="Arial Narrow"/>
                <w:b/>
                <w:color w:val="000000"/>
                <w:sz w:val="18"/>
                <w:szCs w:val="18"/>
              </w:rPr>
              <w:t>8,4</w:t>
            </w:r>
          </w:p>
        </w:tc>
        <w:tc>
          <w:tcPr>
            <w:tcW w:w="510" w:type="dxa"/>
            <w:tcBorders>
              <w:top w:val="nil"/>
              <w:left w:val="nil"/>
              <w:bottom w:val="single" w:sz="4" w:space="0" w:color="auto"/>
              <w:right w:val="nil"/>
            </w:tcBorders>
            <w:shd w:val="clear" w:color="000000" w:fill="FFFFFF"/>
            <w:vAlign w:val="center"/>
          </w:tcPr>
          <w:p w:rsidR="00E74E7A" w:rsidRPr="009158DE" w:rsidRDefault="00E74E7A" w:rsidP="00E74E7A">
            <w:pPr>
              <w:widowControl/>
              <w:overflowPunct/>
              <w:autoSpaceDE/>
              <w:autoSpaceDN/>
              <w:adjustRightInd/>
              <w:spacing w:before="0" w:after="0"/>
              <w:jc w:val="right"/>
              <w:rPr>
                <w:rFonts w:ascii="Arial Narrow" w:hAnsi="Arial Narrow"/>
                <w:b/>
                <w:color w:val="000000"/>
                <w:sz w:val="18"/>
                <w:szCs w:val="18"/>
              </w:rPr>
            </w:pPr>
            <w:r w:rsidRPr="009158DE">
              <w:rPr>
                <w:rFonts w:ascii="Arial Narrow" w:hAnsi="Arial Narrow"/>
                <w:b/>
                <w:color w:val="000000"/>
                <w:sz w:val="18"/>
                <w:szCs w:val="18"/>
              </w:rPr>
              <w:t>9,1</w:t>
            </w:r>
          </w:p>
        </w:tc>
        <w:tc>
          <w:tcPr>
            <w:tcW w:w="567" w:type="dxa"/>
            <w:tcBorders>
              <w:top w:val="nil"/>
              <w:left w:val="nil"/>
              <w:bottom w:val="single" w:sz="4" w:space="0" w:color="auto"/>
              <w:right w:val="nil"/>
            </w:tcBorders>
            <w:shd w:val="clear" w:color="000000" w:fill="FFFFFF"/>
            <w:vAlign w:val="center"/>
          </w:tcPr>
          <w:p w:rsidR="00E74E7A" w:rsidRPr="00C8411E" w:rsidRDefault="00E74E7A" w:rsidP="00E74E7A">
            <w:pPr>
              <w:widowControl/>
              <w:overflowPunct/>
              <w:autoSpaceDE/>
              <w:autoSpaceDN/>
              <w:adjustRightInd/>
              <w:spacing w:before="0" w:after="0"/>
              <w:jc w:val="right"/>
              <w:rPr>
                <w:rFonts w:ascii="Arial Narrow" w:hAnsi="Arial Narrow"/>
                <w:b/>
                <w:color w:val="000000"/>
                <w:sz w:val="18"/>
                <w:szCs w:val="18"/>
              </w:rPr>
            </w:pPr>
            <w:r w:rsidRPr="00C8411E">
              <w:rPr>
                <w:rFonts w:ascii="Arial Narrow" w:hAnsi="Arial Narrow"/>
                <w:b/>
                <w:color w:val="000000"/>
                <w:sz w:val="18"/>
                <w:szCs w:val="18"/>
              </w:rPr>
              <w:t>9,4</w:t>
            </w:r>
          </w:p>
        </w:tc>
        <w:tc>
          <w:tcPr>
            <w:tcW w:w="567" w:type="dxa"/>
            <w:tcBorders>
              <w:top w:val="nil"/>
              <w:left w:val="nil"/>
              <w:bottom w:val="single" w:sz="4" w:space="0" w:color="auto"/>
              <w:right w:val="nil"/>
            </w:tcBorders>
            <w:shd w:val="clear" w:color="000000" w:fill="FFFFFF"/>
            <w:vAlign w:val="center"/>
          </w:tcPr>
          <w:p w:rsidR="00E74E7A" w:rsidRPr="00E74E7A" w:rsidRDefault="00E74E7A" w:rsidP="00E74E7A">
            <w:pPr>
              <w:widowControl/>
              <w:overflowPunct/>
              <w:autoSpaceDE/>
              <w:autoSpaceDN/>
              <w:adjustRightInd/>
              <w:spacing w:before="0" w:after="0"/>
              <w:jc w:val="right"/>
              <w:rPr>
                <w:rFonts w:ascii="Arial Narrow" w:hAnsi="Arial Narrow"/>
                <w:b/>
                <w:color w:val="000000"/>
                <w:sz w:val="18"/>
                <w:szCs w:val="18"/>
              </w:rPr>
            </w:pPr>
            <w:r w:rsidRPr="00E74E7A">
              <w:rPr>
                <w:rFonts w:ascii="Arial Narrow" w:hAnsi="Arial Narrow"/>
                <w:b/>
                <w:color w:val="000000"/>
                <w:sz w:val="18"/>
                <w:szCs w:val="18"/>
              </w:rPr>
              <w:t>12,6</w:t>
            </w:r>
          </w:p>
        </w:tc>
      </w:tr>
      <w:tr w:rsidR="00E74E7A"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Indice generale al netto dell’energia e degli alimentari freschi (Componente di fondo)</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2,7</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4,1</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4,3</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4,8</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5,7</w:t>
            </w:r>
          </w:p>
        </w:tc>
      </w:tr>
      <w:tr w:rsidR="00E74E7A" w:rsidRPr="001D642A" w:rsidTr="006966F0">
        <w:trPr>
          <w:trHeight w:val="255"/>
          <w:jc w:val="center"/>
        </w:trPr>
        <w:tc>
          <w:tcPr>
            <w:tcW w:w="3261" w:type="dxa"/>
            <w:vMerge/>
            <w:tcBorders>
              <w:top w:val="nil"/>
              <w:left w:val="nil"/>
              <w:bottom w:val="single" w:sz="4" w:space="0" w:color="000000"/>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2,6</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4,0</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4,3</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4,9</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5,3</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5,7</w:t>
            </w:r>
          </w:p>
        </w:tc>
      </w:tr>
      <w:tr w:rsidR="00E74E7A"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E74E7A" w:rsidRPr="001D642A" w:rsidRDefault="00E74E7A" w:rsidP="00E74E7A">
            <w:pPr>
              <w:widowControl/>
              <w:overflowPunct/>
              <w:autoSpaceDE/>
              <w:autoSpaceDN/>
              <w:adjustRightInd/>
              <w:spacing w:before="0" w:after="0"/>
              <w:ind w:right="-70"/>
              <w:rPr>
                <w:rFonts w:ascii="Arial Narrow" w:hAnsi="Arial Narrow"/>
                <w:color w:val="000000"/>
                <w:kern w:val="0"/>
                <w:sz w:val="18"/>
                <w:szCs w:val="18"/>
              </w:rPr>
            </w:pPr>
            <w:r w:rsidRPr="001D642A">
              <w:rPr>
                <w:rFonts w:ascii="Arial Narrow" w:hAnsi="Arial Narrow"/>
                <w:color w:val="000000"/>
                <w:kern w:val="0"/>
                <w:sz w:val="18"/>
                <w:szCs w:val="18"/>
              </w:rPr>
              <w:t>Indice generale al netto di energia, alimentari (incluse bevande alcoliche) e tabacchi</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1,6</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2,2</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2,9</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3,9</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4,5</w:t>
            </w:r>
          </w:p>
        </w:tc>
      </w:tr>
      <w:tr w:rsidR="00E74E7A" w:rsidRPr="001D642A" w:rsidTr="006966F0">
        <w:trPr>
          <w:trHeight w:val="255"/>
          <w:jc w:val="center"/>
        </w:trPr>
        <w:tc>
          <w:tcPr>
            <w:tcW w:w="3261" w:type="dxa"/>
            <w:vMerge/>
            <w:tcBorders>
              <w:top w:val="nil"/>
              <w:left w:val="nil"/>
              <w:bottom w:val="single" w:sz="4" w:space="0" w:color="000000"/>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2,2</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3,0</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4,1</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4,6</w:t>
            </w:r>
          </w:p>
        </w:tc>
      </w:tr>
      <w:tr w:rsidR="00E74E7A"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Indice generale esclusi energetici</w:t>
            </w: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2,0</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2,3</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2,7</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3,1</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3,9</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4,6</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4,8</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5,2</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5,9</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6,4</w:t>
            </w:r>
          </w:p>
        </w:tc>
      </w:tr>
      <w:tr w:rsidR="00E74E7A" w:rsidRPr="001D642A" w:rsidTr="006966F0">
        <w:trPr>
          <w:trHeight w:val="255"/>
          <w:jc w:val="center"/>
        </w:trPr>
        <w:tc>
          <w:tcPr>
            <w:tcW w:w="3261" w:type="dxa"/>
            <w:vMerge/>
            <w:tcBorders>
              <w:top w:val="nil"/>
              <w:left w:val="nil"/>
              <w:bottom w:val="single" w:sz="4" w:space="0" w:color="000000"/>
              <w:right w:val="nil"/>
            </w:tcBorders>
            <w:vAlign w:val="center"/>
            <w:hideMark/>
          </w:tcPr>
          <w:p w:rsidR="00E74E7A" w:rsidRPr="001D642A" w:rsidRDefault="00E74E7A" w:rsidP="00E74E7A">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E74E7A" w:rsidRPr="001D642A" w:rsidRDefault="00E74E7A" w:rsidP="00E74E7A">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E74E7A" w:rsidRPr="001D642A" w:rsidRDefault="00E74E7A" w:rsidP="00E74E7A">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2,3</w:t>
            </w:r>
          </w:p>
        </w:tc>
        <w:tc>
          <w:tcPr>
            <w:tcW w:w="510" w:type="dxa"/>
            <w:tcBorders>
              <w:top w:val="nil"/>
              <w:left w:val="nil"/>
              <w:bottom w:val="single" w:sz="4" w:space="0" w:color="auto"/>
              <w:right w:val="nil"/>
            </w:tcBorders>
            <w:shd w:val="clear" w:color="000000" w:fill="FFFFFF"/>
            <w:vAlign w:val="center"/>
          </w:tcPr>
          <w:p w:rsidR="00E74E7A" w:rsidRPr="00E31451" w:rsidRDefault="00E74E7A" w:rsidP="00E74E7A">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2,7</w:t>
            </w:r>
          </w:p>
        </w:tc>
        <w:tc>
          <w:tcPr>
            <w:tcW w:w="510" w:type="dxa"/>
            <w:tcBorders>
              <w:top w:val="nil"/>
              <w:left w:val="nil"/>
              <w:bottom w:val="single" w:sz="4" w:space="0" w:color="auto"/>
              <w:right w:val="nil"/>
            </w:tcBorders>
            <w:shd w:val="clear" w:color="000000" w:fill="FFFFFF"/>
            <w:vAlign w:val="center"/>
          </w:tcPr>
          <w:p w:rsidR="00E74E7A" w:rsidRPr="00BB1420" w:rsidRDefault="00E74E7A" w:rsidP="00E74E7A">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3,1</w:t>
            </w:r>
          </w:p>
        </w:tc>
        <w:tc>
          <w:tcPr>
            <w:tcW w:w="510" w:type="dxa"/>
            <w:tcBorders>
              <w:top w:val="nil"/>
              <w:left w:val="nil"/>
              <w:bottom w:val="single" w:sz="4" w:space="0" w:color="auto"/>
              <w:right w:val="nil"/>
            </w:tcBorders>
            <w:shd w:val="clear" w:color="000000" w:fill="FFFFFF"/>
            <w:vAlign w:val="center"/>
          </w:tcPr>
          <w:p w:rsidR="00E74E7A" w:rsidRPr="006A00D9" w:rsidRDefault="00E74E7A" w:rsidP="00E74E7A">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3,9</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4,6</w:t>
            </w:r>
          </w:p>
        </w:tc>
        <w:tc>
          <w:tcPr>
            <w:tcW w:w="510" w:type="dxa"/>
            <w:tcBorders>
              <w:top w:val="nil"/>
              <w:left w:val="nil"/>
              <w:bottom w:val="single" w:sz="4" w:space="0" w:color="auto"/>
              <w:right w:val="nil"/>
            </w:tcBorders>
            <w:shd w:val="clear" w:color="000000" w:fill="FFFFFF"/>
            <w:vAlign w:val="center"/>
          </w:tcPr>
          <w:p w:rsidR="00E74E7A" w:rsidRPr="009A6FDB" w:rsidRDefault="00E74E7A" w:rsidP="00E74E7A">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4,7</w:t>
            </w:r>
          </w:p>
        </w:tc>
        <w:tc>
          <w:tcPr>
            <w:tcW w:w="510"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5,4</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5,8</w:t>
            </w:r>
          </w:p>
        </w:tc>
        <w:tc>
          <w:tcPr>
            <w:tcW w:w="567" w:type="dxa"/>
            <w:tcBorders>
              <w:top w:val="nil"/>
              <w:left w:val="nil"/>
              <w:bottom w:val="single" w:sz="4" w:space="0" w:color="auto"/>
              <w:right w:val="nil"/>
            </w:tcBorders>
            <w:shd w:val="clear" w:color="000000" w:fill="FFFFFF"/>
            <w:vAlign w:val="center"/>
          </w:tcPr>
          <w:p w:rsidR="00E74E7A" w:rsidRDefault="00E74E7A" w:rsidP="00E74E7A">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6,4</w:t>
            </w:r>
          </w:p>
        </w:tc>
      </w:tr>
    </w:tbl>
    <w:p w:rsidR="00577B6E" w:rsidRPr="001D642A" w:rsidRDefault="00577B6E" w:rsidP="00577B6E">
      <w:pPr>
        <w:spacing w:before="0" w:after="120"/>
        <w:jc w:val="both"/>
        <w:rPr>
          <w:rFonts w:ascii="Arial" w:hAnsi="Arial" w:cs="Arial"/>
        </w:rPr>
      </w:pPr>
    </w:p>
    <w:p w:rsidR="00A11573" w:rsidRDefault="00A11573" w:rsidP="00A11573">
      <w:pPr>
        <w:widowControl/>
        <w:overflowPunct/>
        <w:spacing w:before="0" w:after="120"/>
        <w:jc w:val="both"/>
        <w:rPr>
          <w:rFonts w:ascii="Arial" w:hAnsi="Arial" w:cs="Arial"/>
        </w:rPr>
      </w:pPr>
      <w:r w:rsidRPr="001D642A">
        <w:rPr>
          <w:rFonts w:ascii="Arial" w:hAnsi="Arial" w:cs="Arial"/>
        </w:rPr>
        <w:t xml:space="preserve">La revisione media assoluta (RMA) fornisce una misura dell’ampiezza delle revisioni effettuate nell’arco di un determinato periodo. Nello specifico, la RMA è calcolata come media aritmetica semplice delle differenze, considerate in valore assoluto, tra le variazioni tendenziali delle stime provvisorie e quelle delle stime definitive, con riferimento agli ultimi tredici mesi. Nella Figura 1 sono riportati i valori della RMA per l’indice generale e i principali aggregati speciali IPCA nel periodo </w:t>
      </w:r>
      <w:r w:rsidR="00FB044B">
        <w:rPr>
          <w:rFonts w:ascii="Arial" w:hAnsi="Arial" w:cs="Arial"/>
        </w:rPr>
        <w:t>otto</w:t>
      </w:r>
      <w:r w:rsidR="00CD0D19">
        <w:rPr>
          <w:rFonts w:ascii="Arial" w:hAnsi="Arial" w:cs="Arial"/>
        </w:rPr>
        <w:t>bre</w:t>
      </w:r>
      <w:r w:rsidRPr="00BF2D38">
        <w:rPr>
          <w:rFonts w:ascii="Arial" w:hAnsi="Arial" w:cs="Arial"/>
        </w:rPr>
        <w:t xml:space="preserve"> </w:t>
      </w:r>
      <w:r w:rsidRPr="001D642A">
        <w:rPr>
          <w:rFonts w:ascii="Arial" w:hAnsi="Arial" w:cs="Arial"/>
        </w:rPr>
        <w:t xml:space="preserve">2021 – </w:t>
      </w:r>
      <w:r w:rsidR="00FB044B">
        <w:rPr>
          <w:rFonts w:ascii="Arial" w:hAnsi="Arial" w:cs="Arial"/>
        </w:rPr>
        <w:t>otto</w:t>
      </w:r>
      <w:r w:rsidR="00CD0D19">
        <w:rPr>
          <w:rFonts w:ascii="Arial" w:hAnsi="Arial" w:cs="Arial"/>
        </w:rPr>
        <w:t>bre</w:t>
      </w:r>
      <w:r w:rsidRPr="00BF2D38">
        <w:rPr>
          <w:rFonts w:ascii="Arial" w:hAnsi="Arial" w:cs="Arial"/>
        </w:rPr>
        <w:t xml:space="preserve"> </w:t>
      </w:r>
      <w:r w:rsidRPr="001D642A">
        <w:rPr>
          <w:rFonts w:ascii="Arial" w:hAnsi="Arial" w:cs="Arial"/>
        </w:rPr>
        <w:t xml:space="preserve">2022. </w:t>
      </w:r>
    </w:p>
    <w:p w:rsidR="00A11573" w:rsidRDefault="00A11573" w:rsidP="00A11573">
      <w:pPr>
        <w:widowControl/>
        <w:overflowPunct/>
        <w:spacing w:before="0" w:after="120"/>
        <w:jc w:val="both"/>
        <w:rPr>
          <w:rFonts w:ascii="Arial" w:hAnsi="Arial" w:cs="Arial"/>
        </w:rPr>
      </w:pPr>
    </w:p>
    <w:p w:rsidR="00A11573" w:rsidRPr="001D642A" w:rsidRDefault="00A11573" w:rsidP="00A11573">
      <w:pPr>
        <w:widowControl/>
        <w:overflowPunct/>
        <w:spacing w:before="0" w:after="120"/>
        <w:jc w:val="both"/>
        <w:rPr>
          <w:rFonts w:ascii="Arial" w:hAnsi="Arial" w:cs="Arial"/>
        </w:rPr>
      </w:pPr>
      <w:r w:rsidRPr="001D642A">
        <w:rPr>
          <w:rFonts w:ascii="Arial" w:hAnsi="Arial" w:cs="Arial"/>
        </w:rPr>
        <w:t>Le RMA più ampie nell’arco di tempo considerato hanno riguardato i tassi di variazione tendenziale dei prezzi dell’Energia (0,</w:t>
      </w:r>
      <w:r w:rsidR="007B052C">
        <w:rPr>
          <w:rFonts w:ascii="Arial" w:hAnsi="Arial" w:cs="Arial"/>
        </w:rPr>
        <w:t>731</w:t>
      </w:r>
      <w:r>
        <w:rPr>
          <w:rFonts w:ascii="Arial" w:hAnsi="Arial" w:cs="Arial"/>
        </w:rPr>
        <w:t xml:space="preserve"> </w:t>
      </w:r>
      <w:r w:rsidRPr="001D642A">
        <w:rPr>
          <w:rFonts w:ascii="Arial" w:hAnsi="Arial" w:cs="Arial"/>
        </w:rPr>
        <w:t>punti percentuali), degli Alimentari lavorati (0,</w:t>
      </w:r>
      <w:r w:rsidR="007B052C">
        <w:rPr>
          <w:rFonts w:ascii="Arial" w:hAnsi="Arial" w:cs="Arial"/>
        </w:rPr>
        <w:t>131</w:t>
      </w:r>
      <w:r w:rsidRPr="001D642A">
        <w:rPr>
          <w:rFonts w:ascii="Arial" w:hAnsi="Arial" w:cs="Arial"/>
        </w:rPr>
        <w:t xml:space="preserve"> punti percentuali)</w:t>
      </w:r>
      <w:r>
        <w:rPr>
          <w:rFonts w:ascii="Arial" w:hAnsi="Arial" w:cs="Arial"/>
        </w:rPr>
        <w:t>,</w:t>
      </w:r>
      <w:r w:rsidRPr="001D642A">
        <w:rPr>
          <w:rFonts w:ascii="Arial" w:hAnsi="Arial" w:cs="Arial"/>
        </w:rPr>
        <w:t xml:space="preserve"> e quindi dei Beni alimentari (incluse beva</w:t>
      </w:r>
      <w:r>
        <w:rPr>
          <w:rFonts w:ascii="Arial" w:hAnsi="Arial" w:cs="Arial"/>
        </w:rPr>
        <w:t>nde alcoliche) e tabacchi (0,</w:t>
      </w:r>
      <w:r w:rsidR="007B052C">
        <w:rPr>
          <w:rFonts w:ascii="Arial" w:hAnsi="Arial" w:cs="Arial"/>
        </w:rPr>
        <w:t>131</w:t>
      </w:r>
      <w:r w:rsidRPr="001D642A">
        <w:rPr>
          <w:rFonts w:ascii="Arial" w:hAnsi="Arial" w:cs="Arial"/>
        </w:rPr>
        <w:t xml:space="preserve"> punti percentuali), e dei Beni industriali non energetici (0,</w:t>
      </w:r>
      <w:r w:rsidR="007B052C">
        <w:rPr>
          <w:rFonts w:ascii="Arial" w:hAnsi="Arial" w:cs="Arial"/>
        </w:rPr>
        <w:t>131</w:t>
      </w:r>
      <w:r w:rsidRPr="001D642A">
        <w:rPr>
          <w:rFonts w:ascii="Arial" w:hAnsi="Arial" w:cs="Arial"/>
        </w:rPr>
        <w:t xml:space="preserve"> punti percentuali).</w:t>
      </w:r>
    </w:p>
    <w:p w:rsidR="00577B6E" w:rsidRPr="001D642A" w:rsidRDefault="00577B6E" w:rsidP="00577B6E">
      <w:pPr>
        <w:widowControl/>
        <w:overflowPunct/>
        <w:spacing w:before="0" w:after="120"/>
        <w:jc w:val="both"/>
        <w:rPr>
          <w:rFonts w:ascii="Arial" w:hAnsi="Arial" w:cs="Arial"/>
          <w:kern w:val="0"/>
        </w:rPr>
      </w:pPr>
      <w:r w:rsidRPr="001D642A">
        <w:rPr>
          <w:rFonts w:ascii="Arial" w:hAnsi="Arial" w:cs="Arial"/>
          <w:kern w:val="0"/>
        </w:rPr>
        <w:t xml:space="preserve">Per ulteriori informazioni relative alle revisioni degli indicatori congiunturali, consultare la </w:t>
      </w:r>
      <w:hyperlink r:id="rId41" w:history="1">
        <w:r w:rsidRPr="001D642A">
          <w:rPr>
            <w:rStyle w:val="Collegamentoipertestuale"/>
            <w:rFonts w:ascii="Arial" w:hAnsi="Arial" w:cs="Arial"/>
            <w:kern w:val="0"/>
          </w:rPr>
          <w:t>sezione dedicata</w:t>
        </w:r>
      </w:hyperlink>
      <w:r w:rsidRPr="001D642A">
        <w:rPr>
          <w:rFonts w:ascii="Arial" w:hAnsi="Arial" w:cs="Arial"/>
          <w:kern w:val="0"/>
        </w:rPr>
        <w:t>.</w:t>
      </w:r>
    </w:p>
    <w:p w:rsidR="00577B6E" w:rsidRPr="001D642A" w:rsidRDefault="00577B6E" w:rsidP="00577B6E">
      <w:pPr>
        <w:spacing w:before="0" w:after="120"/>
        <w:jc w:val="both"/>
        <w:rPr>
          <w:rFonts w:ascii="Arial" w:hAnsi="Arial" w:cs="Arial"/>
        </w:rPr>
      </w:pPr>
    </w:p>
    <w:p w:rsidR="00577B6E" w:rsidRPr="001D642A" w:rsidRDefault="00577B6E" w:rsidP="00577B6E">
      <w:pPr>
        <w:pStyle w:val="001TitoGra"/>
      </w:pPr>
      <w:r w:rsidRPr="001D642A">
        <w:rPr>
          <w:rStyle w:val="001TitoGraRed"/>
        </w:rPr>
        <w:t>FIGURA 1.</w:t>
      </w:r>
      <w:r w:rsidRPr="001D642A">
        <w:t xml:space="preserve"> REVISIONE MEDIA ASSOLUTA DELLE STIME PRELIMINARI DEI TASSI TENDENZIALI DEGLI INDICI IPCA</w:t>
      </w:r>
    </w:p>
    <w:p w:rsidR="00577B6E" w:rsidRDefault="001E1AF5" w:rsidP="00577B6E">
      <w:pPr>
        <w:spacing w:before="0" w:after="120"/>
        <w:ind w:right="170"/>
        <w:jc w:val="both"/>
        <w:rPr>
          <w:rFonts w:ascii="Arial Narrow" w:hAnsi="Arial Narrow" w:cs="Arial"/>
          <w:color w:val="5F5F5F"/>
        </w:rPr>
      </w:pPr>
      <w:r>
        <w:rPr>
          <w:rFonts w:ascii="Arial Narrow" w:hAnsi="Arial Narrow" w:cs="Arial"/>
          <w:color w:val="5F5F5F"/>
        </w:rPr>
        <w:t>Ottobre</w:t>
      </w:r>
      <w:r w:rsidR="00577B6E" w:rsidRPr="007E26FA">
        <w:rPr>
          <w:rFonts w:ascii="Arial Narrow" w:hAnsi="Arial Narrow" w:cs="Arial"/>
          <w:color w:val="5F5F5F"/>
        </w:rPr>
        <w:t xml:space="preserve"> </w:t>
      </w:r>
      <w:r w:rsidR="00577B6E">
        <w:rPr>
          <w:rFonts w:ascii="Arial Narrow" w:hAnsi="Arial Narrow" w:cs="Arial"/>
          <w:color w:val="5F5F5F"/>
        </w:rPr>
        <w:t xml:space="preserve">2021 – </w:t>
      </w:r>
      <w:r>
        <w:rPr>
          <w:rFonts w:ascii="Arial Narrow" w:hAnsi="Arial Narrow" w:cs="Arial"/>
          <w:color w:val="5F5F5F"/>
        </w:rPr>
        <w:t>ottobre</w:t>
      </w:r>
      <w:r w:rsidR="00577B6E" w:rsidRPr="007E26FA">
        <w:rPr>
          <w:rFonts w:ascii="Arial Narrow" w:hAnsi="Arial Narrow" w:cs="Arial"/>
          <w:color w:val="5F5F5F"/>
        </w:rPr>
        <w:t xml:space="preserve"> </w:t>
      </w:r>
      <w:r w:rsidR="00577B6E" w:rsidRPr="001D642A">
        <w:rPr>
          <w:rFonts w:ascii="Arial Narrow" w:hAnsi="Arial Narrow" w:cs="Arial"/>
          <w:color w:val="5F5F5F"/>
        </w:rPr>
        <w:t>2022, punti percentuali</w:t>
      </w:r>
    </w:p>
    <w:p w:rsidR="00B31771" w:rsidRPr="001D642A" w:rsidRDefault="007B052C" w:rsidP="00577B6E">
      <w:pPr>
        <w:spacing w:before="0" w:after="120"/>
        <w:ind w:right="170"/>
        <w:jc w:val="both"/>
        <w:rPr>
          <w:rFonts w:ascii="Arial Narrow" w:hAnsi="Arial Narrow" w:cs="Arial"/>
          <w:color w:val="5F5F5F"/>
        </w:rPr>
      </w:pPr>
      <w:r>
        <w:rPr>
          <w:rFonts w:ascii="Arial Narrow" w:hAnsi="Arial Narrow" w:cs="Arial"/>
          <w:noProof/>
          <w:color w:val="5F5F5F"/>
        </w:rPr>
        <w:drawing>
          <wp:inline distT="0" distB="0" distL="0" distR="0" wp14:anchorId="58FD7EA4">
            <wp:extent cx="6669405" cy="2243455"/>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9405" cy="2243455"/>
                    </a:xfrm>
                    <a:prstGeom prst="rect">
                      <a:avLst/>
                    </a:prstGeom>
                    <a:noFill/>
                  </pic:spPr>
                </pic:pic>
              </a:graphicData>
            </a:graphic>
          </wp:inline>
        </w:drawing>
      </w:r>
    </w:p>
    <w:p w:rsidR="00577B6E" w:rsidRDefault="00577B6E" w:rsidP="00577B6E">
      <w:pPr>
        <w:widowControl/>
        <w:overflowPunct/>
        <w:autoSpaceDE/>
        <w:autoSpaceDN/>
        <w:adjustRightInd/>
        <w:spacing w:before="0" w:after="80"/>
        <w:jc w:val="both"/>
        <w:rPr>
          <w:rFonts w:ascii="Arial" w:hAnsi="Arial" w:cs="Arial"/>
          <w:color w:val="000000"/>
          <w:kern w:val="0"/>
        </w:rPr>
      </w:pPr>
    </w:p>
    <w:p w:rsidR="00FC4BD2" w:rsidRPr="001D642A" w:rsidRDefault="00FC4BD2" w:rsidP="00FC4BD2">
      <w:pPr>
        <w:spacing w:before="0" w:after="120"/>
        <w:jc w:val="both"/>
        <w:rPr>
          <w:rFonts w:ascii="Arial" w:hAnsi="Arial" w:cs="Arial"/>
          <w:b/>
          <w:sz w:val="22"/>
          <w:szCs w:val="22"/>
        </w:rPr>
      </w:pPr>
      <w:r w:rsidRPr="001D642A">
        <w:rPr>
          <w:rFonts w:ascii="Arial" w:hAnsi="Arial" w:cs="Arial"/>
          <w:b/>
          <w:sz w:val="22"/>
          <w:szCs w:val="22"/>
        </w:rPr>
        <w:t>L’emergenza sanitaria Covid-19 e la compilazione degli indici dei prezzi al consumo</w:t>
      </w:r>
    </w:p>
    <w:p w:rsidR="006D4FAC"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L’emergenza sanitaria legata alla diffusione del Covid-19 e le misure varate dal governo per fronteggiare i rischi di ulteriore espansione del contagio hanno determinato, soprattutto nei mesi di marzo, aprile e maggio 2020, numerose criticità per il processo di produzione degli indici dei prezzi al consumo e in particolare per la fase di raccolta diretta dei dati. Tra la fine di maggio e il mese di giugno la progressiva riduzione della gravità dell’emergenza sanitaria e la riapertura graduale di buona parte delle attività commerciali di offerta di beni e servizi di consumo hanno limitato le criticità dei mesi precedenti, a partire da una netta diminuzione del numero di mancate rilevazioni che aveva raggiunto il picco nel mese di aprile 2020. Con il DPCM del 3 novembre 2020 sono state reintrodotte limitazioni, differenziate a livello regionale che hanno riproposto, almeno in parte, le criticità del periodo marzo-maggio. Queste limitazioni sono state poi rafforzate (e uniformate su scala nazionale a partire dal 24 dicembre) con il Decreto Legge 18 dicembre 2020 n. 172.</w:t>
      </w:r>
      <w:r w:rsidR="001E1AF5">
        <w:rPr>
          <w:rFonts w:ascii="Arial" w:hAnsi="Arial" w:cs="Arial"/>
          <w:sz w:val="20"/>
          <w:szCs w:val="20"/>
        </w:rPr>
        <w:t xml:space="preserve"> </w:t>
      </w:r>
    </w:p>
    <w:p w:rsidR="00353727" w:rsidRDefault="00353727" w:rsidP="00353727">
      <w:pPr>
        <w:pStyle w:val="Default"/>
        <w:spacing w:after="120"/>
        <w:jc w:val="both"/>
        <w:rPr>
          <w:rFonts w:ascii="Arial" w:hAnsi="Arial" w:cs="Arial"/>
          <w:sz w:val="20"/>
          <w:szCs w:val="20"/>
        </w:rPr>
      </w:pPr>
      <w:r w:rsidRPr="001D642A">
        <w:rPr>
          <w:rFonts w:ascii="Arial" w:hAnsi="Arial" w:cs="Arial"/>
          <w:sz w:val="20"/>
          <w:szCs w:val="20"/>
        </w:rPr>
        <w:t>In tutti questi mesi di emergenza sanitaria, l’impianto dell’indagine sui prezzi al consumo, basato sull’utilizzo di una pluralità di canali per l’acquisizione dei dati necessari per il calcolo dell’inflazione, ha consentito di ridurre gli effetti negativi di queste criticità e in particolare del più elevato numero di mancate rilevazioni che ha colpito i mesi di marzo aprile e maggio e in misura più contenuta i mesi da giugno a dicembre.</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I problemi più rilevanti hanno riguardato l’attività di raccolta dati in carico agli Uffici Comunali di Statistica, che ha potuto svolgersi in modo difficoltoso; in particolare nei mesi in cui è stata sospesa o limitata la rilevazione presso i punti vendita fisici, le attività degli Uffici Comunali di Statistica sono state svolte utilizzando, laddove possibile, anche il canale telefonico e Internet per la raccolta dei dati presso le unità di rilevazione previste dal piano di campionamento locale. </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Per quanto riguarda le altre fonti dell’indagine, ossia la rilevazione centralizzata, </w:t>
      </w:r>
      <w:proofErr w:type="gramStart"/>
      <w:r w:rsidRPr="001D642A">
        <w:rPr>
          <w:rFonts w:ascii="Arial" w:hAnsi="Arial" w:cs="Arial"/>
          <w:sz w:val="20"/>
          <w:szCs w:val="20"/>
        </w:rPr>
        <w:t>gli scanner</w:t>
      </w:r>
      <w:proofErr w:type="gramEnd"/>
      <w:r w:rsidRPr="001D642A">
        <w:rPr>
          <w:rFonts w:ascii="Arial" w:hAnsi="Arial" w:cs="Arial"/>
          <w:sz w:val="20"/>
          <w:szCs w:val="20"/>
        </w:rPr>
        <w:t xml:space="preserve"> data e i grandi fornitori di dati e i dati di fonte amministrativa, non si sono registrati problemi nella disponibilità delle informazioni necessarie per le elaborazioni degli indici dei prezzi al consumo.</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Questo quadro va integrato, con particolare riferimento alla seconda parte del mese di marzo e ai mesi di aprile e maggio </w:t>
      </w:r>
      <w:r>
        <w:rPr>
          <w:rFonts w:ascii="Arial" w:hAnsi="Arial" w:cs="Arial"/>
          <w:sz w:val="20"/>
          <w:szCs w:val="20"/>
        </w:rPr>
        <w:t xml:space="preserve">2020 </w:t>
      </w:r>
      <w:r w:rsidRPr="001D642A">
        <w:rPr>
          <w:rFonts w:ascii="Arial" w:hAnsi="Arial" w:cs="Arial"/>
          <w:sz w:val="20"/>
          <w:szCs w:val="20"/>
        </w:rPr>
        <w:t xml:space="preserve">e ai mesi da novembre 2020 </w:t>
      </w:r>
      <w:r>
        <w:rPr>
          <w:rFonts w:ascii="Arial" w:hAnsi="Arial" w:cs="Arial"/>
          <w:sz w:val="20"/>
          <w:szCs w:val="20"/>
        </w:rPr>
        <w:t xml:space="preserve">fino ai primi del 2021 </w:t>
      </w:r>
      <w:r w:rsidRPr="001D642A">
        <w:rPr>
          <w:rFonts w:ascii="Arial" w:hAnsi="Arial" w:cs="Arial"/>
          <w:sz w:val="20"/>
          <w:szCs w:val="20"/>
        </w:rPr>
        <w:t>(in particolare per le regioni che si sono trovate in fascia rossa e per il territorio nazionale nel suo complesso nell’ultima parte del mese di dicembre</w:t>
      </w:r>
      <w:r>
        <w:rPr>
          <w:rFonts w:ascii="Arial" w:hAnsi="Arial" w:cs="Arial"/>
          <w:sz w:val="20"/>
          <w:szCs w:val="20"/>
        </w:rPr>
        <w:t xml:space="preserve"> 2020</w:t>
      </w:r>
      <w:r w:rsidRPr="001D642A">
        <w:rPr>
          <w:rFonts w:ascii="Arial" w:hAnsi="Arial" w:cs="Arial"/>
          <w:sz w:val="20"/>
          <w:szCs w:val="20"/>
        </w:rPr>
        <w:t>), con i problemi derivanti dall’introduzione di misure restrittive riguardanti lo svolgimento di diverse attività commerciali, che hanno comportato forti limitazioni alla possibilità da parte dei consumatori di acquistare beni e fruire di determinate categorie di servizi (in primo luogo trasporti, servizi ricreativi, servizi di alloggio) e che hanno richiesto e richiedono interventi specifici nella fase di elaborazione dei corrispondenti indici di prezzo.</w:t>
      </w:r>
    </w:p>
    <w:p w:rsidR="00353727" w:rsidRDefault="00353727" w:rsidP="00353727">
      <w:pPr>
        <w:pStyle w:val="Default"/>
        <w:spacing w:after="120"/>
        <w:jc w:val="both"/>
        <w:rPr>
          <w:rFonts w:ascii="Arial" w:hAnsi="Arial" w:cs="Arial"/>
          <w:sz w:val="20"/>
          <w:szCs w:val="20"/>
        </w:rPr>
      </w:pPr>
      <w:r w:rsidRPr="001D642A">
        <w:rPr>
          <w:rFonts w:ascii="Arial" w:hAnsi="Arial" w:cs="Arial"/>
          <w:sz w:val="20"/>
          <w:szCs w:val="20"/>
        </w:rPr>
        <w:lastRenderedPageBreak/>
        <w:t xml:space="preserve">In tutti i mesi trascorsi a partire da marzo 2020, per la stima dell’inflazione si è fatto ricorso all’imputazione delle mancate rilevazioni, coerentemente con l’impianto metodologico indicato da Eurostat e condiviso con gli Stati membri (per un ulteriore dettaglio si può consultare il </w:t>
      </w:r>
      <w:r>
        <w:rPr>
          <w:rFonts w:ascii="Arial" w:hAnsi="Arial" w:cs="Arial"/>
          <w:sz w:val="20"/>
          <w:szCs w:val="20"/>
        </w:rPr>
        <w:t xml:space="preserve">precedente </w:t>
      </w:r>
      <w:r w:rsidRPr="001D642A">
        <w:rPr>
          <w:rFonts w:ascii="Arial" w:hAnsi="Arial" w:cs="Arial"/>
          <w:sz w:val="20"/>
          <w:szCs w:val="20"/>
        </w:rPr>
        <w:t xml:space="preserve">paragrafo </w:t>
      </w:r>
      <w:r w:rsidRPr="001D642A">
        <w:rPr>
          <w:rFonts w:ascii="Arial" w:hAnsi="Arial" w:cs="Arial"/>
          <w:i/>
          <w:sz w:val="20"/>
          <w:szCs w:val="20"/>
        </w:rPr>
        <w:t xml:space="preserve">Stime delle </w:t>
      </w:r>
      <w:r>
        <w:rPr>
          <w:rFonts w:ascii="Arial" w:hAnsi="Arial" w:cs="Arial"/>
          <w:i/>
          <w:sz w:val="20"/>
          <w:szCs w:val="20"/>
        </w:rPr>
        <w:t>osservazioni mancanti</w:t>
      </w:r>
      <w:r w:rsidRPr="001D642A">
        <w:rPr>
          <w:rFonts w:ascii="Arial" w:hAnsi="Arial" w:cs="Arial"/>
          <w:i/>
          <w:sz w:val="20"/>
          <w:szCs w:val="20"/>
        </w:rPr>
        <w:t xml:space="preserve"> negli indici dei prezzi al consumo</w:t>
      </w:r>
      <w:r w:rsidRPr="001D642A">
        <w:rPr>
          <w:rFonts w:ascii="Arial" w:hAnsi="Arial" w:cs="Arial"/>
          <w:sz w:val="20"/>
          <w:szCs w:val="20"/>
        </w:rPr>
        <w:t>).</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A partire dal D.L 52 del 22 aprile 2021 (c.d. Decreto riaperture) sono state via via eliminate gran parte delle restrizioni introdotte dal governo nei mesi precedenti, permettendo la </w:t>
      </w:r>
      <w:r>
        <w:rPr>
          <w:rFonts w:ascii="Arial" w:hAnsi="Arial" w:cs="Arial"/>
          <w:sz w:val="20"/>
          <w:szCs w:val="20"/>
        </w:rPr>
        <w:t xml:space="preserve">progressiva </w:t>
      </w:r>
      <w:r w:rsidRPr="001D642A">
        <w:rPr>
          <w:rFonts w:ascii="Arial" w:hAnsi="Arial" w:cs="Arial"/>
          <w:sz w:val="20"/>
          <w:szCs w:val="20"/>
        </w:rPr>
        <w:t>riapertura di quasi tutte le attività economiche e la possibilità di riprendere una mobilità sul territorio non dettata da motivazioni di stretta necessità, pur rimanendo limitazioni dovute al rispett</w:t>
      </w:r>
      <w:r>
        <w:rPr>
          <w:rFonts w:ascii="Arial" w:hAnsi="Arial" w:cs="Arial"/>
          <w:sz w:val="20"/>
          <w:szCs w:val="20"/>
        </w:rPr>
        <w:t>o</w:t>
      </w:r>
      <w:r w:rsidRPr="001D642A">
        <w:rPr>
          <w:rFonts w:ascii="Arial" w:hAnsi="Arial" w:cs="Arial"/>
          <w:sz w:val="20"/>
          <w:szCs w:val="20"/>
        </w:rPr>
        <w:t xml:space="preserve"> </w:t>
      </w:r>
      <w:r>
        <w:rPr>
          <w:rFonts w:ascii="Arial" w:hAnsi="Arial" w:cs="Arial"/>
          <w:sz w:val="20"/>
          <w:szCs w:val="20"/>
        </w:rPr>
        <w:t>de</w:t>
      </w:r>
      <w:r w:rsidRPr="001D642A">
        <w:rPr>
          <w:rFonts w:ascii="Arial" w:hAnsi="Arial" w:cs="Arial"/>
          <w:sz w:val="20"/>
          <w:szCs w:val="20"/>
        </w:rPr>
        <w:t>l distanziamento sociale</w:t>
      </w:r>
      <w:r>
        <w:rPr>
          <w:rFonts w:ascii="Arial" w:hAnsi="Arial" w:cs="Arial"/>
          <w:sz w:val="20"/>
          <w:szCs w:val="20"/>
        </w:rPr>
        <w:t xml:space="preserve">, </w:t>
      </w:r>
      <w:r w:rsidRPr="00323AD4">
        <w:rPr>
          <w:rFonts w:ascii="Arial" w:hAnsi="Arial" w:cs="Arial"/>
          <w:sz w:val="20"/>
          <w:szCs w:val="20"/>
        </w:rPr>
        <w:t xml:space="preserve">anch’esse in larga parte venute </w:t>
      </w:r>
      <w:r>
        <w:rPr>
          <w:rFonts w:ascii="Arial" w:hAnsi="Arial" w:cs="Arial"/>
          <w:sz w:val="20"/>
          <w:szCs w:val="20"/>
        </w:rPr>
        <w:t>per lo più</w:t>
      </w:r>
      <w:r w:rsidRPr="00323AD4">
        <w:rPr>
          <w:rFonts w:ascii="Arial" w:hAnsi="Arial" w:cs="Arial"/>
          <w:sz w:val="20"/>
          <w:szCs w:val="20"/>
        </w:rPr>
        <w:t xml:space="preserve"> a cadere</w:t>
      </w:r>
      <w:r w:rsidRPr="001D642A">
        <w:rPr>
          <w:rFonts w:ascii="Arial" w:hAnsi="Arial" w:cs="Arial"/>
          <w:sz w:val="20"/>
          <w:szCs w:val="20"/>
        </w:rPr>
        <w:t xml:space="preserve">. Anche </w:t>
      </w:r>
      <w:r w:rsidR="00BC6184">
        <w:rPr>
          <w:rFonts w:ascii="Arial" w:hAnsi="Arial" w:cs="Arial"/>
          <w:sz w:val="20"/>
          <w:szCs w:val="20"/>
        </w:rPr>
        <w:t xml:space="preserve">in </w:t>
      </w:r>
      <w:r>
        <w:rPr>
          <w:rFonts w:ascii="Arial" w:hAnsi="Arial" w:cs="Arial"/>
          <w:sz w:val="20"/>
          <w:szCs w:val="20"/>
        </w:rPr>
        <w:t>questo</w:t>
      </w:r>
      <w:r w:rsidRPr="001D642A">
        <w:rPr>
          <w:rFonts w:ascii="Arial" w:hAnsi="Arial" w:cs="Arial"/>
          <w:sz w:val="20"/>
          <w:szCs w:val="20"/>
        </w:rPr>
        <w:t xml:space="preserve"> mese tutte le attività commerciali hanno </w:t>
      </w:r>
      <w:r>
        <w:rPr>
          <w:rFonts w:ascii="Arial" w:hAnsi="Arial" w:cs="Arial"/>
          <w:sz w:val="20"/>
          <w:szCs w:val="20"/>
        </w:rPr>
        <w:t>operato</w:t>
      </w:r>
      <w:r w:rsidRPr="001D642A">
        <w:rPr>
          <w:rFonts w:ascii="Arial" w:hAnsi="Arial" w:cs="Arial"/>
          <w:sz w:val="20"/>
          <w:szCs w:val="20"/>
        </w:rPr>
        <w:t xml:space="preserve"> ed è quindi stato possibile, per tutti i prodotti del paniere, utilizzare i prezzi rilevati, inclusi quelli rilevati in anticipo per tutti i prodotti per i quali è prevista questa metodologia di rilevazione. </w:t>
      </w:r>
    </w:p>
    <w:p w:rsidR="00577B6E" w:rsidRDefault="00577B6E" w:rsidP="00577B6E">
      <w:pPr>
        <w:pStyle w:val="Default"/>
        <w:spacing w:after="120"/>
        <w:jc w:val="both"/>
        <w:rPr>
          <w:rFonts w:ascii="Arial" w:hAnsi="Arial" w:cs="Arial"/>
          <w:b/>
          <w:sz w:val="18"/>
          <w:szCs w:val="22"/>
        </w:rPr>
      </w:pPr>
    </w:p>
    <w:p w:rsidR="00577B6E" w:rsidRPr="00833545" w:rsidRDefault="00577B6E" w:rsidP="00577B6E">
      <w:pPr>
        <w:spacing w:before="0" w:after="120"/>
        <w:jc w:val="both"/>
        <w:rPr>
          <w:rFonts w:ascii="Arial" w:hAnsi="Arial" w:cs="Arial"/>
          <w:b/>
          <w:sz w:val="22"/>
          <w:szCs w:val="22"/>
        </w:rPr>
      </w:pPr>
      <w:r w:rsidRPr="00833545">
        <w:rPr>
          <w:rFonts w:ascii="Arial" w:hAnsi="Arial" w:cs="Arial"/>
          <w:b/>
          <w:sz w:val="22"/>
          <w:szCs w:val="22"/>
        </w:rPr>
        <w:t>La diffusione: tempestività e banche dati</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La diffusione degli indici dei prezzi al consumo da parte dell’Istat avviene in due momenti temporali successivi secondo una diversa modalità di rilascio dei dati: stima provvisoria e stima definitiva.</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La diffusione della stima provvisoria degli indici NIC (generale, per divisione di spesa, per tipologia di prodotto e per frequenza d’acquisto) e dell’indice IPCA (generale</w:t>
      </w:r>
      <w:r>
        <w:rPr>
          <w:rFonts w:ascii="Arial" w:hAnsi="Arial" w:cs="Arial"/>
          <w:color w:val="000000"/>
          <w:kern w:val="0"/>
        </w:rPr>
        <w:t>, per divisione di spesa e per aggregati speciali</w:t>
      </w:r>
      <w:r w:rsidRPr="00FB43B0">
        <w:rPr>
          <w:rFonts w:ascii="Arial" w:hAnsi="Arial" w:cs="Arial"/>
          <w:color w:val="000000"/>
          <w:kern w:val="0"/>
        </w:rPr>
        <w:t xml:space="preserve">) avviene alla fine del mese di riferimento, mentre la diffusione dei dati definitivi dei tre indici NIC, IPCA e FOI avviene non oltre la metà del mese successivo a quello di riferimento. I tempi di pubblicazione sono stabiliti da un calendario </w:t>
      </w:r>
      <w:hyperlink r:id="rId43" w:history="1">
        <w:r>
          <w:rPr>
            <w:rStyle w:val="Collegamentoipertestuale"/>
            <w:rFonts w:ascii="Arial" w:hAnsi="Arial" w:cs="Arial"/>
            <w:kern w:val="0"/>
          </w:rPr>
          <w:t>https://www.istat.it/it/informazioni-e-servizi/per-i-giornalisti/appuntamenti/calendario-diffusioni-ed-eventi</w:t>
        </w:r>
      </w:hyperlink>
      <w:r w:rsidRPr="00FB43B0">
        <w:rPr>
          <w:rFonts w:ascii="Arial" w:hAnsi="Arial" w:cs="Arial"/>
          <w:color w:val="000000"/>
          <w:kern w:val="0"/>
        </w:rPr>
        <w:t xml:space="preserve"> concordato con Eurostat, nel mese di dicembre di ogni anno, per l’anno successivo e secondo gli standard di diffusione (SDDS – Special Data Dissemination Standard) definiti dal Fondo Monetario Internazionale.</w:t>
      </w:r>
    </w:p>
    <w:p w:rsidR="00353727" w:rsidRDefault="00353727" w:rsidP="00353727">
      <w:pPr>
        <w:spacing w:before="0" w:after="120"/>
        <w:jc w:val="both"/>
        <w:rPr>
          <w:rFonts w:ascii="Arial" w:hAnsi="Arial" w:cs="Arial"/>
          <w:color w:val="000000"/>
          <w:kern w:val="0"/>
        </w:rPr>
      </w:pPr>
      <w:r>
        <w:rPr>
          <w:rFonts w:ascii="Arial" w:hAnsi="Arial" w:cs="Arial"/>
          <w:color w:val="000000"/>
          <w:kern w:val="0"/>
        </w:rPr>
        <w:t>Con la pubblicazione dei dati di gennaio 2019,</w:t>
      </w:r>
      <w:r>
        <w:t xml:space="preserve"> </w:t>
      </w:r>
      <w:r>
        <w:rPr>
          <w:rFonts w:ascii="Arial" w:hAnsi="Arial" w:cs="Arial"/>
          <w:color w:val="000000"/>
          <w:kern w:val="0"/>
        </w:rPr>
        <w:t>la</w:t>
      </w:r>
      <w:r w:rsidRPr="000B6995">
        <w:rPr>
          <w:rFonts w:ascii="Arial" w:hAnsi="Arial" w:cs="Arial"/>
          <w:color w:val="000000"/>
          <w:kern w:val="0"/>
        </w:rPr>
        <w:t xml:space="preserve"> diffusione diretta degli indici comunali dei prezzi al consumo è effettuata dai comuni</w:t>
      </w:r>
      <w:r>
        <w:rPr>
          <w:rFonts w:ascii="Arial" w:hAnsi="Arial" w:cs="Arial"/>
          <w:color w:val="000000"/>
          <w:kern w:val="0"/>
        </w:rPr>
        <w:t xml:space="preserve"> autorizzati </w:t>
      </w:r>
      <w:r w:rsidRPr="000B6995">
        <w:rPr>
          <w:rFonts w:ascii="Arial" w:hAnsi="Arial" w:cs="Arial"/>
          <w:color w:val="000000"/>
          <w:kern w:val="0"/>
        </w:rPr>
        <w:t>in concomitanza con l</w:t>
      </w:r>
      <w:r>
        <w:rPr>
          <w:rFonts w:ascii="Arial" w:hAnsi="Arial" w:cs="Arial"/>
          <w:color w:val="000000"/>
          <w:kern w:val="0"/>
        </w:rPr>
        <w:t>’</w:t>
      </w:r>
      <w:r w:rsidRPr="000B6995">
        <w:rPr>
          <w:rFonts w:ascii="Arial" w:hAnsi="Arial" w:cs="Arial"/>
          <w:color w:val="000000"/>
          <w:kern w:val="0"/>
        </w:rPr>
        <w:t>uscita degli indici definitivi da parte dell’Istat</w:t>
      </w:r>
      <w:r>
        <w:rPr>
          <w:rFonts w:ascii="Arial" w:hAnsi="Arial" w:cs="Arial"/>
          <w:color w:val="000000"/>
          <w:kern w:val="0"/>
        </w:rPr>
        <w:t xml:space="preserve">. </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 xml:space="preserve">Gli indici, sia per la stima preliminare sia per quella definitiva, sono diffusi attraverso il comunicato stampa “Prezzi al consumo” disponibile sul sito web dell’Istituto all’indirizzo </w:t>
      </w:r>
      <w:hyperlink r:id="rId44" w:history="1">
        <w:r w:rsidRPr="00B85D2F">
          <w:rPr>
            <w:rStyle w:val="Collegamentoipertestuale"/>
            <w:rFonts w:ascii="Arial" w:hAnsi="Arial" w:cs="Arial"/>
            <w:kern w:val="0"/>
          </w:rPr>
          <w:t>https://www.istat.it/it/archivio/prezzi+al+consumo</w:t>
        </w:r>
      </w:hyperlink>
      <w:r w:rsidRPr="00FB43B0">
        <w:rPr>
          <w:rFonts w:ascii="Arial" w:hAnsi="Arial" w:cs="Arial"/>
          <w:color w:val="000000"/>
          <w:kern w:val="0"/>
        </w:rPr>
        <w:t>.</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 xml:space="preserve">Le serie degli indici aggiornate sono pubblicate, in concomitanza con la diffusione del comunicato stampa, sul data </w:t>
      </w:r>
      <w:proofErr w:type="spellStart"/>
      <w:r w:rsidRPr="00FB43B0">
        <w:rPr>
          <w:rFonts w:ascii="Arial" w:hAnsi="Arial" w:cs="Arial"/>
          <w:color w:val="000000"/>
          <w:kern w:val="0"/>
        </w:rPr>
        <w:t>warehouse</w:t>
      </w:r>
      <w:proofErr w:type="spellEnd"/>
      <w:r w:rsidRPr="00FB43B0">
        <w:rPr>
          <w:rFonts w:ascii="Arial" w:hAnsi="Arial" w:cs="Arial"/>
          <w:color w:val="000000"/>
          <w:kern w:val="0"/>
        </w:rPr>
        <w:t xml:space="preserve"> I.Stat (</w:t>
      </w:r>
      <w:hyperlink r:id="rId45" w:history="1">
        <w:r w:rsidRPr="00FB43B0">
          <w:rPr>
            <w:rStyle w:val="Collegamentoipertestuale"/>
            <w:rFonts w:ascii="Arial" w:hAnsi="Arial" w:cs="Arial"/>
            <w:kern w:val="0"/>
          </w:rPr>
          <w:t>http://dati.istat.it</w:t>
        </w:r>
      </w:hyperlink>
      <w:r w:rsidRPr="00FB43B0">
        <w:rPr>
          <w:rFonts w:ascii="Arial" w:hAnsi="Arial" w:cs="Arial"/>
          <w:color w:val="000000"/>
          <w:kern w:val="0"/>
        </w:rPr>
        <w:t>) all’interno del tema Prezzi - Prezzi al consumo. Unitamente agli indici mensili sono diffuse le variazioni percentuali congiunturali e tendenziali</w:t>
      </w:r>
      <w:r>
        <w:rPr>
          <w:rFonts w:ascii="Arial" w:hAnsi="Arial" w:cs="Arial"/>
          <w:color w:val="000000"/>
          <w:kern w:val="0"/>
        </w:rPr>
        <w:t>,</w:t>
      </w:r>
      <w:r w:rsidRPr="00FB43B0">
        <w:rPr>
          <w:rFonts w:ascii="Arial" w:hAnsi="Arial" w:cs="Arial"/>
          <w:color w:val="000000"/>
          <w:kern w:val="0"/>
        </w:rPr>
        <w:t xml:space="preserve"> gli indici medi annui, le variazioni medie annue e i pesi calcolati annualmente.</w:t>
      </w:r>
      <w:r w:rsidRPr="00242F77">
        <w:rPr>
          <w:rFonts w:ascii="Arial" w:hAnsi="Arial" w:cs="Arial"/>
          <w:color w:val="000000"/>
          <w:kern w:val="0"/>
        </w:rPr>
        <w:t xml:space="preserve"> </w:t>
      </w:r>
      <w:r>
        <w:rPr>
          <w:rFonts w:ascii="Arial" w:hAnsi="Arial" w:cs="Arial"/>
          <w:color w:val="000000"/>
          <w:kern w:val="0"/>
        </w:rPr>
        <w:t>G</w:t>
      </w:r>
      <w:r w:rsidRPr="00614750">
        <w:rPr>
          <w:rFonts w:ascii="Arial" w:hAnsi="Arial" w:cs="Arial"/>
          <w:color w:val="000000"/>
          <w:kern w:val="0"/>
        </w:rPr>
        <w:t>li indici ai diversi livelli di aggregazione</w:t>
      </w:r>
      <w:r>
        <w:rPr>
          <w:rFonts w:ascii="Arial" w:hAnsi="Arial" w:cs="Arial"/>
          <w:color w:val="000000"/>
          <w:kern w:val="0"/>
        </w:rPr>
        <w:t xml:space="preserve"> e per i diversi livelli territoriali di riferimento</w:t>
      </w:r>
      <w:r w:rsidRPr="00614750">
        <w:rPr>
          <w:rFonts w:ascii="Arial" w:hAnsi="Arial" w:cs="Arial"/>
          <w:color w:val="000000"/>
          <w:kern w:val="0"/>
        </w:rPr>
        <w:t xml:space="preserve"> </w:t>
      </w:r>
      <w:r>
        <w:rPr>
          <w:rFonts w:ascii="Arial" w:hAnsi="Arial" w:cs="Arial"/>
          <w:color w:val="000000"/>
          <w:kern w:val="0"/>
        </w:rPr>
        <w:t xml:space="preserve">che </w:t>
      </w:r>
      <w:r w:rsidRPr="00614750">
        <w:rPr>
          <w:rFonts w:ascii="Arial" w:hAnsi="Arial" w:cs="Arial"/>
          <w:color w:val="000000"/>
          <w:kern w:val="0"/>
        </w:rPr>
        <w:t>ha</w:t>
      </w:r>
      <w:r>
        <w:rPr>
          <w:rFonts w:ascii="Arial" w:hAnsi="Arial" w:cs="Arial"/>
          <w:color w:val="000000"/>
          <w:kern w:val="0"/>
        </w:rPr>
        <w:t>nno</w:t>
      </w:r>
      <w:r w:rsidRPr="00614750">
        <w:rPr>
          <w:rFonts w:ascii="Arial" w:hAnsi="Arial" w:cs="Arial"/>
          <w:color w:val="000000"/>
          <w:kern w:val="0"/>
        </w:rPr>
        <w:t xml:space="preserve"> avuto una quota di imputazioni superiore al 50% (in termini di prezzi mancanti e/o di peso) </w:t>
      </w:r>
      <w:r>
        <w:rPr>
          <w:rFonts w:ascii="Arial" w:hAnsi="Arial" w:cs="Arial"/>
          <w:color w:val="000000"/>
          <w:kern w:val="0"/>
        </w:rPr>
        <w:t>sono individuabili con il</w:t>
      </w:r>
      <w:r w:rsidRPr="00614750">
        <w:rPr>
          <w:rFonts w:ascii="Arial" w:hAnsi="Arial" w:cs="Arial"/>
          <w:color w:val="000000"/>
          <w:kern w:val="0"/>
        </w:rPr>
        <w:t xml:space="preserve"> flag “i” (dato imputato</w:t>
      </w:r>
      <w:r>
        <w:rPr>
          <w:rFonts w:ascii="Arial" w:hAnsi="Arial" w:cs="Arial"/>
          <w:color w:val="000000"/>
          <w:kern w:val="0"/>
        </w:rPr>
        <w:t>)</w:t>
      </w:r>
      <w:r w:rsidRPr="00614750">
        <w:rPr>
          <w:rFonts w:ascii="Arial" w:hAnsi="Arial" w:cs="Arial"/>
          <w:color w:val="000000"/>
          <w:kern w:val="0"/>
        </w:rPr>
        <w:t>.</w:t>
      </w:r>
    </w:p>
    <w:p w:rsidR="00353727" w:rsidRDefault="00353727" w:rsidP="00353727">
      <w:pPr>
        <w:spacing w:before="0" w:after="120"/>
        <w:jc w:val="both"/>
        <w:rPr>
          <w:rFonts w:ascii="Arial" w:hAnsi="Arial" w:cs="Arial"/>
        </w:rPr>
      </w:pPr>
      <w:r>
        <w:rPr>
          <w:rFonts w:ascii="Arial" w:hAnsi="Arial" w:cs="Arial"/>
        </w:rPr>
        <w:t xml:space="preserve">Informazioni sugli indici dei prezzi al consumo sono disponibili sulla banca dati </w:t>
      </w:r>
      <w:hyperlink r:id="rId46" w:history="1">
        <w:proofErr w:type="spellStart"/>
        <w:r w:rsidRPr="00760661">
          <w:rPr>
            <w:rStyle w:val="Collegamentoipertestuale"/>
            <w:rFonts w:ascii="Arial" w:hAnsi="Arial" w:cs="Arial"/>
          </w:rPr>
          <w:t>Congiuntura.Stat</w:t>
        </w:r>
        <w:proofErr w:type="spellEnd"/>
      </w:hyperlink>
      <w:r>
        <w:rPr>
          <w:rFonts w:ascii="Arial" w:hAnsi="Arial" w:cs="Arial"/>
        </w:rPr>
        <w:t xml:space="preserve">, che </w:t>
      </w:r>
      <w:r w:rsidRPr="001C73ED">
        <w:rPr>
          <w:rFonts w:ascii="Arial" w:hAnsi="Arial" w:cs="Arial"/>
        </w:rPr>
        <w:t>raccoglie e sistematizza le statistiche congiunturali prodotte dall’Istat e si propone quale strumento di approfondimento per policy maker, operatori sociali, studiosi e cittadini.</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Informazioni sulle serie storiche di tutti e tre gli indici, a partire dal 1861</w:t>
      </w:r>
      <w:r>
        <w:rPr>
          <w:rFonts w:ascii="Arial" w:hAnsi="Arial" w:cs="Arial"/>
          <w:color w:val="000000"/>
          <w:kern w:val="0"/>
        </w:rPr>
        <w:t xml:space="preserve"> e fino al 2015</w:t>
      </w:r>
      <w:r w:rsidRPr="00FB43B0">
        <w:rPr>
          <w:rFonts w:ascii="Arial" w:hAnsi="Arial" w:cs="Arial"/>
          <w:color w:val="000000"/>
          <w:kern w:val="0"/>
        </w:rPr>
        <w:t xml:space="preserve">, sono disponibili sul sito dell’Istat all’indirizzo </w:t>
      </w:r>
      <w:hyperlink r:id="rId47" w:history="1">
        <w:r w:rsidRPr="00FB43B0">
          <w:rPr>
            <w:rStyle w:val="Collegamentoipertestuale"/>
            <w:rFonts w:ascii="Arial" w:hAnsi="Arial" w:cs="Arial"/>
            <w:kern w:val="0"/>
          </w:rPr>
          <w:t>http://seriestoriche.istat.it/</w:t>
        </w:r>
      </w:hyperlink>
      <w:r w:rsidRPr="00FB43B0">
        <w:rPr>
          <w:rFonts w:ascii="Arial" w:hAnsi="Arial" w:cs="Arial"/>
          <w:color w:val="000000"/>
          <w:kern w:val="0"/>
        </w:rPr>
        <w:t>.</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 xml:space="preserve">Dati riepilogativi e approfondimenti sui prezzi al consumo e sul paniere dei beni e servizi sono, inoltre, contenuti in alcuni prodotti editoriali diffusi dall’Istat a cadenza annuale, quali </w:t>
      </w:r>
      <w:r w:rsidRPr="00D4266B">
        <w:rPr>
          <w:rFonts w:ascii="Arial" w:hAnsi="Arial" w:cs="Arial"/>
          <w:color w:val="000000"/>
          <w:kern w:val="0"/>
        </w:rPr>
        <w:t>l’</w:t>
      </w:r>
      <w:r w:rsidRPr="00D4266B">
        <w:rPr>
          <w:rFonts w:ascii="Arial" w:hAnsi="Arial" w:cs="Arial"/>
          <w:i/>
          <w:color w:val="000000"/>
          <w:kern w:val="0"/>
        </w:rPr>
        <w:t>Annuario statistico</w:t>
      </w:r>
      <w:r w:rsidRPr="00FB43B0">
        <w:rPr>
          <w:rFonts w:ascii="Arial" w:hAnsi="Arial" w:cs="Arial"/>
          <w:color w:val="000000"/>
          <w:kern w:val="0"/>
        </w:rPr>
        <w:t xml:space="preserve">, il </w:t>
      </w:r>
      <w:r w:rsidRPr="00D4266B">
        <w:rPr>
          <w:rFonts w:ascii="Arial" w:hAnsi="Arial" w:cs="Arial"/>
          <w:i/>
          <w:color w:val="000000"/>
          <w:kern w:val="0"/>
        </w:rPr>
        <w:t>Rapporto annuale</w:t>
      </w:r>
      <w:r w:rsidRPr="00FB43B0">
        <w:rPr>
          <w:rFonts w:ascii="Arial" w:hAnsi="Arial" w:cs="Arial"/>
          <w:color w:val="000000"/>
          <w:kern w:val="0"/>
        </w:rPr>
        <w:t xml:space="preserve"> e la pubblicazione </w:t>
      </w:r>
      <w:r w:rsidRPr="00D4266B">
        <w:rPr>
          <w:rFonts w:ascii="Arial" w:hAnsi="Arial" w:cs="Arial"/>
          <w:i/>
          <w:color w:val="000000"/>
          <w:kern w:val="0"/>
        </w:rPr>
        <w:t>Noi Italia</w:t>
      </w:r>
      <w:r w:rsidRPr="00FB43B0">
        <w:rPr>
          <w:rFonts w:ascii="Arial" w:hAnsi="Arial" w:cs="Arial"/>
          <w:color w:val="000000"/>
          <w:kern w:val="0"/>
        </w:rPr>
        <w:t>.</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 xml:space="preserve">In adempimento al Regolamento europeo </w:t>
      </w:r>
      <w:r w:rsidRPr="00FB43B0">
        <w:rPr>
          <w:rFonts w:ascii="Arial" w:hAnsi="Arial" w:cs="Arial"/>
          <w:kern w:val="0"/>
        </w:rPr>
        <w:t>n. 792/2016,</w:t>
      </w:r>
      <w:r w:rsidRPr="00FB43B0">
        <w:rPr>
          <w:rFonts w:ascii="Arial" w:hAnsi="Arial" w:cs="Arial"/>
          <w:color w:val="000000"/>
          <w:kern w:val="0"/>
        </w:rPr>
        <w:t xml:space="preserve"> i dati dell’indagine sui prezzi al consumo sono trasmessi due volte al mese ad Eurostat. I principali indicatori, archiviati nel database di Eurostat, sono consultabili al</w:t>
      </w:r>
      <w:r>
        <w:rPr>
          <w:rFonts w:ascii="Arial" w:hAnsi="Arial" w:cs="Arial"/>
          <w:color w:val="000000"/>
          <w:kern w:val="0"/>
        </w:rPr>
        <w:t>l’indirizzo</w:t>
      </w:r>
      <w:r w:rsidRPr="00FB43B0">
        <w:rPr>
          <w:rFonts w:ascii="Arial" w:hAnsi="Arial" w:cs="Arial"/>
          <w:color w:val="000000"/>
          <w:kern w:val="0"/>
        </w:rPr>
        <w:t xml:space="preserve"> </w:t>
      </w:r>
      <w:hyperlink r:id="rId48" w:history="1">
        <w:r w:rsidRPr="00FB43B0">
          <w:rPr>
            <w:rStyle w:val="Collegamentoipertestuale"/>
            <w:rFonts w:ascii="Arial" w:hAnsi="Arial" w:cs="Arial"/>
            <w:kern w:val="0"/>
          </w:rPr>
          <w:t>http://ec.europa.eu/eurostat/data/database</w:t>
        </w:r>
      </w:hyperlink>
      <w:r w:rsidRPr="00FB43B0">
        <w:rPr>
          <w:rFonts w:ascii="Arial" w:hAnsi="Arial" w:cs="Arial"/>
          <w:color w:val="000000"/>
          <w:kern w:val="0"/>
        </w:rPr>
        <w:t xml:space="preserve"> (Tema “</w:t>
      </w:r>
      <w:r w:rsidRPr="00FB43B0">
        <w:rPr>
          <w:rFonts w:ascii="Arial" w:hAnsi="Arial" w:cs="Arial"/>
          <w:i/>
          <w:iCs/>
          <w:color w:val="000000"/>
          <w:kern w:val="0"/>
        </w:rPr>
        <w:t>Economy and finance</w:t>
      </w:r>
      <w:r w:rsidRPr="00FB43B0">
        <w:rPr>
          <w:rFonts w:ascii="Arial" w:hAnsi="Arial" w:cs="Arial"/>
          <w:color w:val="000000"/>
          <w:kern w:val="0"/>
        </w:rPr>
        <w:t>”, argomento “</w:t>
      </w:r>
      <w:r w:rsidRPr="00FB43B0">
        <w:rPr>
          <w:rFonts w:ascii="Arial" w:hAnsi="Arial" w:cs="Arial"/>
          <w:i/>
          <w:iCs/>
          <w:color w:val="000000"/>
          <w:kern w:val="0"/>
        </w:rPr>
        <w:t>Prices</w:t>
      </w:r>
      <w:r w:rsidRPr="00FB43B0">
        <w:rPr>
          <w:rFonts w:ascii="Arial" w:hAnsi="Arial" w:cs="Arial"/>
          <w:color w:val="000000"/>
          <w:kern w:val="0"/>
        </w:rPr>
        <w:t>”).</w:t>
      </w:r>
    </w:p>
    <w:p w:rsidR="00FC4BD2" w:rsidRDefault="00FC4BD2" w:rsidP="00FC4BD2">
      <w:pPr>
        <w:spacing w:before="0" w:after="120"/>
        <w:jc w:val="both"/>
        <w:rPr>
          <w:rFonts w:ascii="Arial" w:hAnsi="Arial" w:cs="Arial"/>
          <w:sz w:val="22"/>
          <w:szCs w:val="22"/>
        </w:rPr>
      </w:pPr>
    </w:p>
    <w:p w:rsidR="00B00AAB" w:rsidRDefault="00B00AAB" w:rsidP="006A09C3">
      <w:pPr>
        <w:spacing w:before="0" w:after="120"/>
        <w:jc w:val="both"/>
        <w:rPr>
          <w:rFonts w:ascii="Arial" w:hAnsi="Arial" w:cs="Arial"/>
          <w:sz w:val="22"/>
          <w:szCs w:val="22"/>
        </w:rPr>
      </w:pPr>
    </w:p>
    <w:p w:rsidR="000C3D07" w:rsidRDefault="000C3D07" w:rsidP="000C3D07">
      <w:pPr>
        <w:widowControl/>
        <w:overflowPunct/>
        <w:spacing w:before="0" w:after="0"/>
        <w:jc w:val="both"/>
        <w:rPr>
          <w:rFonts w:ascii="Arial"/>
          <w:color w:val="CD232E"/>
          <w:spacing w:val="-1"/>
          <w:sz w:val="36"/>
        </w:rPr>
        <w:sectPr w:rsidR="000C3D07" w:rsidSect="000161B7">
          <w:headerReference w:type="default" r:id="rId49"/>
          <w:pgSz w:w="11907" w:h="16840" w:code="9"/>
          <w:pgMar w:top="1534" w:right="851" w:bottom="680" w:left="851" w:header="567" w:footer="567" w:gutter="0"/>
          <w:cols w:space="720"/>
          <w:noEndnote/>
          <w:docGrid w:linePitch="272"/>
        </w:sectPr>
      </w:pPr>
      <w:r>
        <w:rPr>
          <w:rFonts w:ascii="Arial"/>
          <w:color w:val="CD232E"/>
          <w:spacing w:val="-1"/>
          <w:sz w:val="36"/>
        </w:rPr>
        <w:t>Per chiarimenti</w:t>
      </w:r>
      <w:r>
        <w:rPr>
          <w:rFonts w:ascii="Arial"/>
          <w:color w:val="CD232E"/>
          <w:spacing w:val="1"/>
          <w:sz w:val="36"/>
        </w:rPr>
        <w:t xml:space="preserve"> </w:t>
      </w:r>
      <w:r>
        <w:rPr>
          <w:rFonts w:ascii="Arial"/>
          <w:color w:val="CD232E"/>
          <w:spacing w:val="-1"/>
          <w:sz w:val="36"/>
        </w:rPr>
        <w:t>tecnici</w:t>
      </w:r>
      <w:r>
        <w:rPr>
          <w:rFonts w:ascii="Arial"/>
          <w:color w:val="CD232E"/>
          <w:spacing w:val="-2"/>
          <w:sz w:val="36"/>
        </w:rPr>
        <w:t xml:space="preserve"> </w:t>
      </w:r>
      <w:r>
        <w:rPr>
          <w:rFonts w:ascii="Arial"/>
          <w:color w:val="CD232E"/>
          <w:sz w:val="36"/>
        </w:rPr>
        <w:t>e</w:t>
      </w:r>
      <w:r>
        <w:rPr>
          <w:rFonts w:ascii="Arial"/>
          <w:color w:val="CD232E"/>
          <w:spacing w:val="-1"/>
          <w:sz w:val="36"/>
        </w:rPr>
        <w:t xml:space="preserve"> metodologici</w:t>
      </w:r>
    </w:p>
    <w:p w:rsidR="000C3D07" w:rsidRDefault="000C3D07" w:rsidP="000C3D07">
      <w:pPr>
        <w:widowControl/>
        <w:overflowPunct/>
        <w:spacing w:before="0" w:after="0"/>
        <w:jc w:val="both"/>
        <w:rPr>
          <w:rFonts w:ascii="Arial" w:hAnsi="Arial" w:cs="Arial"/>
          <w:color w:val="000000"/>
          <w:kern w:val="0"/>
        </w:rPr>
      </w:pPr>
    </w:p>
    <w:p w:rsidR="000C3D07" w:rsidRPr="00C141F9" w:rsidRDefault="00090E28" w:rsidP="000C3D07">
      <w:pPr>
        <w:pStyle w:val="Titolo3"/>
        <w:spacing w:before="72"/>
        <w:rPr>
          <w:rFonts w:ascii="Arial" w:eastAsia="Arial" w:hAnsi="Arial" w:cs="Arial"/>
          <w:b w:val="0"/>
          <w:bCs w:val="0"/>
        </w:rPr>
      </w:pPr>
      <w:r w:rsidRPr="00945335">
        <w:rPr>
          <w:rFonts w:ascii="Arial"/>
          <w:color w:val="CD232E"/>
          <w:spacing w:val="-1"/>
        </w:rPr>
        <w:t>Rosabel Ricci</w:t>
      </w:r>
    </w:p>
    <w:p w:rsidR="000C3D07" w:rsidRPr="00C141F9" w:rsidRDefault="000C3D07" w:rsidP="000C3D07">
      <w:pPr>
        <w:spacing w:before="122"/>
        <w:rPr>
          <w:rFonts w:ascii="Arial" w:eastAsia="Arial" w:hAnsi="Arial" w:cs="Arial"/>
          <w:sz w:val="24"/>
          <w:szCs w:val="24"/>
        </w:rPr>
      </w:pPr>
      <w:r w:rsidRPr="00C141F9">
        <w:rPr>
          <w:rFonts w:ascii="Arial"/>
          <w:sz w:val="24"/>
        </w:rPr>
        <w:t>tel.</w:t>
      </w:r>
      <w:r w:rsidRPr="00C141F9">
        <w:rPr>
          <w:rFonts w:ascii="Arial"/>
          <w:spacing w:val="-1"/>
          <w:sz w:val="24"/>
        </w:rPr>
        <w:t xml:space="preserve"> +39</w:t>
      </w:r>
      <w:r w:rsidRPr="00C141F9">
        <w:rPr>
          <w:rFonts w:ascii="Arial"/>
          <w:spacing w:val="-3"/>
          <w:sz w:val="24"/>
        </w:rPr>
        <w:t xml:space="preserve"> </w:t>
      </w:r>
      <w:r w:rsidRPr="00C141F9">
        <w:rPr>
          <w:rFonts w:ascii="Arial"/>
          <w:sz w:val="24"/>
        </w:rPr>
        <w:t>06</w:t>
      </w:r>
      <w:r w:rsidRPr="00C141F9">
        <w:rPr>
          <w:rFonts w:ascii="Arial"/>
          <w:spacing w:val="-3"/>
          <w:sz w:val="24"/>
        </w:rPr>
        <w:t xml:space="preserve"> </w:t>
      </w:r>
      <w:r>
        <w:rPr>
          <w:rFonts w:ascii="Arial"/>
          <w:spacing w:val="-1"/>
          <w:sz w:val="24"/>
        </w:rPr>
        <w:t>4673</w:t>
      </w:r>
      <w:r w:rsidRPr="00C141F9">
        <w:rPr>
          <w:rFonts w:ascii="Arial"/>
          <w:spacing w:val="-1"/>
          <w:sz w:val="24"/>
        </w:rPr>
        <w:t xml:space="preserve"> </w:t>
      </w:r>
      <w:r w:rsidR="00090E28">
        <w:rPr>
          <w:rFonts w:ascii="Arial"/>
          <w:spacing w:val="-1"/>
          <w:sz w:val="24"/>
        </w:rPr>
        <w:t>2659</w:t>
      </w:r>
    </w:p>
    <w:p w:rsidR="000C3D07" w:rsidRDefault="000B61B4" w:rsidP="000C3D07">
      <w:pPr>
        <w:spacing w:before="98"/>
        <w:rPr>
          <w:rFonts w:ascii="Arial"/>
          <w:color w:val="0000FF"/>
          <w:spacing w:val="-1"/>
          <w:sz w:val="24"/>
          <w:u w:val="single" w:color="0000FF"/>
        </w:rPr>
      </w:pPr>
      <w:hyperlink r:id="rId50" w:history="1">
        <w:r w:rsidR="00357C8B" w:rsidRPr="006A5B13">
          <w:rPr>
            <w:rStyle w:val="Collegamentoipertestuale"/>
            <w:rFonts w:ascii="Arial"/>
            <w:spacing w:val="-1"/>
            <w:sz w:val="24"/>
            <w:u w:color="0000FF"/>
          </w:rPr>
          <w:t>rosabel.ricci@istat.it</w:t>
        </w:r>
      </w:hyperlink>
    </w:p>
    <w:p w:rsidR="000C3D07" w:rsidRDefault="000C3D07" w:rsidP="000C3D07">
      <w:pPr>
        <w:spacing w:before="72"/>
        <w:ind w:left="112"/>
      </w:pPr>
      <w:r w:rsidRPr="00C141F9">
        <w:br w:type="column"/>
      </w:r>
    </w:p>
    <w:p w:rsidR="000C3D07" w:rsidRPr="00C141F9" w:rsidRDefault="000C3D07" w:rsidP="000C3D07">
      <w:pPr>
        <w:spacing w:before="72"/>
        <w:ind w:left="112"/>
        <w:rPr>
          <w:rFonts w:ascii="Arial" w:eastAsia="Arial" w:hAnsi="Arial" w:cs="Arial"/>
        </w:rPr>
      </w:pPr>
      <w:r>
        <w:rPr>
          <w:rFonts w:ascii="Arial"/>
          <w:b/>
          <w:color w:val="CD232E"/>
          <w:spacing w:val="-1"/>
        </w:rPr>
        <w:t>Federico Polidoro</w:t>
      </w:r>
    </w:p>
    <w:p w:rsidR="000C3D07" w:rsidRPr="00C141F9" w:rsidRDefault="000C3D07" w:rsidP="000C3D07">
      <w:pPr>
        <w:spacing w:before="122"/>
        <w:ind w:left="112"/>
        <w:rPr>
          <w:rFonts w:ascii="Arial" w:eastAsia="Arial" w:hAnsi="Arial" w:cs="Arial"/>
          <w:sz w:val="24"/>
          <w:szCs w:val="24"/>
        </w:rPr>
      </w:pPr>
      <w:r w:rsidRPr="00C141F9">
        <w:rPr>
          <w:rFonts w:ascii="Arial"/>
          <w:sz w:val="24"/>
        </w:rPr>
        <w:t>tel.</w:t>
      </w:r>
      <w:r w:rsidRPr="00C141F9">
        <w:rPr>
          <w:rFonts w:ascii="Arial"/>
          <w:spacing w:val="-2"/>
          <w:sz w:val="24"/>
        </w:rPr>
        <w:t xml:space="preserve"> </w:t>
      </w:r>
      <w:r w:rsidRPr="00C141F9">
        <w:rPr>
          <w:rFonts w:ascii="Arial"/>
          <w:spacing w:val="-1"/>
          <w:sz w:val="24"/>
        </w:rPr>
        <w:t>+39</w:t>
      </w:r>
      <w:r w:rsidRPr="00C141F9">
        <w:rPr>
          <w:rFonts w:ascii="Arial"/>
          <w:spacing w:val="-3"/>
          <w:sz w:val="24"/>
        </w:rPr>
        <w:t xml:space="preserve"> </w:t>
      </w:r>
      <w:r w:rsidRPr="00C141F9">
        <w:rPr>
          <w:rFonts w:ascii="Arial"/>
          <w:sz w:val="24"/>
        </w:rPr>
        <w:t>06</w:t>
      </w:r>
      <w:r w:rsidRPr="00C141F9">
        <w:rPr>
          <w:rFonts w:ascii="Arial"/>
          <w:spacing w:val="-3"/>
          <w:sz w:val="24"/>
        </w:rPr>
        <w:t xml:space="preserve"> </w:t>
      </w:r>
      <w:r w:rsidRPr="00C141F9">
        <w:rPr>
          <w:rFonts w:ascii="Arial"/>
          <w:spacing w:val="-1"/>
          <w:sz w:val="24"/>
        </w:rPr>
        <w:t>4673</w:t>
      </w:r>
      <w:r>
        <w:rPr>
          <w:rFonts w:ascii="Arial"/>
          <w:spacing w:val="-1"/>
          <w:sz w:val="24"/>
        </w:rPr>
        <w:t xml:space="preserve"> 2307</w:t>
      </w:r>
    </w:p>
    <w:p w:rsidR="000C3D07" w:rsidRPr="00C141F9" w:rsidRDefault="000B61B4" w:rsidP="000C3D07">
      <w:pPr>
        <w:spacing w:before="98"/>
        <w:ind w:left="112"/>
        <w:rPr>
          <w:rFonts w:ascii="Arial" w:eastAsia="Arial" w:hAnsi="Arial" w:cs="Arial"/>
          <w:sz w:val="24"/>
          <w:szCs w:val="24"/>
        </w:rPr>
      </w:pPr>
      <w:hyperlink r:id="rId51">
        <w:r w:rsidR="000C3D07">
          <w:rPr>
            <w:rFonts w:ascii="Arial"/>
            <w:color w:val="0000FF"/>
            <w:spacing w:val="-1"/>
            <w:sz w:val="24"/>
            <w:u w:val="single" w:color="0000FF"/>
          </w:rPr>
          <w:t>federico.polidoro</w:t>
        </w:r>
        <w:r w:rsidR="000C3D07" w:rsidRPr="00C141F9">
          <w:rPr>
            <w:rFonts w:ascii="Arial"/>
            <w:color w:val="0000FF"/>
            <w:spacing w:val="-1"/>
            <w:sz w:val="24"/>
            <w:u w:val="single" w:color="0000FF"/>
          </w:rPr>
          <w:t>@istat.it</w:t>
        </w:r>
      </w:hyperlink>
    </w:p>
    <w:sectPr w:rsidR="000C3D07" w:rsidRPr="00C141F9" w:rsidSect="000C3D07">
      <w:type w:val="continuous"/>
      <w:pgSz w:w="11907" w:h="16840" w:code="9"/>
      <w:pgMar w:top="1534" w:right="851" w:bottom="680" w:left="851" w:header="567" w:footer="567" w:gutter="0"/>
      <w:cols w:num="2"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1B4" w:rsidRDefault="000B61B4">
      <w:r>
        <w:separator/>
      </w:r>
    </w:p>
  </w:endnote>
  <w:endnote w:type="continuationSeparator" w:id="0">
    <w:p w:rsidR="000B61B4" w:rsidRDefault="000B6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Default="000B61B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Default="000B61B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Default="000B61B4">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Default="000B61B4" w:rsidP="009F455F">
    <w:pPr>
      <w:pStyle w:val="Pidipagina"/>
      <w:ind w:left="1560"/>
    </w:pPr>
    <w:r>
      <w:rPr>
        <w:rFonts w:ascii="Calibri" w:hAnsi="Calibri"/>
        <w:noProof/>
        <w:color w:val="E42618"/>
        <w:sz w:val="28"/>
        <w:szCs w:val="28"/>
      </w:rPr>
      <w:drawing>
        <wp:anchor distT="0" distB="0" distL="114300" distR="114300" simplePos="0" relativeHeight="251655168" behindDoc="0" locked="0" layoutInCell="1" allowOverlap="1">
          <wp:simplePos x="0" y="0"/>
          <wp:positionH relativeFrom="column">
            <wp:posOffset>13335</wp:posOffset>
          </wp:positionH>
          <wp:positionV relativeFrom="paragraph">
            <wp:posOffset>-107950</wp:posOffset>
          </wp:positionV>
          <wp:extent cx="943610" cy="390525"/>
          <wp:effectExtent l="0" t="0" r="8890" b="9525"/>
          <wp:wrapNone/>
          <wp:docPr id="25"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A96D51">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6222C2">
      <w:rPr>
        <w:rFonts w:ascii="Arial" w:hAnsi="Arial" w:cs="Arial"/>
        <w:b/>
        <w:noProof/>
        <w:color w:val="808080"/>
        <w:sz w:val="24"/>
        <w:szCs w:val="24"/>
      </w:rPr>
      <w:t>9</w:t>
    </w:r>
    <w:r w:rsidRPr="006B6BAF">
      <w:rPr>
        <w:rFonts w:ascii="Arial" w:hAnsi="Arial" w:cs="Arial"/>
        <w:b/>
        <w:color w:val="808080"/>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Default="000B61B4" w:rsidP="00CB0759">
    <w:pPr>
      <w:pStyle w:val="Pidipagina"/>
      <w:ind w:left="1560"/>
    </w:pPr>
    <w:r>
      <w:rPr>
        <w:rFonts w:ascii="Calibri" w:hAnsi="Calibri"/>
        <w:noProof/>
        <w:color w:val="E42618"/>
        <w:sz w:val="28"/>
        <w:szCs w:val="28"/>
      </w:rPr>
      <w:drawing>
        <wp:anchor distT="0" distB="0" distL="114300" distR="114300" simplePos="0" relativeHeight="251659264" behindDoc="0" locked="0" layoutInCell="1" allowOverlap="1">
          <wp:simplePos x="0" y="0"/>
          <wp:positionH relativeFrom="column">
            <wp:posOffset>13335</wp:posOffset>
          </wp:positionH>
          <wp:positionV relativeFrom="paragraph">
            <wp:posOffset>-107950</wp:posOffset>
          </wp:positionV>
          <wp:extent cx="943610" cy="390525"/>
          <wp:effectExtent l="0" t="0" r="8890" b="9525"/>
          <wp:wrapNone/>
          <wp:docPr id="27"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0F43D3">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8A6408">
      <w:rPr>
        <w:rFonts w:ascii="Arial" w:hAnsi="Arial" w:cs="Arial"/>
        <w:b/>
        <w:noProof/>
        <w:color w:val="808080"/>
        <w:sz w:val="24"/>
        <w:szCs w:val="24"/>
      </w:rPr>
      <w:t>2</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1B4" w:rsidRDefault="000B61B4">
      <w:r>
        <w:separator/>
      </w:r>
    </w:p>
  </w:footnote>
  <w:footnote w:type="continuationSeparator" w:id="0">
    <w:p w:rsidR="000B61B4" w:rsidRDefault="000B61B4">
      <w:r>
        <w:continuationSeparator/>
      </w:r>
    </w:p>
  </w:footnote>
  <w:footnote w:id="1">
    <w:p w:rsidR="000B61B4" w:rsidRDefault="000B61B4" w:rsidP="00FC4BD2">
      <w:pPr>
        <w:pStyle w:val="Testonotaapidipagina"/>
        <w:spacing w:before="0" w:after="0"/>
      </w:pPr>
      <w:r>
        <w:rPr>
          <w:rStyle w:val="Rimandonotaapidipagina"/>
        </w:rPr>
        <w:footnoteRef/>
      </w:r>
      <w:r>
        <w:t xml:space="preserve"> </w:t>
      </w:r>
      <w:r>
        <w:rPr>
          <w:rFonts w:ascii="Arial" w:hAnsi="Arial" w:cs="Arial"/>
          <w:sz w:val="16"/>
          <w:szCs w:val="16"/>
        </w:rPr>
        <w:t>Dal</w:t>
      </w:r>
      <w:r w:rsidRPr="00E01C06">
        <w:rPr>
          <w:rFonts w:ascii="Arial" w:hAnsi="Arial" w:cs="Arial"/>
          <w:sz w:val="16"/>
          <w:szCs w:val="16"/>
        </w:rPr>
        <w:t xml:space="preserve"> 20</w:t>
      </w:r>
      <w:r>
        <w:rPr>
          <w:rFonts w:ascii="Arial" w:hAnsi="Arial" w:cs="Arial"/>
          <w:sz w:val="16"/>
          <w:szCs w:val="16"/>
        </w:rPr>
        <w:t>20 il comune di Olbia è entrata a far parte dei comuni che partecipano all’indagine.</w:t>
      </w:r>
    </w:p>
  </w:footnote>
  <w:footnote w:id="2">
    <w:p w:rsidR="000B61B4" w:rsidRDefault="000B61B4" w:rsidP="00FC4BD2">
      <w:pPr>
        <w:pStyle w:val="Testonotaapidipagina"/>
        <w:spacing w:before="0" w:after="0"/>
        <w:jc w:val="both"/>
      </w:pPr>
      <w:r>
        <w:rPr>
          <w:rStyle w:val="Rimandonotaapidipagina"/>
        </w:rPr>
        <w:footnoteRef/>
      </w:r>
      <w:r>
        <w:t xml:space="preserve"> </w:t>
      </w:r>
      <w:r>
        <w:rPr>
          <w:rFonts w:ascii="Arial" w:hAnsi="Arial" w:cs="Arial"/>
          <w:sz w:val="16"/>
          <w:szCs w:val="16"/>
        </w:rPr>
        <w:t xml:space="preserve">Si tratta dei comuni di Asti, </w:t>
      </w:r>
      <w:r>
        <w:rPr>
          <w:rFonts w:ascii="Arial" w:hAnsi="Arial" w:cs="Arial"/>
          <w:sz w:val="16"/>
        </w:rPr>
        <w:t xml:space="preserve">Chieti, Foggia, Frosinone, L’Aquila, Matera, </w:t>
      </w:r>
      <w:r>
        <w:rPr>
          <w:rFonts w:ascii="Arial" w:hAnsi="Arial" w:cs="Arial"/>
          <w:sz w:val="16"/>
          <w:szCs w:val="16"/>
        </w:rPr>
        <w:t xml:space="preserve">Monza, Prato, </w:t>
      </w:r>
      <w:r>
        <w:rPr>
          <w:rFonts w:ascii="Arial" w:hAnsi="Arial" w:cs="Arial"/>
          <w:sz w:val="16"/>
        </w:rPr>
        <w:t xml:space="preserve">Ragusa, </w:t>
      </w:r>
      <w:r>
        <w:rPr>
          <w:rFonts w:ascii="Arial" w:hAnsi="Arial" w:cs="Arial"/>
          <w:sz w:val="16"/>
          <w:szCs w:val="16"/>
        </w:rPr>
        <w:t>Savona</w:t>
      </w:r>
      <w:r>
        <w:rPr>
          <w:rFonts w:ascii="Arial" w:hAnsi="Arial" w:cs="Arial"/>
          <w:sz w:val="16"/>
        </w:rPr>
        <w:t>, Verbania e Vibo Valentia.</w:t>
      </w:r>
    </w:p>
  </w:footnote>
  <w:footnote w:id="3">
    <w:p w:rsidR="000B61B4" w:rsidRPr="008A6A18" w:rsidRDefault="000B61B4" w:rsidP="00FC4BD2">
      <w:pPr>
        <w:pStyle w:val="Testonotaapidipagina"/>
        <w:rPr>
          <w:rFonts w:ascii="Arial" w:hAnsi="Arial" w:cs="Arial"/>
          <w:sz w:val="16"/>
          <w:szCs w:val="16"/>
        </w:rPr>
      </w:pPr>
      <w:r>
        <w:rPr>
          <w:rStyle w:val="Rimandonotaapidipagina"/>
        </w:rPr>
        <w:footnoteRef/>
      </w:r>
      <w:r>
        <w:t xml:space="preserve"> </w:t>
      </w:r>
      <w:r w:rsidRPr="008A6A18">
        <w:rPr>
          <w:rFonts w:ascii="Arial" w:hAnsi="Arial" w:cs="Arial"/>
          <w:sz w:val="16"/>
          <w:szCs w:val="16"/>
        </w:rPr>
        <w:t>A partire da gennaio 2022 la rilevazione dei canoni di affitto per le abitazioni di privati è condotta centralmente dall’Istat tramite l’utilizzo di dati di fonte amministrativa e in particolare della base dati locazioni immobiliari dell’Osservatorio del mercato immobiliare dell’Agenzia delle entrate</w:t>
      </w:r>
      <w:r>
        <w:rPr>
          <w:rFonts w:ascii="Arial" w:hAnsi="Arial" w:cs="Arial"/>
          <w:sz w:val="16"/>
          <w:szCs w:val="16"/>
        </w:rPr>
        <w:t>.</w:t>
      </w:r>
    </w:p>
  </w:footnote>
  <w:footnote w:id="4">
    <w:p w:rsidR="000B61B4" w:rsidRPr="002254B4" w:rsidRDefault="000B61B4" w:rsidP="00FC4BD2">
      <w:pPr>
        <w:pStyle w:val="Testonotaapidipagina"/>
        <w:spacing w:before="60" w:after="60"/>
        <w:jc w:val="both"/>
        <w:rPr>
          <w:rFonts w:ascii="Arial" w:hAnsi="Arial" w:cs="Arial"/>
          <w:sz w:val="16"/>
          <w:szCs w:val="16"/>
        </w:rPr>
      </w:pPr>
      <w:r w:rsidRPr="00621535">
        <w:rPr>
          <w:rStyle w:val="Rimandonotaapidipagina"/>
          <w:rFonts w:ascii="Arial" w:hAnsi="Arial" w:cs="Arial"/>
        </w:rPr>
        <w:footnoteRef/>
      </w:r>
      <w:r w:rsidRPr="00B21FF0">
        <w:rPr>
          <w:rFonts w:ascii="Arial" w:hAnsi="Arial" w:cs="Arial"/>
          <w:sz w:val="16"/>
          <w:szCs w:val="16"/>
        </w:rPr>
        <w:t xml:space="preserve"> </w:t>
      </w:r>
      <w:r w:rsidRPr="0087429F">
        <w:rPr>
          <w:rFonts w:ascii="Arial" w:hAnsi="Arial" w:cs="Arial"/>
          <w:sz w:val="16"/>
          <w:szCs w:val="16"/>
        </w:rPr>
        <w:t xml:space="preserve">Per una descrizione più dettagliata della procedura di stima della struttura di ponderazione degli indici dei prezzi al consumo nazionali (NIC e FOI) e dell’indice armonizzato (IPCA) si rimanda alla Nota metodologica allegata alla Nota informativa </w:t>
      </w:r>
      <w:r>
        <w:rPr>
          <w:rFonts w:ascii="Arial" w:hAnsi="Arial" w:cs="Arial"/>
          <w:sz w:val="16"/>
          <w:szCs w:val="16"/>
        </w:rPr>
        <w:t>del 2 febbraio 2022</w:t>
      </w:r>
      <w:r w:rsidRPr="0087429F">
        <w:rPr>
          <w:rFonts w:ascii="Arial" w:hAnsi="Arial" w:cs="Arial"/>
          <w:sz w:val="16"/>
          <w:szCs w:val="16"/>
        </w:rPr>
        <w:t xml:space="preserve"> sugli aggiornamenti del paniere, della struttura di ponderazione e dell’indagine sui prezzi al consumo.</w:t>
      </w:r>
    </w:p>
  </w:footnote>
  <w:footnote w:id="5">
    <w:p w:rsidR="000B61B4" w:rsidRDefault="000B61B4" w:rsidP="00230423">
      <w:pPr>
        <w:pStyle w:val="Testonotaapidipagina"/>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Gli indici riferiti agli Aggregati di prodotto, nei quali si articolano ulteriormente i Segmenti di consumo, sono forniti su richiesta per specifiche finalità di studio e analisi.</w:t>
      </w:r>
    </w:p>
  </w:footnote>
  <w:footnote w:id="6">
    <w:p w:rsidR="000B61B4" w:rsidRDefault="000B61B4" w:rsidP="00230423">
      <w:pPr>
        <w:pStyle w:val="Testonotaapidipagina"/>
        <w:tabs>
          <w:tab w:val="left" w:pos="10206"/>
        </w:tabs>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La pubblicazione degli indici IPCA-AS è stata avviata a partire dai dati di febbraio 2013. La descrizione delle categorie merceologiche che definiscono i diversi aggregati speciali è disponibile sul sito web di Eurostat al seguente indirizzo: </w:t>
      </w:r>
    </w:p>
    <w:p w:rsidR="000B61B4" w:rsidRPr="002C7A4F" w:rsidRDefault="000B61B4" w:rsidP="00230423">
      <w:pPr>
        <w:pStyle w:val="Testonotaapidipagina"/>
        <w:tabs>
          <w:tab w:val="left" w:pos="10206"/>
        </w:tabs>
        <w:spacing w:before="0" w:after="0"/>
        <w:jc w:val="both"/>
        <w:rPr>
          <w:rFonts w:ascii="Arial" w:hAnsi="Arial" w:cs="Arial"/>
          <w:sz w:val="14"/>
          <w:szCs w:val="14"/>
        </w:rPr>
      </w:pPr>
      <w:hyperlink r:id="rId1" w:history="1">
        <w:r w:rsidRPr="00F11253">
          <w:rPr>
            <w:rStyle w:val="Collegamentoipertestuale"/>
            <w:rFonts w:ascii="Arial" w:hAnsi="Arial" w:cs="Arial"/>
            <w:sz w:val="14"/>
            <w:szCs w:val="14"/>
          </w:rPr>
          <w:t>http://ec.europa.eu/eurostat/ramon/nomenclatures/index.cfm?TargetUrl=LST_NOM_DTL&amp;StrNom=HICP_2000&amp;StrLanguageCode=EN&amp;IntPcKey=&amp;StrLayoutCode</w:t>
        </w:r>
      </w:hyperlink>
      <w:r w:rsidRPr="002C7A4F">
        <w:rPr>
          <w:rFonts w:ascii="Arial" w:hAnsi="Arial" w:cs="Arial"/>
          <w:sz w:val="14"/>
          <w:szCs w:val="14"/>
        </w:rPr>
        <w:t xml:space="preserve"> </w:t>
      </w:r>
    </w:p>
    <w:p w:rsidR="000B61B4" w:rsidRDefault="000B61B4" w:rsidP="00230423">
      <w:pPr>
        <w:pStyle w:val="Testonotaapidipagina"/>
        <w:tabs>
          <w:tab w:val="left" w:pos="10206"/>
        </w:tabs>
        <w:spacing w:before="0" w:after="0"/>
        <w:jc w:val="both"/>
        <w:rPr>
          <w:rFonts w:ascii="Arial" w:hAnsi="Arial" w:cs="Arial"/>
          <w:sz w:val="16"/>
          <w:szCs w:val="16"/>
        </w:rPr>
      </w:pPr>
      <w:r>
        <w:rPr>
          <w:rFonts w:ascii="Arial" w:hAnsi="Arial" w:cs="Arial"/>
          <w:sz w:val="16"/>
          <w:szCs w:val="16"/>
        </w:rPr>
        <w:t xml:space="preserve">Per la metodologia utilizzata per la sintesi degli indici, si consulti il Compendio dell’IPCA disponibile in formato pdf all’indirizzo: </w:t>
      </w:r>
    </w:p>
    <w:p w:rsidR="000B61B4" w:rsidRPr="00904629" w:rsidRDefault="000B61B4" w:rsidP="00230423">
      <w:pPr>
        <w:pStyle w:val="Testonotaapidipagina"/>
        <w:tabs>
          <w:tab w:val="left" w:pos="10206"/>
        </w:tabs>
        <w:spacing w:before="0" w:after="0"/>
        <w:jc w:val="both"/>
        <w:rPr>
          <w:rFonts w:ascii="Arial" w:hAnsi="Arial" w:cs="Arial"/>
          <w:sz w:val="16"/>
          <w:szCs w:val="16"/>
        </w:rPr>
      </w:pPr>
      <w:hyperlink r:id="rId2" w:history="1">
        <w:r w:rsidRPr="00904629">
          <w:rPr>
            <w:rStyle w:val="Collegamentoipertestuale"/>
            <w:rFonts w:ascii="Arial" w:hAnsi="Arial" w:cs="Arial"/>
            <w:sz w:val="16"/>
            <w:szCs w:val="16"/>
          </w:rPr>
          <w:t>http://ec.europa.eu/eurostat/documents/3859598/5926625/KS-RA-13-017-EN.PDF/59eb2c1c-da1f-472c-b191-3d0c76521f9b?version=1.0</w:t>
        </w:r>
      </w:hyperlink>
      <w:r w:rsidRPr="00904629">
        <w:rPr>
          <w:rFonts w:ascii="Arial" w:hAnsi="Arial" w:cs="Arial"/>
          <w:sz w:val="16"/>
          <w:szCs w:val="16"/>
        </w:rPr>
        <w:t xml:space="preserve">. </w:t>
      </w:r>
    </w:p>
    <w:p w:rsidR="000B61B4" w:rsidRDefault="000B61B4" w:rsidP="00230423">
      <w:pPr>
        <w:pStyle w:val="Testonotaapidipagina"/>
        <w:tabs>
          <w:tab w:val="left" w:pos="10206"/>
        </w:tabs>
        <w:spacing w:before="0" w:after="60"/>
        <w:jc w:val="both"/>
        <w:rPr>
          <w:rFonts w:ascii="Arial" w:hAnsi="Arial" w:cs="Arial"/>
          <w:sz w:val="16"/>
          <w:szCs w:val="16"/>
        </w:rPr>
      </w:pPr>
      <w:r>
        <w:rPr>
          <w:rFonts w:ascii="Arial" w:hAnsi="Arial" w:cs="Arial"/>
          <w:sz w:val="16"/>
          <w:szCs w:val="16"/>
        </w:rPr>
        <w:t xml:space="preserve">Le serie a partire da gennaio 2001 sono disponibili su </w:t>
      </w:r>
      <w:hyperlink r:id="rId3" w:history="1">
        <w:r w:rsidRPr="00904629">
          <w:rPr>
            <w:rStyle w:val="Collegamentoipertestuale"/>
            <w:rFonts w:ascii="Arial" w:hAnsi="Arial" w:cs="Arial"/>
            <w:sz w:val="16"/>
            <w:szCs w:val="16"/>
          </w:rPr>
          <w:t>I.Stat</w:t>
        </w:r>
      </w:hyperlink>
      <w:r w:rsidRPr="00904629">
        <w:rPr>
          <w:rFonts w:ascii="Arial" w:hAnsi="Arial" w:cs="Arial"/>
          <w:sz w:val="16"/>
          <w:szCs w:val="16"/>
        </w:rPr>
        <w:t>,</w:t>
      </w:r>
      <w:r>
        <w:rPr>
          <w:rFonts w:ascii="Arial" w:hAnsi="Arial" w:cs="Arial"/>
          <w:sz w:val="16"/>
          <w:szCs w:val="16"/>
        </w:rPr>
        <w:t xml:space="preserve"> il data </w:t>
      </w:r>
      <w:proofErr w:type="spellStart"/>
      <w:r>
        <w:rPr>
          <w:rFonts w:ascii="Arial" w:hAnsi="Arial" w:cs="Arial"/>
          <w:sz w:val="16"/>
          <w:szCs w:val="16"/>
        </w:rPr>
        <w:t>warehouse</w:t>
      </w:r>
      <w:proofErr w:type="spellEnd"/>
      <w:r>
        <w:rPr>
          <w:rFonts w:ascii="Arial" w:hAnsi="Arial" w:cs="Arial"/>
          <w:sz w:val="16"/>
          <w:szCs w:val="16"/>
        </w:rPr>
        <w:t xml:space="preserve"> delle statistiche prodotte dall’Istituto, sotto il tema “Prezzi” e “Prezzi al consumo”. </w:t>
      </w:r>
    </w:p>
  </w:footnote>
  <w:footnote w:id="7">
    <w:p w:rsidR="000B61B4" w:rsidRPr="004D0B88" w:rsidRDefault="000B61B4" w:rsidP="00353727">
      <w:pPr>
        <w:pStyle w:val="Testonotaapidipagina"/>
        <w:jc w:val="both"/>
        <w:rPr>
          <w:rFonts w:ascii="Arial" w:hAnsi="Arial" w:cs="Arial"/>
          <w:sz w:val="16"/>
          <w:szCs w:val="16"/>
        </w:rPr>
      </w:pPr>
      <w:r w:rsidRPr="00C80FB4">
        <w:rPr>
          <w:rStyle w:val="Rimandonotaapidipagina"/>
          <w:rFonts w:ascii="Arial" w:hAnsi="Arial" w:cs="Arial"/>
          <w:sz w:val="16"/>
          <w:szCs w:val="16"/>
        </w:rPr>
        <w:footnoteRef/>
      </w:r>
      <w:r w:rsidRPr="00C80FB4">
        <w:rPr>
          <w:rFonts w:ascii="Arial" w:hAnsi="Arial" w:cs="Arial"/>
          <w:sz w:val="16"/>
          <w:szCs w:val="16"/>
        </w:rPr>
        <w:t xml:space="preserve"> </w:t>
      </w:r>
      <w:r w:rsidRPr="00472A7F">
        <w:rPr>
          <w:rFonts w:ascii="Arial" w:hAnsi="Arial" w:cs="Arial"/>
          <w:sz w:val="16"/>
          <w:szCs w:val="16"/>
        </w:rPr>
        <w:t>Durante il periodo dell’emergenza sanitaria legata alla diffusione del Covid-19, l’insieme delle procedure per l’imputazione delle mancate rilevazioni è stato aggiornato, in cooperazione con gli altri Istituti nazionali di statistica dei paesi dell’Unione europea e sotto il coordinamento dell’Eurostat, per tenere conto delle criticità emerse relativamente alla raccolta dei dati nella fase di pandemia.</w:t>
      </w:r>
    </w:p>
  </w:footnote>
  <w:footnote w:id="8">
    <w:p w:rsidR="000B61B4" w:rsidRPr="004D0B88" w:rsidRDefault="000B61B4" w:rsidP="00353727">
      <w:pPr>
        <w:pStyle w:val="Default"/>
        <w:spacing w:after="120"/>
        <w:jc w:val="both"/>
      </w:pPr>
      <w:r w:rsidRPr="004D0B88">
        <w:rPr>
          <w:rStyle w:val="Rimandonotaapidipagina"/>
          <w:rFonts w:ascii="Arial" w:hAnsi="Arial" w:cs="Arial"/>
          <w:sz w:val="16"/>
          <w:szCs w:val="16"/>
        </w:rPr>
        <w:footnoteRef/>
      </w:r>
      <w:r w:rsidRPr="004D0B88">
        <w:rPr>
          <w:rFonts w:ascii="Arial" w:hAnsi="Arial" w:cs="Arial"/>
          <w:sz w:val="16"/>
          <w:szCs w:val="16"/>
        </w:rPr>
        <w:t xml:space="preserve"> Il criterio della </w:t>
      </w:r>
      <w:r w:rsidRPr="00472A7F">
        <w:rPr>
          <w:rFonts w:ascii="Arial" w:hAnsi="Arial" w:cs="Arial"/>
          <w:sz w:val="16"/>
          <w:szCs w:val="16"/>
        </w:rPr>
        <w:t>minimizzazione del numero di prezzi imputati implica che, nella selezione dei prodotti che compongono il paniere, si deve tenere conto della loro effettiva disponibilità all’acquisto da parte delle famiglie.</w:t>
      </w:r>
      <w:r w:rsidRPr="004D0B88">
        <w:t xml:space="preserve"> </w:t>
      </w:r>
    </w:p>
  </w:footnote>
  <w:footnote w:id="9">
    <w:p w:rsidR="000B61B4" w:rsidRPr="00C0657B" w:rsidRDefault="000B61B4" w:rsidP="00353727">
      <w:pPr>
        <w:pStyle w:val="Testonotaapidipagina"/>
        <w:rPr>
          <w:rFonts w:ascii="Arial" w:hAnsi="Arial" w:cs="Arial"/>
          <w:sz w:val="16"/>
          <w:szCs w:val="16"/>
        </w:rPr>
      </w:pPr>
      <w:r w:rsidRPr="004D0B88">
        <w:rPr>
          <w:rStyle w:val="Rimandonotaapidipagina"/>
          <w:rFonts w:ascii="Arial" w:hAnsi="Arial" w:cs="Arial"/>
          <w:sz w:val="16"/>
          <w:szCs w:val="16"/>
        </w:rPr>
        <w:footnoteRef/>
      </w:r>
      <w:r w:rsidRPr="004D0B88">
        <w:rPr>
          <w:rFonts w:ascii="Arial" w:hAnsi="Arial" w:cs="Arial"/>
          <w:sz w:val="16"/>
          <w:szCs w:val="16"/>
        </w:rPr>
        <w:t xml:space="preserve"> </w:t>
      </w:r>
      <w:r w:rsidRPr="00472A7F">
        <w:rPr>
          <w:rFonts w:ascii="Arial" w:hAnsi="Arial" w:cs="Arial"/>
          <w:sz w:val="16"/>
          <w:szCs w:val="16"/>
        </w:rPr>
        <w:t xml:space="preserve">La stessa procedura si applica al caso di stima dei prezzi </w:t>
      </w:r>
      <w:proofErr w:type="spellStart"/>
      <w:r w:rsidRPr="00472A7F">
        <w:rPr>
          <w:rFonts w:ascii="Arial" w:hAnsi="Arial" w:cs="Arial"/>
          <w:sz w:val="16"/>
          <w:szCs w:val="16"/>
        </w:rPr>
        <w:t>outlier</w:t>
      </w:r>
      <w:proofErr w:type="spellEnd"/>
      <w:r w:rsidRPr="00472A7F">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Default="000B61B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Default="000B61B4" w:rsidP="00235BD6">
    <w:pPr>
      <w:pStyle w:val="Intestazione"/>
    </w:pPr>
    <w:r w:rsidRPr="00171C5C">
      <w:rPr>
        <w:rFonts w:ascii="Arial" w:hAnsi="Arial" w:cs="Arial"/>
        <w:noProof/>
        <w:color w:val="5F5F5F"/>
        <w:sz w:val="28"/>
        <w:szCs w:val="28"/>
      </w:rPr>
      <mc:AlternateContent>
        <mc:Choice Requires="wps">
          <w:drawing>
            <wp:anchor distT="0" distB="0" distL="114300" distR="114300" simplePos="0" relativeHeight="251665408" behindDoc="0" locked="0" layoutInCell="1" allowOverlap="1" wp14:anchorId="5B1239F2" wp14:editId="6545D440">
              <wp:simplePos x="0" y="0"/>
              <wp:positionH relativeFrom="column">
                <wp:posOffset>3841090</wp:posOffset>
              </wp:positionH>
              <wp:positionV relativeFrom="paragraph">
                <wp:posOffset>117602</wp:posOffset>
              </wp:positionV>
              <wp:extent cx="1321435" cy="325755"/>
              <wp:effectExtent l="0" t="0" r="0" b="508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rsidR="000B61B4" w:rsidRPr="00BC2B33" w:rsidRDefault="000B61B4" w:rsidP="00235BD6">
                          <w:pPr>
                            <w:jc w:val="right"/>
                            <w:rPr>
                              <w:color w:val="7F7F7F" w:themeColor="text1" w:themeTint="80"/>
                              <w:kern w:val="0"/>
                            </w:rPr>
                          </w:pPr>
                          <w:r>
                            <w:rPr>
                              <w:rFonts w:ascii="Arial Narrow" w:hAnsi="Arial Narrow"/>
                              <w:b/>
                              <w:color w:val="7F7F7F" w:themeColor="text1" w:themeTint="80"/>
                              <w:sz w:val="26"/>
                              <w:szCs w:val="26"/>
                            </w:rPr>
                            <w:t>16 novembre 2022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1239F2" id="_x0000_t202" coordsize="21600,21600" o:spt="202" path="m,l,21600r21600,l21600,xe">
              <v:stroke joinstyle="miter"/>
              <v:path gradientshapeok="t" o:connecttype="rect"/>
            </v:shapetype>
            <v:shape id="Casella di testo 2" o:spid="_x0000_s1026" type="#_x0000_t202" style="position:absolute;margin-left:302.45pt;margin-top:9.25pt;width:104.05pt;height:25.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" strokecolor="white">
              <v:path arrowok="t"/>
              <v:textbox style="mso-fit-shape-to-text:t" inset="0,0,0,0">
                <w:txbxContent>
                  <w:p w:rsidR="000B61B4" w:rsidRPr="00BC2B33" w:rsidRDefault="000B61B4" w:rsidP="00235BD6">
                    <w:pPr>
                      <w:jc w:val="right"/>
                      <w:rPr>
                        <w:color w:val="7F7F7F" w:themeColor="text1" w:themeTint="80"/>
                        <w:kern w:val="0"/>
                      </w:rPr>
                    </w:pPr>
                    <w:r>
                      <w:rPr>
                        <w:rFonts w:ascii="Arial Narrow" w:hAnsi="Arial Narrow"/>
                        <w:b/>
                        <w:color w:val="7F7F7F" w:themeColor="text1" w:themeTint="80"/>
                        <w:sz w:val="26"/>
                        <w:szCs w:val="26"/>
                      </w:rPr>
                      <w:t>16 novembre 2022</w:t>
                    </w:r>
                  </w:p>
                </w:txbxContent>
              </v:textbox>
            </v:shape>
          </w:pict>
        </mc:Fallback>
      </mc:AlternateContent>
    </w:r>
    <w:r w:rsidRPr="0035770E">
      <w:rPr>
        <w:noProof/>
      </w:rPr>
      <mc:AlternateContent>
        <mc:Choice Requires="wps">
          <w:drawing>
            <wp:anchor distT="0" distB="0" distL="114300" distR="114300" simplePos="0" relativeHeight="251663360" behindDoc="0" locked="0" layoutInCell="1" allowOverlap="1" wp14:anchorId="42EC8533" wp14:editId="06BEC93A">
              <wp:simplePos x="0" y="0"/>
              <wp:positionH relativeFrom="column">
                <wp:posOffset>5434965</wp:posOffset>
              </wp:positionH>
              <wp:positionV relativeFrom="paragraph">
                <wp:posOffset>364160</wp:posOffset>
              </wp:positionV>
              <wp:extent cx="994410" cy="701675"/>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994410" cy="701675"/>
                      </a:xfrm>
                      <a:prstGeom prst="rect">
                        <a:avLst/>
                      </a:prstGeom>
                      <a:solidFill>
                        <a:schemeClr val="lt1"/>
                      </a:solidFill>
                      <a:ln w="6350">
                        <a:noFill/>
                      </a:ln>
                    </wps:spPr>
                    <wps:txbx>
                      <w:txbxContent>
                        <w:p w:rsidR="000B61B4" w:rsidRPr="00235BD6" w:rsidRDefault="000B61B4" w:rsidP="00235BD6">
                          <w:pPr>
                            <w:spacing w:before="0" w:after="120" w:line="180" w:lineRule="exact"/>
                            <w:rPr>
                              <w:rFonts w:ascii="Arial Narrow" w:hAnsi="Arial Narrow"/>
                              <w:sz w:val="18"/>
                              <w:szCs w:val="18"/>
                            </w:rPr>
                          </w:pPr>
                          <w:r w:rsidRPr="00235BD6">
                            <w:rPr>
                              <w:rFonts w:ascii="Arial Narrow" w:hAnsi="Arial Narrow"/>
                              <w:sz w:val="18"/>
                              <w:szCs w:val="18"/>
                            </w:rPr>
                            <w:t>http://www.istat.it</w:t>
                          </w:r>
                        </w:p>
                        <w:p w:rsidR="000B61B4" w:rsidRPr="00B367ED" w:rsidRDefault="000B61B4" w:rsidP="00235BD6">
                          <w:pPr>
                            <w:spacing w:before="0" w:after="120" w:line="180" w:lineRule="exact"/>
                            <w:rPr>
                              <w:rFonts w:ascii="Arial Narrow" w:hAnsi="Arial Narrow"/>
                              <w:b/>
                              <w:bCs/>
                              <w:sz w:val="18"/>
                              <w:szCs w:val="18"/>
                              <w:lang w:val="en-US"/>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F73BDE">
                            <w:rPr>
                              <w:rFonts w:ascii="Arial Narrow" w:hAnsi="Arial Narrow"/>
                              <w:sz w:val="18"/>
                              <w:szCs w:val="18"/>
                              <w:lang w:val="en-US"/>
                            </w:rPr>
                            <w:t>+39 06 4673.2243/4</w:t>
                          </w:r>
                        </w:p>
                        <w:p w:rsidR="000B61B4" w:rsidRPr="0035770E" w:rsidRDefault="000B61B4" w:rsidP="00235BD6">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8533" id="Casella di testo 36" o:spid="_x0000_s1027"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" fillcolor="white [3201]" stroked="f" strokeweight=".5pt">
              <v:textbox inset="0,0,0,0">
                <w:txbxContent>
                  <w:p w:rsidR="000B61B4" w:rsidRPr="00235BD6" w:rsidRDefault="000B61B4" w:rsidP="00235BD6">
                    <w:pPr>
                      <w:spacing w:before="0" w:after="120" w:line="180" w:lineRule="exact"/>
                      <w:rPr>
                        <w:rFonts w:ascii="Arial Narrow" w:hAnsi="Arial Narrow"/>
                        <w:sz w:val="18"/>
                        <w:szCs w:val="18"/>
                      </w:rPr>
                    </w:pPr>
                    <w:r w:rsidRPr="00235BD6">
                      <w:rPr>
                        <w:rFonts w:ascii="Arial Narrow" w:hAnsi="Arial Narrow"/>
                        <w:sz w:val="18"/>
                        <w:szCs w:val="18"/>
                      </w:rPr>
                      <w:t>http://www.istat.it</w:t>
                    </w:r>
                  </w:p>
                  <w:p w:rsidR="000B61B4" w:rsidRPr="00B367ED" w:rsidRDefault="000B61B4" w:rsidP="00235BD6">
                    <w:pPr>
                      <w:spacing w:before="0" w:after="120" w:line="180" w:lineRule="exact"/>
                      <w:rPr>
                        <w:rFonts w:ascii="Arial Narrow" w:hAnsi="Arial Narrow"/>
                        <w:b/>
                        <w:bCs/>
                        <w:sz w:val="18"/>
                        <w:szCs w:val="18"/>
                        <w:lang w:val="en-US"/>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F73BDE">
                      <w:rPr>
                        <w:rFonts w:ascii="Arial Narrow" w:hAnsi="Arial Narrow"/>
                        <w:sz w:val="18"/>
                        <w:szCs w:val="18"/>
                        <w:lang w:val="en-US"/>
                      </w:rPr>
                      <w:t>+39 06 4673.2243/4</w:t>
                    </w:r>
                  </w:p>
                  <w:p w:rsidR="000B61B4" w:rsidRPr="0035770E" w:rsidRDefault="000B61B4" w:rsidP="00235BD6">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v:textbox>
            </v:shape>
          </w:pict>
        </mc:Fallback>
      </mc:AlternateContent>
    </w:r>
    <w:r w:rsidRPr="00340648">
      <w:rPr>
        <w:noProof/>
      </w:rPr>
      <w:drawing>
        <wp:anchor distT="0" distB="0" distL="114300" distR="114300" simplePos="0" relativeHeight="251662336" behindDoc="0" locked="0" layoutInCell="1" allowOverlap="1" wp14:anchorId="603A656C" wp14:editId="3B51D8A5">
          <wp:simplePos x="0" y="0"/>
          <wp:positionH relativeFrom="column">
            <wp:posOffset>15569</wp:posOffset>
          </wp:positionH>
          <wp:positionV relativeFrom="paragraph">
            <wp:posOffset>-138532</wp:posOffset>
          </wp:positionV>
          <wp:extent cx="5332781" cy="1137834"/>
          <wp:effectExtent l="0" t="0" r="1270" b="5715"/>
          <wp:wrapNone/>
          <wp:docPr id="12"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1">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70E">
      <w:rPr>
        <w:noProof/>
      </w:rPr>
      <mc:AlternateContent>
        <mc:Choice Requires="wps">
          <w:drawing>
            <wp:anchor distT="0" distB="0" distL="114300" distR="114300" simplePos="0" relativeHeight="251664384" behindDoc="0" locked="0" layoutInCell="1" allowOverlap="1" wp14:anchorId="4DF107CF" wp14:editId="32C5702F">
              <wp:simplePos x="0" y="0"/>
              <wp:positionH relativeFrom="column">
                <wp:posOffset>0</wp:posOffset>
              </wp:positionH>
              <wp:positionV relativeFrom="paragraph">
                <wp:posOffset>1082014</wp:posOffset>
              </wp:positionV>
              <wp:extent cx="6414770" cy="0"/>
              <wp:effectExtent l="0" t="0" r="11430" b="12700"/>
              <wp:wrapNone/>
              <wp:docPr id="21"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20B3B9" id="Connettore 1 3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" strokecolor="#7f7f7f [1612]"/>
          </w:pict>
        </mc:Fallback>
      </mc:AlternateContent>
    </w:r>
  </w:p>
  <w:p w:rsidR="000B61B4" w:rsidRDefault="000B61B4" w:rsidP="00FC6D8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Default="000B61B4">
    <w:pPr>
      <w:pStyle w:val="Intestazione"/>
    </w:pPr>
    <w:r>
      <w:rPr>
        <w:noProof/>
      </w:rPr>
      <mc:AlternateContent>
        <mc:Choice Requires="wps">
          <w:drawing>
            <wp:anchor distT="0" distB="0" distL="114300" distR="114300" simplePos="0" relativeHeight="251654656" behindDoc="0" locked="0" layoutInCell="1" allowOverlap="1" wp14:anchorId="1769CC33" wp14:editId="50CB702E">
              <wp:simplePos x="0" y="0"/>
              <wp:positionH relativeFrom="column">
                <wp:posOffset>531495</wp:posOffset>
              </wp:positionH>
              <wp:positionV relativeFrom="paragraph">
                <wp:posOffset>69850</wp:posOffset>
              </wp:positionV>
              <wp:extent cx="1078230" cy="263525"/>
              <wp:effectExtent l="12700" t="13970" r="13970" b="825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B61B4" w:rsidRDefault="000B61B4"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B61B4" w:rsidRPr="00C423DB" w:rsidRDefault="000B61B4"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69CC33" id="_x0000_t202" coordsize="21600,21600" o:spt="202" path="m,l,21600r21600,l21600,xe">
              <v:stroke joinstyle="miter"/>
              <v:path gradientshapeok="t" o:connecttype="rect"/>
            </v:shapetype>
            <v:shape id="_x0000_s1028" type="#_x0000_t202" style="position:absolute;margin-left:41.85pt;margin-top:5.5pt;width:84.9pt;height:20.7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" strokecolor="white">
              <v:textbox style="mso-fit-shape-to-text:t" inset="0,0,0,0">
                <w:txbxContent>
                  <w:p w:rsidR="000B61B4" w:rsidRDefault="000B61B4"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B61B4" w:rsidRPr="00C423DB" w:rsidRDefault="000B61B4"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14:anchorId="279B82A2" wp14:editId="13EF463D">
          <wp:extent cx="6480175" cy="588645"/>
          <wp:effectExtent l="0" t="0" r="0" b="1905"/>
          <wp:docPr id="4" name="Immagine 4"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Pr="009E5F03" w:rsidRDefault="000B61B4" w:rsidP="009E5F0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Pr="00CC0BEA" w:rsidRDefault="000B61B4" w:rsidP="00CC0BEA">
    <w:pPr>
      <w:pStyle w:val="Intestazione"/>
    </w:pPr>
    <w:r>
      <w:rPr>
        <w:noProof/>
      </w:rPr>
      <w:drawing>
        <wp:inline distT="0" distB="0" distL="0" distR="0" wp14:anchorId="4E9EA3E1" wp14:editId="3701DB03">
          <wp:extent cx="6480175" cy="596265"/>
          <wp:effectExtent l="0" t="0" r="0" b="0"/>
          <wp:docPr id="31" name="Immagine 31"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96265"/>
                  </a:xfrm>
                  <a:prstGeom prst="rect">
                    <a:avLst/>
                  </a:prstGeom>
                  <a:noFill/>
                  <a:ln>
                    <a:noFill/>
                  </a:ln>
                </pic:spPr>
              </pic:pic>
            </a:graphicData>
          </a:graphic>
        </wp:inline>
      </w:drawing>
    </w:r>
    <w:r>
      <w:rPr>
        <w:noProof/>
      </w:rPr>
      <mc:AlternateContent>
        <mc:Choice Requires="wps">
          <w:drawing>
            <wp:anchor distT="0" distB="0" distL="114300" distR="114300" simplePos="0" relativeHeight="251669504" behindDoc="0" locked="0" layoutInCell="1" allowOverlap="1" wp14:anchorId="5D3BC79F" wp14:editId="59660E2E">
              <wp:simplePos x="0" y="0"/>
              <wp:positionH relativeFrom="column">
                <wp:posOffset>520700</wp:posOffset>
              </wp:positionH>
              <wp:positionV relativeFrom="paragraph">
                <wp:posOffset>71120</wp:posOffset>
              </wp:positionV>
              <wp:extent cx="1078230" cy="263525"/>
              <wp:effectExtent l="0" t="0" r="26670" b="2286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B61B4" w:rsidRDefault="000B61B4"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B61B4" w:rsidRPr="00C423DB" w:rsidRDefault="000B61B4"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3BC79F" id="_x0000_t202" coordsize="21600,21600" o:spt="202" path="m,l,21600r21600,l21600,xe">
              <v:stroke joinstyle="miter"/>
              <v:path gradientshapeok="t" o:connecttype="rect"/>
            </v:shapetype>
            <v:shape id="_x0000_s1029" type="#_x0000_t202" style="position:absolute;margin-left:41pt;margin-top:5.6pt;width:84.9pt;height:20.7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" strokecolor="white">
              <v:textbox style="mso-fit-shape-to-text:t" inset="0,0,0,0">
                <w:txbxContent>
                  <w:p w:rsidR="000B61B4" w:rsidRDefault="000B61B4"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B61B4" w:rsidRPr="00C423DB" w:rsidRDefault="000B61B4"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Pr="00CC0BEA" w:rsidRDefault="000B61B4" w:rsidP="00CC0BEA">
    <w:pPr>
      <w:pStyle w:val="Intestazione"/>
    </w:pPr>
    <w:r>
      <w:rPr>
        <w:noProof/>
      </w:rPr>
      <mc:AlternateContent>
        <mc:Choice Requires="wps">
          <w:drawing>
            <wp:anchor distT="0" distB="0" distL="114300" distR="114300" simplePos="0" relativeHeight="251667456" behindDoc="0" locked="0" layoutInCell="1" allowOverlap="1" wp14:anchorId="1A10A542" wp14:editId="0BA093D8">
              <wp:simplePos x="0" y="0"/>
              <wp:positionH relativeFrom="column">
                <wp:posOffset>520700</wp:posOffset>
              </wp:positionH>
              <wp:positionV relativeFrom="paragraph">
                <wp:posOffset>71120</wp:posOffset>
              </wp:positionV>
              <wp:extent cx="1078230" cy="263525"/>
              <wp:effectExtent l="0" t="0" r="26670" b="2286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B61B4" w:rsidRDefault="000B61B4"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B61B4" w:rsidRPr="00C423DB" w:rsidRDefault="000B61B4"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A10A542" id="_x0000_t202" coordsize="21600,21600" o:spt="202" path="m,l,21600r21600,l21600,xe">
              <v:stroke joinstyle="miter"/>
              <v:path gradientshapeok="t" o:connecttype="rect"/>
            </v:shapetype>
            <v:shape id="_x0000_s1030" type="#_x0000_t202" style="position:absolute;margin-left:41pt;margin-top:5.6pt;width:84.9pt;height:20.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" strokecolor="white">
              <v:textbox style="mso-fit-shape-to-text:t" inset="0,0,0,0">
                <w:txbxContent>
                  <w:p w:rsidR="000B61B4" w:rsidRDefault="000B61B4"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B61B4" w:rsidRPr="00C423DB" w:rsidRDefault="000B61B4"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14:anchorId="2A548828" wp14:editId="07F83356">
          <wp:extent cx="6480175" cy="580390"/>
          <wp:effectExtent l="0" t="0" r="0" b="0"/>
          <wp:docPr id="8" name="Immagine 8"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Pr="009E5F03" w:rsidRDefault="000B61B4" w:rsidP="009E5F03">
    <w:pPr>
      <w:pStyle w:val="Intestazione"/>
    </w:pPr>
    <w:r>
      <w:rPr>
        <w:noProof/>
      </w:rPr>
      <w:drawing>
        <wp:inline distT="0" distB="0" distL="0" distR="0">
          <wp:extent cx="6480175" cy="580390"/>
          <wp:effectExtent l="0" t="0" r="0" b="0"/>
          <wp:docPr id="13" name="Immagine 13"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simplePos x="0" y="0"/>
              <wp:positionH relativeFrom="column">
                <wp:posOffset>536575</wp:posOffset>
              </wp:positionH>
              <wp:positionV relativeFrom="paragraph">
                <wp:posOffset>41910</wp:posOffset>
              </wp:positionV>
              <wp:extent cx="1078230" cy="263525"/>
              <wp:effectExtent l="0" t="0" r="26670" b="2286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B61B4" w:rsidRDefault="000B61B4" w:rsidP="00C423DB">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B61B4" w:rsidRPr="00C423DB" w:rsidRDefault="000B61B4"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2.25pt;margin-top:3.3pt;width:84.9pt;height:20.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" strokecolor="white">
              <v:textbox style="mso-fit-shape-to-text:t" inset="0,0,0,0">
                <w:txbxContent>
                  <w:p w:rsidR="000B61B4" w:rsidRDefault="000B61B4" w:rsidP="00C423DB">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B61B4" w:rsidRPr="00C423DB" w:rsidRDefault="000B61B4"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1B4" w:rsidRPr="009E5F03" w:rsidRDefault="000B61B4" w:rsidP="009E5F03">
    <w:pPr>
      <w:pStyle w:val="Intestazione"/>
    </w:pPr>
    <w:r>
      <w:rPr>
        <w:noProof/>
      </w:rPr>
      <mc:AlternateContent>
        <mc:Choice Requires="wps">
          <w:drawing>
            <wp:anchor distT="0" distB="0" distL="114300" distR="114300" simplePos="0" relativeHeight="251658240" behindDoc="0" locked="0" layoutInCell="1" allowOverlap="1" wp14:anchorId="51468396" wp14:editId="1932FD3E">
              <wp:simplePos x="0" y="0"/>
              <wp:positionH relativeFrom="column">
                <wp:posOffset>536575</wp:posOffset>
              </wp:positionH>
              <wp:positionV relativeFrom="paragraph">
                <wp:posOffset>60960</wp:posOffset>
              </wp:positionV>
              <wp:extent cx="1078230" cy="263525"/>
              <wp:effectExtent l="0" t="0" r="26670" b="2286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B61B4" w:rsidRDefault="000B61B4"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PREZZI </w:t>
                          </w:r>
                        </w:p>
                        <w:p w:rsidR="000B61B4" w:rsidRPr="0017508C" w:rsidRDefault="000B61B4"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468396" id="_x0000_t202" coordsize="21600,21600" o:spt="202" path="m,l,21600r21600,l21600,xe">
              <v:stroke joinstyle="miter"/>
              <v:path gradientshapeok="t" o:connecttype="rect"/>
            </v:shapetype>
            <v:shape id="_x0000_s1032" type="#_x0000_t202" style="position:absolute;margin-left:42.25pt;margin-top:4.8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" strokecolor="white">
              <v:textbox style="mso-fit-shape-to-text:t" inset="0,0,0,0">
                <w:txbxContent>
                  <w:p w:rsidR="000B61B4" w:rsidRDefault="000B61B4"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PREZZI </w:t>
                    </w:r>
                  </w:p>
                  <w:p w:rsidR="000B61B4" w:rsidRPr="0017508C" w:rsidRDefault="000B61B4"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AL CONSUMO</w:t>
                    </w:r>
                  </w:p>
                </w:txbxContent>
              </v:textbox>
            </v:shape>
          </w:pict>
        </mc:Fallback>
      </mc:AlternateContent>
    </w:r>
    <w:r>
      <w:rPr>
        <w:noProof/>
      </w:rPr>
      <w:drawing>
        <wp:inline distT="0" distB="0" distL="0" distR="0" wp14:anchorId="5429EEA4" wp14:editId="67B4EF7A">
          <wp:extent cx="6480175" cy="588645"/>
          <wp:effectExtent l="0" t="0" r="0" b="1905"/>
          <wp:docPr id="14" name="Immagine 14"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pt;height:7.2pt" o:bullet="t">
        <v:imagedata r:id="rId1" o:title=""/>
      </v:shape>
    </w:pict>
  </w:numPicBullet>
  <w:numPicBullet w:numPicBulletId="1">
    <w:pict>
      <v:shape id="_x0000_i1031" type="#_x0000_t75" style="width:8.45pt;height:8.45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56C3596"/>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9315D3"/>
    <w:multiLevelType w:val="hybridMultilevel"/>
    <w:tmpl w:val="EF400274"/>
    <w:lvl w:ilvl="0" w:tplc="8CAC103E">
      <w:start w:val="1"/>
      <w:numFmt w:val="bullet"/>
      <w:lvlText w:val=""/>
      <w:lvlPicBulletId w:val="0"/>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EB06D5"/>
    <w:multiLevelType w:val="hybridMultilevel"/>
    <w:tmpl w:val="FB56AB9A"/>
    <w:lvl w:ilvl="0" w:tplc="B2FE55E2">
      <w:start w:val="1"/>
      <w:numFmt w:val="bullet"/>
      <w:lvlText w:val=""/>
      <w:lvlPicBulletId w:val="0"/>
      <w:lvlJc w:val="left"/>
      <w:pPr>
        <w:tabs>
          <w:tab w:val="num" w:pos="720"/>
        </w:tabs>
        <w:ind w:left="720" w:hanging="360"/>
      </w:pPr>
      <w:rPr>
        <w:rFonts w:ascii="Symbol" w:hAnsi="Symbol" w:hint="default"/>
      </w:rPr>
    </w:lvl>
    <w:lvl w:ilvl="1" w:tplc="92C4D3EE" w:tentative="1">
      <w:start w:val="1"/>
      <w:numFmt w:val="bullet"/>
      <w:lvlText w:val=""/>
      <w:lvlJc w:val="left"/>
      <w:pPr>
        <w:tabs>
          <w:tab w:val="num" w:pos="1440"/>
        </w:tabs>
        <w:ind w:left="1440" w:hanging="360"/>
      </w:pPr>
      <w:rPr>
        <w:rFonts w:ascii="Symbol" w:hAnsi="Symbol" w:hint="default"/>
      </w:rPr>
    </w:lvl>
    <w:lvl w:ilvl="2" w:tplc="D30C083A" w:tentative="1">
      <w:start w:val="1"/>
      <w:numFmt w:val="bullet"/>
      <w:lvlText w:val=""/>
      <w:lvlJc w:val="left"/>
      <w:pPr>
        <w:tabs>
          <w:tab w:val="num" w:pos="2160"/>
        </w:tabs>
        <w:ind w:left="2160" w:hanging="360"/>
      </w:pPr>
      <w:rPr>
        <w:rFonts w:ascii="Symbol" w:hAnsi="Symbol" w:hint="default"/>
      </w:rPr>
    </w:lvl>
    <w:lvl w:ilvl="3" w:tplc="02223036" w:tentative="1">
      <w:start w:val="1"/>
      <w:numFmt w:val="bullet"/>
      <w:lvlText w:val=""/>
      <w:lvlJc w:val="left"/>
      <w:pPr>
        <w:tabs>
          <w:tab w:val="num" w:pos="2880"/>
        </w:tabs>
        <w:ind w:left="2880" w:hanging="360"/>
      </w:pPr>
      <w:rPr>
        <w:rFonts w:ascii="Symbol" w:hAnsi="Symbol" w:hint="default"/>
      </w:rPr>
    </w:lvl>
    <w:lvl w:ilvl="4" w:tplc="E7FC4076" w:tentative="1">
      <w:start w:val="1"/>
      <w:numFmt w:val="bullet"/>
      <w:lvlText w:val=""/>
      <w:lvlJc w:val="left"/>
      <w:pPr>
        <w:tabs>
          <w:tab w:val="num" w:pos="3600"/>
        </w:tabs>
        <w:ind w:left="3600" w:hanging="360"/>
      </w:pPr>
      <w:rPr>
        <w:rFonts w:ascii="Symbol" w:hAnsi="Symbol" w:hint="default"/>
      </w:rPr>
    </w:lvl>
    <w:lvl w:ilvl="5" w:tplc="819EFF5A" w:tentative="1">
      <w:start w:val="1"/>
      <w:numFmt w:val="bullet"/>
      <w:lvlText w:val=""/>
      <w:lvlJc w:val="left"/>
      <w:pPr>
        <w:tabs>
          <w:tab w:val="num" w:pos="4320"/>
        </w:tabs>
        <w:ind w:left="4320" w:hanging="360"/>
      </w:pPr>
      <w:rPr>
        <w:rFonts w:ascii="Symbol" w:hAnsi="Symbol" w:hint="default"/>
      </w:rPr>
    </w:lvl>
    <w:lvl w:ilvl="6" w:tplc="ABC074C0" w:tentative="1">
      <w:start w:val="1"/>
      <w:numFmt w:val="bullet"/>
      <w:lvlText w:val=""/>
      <w:lvlJc w:val="left"/>
      <w:pPr>
        <w:tabs>
          <w:tab w:val="num" w:pos="5040"/>
        </w:tabs>
        <w:ind w:left="5040" w:hanging="360"/>
      </w:pPr>
      <w:rPr>
        <w:rFonts w:ascii="Symbol" w:hAnsi="Symbol" w:hint="default"/>
      </w:rPr>
    </w:lvl>
    <w:lvl w:ilvl="7" w:tplc="8E583D36" w:tentative="1">
      <w:start w:val="1"/>
      <w:numFmt w:val="bullet"/>
      <w:lvlText w:val=""/>
      <w:lvlJc w:val="left"/>
      <w:pPr>
        <w:tabs>
          <w:tab w:val="num" w:pos="5760"/>
        </w:tabs>
        <w:ind w:left="5760" w:hanging="360"/>
      </w:pPr>
      <w:rPr>
        <w:rFonts w:ascii="Symbol" w:hAnsi="Symbol" w:hint="default"/>
      </w:rPr>
    </w:lvl>
    <w:lvl w:ilvl="8" w:tplc="B1D602D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8BF3BFF"/>
    <w:multiLevelType w:val="hybridMultilevel"/>
    <w:tmpl w:val="FDD2E72E"/>
    <w:lvl w:ilvl="0" w:tplc="5F0E29A6">
      <w:start w:val="1"/>
      <w:numFmt w:val="bullet"/>
      <w:lvlText w:val=""/>
      <w:lvlPicBulletId w:val="0"/>
      <w:lvlJc w:val="left"/>
      <w:pPr>
        <w:ind w:left="2534" w:hanging="360"/>
      </w:pPr>
      <w:rPr>
        <w:rFonts w:ascii="Symbol" w:hAnsi="Symbol" w:hint="default"/>
        <w:color w:val="E426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7" w15:restartNumberingAfterBreak="0">
    <w:nsid w:val="09B04BFB"/>
    <w:multiLevelType w:val="hybridMultilevel"/>
    <w:tmpl w:val="C52A7568"/>
    <w:lvl w:ilvl="0" w:tplc="82C8BDA8">
      <w:start w:val="1"/>
      <w:numFmt w:val="bullet"/>
      <w:lvlText w:val=""/>
      <w:lvlJc w:val="left"/>
      <w:pPr>
        <w:ind w:left="36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A272349"/>
    <w:multiLevelType w:val="hybridMultilevel"/>
    <w:tmpl w:val="B596EB7A"/>
    <w:lvl w:ilvl="0" w:tplc="04100019">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 w15:restartNumberingAfterBreak="0">
    <w:nsid w:val="0AB86367"/>
    <w:multiLevelType w:val="hybridMultilevel"/>
    <w:tmpl w:val="4FFCC8F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0"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172E02"/>
    <w:multiLevelType w:val="hybridMultilevel"/>
    <w:tmpl w:val="98E2AEF0"/>
    <w:lvl w:ilvl="0" w:tplc="A8762A92">
      <w:start w:val="1"/>
      <w:numFmt w:val="bullet"/>
      <w:lvlText w:val=""/>
      <w:lvlPicBulletId w:val="1"/>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3" w15:restartNumberingAfterBreak="0">
    <w:nsid w:val="15B33207"/>
    <w:multiLevelType w:val="hybridMultilevel"/>
    <w:tmpl w:val="0D7A8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EC23CD"/>
    <w:multiLevelType w:val="hybridMultilevel"/>
    <w:tmpl w:val="515230EE"/>
    <w:lvl w:ilvl="0" w:tplc="A8762A92">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6" w15:restartNumberingAfterBreak="0">
    <w:nsid w:val="27400167"/>
    <w:multiLevelType w:val="hybridMultilevel"/>
    <w:tmpl w:val="71D0AC6A"/>
    <w:lvl w:ilvl="0" w:tplc="48A08B96">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29FC5E71"/>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A8D1546"/>
    <w:multiLevelType w:val="hybridMultilevel"/>
    <w:tmpl w:val="8D50C4BA"/>
    <w:lvl w:ilvl="0" w:tplc="BEB84E40">
      <w:start w:val="1"/>
      <w:numFmt w:val="bullet"/>
      <w:lvlText w:val=""/>
      <w:lvlPicBulletId w:val="0"/>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1361525"/>
    <w:multiLevelType w:val="hybridMultilevel"/>
    <w:tmpl w:val="C6F64AD6"/>
    <w:lvl w:ilvl="0" w:tplc="723CD9BA">
      <w:start w:val="1"/>
      <w:numFmt w:val="bullet"/>
      <w:lvlText w:val=""/>
      <w:lvlPicBulletId w:val="0"/>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1" w15:restartNumberingAfterBreak="0">
    <w:nsid w:val="313F7E03"/>
    <w:multiLevelType w:val="hybridMultilevel"/>
    <w:tmpl w:val="EF88D464"/>
    <w:lvl w:ilvl="0" w:tplc="DC6831E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34CC2B15"/>
    <w:multiLevelType w:val="hybridMultilevel"/>
    <w:tmpl w:val="968862A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4" w15:restartNumberingAfterBreak="0">
    <w:nsid w:val="3B126581"/>
    <w:multiLevelType w:val="hybridMultilevel"/>
    <w:tmpl w:val="3EDCEA5C"/>
    <w:lvl w:ilvl="0" w:tplc="723CD9BA">
      <w:start w:val="1"/>
      <w:numFmt w:val="bullet"/>
      <w:lvlText w:val=""/>
      <w:lvlPicBulletId w:val="0"/>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F8F0948"/>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0037B4E"/>
    <w:multiLevelType w:val="hybridMultilevel"/>
    <w:tmpl w:val="2EE8FC76"/>
    <w:lvl w:ilvl="0" w:tplc="53A204B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02B69B0"/>
    <w:multiLevelType w:val="hybridMultilevel"/>
    <w:tmpl w:val="62583230"/>
    <w:lvl w:ilvl="0" w:tplc="980A3E20">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8" w15:restartNumberingAfterBreak="0">
    <w:nsid w:val="43DB5AF6"/>
    <w:multiLevelType w:val="hybridMultilevel"/>
    <w:tmpl w:val="1F1CF902"/>
    <w:lvl w:ilvl="0" w:tplc="812022A2">
      <w:start w:val="1"/>
      <w:numFmt w:val="lowerLetter"/>
      <w:lvlText w:val="(%1)"/>
      <w:lvlJc w:val="left"/>
      <w:pPr>
        <w:ind w:left="990" w:hanging="63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B7641BD"/>
    <w:multiLevelType w:val="hybridMultilevel"/>
    <w:tmpl w:val="6ADE222C"/>
    <w:lvl w:ilvl="0" w:tplc="723CD9BA">
      <w:start w:val="1"/>
      <w:numFmt w:val="bullet"/>
      <w:lvlText w:val=""/>
      <w:lvlPicBulletId w:val="0"/>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0"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1" w15:restartNumberingAfterBreak="0">
    <w:nsid w:val="53AC3738"/>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D208CF"/>
    <w:multiLevelType w:val="hybridMultilevel"/>
    <w:tmpl w:val="3364CF3C"/>
    <w:lvl w:ilvl="0" w:tplc="DFE4B1A6">
      <w:start w:val="1"/>
      <w:numFmt w:val="bullet"/>
      <w:lvlText w:val=""/>
      <w:lvlPicBulletId w:val="0"/>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C660AF1"/>
    <w:multiLevelType w:val="hybridMultilevel"/>
    <w:tmpl w:val="F8FEE642"/>
    <w:lvl w:ilvl="0" w:tplc="04100017">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4" w15:restartNumberingAfterBreak="0">
    <w:nsid w:val="5F61623A"/>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6A10E50"/>
    <w:multiLevelType w:val="hybridMultilevel"/>
    <w:tmpl w:val="F8DE1BF8"/>
    <w:lvl w:ilvl="0" w:tplc="37C26DD4">
      <w:start w:val="1"/>
      <w:numFmt w:val="low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6" w15:restartNumberingAfterBreak="0">
    <w:nsid w:val="66D53A64"/>
    <w:multiLevelType w:val="hybridMultilevel"/>
    <w:tmpl w:val="E73EDCB6"/>
    <w:lvl w:ilvl="0" w:tplc="723CD9BA">
      <w:start w:val="1"/>
      <w:numFmt w:val="bullet"/>
      <w:lvlText w:val=""/>
      <w:lvlPicBulletId w:val="0"/>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BB2EB1"/>
    <w:multiLevelType w:val="hybridMultilevel"/>
    <w:tmpl w:val="E3FA6C7E"/>
    <w:lvl w:ilvl="0" w:tplc="82C8BDA8">
      <w:start w:val="1"/>
      <w:numFmt w:val="bullet"/>
      <w:lvlText w:val=""/>
      <w:lvlJc w:val="left"/>
      <w:pPr>
        <w:ind w:left="72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2F1680C"/>
    <w:multiLevelType w:val="hybridMultilevel"/>
    <w:tmpl w:val="B93A53EA"/>
    <w:lvl w:ilvl="0" w:tplc="90C8B6DA">
      <w:start w:val="1"/>
      <w:numFmt w:val="bullet"/>
      <w:lvlText w:val=""/>
      <w:lvlJc w:val="left"/>
      <w:pPr>
        <w:ind w:left="2534" w:hanging="360"/>
      </w:pPr>
      <w:rPr>
        <w:rFonts w:ascii="Wingdings" w:hAnsi="Wingdings" w:hint="default"/>
        <w:color w:val="E42618"/>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9" w15:restartNumberingAfterBreak="0">
    <w:nsid w:val="7F331D91"/>
    <w:multiLevelType w:val="hybridMultilevel"/>
    <w:tmpl w:val="E0E0959C"/>
    <w:lvl w:ilvl="0" w:tplc="28BE514C">
      <w:start w:val="1"/>
      <w:numFmt w:val="bullet"/>
      <w:lvlText w:val=""/>
      <w:lvlPicBulletId w:val="1"/>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abstractNumId w:val="23"/>
  </w:num>
  <w:num w:numId="2">
    <w:abstractNumId w:val="2"/>
  </w:num>
  <w:num w:numId="3">
    <w:abstractNumId w:val="36"/>
  </w:num>
  <w:num w:numId="4">
    <w:abstractNumId w:val="38"/>
  </w:num>
  <w:num w:numId="5">
    <w:abstractNumId w:val="7"/>
  </w:num>
  <w:num w:numId="6">
    <w:abstractNumId w:val="13"/>
  </w:num>
  <w:num w:numId="7">
    <w:abstractNumId w:val="5"/>
  </w:num>
  <w:num w:numId="8">
    <w:abstractNumId w:val="28"/>
  </w:num>
  <w:num w:numId="9">
    <w:abstractNumId w:val="7"/>
  </w:num>
  <w:num w:numId="10">
    <w:abstractNumId w:val="15"/>
  </w:num>
  <w:num w:numId="11">
    <w:abstractNumId w:val="14"/>
  </w:num>
  <w:num w:numId="12">
    <w:abstractNumId w:val="37"/>
  </w:num>
  <w:num w:numId="13">
    <w:abstractNumId w:val="26"/>
  </w:num>
  <w:num w:numId="14">
    <w:abstractNumId w:val="31"/>
  </w:num>
  <w:num w:numId="15">
    <w:abstractNumId w:val="34"/>
  </w:num>
  <w:num w:numId="16">
    <w:abstractNumId w:val="35"/>
  </w:num>
  <w:num w:numId="17">
    <w:abstractNumId w:val="8"/>
  </w:num>
  <w:num w:numId="18">
    <w:abstractNumId w:val="27"/>
  </w:num>
  <w:num w:numId="19">
    <w:abstractNumId w:val="11"/>
  </w:num>
  <w:num w:numId="20">
    <w:abstractNumId w:val="24"/>
  </w:num>
  <w:num w:numId="21">
    <w:abstractNumId w:val="29"/>
  </w:num>
  <w:num w:numId="22">
    <w:abstractNumId w:val="4"/>
  </w:num>
  <w:num w:numId="23">
    <w:abstractNumId w:val="3"/>
  </w:num>
  <w:num w:numId="24">
    <w:abstractNumId w:val="0"/>
  </w:num>
  <w:num w:numId="25">
    <w:abstractNumId w:val="17"/>
  </w:num>
  <w:num w:numId="26">
    <w:abstractNumId w:val="25"/>
  </w:num>
  <w:num w:numId="27">
    <w:abstractNumId w:val="9"/>
  </w:num>
  <w:num w:numId="28">
    <w:abstractNumId w:val="6"/>
  </w:num>
  <w:num w:numId="29">
    <w:abstractNumId w:val="10"/>
  </w:num>
  <w:num w:numId="30">
    <w:abstractNumId w:val="22"/>
  </w:num>
  <w:num w:numId="31">
    <w:abstractNumId w:val="1"/>
  </w:num>
  <w:num w:numId="32">
    <w:abstractNumId w:val="39"/>
  </w:num>
  <w:num w:numId="33">
    <w:abstractNumId w:val="18"/>
  </w:num>
  <w:num w:numId="34">
    <w:abstractNumId w:val="32"/>
  </w:num>
  <w:num w:numId="35">
    <w:abstractNumId w:val="12"/>
  </w:num>
  <w:num w:numId="36">
    <w:abstractNumId w:val="30"/>
  </w:num>
  <w:num w:numId="37">
    <w:abstractNumId w:val="20"/>
  </w:num>
  <w:num w:numId="38">
    <w:abstractNumId w:val="19"/>
  </w:num>
  <w:num w:numId="39">
    <w:abstractNumId w:val="16"/>
  </w:num>
  <w:num w:numId="40">
    <w:abstractNumId w:val="21"/>
  </w:num>
  <w:num w:numId="41">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bordersDoNotSurroundHeader/>
  <w:bordersDoNotSurroundFooter/>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vertical-relative:line" fill="f" fillcolor="white" stroke="f">
      <v:fill color="white" on="f"/>
      <v:stroke on="f"/>
      <o:colormru v:ext="edit" colors="#bd1f2b,#cf1e24,#d90b13,#e31c1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148"/>
    <w:rsid w:val="00000909"/>
    <w:rsid w:val="000013A9"/>
    <w:rsid w:val="000014C4"/>
    <w:rsid w:val="00001875"/>
    <w:rsid w:val="00001C85"/>
    <w:rsid w:val="00001CEC"/>
    <w:rsid w:val="00001E4D"/>
    <w:rsid w:val="000020B2"/>
    <w:rsid w:val="000020B7"/>
    <w:rsid w:val="0000212A"/>
    <w:rsid w:val="0000242C"/>
    <w:rsid w:val="000026DF"/>
    <w:rsid w:val="00002F2D"/>
    <w:rsid w:val="000034C8"/>
    <w:rsid w:val="00003834"/>
    <w:rsid w:val="00003AAA"/>
    <w:rsid w:val="00003AB5"/>
    <w:rsid w:val="00003AD9"/>
    <w:rsid w:val="00003D59"/>
    <w:rsid w:val="00003F46"/>
    <w:rsid w:val="0000402D"/>
    <w:rsid w:val="000041BD"/>
    <w:rsid w:val="000043D5"/>
    <w:rsid w:val="0000451B"/>
    <w:rsid w:val="00004794"/>
    <w:rsid w:val="000049DD"/>
    <w:rsid w:val="00004DDD"/>
    <w:rsid w:val="00004DF3"/>
    <w:rsid w:val="00004E38"/>
    <w:rsid w:val="00005164"/>
    <w:rsid w:val="00005448"/>
    <w:rsid w:val="00005A6B"/>
    <w:rsid w:val="0000683C"/>
    <w:rsid w:val="000068BB"/>
    <w:rsid w:val="00006CF6"/>
    <w:rsid w:val="00006DB7"/>
    <w:rsid w:val="00006FEF"/>
    <w:rsid w:val="00007042"/>
    <w:rsid w:val="0000713B"/>
    <w:rsid w:val="00007235"/>
    <w:rsid w:val="0000740E"/>
    <w:rsid w:val="00007E47"/>
    <w:rsid w:val="00010041"/>
    <w:rsid w:val="000101B6"/>
    <w:rsid w:val="000101FB"/>
    <w:rsid w:val="000102D5"/>
    <w:rsid w:val="00010573"/>
    <w:rsid w:val="0001089C"/>
    <w:rsid w:val="000108ED"/>
    <w:rsid w:val="00010957"/>
    <w:rsid w:val="000109E3"/>
    <w:rsid w:val="00010A46"/>
    <w:rsid w:val="00010B15"/>
    <w:rsid w:val="00010B3A"/>
    <w:rsid w:val="00010B3C"/>
    <w:rsid w:val="000113F8"/>
    <w:rsid w:val="00011610"/>
    <w:rsid w:val="000116D7"/>
    <w:rsid w:val="000119A0"/>
    <w:rsid w:val="00011A51"/>
    <w:rsid w:val="00011C85"/>
    <w:rsid w:val="00011F76"/>
    <w:rsid w:val="00012101"/>
    <w:rsid w:val="00012364"/>
    <w:rsid w:val="000126C2"/>
    <w:rsid w:val="0001283C"/>
    <w:rsid w:val="00012A11"/>
    <w:rsid w:val="000134A3"/>
    <w:rsid w:val="000135AB"/>
    <w:rsid w:val="00013751"/>
    <w:rsid w:val="00013995"/>
    <w:rsid w:val="00013A1E"/>
    <w:rsid w:val="00013ED5"/>
    <w:rsid w:val="00013F41"/>
    <w:rsid w:val="0001463A"/>
    <w:rsid w:val="000146ED"/>
    <w:rsid w:val="00014927"/>
    <w:rsid w:val="00014AF9"/>
    <w:rsid w:val="00014EC8"/>
    <w:rsid w:val="00014F7E"/>
    <w:rsid w:val="00015C2B"/>
    <w:rsid w:val="00015D22"/>
    <w:rsid w:val="00015EAD"/>
    <w:rsid w:val="00015F2F"/>
    <w:rsid w:val="000161B7"/>
    <w:rsid w:val="000163BB"/>
    <w:rsid w:val="00016831"/>
    <w:rsid w:val="00016B13"/>
    <w:rsid w:val="00016FCA"/>
    <w:rsid w:val="000172C7"/>
    <w:rsid w:val="00017353"/>
    <w:rsid w:val="000205CA"/>
    <w:rsid w:val="0002065A"/>
    <w:rsid w:val="000211AD"/>
    <w:rsid w:val="000213E2"/>
    <w:rsid w:val="00021652"/>
    <w:rsid w:val="0002181D"/>
    <w:rsid w:val="00021A79"/>
    <w:rsid w:val="00021B34"/>
    <w:rsid w:val="00022197"/>
    <w:rsid w:val="00022763"/>
    <w:rsid w:val="000228CB"/>
    <w:rsid w:val="000229D6"/>
    <w:rsid w:val="00022CBD"/>
    <w:rsid w:val="00023424"/>
    <w:rsid w:val="00023452"/>
    <w:rsid w:val="000241B7"/>
    <w:rsid w:val="00024BDA"/>
    <w:rsid w:val="00024DC2"/>
    <w:rsid w:val="000250BE"/>
    <w:rsid w:val="000250D2"/>
    <w:rsid w:val="00025294"/>
    <w:rsid w:val="000254AC"/>
    <w:rsid w:val="0002574E"/>
    <w:rsid w:val="000257C6"/>
    <w:rsid w:val="00025822"/>
    <w:rsid w:val="00025A3E"/>
    <w:rsid w:val="00025A73"/>
    <w:rsid w:val="00025AA7"/>
    <w:rsid w:val="00025EA7"/>
    <w:rsid w:val="0002606C"/>
    <w:rsid w:val="000266A7"/>
    <w:rsid w:val="00027C45"/>
    <w:rsid w:val="00027CFD"/>
    <w:rsid w:val="00027FBC"/>
    <w:rsid w:val="00030309"/>
    <w:rsid w:val="00030BEE"/>
    <w:rsid w:val="0003109B"/>
    <w:rsid w:val="0003114F"/>
    <w:rsid w:val="00031258"/>
    <w:rsid w:val="00031864"/>
    <w:rsid w:val="00031934"/>
    <w:rsid w:val="00031C2E"/>
    <w:rsid w:val="000320B7"/>
    <w:rsid w:val="00032A4E"/>
    <w:rsid w:val="00033432"/>
    <w:rsid w:val="00033865"/>
    <w:rsid w:val="00033E85"/>
    <w:rsid w:val="00033F32"/>
    <w:rsid w:val="000345F9"/>
    <w:rsid w:val="000349DE"/>
    <w:rsid w:val="000350E3"/>
    <w:rsid w:val="00035164"/>
    <w:rsid w:val="00035817"/>
    <w:rsid w:val="00035837"/>
    <w:rsid w:val="0003629C"/>
    <w:rsid w:val="000362B0"/>
    <w:rsid w:val="000363D3"/>
    <w:rsid w:val="00036668"/>
    <w:rsid w:val="00036E38"/>
    <w:rsid w:val="0003704B"/>
    <w:rsid w:val="0003731A"/>
    <w:rsid w:val="000377E5"/>
    <w:rsid w:val="0004002D"/>
    <w:rsid w:val="00040033"/>
    <w:rsid w:val="000402DE"/>
    <w:rsid w:val="00041081"/>
    <w:rsid w:val="000417CF"/>
    <w:rsid w:val="00041DD2"/>
    <w:rsid w:val="00041DDD"/>
    <w:rsid w:val="00041DEF"/>
    <w:rsid w:val="00041F8D"/>
    <w:rsid w:val="00041FC1"/>
    <w:rsid w:val="0004257E"/>
    <w:rsid w:val="00042B16"/>
    <w:rsid w:val="00042D21"/>
    <w:rsid w:val="00042F44"/>
    <w:rsid w:val="00042F77"/>
    <w:rsid w:val="000433C2"/>
    <w:rsid w:val="000433FC"/>
    <w:rsid w:val="0004346C"/>
    <w:rsid w:val="00043C67"/>
    <w:rsid w:val="0004442C"/>
    <w:rsid w:val="000446D7"/>
    <w:rsid w:val="00044806"/>
    <w:rsid w:val="00044BA2"/>
    <w:rsid w:val="00044DCD"/>
    <w:rsid w:val="000455A6"/>
    <w:rsid w:val="00045623"/>
    <w:rsid w:val="000457A7"/>
    <w:rsid w:val="00045BC9"/>
    <w:rsid w:val="00045CF0"/>
    <w:rsid w:val="000462ED"/>
    <w:rsid w:val="00046668"/>
    <w:rsid w:val="00046881"/>
    <w:rsid w:val="00046950"/>
    <w:rsid w:val="00046AF5"/>
    <w:rsid w:val="000472CE"/>
    <w:rsid w:val="000474A3"/>
    <w:rsid w:val="00047509"/>
    <w:rsid w:val="000478E6"/>
    <w:rsid w:val="000479D4"/>
    <w:rsid w:val="00047CCE"/>
    <w:rsid w:val="00047E42"/>
    <w:rsid w:val="00050117"/>
    <w:rsid w:val="00050204"/>
    <w:rsid w:val="00050441"/>
    <w:rsid w:val="00050489"/>
    <w:rsid w:val="00050496"/>
    <w:rsid w:val="0005073C"/>
    <w:rsid w:val="000508D1"/>
    <w:rsid w:val="000510DA"/>
    <w:rsid w:val="0005112D"/>
    <w:rsid w:val="000512D1"/>
    <w:rsid w:val="0005182E"/>
    <w:rsid w:val="00051D92"/>
    <w:rsid w:val="00051E6A"/>
    <w:rsid w:val="00051FC2"/>
    <w:rsid w:val="0005220D"/>
    <w:rsid w:val="0005314D"/>
    <w:rsid w:val="00053471"/>
    <w:rsid w:val="00053634"/>
    <w:rsid w:val="000537BB"/>
    <w:rsid w:val="000538A1"/>
    <w:rsid w:val="00053F62"/>
    <w:rsid w:val="000541C7"/>
    <w:rsid w:val="00054645"/>
    <w:rsid w:val="000548EB"/>
    <w:rsid w:val="00054BF7"/>
    <w:rsid w:val="0005548D"/>
    <w:rsid w:val="000557ED"/>
    <w:rsid w:val="00055BA0"/>
    <w:rsid w:val="00055E26"/>
    <w:rsid w:val="00055F7D"/>
    <w:rsid w:val="000565A3"/>
    <w:rsid w:val="00056612"/>
    <w:rsid w:val="00056635"/>
    <w:rsid w:val="000567BC"/>
    <w:rsid w:val="000569E0"/>
    <w:rsid w:val="00057588"/>
    <w:rsid w:val="00057640"/>
    <w:rsid w:val="000578A2"/>
    <w:rsid w:val="00060194"/>
    <w:rsid w:val="0006065E"/>
    <w:rsid w:val="0006075A"/>
    <w:rsid w:val="00060769"/>
    <w:rsid w:val="000607A6"/>
    <w:rsid w:val="0006094A"/>
    <w:rsid w:val="00060ABD"/>
    <w:rsid w:val="0006148E"/>
    <w:rsid w:val="000617FF"/>
    <w:rsid w:val="00061BEA"/>
    <w:rsid w:val="00061DC7"/>
    <w:rsid w:val="00061E48"/>
    <w:rsid w:val="00061E67"/>
    <w:rsid w:val="000620FB"/>
    <w:rsid w:val="000621DF"/>
    <w:rsid w:val="00062437"/>
    <w:rsid w:val="00062595"/>
    <w:rsid w:val="0006292D"/>
    <w:rsid w:val="000629AB"/>
    <w:rsid w:val="00062C7C"/>
    <w:rsid w:val="00062E45"/>
    <w:rsid w:val="00062FA3"/>
    <w:rsid w:val="000635F7"/>
    <w:rsid w:val="000639A9"/>
    <w:rsid w:val="00063D28"/>
    <w:rsid w:val="00063FF7"/>
    <w:rsid w:val="000643F7"/>
    <w:rsid w:val="00064404"/>
    <w:rsid w:val="00064521"/>
    <w:rsid w:val="000648FE"/>
    <w:rsid w:val="00064C3D"/>
    <w:rsid w:val="00064C71"/>
    <w:rsid w:val="00064E2A"/>
    <w:rsid w:val="00064E77"/>
    <w:rsid w:val="0006537C"/>
    <w:rsid w:val="00065467"/>
    <w:rsid w:val="000657E2"/>
    <w:rsid w:val="000660E2"/>
    <w:rsid w:val="000660EF"/>
    <w:rsid w:val="000662FB"/>
    <w:rsid w:val="0006665B"/>
    <w:rsid w:val="000669D4"/>
    <w:rsid w:val="000673EB"/>
    <w:rsid w:val="00067AB5"/>
    <w:rsid w:val="00067F81"/>
    <w:rsid w:val="00070718"/>
    <w:rsid w:val="0007076D"/>
    <w:rsid w:val="000708D3"/>
    <w:rsid w:val="00071056"/>
    <w:rsid w:val="00071CFD"/>
    <w:rsid w:val="00071EFA"/>
    <w:rsid w:val="000720F5"/>
    <w:rsid w:val="000720F8"/>
    <w:rsid w:val="00072142"/>
    <w:rsid w:val="00072711"/>
    <w:rsid w:val="00072728"/>
    <w:rsid w:val="00072B3F"/>
    <w:rsid w:val="00072BE2"/>
    <w:rsid w:val="000732DF"/>
    <w:rsid w:val="0007358E"/>
    <w:rsid w:val="00073686"/>
    <w:rsid w:val="00073872"/>
    <w:rsid w:val="0007389A"/>
    <w:rsid w:val="00073BDC"/>
    <w:rsid w:val="00073F42"/>
    <w:rsid w:val="00074665"/>
    <w:rsid w:val="000746D5"/>
    <w:rsid w:val="00074709"/>
    <w:rsid w:val="000747B8"/>
    <w:rsid w:val="000749B9"/>
    <w:rsid w:val="00074DC4"/>
    <w:rsid w:val="000755F9"/>
    <w:rsid w:val="00075941"/>
    <w:rsid w:val="00075CB6"/>
    <w:rsid w:val="00075CC6"/>
    <w:rsid w:val="0007614F"/>
    <w:rsid w:val="0007650D"/>
    <w:rsid w:val="00076AAE"/>
    <w:rsid w:val="00076C27"/>
    <w:rsid w:val="0007722A"/>
    <w:rsid w:val="00077534"/>
    <w:rsid w:val="0007754A"/>
    <w:rsid w:val="00077592"/>
    <w:rsid w:val="00077E7D"/>
    <w:rsid w:val="00080263"/>
    <w:rsid w:val="000803AD"/>
    <w:rsid w:val="00080F2D"/>
    <w:rsid w:val="00080F62"/>
    <w:rsid w:val="000811D8"/>
    <w:rsid w:val="000817F5"/>
    <w:rsid w:val="000818DD"/>
    <w:rsid w:val="000818F6"/>
    <w:rsid w:val="000819D4"/>
    <w:rsid w:val="00081D1E"/>
    <w:rsid w:val="000828E6"/>
    <w:rsid w:val="000829B6"/>
    <w:rsid w:val="00082A62"/>
    <w:rsid w:val="00082B49"/>
    <w:rsid w:val="00082E1E"/>
    <w:rsid w:val="000830DA"/>
    <w:rsid w:val="00083173"/>
    <w:rsid w:val="00083429"/>
    <w:rsid w:val="00083FE3"/>
    <w:rsid w:val="000840F4"/>
    <w:rsid w:val="000842FF"/>
    <w:rsid w:val="00084387"/>
    <w:rsid w:val="00084533"/>
    <w:rsid w:val="00084761"/>
    <w:rsid w:val="00084AF6"/>
    <w:rsid w:val="00084E02"/>
    <w:rsid w:val="00084EE6"/>
    <w:rsid w:val="0008506C"/>
    <w:rsid w:val="000850B6"/>
    <w:rsid w:val="0008527C"/>
    <w:rsid w:val="0008545A"/>
    <w:rsid w:val="00085AC2"/>
    <w:rsid w:val="00085AFD"/>
    <w:rsid w:val="00085BC7"/>
    <w:rsid w:val="00085C22"/>
    <w:rsid w:val="00085C51"/>
    <w:rsid w:val="00085E26"/>
    <w:rsid w:val="0008600B"/>
    <w:rsid w:val="0008608E"/>
    <w:rsid w:val="00086154"/>
    <w:rsid w:val="000863FA"/>
    <w:rsid w:val="0008652C"/>
    <w:rsid w:val="000867FF"/>
    <w:rsid w:val="000868F5"/>
    <w:rsid w:val="00086C83"/>
    <w:rsid w:val="00087018"/>
    <w:rsid w:val="000873CD"/>
    <w:rsid w:val="000876FA"/>
    <w:rsid w:val="00087774"/>
    <w:rsid w:val="00087A77"/>
    <w:rsid w:val="00087BB3"/>
    <w:rsid w:val="000900EB"/>
    <w:rsid w:val="0009016A"/>
    <w:rsid w:val="000909B9"/>
    <w:rsid w:val="00090A07"/>
    <w:rsid w:val="00090B9F"/>
    <w:rsid w:val="00090CF8"/>
    <w:rsid w:val="00090D41"/>
    <w:rsid w:val="00090DE6"/>
    <w:rsid w:val="00090E28"/>
    <w:rsid w:val="0009127D"/>
    <w:rsid w:val="000924D4"/>
    <w:rsid w:val="00092503"/>
    <w:rsid w:val="00092C29"/>
    <w:rsid w:val="00092CB9"/>
    <w:rsid w:val="0009396C"/>
    <w:rsid w:val="00093F49"/>
    <w:rsid w:val="00094285"/>
    <w:rsid w:val="00094B3C"/>
    <w:rsid w:val="00094CB4"/>
    <w:rsid w:val="00095213"/>
    <w:rsid w:val="00095ABF"/>
    <w:rsid w:val="00095FCF"/>
    <w:rsid w:val="00096313"/>
    <w:rsid w:val="00096371"/>
    <w:rsid w:val="0009657B"/>
    <w:rsid w:val="00096954"/>
    <w:rsid w:val="00096C13"/>
    <w:rsid w:val="00096D1C"/>
    <w:rsid w:val="00096DB8"/>
    <w:rsid w:val="000972EF"/>
    <w:rsid w:val="000977C6"/>
    <w:rsid w:val="00097C8A"/>
    <w:rsid w:val="000A01A8"/>
    <w:rsid w:val="000A0378"/>
    <w:rsid w:val="000A0936"/>
    <w:rsid w:val="000A09E7"/>
    <w:rsid w:val="000A0AC7"/>
    <w:rsid w:val="000A0D76"/>
    <w:rsid w:val="000A0E6E"/>
    <w:rsid w:val="000A0FD5"/>
    <w:rsid w:val="000A1070"/>
    <w:rsid w:val="000A123E"/>
    <w:rsid w:val="000A169F"/>
    <w:rsid w:val="000A2640"/>
    <w:rsid w:val="000A27BB"/>
    <w:rsid w:val="000A32BD"/>
    <w:rsid w:val="000A3E31"/>
    <w:rsid w:val="000A3EBA"/>
    <w:rsid w:val="000A4087"/>
    <w:rsid w:val="000A40FD"/>
    <w:rsid w:val="000A4E9A"/>
    <w:rsid w:val="000A52DF"/>
    <w:rsid w:val="000A5314"/>
    <w:rsid w:val="000A5D8F"/>
    <w:rsid w:val="000A5D99"/>
    <w:rsid w:val="000A601F"/>
    <w:rsid w:val="000A63AD"/>
    <w:rsid w:val="000A64FF"/>
    <w:rsid w:val="000A6591"/>
    <w:rsid w:val="000A666A"/>
    <w:rsid w:val="000A677A"/>
    <w:rsid w:val="000A69D2"/>
    <w:rsid w:val="000A75CF"/>
    <w:rsid w:val="000A77D6"/>
    <w:rsid w:val="000A78EC"/>
    <w:rsid w:val="000A7A4E"/>
    <w:rsid w:val="000A7B77"/>
    <w:rsid w:val="000A7CF9"/>
    <w:rsid w:val="000B01FA"/>
    <w:rsid w:val="000B022B"/>
    <w:rsid w:val="000B02ED"/>
    <w:rsid w:val="000B04F3"/>
    <w:rsid w:val="000B0DCE"/>
    <w:rsid w:val="000B0E69"/>
    <w:rsid w:val="000B1228"/>
    <w:rsid w:val="000B1BA4"/>
    <w:rsid w:val="000B1F20"/>
    <w:rsid w:val="000B1F2B"/>
    <w:rsid w:val="000B27E0"/>
    <w:rsid w:val="000B2A82"/>
    <w:rsid w:val="000B2AAC"/>
    <w:rsid w:val="000B300B"/>
    <w:rsid w:val="000B326F"/>
    <w:rsid w:val="000B32C5"/>
    <w:rsid w:val="000B32E4"/>
    <w:rsid w:val="000B3304"/>
    <w:rsid w:val="000B38EA"/>
    <w:rsid w:val="000B3F89"/>
    <w:rsid w:val="000B51E7"/>
    <w:rsid w:val="000B5484"/>
    <w:rsid w:val="000B56C0"/>
    <w:rsid w:val="000B5984"/>
    <w:rsid w:val="000B5A90"/>
    <w:rsid w:val="000B5B83"/>
    <w:rsid w:val="000B5DC1"/>
    <w:rsid w:val="000B61B4"/>
    <w:rsid w:val="000B6432"/>
    <w:rsid w:val="000B6575"/>
    <w:rsid w:val="000B6A87"/>
    <w:rsid w:val="000B6C60"/>
    <w:rsid w:val="000B6C6C"/>
    <w:rsid w:val="000B6D0F"/>
    <w:rsid w:val="000B6E6D"/>
    <w:rsid w:val="000B72E0"/>
    <w:rsid w:val="000B7912"/>
    <w:rsid w:val="000B7989"/>
    <w:rsid w:val="000C0226"/>
    <w:rsid w:val="000C076E"/>
    <w:rsid w:val="000C08C6"/>
    <w:rsid w:val="000C099C"/>
    <w:rsid w:val="000C0A6A"/>
    <w:rsid w:val="000C0E86"/>
    <w:rsid w:val="000C0F55"/>
    <w:rsid w:val="000C0FAD"/>
    <w:rsid w:val="000C1043"/>
    <w:rsid w:val="000C1097"/>
    <w:rsid w:val="000C1C3E"/>
    <w:rsid w:val="000C2268"/>
    <w:rsid w:val="000C233C"/>
    <w:rsid w:val="000C25D8"/>
    <w:rsid w:val="000C267B"/>
    <w:rsid w:val="000C2980"/>
    <w:rsid w:val="000C2ADF"/>
    <w:rsid w:val="000C2FB7"/>
    <w:rsid w:val="000C2FE9"/>
    <w:rsid w:val="000C3199"/>
    <w:rsid w:val="000C3279"/>
    <w:rsid w:val="000C35FB"/>
    <w:rsid w:val="000C3630"/>
    <w:rsid w:val="000C3830"/>
    <w:rsid w:val="000C39B4"/>
    <w:rsid w:val="000C3D07"/>
    <w:rsid w:val="000C3DA5"/>
    <w:rsid w:val="000C4457"/>
    <w:rsid w:val="000C4689"/>
    <w:rsid w:val="000C4874"/>
    <w:rsid w:val="000C4D5C"/>
    <w:rsid w:val="000C5202"/>
    <w:rsid w:val="000C53F5"/>
    <w:rsid w:val="000C5564"/>
    <w:rsid w:val="000C5602"/>
    <w:rsid w:val="000C59C4"/>
    <w:rsid w:val="000C5B36"/>
    <w:rsid w:val="000C5F23"/>
    <w:rsid w:val="000C627A"/>
    <w:rsid w:val="000C6B75"/>
    <w:rsid w:val="000C6F05"/>
    <w:rsid w:val="000C71C5"/>
    <w:rsid w:val="000C727A"/>
    <w:rsid w:val="000C7697"/>
    <w:rsid w:val="000C789E"/>
    <w:rsid w:val="000C7B4C"/>
    <w:rsid w:val="000C7C90"/>
    <w:rsid w:val="000C7EF4"/>
    <w:rsid w:val="000D0010"/>
    <w:rsid w:val="000D029C"/>
    <w:rsid w:val="000D072A"/>
    <w:rsid w:val="000D0731"/>
    <w:rsid w:val="000D0BF7"/>
    <w:rsid w:val="000D0CC9"/>
    <w:rsid w:val="000D0F51"/>
    <w:rsid w:val="000D11A3"/>
    <w:rsid w:val="000D1221"/>
    <w:rsid w:val="000D122B"/>
    <w:rsid w:val="000D166C"/>
    <w:rsid w:val="000D1B06"/>
    <w:rsid w:val="000D1E54"/>
    <w:rsid w:val="000D24E2"/>
    <w:rsid w:val="000D2A4A"/>
    <w:rsid w:val="000D2BA7"/>
    <w:rsid w:val="000D2BC0"/>
    <w:rsid w:val="000D3A7C"/>
    <w:rsid w:val="000D3CAE"/>
    <w:rsid w:val="000D4568"/>
    <w:rsid w:val="000D4B7E"/>
    <w:rsid w:val="000D4EE8"/>
    <w:rsid w:val="000D4F36"/>
    <w:rsid w:val="000D4FE9"/>
    <w:rsid w:val="000D5383"/>
    <w:rsid w:val="000D53B8"/>
    <w:rsid w:val="000D5833"/>
    <w:rsid w:val="000D5DD7"/>
    <w:rsid w:val="000D68E4"/>
    <w:rsid w:val="000D70FA"/>
    <w:rsid w:val="000D7279"/>
    <w:rsid w:val="000D7447"/>
    <w:rsid w:val="000D7650"/>
    <w:rsid w:val="000D7679"/>
    <w:rsid w:val="000E0D71"/>
    <w:rsid w:val="000E0FA7"/>
    <w:rsid w:val="000E0FC9"/>
    <w:rsid w:val="000E1054"/>
    <w:rsid w:val="000E1473"/>
    <w:rsid w:val="000E162A"/>
    <w:rsid w:val="000E1722"/>
    <w:rsid w:val="000E177D"/>
    <w:rsid w:val="000E199B"/>
    <w:rsid w:val="000E19F0"/>
    <w:rsid w:val="000E1DE0"/>
    <w:rsid w:val="000E1E6F"/>
    <w:rsid w:val="000E2098"/>
    <w:rsid w:val="000E237E"/>
    <w:rsid w:val="000E23BF"/>
    <w:rsid w:val="000E23EF"/>
    <w:rsid w:val="000E25C3"/>
    <w:rsid w:val="000E29F4"/>
    <w:rsid w:val="000E2BE0"/>
    <w:rsid w:val="000E2E1B"/>
    <w:rsid w:val="000E327D"/>
    <w:rsid w:val="000E32BE"/>
    <w:rsid w:val="000E32CD"/>
    <w:rsid w:val="000E33C5"/>
    <w:rsid w:val="000E3886"/>
    <w:rsid w:val="000E3CFC"/>
    <w:rsid w:val="000E40CB"/>
    <w:rsid w:val="000E420F"/>
    <w:rsid w:val="000E44A9"/>
    <w:rsid w:val="000E4A6D"/>
    <w:rsid w:val="000E4A78"/>
    <w:rsid w:val="000E5429"/>
    <w:rsid w:val="000E5AEC"/>
    <w:rsid w:val="000E62CE"/>
    <w:rsid w:val="000E63BC"/>
    <w:rsid w:val="000E6444"/>
    <w:rsid w:val="000E649F"/>
    <w:rsid w:val="000E6514"/>
    <w:rsid w:val="000E6560"/>
    <w:rsid w:val="000E66DF"/>
    <w:rsid w:val="000E6B08"/>
    <w:rsid w:val="000E6B42"/>
    <w:rsid w:val="000E6E1E"/>
    <w:rsid w:val="000E6FD2"/>
    <w:rsid w:val="000E70A5"/>
    <w:rsid w:val="000E7523"/>
    <w:rsid w:val="000E78BC"/>
    <w:rsid w:val="000E7D1F"/>
    <w:rsid w:val="000E7F42"/>
    <w:rsid w:val="000F039B"/>
    <w:rsid w:val="000F0888"/>
    <w:rsid w:val="000F0DEA"/>
    <w:rsid w:val="000F0DFE"/>
    <w:rsid w:val="000F10FF"/>
    <w:rsid w:val="000F1394"/>
    <w:rsid w:val="000F1519"/>
    <w:rsid w:val="000F1522"/>
    <w:rsid w:val="000F1701"/>
    <w:rsid w:val="000F18A3"/>
    <w:rsid w:val="000F19CA"/>
    <w:rsid w:val="000F1A51"/>
    <w:rsid w:val="000F1CEF"/>
    <w:rsid w:val="000F25EE"/>
    <w:rsid w:val="000F269A"/>
    <w:rsid w:val="000F26C0"/>
    <w:rsid w:val="000F2873"/>
    <w:rsid w:val="000F2BE7"/>
    <w:rsid w:val="000F2E67"/>
    <w:rsid w:val="000F2FB2"/>
    <w:rsid w:val="000F32AC"/>
    <w:rsid w:val="000F370D"/>
    <w:rsid w:val="000F374B"/>
    <w:rsid w:val="000F3E1E"/>
    <w:rsid w:val="000F4248"/>
    <w:rsid w:val="000F43D3"/>
    <w:rsid w:val="000F4698"/>
    <w:rsid w:val="000F49FA"/>
    <w:rsid w:val="000F4D00"/>
    <w:rsid w:val="000F4FE7"/>
    <w:rsid w:val="000F56D9"/>
    <w:rsid w:val="000F585A"/>
    <w:rsid w:val="000F5E41"/>
    <w:rsid w:val="000F5EC4"/>
    <w:rsid w:val="000F6161"/>
    <w:rsid w:val="000F6B2D"/>
    <w:rsid w:val="000F72FC"/>
    <w:rsid w:val="000F7AD5"/>
    <w:rsid w:val="000F7CB4"/>
    <w:rsid w:val="000F7F64"/>
    <w:rsid w:val="000F7FAE"/>
    <w:rsid w:val="00100058"/>
    <w:rsid w:val="00100268"/>
    <w:rsid w:val="00100374"/>
    <w:rsid w:val="00100472"/>
    <w:rsid w:val="00100B0C"/>
    <w:rsid w:val="00100BB4"/>
    <w:rsid w:val="00100E46"/>
    <w:rsid w:val="00101A55"/>
    <w:rsid w:val="00101F21"/>
    <w:rsid w:val="0010203F"/>
    <w:rsid w:val="001028DF"/>
    <w:rsid w:val="00102988"/>
    <w:rsid w:val="00102AF2"/>
    <w:rsid w:val="00102B37"/>
    <w:rsid w:val="00102E12"/>
    <w:rsid w:val="001030AE"/>
    <w:rsid w:val="0010327A"/>
    <w:rsid w:val="0010332C"/>
    <w:rsid w:val="00103356"/>
    <w:rsid w:val="001033EA"/>
    <w:rsid w:val="00103433"/>
    <w:rsid w:val="001035FC"/>
    <w:rsid w:val="00103740"/>
    <w:rsid w:val="00103A48"/>
    <w:rsid w:val="00104168"/>
    <w:rsid w:val="00104E68"/>
    <w:rsid w:val="00104EC6"/>
    <w:rsid w:val="00105205"/>
    <w:rsid w:val="00105774"/>
    <w:rsid w:val="00105B08"/>
    <w:rsid w:val="00105DD1"/>
    <w:rsid w:val="00105DF5"/>
    <w:rsid w:val="0010607E"/>
    <w:rsid w:val="001061CA"/>
    <w:rsid w:val="0010637F"/>
    <w:rsid w:val="0010642A"/>
    <w:rsid w:val="0010687A"/>
    <w:rsid w:val="00106AA3"/>
    <w:rsid w:val="00107126"/>
    <w:rsid w:val="001075A8"/>
    <w:rsid w:val="00107963"/>
    <w:rsid w:val="001079C3"/>
    <w:rsid w:val="00107B24"/>
    <w:rsid w:val="00110088"/>
    <w:rsid w:val="0011015B"/>
    <w:rsid w:val="00110856"/>
    <w:rsid w:val="00111252"/>
    <w:rsid w:val="001112CB"/>
    <w:rsid w:val="00111347"/>
    <w:rsid w:val="00111823"/>
    <w:rsid w:val="00111A2F"/>
    <w:rsid w:val="00111ADD"/>
    <w:rsid w:val="00111C53"/>
    <w:rsid w:val="00111D49"/>
    <w:rsid w:val="001124E6"/>
    <w:rsid w:val="00112A83"/>
    <w:rsid w:val="00112FD6"/>
    <w:rsid w:val="0011319E"/>
    <w:rsid w:val="00113969"/>
    <w:rsid w:val="00113BA8"/>
    <w:rsid w:val="00113BDB"/>
    <w:rsid w:val="00113E20"/>
    <w:rsid w:val="00113E61"/>
    <w:rsid w:val="00113EC4"/>
    <w:rsid w:val="00113F0D"/>
    <w:rsid w:val="00114045"/>
    <w:rsid w:val="001143AE"/>
    <w:rsid w:val="001143D0"/>
    <w:rsid w:val="001146BF"/>
    <w:rsid w:val="001148C3"/>
    <w:rsid w:val="001148D3"/>
    <w:rsid w:val="00115007"/>
    <w:rsid w:val="0011562D"/>
    <w:rsid w:val="001156D5"/>
    <w:rsid w:val="00115FA8"/>
    <w:rsid w:val="001161BD"/>
    <w:rsid w:val="00116DD5"/>
    <w:rsid w:val="00117309"/>
    <w:rsid w:val="00117369"/>
    <w:rsid w:val="00117AF1"/>
    <w:rsid w:val="00117BB0"/>
    <w:rsid w:val="0012011D"/>
    <w:rsid w:val="001202DD"/>
    <w:rsid w:val="00120457"/>
    <w:rsid w:val="00120D7F"/>
    <w:rsid w:val="00120F89"/>
    <w:rsid w:val="00121177"/>
    <w:rsid w:val="00121403"/>
    <w:rsid w:val="001216FA"/>
    <w:rsid w:val="00121F1E"/>
    <w:rsid w:val="001221F8"/>
    <w:rsid w:val="001224C8"/>
    <w:rsid w:val="00122912"/>
    <w:rsid w:val="00122976"/>
    <w:rsid w:val="00122E6B"/>
    <w:rsid w:val="0012380F"/>
    <w:rsid w:val="00123A77"/>
    <w:rsid w:val="00124185"/>
    <w:rsid w:val="001248B9"/>
    <w:rsid w:val="001249B2"/>
    <w:rsid w:val="001254C6"/>
    <w:rsid w:val="0012560D"/>
    <w:rsid w:val="00125651"/>
    <w:rsid w:val="00125896"/>
    <w:rsid w:val="00125958"/>
    <w:rsid w:val="00125AC1"/>
    <w:rsid w:val="00125C51"/>
    <w:rsid w:val="00125D56"/>
    <w:rsid w:val="00125FC1"/>
    <w:rsid w:val="001261E2"/>
    <w:rsid w:val="00126235"/>
    <w:rsid w:val="001267F9"/>
    <w:rsid w:val="00126876"/>
    <w:rsid w:val="001273DA"/>
    <w:rsid w:val="00127802"/>
    <w:rsid w:val="00127A4D"/>
    <w:rsid w:val="00127BE9"/>
    <w:rsid w:val="00127CCE"/>
    <w:rsid w:val="00127FE5"/>
    <w:rsid w:val="0013060B"/>
    <w:rsid w:val="0013061F"/>
    <w:rsid w:val="001306A7"/>
    <w:rsid w:val="00130C73"/>
    <w:rsid w:val="00131084"/>
    <w:rsid w:val="0013114E"/>
    <w:rsid w:val="00131239"/>
    <w:rsid w:val="001315D4"/>
    <w:rsid w:val="001315EA"/>
    <w:rsid w:val="0013171C"/>
    <w:rsid w:val="001319AE"/>
    <w:rsid w:val="00131F5F"/>
    <w:rsid w:val="00132098"/>
    <w:rsid w:val="0013239A"/>
    <w:rsid w:val="00132674"/>
    <w:rsid w:val="00132A09"/>
    <w:rsid w:val="00132D0E"/>
    <w:rsid w:val="00132F27"/>
    <w:rsid w:val="001334D9"/>
    <w:rsid w:val="0013352E"/>
    <w:rsid w:val="001335FA"/>
    <w:rsid w:val="0013399B"/>
    <w:rsid w:val="00133C5F"/>
    <w:rsid w:val="0013455F"/>
    <w:rsid w:val="00135207"/>
    <w:rsid w:val="00135722"/>
    <w:rsid w:val="001358CD"/>
    <w:rsid w:val="00135D93"/>
    <w:rsid w:val="00135EC9"/>
    <w:rsid w:val="00136B3B"/>
    <w:rsid w:val="00136C10"/>
    <w:rsid w:val="001370C1"/>
    <w:rsid w:val="001376AE"/>
    <w:rsid w:val="00137940"/>
    <w:rsid w:val="00137B50"/>
    <w:rsid w:val="00137FEB"/>
    <w:rsid w:val="001402C7"/>
    <w:rsid w:val="0014041C"/>
    <w:rsid w:val="001404E5"/>
    <w:rsid w:val="00140552"/>
    <w:rsid w:val="00140776"/>
    <w:rsid w:val="00140F9A"/>
    <w:rsid w:val="00140FBC"/>
    <w:rsid w:val="0014144B"/>
    <w:rsid w:val="001419EF"/>
    <w:rsid w:val="00141A37"/>
    <w:rsid w:val="00141B4A"/>
    <w:rsid w:val="00141C42"/>
    <w:rsid w:val="00141DAE"/>
    <w:rsid w:val="0014201A"/>
    <w:rsid w:val="001421E4"/>
    <w:rsid w:val="00142F44"/>
    <w:rsid w:val="00143151"/>
    <w:rsid w:val="001431DB"/>
    <w:rsid w:val="001431FB"/>
    <w:rsid w:val="001432CD"/>
    <w:rsid w:val="001433EC"/>
    <w:rsid w:val="0014357F"/>
    <w:rsid w:val="00143799"/>
    <w:rsid w:val="001439E8"/>
    <w:rsid w:val="00143A28"/>
    <w:rsid w:val="00143A49"/>
    <w:rsid w:val="00143C18"/>
    <w:rsid w:val="00143D93"/>
    <w:rsid w:val="001440DD"/>
    <w:rsid w:val="00144402"/>
    <w:rsid w:val="001448EF"/>
    <w:rsid w:val="00144B75"/>
    <w:rsid w:val="00144DF8"/>
    <w:rsid w:val="00145A1D"/>
    <w:rsid w:val="001463B3"/>
    <w:rsid w:val="00147253"/>
    <w:rsid w:val="0014748A"/>
    <w:rsid w:val="00147559"/>
    <w:rsid w:val="001478BA"/>
    <w:rsid w:val="00147C81"/>
    <w:rsid w:val="00147CF6"/>
    <w:rsid w:val="00150180"/>
    <w:rsid w:val="001504F9"/>
    <w:rsid w:val="00150FA3"/>
    <w:rsid w:val="001511A4"/>
    <w:rsid w:val="0015128D"/>
    <w:rsid w:val="00151343"/>
    <w:rsid w:val="001516DB"/>
    <w:rsid w:val="001518E6"/>
    <w:rsid w:val="00151BB3"/>
    <w:rsid w:val="00152081"/>
    <w:rsid w:val="00152CFF"/>
    <w:rsid w:val="00152E56"/>
    <w:rsid w:val="001532E5"/>
    <w:rsid w:val="0015386C"/>
    <w:rsid w:val="001538D3"/>
    <w:rsid w:val="00153A3C"/>
    <w:rsid w:val="00153B24"/>
    <w:rsid w:val="0015413F"/>
    <w:rsid w:val="001546B2"/>
    <w:rsid w:val="00154850"/>
    <w:rsid w:val="0015485C"/>
    <w:rsid w:val="00154B63"/>
    <w:rsid w:val="00154BB5"/>
    <w:rsid w:val="00154CB3"/>
    <w:rsid w:val="00155117"/>
    <w:rsid w:val="001555D0"/>
    <w:rsid w:val="001559AA"/>
    <w:rsid w:val="00155B56"/>
    <w:rsid w:val="00156390"/>
    <w:rsid w:val="00156C7D"/>
    <w:rsid w:val="00156D13"/>
    <w:rsid w:val="00156FFE"/>
    <w:rsid w:val="00157260"/>
    <w:rsid w:val="0015726A"/>
    <w:rsid w:val="001575D8"/>
    <w:rsid w:val="00157664"/>
    <w:rsid w:val="001600DF"/>
    <w:rsid w:val="00160180"/>
    <w:rsid w:val="00160503"/>
    <w:rsid w:val="00160640"/>
    <w:rsid w:val="00161148"/>
    <w:rsid w:val="001611C8"/>
    <w:rsid w:val="00161230"/>
    <w:rsid w:val="00161444"/>
    <w:rsid w:val="0016149C"/>
    <w:rsid w:val="001614D8"/>
    <w:rsid w:val="00161A69"/>
    <w:rsid w:val="00161AEE"/>
    <w:rsid w:val="00161BFF"/>
    <w:rsid w:val="00161EB3"/>
    <w:rsid w:val="00162056"/>
    <w:rsid w:val="001622D3"/>
    <w:rsid w:val="00162387"/>
    <w:rsid w:val="00162BAC"/>
    <w:rsid w:val="00162C0B"/>
    <w:rsid w:val="0016323D"/>
    <w:rsid w:val="001632FB"/>
    <w:rsid w:val="0016343C"/>
    <w:rsid w:val="00163540"/>
    <w:rsid w:val="00163B9C"/>
    <w:rsid w:val="0016426C"/>
    <w:rsid w:val="001645B6"/>
    <w:rsid w:val="00164938"/>
    <w:rsid w:val="00164DAA"/>
    <w:rsid w:val="001652F4"/>
    <w:rsid w:val="00165947"/>
    <w:rsid w:val="00165C76"/>
    <w:rsid w:val="00165E0A"/>
    <w:rsid w:val="001661D3"/>
    <w:rsid w:val="00166288"/>
    <w:rsid w:val="00166316"/>
    <w:rsid w:val="00166319"/>
    <w:rsid w:val="001664CA"/>
    <w:rsid w:val="001671CF"/>
    <w:rsid w:val="0016765F"/>
    <w:rsid w:val="00167687"/>
    <w:rsid w:val="00167757"/>
    <w:rsid w:val="00167891"/>
    <w:rsid w:val="00167A7F"/>
    <w:rsid w:val="00167A99"/>
    <w:rsid w:val="00167FAA"/>
    <w:rsid w:val="00167FBE"/>
    <w:rsid w:val="00167FDD"/>
    <w:rsid w:val="001703A0"/>
    <w:rsid w:val="001706EF"/>
    <w:rsid w:val="00170967"/>
    <w:rsid w:val="00170991"/>
    <w:rsid w:val="00170A4B"/>
    <w:rsid w:val="00170E15"/>
    <w:rsid w:val="00170E23"/>
    <w:rsid w:val="00170E70"/>
    <w:rsid w:val="00171359"/>
    <w:rsid w:val="001714BB"/>
    <w:rsid w:val="00171517"/>
    <w:rsid w:val="0017188E"/>
    <w:rsid w:val="00171C7A"/>
    <w:rsid w:val="001725A8"/>
    <w:rsid w:val="0017294B"/>
    <w:rsid w:val="00172D8E"/>
    <w:rsid w:val="00172E48"/>
    <w:rsid w:val="00173151"/>
    <w:rsid w:val="0017341A"/>
    <w:rsid w:val="0017464D"/>
    <w:rsid w:val="001747FB"/>
    <w:rsid w:val="00174879"/>
    <w:rsid w:val="0017489B"/>
    <w:rsid w:val="00174AD0"/>
    <w:rsid w:val="00174B36"/>
    <w:rsid w:val="00174D35"/>
    <w:rsid w:val="00174F8E"/>
    <w:rsid w:val="0017508C"/>
    <w:rsid w:val="00175120"/>
    <w:rsid w:val="00175364"/>
    <w:rsid w:val="00175897"/>
    <w:rsid w:val="00175B59"/>
    <w:rsid w:val="00175DBA"/>
    <w:rsid w:val="00175FBA"/>
    <w:rsid w:val="0017600F"/>
    <w:rsid w:val="00176C70"/>
    <w:rsid w:val="00176C84"/>
    <w:rsid w:val="00176F23"/>
    <w:rsid w:val="001770F1"/>
    <w:rsid w:val="001772A7"/>
    <w:rsid w:val="001777A8"/>
    <w:rsid w:val="00177966"/>
    <w:rsid w:val="0018016F"/>
    <w:rsid w:val="00180464"/>
    <w:rsid w:val="0018068D"/>
    <w:rsid w:val="00180A46"/>
    <w:rsid w:val="00180B2A"/>
    <w:rsid w:val="00180B4B"/>
    <w:rsid w:val="00180F58"/>
    <w:rsid w:val="00181180"/>
    <w:rsid w:val="0018133F"/>
    <w:rsid w:val="00181410"/>
    <w:rsid w:val="00181555"/>
    <w:rsid w:val="001819F0"/>
    <w:rsid w:val="00181A1C"/>
    <w:rsid w:val="00181FED"/>
    <w:rsid w:val="00182103"/>
    <w:rsid w:val="001823B9"/>
    <w:rsid w:val="0018264E"/>
    <w:rsid w:val="00182A18"/>
    <w:rsid w:val="00182B9D"/>
    <w:rsid w:val="00182BB8"/>
    <w:rsid w:val="00182BBE"/>
    <w:rsid w:val="00182CF7"/>
    <w:rsid w:val="001834C4"/>
    <w:rsid w:val="001836BE"/>
    <w:rsid w:val="00183ACA"/>
    <w:rsid w:val="0018434D"/>
    <w:rsid w:val="00184632"/>
    <w:rsid w:val="00184694"/>
    <w:rsid w:val="001847E1"/>
    <w:rsid w:val="00184B06"/>
    <w:rsid w:val="00184CB4"/>
    <w:rsid w:val="00185048"/>
    <w:rsid w:val="00185259"/>
    <w:rsid w:val="001852D0"/>
    <w:rsid w:val="00185391"/>
    <w:rsid w:val="001857BC"/>
    <w:rsid w:val="00185A49"/>
    <w:rsid w:val="00185DBD"/>
    <w:rsid w:val="00185DEC"/>
    <w:rsid w:val="00185F1A"/>
    <w:rsid w:val="00186029"/>
    <w:rsid w:val="0018615D"/>
    <w:rsid w:val="001871F1"/>
    <w:rsid w:val="00187683"/>
    <w:rsid w:val="0018768D"/>
    <w:rsid w:val="00187799"/>
    <w:rsid w:val="00187F03"/>
    <w:rsid w:val="00190077"/>
    <w:rsid w:val="00190333"/>
    <w:rsid w:val="00190420"/>
    <w:rsid w:val="001906DB"/>
    <w:rsid w:val="0019079B"/>
    <w:rsid w:val="00190AF4"/>
    <w:rsid w:val="00190C98"/>
    <w:rsid w:val="00190FC2"/>
    <w:rsid w:val="001910F4"/>
    <w:rsid w:val="00191237"/>
    <w:rsid w:val="0019150C"/>
    <w:rsid w:val="00191515"/>
    <w:rsid w:val="00192064"/>
    <w:rsid w:val="00192293"/>
    <w:rsid w:val="00192674"/>
    <w:rsid w:val="001927F0"/>
    <w:rsid w:val="00192880"/>
    <w:rsid w:val="00192E96"/>
    <w:rsid w:val="00192F98"/>
    <w:rsid w:val="00193989"/>
    <w:rsid w:val="00193A14"/>
    <w:rsid w:val="00193A4B"/>
    <w:rsid w:val="00193CF7"/>
    <w:rsid w:val="00193D54"/>
    <w:rsid w:val="00194384"/>
    <w:rsid w:val="001949C7"/>
    <w:rsid w:val="00194DAF"/>
    <w:rsid w:val="00194ECA"/>
    <w:rsid w:val="00195940"/>
    <w:rsid w:val="001959D9"/>
    <w:rsid w:val="001959E9"/>
    <w:rsid w:val="00195CAE"/>
    <w:rsid w:val="00195F15"/>
    <w:rsid w:val="00195FF2"/>
    <w:rsid w:val="001962DE"/>
    <w:rsid w:val="001967B2"/>
    <w:rsid w:val="0019686B"/>
    <w:rsid w:val="001969C1"/>
    <w:rsid w:val="00196C94"/>
    <w:rsid w:val="00196CD3"/>
    <w:rsid w:val="00196D70"/>
    <w:rsid w:val="001971CB"/>
    <w:rsid w:val="0019720C"/>
    <w:rsid w:val="001977AD"/>
    <w:rsid w:val="00197AD3"/>
    <w:rsid w:val="00197EDB"/>
    <w:rsid w:val="001A047F"/>
    <w:rsid w:val="001A0668"/>
    <w:rsid w:val="001A0973"/>
    <w:rsid w:val="001A0AF9"/>
    <w:rsid w:val="001A0D3B"/>
    <w:rsid w:val="001A11E5"/>
    <w:rsid w:val="001A13B6"/>
    <w:rsid w:val="001A14D5"/>
    <w:rsid w:val="001A19E6"/>
    <w:rsid w:val="001A20C6"/>
    <w:rsid w:val="001A21C1"/>
    <w:rsid w:val="001A22C1"/>
    <w:rsid w:val="001A238D"/>
    <w:rsid w:val="001A2616"/>
    <w:rsid w:val="001A28FB"/>
    <w:rsid w:val="001A2902"/>
    <w:rsid w:val="001A3131"/>
    <w:rsid w:val="001A3344"/>
    <w:rsid w:val="001A34D7"/>
    <w:rsid w:val="001A3A0A"/>
    <w:rsid w:val="001A3AEB"/>
    <w:rsid w:val="001A3B71"/>
    <w:rsid w:val="001A3F3F"/>
    <w:rsid w:val="001A4067"/>
    <w:rsid w:val="001A41BF"/>
    <w:rsid w:val="001A4296"/>
    <w:rsid w:val="001A435E"/>
    <w:rsid w:val="001A43C7"/>
    <w:rsid w:val="001A4D76"/>
    <w:rsid w:val="001A5199"/>
    <w:rsid w:val="001A535E"/>
    <w:rsid w:val="001A57C1"/>
    <w:rsid w:val="001A5AF8"/>
    <w:rsid w:val="001A5AFA"/>
    <w:rsid w:val="001A6D60"/>
    <w:rsid w:val="001A7AAD"/>
    <w:rsid w:val="001B000F"/>
    <w:rsid w:val="001B0139"/>
    <w:rsid w:val="001B01CB"/>
    <w:rsid w:val="001B0549"/>
    <w:rsid w:val="001B065E"/>
    <w:rsid w:val="001B07B9"/>
    <w:rsid w:val="001B0ADE"/>
    <w:rsid w:val="001B10B4"/>
    <w:rsid w:val="001B12CC"/>
    <w:rsid w:val="001B12FD"/>
    <w:rsid w:val="001B1426"/>
    <w:rsid w:val="001B15BA"/>
    <w:rsid w:val="001B1981"/>
    <w:rsid w:val="001B1A43"/>
    <w:rsid w:val="001B20F5"/>
    <w:rsid w:val="001B28C7"/>
    <w:rsid w:val="001B2A8B"/>
    <w:rsid w:val="001B30BD"/>
    <w:rsid w:val="001B3221"/>
    <w:rsid w:val="001B3436"/>
    <w:rsid w:val="001B3775"/>
    <w:rsid w:val="001B3AD8"/>
    <w:rsid w:val="001B3C8F"/>
    <w:rsid w:val="001B3F06"/>
    <w:rsid w:val="001B40D4"/>
    <w:rsid w:val="001B4695"/>
    <w:rsid w:val="001B4A39"/>
    <w:rsid w:val="001B5273"/>
    <w:rsid w:val="001B52C9"/>
    <w:rsid w:val="001B5337"/>
    <w:rsid w:val="001B53BC"/>
    <w:rsid w:val="001B55A0"/>
    <w:rsid w:val="001B57BC"/>
    <w:rsid w:val="001B5879"/>
    <w:rsid w:val="001B599E"/>
    <w:rsid w:val="001B5A78"/>
    <w:rsid w:val="001B5CAF"/>
    <w:rsid w:val="001B5FFF"/>
    <w:rsid w:val="001B6B0B"/>
    <w:rsid w:val="001B7028"/>
    <w:rsid w:val="001B73FD"/>
    <w:rsid w:val="001B7625"/>
    <w:rsid w:val="001B7735"/>
    <w:rsid w:val="001B7805"/>
    <w:rsid w:val="001B7B68"/>
    <w:rsid w:val="001C0063"/>
    <w:rsid w:val="001C0599"/>
    <w:rsid w:val="001C061E"/>
    <w:rsid w:val="001C0F4B"/>
    <w:rsid w:val="001C0FBC"/>
    <w:rsid w:val="001C129F"/>
    <w:rsid w:val="001C1456"/>
    <w:rsid w:val="001C1A89"/>
    <w:rsid w:val="001C1C33"/>
    <w:rsid w:val="001C1F72"/>
    <w:rsid w:val="001C218A"/>
    <w:rsid w:val="001C2213"/>
    <w:rsid w:val="001C2C8A"/>
    <w:rsid w:val="001C2E71"/>
    <w:rsid w:val="001C39C5"/>
    <w:rsid w:val="001C3E5B"/>
    <w:rsid w:val="001C4BB1"/>
    <w:rsid w:val="001C4C37"/>
    <w:rsid w:val="001C51E1"/>
    <w:rsid w:val="001C5236"/>
    <w:rsid w:val="001C531F"/>
    <w:rsid w:val="001C5946"/>
    <w:rsid w:val="001C5F64"/>
    <w:rsid w:val="001C6181"/>
    <w:rsid w:val="001C6347"/>
    <w:rsid w:val="001C66F6"/>
    <w:rsid w:val="001C68A3"/>
    <w:rsid w:val="001C736C"/>
    <w:rsid w:val="001C78BB"/>
    <w:rsid w:val="001D0175"/>
    <w:rsid w:val="001D01F2"/>
    <w:rsid w:val="001D07C1"/>
    <w:rsid w:val="001D0D4A"/>
    <w:rsid w:val="001D0DC3"/>
    <w:rsid w:val="001D1045"/>
    <w:rsid w:val="001D1334"/>
    <w:rsid w:val="001D1E4C"/>
    <w:rsid w:val="001D2416"/>
    <w:rsid w:val="001D2592"/>
    <w:rsid w:val="001D26FF"/>
    <w:rsid w:val="001D28AD"/>
    <w:rsid w:val="001D2C5F"/>
    <w:rsid w:val="001D3155"/>
    <w:rsid w:val="001D338D"/>
    <w:rsid w:val="001D35C0"/>
    <w:rsid w:val="001D3A08"/>
    <w:rsid w:val="001D407C"/>
    <w:rsid w:val="001D4279"/>
    <w:rsid w:val="001D447C"/>
    <w:rsid w:val="001D4545"/>
    <w:rsid w:val="001D47E9"/>
    <w:rsid w:val="001D4AD4"/>
    <w:rsid w:val="001D4E3C"/>
    <w:rsid w:val="001D5006"/>
    <w:rsid w:val="001D58AB"/>
    <w:rsid w:val="001D5AAC"/>
    <w:rsid w:val="001D5E51"/>
    <w:rsid w:val="001D60B6"/>
    <w:rsid w:val="001D642A"/>
    <w:rsid w:val="001D658F"/>
    <w:rsid w:val="001D6B45"/>
    <w:rsid w:val="001D6D41"/>
    <w:rsid w:val="001D7348"/>
    <w:rsid w:val="001D744B"/>
    <w:rsid w:val="001E0022"/>
    <w:rsid w:val="001E0205"/>
    <w:rsid w:val="001E0395"/>
    <w:rsid w:val="001E079A"/>
    <w:rsid w:val="001E081F"/>
    <w:rsid w:val="001E08DA"/>
    <w:rsid w:val="001E0984"/>
    <w:rsid w:val="001E0EDB"/>
    <w:rsid w:val="001E15E8"/>
    <w:rsid w:val="001E1AF5"/>
    <w:rsid w:val="001E1B40"/>
    <w:rsid w:val="001E2035"/>
    <w:rsid w:val="001E204F"/>
    <w:rsid w:val="001E24EA"/>
    <w:rsid w:val="001E2F57"/>
    <w:rsid w:val="001E2FF1"/>
    <w:rsid w:val="001E3A96"/>
    <w:rsid w:val="001E40AF"/>
    <w:rsid w:val="001E40EC"/>
    <w:rsid w:val="001E4755"/>
    <w:rsid w:val="001E4804"/>
    <w:rsid w:val="001E4A55"/>
    <w:rsid w:val="001E4F16"/>
    <w:rsid w:val="001E4F73"/>
    <w:rsid w:val="001E51CC"/>
    <w:rsid w:val="001E51F7"/>
    <w:rsid w:val="001E531B"/>
    <w:rsid w:val="001E54C0"/>
    <w:rsid w:val="001E551F"/>
    <w:rsid w:val="001E5A07"/>
    <w:rsid w:val="001E5D07"/>
    <w:rsid w:val="001E5DAC"/>
    <w:rsid w:val="001E5FEE"/>
    <w:rsid w:val="001E6089"/>
    <w:rsid w:val="001E65CF"/>
    <w:rsid w:val="001E67C4"/>
    <w:rsid w:val="001E6BA2"/>
    <w:rsid w:val="001E6C58"/>
    <w:rsid w:val="001E71F0"/>
    <w:rsid w:val="001E7779"/>
    <w:rsid w:val="001E779F"/>
    <w:rsid w:val="001E79F6"/>
    <w:rsid w:val="001F0235"/>
    <w:rsid w:val="001F0698"/>
    <w:rsid w:val="001F0858"/>
    <w:rsid w:val="001F0E0C"/>
    <w:rsid w:val="001F142B"/>
    <w:rsid w:val="001F1597"/>
    <w:rsid w:val="001F18EF"/>
    <w:rsid w:val="001F1ABF"/>
    <w:rsid w:val="001F1DAA"/>
    <w:rsid w:val="001F21EC"/>
    <w:rsid w:val="001F2D9C"/>
    <w:rsid w:val="001F3366"/>
    <w:rsid w:val="001F352E"/>
    <w:rsid w:val="001F38D3"/>
    <w:rsid w:val="001F3E5A"/>
    <w:rsid w:val="001F3E90"/>
    <w:rsid w:val="001F3EF9"/>
    <w:rsid w:val="001F4A9D"/>
    <w:rsid w:val="001F53EF"/>
    <w:rsid w:val="001F5476"/>
    <w:rsid w:val="001F573B"/>
    <w:rsid w:val="001F5C37"/>
    <w:rsid w:val="001F5EA0"/>
    <w:rsid w:val="001F601A"/>
    <w:rsid w:val="001F60A2"/>
    <w:rsid w:val="001F6302"/>
    <w:rsid w:val="001F6450"/>
    <w:rsid w:val="001F64D7"/>
    <w:rsid w:val="001F66D3"/>
    <w:rsid w:val="001F6ADA"/>
    <w:rsid w:val="001F7077"/>
    <w:rsid w:val="001F70B7"/>
    <w:rsid w:val="001F7132"/>
    <w:rsid w:val="001F71F0"/>
    <w:rsid w:val="001F7282"/>
    <w:rsid w:val="001F7D1B"/>
    <w:rsid w:val="001F7F23"/>
    <w:rsid w:val="002000EB"/>
    <w:rsid w:val="00200225"/>
    <w:rsid w:val="002005D8"/>
    <w:rsid w:val="002005F7"/>
    <w:rsid w:val="0020090F"/>
    <w:rsid w:val="00200A45"/>
    <w:rsid w:val="00200C03"/>
    <w:rsid w:val="00200DD2"/>
    <w:rsid w:val="00200EAC"/>
    <w:rsid w:val="0020169C"/>
    <w:rsid w:val="0020172C"/>
    <w:rsid w:val="00201869"/>
    <w:rsid w:val="00201938"/>
    <w:rsid w:val="00201D2E"/>
    <w:rsid w:val="002023EE"/>
    <w:rsid w:val="002026BD"/>
    <w:rsid w:val="00202CA6"/>
    <w:rsid w:val="00202FBE"/>
    <w:rsid w:val="00203209"/>
    <w:rsid w:val="00203412"/>
    <w:rsid w:val="002034BA"/>
    <w:rsid w:val="0020368C"/>
    <w:rsid w:val="002039D7"/>
    <w:rsid w:val="00203B8B"/>
    <w:rsid w:val="00203C61"/>
    <w:rsid w:val="00203FD3"/>
    <w:rsid w:val="002041C4"/>
    <w:rsid w:val="00204871"/>
    <w:rsid w:val="00204C24"/>
    <w:rsid w:val="00204C6A"/>
    <w:rsid w:val="00205454"/>
    <w:rsid w:val="002057AA"/>
    <w:rsid w:val="00205C76"/>
    <w:rsid w:val="002063D1"/>
    <w:rsid w:val="002068C9"/>
    <w:rsid w:val="00206BBF"/>
    <w:rsid w:val="00206E6F"/>
    <w:rsid w:val="00207188"/>
    <w:rsid w:val="002073C2"/>
    <w:rsid w:val="0020766F"/>
    <w:rsid w:val="00207BEA"/>
    <w:rsid w:val="00207EF4"/>
    <w:rsid w:val="00210DD3"/>
    <w:rsid w:val="00211045"/>
    <w:rsid w:val="00211448"/>
    <w:rsid w:val="00211886"/>
    <w:rsid w:val="00211EC0"/>
    <w:rsid w:val="00211EF1"/>
    <w:rsid w:val="0021228E"/>
    <w:rsid w:val="002123A2"/>
    <w:rsid w:val="00212661"/>
    <w:rsid w:val="0021274C"/>
    <w:rsid w:val="0021357B"/>
    <w:rsid w:val="002142A5"/>
    <w:rsid w:val="0021442F"/>
    <w:rsid w:val="00214777"/>
    <w:rsid w:val="00214855"/>
    <w:rsid w:val="00215050"/>
    <w:rsid w:val="002150D5"/>
    <w:rsid w:val="00215176"/>
    <w:rsid w:val="00215554"/>
    <w:rsid w:val="00215588"/>
    <w:rsid w:val="00215733"/>
    <w:rsid w:val="0021595C"/>
    <w:rsid w:val="00215B3C"/>
    <w:rsid w:val="00215E1F"/>
    <w:rsid w:val="00215FC4"/>
    <w:rsid w:val="002161F6"/>
    <w:rsid w:val="00216273"/>
    <w:rsid w:val="002165F4"/>
    <w:rsid w:val="00217777"/>
    <w:rsid w:val="002177DD"/>
    <w:rsid w:val="00217C10"/>
    <w:rsid w:val="00217F9A"/>
    <w:rsid w:val="002210D5"/>
    <w:rsid w:val="00221BAA"/>
    <w:rsid w:val="00221EF9"/>
    <w:rsid w:val="002222B9"/>
    <w:rsid w:val="002227FF"/>
    <w:rsid w:val="0022293C"/>
    <w:rsid w:val="00222B53"/>
    <w:rsid w:val="002230A9"/>
    <w:rsid w:val="00223A96"/>
    <w:rsid w:val="00223EEC"/>
    <w:rsid w:val="0022404C"/>
    <w:rsid w:val="002244F6"/>
    <w:rsid w:val="002244FD"/>
    <w:rsid w:val="0022476B"/>
    <w:rsid w:val="00224933"/>
    <w:rsid w:val="00224A5E"/>
    <w:rsid w:val="00224BE7"/>
    <w:rsid w:val="00224DC1"/>
    <w:rsid w:val="00224E8B"/>
    <w:rsid w:val="00225129"/>
    <w:rsid w:val="0022535F"/>
    <w:rsid w:val="00225704"/>
    <w:rsid w:val="00225B5B"/>
    <w:rsid w:val="00225D0C"/>
    <w:rsid w:val="00226403"/>
    <w:rsid w:val="00226461"/>
    <w:rsid w:val="00226679"/>
    <w:rsid w:val="00226782"/>
    <w:rsid w:val="00226932"/>
    <w:rsid w:val="0022699B"/>
    <w:rsid w:val="00226BFC"/>
    <w:rsid w:val="002272AB"/>
    <w:rsid w:val="002274CB"/>
    <w:rsid w:val="00227555"/>
    <w:rsid w:val="00227A83"/>
    <w:rsid w:val="00227CBD"/>
    <w:rsid w:val="002300AE"/>
    <w:rsid w:val="002301D6"/>
    <w:rsid w:val="00230423"/>
    <w:rsid w:val="00230515"/>
    <w:rsid w:val="00230ABF"/>
    <w:rsid w:val="00230E55"/>
    <w:rsid w:val="002311C5"/>
    <w:rsid w:val="00231891"/>
    <w:rsid w:val="00231899"/>
    <w:rsid w:val="00231E46"/>
    <w:rsid w:val="002320ED"/>
    <w:rsid w:val="0023214C"/>
    <w:rsid w:val="002328F7"/>
    <w:rsid w:val="00232F9D"/>
    <w:rsid w:val="00232FD1"/>
    <w:rsid w:val="0023361F"/>
    <w:rsid w:val="002338C4"/>
    <w:rsid w:val="00233B11"/>
    <w:rsid w:val="002344A7"/>
    <w:rsid w:val="00234568"/>
    <w:rsid w:val="00234B37"/>
    <w:rsid w:val="00234D9F"/>
    <w:rsid w:val="00234F0F"/>
    <w:rsid w:val="00235041"/>
    <w:rsid w:val="00235A66"/>
    <w:rsid w:val="00235BD6"/>
    <w:rsid w:val="00235EFE"/>
    <w:rsid w:val="0023612D"/>
    <w:rsid w:val="0023622A"/>
    <w:rsid w:val="002363B1"/>
    <w:rsid w:val="00236618"/>
    <w:rsid w:val="00236BC2"/>
    <w:rsid w:val="0023707F"/>
    <w:rsid w:val="00237194"/>
    <w:rsid w:val="00237230"/>
    <w:rsid w:val="00237263"/>
    <w:rsid w:val="0023735D"/>
    <w:rsid w:val="00237837"/>
    <w:rsid w:val="00237C92"/>
    <w:rsid w:val="00240C21"/>
    <w:rsid w:val="00240F22"/>
    <w:rsid w:val="002417D6"/>
    <w:rsid w:val="002417EC"/>
    <w:rsid w:val="002417F9"/>
    <w:rsid w:val="00241826"/>
    <w:rsid w:val="00241B92"/>
    <w:rsid w:val="00241BE0"/>
    <w:rsid w:val="00242210"/>
    <w:rsid w:val="00242B7C"/>
    <w:rsid w:val="00242CF9"/>
    <w:rsid w:val="00242F77"/>
    <w:rsid w:val="0024305F"/>
    <w:rsid w:val="00243133"/>
    <w:rsid w:val="002434B2"/>
    <w:rsid w:val="00243660"/>
    <w:rsid w:val="00243A79"/>
    <w:rsid w:val="00243B1E"/>
    <w:rsid w:val="00244133"/>
    <w:rsid w:val="002442E8"/>
    <w:rsid w:val="002443A9"/>
    <w:rsid w:val="00244441"/>
    <w:rsid w:val="002447BE"/>
    <w:rsid w:val="00244C69"/>
    <w:rsid w:val="00244C8D"/>
    <w:rsid w:val="002450DB"/>
    <w:rsid w:val="00245C87"/>
    <w:rsid w:val="00245E94"/>
    <w:rsid w:val="00245ECC"/>
    <w:rsid w:val="00246CF4"/>
    <w:rsid w:val="002471C5"/>
    <w:rsid w:val="002473BB"/>
    <w:rsid w:val="0024768D"/>
    <w:rsid w:val="00247D0F"/>
    <w:rsid w:val="00247E0D"/>
    <w:rsid w:val="00247EA7"/>
    <w:rsid w:val="002500FB"/>
    <w:rsid w:val="00250697"/>
    <w:rsid w:val="00250829"/>
    <w:rsid w:val="00250963"/>
    <w:rsid w:val="00251722"/>
    <w:rsid w:val="00251738"/>
    <w:rsid w:val="00251B16"/>
    <w:rsid w:val="00251C51"/>
    <w:rsid w:val="0025254B"/>
    <w:rsid w:val="00252594"/>
    <w:rsid w:val="002528A3"/>
    <w:rsid w:val="00252F1D"/>
    <w:rsid w:val="00253070"/>
    <w:rsid w:val="00253087"/>
    <w:rsid w:val="002534FD"/>
    <w:rsid w:val="00253548"/>
    <w:rsid w:val="002538CC"/>
    <w:rsid w:val="00253D4E"/>
    <w:rsid w:val="00253E7F"/>
    <w:rsid w:val="002546FF"/>
    <w:rsid w:val="00254781"/>
    <w:rsid w:val="002548DD"/>
    <w:rsid w:val="00254D4A"/>
    <w:rsid w:val="00255B2E"/>
    <w:rsid w:val="0025636A"/>
    <w:rsid w:val="00256443"/>
    <w:rsid w:val="002564F9"/>
    <w:rsid w:val="00256A69"/>
    <w:rsid w:val="00256C8A"/>
    <w:rsid w:val="00256E1E"/>
    <w:rsid w:val="0025771E"/>
    <w:rsid w:val="00257EA6"/>
    <w:rsid w:val="00257F9D"/>
    <w:rsid w:val="0026018C"/>
    <w:rsid w:val="00260508"/>
    <w:rsid w:val="0026094B"/>
    <w:rsid w:val="00260A10"/>
    <w:rsid w:val="00260A19"/>
    <w:rsid w:val="00260B0F"/>
    <w:rsid w:val="00260C44"/>
    <w:rsid w:val="00260D39"/>
    <w:rsid w:val="00261067"/>
    <w:rsid w:val="002610AB"/>
    <w:rsid w:val="0026158D"/>
    <w:rsid w:val="00261836"/>
    <w:rsid w:val="00261967"/>
    <w:rsid w:val="0026196A"/>
    <w:rsid w:val="002619F6"/>
    <w:rsid w:val="00262141"/>
    <w:rsid w:val="002621B0"/>
    <w:rsid w:val="0026234A"/>
    <w:rsid w:val="0026240F"/>
    <w:rsid w:val="00262636"/>
    <w:rsid w:val="00262C3B"/>
    <w:rsid w:val="00262EA9"/>
    <w:rsid w:val="00263503"/>
    <w:rsid w:val="002639B6"/>
    <w:rsid w:val="00263B9E"/>
    <w:rsid w:val="00263D23"/>
    <w:rsid w:val="0026417C"/>
    <w:rsid w:val="002645E0"/>
    <w:rsid w:val="002646BC"/>
    <w:rsid w:val="0026479B"/>
    <w:rsid w:val="00264C3C"/>
    <w:rsid w:val="00264D1C"/>
    <w:rsid w:val="00264D27"/>
    <w:rsid w:val="00264E0E"/>
    <w:rsid w:val="002651C4"/>
    <w:rsid w:val="002652E2"/>
    <w:rsid w:val="0026533A"/>
    <w:rsid w:val="00265594"/>
    <w:rsid w:val="002656E7"/>
    <w:rsid w:val="00265A7E"/>
    <w:rsid w:val="00265FB9"/>
    <w:rsid w:val="002660E7"/>
    <w:rsid w:val="00266369"/>
    <w:rsid w:val="00266427"/>
    <w:rsid w:val="002668A5"/>
    <w:rsid w:val="00266963"/>
    <w:rsid w:val="0026698A"/>
    <w:rsid w:val="00266A37"/>
    <w:rsid w:val="00266A4E"/>
    <w:rsid w:val="0026743B"/>
    <w:rsid w:val="002674D4"/>
    <w:rsid w:val="0026788C"/>
    <w:rsid w:val="00267B8E"/>
    <w:rsid w:val="00270089"/>
    <w:rsid w:val="002702AC"/>
    <w:rsid w:val="002703EE"/>
    <w:rsid w:val="00270486"/>
    <w:rsid w:val="0027067A"/>
    <w:rsid w:val="00270B4C"/>
    <w:rsid w:val="00270BA6"/>
    <w:rsid w:val="00271495"/>
    <w:rsid w:val="002718F5"/>
    <w:rsid w:val="00271BB0"/>
    <w:rsid w:val="00271C21"/>
    <w:rsid w:val="00272197"/>
    <w:rsid w:val="00272239"/>
    <w:rsid w:val="0027254B"/>
    <w:rsid w:val="0027257D"/>
    <w:rsid w:val="0027278D"/>
    <w:rsid w:val="002727A5"/>
    <w:rsid w:val="002727F1"/>
    <w:rsid w:val="00272815"/>
    <w:rsid w:val="0027284A"/>
    <w:rsid w:val="00272976"/>
    <w:rsid w:val="00272E6F"/>
    <w:rsid w:val="0027309A"/>
    <w:rsid w:val="00273166"/>
    <w:rsid w:val="002733D4"/>
    <w:rsid w:val="0027349E"/>
    <w:rsid w:val="00273798"/>
    <w:rsid w:val="0027381D"/>
    <w:rsid w:val="0027386A"/>
    <w:rsid w:val="00273D5D"/>
    <w:rsid w:val="00274177"/>
    <w:rsid w:val="002743FA"/>
    <w:rsid w:val="00274620"/>
    <w:rsid w:val="00274BBB"/>
    <w:rsid w:val="00274EAD"/>
    <w:rsid w:val="00274F2E"/>
    <w:rsid w:val="0027566E"/>
    <w:rsid w:val="00275A35"/>
    <w:rsid w:val="00275A9F"/>
    <w:rsid w:val="00275D3C"/>
    <w:rsid w:val="00275D68"/>
    <w:rsid w:val="00276171"/>
    <w:rsid w:val="0027680C"/>
    <w:rsid w:val="00276900"/>
    <w:rsid w:val="00276C62"/>
    <w:rsid w:val="0027710B"/>
    <w:rsid w:val="00277155"/>
    <w:rsid w:val="00277448"/>
    <w:rsid w:val="0027752A"/>
    <w:rsid w:val="00277889"/>
    <w:rsid w:val="00277C1C"/>
    <w:rsid w:val="00277D4A"/>
    <w:rsid w:val="00277E37"/>
    <w:rsid w:val="00277E82"/>
    <w:rsid w:val="00280061"/>
    <w:rsid w:val="00280377"/>
    <w:rsid w:val="0028041B"/>
    <w:rsid w:val="002804AC"/>
    <w:rsid w:val="002804EB"/>
    <w:rsid w:val="002808BE"/>
    <w:rsid w:val="00281059"/>
    <w:rsid w:val="00281554"/>
    <w:rsid w:val="0028196F"/>
    <w:rsid w:val="00281A05"/>
    <w:rsid w:val="00281C4A"/>
    <w:rsid w:val="00281C8C"/>
    <w:rsid w:val="00282236"/>
    <w:rsid w:val="00282268"/>
    <w:rsid w:val="0028247B"/>
    <w:rsid w:val="002828FD"/>
    <w:rsid w:val="00282F47"/>
    <w:rsid w:val="00283AE9"/>
    <w:rsid w:val="002840A3"/>
    <w:rsid w:val="00284AB7"/>
    <w:rsid w:val="00284D53"/>
    <w:rsid w:val="00284DAF"/>
    <w:rsid w:val="002850DB"/>
    <w:rsid w:val="00285A80"/>
    <w:rsid w:val="00285D73"/>
    <w:rsid w:val="00285F5C"/>
    <w:rsid w:val="002862AB"/>
    <w:rsid w:val="002862DE"/>
    <w:rsid w:val="002865EA"/>
    <w:rsid w:val="002869BD"/>
    <w:rsid w:val="00286A96"/>
    <w:rsid w:val="00286CFA"/>
    <w:rsid w:val="00286F35"/>
    <w:rsid w:val="00287290"/>
    <w:rsid w:val="002874B8"/>
    <w:rsid w:val="002876EC"/>
    <w:rsid w:val="0028777D"/>
    <w:rsid w:val="00287F76"/>
    <w:rsid w:val="00290211"/>
    <w:rsid w:val="002908EB"/>
    <w:rsid w:val="002909A8"/>
    <w:rsid w:val="00290DD8"/>
    <w:rsid w:val="00291376"/>
    <w:rsid w:val="00291628"/>
    <w:rsid w:val="00291E84"/>
    <w:rsid w:val="0029200F"/>
    <w:rsid w:val="00292686"/>
    <w:rsid w:val="00292729"/>
    <w:rsid w:val="00292E42"/>
    <w:rsid w:val="002930F0"/>
    <w:rsid w:val="0029317C"/>
    <w:rsid w:val="00293972"/>
    <w:rsid w:val="002939A1"/>
    <w:rsid w:val="00293E11"/>
    <w:rsid w:val="0029413E"/>
    <w:rsid w:val="00294271"/>
    <w:rsid w:val="0029428F"/>
    <w:rsid w:val="002943C8"/>
    <w:rsid w:val="002943D6"/>
    <w:rsid w:val="002948C8"/>
    <w:rsid w:val="00294B9E"/>
    <w:rsid w:val="00294CC4"/>
    <w:rsid w:val="00294DB4"/>
    <w:rsid w:val="00294E55"/>
    <w:rsid w:val="00294E58"/>
    <w:rsid w:val="00295425"/>
    <w:rsid w:val="002955FB"/>
    <w:rsid w:val="002957D8"/>
    <w:rsid w:val="00295F26"/>
    <w:rsid w:val="0029619C"/>
    <w:rsid w:val="002962DC"/>
    <w:rsid w:val="0029661E"/>
    <w:rsid w:val="002968B2"/>
    <w:rsid w:val="00296AA9"/>
    <w:rsid w:val="00296BFD"/>
    <w:rsid w:val="00296CA0"/>
    <w:rsid w:val="00296E94"/>
    <w:rsid w:val="00296F54"/>
    <w:rsid w:val="0029700A"/>
    <w:rsid w:val="00297699"/>
    <w:rsid w:val="00297761"/>
    <w:rsid w:val="002978BE"/>
    <w:rsid w:val="00297E6D"/>
    <w:rsid w:val="002A0347"/>
    <w:rsid w:val="002A0A1D"/>
    <w:rsid w:val="002A12FD"/>
    <w:rsid w:val="002A1882"/>
    <w:rsid w:val="002A1A95"/>
    <w:rsid w:val="002A1B8C"/>
    <w:rsid w:val="002A28CE"/>
    <w:rsid w:val="002A2E5E"/>
    <w:rsid w:val="002A373D"/>
    <w:rsid w:val="002A3DE5"/>
    <w:rsid w:val="002A3E42"/>
    <w:rsid w:val="002A3EE0"/>
    <w:rsid w:val="002A44A4"/>
    <w:rsid w:val="002A44B4"/>
    <w:rsid w:val="002A4657"/>
    <w:rsid w:val="002A484E"/>
    <w:rsid w:val="002A4F7D"/>
    <w:rsid w:val="002A54AE"/>
    <w:rsid w:val="002A629A"/>
    <w:rsid w:val="002A63A9"/>
    <w:rsid w:val="002A640F"/>
    <w:rsid w:val="002A670F"/>
    <w:rsid w:val="002A6EF8"/>
    <w:rsid w:val="002A7525"/>
    <w:rsid w:val="002A78A7"/>
    <w:rsid w:val="002A7960"/>
    <w:rsid w:val="002A7D91"/>
    <w:rsid w:val="002A7EC9"/>
    <w:rsid w:val="002B01B7"/>
    <w:rsid w:val="002B0249"/>
    <w:rsid w:val="002B03F7"/>
    <w:rsid w:val="002B049D"/>
    <w:rsid w:val="002B0814"/>
    <w:rsid w:val="002B0CB4"/>
    <w:rsid w:val="002B0DBA"/>
    <w:rsid w:val="002B0F56"/>
    <w:rsid w:val="002B113A"/>
    <w:rsid w:val="002B130B"/>
    <w:rsid w:val="002B1735"/>
    <w:rsid w:val="002B1812"/>
    <w:rsid w:val="002B1B7A"/>
    <w:rsid w:val="002B1B82"/>
    <w:rsid w:val="002B2283"/>
    <w:rsid w:val="002B25FB"/>
    <w:rsid w:val="002B2B50"/>
    <w:rsid w:val="002B3064"/>
    <w:rsid w:val="002B323E"/>
    <w:rsid w:val="002B3352"/>
    <w:rsid w:val="002B34FF"/>
    <w:rsid w:val="002B3890"/>
    <w:rsid w:val="002B3C30"/>
    <w:rsid w:val="002B3EB9"/>
    <w:rsid w:val="002B428A"/>
    <w:rsid w:val="002B487A"/>
    <w:rsid w:val="002B4B86"/>
    <w:rsid w:val="002B4EA8"/>
    <w:rsid w:val="002B596F"/>
    <w:rsid w:val="002B5A11"/>
    <w:rsid w:val="002B5B1A"/>
    <w:rsid w:val="002B5BCB"/>
    <w:rsid w:val="002B5D56"/>
    <w:rsid w:val="002B5EAA"/>
    <w:rsid w:val="002B620B"/>
    <w:rsid w:val="002B645E"/>
    <w:rsid w:val="002B6831"/>
    <w:rsid w:val="002B6B25"/>
    <w:rsid w:val="002B6F8C"/>
    <w:rsid w:val="002B706E"/>
    <w:rsid w:val="002B745C"/>
    <w:rsid w:val="002B7529"/>
    <w:rsid w:val="002B75CB"/>
    <w:rsid w:val="002B7983"/>
    <w:rsid w:val="002C0080"/>
    <w:rsid w:val="002C0398"/>
    <w:rsid w:val="002C03CE"/>
    <w:rsid w:val="002C0E2C"/>
    <w:rsid w:val="002C0ECE"/>
    <w:rsid w:val="002C1081"/>
    <w:rsid w:val="002C112A"/>
    <w:rsid w:val="002C12B2"/>
    <w:rsid w:val="002C13AE"/>
    <w:rsid w:val="002C17A3"/>
    <w:rsid w:val="002C1BD4"/>
    <w:rsid w:val="002C1C92"/>
    <w:rsid w:val="002C1FF9"/>
    <w:rsid w:val="002C2097"/>
    <w:rsid w:val="002C2344"/>
    <w:rsid w:val="002C26DE"/>
    <w:rsid w:val="002C28FB"/>
    <w:rsid w:val="002C29DD"/>
    <w:rsid w:val="002C2BAC"/>
    <w:rsid w:val="002C2FD9"/>
    <w:rsid w:val="002C3122"/>
    <w:rsid w:val="002C362C"/>
    <w:rsid w:val="002C3714"/>
    <w:rsid w:val="002C379A"/>
    <w:rsid w:val="002C3B24"/>
    <w:rsid w:val="002C3E80"/>
    <w:rsid w:val="002C421F"/>
    <w:rsid w:val="002C44A8"/>
    <w:rsid w:val="002C4877"/>
    <w:rsid w:val="002C4AA4"/>
    <w:rsid w:val="002C4B78"/>
    <w:rsid w:val="002C4BCB"/>
    <w:rsid w:val="002C4F15"/>
    <w:rsid w:val="002C4F60"/>
    <w:rsid w:val="002C50BF"/>
    <w:rsid w:val="002C552E"/>
    <w:rsid w:val="002C59AC"/>
    <w:rsid w:val="002C5D6A"/>
    <w:rsid w:val="002C63C4"/>
    <w:rsid w:val="002C64C2"/>
    <w:rsid w:val="002C6AB6"/>
    <w:rsid w:val="002C6C39"/>
    <w:rsid w:val="002C702C"/>
    <w:rsid w:val="002C77D8"/>
    <w:rsid w:val="002C7905"/>
    <w:rsid w:val="002C7A4F"/>
    <w:rsid w:val="002D001A"/>
    <w:rsid w:val="002D0179"/>
    <w:rsid w:val="002D07EA"/>
    <w:rsid w:val="002D14B2"/>
    <w:rsid w:val="002D14E2"/>
    <w:rsid w:val="002D23BB"/>
    <w:rsid w:val="002D26BB"/>
    <w:rsid w:val="002D2A74"/>
    <w:rsid w:val="002D2D74"/>
    <w:rsid w:val="002D30D9"/>
    <w:rsid w:val="002D3487"/>
    <w:rsid w:val="002D377F"/>
    <w:rsid w:val="002D37B7"/>
    <w:rsid w:val="002D3D34"/>
    <w:rsid w:val="002D40B9"/>
    <w:rsid w:val="002D41B1"/>
    <w:rsid w:val="002D44D5"/>
    <w:rsid w:val="002D45C1"/>
    <w:rsid w:val="002D45DD"/>
    <w:rsid w:val="002D500B"/>
    <w:rsid w:val="002D5B2B"/>
    <w:rsid w:val="002D5D27"/>
    <w:rsid w:val="002D6341"/>
    <w:rsid w:val="002D648A"/>
    <w:rsid w:val="002D6506"/>
    <w:rsid w:val="002D66F4"/>
    <w:rsid w:val="002D71E2"/>
    <w:rsid w:val="002D7439"/>
    <w:rsid w:val="002D7C26"/>
    <w:rsid w:val="002D7E3D"/>
    <w:rsid w:val="002E0647"/>
    <w:rsid w:val="002E09D6"/>
    <w:rsid w:val="002E0A17"/>
    <w:rsid w:val="002E0A9D"/>
    <w:rsid w:val="002E0AAB"/>
    <w:rsid w:val="002E0BFA"/>
    <w:rsid w:val="002E0DB1"/>
    <w:rsid w:val="002E0E0F"/>
    <w:rsid w:val="002E13F3"/>
    <w:rsid w:val="002E15DD"/>
    <w:rsid w:val="002E166A"/>
    <w:rsid w:val="002E167C"/>
    <w:rsid w:val="002E17A7"/>
    <w:rsid w:val="002E1E79"/>
    <w:rsid w:val="002E223A"/>
    <w:rsid w:val="002E27E0"/>
    <w:rsid w:val="002E2DCC"/>
    <w:rsid w:val="002E35E0"/>
    <w:rsid w:val="002E3B54"/>
    <w:rsid w:val="002E403B"/>
    <w:rsid w:val="002E4450"/>
    <w:rsid w:val="002E4761"/>
    <w:rsid w:val="002E478E"/>
    <w:rsid w:val="002E4DA4"/>
    <w:rsid w:val="002E525F"/>
    <w:rsid w:val="002E52A5"/>
    <w:rsid w:val="002E54A7"/>
    <w:rsid w:val="002E5E0C"/>
    <w:rsid w:val="002E60B7"/>
    <w:rsid w:val="002E62E9"/>
    <w:rsid w:val="002E6345"/>
    <w:rsid w:val="002E6375"/>
    <w:rsid w:val="002E6590"/>
    <w:rsid w:val="002E663C"/>
    <w:rsid w:val="002E6B6F"/>
    <w:rsid w:val="002E709D"/>
    <w:rsid w:val="002E735A"/>
    <w:rsid w:val="002F03F0"/>
    <w:rsid w:val="002F0F72"/>
    <w:rsid w:val="002F10E9"/>
    <w:rsid w:val="002F1260"/>
    <w:rsid w:val="002F1774"/>
    <w:rsid w:val="002F17CD"/>
    <w:rsid w:val="002F1EC3"/>
    <w:rsid w:val="002F1F01"/>
    <w:rsid w:val="002F204E"/>
    <w:rsid w:val="002F2215"/>
    <w:rsid w:val="002F250B"/>
    <w:rsid w:val="002F2678"/>
    <w:rsid w:val="002F27B8"/>
    <w:rsid w:val="002F2916"/>
    <w:rsid w:val="002F2DB7"/>
    <w:rsid w:val="002F3222"/>
    <w:rsid w:val="002F37DE"/>
    <w:rsid w:val="002F3B21"/>
    <w:rsid w:val="002F3DA7"/>
    <w:rsid w:val="002F4141"/>
    <w:rsid w:val="002F4305"/>
    <w:rsid w:val="002F4931"/>
    <w:rsid w:val="002F498C"/>
    <w:rsid w:val="002F4FB0"/>
    <w:rsid w:val="002F53DF"/>
    <w:rsid w:val="002F57F2"/>
    <w:rsid w:val="002F5CD6"/>
    <w:rsid w:val="002F5E1F"/>
    <w:rsid w:val="002F68A4"/>
    <w:rsid w:val="002F6F36"/>
    <w:rsid w:val="002F7122"/>
    <w:rsid w:val="002F72FC"/>
    <w:rsid w:val="002F7538"/>
    <w:rsid w:val="002F769F"/>
    <w:rsid w:val="002F7D08"/>
    <w:rsid w:val="002F7D8B"/>
    <w:rsid w:val="002F7ED7"/>
    <w:rsid w:val="00300368"/>
    <w:rsid w:val="0030043E"/>
    <w:rsid w:val="003005AB"/>
    <w:rsid w:val="0030088A"/>
    <w:rsid w:val="00300A66"/>
    <w:rsid w:val="00300ACA"/>
    <w:rsid w:val="00300BCA"/>
    <w:rsid w:val="00301136"/>
    <w:rsid w:val="0030190B"/>
    <w:rsid w:val="00301DD8"/>
    <w:rsid w:val="0030234B"/>
    <w:rsid w:val="003026B2"/>
    <w:rsid w:val="00302A3F"/>
    <w:rsid w:val="00302FF0"/>
    <w:rsid w:val="00303350"/>
    <w:rsid w:val="00303393"/>
    <w:rsid w:val="003037E8"/>
    <w:rsid w:val="00303AD6"/>
    <w:rsid w:val="00303B74"/>
    <w:rsid w:val="003048AB"/>
    <w:rsid w:val="00304B86"/>
    <w:rsid w:val="00304EBC"/>
    <w:rsid w:val="00304EC3"/>
    <w:rsid w:val="00304FEB"/>
    <w:rsid w:val="003051F6"/>
    <w:rsid w:val="0030522F"/>
    <w:rsid w:val="003055A0"/>
    <w:rsid w:val="003057A5"/>
    <w:rsid w:val="0030599A"/>
    <w:rsid w:val="00305F64"/>
    <w:rsid w:val="00306262"/>
    <w:rsid w:val="0030630E"/>
    <w:rsid w:val="003065CA"/>
    <w:rsid w:val="003067C8"/>
    <w:rsid w:val="0030710C"/>
    <w:rsid w:val="003074B3"/>
    <w:rsid w:val="003075F3"/>
    <w:rsid w:val="00307657"/>
    <w:rsid w:val="00307B6D"/>
    <w:rsid w:val="00307D3C"/>
    <w:rsid w:val="00307EA9"/>
    <w:rsid w:val="00307F9B"/>
    <w:rsid w:val="00310271"/>
    <w:rsid w:val="0031082C"/>
    <w:rsid w:val="0031090A"/>
    <w:rsid w:val="00310C18"/>
    <w:rsid w:val="00311741"/>
    <w:rsid w:val="00311FF1"/>
    <w:rsid w:val="00312166"/>
    <w:rsid w:val="003122C6"/>
    <w:rsid w:val="00312419"/>
    <w:rsid w:val="00312636"/>
    <w:rsid w:val="0031271D"/>
    <w:rsid w:val="00312940"/>
    <w:rsid w:val="00312A54"/>
    <w:rsid w:val="003137B8"/>
    <w:rsid w:val="003138A5"/>
    <w:rsid w:val="00313A64"/>
    <w:rsid w:val="00313B75"/>
    <w:rsid w:val="00313E32"/>
    <w:rsid w:val="00313F54"/>
    <w:rsid w:val="003143E5"/>
    <w:rsid w:val="0031471A"/>
    <w:rsid w:val="00314D69"/>
    <w:rsid w:val="00314DE9"/>
    <w:rsid w:val="00314E9E"/>
    <w:rsid w:val="00315504"/>
    <w:rsid w:val="003155AC"/>
    <w:rsid w:val="00315C41"/>
    <w:rsid w:val="00315EBD"/>
    <w:rsid w:val="00316068"/>
    <w:rsid w:val="00316861"/>
    <w:rsid w:val="0031766A"/>
    <w:rsid w:val="0031770B"/>
    <w:rsid w:val="00317C4C"/>
    <w:rsid w:val="003201D6"/>
    <w:rsid w:val="00320550"/>
    <w:rsid w:val="0032086A"/>
    <w:rsid w:val="00320A0F"/>
    <w:rsid w:val="00320DF2"/>
    <w:rsid w:val="00321E0F"/>
    <w:rsid w:val="003227AE"/>
    <w:rsid w:val="003229D6"/>
    <w:rsid w:val="00322B1B"/>
    <w:rsid w:val="00322B58"/>
    <w:rsid w:val="00322CF8"/>
    <w:rsid w:val="003230EF"/>
    <w:rsid w:val="00323185"/>
    <w:rsid w:val="003232CA"/>
    <w:rsid w:val="00323C35"/>
    <w:rsid w:val="0032400C"/>
    <w:rsid w:val="00324153"/>
    <w:rsid w:val="003241B5"/>
    <w:rsid w:val="003243E9"/>
    <w:rsid w:val="00324519"/>
    <w:rsid w:val="003247E3"/>
    <w:rsid w:val="00324B8F"/>
    <w:rsid w:val="00326311"/>
    <w:rsid w:val="003266E3"/>
    <w:rsid w:val="003267AB"/>
    <w:rsid w:val="00326ED5"/>
    <w:rsid w:val="0032779B"/>
    <w:rsid w:val="003277C6"/>
    <w:rsid w:val="0032797F"/>
    <w:rsid w:val="003279B1"/>
    <w:rsid w:val="0033002C"/>
    <w:rsid w:val="003302B3"/>
    <w:rsid w:val="0033066E"/>
    <w:rsid w:val="00330860"/>
    <w:rsid w:val="00330898"/>
    <w:rsid w:val="00330CD1"/>
    <w:rsid w:val="00330F96"/>
    <w:rsid w:val="00331402"/>
    <w:rsid w:val="00331564"/>
    <w:rsid w:val="00331C83"/>
    <w:rsid w:val="00331F43"/>
    <w:rsid w:val="00332085"/>
    <w:rsid w:val="00332112"/>
    <w:rsid w:val="00332258"/>
    <w:rsid w:val="00332306"/>
    <w:rsid w:val="00332651"/>
    <w:rsid w:val="00332C71"/>
    <w:rsid w:val="00332E1C"/>
    <w:rsid w:val="00332FE7"/>
    <w:rsid w:val="0033323F"/>
    <w:rsid w:val="0033326F"/>
    <w:rsid w:val="003332E9"/>
    <w:rsid w:val="0033336C"/>
    <w:rsid w:val="0033374A"/>
    <w:rsid w:val="00334216"/>
    <w:rsid w:val="00334D4B"/>
    <w:rsid w:val="00334FEC"/>
    <w:rsid w:val="00335234"/>
    <w:rsid w:val="00335454"/>
    <w:rsid w:val="00335556"/>
    <w:rsid w:val="003357A5"/>
    <w:rsid w:val="003358AC"/>
    <w:rsid w:val="00335A67"/>
    <w:rsid w:val="00335ACF"/>
    <w:rsid w:val="00335DFC"/>
    <w:rsid w:val="003364EB"/>
    <w:rsid w:val="003369E9"/>
    <w:rsid w:val="00336AF8"/>
    <w:rsid w:val="00336D82"/>
    <w:rsid w:val="00336E00"/>
    <w:rsid w:val="00336FCE"/>
    <w:rsid w:val="003374B9"/>
    <w:rsid w:val="00337599"/>
    <w:rsid w:val="00337801"/>
    <w:rsid w:val="00337AE4"/>
    <w:rsid w:val="00340525"/>
    <w:rsid w:val="00340943"/>
    <w:rsid w:val="00340D6C"/>
    <w:rsid w:val="00341201"/>
    <w:rsid w:val="0034151E"/>
    <w:rsid w:val="00341652"/>
    <w:rsid w:val="0034170A"/>
    <w:rsid w:val="003417A1"/>
    <w:rsid w:val="00341D9D"/>
    <w:rsid w:val="00341F7B"/>
    <w:rsid w:val="00342020"/>
    <w:rsid w:val="0034208E"/>
    <w:rsid w:val="0034221D"/>
    <w:rsid w:val="003428A8"/>
    <w:rsid w:val="00342971"/>
    <w:rsid w:val="00342CDD"/>
    <w:rsid w:val="003433E1"/>
    <w:rsid w:val="0034376F"/>
    <w:rsid w:val="0034379A"/>
    <w:rsid w:val="00343C4C"/>
    <w:rsid w:val="00344282"/>
    <w:rsid w:val="003444EA"/>
    <w:rsid w:val="00344820"/>
    <w:rsid w:val="00344F4E"/>
    <w:rsid w:val="0034520B"/>
    <w:rsid w:val="00345DA7"/>
    <w:rsid w:val="00345E28"/>
    <w:rsid w:val="00345F3F"/>
    <w:rsid w:val="0034637F"/>
    <w:rsid w:val="00346594"/>
    <w:rsid w:val="003466C2"/>
    <w:rsid w:val="00346AE9"/>
    <w:rsid w:val="00346C60"/>
    <w:rsid w:val="00346CD9"/>
    <w:rsid w:val="00346D95"/>
    <w:rsid w:val="00346DA6"/>
    <w:rsid w:val="00346DCB"/>
    <w:rsid w:val="0034755D"/>
    <w:rsid w:val="0034781D"/>
    <w:rsid w:val="003478B8"/>
    <w:rsid w:val="00347A7B"/>
    <w:rsid w:val="00347C78"/>
    <w:rsid w:val="0035047A"/>
    <w:rsid w:val="003506A3"/>
    <w:rsid w:val="0035073E"/>
    <w:rsid w:val="003508F5"/>
    <w:rsid w:val="00350C02"/>
    <w:rsid w:val="00350C65"/>
    <w:rsid w:val="00350ED6"/>
    <w:rsid w:val="003514A5"/>
    <w:rsid w:val="00351508"/>
    <w:rsid w:val="003515E4"/>
    <w:rsid w:val="003516AB"/>
    <w:rsid w:val="00351775"/>
    <w:rsid w:val="0035203D"/>
    <w:rsid w:val="0035209C"/>
    <w:rsid w:val="003520F2"/>
    <w:rsid w:val="00352478"/>
    <w:rsid w:val="0035276A"/>
    <w:rsid w:val="00352844"/>
    <w:rsid w:val="00352C51"/>
    <w:rsid w:val="00352DA4"/>
    <w:rsid w:val="00352DD2"/>
    <w:rsid w:val="00352F42"/>
    <w:rsid w:val="00353066"/>
    <w:rsid w:val="003530D0"/>
    <w:rsid w:val="003534F2"/>
    <w:rsid w:val="00353727"/>
    <w:rsid w:val="0035378F"/>
    <w:rsid w:val="00353A33"/>
    <w:rsid w:val="00354081"/>
    <w:rsid w:val="00354271"/>
    <w:rsid w:val="00354501"/>
    <w:rsid w:val="0035460B"/>
    <w:rsid w:val="00354CEC"/>
    <w:rsid w:val="00354F2C"/>
    <w:rsid w:val="0035527A"/>
    <w:rsid w:val="003552D7"/>
    <w:rsid w:val="003552DE"/>
    <w:rsid w:val="003552EC"/>
    <w:rsid w:val="00355346"/>
    <w:rsid w:val="0035597C"/>
    <w:rsid w:val="00355E27"/>
    <w:rsid w:val="00357189"/>
    <w:rsid w:val="0035733C"/>
    <w:rsid w:val="00357450"/>
    <w:rsid w:val="00357467"/>
    <w:rsid w:val="00357662"/>
    <w:rsid w:val="00357726"/>
    <w:rsid w:val="00357C8B"/>
    <w:rsid w:val="00357DB0"/>
    <w:rsid w:val="0036024D"/>
    <w:rsid w:val="003602E7"/>
    <w:rsid w:val="00360444"/>
    <w:rsid w:val="003606A5"/>
    <w:rsid w:val="00360878"/>
    <w:rsid w:val="00360937"/>
    <w:rsid w:val="00361487"/>
    <w:rsid w:val="003617E9"/>
    <w:rsid w:val="00361AD2"/>
    <w:rsid w:val="00361C7B"/>
    <w:rsid w:val="00361F71"/>
    <w:rsid w:val="003623D0"/>
    <w:rsid w:val="003625C9"/>
    <w:rsid w:val="00362655"/>
    <w:rsid w:val="00362B31"/>
    <w:rsid w:val="00362DF5"/>
    <w:rsid w:val="003630E0"/>
    <w:rsid w:val="003630E3"/>
    <w:rsid w:val="00363320"/>
    <w:rsid w:val="00363362"/>
    <w:rsid w:val="0036364D"/>
    <w:rsid w:val="00363751"/>
    <w:rsid w:val="00363892"/>
    <w:rsid w:val="00363BA9"/>
    <w:rsid w:val="00363F7A"/>
    <w:rsid w:val="00364295"/>
    <w:rsid w:val="003643F1"/>
    <w:rsid w:val="003645AF"/>
    <w:rsid w:val="003646B0"/>
    <w:rsid w:val="00364B65"/>
    <w:rsid w:val="00364C67"/>
    <w:rsid w:val="00364DAC"/>
    <w:rsid w:val="00365240"/>
    <w:rsid w:val="003652B5"/>
    <w:rsid w:val="003656F1"/>
    <w:rsid w:val="003661D8"/>
    <w:rsid w:val="003662D4"/>
    <w:rsid w:val="0036650E"/>
    <w:rsid w:val="0036682B"/>
    <w:rsid w:val="0036699E"/>
    <w:rsid w:val="00366D2A"/>
    <w:rsid w:val="00366D35"/>
    <w:rsid w:val="00367107"/>
    <w:rsid w:val="003672B7"/>
    <w:rsid w:val="00367842"/>
    <w:rsid w:val="00370778"/>
    <w:rsid w:val="003707DA"/>
    <w:rsid w:val="00370DCA"/>
    <w:rsid w:val="003715A2"/>
    <w:rsid w:val="00371DE0"/>
    <w:rsid w:val="00371F1B"/>
    <w:rsid w:val="0037202E"/>
    <w:rsid w:val="00372319"/>
    <w:rsid w:val="00372368"/>
    <w:rsid w:val="00373884"/>
    <w:rsid w:val="003738EA"/>
    <w:rsid w:val="003739FC"/>
    <w:rsid w:val="00373D6F"/>
    <w:rsid w:val="00373ED7"/>
    <w:rsid w:val="00373F6B"/>
    <w:rsid w:val="003742E8"/>
    <w:rsid w:val="0037471D"/>
    <w:rsid w:val="003749B0"/>
    <w:rsid w:val="00374C56"/>
    <w:rsid w:val="003750EC"/>
    <w:rsid w:val="00375811"/>
    <w:rsid w:val="00375C25"/>
    <w:rsid w:val="0037600D"/>
    <w:rsid w:val="003760B4"/>
    <w:rsid w:val="0037686F"/>
    <w:rsid w:val="00376C06"/>
    <w:rsid w:val="00377031"/>
    <w:rsid w:val="00377691"/>
    <w:rsid w:val="003779B7"/>
    <w:rsid w:val="00377ACB"/>
    <w:rsid w:val="00377B2E"/>
    <w:rsid w:val="00377BBF"/>
    <w:rsid w:val="00377D23"/>
    <w:rsid w:val="0038003F"/>
    <w:rsid w:val="00380240"/>
    <w:rsid w:val="00380684"/>
    <w:rsid w:val="00380C09"/>
    <w:rsid w:val="00380ED7"/>
    <w:rsid w:val="00380F6A"/>
    <w:rsid w:val="00381221"/>
    <w:rsid w:val="003812C2"/>
    <w:rsid w:val="0038131C"/>
    <w:rsid w:val="00381419"/>
    <w:rsid w:val="00381550"/>
    <w:rsid w:val="00381751"/>
    <w:rsid w:val="00381BA5"/>
    <w:rsid w:val="00381FDE"/>
    <w:rsid w:val="00382185"/>
    <w:rsid w:val="003825B1"/>
    <w:rsid w:val="00382674"/>
    <w:rsid w:val="003828E4"/>
    <w:rsid w:val="00382C4F"/>
    <w:rsid w:val="00382DFD"/>
    <w:rsid w:val="00382EA5"/>
    <w:rsid w:val="003830F2"/>
    <w:rsid w:val="003831BB"/>
    <w:rsid w:val="00383416"/>
    <w:rsid w:val="0038342A"/>
    <w:rsid w:val="0038386C"/>
    <w:rsid w:val="00383932"/>
    <w:rsid w:val="00383AEB"/>
    <w:rsid w:val="003841EF"/>
    <w:rsid w:val="00384595"/>
    <w:rsid w:val="003847F8"/>
    <w:rsid w:val="00384DCF"/>
    <w:rsid w:val="003851B8"/>
    <w:rsid w:val="0038543F"/>
    <w:rsid w:val="0038587C"/>
    <w:rsid w:val="003858E3"/>
    <w:rsid w:val="00385B90"/>
    <w:rsid w:val="00385CD1"/>
    <w:rsid w:val="00386C39"/>
    <w:rsid w:val="00386C51"/>
    <w:rsid w:val="003870C7"/>
    <w:rsid w:val="00387279"/>
    <w:rsid w:val="003873EC"/>
    <w:rsid w:val="0038758C"/>
    <w:rsid w:val="003877B4"/>
    <w:rsid w:val="003877FA"/>
    <w:rsid w:val="00387B14"/>
    <w:rsid w:val="00387C00"/>
    <w:rsid w:val="0039050A"/>
    <w:rsid w:val="003907B7"/>
    <w:rsid w:val="00390A71"/>
    <w:rsid w:val="00390BBB"/>
    <w:rsid w:val="00391051"/>
    <w:rsid w:val="00391722"/>
    <w:rsid w:val="003918C2"/>
    <w:rsid w:val="00391D3E"/>
    <w:rsid w:val="003923C9"/>
    <w:rsid w:val="003929B9"/>
    <w:rsid w:val="0039302C"/>
    <w:rsid w:val="003930E4"/>
    <w:rsid w:val="00393315"/>
    <w:rsid w:val="00393591"/>
    <w:rsid w:val="00393B51"/>
    <w:rsid w:val="00393D3F"/>
    <w:rsid w:val="00393D4D"/>
    <w:rsid w:val="00394380"/>
    <w:rsid w:val="0039486E"/>
    <w:rsid w:val="00395136"/>
    <w:rsid w:val="00395D05"/>
    <w:rsid w:val="00395D07"/>
    <w:rsid w:val="003961E3"/>
    <w:rsid w:val="0039625A"/>
    <w:rsid w:val="00396DE8"/>
    <w:rsid w:val="00396E03"/>
    <w:rsid w:val="00397213"/>
    <w:rsid w:val="0039735D"/>
    <w:rsid w:val="003974F3"/>
    <w:rsid w:val="003977A3"/>
    <w:rsid w:val="00397B3F"/>
    <w:rsid w:val="00397E52"/>
    <w:rsid w:val="003A050D"/>
    <w:rsid w:val="003A0C00"/>
    <w:rsid w:val="003A0E36"/>
    <w:rsid w:val="003A0EE1"/>
    <w:rsid w:val="003A1006"/>
    <w:rsid w:val="003A1049"/>
    <w:rsid w:val="003A117A"/>
    <w:rsid w:val="003A1251"/>
    <w:rsid w:val="003A13A2"/>
    <w:rsid w:val="003A1870"/>
    <w:rsid w:val="003A1AB3"/>
    <w:rsid w:val="003A2214"/>
    <w:rsid w:val="003A2282"/>
    <w:rsid w:val="003A2290"/>
    <w:rsid w:val="003A2350"/>
    <w:rsid w:val="003A265D"/>
    <w:rsid w:val="003A31E4"/>
    <w:rsid w:val="003A36FC"/>
    <w:rsid w:val="003A3841"/>
    <w:rsid w:val="003A3DF1"/>
    <w:rsid w:val="003A3F2C"/>
    <w:rsid w:val="003A3F86"/>
    <w:rsid w:val="003A3FE5"/>
    <w:rsid w:val="003A518A"/>
    <w:rsid w:val="003A5674"/>
    <w:rsid w:val="003A577F"/>
    <w:rsid w:val="003A5977"/>
    <w:rsid w:val="003A61A8"/>
    <w:rsid w:val="003A652C"/>
    <w:rsid w:val="003A6670"/>
    <w:rsid w:val="003A6CD3"/>
    <w:rsid w:val="003A7D08"/>
    <w:rsid w:val="003A7FE6"/>
    <w:rsid w:val="003B030F"/>
    <w:rsid w:val="003B036B"/>
    <w:rsid w:val="003B03EF"/>
    <w:rsid w:val="003B0761"/>
    <w:rsid w:val="003B076F"/>
    <w:rsid w:val="003B0AB5"/>
    <w:rsid w:val="003B0C3B"/>
    <w:rsid w:val="003B0E7D"/>
    <w:rsid w:val="003B1525"/>
    <w:rsid w:val="003B157D"/>
    <w:rsid w:val="003B1AFF"/>
    <w:rsid w:val="003B1CD3"/>
    <w:rsid w:val="003B1D02"/>
    <w:rsid w:val="003B1D7D"/>
    <w:rsid w:val="003B1EF7"/>
    <w:rsid w:val="003B220C"/>
    <w:rsid w:val="003B2492"/>
    <w:rsid w:val="003B2805"/>
    <w:rsid w:val="003B2C01"/>
    <w:rsid w:val="003B2C2C"/>
    <w:rsid w:val="003B2F20"/>
    <w:rsid w:val="003B2F26"/>
    <w:rsid w:val="003B36AC"/>
    <w:rsid w:val="003B381B"/>
    <w:rsid w:val="003B384A"/>
    <w:rsid w:val="003B40B4"/>
    <w:rsid w:val="003B4338"/>
    <w:rsid w:val="003B4529"/>
    <w:rsid w:val="003B45B0"/>
    <w:rsid w:val="003B4643"/>
    <w:rsid w:val="003B4962"/>
    <w:rsid w:val="003B4C8E"/>
    <w:rsid w:val="003B53D3"/>
    <w:rsid w:val="003B573B"/>
    <w:rsid w:val="003B574D"/>
    <w:rsid w:val="003B5B18"/>
    <w:rsid w:val="003B5E91"/>
    <w:rsid w:val="003B635A"/>
    <w:rsid w:val="003B6BED"/>
    <w:rsid w:val="003B6C70"/>
    <w:rsid w:val="003B6EA9"/>
    <w:rsid w:val="003B7026"/>
    <w:rsid w:val="003B7C67"/>
    <w:rsid w:val="003B7D50"/>
    <w:rsid w:val="003B7E52"/>
    <w:rsid w:val="003C017E"/>
    <w:rsid w:val="003C03E8"/>
    <w:rsid w:val="003C06C4"/>
    <w:rsid w:val="003C08FC"/>
    <w:rsid w:val="003C0C05"/>
    <w:rsid w:val="003C0D79"/>
    <w:rsid w:val="003C1208"/>
    <w:rsid w:val="003C1365"/>
    <w:rsid w:val="003C1441"/>
    <w:rsid w:val="003C14F9"/>
    <w:rsid w:val="003C1B9D"/>
    <w:rsid w:val="003C1BBD"/>
    <w:rsid w:val="003C1CC5"/>
    <w:rsid w:val="003C1E84"/>
    <w:rsid w:val="003C2107"/>
    <w:rsid w:val="003C2458"/>
    <w:rsid w:val="003C25CD"/>
    <w:rsid w:val="003C292B"/>
    <w:rsid w:val="003C2E26"/>
    <w:rsid w:val="003C3071"/>
    <w:rsid w:val="003C34DF"/>
    <w:rsid w:val="003C3836"/>
    <w:rsid w:val="003C3A33"/>
    <w:rsid w:val="003C3B3F"/>
    <w:rsid w:val="003C42BC"/>
    <w:rsid w:val="003C44CC"/>
    <w:rsid w:val="003C45C2"/>
    <w:rsid w:val="003C47CE"/>
    <w:rsid w:val="003C47DF"/>
    <w:rsid w:val="003C48A9"/>
    <w:rsid w:val="003C48AB"/>
    <w:rsid w:val="003C4BDA"/>
    <w:rsid w:val="003C4DED"/>
    <w:rsid w:val="003C4EEE"/>
    <w:rsid w:val="003C5074"/>
    <w:rsid w:val="003C56AF"/>
    <w:rsid w:val="003C5803"/>
    <w:rsid w:val="003C58B0"/>
    <w:rsid w:val="003C5A5C"/>
    <w:rsid w:val="003C6B1B"/>
    <w:rsid w:val="003C6D66"/>
    <w:rsid w:val="003C7A67"/>
    <w:rsid w:val="003C7D1B"/>
    <w:rsid w:val="003D0955"/>
    <w:rsid w:val="003D0ACE"/>
    <w:rsid w:val="003D11ED"/>
    <w:rsid w:val="003D161B"/>
    <w:rsid w:val="003D17D8"/>
    <w:rsid w:val="003D1848"/>
    <w:rsid w:val="003D1866"/>
    <w:rsid w:val="003D19F9"/>
    <w:rsid w:val="003D1C2B"/>
    <w:rsid w:val="003D21BE"/>
    <w:rsid w:val="003D25ED"/>
    <w:rsid w:val="003D28BD"/>
    <w:rsid w:val="003D2965"/>
    <w:rsid w:val="003D2CD5"/>
    <w:rsid w:val="003D2D9F"/>
    <w:rsid w:val="003D30AC"/>
    <w:rsid w:val="003D33F5"/>
    <w:rsid w:val="003D346A"/>
    <w:rsid w:val="003D444A"/>
    <w:rsid w:val="003D4770"/>
    <w:rsid w:val="003D513E"/>
    <w:rsid w:val="003D52BE"/>
    <w:rsid w:val="003D560D"/>
    <w:rsid w:val="003D5EFE"/>
    <w:rsid w:val="003D615C"/>
    <w:rsid w:val="003D64AC"/>
    <w:rsid w:val="003D6539"/>
    <w:rsid w:val="003D6F1B"/>
    <w:rsid w:val="003D7233"/>
    <w:rsid w:val="003D743F"/>
    <w:rsid w:val="003D770B"/>
    <w:rsid w:val="003D773B"/>
    <w:rsid w:val="003D77A5"/>
    <w:rsid w:val="003D78BB"/>
    <w:rsid w:val="003E02DD"/>
    <w:rsid w:val="003E05F3"/>
    <w:rsid w:val="003E06FC"/>
    <w:rsid w:val="003E14E7"/>
    <w:rsid w:val="003E17C2"/>
    <w:rsid w:val="003E18FD"/>
    <w:rsid w:val="003E2081"/>
    <w:rsid w:val="003E2087"/>
    <w:rsid w:val="003E22BD"/>
    <w:rsid w:val="003E2AD9"/>
    <w:rsid w:val="003E2BD1"/>
    <w:rsid w:val="003E2DDC"/>
    <w:rsid w:val="003E399B"/>
    <w:rsid w:val="003E3B7C"/>
    <w:rsid w:val="003E3B8B"/>
    <w:rsid w:val="003E3CF0"/>
    <w:rsid w:val="003E42DF"/>
    <w:rsid w:val="003E457C"/>
    <w:rsid w:val="003E46A0"/>
    <w:rsid w:val="003E477B"/>
    <w:rsid w:val="003E4A07"/>
    <w:rsid w:val="003E4D37"/>
    <w:rsid w:val="003E50B6"/>
    <w:rsid w:val="003E5238"/>
    <w:rsid w:val="003E5560"/>
    <w:rsid w:val="003E5695"/>
    <w:rsid w:val="003E57B1"/>
    <w:rsid w:val="003E584F"/>
    <w:rsid w:val="003E5B51"/>
    <w:rsid w:val="003E5D1D"/>
    <w:rsid w:val="003E5D2A"/>
    <w:rsid w:val="003E5E29"/>
    <w:rsid w:val="003E6417"/>
    <w:rsid w:val="003E6502"/>
    <w:rsid w:val="003E6717"/>
    <w:rsid w:val="003E6E80"/>
    <w:rsid w:val="003E711E"/>
    <w:rsid w:val="003E7764"/>
    <w:rsid w:val="003E7F5A"/>
    <w:rsid w:val="003F068B"/>
    <w:rsid w:val="003F0B3C"/>
    <w:rsid w:val="003F0C5A"/>
    <w:rsid w:val="003F1106"/>
    <w:rsid w:val="003F11B5"/>
    <w:rsid w:val="003F14CC"/>
    <w:rsid w:val="003F1B38"/>
    <w:rsid w:val="003F1D58"/>
    <w:rsid w:val="003F1DD9"/>
    <w:rsid w:val="003F223B"/>
    <w:rsid w:val="003F22A7"/>
    <w:rsid w:val="003F361C"/>
    <w:rsid w:val="003F3CEC"/>
    <w:rsid w:val="003F3D11"/>
    <w:rsid w:val="003F3F99"/>
    <w:rsid w:val="003F4863"/>
    <w:rsid w:val="003F4893"/>
    <w:rsid w:val="003F4990"/>
    <w:rsid w:val="003F49EB"/>
    <w:rsid w:val="003F4AC0"/>
    <w:rsid w:val="003F4D1F"/>
    <w:rsid w:val="003F4E7B"/>
    <w:rsid w:val="003F5639"/>
    <w:rsid w:val="003F569B"/>
    <w:rsid w:val="003F56A8"/>
    <w:rsid w:val="003F5D9C"/>
    <w:rsid w:val="003F5E6C"/>
    <w:rsid w:val="003F5FB5"/>
    <w:rsid w:val="003F614A"/>
    <w:rsid w:val="003F6511"/>
    <w:rsid w:val="003F6BDC"/>
    <w:rsid w:val="003F6CD8"/>
    <w:rsid w:val="003F6D04"/>
    <w:rsid w:val="003F6D10"/>
    <w:rsid w:val="003F7131"/>
    <w:rsid w:val="003F72E6"/>
    <w:rsid w:val="003F734A"/>
    <w:rsid w:val="003F74C8"/>
    <w:rsid w:val="003F7809"/>
    <w:rsid w:val="003F789F"/>
    <w:rsid w:val="003F79FF"/>
    <w:rsid w:val="00400E43"/>
    <w:rsid w:val="00400F9C"/>
    <w:rsid w:val="004016E8"/>
    <w:rsid w:val="004018F1"/>
    <w:rsid w:val="00401933"/>
    <w:rsid w:val="00401A73"/>
    <w:rsid w:val="00401AC1"/>
    <w:rsid w:val="00401CBA"/>
    <w:rsid w:val="00401D25"/>
    <w:rsid w:val="00401D27"/>
    <w:rsid w:val="00401D37"/>
    <w:rsid w:val="00401E38"/>
    <w:rsid w:val="00401ED6"/>
    <w:rsid w:val="004020F3"/>
    <w:rsid w:val="00402141"/>
    <w:rsid w:val="00402420"/>
    <w:rsid w:val="00402452"/>
    <w:rsid w:val="004025BF"/>
    <w:rsid w:val="00402C58"/>
    <w:rsid w:val="0040359C"/>
    <w:rsid w:val="00403783"/>
    <w:rsid w:val="00404073"/>
    <w:rsid w:val="00404096"/>
    <w:rsid w:val="00404B2C"/>
    <w:rsid w:val="00404BA0"/>
    <w:rsid w:val="0040523B"/>
    <w:rsid w:val="004053AA"/>
    <w:rsid w:val="00405905"/>
    <w:rsid w:val="00405963"/>
    <w:rsid w:val="00405A4B"/>
    <w:rsid w:val="00405D4C"/>
    <w:rsid w:val="004065D7"/>
    <w:rsid w:val="0040672B"/>
    <w:rsid w:val="00406E02"/>
    <w:rsid w:val="00406F3C"/>
    <w:rsid w:val="004071B8"/>
    <w:rsid w:val="004077BD"/>
    <w:rsid w:val="00407978"/>
    <w:rsid w:val="00407D29"/>
    <w:rsid w:val="00407E4C"/>
    <w:rsid w:val="00407E9B"/>
    <w:rsid w:val="00410376"/>
    <w:rsid w:val="004105EC"/>
    <w:rsid w:val="004106ED"/>
    <w:rsid w:val="0041090D"/>
    <w:rsid w:val="00410977"/>
    <w:rsid w:val="00410B07"/>
    <w:rsid w:val="00410BEC"/>
    <w:rsid w:val="00410F7D"/>
    <w:rsid w:val="0041103D"/>
    <w:rsid w:val="0041165F"/>
    <w:rsid w:val="00411A76"/>
    <w:rsid w:val="00411D7D"/>
    <w:rsid w:val="00411F02"/>
    <w:rsid w:val="0041201D"/>
    <w:rsid w:val="004120EB"/>
    <w:rsid w:val="0041235A"/>
    <w:rsid w:val="004123A4"/>
    <w:rsid w:val="00412449"/>
    <w:rsid w:val="004124B7"/>
    <w:rsid w:val="004127E1"/>
    <w:rsid w:val="00412A73"/>
    <w:rsid w:val="004130F2"/>
    <w:rsid w:val="00413355"/>
    <w:rsid w:val="00413597"/>
    <w:rsid w:val="004135B3"/>
    <w:rsid w:val="004137BB"/>
    <w:rsid w:val="00413BB7"/>
    <w:rsid w:val="00413EE2"/>
    <w:rsid w:val="0041423B"/>
    <w:rsid w:val="00415074"/>
    <w:rsid w:val="004155C8"/>
    <w:rsid w:val="004158A8"/>
    <w:rsid w:val="004159BF"/>
    <w:rsid w:val="00415B87"/>
    <w:rsid w:val="00415C52"/>
    <w:rsid w:val="00415DE2"/>
    <w:rsid w:val="0041602E"/>
    <w:rsid w:val="00416475"/>
    <w:rsid w:val="0041679A"/>
    <w:rsid w:val="004167F6"/>
    <w:rsid w:val="00416911"/>
    <w:rsid w:val="004169B9"/>
    <w:rsid w:val="00416A32"/>
    <w:rsid w:val="00416FD8"/>
    <w:rsid w:val="004175B6"/>
    <w:rsid w:val="00417714"/>
    <w:rsid w:val="00417BB4"/>
    <w:rsid w:val="00417C33"/>
    <w:rsid w:val="00417D16"/>
    <w:rsid w:val="00417E1D"/>
    <w:rsid w:val="00417ECD"/>
    <w:rsid w:val="004203DA"/>
    <w:rsid w:val="00420545"/>
    <w:rsid w:val="00420620"/>
    <w:rsid w:val="004206E3"/>
    <w:rsid w:val="00420AA9"/>
    <w:rsid w:val="00420AF5"/>
    <w:rsid w:val="00420CB5"/>
    <w:rsid w:val="00420F56"/>
    <w:rsid w:val="004213C5"/>
    <w:rsid w:val="00421675"/>
    <w:rsid w:val="00421903"/>
    <w:rsid w:val="00421A7F"/>
    <w:rsid w:val="00421C4D"/>
    <w:rsid w:val="00421D7E"/>
    <w:rsid w:val="00421ED1"/>
    <w:rsid w:val="00421F6D"/>
    <w:rsid w:val="00422146"/>
    <w:rsid w:val="0042218D"/>
    <w:rsid w:val="00422303"/>
    <w:rsid w:val="004225D4"/>
    <w:rsid w:val="00422ED6"/>
    <w:rsid w:val="004231CB"/>
    <w:rsid w:val="00423755"/>
    <w:rsid w:val="004239FF"/>
    <w:rsid w:val="00423A39"/>
    <w:rsid w:val="00423C08"/>
    <w:rsid w:val="00423CB4"/>
    <w:rsid w:val="004243F9"/>
    <w:rsid w:val="004244D4"/>
    <w:rsid w:val="00424647"/>
    <w:rsid w:val="0042490B"/>
    <w:rsid w:val="00425437"/>
    <w:rsid w:val="004256B4"/>
    <w:rsid w:val="00425724"/>
    <w:rsid w:val="00425AC0"/>
    <w:rsid w:val="00425AED"/>
    <w:rsid w:val="00425B7A"/>
    <w:rsid w:val="00425DA0"/>
    <w:rsid w:val="00425DED"/>
    <w:rsid w:val="00425E97"/>
    <w:rsid w:val="00425FCC"/>
    <w:rsid w:val="0042609B"/>
    <w:rsid w:val="00426210"/>
    <w:rsid w:val="00426B03"/>
    <w:rsid w:val="00426B1C"/>
    <w:rsid w:val="00426B82"/>
    <w:rsid w:val="00426F10"/>
    <w:rsid w:val="00427417"/>
    <w:rsid w:val="004279EA"/>
    <w:rsid w:val="00427ED8"/>
    <w:rsid w:val="00427FF2"/>
    <w:rsid w:val="00430489"/>
    <w:rsid w:val="004309C8"/>
    <w:rsid w:val="00430B6C"/>
    <w:rsid w:val="00430B7F"/>
    <w:rsid w:val="00430EA4"/>
    <w:rsid w:val="00430F36"/>
    <w:rsid w:val="00431975"/>
    <w:rsid w:val="00431E54"/>
    <w:rsid w:val="004323D0"/>
    <w:rsid w:val="004324F0"/>
    <w:rsid w:val="00432932"/>
    <w:rsid w:val="00432A85"/>
    <w:rsid w:val="00432A8E"/>
    <w:rsid w:val="00432B1B"/>
    <w:rsid w:val="00432B6E"/>
    <w:rsid w:val="00432E67"/>
    <w:rsid w:val="00432E68"/>
    <w:rsid w:val="00433355"/>
    <w:rsid w:val="00433B74"/>
    <w:rsid w:val="00433B94"/>
    <w:rsid w:val="00433F34"/>
    <w:rsid w:val="00434001"/>
    <w:rsid w:val="00434015"/>
    <w:rsid w:val="00434061"/>
    <w:rsid w:val="00434325"/>
    <w:rsid w:val="0043456C"/>
    <w:rsid w:val="00434932"/>
    <w:rsid w:val="004349F7"/>
    <w:rsid w:val="00434D0D"/>
    <w:rsid w:val="004350BA"/>
    <w:rsid w:val="004356A8"/>
    <w:rsid w:val="00435802"/>
    <w:rsid w:val="004358FA"/>
    <w:rsid w:val="00435A1B"/>
    <w:rsid w:val="00435D51"/>
    <w:rsid w:val="0043643A"/>
    <w:rsid w:val="00436758"/>
    <w:rsid w:val="00436860"/>
    <w:rsid w:val="00436BBA"/>
    <w:rsid w:val="00436D25"/>
    <w:rsid w:val="00437253"/>
    <w:rsid w:val="004375A1"/>
    <w:rsid w:val="00437D34"/>
    <w:rsid w:val="004404A2"/>
    <w:rsid w:val="00440749"/>
    <w:rsid w:val="00440926"/>
    <w:rsid w:val="00440CA4"/>
    <w:rsid w:val="00440F98"/>
    <w:rsid w:val="00441608"/>
    <w:rsid w:val="004416A0"/>
    <w:rsid w:val="00441AF8"/>
    <w:rsid w:val="00441B06"/>
    <w:rsid w:val="00441C7C"/>
    <w:rsid w:val="004423DE"/>
    <w:rsid w:val="004429D3"/>
    <w:rsid w:val="00442A1A"/>
    <w:rsid w:val="00442C1F"/>
    <w:rsid w:val="00442DCC"/>
    <w:rsid w:val="00443449"/>
    <w:rsid w:val="00443AEA"/>
    <w:rsid w:val="00443DAD"/>
    <w:rsid w:val="00443DC1"/>
    <w:rsid w:val="0044408A"/>
    <w:rsid w:val="00444495"/>
    <w:rsid w:val="00444508"/>
    <w:rsid w:val="00444509"/>
    <w:rsid w:val="00445096"/>
    <w:rsid w:val="0044536C"/>
    <w:rsid w:val="004459F5"/>
    <w:rsid w:val="00445DEB"/>
    <w:rsid w:val="00445FBF"/>
    <w:rsid w:val="004461DD"/>
    <w:rsid w:val="0044666B"/>
    <w:rsid w:val="0044694C"/>
    <w:rsid w:val="00446A13"/>
    <w:rsid w:val="00446AD8"/>
    <w:rsid w:val="004474D4"/>
    <w:rsid w:val="00447576"/>
    <w:rsid w:val="004476D1"/>
    <w:rsid w:val="00447A29"/>
    <w:rsid w:val="00447B32"/>
    <w:rsid w:val="00447C6E"/>
    <w:rsid w:val="00447EA3"/>
    <w:rsid w:val="0045012B"/>
    <w:rsid w:val="004508A8"/>
    <w:rsid w:val="00450DD9"/>
    <w:rsid w:val="00450FD5"/>
    <w:rsid w:val="00451137"/>
    <w:rsid w:val="0045113B"/>
    <w:rsid w:val="004513DB"/>
    <w:rsid w:val="004514A2"/>
    <w:rsid w:val="00451B4C"/>
    <w:rsid w:val="00451FAA"/>
    <w:rsid w:val="00452C7F"/>
    <w:rsid w:val="00452F7A"/>
    <w:rsid w:val="004535F3"/>
    <w:rsid w:val="00453AA8"/>
    <w:rsid w:val="004541EE"/>
    <w:rsid w:val="004541FD"/>
    <w:rsid w:val="0045489F"/>
    <w:rsid w:val="00454AF8"/>
    <w:rsid w:val="00454B3F"/>
    <w:rsid w:val="00454BC1"/>
    <w:rsid w:val="00454D1F"/>
    <w:rsid w:val="0045558E"/>
    <w:rsid w:val="0045580C"/>
    <w:rsid w:val="004559EF"/>
    <w:rsid w:val="00455B62"/>
    <w:rsid w:val="004560DB"/>
    <w:rsid w:val="00456138"/>
    <w:rsid w:val="004567AC"/>
    <w:rsid w:val="00456CDB"/>
    <w:rsid w:val="00457730"/>
    <w:rsid w:val="00457ACC"/>
    <w:rsid w:val="004600F6"/>
    <w:rsid w:val="00460447"/>
    <w:rsid w:val="00460457"/>
    <w:rsid w:val="00460605"/>
    <w:rsid w:val="00460B08"/>
    <w:rsid w:val="00460D19"/>
    <w:rsid w:val="00461421"/>
    <w:rsid w:val="004617BA"/>
    <w:rsid w:val="00461B32"/>
    <w:rsid w:val="00461E39"/>
    <w:rsid w:val="00461E7A"/>
    <w:rsid w:val="0046251E"/>
    <w:rsid w:val="0046299E"/>
    <w:rsid w:val="00462C08"/>
    <w:rsid w:val="00462C4E"/>
    <w:rsid w:val="004639FB"/>
    <w:rsid w:val="00463A4F"/>
    <w:rsid w:val="00463E09"/>
    <w:rsid w:val="00464124"/>
    <w:rsid w:val="004643BC"/>
    <w:rsid w:val="0046482D"/>
    <w:rsid w:val="00464EF5"/>
    <w:rsid w:val="00464F80"/>
    <w:rsid w:val="00464FF5"/>
    <w:rsid w:val="00464FFD"/>
    <w:rsid w:val="004651F3"/>
    <w:rsid w:val="004656C0"/>
    <w:rsid w:val="00465E50"/>
    <w:rsid w:val="00465EB9"/>
    <w:rsid w:val="00465EED"/>
    <w:rsid w:val="00465FDA"/>
    <w:rsid w:val="0046604F"/>
    <w:rsid w:val="00466A69"/>
    <w:rsid w:val="00466BDF"/>
    <w:rsid w:val="00467625"/>
    <w:rsid w:val="004676F6"/>
    <w:rsid w:val="00467933"/>
    <w:rsid w:val="00467A80"/>
    <w:rsid w:val="00467DBB"/>
    <w:rsid w:val="0047006B"/>
    <w:rsid w:val="0047052B"/>
    <w:rsid w:val="00470865"/>
    <w:rsid w:val="00470A44"/>
    <w:rsid w:val="00470DF2"/>
    <w:rsid w:val="00470E31"/>
    <w:rsid w:val="00470EB6"/>
    <w:rsid w:val="0047136E"/>
    <w:rsid w:val="004713E7"/>
    <w:rsid w:val="0047143B"/>
    <w:rsid w:val="00471561"/>
    <w:rsid w:val="00471613"/>
    <w:rsid w:val="00471A4D"/>
    <w:rsid w:val="00471AB2"/>
    <w:rsid w:val="00471E45"/>
    <w:rsid w:val="00471E6F"/>
    <w:rsid w:val="00471F85"/>
    <w:rsid w:val="00472019"/>
    <w:rsid w:val="00472254"/>
    <w:rsid w:val="004723FC"/>
    <w:rsid w:val="00472862"/>
    <w:rsid w:val="004730F6"/>
    <w:rsid w:val="004732E0"/>
    <w:rsid w:val="00473874"/>
    <w:rsid w:val="00473ACF"/>
    <w:rsid w:val="00474027"/>
    <w:rsid w:val="004742D9"/>
    <w:rsid w:val="00474822"/>
    <w:rsid w:val="004748AB"/>
    <w:rsid w:val="00474945"/>
    <w:rsid w:val="00474E36"/>
    <w:rsid w:val="00474E52"/>
    <w:rsid w:val="004756C6"/>
    <w:rsid w:val="00475974"/>
    <w:rsid w:val="00475B31"/>
    <w:rsid w:val="00475EF0"/>
    <w:rsid w:val="00476048"/>
    <w:rsid w:val="004760BA"/>
    <w:rsid w:val="0047614F"/>
    <w:rsid w:val="00476619"/>
    <w:rsid w:val="00476711"/>
    <w:rsid w:val="00476786"/>
    <w:rsid w:val="00477748"/>
    <w:rsid w:val="00477957"/>
    <w:rsid w:val="00477A5B"/>
    <w:rsid w:val="00480EB2"/>
    <w:rsid w:val="00480FF9"/>
    <w:rsid w:val="004810CF"/>
    <w:rsid w:val="00481340"/>
    <w:rsid w:val="004814B3"/>
    <w:rsid w:val="004818A1"/>
    <w:rsid w:val="004818D5"/>
    <w:rsid w:val="00482465"/>
    <w:rsid w:val="004826CF"/>
    <w:rsid w:val="004828B2"/>
    <w:rsid w:val="00482C3D"/>
    <w:rsid w:val="00482DD6"/>
    <w:rsid w:val="00482DFE"/>
    <w:rsid w:val="00482FFB"/>
    <w:rsid w:val="004830AA"/>
    <w:rsid w:val="004835A5"/>
    <w:rsid w:val="00483858"/>
    <w:rsid w:val="00483AF3"/>
    <w:rsid w:val="00483B5E"/>
    <w:rsid w:val="00483E9E"/>
    <w:rsid w:val="00484066"/>
    <w:rsid w:val="00484909"/>
    <w:rsid w:val="00484A4E"/>
    <w:rsid w:val="00484ABB"/>
    <w:rsid w:val="00484F00"/>
    <w:rsid w:val="004851FE"/>
    <w:rsid w:val="00485453"/>
    <w:rsid w:val="0048546D"/>
    <w:rsid w:val="00485A12"/>
    <w:rsid w:val="00485CF8"/>
    <w:rsid w:val="00485EC3"/>
    <w:rsid w:val="00485FDE"/>
    <w:rsid w:val="0048614A"/>
    <w:rsid w:val="00486649"/>
    <w:rsid w:val="0048666F"/>
    <w:rsid w:val="004868BD"/>
    <w:rsid w:val="00486F36"/>
    <w:rsid w:val="00486F51"/>
    <w:rsid w:val="004871D6"/>
    <w:rsid w:val="00487AB9"/>
    <w:rsid w:val="00487D6E"/>
    <w:rsid w:val="004903B1"/>
    <w:rsid w:val="00490A4A"/>
    <w:rsid w:val="00490BD2"/>
    <w:rsid w:val="00490FC5"/>
    <w:rsid w:val="00491072"/>
    <w:rsid w:val="004918D7"/>
    <w:rsid w:val="0049192C"/>
    <w:rsid w:val="00491BC4"/>
    <w:rsid w:val="00491BE4"/>
    <w:rsid w:val="00491D4B"/>
    <w:rsid w:val="00491F82"/>
    <w:rsid w:val="00491FE4"/>
    <w:rsid w:val="004921DD"/>
    <w:rsid w:val="0049220C"/>
    <w:rsid w:val="00492783"/>
    <w:rsid w:val="0049283C"/>
    <w:rsid w:val="00493428"/>
    <w:rsid w:val="0049365E"/>
    <w:rsid w:val="00493A57"/>
    <w:rsid w:val="00493AC0"/>
    <w:rsid w:val="00493C5A"/>
    <w:rsid w:val="00493FBF"/>
    <w:rsid w:val="004942B5"/>
    <w:rsid w:val="00494DAD"/>
    <w:rsid w:val="004959DC"/>
    <w:rsid w:val="00495A36"/>
    <w:rsid w:val="00495A78"/>
    <w:rsid w:val="00495FFC"/>
    <w:rsid w:val="0049611A"/>
    <w:rsid w:val="00496199"/>
    <w:rsid w:val="0049623F"/>
    <w:rsid w:val="004964F6"/>
    <w:rsid w:val="0049652D"/>
    <w:rsid w:val="004967C5"/>
    <w:rsid w:val="004973CB"/>
    <w:rsid w:val="004975D3"/>
    <w:rsid w:val="00497A05"/>
    <w:rsid w:val="004A0DF3"/>
    <w:rsid w:val="004A13A5"/>
    <w:rsid w:val="004A193A"/>
    <w:rsid w:val="004A1BBA"/>
    <w:rsid w:val="004A2072"/>
    <w:rsid w:val="004A211E"/>
    <w:rsid w:val="004A27B7"/>
    <w:rsid w:val="004A28DE"/>
    <w:rsid w:val="004A294B"/>
    <w:rsid w:val="004A2E90"/>
    <w:rsid w:val="004A3338"/>
    <w:rsid w:val="004A35E0"/>
    <w:rsid w:val="004A3B43"/>
    <w:rsid w:val="004A4236"/>
    <w:rsid w:val="004A446A"/>
    <w:rsid w:val="004A44C5"/>
    <w:rsid w:val="004A4D2F"/>
    <w:rsid w:val="004A52D6"/>
    <w:rsid w:val="004A574E"/>
    <w:rsid w:val="004A5940"/>
    <w:rsid w:val="004A627E"/>
    <w:rsid w:val="004A6374"/>
    <w:rsid w:val="004A6626"/>
    <w:rsid w:val="004A6663"/>
    <w:rsid w:val="004A6853"/>
    <w:rsid w:val="004A68A5"/>
    <w:rsid w:val="004A6D0F"/>
    <w:rsid w:val="004A6FC8"/>
    <w:rsid w:val="004A7278"/>
    <w:rsid w:val="004A764F"/>
    <w:rsid w:val="004A7B02"/>
    <w:rsid w:val="004A7B47"/>
    <w:rsid w:val="004A7B8D"/>
    <w:rsid w:val="004B00CD"/>
    <w:rsid w:val="004B0131"/>
    <w:rsid w:val="004B022E"/>
    <w:rsid w:val="004B062D"/>
    <w:rsid w:val="004B07E8"/>
    <w:rsid w:val="004B0CFF"/>
    <w:rsid w:val="004B0EA3"/>
    <w:rsid w:val="004B10E6"/>
    <w:rsid w:val="004B111F"/>
    <w:rsid w:val="004B1211"/>
    <w:rsid w:val="004B2CA3"/>
    <w:rsid w:val="004B2E8B"/>
    <w:rsid w:val="004B2F86"/>
    <w:rsid w:val="004B33E4"/>
    <w:rsid w:val="004B35E9"/>
    <w:rsid w:val="004B36DA"/>
    <w:rsid w:val="004B394D"/>
    <w:rsid w:val="004B3A98"/>
    <w:rsid w:val="004B3B7F"/>
    <w:rsid w:val="004B3BF8"/>
    <w:rsid w:val="004B4635"/>
    <w:rsid w:val="004B49EC"/>
    <w:rsid w:val="004B5039"/>
    <w:rsid w:val="004B561B"/>
    <w:rsid w:val="004B56A4"/>
    <w:rsid w:val="004B5A24"/>
    <w:rsid w:val="004B5A8F"/>
    <w:rsid w:val="004B5EAA"/>
    <w:rsid w:val="004B60B9"/>
    <w:rsid w:val="004B6FB0"/>
    <w:rsid w:val="004B71DC"/>
    <w:rsid w:val="004B722E"/>
    <w:rsid w:val="004B72C1"/>
    <w:rsid w:val="004C02F1"/>
    <w:rsid w:val="004C0362"/>
    <w:rsid w:val="004C0485"/>
    <w:rsid w:val="004C0BCE"/>
    <w:rsid w:val="004C0C66"/>
    <w:rsid w:val="004C0D32"/>
    <w:rsid w:val="004C0F9B"/>
    <w:rsid w:val="004C120F"/>
    <w:rsid w:val="004C1282"/>
    <w:rsid w:val="004C1AC5"/>
    <w:rsid w:val="004C1E26"/>
    <w:rsid w:val="004C1E5A"/>
    <w:rsid w:val="004C1FC2"/>
    <w:rsid w:val="004C2078"/>
    <w:rsid w:val="004C23A0"/>
    <w:rsid w:val="004C2741"/>
    <w:rsid w:val="004C278E"/>
    <w:rsid w:val="004C27F1"/>
    <w:rsid w:val="004C28FA"/>
    <w:rsid w:val="004C30CB"/>
    <w:rsid w:val="004C3A36"/>
    <w:rsid w:val="004C3D63"/>
    <w:rsid w:val="004C412C"/>
    <w:rsid w:val="004C4219"/>
    <w:rsid w:val="004C4796"/>
    <w:rsid w:val="004C4C21"/>
    <w:rsid w:val="004C4E18"/>
    <w:rsid w:val="004C4EFD"/>
    <w:rsid w:val="004C525C"/>
    <w:rsid w:val="004C52F9"/>
    <w:rsid w:val="004C5631"/>
    <w:rsid w:val="004C589A"/>
    <w:rsid w:val="004C5984"/>
    <w:rsid w:val="004C5CE8"/>
    <w:rsid w:val="004C5F38"/>
    <w:rsid w:val="004C61A1"/>
    <w:rsid w:val="004C6290"/>
    <w:rsid w:val="004C66C7"/>
    <w:rsid w:val="004C6F2C"/>
    <w:rsid w:val="004C75F5"/>
    <w:rsid w:val="004C77EE"/>
    <w:rsid w:val="004D07F6"/>
    <w:rsid w:val="004D0A7F"/>
    <w:rsid w:val="004D11BC"/>
    <w:rsid w:val="004D18DA"/>
    <w:rsid w:val="004D1CBD"/>
    <w:rsid w:val="004D1ED3"/>
    <w:rsid w:val="004D1F46"/>
    <w:rsid w:val="004D202C"/>
    <w:rsid w:val="004D2489"/>
    <w:rsid w:val="004D2648"/>
    <w:rsid w:val="004D26FD"/>
    <w:rsid w:val="004D273F"/>
    <w:rsid w:val="004D291C"/>
    <w:rsid w:val="004D34CA"/>
    <w:rsid w:val="004D3724"/>
    <w:rsid w:val="004D395B"/>
    <w:rsid w:val="004D4106"/>
    <w:rsid w:val="004D4529"/>
    <w:rsid w:val="004D487E"/>
    <w:rsid w:val="004D4ACB"/>
    <w:rsid w:val="004D51FA"/>
    <w:rsid w:val="004D55F2"/>
    <w:rsid w:val="004D5803"/>
    <w:rsid w:val="004D5867"/>
    <w:rsid w:val="004D587F"/>
    <w:rsid w:val="004D5BB2"/>
    <w:rsid w:val="004D5D1A"/>
    <w:rsid w:val="004D5D2F"/>
    <w:rsid w:val="004D5D79"/>
    <w:rsid w:val="004D600D"/>
    <w:rsid w:val="004D6331"/>
    <w:rsid w:val="004D6A6F"/>
    <w:rsid w:val="004D6AEA"/>
    <w:rsid w:val="004D79B1"/>
    <w:rsid w:val="004D7B0F"/>
    <w:rsid w:val="004D7CFD"/>
    <w:rsid w:val="004D7D67"/>
    <w:rsid w:val="004E0343"/>
    <w:rsid w:val="004E0357"/>
    <w:rsid w:val="004E0770"/>
    <w:rsid w:val="004E0A8C"/>
    <w:rsid w:val="004E0EA4"/>
    <w:rsid w:val="004E111C"/>
    <w:rsid w:val="004E18AB"/>
    <w:rsid w:val="004E1A4C"/>
    <w:rsid w:val="004E276C"/>
    <w:rsid w:val="004E27A6"/>
    <w:rsid w:val="004E33B0"/>
    <w:rsid w:val="004E3690"/>
    <w:rsid w:val="004E3A18"/>
    <w:rsid w:val="004E4274"/>
    <w:rsid w:val="004E427E"/>
    <w:rsid w:val="004E4484"/>
    <w:rsid w:val="004E4626"/>
    <w:rsid w:val="004E46F6"/>
    <w:rsid w:val="004E4733"/>
    <w:rsid w:val="004E4797"/>
    <w:rsid w:val="004E49C7"/>
    <w:rsid w:val="004E4B1D"/>
    <w:rsid w:val="004E50E3"/>
    <w:rsid w:val="004E5180"/>
    <w:rsid w:val="004E5438"/>
    <w:rsid w:val="004E5688"/>
    <w:rsid w:val="004E5B05"/>
    <w:rsid w:val="004E5BE2"/>
    <w:rsid w:val="004E6686"/>
    <w:rsid w:val="004E6C70"/>
    <w:rsid w:val="004E6D72"/>
    <w:rsid w:val="004E6F1C"/>
    <w:rsid w:val="004E71BF"/>
    <w:rsid w:val="004E72BE"/>
    <w:rsid w:val="004E7777"/>
    <w:rsid w:val="004E7A11"/>
    <w:rsid w:val="004E7DDD"/>
    <w:rsid w:val="004E7E80"/>
    <w:rsid w:val="004F0402"/>
    <w:rsid w:val="004F0475"/>
    <w:rsid w:val="004F06A8"/>
    <w:rsid w:val="004F08A5"/>
    <w:rsid w:val="004F0EA3"/>
    <w:rsid w:val="004F0F5F"/>
    <w:rsid w:val="004F1036"/>
    <w:rsid w:val="004F1721"/>
    <w:rsid w:val="004F1952"/>
    <w:rsid w:val="004F1B8E"/>
    <w:rsid w:val="004F206D"/>
    <w:rsid w:val="004F2160"/>
    <w:rsid w:val="004F236E"/>
    <w:rsid w:val="004F26B0"/>
    <w:rsid w:val="004F275E"/>
    <w:rsid w:val="004F2CF6"/>
    <w:rsid w:val="004F2EEE"/>
    <w:rsid w:val="004F317D"/>
    <w:rsid w:val="004F34B8"/>
    <w:rsid w:val="004F398E"/>
    <w:rsid w:val="004F3C80"/>
    <w:rsid w:val="004F425C"/>
    <w:rsid w:val="004F44F5"/>
    <w:rsid w:val="004F4635"/>
    <w:rsid w:val="004F466B"/>
    <w:rsid w:val="004F47B9"/>
    <w:rsid w:val="004F48D3"/>
    <w:rsid w:val="004F4C5B"/>
    <w:rsid w:val="004F4FA5"/>
    <w:rsid w:val="004F4FEB"/>
    <w:rsid w:val="004F52EC"/>
    <w:rsid w:val="004F5506"/>
    <w:rsid w:val="004F555F"/>
    <w:rsid w:val="004F5B9D"/>
    <w:rsid w:val="004F5F3C"/>
    <w:rsid w:val="004F61B7"/>
    <w:rsid w:val="004F6307"/>
    <w:rsid w:val="004F691C"/>
    <w:rsid w:val="004F6C18"/>
    <w:rsid w:val="004F6D60"/>
    <w:rsid w:val="004F6FE6"/>
    <w:rsid w:val="004F7180"/>
    <w:rsid w:val="004F7698"/>
    <w:rsid w:val="004F7832"/>
    <w:rsid w:val="004F7981"/>
    <w:rsid w:val="004F7AF8"/>
    <w:rsid w:val="005005B2"/>
    <w:rsid w:val="00500993"/>
    <w:rsid w:val="005009E7"/>
    <w:rsid w:val="00500A9D"/>
    <w:rsid w:val="00500AED"/>
    <w:rsid w:val="00500BCA"/>
    <w:rsid w:val="00500BD9"/>
    <w:rsid w:val="005010CE"/>
    <w:rsid w:val="005010D5"/>
    <w:rsid w:val="005019C1"/>
    <w:rsid w:val="00501A5B"/>
    <w:rsid w:val="00501C42"/>
    <w:rsid w:val="00501FAE"/>
    <w:rsid w:val="005022DC"/>
    <w:rsid w:val="00502991"/>
    <w:rsid w:val="005029EA"/>
    <w:rsid w:val="00502B83"/>
    <w:rsid w:val="00502C39"/>
    <w:rsid w:val="00502CE8"/>
    <w:rsid w:val="0050352B"/>
    <w:rsid w:val="00503C4F"/>
    <w:rsid w:val="005046FC"/>
    <w:rsid w:val="00504CBF"/>
    <w:rsid w:val="00504D4B"/>
    <w:rsid w:val="005050EC"/>
    <w:rsid w:val="005052E6"/>
    <w:rsid w:val="005054CE"/>
    <w:rsid w:val="00505513"/>
    <w:rsid w:val="005055AD"/>
    <w:rsid w:val="00505A02"/>
    <w:rsid w:val="00505A25"/>
    <w:rsid w:val="00505C93"/>
    <w:rsid w:val="005060C0"/>
    <w:rsid w:val="005066ED"/>
    <w:rsid w:val="00506809"/>
    <w:rsid w:val="00506C0D"/>
    <w:rsid w:val="005071B5"/>
    <w:rsid w:val="005072A3"/>
    <w:rsid w:val="005073BD"/>
    <w:rsid w:val="005074A1"/>
    <w:rsid w:val="005078A9"/>
    <w:rsid w:val="00507D67"/>
    <w:rsid w:val="005100B9"/>
    <w:rsid w:val="005104E5"/>
    <w:rsid w:val="00510624"/>
    <w:rsid w:val="0051063D"/>
    <w:rsid w:val="005108FD"/>
    <w:rsid w:val="00510E9D"/>
    <w:rsid w:val="00510E9E"/>
    <w:rsid w:val="0051168F"/>
    <w:rsid w:val="00511695"/>
    <w:rsid w:val="00511AA6"/>
    <w:rsid w:val="00511D35"/>
    <w:rsid w:val="00511D69"/>
    <w:rsid w:val="00512064"/>
    <w:rsid w:val="0051213E"/>
    <w:rsid w:val="00512229"/>
    <w:rsid w:val="00512C7E"/>
    <w:rsid w:val="00513571"/>
    <w:rsid w:val="00513F0E"/>
    <w:rsid w:val="005140DD"/>
    <w:rsid w:val="0051412A"/>
    <w:rsid w:val="005144CB"/>
    <w:rsid w:val="005147EC"/>
    <w:rsid w:val="00514DE6"/>
    <w:rsid w:val="005153D7"/>
    <w:rsid w:val="00515AA5"/>
    <w:rsid w:val="00516615"/>
    <w:rsid w:val="00516959"/>
    <w:rsid w:val="005169FE"/>
    <w:rsid w:val="005171B2"/>
    <w:rsid w:val="00517372"/>
    <w:rsid w:val="0051756A"/>
    <w:rsid w:val="005177D9"/>
    <w:rsid w:val="00517EB6"/>
    <w:rsid w:val="005203BD"/>
    <w:rsid w:val="00520D81"/>
    <w:rsid w:val="00520EA3"/>
    <w:rsid w:val="00521000"/>
    <w:rsid w:val="005210BF"/>
    <w:rsid w:val="00521384"/>
    <w:rsid w:val="00521472"/>
    <w:rsid w:val="00521AA6"/>
    <w:rsid w:val="00521B0C"/>
    <w:rsid w:val="0052214D"/>
    <w:rsid w:val="005226FB"/>
    <w:rsid w:val="00522C57"/>
    <w:rsid w:val="00522C59"/>
    <w:rsid w:val="00522E13"/>
    <w:rsid w:val="00522E54"/>
    <w:rsid w:val="005238BE"/>
    <w:rsid w:val="00523B67"/>
    <w:rsid w:val="00523EAB"/>
    <w:rsid w:val="005240D7"/>
    <w:rsid w:val="0052427A"/>
    <w:rsid w:val="005243CA"/>
    <w:rsid w:val="00524881"/>
    <w:rsid w:val="00524BE4"/>
    <w:rsid w:val="00524D8B"/>
    <w:rsid w:val="00524EF6"/>
    <w:rsid w:val="00525A45"/>
    <w:rsid w:val="00526407"/>
    <w:rsid w:val="0052642A"/>
    <w:rsid w:val="005264A6"/>
    <w:rsid w:val="005266AC"/>
    <w:rsid w:val="00526A1C"/>
    <w:rsid w:val="00526ACD"/>
    <w:rsid w:val="00526D13"/>
    <w:rsid w:val="00526DCA"/>
    <w:rsid w:val="0052712B"/>
    <w:rsid w:val="00527567"/>
    <w:rsid w:val="0053043D"/>
    <w:rsid w:val="0053046D"/>
    <w:rsid w:val="0053075E"/>
    <w:rsid w:val="0053079D"/>
    <w:rsid w:val="00530AB1"/>
    <w:rsid w:val="00530E63"/>
    <w:rsid w:val="005310D4"/>
    <w:rsid w:val="005319C7"/>
    <w:rsid w:val="00531B2A"/>
    <w:rsid w:val="00531E8E"/>
    <w:rsid w:val="0053256F"/>
    <w:rsid w:val="00532943"/>
    <w:rsid w:val="00532C0D"/>
    <w:rsid w:val="005335A3"/>
    <w:rsid w:val="005337BB"/>
    <w:rsid w:val="005339F1"/>
    <w:rsid w:val="00533B78"/>
    <w:rsid w:val="00533FC9"/>
    <w:rsid w:val="0053411B"/>
    <w:rsid w:val="00534409"/>
    <w:rsid w:val="005344D2"/>
    <w:rsid w:val="005345DE"/>
    <w:rsid w:val="00534655"/>
    <w:rsid w:val="005346DF"/>
    <w:rsid w:val="00534A08"/>
    <w:rsid w:val="0053524F"/>
    <w:rsid w:val="005359C9"/>
    <w:rsid w:val="00535C8E"/>
    <w:rsid w:val="00536101"/>
    <w:rsid w:val="00536135"/>
    <w:rsid w:val="005362EC"/>
    <w:rsid w:val="00536602"/>
    <w:rsid w:val="00536755"/>
    <w:rsid w:val="00536978"/>
    <w:rsid w:val="005370CE"/>
    <w:rsid w:val="0053731C"/>
    <w:rsid w:val="0053731D"/>
    <w:rsid w:val="00537340"/>
    <w:rsid w:val="00537574"/>
    <w:rsid w:val="005377E2"/>
    <w:rsid w:val="0054029C"/>
    <w:rsid w:val="00540326"/>
    <w:rsid w:val="0054037E"/>
    <w:rsid w:val="00540397"/>
    <w:rsid w:val="00540997"/>
    <w:rsid w:val="00541120"/>
    <w:rsid w:val="00541314"/>
    <w:rsid w:val="00541C8C"/>
    <w:rsid w:val="00541EE6"/>
    <w:rsid w:val="00542C96"/>
    <w:rsid w:val="00542D7D"/>
    <w:rsid w:val="00542EAB"/>
    <w:rsid w:val="00543451"/>
    <w:rsid w:val="005436DD"/>
    <w:rsid w:val="00543A24"/>
    <w:rsid w:val="00543A6E"/>
    <w:rsid w:val="005445B1"/>
    <w:rsid w:val="005445FE"/>
    <w:rsid w:val="0054464D"/>
    <w:rsid w:val="0054465F"/>
    <w:rsid w:val="00544853"/>
    <w:rsid w:val="00544980"/>
    <w:rsid w:val="00544C51"/>
    <w:rsid w:val="0054520D"/>
    <w:rsid w:val="005453D3"/>
    <w:rsid w:val="005455AE"/>
    <w:rsid w:val="00545DA7"/>
    <w:rsid w:val="00545FB1"/>
    <w:rsid w:val="005460F4"/>
    <w:rsid w:val="00546233"/>
    <w:rsid w:val="005462CD"/>
    <w:rsid w:val="00546304"/>
    <w:rsid w:val="005466E7"/>
    <w:rsid w:val="0054673E"/>
    <w:rsid w:val="00546778"/>
    <w:rsid w:val="005468A8"/>
    <w:rsid w:val="00546C96"/>
    <w:rsid w:val="00546D8B"/>
    <w:rsid w:val="00547374"/>
    <w:rsid w:val="00547470"/>
    <w:rsid w:val="00547531"/>
    <w:rsid w:val="0054762D"/>
    <w:rsid w:val="00547BE3"/>
    <w:rsid w:val="00547CA8"/>
    <w:rsid w:val="00547CC6"/>
    <w:rsid w:val="00547DD7"/>
    <w:rsid w:val="00550236"/>
    <w:rsid w:val="0055059F"/>
    <w:rsid w:val="00550A00"/>
    <w:rsid w:val="005512C8"/>
    <w:rsid w:val="005514CC"/>
    <w:rsid w:val="005518A0"/>
    <w:rsid w:val="00551954"/>
    <w:rsid w:val="00551AAC"/>
    <w:rsid w:val="005526FE"/>
    <w:rsid w:val="0055270E"/>
    <w:rsid w:val="005528A9"/>
    <w:rsid w:val="00552FB7"/>
    <w:rsid w:val="005531E1"/>
    <w:rsid w:val="005539F0"/>
    <w:rsid w:val="00553C86"/>
    <w:rsid w:val="00553F99"/>
    <w:rsid w:val="00554512"/>
    <w:rsid w:val="00554C9E"/>
    <w:rsid w:val="00554EF3"/>
    <w:rsid w:val="0055508A"/>
    <w:rsid w:val="005556C6"/>
    <w:rsid w:val="00555EF9"/>
    <w:rsid w:val="005561B1"/>
    <w:rsid w:val="00556490"/>
    <w:rsid w:val="00556572"/>
    <w:rsid w:val="00556E69"/>
    <w:rsid w:val="0055730B"/>
    <w:rsid w:val="005574A0"/>
    <w:rsid w:val="00557931"/>
    <w:rsid w:val="00557C08"/>
    <w:rsid w:val="00557C0C"/>
    <w:rsid w:val="00557CC0"/>
    <w:rsid w:val="00557CC8"/>
    <w:rsid w:val="005601CC"/>
    <w:rsid w:val="00560461"/>
    <w:rsid w:val="005605B2"/>
    <w:rsid w:val="00560CE7"/>
    <w:rsid w:val="005610F5"/>
    <w:rsid w:val="005614DB"/>
    <w:rsid w:val="00562072"/>
    <w:rsid w:val="0056233E"/>
    <w:rsid w:val="00563272"/>
    <w:rsid w:val="00563469"/>
    <w:rsid w:val="00563790"/>
    <w:rsid w:val="005637A4"/>
    <w:rsid w:val="005637CE"/>
    <w:rsid w:val="005639EE"/>
    <w:rsid w:val="00563A79"/>
    <w:rsid w:val="00563C1C"/>
    <w:rsid w:val="00563D5A"/>
    <w:rsid w:val="00563D88"/>
    <w:rsid w:val="0056464C"/>
    <w:rsid w:val="00564E6B"/>
    <w:rsid w:val="005654C9"/>
    <w:rsid w:val="0056555F"/>
    <w:rsid w:val="00565EE7"/>
    <w:rsid w:val="005661E3"/>
    <w:rsid w:val="0056632A"/>
    <w:rsid w:val="00566441"/>
    <w:rsid w:val="00566989"/>
    <w:rsid w:val="00566DFE"/>
    <w:rsid w:val="005673E1"/>
    <w:rsid w:val="005675A6"/>
    <w:rsid w:val="005675C6"/>
    <w:rsid w:val="0056782D"/>
    <w:rsid w:val="005679BA"/>
    <w:rsid w:val="005679BE"/>
    <w:rsid w:val="00567F2B"/>
    <w:rsid w:val="00570020"/>
    <w:rsid w:val="005701C2"/>
    <w:rsid w:val="005704F0"/>
    <w:rsid w:val="00570C7E"/>
    <w:rsid w:val="00571235"/>
    <w:rsid w:val="00571242"/>
    <w:rsid w:val="0057158B"/>
    <w:rsid w:val="0057162B"/>
    <w:rsid w:val="005716D4"/>
    <w:rsid w:val="00572214"/>
    <w:rsid w:val="00572550"/>
    <w:rsid w:val="0057292F"/>
    <w:rsid w:val="005729FA"/>
    <w:rsid w:val="00572A47"/>
    <w:rsid w:val="00572D62"/>
    <w:rsid w:val="00572D6D"/>
    <w:rsid w:val="00572E69"/>
    <w:rsid w:val="00572EA3"/>
    <w:rsid w:val="00573016"/>
    <w:rsid w:val="00573181"/>
    <w:rsid w:val="005737CF"/>
    <w:rsid w:val="00573BAC"/>
    <w:rsid w:val="00573E5F"/>
    <w:rsid w:val="00573F4E"/>
    <w:rsid w:val="00573F76"/>
    <w:rsid w:val="005740EC"/>
    <w:rsid w:val="00574441"/>
    <w:rsid w:val="0057454F"/>
    <w:rsid w:val="00574AB0"/>
    <w:rsid w:val="00574C3C"/>
    <w:rsid w:val="00575956"/>
    <w:rsid w:val="00575A26"/>
    <w:rsid w:val="00575F7E"/>
    <w:rsid w:val="00576354"/>
    <w:rsid w:val="00576826"/>
    <w:rsid w:val="00576895"/>
    <w:rsid w:val="00576B3A"/>
    <w:rsid w:val="00576F67"/>
    <w:rsid w:val="005771E7"/>
    <w:rsid w:val="005779B1"/>
    <w:rsid w:val="00577ADB"/>
    <w:rsid w:val="00577B6E"/>
    <w:rsid w:val="005800AF"/>
    <w:rsid w:val="005801FE"/>
    <w:rsid w:val="00580416"/>
    <w:rsid w:val="00581193"/>
    <w:rsid w:val="00581337"/>
    <w:rsid w:val="005816BC"/>
    <w:rsid w:val="00581858"/>
    <w:rsid w:val="0058195D"/>
    <w:rsid w:val="00581DB5"/>
    <w:rsid w:val="00581F34"/>
    <w:rsid w:val="00582346"/>
    <w:rsid w:val="00582646"/>
    <w:rsid w:val="00582805"/>
    <w:rsid w:val="00582F15"/>
    <w:rsid w:val="005830D0"/>
    <w:rsid w:val="00583169"/>
    <w:rsid w:val="00583190"/>
    <w:rsid w:val="005837E9"/>
    <w:rsid w:val="005838F8"/>
    <w:rsid w:val="00583C20"/>
    <w:rsid w:val="00583D76"/>
    <w:rsid w:val="00583DA9"/>
    <w:rsid w:val="00583EED"/>
    <w:rsid w:val="00584034"/>
    <w:rsid w:val="005842A7"/>
    <w:rsid w:val="00584391"/>
    <w:rsid w:val="00584585"/>
    <w:rsid w:val="0058509F"/>
    <w:rsid w:val="0058520D"/>
    <w:rsid w:val="005853DA"/>
    <w:rsid w:val="0058559D"/>
    <w:rsid w:val="00585B3C"/>
    <w:rsid w:val="00585FB4"/>
    <w:rsid w:val="00586C8D"/>
    <w:rsid w:val="0058705F"/>
    <w:rsid w:val="00587264"/>
    <w:rsid w:val="00587A4F"/>
    <w:rsid w:val="00587B52"/>
    <w:rsid w:val="00587BB0"/>
    <w:rsid w:val="00587CCF"/>
    <w:rsid w:val="00587E62"/>
    <w:rsid w:val="0059033A"/>
    <w:rsid w:val="005905D1"/>
    <w:rsid w:val="005905E0"/>
    <w:rsid w:val="005908DD"/>
    <w:rsid w:val="00590D52"/>
    <w:rsid w:val="00590E4F"/>
    <w:rsid w:val="005913FC"/>
    <w:rsid w:val="00591818"/>
    <w:rsid w:val="00591F9B"/>
    <w:rsid w:val="00592122"/>
    <w:rsid w:val="00592224"/>
    <w:rsid w:val="005923EC"/>
    <w:rsid w:val="00592801"/>
    <w:rsid w:val="00593095"/>
    <w:rsid w:val="005933C1"/>
    <w:rsid w:val="00593F10"/>
    <w:rsid w:val="005942FC"/>
    <w:rsid w:val="0059435E"/>
    <w:rsid w:val="00594AA5"/>
    <w:rsid w:val="00594B0B"/>
    <w:rsid w:val="00594D50"/>
    <w:rsid w:val="00595312"/>
    <w:rsid w:val="00595A23"/>
    <w:rsid w:val="00596E06"/>
    <w:rsid w:val="00597025"/>
    <w:rsid w:val="00597943"/>
    <w:rsid w:val="0059798F"/>
    <w:rsid w:val="00597A0D"/>
    <w:rsid w:val="00597F7B"/>
    <w:rsid w:val="005A023F"/>
    <w:rsid w:val="005A0734"/>
    <w:rsid w:val="005A08EA"/>
    <w:rsid w:val="005A0CCB"/>
    <w:rsid w:val="005A0F92"/>
    <w:rsid w:val="005A11ED"/>
    <w:rsid w:val="005A1483"/>
    <w:rsid w:val="005A173C"/>
    <w:rsid w:val="005A1C99"/>
    <w:rsid w:val="005A1DFE"/>
    <w:rsid w:val="005A2CBF"/>
    <w:rsid w:val="005A2D80"/>
    <w:rsid w:val="005A31E3"/>
    <w:rsid w:val="005A3318"/>
    <w:rsid w:val="005A3340"/>
    <w:rsid w:val="005A36A9"/>
    <w:rsid w:val="005A3C94"/>
    <w:rsid w:val="005A40D1"/>
    <w:rsid w:val="005A4647"/>
    <w:rsid w:val="005A4D17"/>
    <w:rsid w:val="005A5553"/>
    <w:rsid w:val="005A5619"/>
    <w:rsid w:val="005A5759"/>
    <w:rsid w:val="005A58B8"/>
    <w:rsid w:val="005A5A04"/>
    <w:rsid w:val="005A6164"/>
    <w:rsid w:val="005A64A9"/>
    <w:rsid w:val="005A6733"/>
    <w:rsid w:val="005A6943"/>
    <w:rsid w:val="005A6A4A"/>
    <w:rsid w:val="005A6BE6"/>
    <w:rsid w:val="005A6F96"/>
    <w:rsid w:val="005A73AC"/>
    <w:rsid w:val="005A73C1"/>
    <w:rsid w:val="005A7610"/>
    <w:rsid w:val="005A7622"/>
    <w:rsid w:val="005A766C"/>
    <w:rsid w:val="005A7678"/>
    <w:rsid w:val="005A77E4"/>
    <w:rsid w:val="005A78F1"/>
    <w:rsid w:val="005A7BFA"/>
    <w:rsid w:val="005A7FD1"/>
    <w:rsid w:val="005B0566"/>
    <w:rsid w:val="005B057D"/>
    <w:rsid w:val="005B09CA"/>
    <w:rsid w:val="005B09DA"/>
    <w:rsid w:val="005B0AE5"/>
    <w:rsid w:val="005B1862"/>
    <w:rsid w:val="005B1978"/>
    <w:rsid w:val="005B1CEE"/>
    <w:rsid w:val="005B1EEB"/>
    <w:rsid w:val="005B2546"/>
    <w:rsid w:val="005B25A9"/>
    <w:rsid w:val="005B26D6"/>
    <w:rsid w:val="005B2DE4"/>
    <w:rsid w:val="005B311B"/>
    <w:rsid w:val="005B3189"/>
    <w:rsid w:val="005B31E3"/>
    <w:rsid w:val="005B3D92"/>
    <w:rsid w:val="005B4515"/>
    <w:rsid w:val="005B4972"/>
    <w:rsid w:val="005B4B35"/>
    <w:rsid w:val="005B4EE2"/>
    <w:rsid w:val="005B5222"/>
    <w:rsid w:val="005B548A"/>
    <w:rsid w:val="005B5731"/>
    <w:rsid w:val="005B58D2"/>
    <w:rsid w:val="005B59EE"/>
    <w:rsid w:val="005B5A68"/>
    <w:rsid w:val="005B5E13"/>
    <w:rsid w:val="005B62D5"/>
    <w:rsid w:val="005B67A9"/>
    <w:rsid w:val="005B6887"/>
    <w:rsid w:val="005B7489"/>
    <w:rsid w:val="005B7588"/>
    <w:rsid w:val="005B7645"/>
    <w:rsid w:val="005B79E3"/>
    <w:rsid w:val="005B7BD6"/>
    <w:rsid w:val="005B7C26"/>
    <w:rsid w:val="005B7DBB"/>
    <w:rsid w:val="005C0587"/>
    <w:rsid w:val="005C07A8"/>
    <w:rsid w:val="005C148B"/>
    <w:rsid w:val="005C14CF"/>
    <w:rsid w:val="005C193F"/>
    <w:rsid w:val="005C1C27"/>
    <w:rsid w:val="005C1FB8"/>
    <w:rsid w:val="005C2014"/>
    <w:rsid w:val="005C214B"/>
    <w:rsid w:val="005C2955"/>
    <w:rsid w:val="005C2A35"/>
    <w:rsid w:val="005C2CC3"/>
    <w:rsid w:val="005C345A"/>
    <w:rsid w:val="005C37C2"/>
    <w:rsid w:val="005C3863"/>
    <w:rsid w:val="005C396B"/>
    <w:rsid w:val="005C3FDB"/>
    <w:rsid w:val="005C4361"/>
    <w:rsid w:val="005C4483"/>
    <w:rsid w:val="005C46FB"/>
    <w:rsid w:val="005C506B"/>
    <w:rsid w:val="005C5284"/>
    <w:rsid w:val="005C53BC"/>
    <w:rsid w:val="005C54E7"/>
    <w:rsid w:val="005C55C4"/>
    <w:rsid w:val="005C5751"/>
    <w:rsid w:val="005C5C12"/>
    <w:rsid w:val="005C60B1"/>
    <w:rsid w:val="005C656B"/>
    <w:rsid w:val="005C68D8"/>
    <w:rsid w:val="005C6DAD"/>
    <w:rsid w:val="005C71BC"/>
    <w:rsid w:val="005C72B4"/>
    <w:rsid w:val="005C75E1"/>
    <w:rsid w:val="005C7771"/>
    <w:rsid w:val="005C7C1A"/>
    <w:rsid w:val="005D065E"/>
    <w:rsid w:val="005D06C7"/>
    <w:rsid w:val="005D073F"/>
    <w:rsid w:val="005D0926"/>
    <w:rsid w:val="005D0970"/>
    <w:rsid w:val="005D1014"/>
    <w:rsid w:val="005D1077"/>
    <w:rsid w:val="005D1145"/>
    <w:rsid w:val="005D1252"/>
    <w:rsid w:val="005D132E"/>
    <w:rsid w:val="005D16BA"/>
    <w:rsid w:val="005D1A79"/>
    <w:rsid w:val="005D1A98"/>
    <w:rsid w:val="005D1B28"/>
    <w:rsid w:val="005D1B7A"/>
    <w:rsid w:val="005D2232"/>
    <w:rsid w:val="005D2496"/>
    <w:rsid w:val="005D24FB"/>
    <w:rsid w:val="005D2525"/>
    <w:rsid w:val="005D26B6"/>
    <w:rsid w:val="005D2A4D"/>
    <w:rsid w:val="005D2A67"/>
    <w:rsid w:val="005D2D0F"/>
    <w:rsid w:val="005D30AD"/>
    <w:rsid w:val="005D3301"/>
    <w:rsid w:val="005D3CE2"/>
    <w:rsid w:val="005D3DA7"/>
    <w:rsid w:val="005D3FD1"/>
    <w:rsid w:val="005D4478"/>
    <w:rsid w:val="005D4811"/>
    <w:rsid w:val="005D4893"/>
    <w:rsid w:val="005D48D7"/>
    <w:rsid w:val="005D4DDA"/>
    <w:rsid w:val="005D4F94"/>
    <w:rsid w:val="005D542A"/>
    <w:rsid w:val="005D57C0"/>
    <w:rsid w:val="005D5828"/>
    <w:rsid w:val="005D5957"/>
    <w:rsid w:val="005D5B3C"/>
    <w:rsid w:val="005D5BCF"/>
    <w:rsid w:val="005D624A"/>
    <w:rsid w:val="005D64E1"/>
    <w:rsid w:val="005D64F4"/>
    <w:rsid w:val="005D6600"/>
    <w:rsid w:val="005D6BBA"/>
    <w:rsid w:val="005D6E52"/>
    <w:rsid w:val="005D712C"/>
    <w:rsid w:val="005D73B5"/>
    <w:rsid w:val="005D7644"/>
    <w:rsid w:val="005D7699"/>
    <w:rsid w:val="005D7BC9"/>
    <w:rsid w:val="005D7C11"/>
    <w:rsid w:val="005D7DB8"/>
    <w:rsid w:val="005E0350"/>
    <w:rsid w:val="005E05F7"/>
    <w:rsid w:val="005E06D1"/>
    <w:rsid w:val="005E11F9"/>
    <w:rsid w:val="005E15F6"/>
    <w:rsid w:val="005E165E"/>
    <w:rsid w:val="005E16DE"/>
    <w:rsid w:val="005E19AF"/>
    <w:rsid w:val="005E19B2"/>
    <w:rsid w:val="005E1C03"/>
    <w:rsid w:val="005E1D39"/>
    <w:rsid w:val="005E1F66"/>
    <w:rsid w:val="005E2751"/>
    <w:rsid w:val="005E2863"/>
    <w:rsid w:val="005E2D34"/>
    <w:rsid w:val="005E2DD5"/>
    <w:rsid w:val="005E30AB"/>
    <w:rsid w:val="005E336E"/>
    <w:rsid w:val="005E34B4"/>
    <w:rsid w:val="005E3537"/>
    <w:rsid w:val="005E36E1"/>
    <w:rsid w:val="005E3787"/>
    <w:rsid w:val="005E3947"/>
    <w:rsid w:val="005E45FC"/>
    <w:rsid w:val="005E46BE"/>
    <w:rsid w:val="005E493E"/>
    <w:rsid w:val="005E4A8B"/>
    <w:rsid w:val="005E5093"/>
    <w:rsid w:val="005E51E7"/>
    <w:rsid w:val="005E554C"/>
    <w:rsid w:val="005E5BC9"/>
    <w:rsid w:val="005E601A"/>
    <w:rsid w:val="005E630D"/>
    <w:rsid w:val="005E675A"/>
    <w:rsid w:val="005E6D16"/>
    <w:rsid w:val="005E795F"/>
    <w:rsid w:val="005E7A42"/>
    <w:rsid w:val="005E7DD7"/>
    <w:rsid w:val="005E7E8E"/>
    <w:rsid w:val="005E7F3E"/>
    <w:rsid w:val="005F095B"/>
    <w:rsid w:val="005F0A50"/>
    <w:rsid w:val="005F106A"/>
    <w:rsid w:val="005F1683"/>
    <w:rsid w:val="005F1784"/>
    <w:rsid w:val="005F1862"/>
    <w:rsid w:val="005F191C"/>
    <w:rsid w:val="005F1A18"/>
    <w:rsid w:val="005F1D37"/>
    <w:rsid w:val="005F2322"/>
    <w:rsid w:val="005F24DF"/>
    <w:rsid w:val="005F29EE"/>
    <w:rsid w:val="005F35D0"/>
    <w:rsid w:val="005F35DA"/>
    <w:rsid w:val="005F39E0"/>
    <w:rsid w:val="005F3BAB"/>
    <w:rsid w:val="005F3EAE"/>
    <w:rsid w:val="005F4065"/>
    <w:rsid w:val="005F40B5"/>
    <w:rsid w:val="005F427E"/>
    <w:rsid w:val="005F4825"/>
    <w:rsid w:val="005F4C1D"/>
    <w:rsid w:val="005F4CB1"/>
    <w:rsid w:val="005F4E3A"/>
    <w:rsid w:val="005F50EA"/>
    <w:rsid w:val="005F51CE"/>
    <w:rsid w:val="005F5450"/>
    <w:rsid w:val="005F5915"/>
    <w:rsid w:val="005F59C3"/>
    <w:rsid w:val="005F5D0B"/>
    <w:rsid w:val="005F5E88"/>
    <w:rsid w:val="005F5EA8"/>
    <w:rsid w:val="005F6217"/>
    <w:rsid w:val="005F62C8"/>
    <w:rsid w:val="005F6703"/>
    <w:rsid w:val="005F67C0"/>
    <w:rsid w:val="005F690F"/>
    <w:rsid w:val="005F6AFE"/>
    <w:rsid w:val="005F6B06"/>
    <w:rsid w:val="005F6DC4"/>
    <w:rsid w:val="005F7279"/>
    <w:rsid w:val="005F7519"/>
    <w:rsid w:val="005F7A00"/>
    <w:rsid w:val="005F7C4B"/>
    <w:rsid w:val="005F7CCD"/>
    <w:rsid w:val="00600120"/>
    <w:rsid w:val="0060014F"/>
    <w:rsid w:val="00600636"/>
    <w:rsid w:val="00600895"/>
    <w:rsid w:val="00600913"/>
    <w:rsid w:val="00600C21"/>
    <w:rsid w:val="00600CDA"/>
    <w:rsid w:val="00600D05"/>
    <w:rsid w:val="00601018"/>
    <w:rsid w:val="006014B9"/>
    <w:rsid w:val="00601C56"/>
    <w:rsid w:val="00601E0F"/>
    <w:rsid w:val="0060260E"/>
    <w:rsid w:val="0060265A"/>
    <w:rsid w:val="006028FB"/>
    <w:rsid w:val="00602A02"/>
    <w:rsid w:val="00602A4D"/>
    <w:rsid w:val="00602BAC"/>
    <w:rsid w:val="0060323E"/>
    <w:rsid w:val="006032E7"/>
    <w:rsid w:val="006033D1"/>
    <w:rsid w:val="0060350B"/>
    <w:rsid w:val="0060362C"/>
    <w:rsid w:val="00603728"/>
    <w:rsid w:val="00603C58"/>
    <w:rsid w:val="00603CEC"/>
    <w:rsid w:val="00603EA9"/>
    <w:rsid w:val="00604118"/>
    <w:rsid w:val="00604385"/>
    <w:rsid w:val="0060458B"/>
    <w:rsid w:val="0060485B"/>
    <w:rsid w:val="0060490E"/>
    <w:rsid w:val="00604A07"/>
    <w:rsid w:val="00604AE2"/>
    <w:rsid w:val="00604B99"/>
    <w:rsid w:val="00604C2B"/>
    <w:rsid w:val="006060DB"/>
    <w:rsid w:val="00606892"/>
    <w:rsid w:val="00606B17"/>
    <w:rsid w:val="00606CAD"/>
    <w:rsid w:val="00607564"/>
    <w:rsid w:val="0060788F"/>
    <w:rsid w:val="00607A72"/>
    <w:rsid w:val="00607B4B"/>
    <w:rsid w:val="00607B86"/>
    <w:rsid w:val="00607BDA"/>
    <w:rsid w:val="00607D5A"/>
    <w:rsid w:val="00607EDA"/>
    <w:rsid w:val="00607EFD"/>
    <w:rsid w:val="0061036C"/>
    <w:rsid w:val="0061043C"/>
    <w:rsid w:val="00610C0E"/>
    <w:rsid w:val="00610D3C"/>
    <w:rsid w:val="006113BD"/>
    <w:rsid w:val="006115F6"/>
    <w:rsid w:val="00611659"/>
    <w:rsid w:val="00611920"/>
    <w:rsid w:val="00611BB3"/>
    <w:rsid w:val="00611D70"/>
    <w:rsid w:val="00611FCD"/>
    <w:rsid w:val="006127E8"/>
    <w:rsid w:val="00612835"/>
    <w:rsid w:val="00612BC0"/>
    <w:rsid w:val="00612BD3"/>
    <w:rsid w:val="00612C6B"/>
    <w:rsid w:val="0061309D"/>
    <w:rsid w:val="006137C7"/>
    <w:rsid w:val="00613926"/>
    <w:rsid w:val="00613DB9"/>
    <w:rsid w:val="00613E8C"/>
    <w:rsid w:val="00613F50"/>
    <w:rsid w:val="00614750"/>
    <w:rsid w:val="00614B97"/>
    <w:rsid w:val="00614BDC"/>
    <w:rsid w:val="00614E13"/>
    <w:rsid w:val="00615016"/>
    <w:rsid w:val="0061551E"/>
    <w:rsid w:val="0061640F"/>
    <w:rsid w:val="006166D3"/>
    <w:rsid w:val="006169B4"/>
    <w:rsid w:val="00616B5C"/>
    <w:rsid w:val="00616CA3"/>
    <w:rsid w:val="00617183"/>
    <w:rsid w:val="006174DB"/>
    <w:rsid w:val="00617671"/>
    <w:rsid w:val="00617726"/>
    <w:rsid w:val="00617CE5"/>
    <w:rsid w:val="00617E92"/>
    <w:rsid w:val="00617EFF"/>
    <w:rsid w:val="00620233"/>
    <w:rsid w:val="006202FD"/>
    <w:rsid w:val="006203BA"/>
    <w:rsid w:val="00620BE8"/>
    <w:rsid w:val="00620C21"/>
    <w:rsid w:val="00620E26"/>
    <w:rsid w:val="00620E54"/>
    <w:rsid w:val="00620EE5"/>
    <w:rsid w:val="0062108B"/>
    <w:rsid w:val="00621257"/>
    <w:rsid w:val="0062130B"/>
    <w:rsid w:val="006217A7"/>
    <w:rsid w:val="00621A48"/>
    <w:rsid w:val="00621C3A"/>
    <w:rsid w:val="00622248"/>
    <w:rsid w:val="006222C2"/>
    <w:rsid w:val="00622700"/>
    <w:rsid w:val="00622A93"/>
    <w:rsid w:val="00622D1B"/>
    <w:rsid w:val="0062326C"/>
    <w:rsid w:val="00623676"/>
    <w:rsid w:val="00623679"/>
    <w:rsid w:val="00623B19"/>
    <w:rsid w:val="00623C79"/>
    <w:rsid w:val="00623E20"/>
    <w:rsid w:val="00624425"/>
    <w:rsid w:val="00624B0B"/>
    <w:rsid w:val="00625608"/>
    <w:rsid w:val="00625693"/>
    <w:rsid w:val="0062588E"/>
    <w:rsid w:val="00625F9C"/>
    <w:rsid w:val="00626B95"/>
    <w:rsid w:val="00626C4E"/>
    <w:rsid w:val="006272BF"/>
    <w:rsid w:val="00627403"/>
    <w:rsid w:val="00627936"/>
    <w:rsid w:val="00627DCC"/>
    <w:rsid w:val="00630122"/>
    <w:rsid w:val="00630242"/>
    <w:rsid w:val="00630ABA"/>
    <w:rsid w:val="00630D26"/>
    <w:rsid w:val="00630FAC"/>
    <w:rsid w:val="006312AC"/>
    <w:rsid w:val="00631826"/>
    <w:rsid w:val="006318DC"/>
    <w:rsid w:val="00632120"/>
    <w:rsid w:val="006321A3"/>
    <w:rsid w:val="00632261"/>
    <w:rsid w:val="006325F8"/>
    <w:rsid w:val="00632785"/>
    <w:rsid w:val="0063331B"/>
    <w:rsid w:val="00633463"/>
    <w:rsid w:val="00633C81"/>
    <w:rsid w:val="006344FA"/>
    <w:rsid w:val="00634D42"/>
    <w:rsid w:val="00634DDA"/>
    <w:rsid w:val="00635144"/>
    <w:rsid w:val="006353CE"/>
    <w:rsid w:val="00635ACA"/>
    <w:rsid w:val="00635B21"/>
    <w:rsid w:val="00635BB8"/>
    <w:rsid w:val="00635C6A"/>
    <w:rsid w:val="0063691E"/>
    <w:rsid w:val="00636B0C"/>
    <w:rsid w:val="00636B8B"/>
    <w:rsid w:val="00636D3E"/>
    <w:rsid w:val="006377B6"/>
    <w:rsid w:val="006379AD"/>
    <w:rsid w:val="00637D45"/>
    <w:rsid w:val="00637FAC"/>
    <w:rsid w:val="00640DAB"/>
    <w:rsid w:val="006411F4"/>
    <w:rsid w:val="006417B1"/>
    <w:rsid w:val="00641FBB"/>
    <w:rsid w:val="00642219"/>
    <w:rsid w:val="00642256"/>
    <w:rsid w:val="006423FD"/>
    <w:rsid w:val="00642D0C"/>
    <w:rsid w:val="00642DBC"/>
    <w:rsid w:val="006430A2"/>
    <w:rsid w:val="00643520"/>
    <w:rsid w:val="006446F6"/>
    <w:rsid w:val="006448B6"/>
    <w:rsid w:val="00644CE0"/>
    <w:rsid w:val="00644E81"/>
    <w:rsid w:val="00645811"/>
    <w:rsid w:val="00645CC3"/>
    <w:rsid w:val="006464B5"/>
    <w:rsid w:val="00646810"/>
    <w:rsid w:val="00646836"/>
    <w:rsid w:val="00646CE4"/>
    <w:rsid w:val="00646D2A"/>
    <w:rsid w:val="00646FBB"/>
    <w:rsid w:val="0064729B"/>
    <w:rsid w:val="00647448"/>
    <w:rsid w:val="00647558"/>
    <w:rsid w:val="0064782C"/>
    <w:rsid w:val="00647B83"/>
    <w:rsid w:val="00647ED2"/>
    <w:rsid w:val="0065006D"/>
    <w:rsid w:val="006500D7"/>
    <w:rsid w:val="00650140"/>
    <w:rsid w:val="00650A10"/>
    <w:rsid w:val="00650AE3"/>
    <w:rsid w:val="00650CB5"/>
    <w:rsid w:val="00651564"/>
    <w:rsid w:val="0065175B"/>
    <w:rsid w:val="00651773"/>
    <w:rsid w:val="00651D79"/>
    <w:rsid w:val="00652056"/>
    <w:rsid w:val="00652520"/>
    <w:rsid w:val="00652A7D"/>
    <w:rsid w:val="00652C6C"/>
    <w:rsid w:val="00653BA1"/>
    <w:rsid w:val="00653F80"/>
    <w:rsid w:val="00653FA3"/>
    <w:rsid w:val="00654083"/>
    <w:rsid w:val="00654534"/>
    <w:rsid w:val="00654AA3"/>
    <w:rsid w:val="00654B25"/>
    <w:rsid w:val="00654BC4"/>
    <w:rsid w:val="00654E13"/>
    <w:rsid w:val="00654EE1"/>
    <w:rsid w:val="006556B5"/>
    <w:rsid w:val="0065571D"/>
    <w:rsid w:val="00655C54"/>
    <w:rsid w:val="00655CE8"/>
    <w:rsid w:val="00655E22"/>
    <w:rsid w:val="00655F70"/>
    <w:rsid w:val="006563EC"/>
    <w:rsid w:val="006565B0"/>
    <w:rsid w:val="00656714"/>
    <w:rsid w:val="006569B7"/>
    <w:rsid w:val="00656BA7"/>
    <w:rsid w:val="0065794F"/>
    <w:rsid w:val="00657C87"/>
    <w:rsid w:val="00660477"/>
    <w:rsid w:val="006604BA"/>
    <w:rsid w:val="0066087F"/>
    <w:rsid w:val="00660E58"/>
    <w:rsid w:val="00661005"/>
    <w:rsid w:val="006612EB"/>
    <w:rsid w:val="0066164E"/>
    <w:rsid w:val="0066198F"/>
    <w:rsid w:val="006619D1"/>
    <w:rsid w:val="00661C7B"/>
    <w:rsid w:val="00661FBD"/>
    <w:rsid w:val="00662B94"/>
    <w:rsid w:val="006630CF"/>
    <w:rsid w:val="006634A5"/>
    <w:rsid w:val="00663612"/>
    <w:rsid w:val="00663725"/>
    <w:rsid w:val="00663C65"/>
    <w:rsid w:val="00663FB4"/>
    <w:rsid w:val="00664035"/>
    <w:rsid w:val="00664229"/>
    <w:rsid w:val="00664555"/>
    <w:rsid w:val="00664A6E"/>
    <w:rsid w:val="00664CF1"/>
    <w:rsid w:val="00664D05"/>
    <w:rsid w:val="00664F1A"/>
    <w:rsid w:val="0066519C"/>
    <w:rsid w:val="00665413"/>
    <w:rsid w:val="006655F5"/>
    <w:rsid w:val="00665662"/>
    <w:rsid w:val="00665995"/>
    <w:rsid w:val="00665A05"/>
    <w:rsid w:val="00665C10"/>
    <w:rsid w:val="00666309"/>
    <w:rsid w:val="00666490"/>
    <w:rsid w:val="006665DC"/>
    <w:rsid w:val="0066677D"/>
    <w:rsid w:val="00666D8F"/>
    <w:rsid w:val="00666DAA"/>
    <w:rsid w:val="006670F1"/>
    <w:rsid w:val="006673E6"/>
    <w:rsid w:val="006675E5"/>
    <w:rsid w:val="00667805"/>
    <w:rsid w:val="00667837"/>
    <w:rsid w:val="00667863"/>
    <w:rsid w:val="00667B96"/>
    <w:rsid w:val="00667BA2"/>
    <w:rsid w:val="00667BAB"/>
    <w:rsid w:val="00667CC3"/>
    <w:rsid w:val="00667ED9"/>
    <w:rsid w:val="00670787"/>
    <w:rsid w:val="00670B97"/>
    <w:rsid w:val="00670CFF"/>
    <w:rsid w:val="006710B7"/>
    <w:rsid w:val="00671281"/>
    <w:rsid w:val="0067160F"/>
    <w:rsid w:val="00671A8E"/>
    <w:rsid w:val="0067224B"/>
    <w:rsid w:val="00672B02"/>
    <w:rsid w:val="00672F08"/>
    <w:rsid w:val="006731A5"/>
    <w:rsid w:val="00673203"/>
    <w:rsid w:val="0067339F"/>
    <w:rsid w:val="0067364D"/>
    <w:rsid w:val="0067380A"/>
    <w:rsid w:val="00673AA4"/>
    <w:rsid w:val="00673C33"/>
    <w:rsid w:val="00673CB8"/>
    <w:rsid w:val="00673E27"/>
    <w:rsid w:val="00674272"/>
    <w:rsid w:val="006744F2"/>
    <w:rsid w:val="006748BB"/>
    <w:rsid w:val="00674E3E"/>
    <w:rsid w:val="006756C6"/>
    <w:rsid w:val="00675739"/>
    <w:rsid w:val="00675786"/>
    <w:rsid w:val="00676730"/>
    <w:rsid w:val="00676743"/>
    <w:rsid w:val="00676A30"/>
    <w:rsid w:val="00676ACF"/>
    <w:rsid w:val="00676B77"/>
    <w:rsid w:val="00676E00"/>
    <w:rsid w:val="00676F19"/>
    <w:rsid w:val="006770AC"/>
    <w:rsid w:val="00677365"/>
    <w:rsid w:val="00677689"/>
    <w:rsid w:val="00677862"/>
    <w:rsid w:val="00680393"/>
    <w:rsid w:val="006805CC"/>
    <w:rsid w:val="00680636"/>
    <w:rsid w:val="00680708"/>
    <w:rsid w:val="00680A5D"/>
    <w:rsid w:val="00680F82"/>
    <w:rsid w:val="0068135F"/>
    <w:rsid w:val="006817BA"/>
    <w:rsid w:val="00681895"/>
    <w:rsid w:val="00681971"/>
    <w:rsid w:val="00681CCC"/>
    <w:rsid w:val="00681CD5"/>
    <w:rsid w:val="00681EF8"/>
    <w:rsid w:val="00681F07"/>
    <w:rsid w:val="00681F10"/>
    <w:rsid w:val="00682035"/>
    <w:rsid w:val="0068209B"/>
    <w:rsid w:val="0068219F"/>
    <w:rsid w:val="00682349"/>
    <w:rsid w:val="00682897"/>
    <w:rsid w:val="00682B3E"/>
    <w:rsid w:val="00683452"/>
    <w:rsid w:val="00683482"/>
    <w:rsid w:val="00683604"/>
    <w:rsid w:val="0068400B"/>
    <w:rsid w:val="006840E6"/>
    <w:rsid w:val="0068411F"/>
    <w:rsid w:val="006842A8"/>
    <w:rsid w:val="006849BB"/>
    <w:rsid w:val="00684C5A"/>
    <w:rsid w:val="006851DD"/>
    <w:rsid w:val="0068525D"/>
    <w:rsid w:val="00685288"/>
    <w:rsid w:val="00685950"/>
    <w:rsid w:val="00685BF8"/>
    <w:rsid w:val="00685CC7"/>
    <w:rsid w:val="00686135"/>
    <w:rsid w:val="0068616E"/>
    <w:rsid w:val="006862A6"/>
    <w:rsid w:val="00686307"/>
    <w:rsid w:val="00686323"/>
    <w:rsid w:val="00686A19"/>
    <w:rsid w:val="00687192"/>
    <w:rsid w:val="006871B1"/>
    <w:rsid w:val="00687811"/>
    <w:rsid w:val="00687B7B"/>
    <w:rsid w:val="00690201"/>
    <w:rsid w:val="00690365"/>
    <w:rsid w:val="0069074D"/>
    <w:rsid w:val="00690755"/>
    <w:rsid w:val="00690829"/>
    <w:rsid w:val="00690DF3"/>
    <w:rsid w:val="00691344"/>
    <w:rsid w:val="006914D2"/>
    <w:rsid w:val="00691502"/>
    <w:rsid w:val="00691523"/>
    <w:rsid w:val="00691A16"/>
    <w:rsid w:val="00691B02"/>
    <w:rsid w:val="00691CB9"/>
    <w:rsid w:val="00691D58"/>
    <w:rsid w:val="00691D7A"/>
    <w:rsid w:val="00692183"/>
    <w:rsid w:val="00692FC4"/>
    <w:rsid w:val="0069370C"/>
    <w:rsid w:val="006939EC"/>
    <w:rsid w:val="0069454A"/>
    <w:rsid w:val="006946F8"/>
    <w:rsid w:val="00694DCE"/>
    <w:rsid w:val="00694EC6"/>
    <w:rsid w:val="00694F8F"/>
    <w:rsid w:val="00695937"/>
    <w:rsid w:val="0069597C"/>
    <w:rsid w:val="00695D95"/>
    <w:rsid w:val="00696054"/>
    <w:rsid w:val="006960B9"/>
    <w:rsid w:val="00696258"/>
    <w:rsid w:val="00696326"/>
    <w:rsid w:val="00696406"/>
    <w:rsid w:val="006966F0"/>
    <w:rsid w:val="00696736"/>
    <w:rsid w:val="006968ED"/>
    <w:rsid w:val="006970D5"/>
    <w:rsid w:val="00697118"/>
    <w:rsid w:val="006972F7"/>
    <w:rsid w:val="0069739D"/>
    <w:rsid w:val="0069787B"/>
    <w:rsid w:val="00697CDE"/>
    <w:rsid w:val="00697D2B"/>
    <w:rsid w:val="00697D2F"/>
    <w:rsid w:val="006A01BF"/>
    <w:rsid w:val="006A0293"/>
    <w:rsid w:val="006A06EB"/>
    <w:rsid w:val="006A08C1"/>
    <w:rsid w:val="006A09C3"/>
    <w:rsid w:val="006A0BE2"/>
    <w:rsid w:val="006A0D51"/>
    <w:rsid w:val="006A0DCB"/>
    <w:rsid w:val="006A1186"/>
    <w:rsid w:val="006A1E83"/>
    <w:rsid w:val="006A1EE1"/>
    <w:rsid w:val="006A1F2C"/>
    <w:rsid w:val="006A2159"/>
    <w:rsid w:val="006A249B"/>
    <w:rsid w:val="006A24E1"/>
    <w:rsid w:val="006A256F"/>
    <w:rsid w:val="006A27DD"/>
    <w:rsid w:val="006A3897"/>
    <w:rsid w:val="006A38F6"/>
    <w:rsid w:val="006A3F17"/>
    <w:rsid w:val="006A4211"/>
    <w:rsid w:val="006A4AE2"/>
    <w:rsid w:val="006A4B09"/>
    <w:rsid w:val="006A4D54"/>
    <w:rsid w:val="006A4D8A"/>
    <w:rsid w:val="006A4F99"/>
    <w:rsid w:val="006A50C8"/>
    <w:rsid w:val="006A520E"/>
    <w:rsid w:val="006A57B9"/>
    <w:rsid w:val="006A5AAE"/>
    <w:rsid w:val="006A5EE5"/>
    <w:rsid w:val="006A5F9D"/>
    <w:rsid w:val="006A625E"/>
    <w:rsid w:val="006A64A9"/>
    <w:rsid w:val="006A661F"/>
    <w:rsid w:val="006A6AF9"/>
    <w:rsid w:val="006A6B52"/>
    <w:rsid w:val="006A743B"/>
    <w:rsid w:val="006A796D"/>
    <w:rsid w:val="006A7AD0"/>
    <w:rsid w:val="006A7CBB"/>
    <w:rsid w:val="006A7D66"/>
    <w:rsid w:val="006A7DE9"/>
    <w:rsid w:val="006A7DFF"/>
    <w:rsid w:val="006B011B"/>
    <w:rsid w:val="006B0469"/>
    <w:rsid w:val="006B0925"/>
    <w:rsid w:val="006B099B"/>
    <w:rsid w:val="006B0DA8"/>
    <w:rsid w:val="006B1C87"/>
    <w:rsid w:val="006B24E1"/>
    <w:rsid w:val="006B277A"/>
    <w:rsid w:val="006B27ED"/>
    <w:rsid w:val="006B2C28"/>
    <w:rsid w:val="006B311C"/>
    <w:rsid w:val="006B385A"/>
    <w:rsid w:val="006B387F"/>
    <w:rsid w:val="006B38A8"/>
    <w:rsid w:val="006B3B09"/>
    <w:rsid w:val="006B3F25"/>
    <w:rsid w:val="006B4785"/>
    <w:rsid w:val="006B4949"/>
    <w:rsid w:val="006B4C57"/>
    <w:rsid w:val="006B52D9"/>
    <w:rsid w:val="006B556C"/>
    <w:rsid w:val="006B56EC"/>
    <w:rsid w:val="006B5A06"/>
    <w:rsid w:val="006B5ADB"/>
    <w:rsid w:val="006B69D2"/>
    <w:rsid w:val="006B6B5B"/>
    <w:rsid w:val="006B6BAF"/>
    <w:rsid w:val="006B6CB4"/>
    <w:rsid w:val="006B73B9"/>
    <w:rsid w:val="006B741B"/>
    <w:rsid w:val="006B7642"/>
    <w:rsid w:val="006B7EFE"/>
    <w:rsid w:val="006C03DC"/>
    <w:rsid w:val="006C0522"/>
    <w:rsid w:val="006C06D7"/>
    <w:rsid w:val="006C0CF3"/>
    <w:rsid w:val="006C0DBD"/>
    <w:rsid w:val="006C1021"/>
    <w:rsid w:val="006C13CB"/>
    <w:rsid w:val="006C145B"/>
    <w:rsid w:val="006C19EA"/>
    <w:rsid w:val="006C1A1F"/>
    <w:rsid w:val="006C2060"/>
    <w:rsid w:val="006C2203"/>
    <w:rsid w:val="006C241E"/>
    <w:rsid w:val="006C25F1"/>
    <w:rsid w:val="006C2626"/>
    <w:rsid w:val="006C2966"/>
    <w:rsid w:val="006C2A20"/>
    <w:rsid w:val="006C2C29"/>
    <w:rsid w:val="006C2EF3"/>
    <w:rsid w:val="006C355C"/>
    <w:rsid w:val="006C3E91"/>
    <w:rsid w:val="006C43B4"/>
    <w:rsid w:val="006C44CD"/>
    <w:rsid w:val="006C4AFE"/>
    <w:rsid w:val="006C4FD2"/>
    <w:rsid w:val="006C5048"/>
    <w:rsid w:val="006C5448"/>
    <w:rsid w:val="006C567D"/>
    <w:rsid w:val="006C56B8"/>
    <w:rsid w:val="006C5A3B"/>
    <w:rsid w:val="006C5BC3"/>
    <w:rsid w:val="006C5F1A"/>
    <w:rsid w:val="006C625C"/>
    <w:rsid w:val="006C6927"/>
    <w:rsid w:val="006C6FE4"/>
    <w:rsid w:val="006C746C"/>
    <w:rsid w:val="006C758D"/>
    <w:rsid w:val="006C7693"/>
    <w:rsid w:val="006D018F"/>
    <w:rsid w:val="006D01A7"/>
    <w:rsid w:val="006D04C5"/>
    <w:rsid w:val="006D0588"/>
    <w:rsid w:val="006D0DC3"/>
    <w:rsid w:val="006D103A"/>
    <w:rsid w:val="006D1DE1"/>
    <w:rsid w:val="006D20F4"/>
    <w:rsid w:val="006D2317"/>
    <w:rsid w:val="006D266D"/>
    <w:rsid w:val="006D2C7E"/>
    <w:rsid w:val="006D2F68"/>
    <w:rsid w:val="006D31EC"/>
    <w:rsid w:val="006D32CD"/>
    <w:rsid w:val="006D3749"/>
    <w:rsid w:val="006D37B0"/>
    <w:rsid w:val="006D37E6"/>
    <w:rsid w:val="006D3A92"/>
    <w:rsid w:val="006D42BB"/>
    <w:rsid w:val="006D489D"/>
    <w:rsid w:val="006D4D7F"/>
    <w:rsid w:val="006D4FAC"/>
    <w:rsid w:val="006D4FD3"/>
    <w:rsid w:val="006D51B1"/>
    <w:rsid w:val="006D5A15"/>
    <w:rsid w:val="006D5D7E"/>
    <w:rsid w:val="006D5FF2"/>
    <w:rsid w:val="006D6048"/>
    <w:rsid w:val="006D625A"/>
    <w:rsid w:val="006D65CA"/>
    <w:rsid w:val="006D6748"/>
    <w:rsid w:val="006D6A10"/>
    <w:rsid w:val="006D6C3A"/>
    <w:rsid w:val="006D6F55"/>
    <w:rsid w:val="006D6F58"/>
    <w:rsid w:val="006D73BB"/>
    <w:rsid w:val="006D76B9"/>
    <w:rsid w:val="006D7FD1"/>
    <w:rsid w:val="006E0285"/>
    <w:rsid w:val="006E0448"/>
    <w:rsid w:val="006E0875"/>
    <w:rsid w:val="006E090A"/>
    <w:rsid w:val="006E09DE"/>
    <w:rsid w:val="006E0E9C"/>
    <w:rsid w:val="006E1377"/>
    <w:rsid w:val="006E143C"/>
    <w:rsid w:val="006E1582"/>
    <w:rsid w:val="006E1655"/>
    <w:rsid w:val="006E165D"/>
    <w:rsid w:val="006E1938"/>
    <w:rsid w:val="006E1970"/>
    <w:rsid w:val="006E1DDE"/>
    <w:rsid w:val="006E2136"/>
    <w:rsid w:val="006E2191"/>
    <w:rsid w:val="006E2329"/>
    <w:rsid w:val="006E24B2"/>
    <w:rsid w:val="006E25C3"/>
    <w:rsid w:val="006E2816"/>
    <w:rsid w:val="006E2AF2"/>
    <w:rsid w:val="006E3280"/>
    <w:rsid w:val="006E3C25"/>
    <w:rsid w:val="006E449E"/>
    <w:rsid w:val="006E44D9"/>
    <w:rsid w:val="006E47C7"/>
    <w:rsid w:val="006E4B84"/>
    <w:rsid w:val="006E5032"/>
    <w:rsid w:val="006E50A3"/>
    <w:rsid w:val="006E51C2"/>
    <w:rsid w:val="006E53B4"/>
    <w:rsid w:val="006E555C"/>
    <w:rsid w:val="006E5E48"/>
    <w:rsid w:val="006E6220"/>
    <w:rsid w:val="006E62EB"/>
    <w:rsid w:val="006E64C8"/>
    <w:rsid w:val="006E6607"/>
    <w:rsid w:val="006E6664"/>
    <w:rsid w:val="006E6A3A"/>
    <w:rsid w:val="006E6CFE"/>
    <w:rsid w:val="006E6E11"/>
    <w:rsid w:val="006E71C1"/>
    <w:rsid w:val="006E71F3"/>
    <w:rsid w:val="006E7410"/>
    <w:rsid w:val="006E7542"/>
    <w:rsid w:val="006E75EF"/>
    <w:rsid w:val="006E778C"/>
    <w:rsid w:val="006E7A46"/>
    <w:rsid w:val="006E7AC2"/>
    <w:rsid w:val="006E7B62"/>
    <w:rsid w:val="006F00FD"/>
    <w:rsid w:val="006F0772"/>
    <w:rsid w:val="006F0854"/>
    <w:rsid w:val="006F0C20"/>
    <w:rsid w:val="006F13A7"/>
    <w:rsid w:val="006F144F"/>
    <w:rsid w:val="006F155C"/>
    <w:rsid w:val="006F1A01"/>
    <w:rsid w:val="006F1E54"/>
    <w:rsid w:val="006F2800"/>
    <w:rsid w:val="006F28B2"/>
    <w:rsid w:val="006F302E"/>
    <w:rsid w:val="006F3306"/>
    <w:rsid w:val="006F37B8"/>
    <w:rsid w:val="006F3D0C"/>
    <w:rsid w:val="006F3DA0"/>
    <w:rsid w:val="006F432D"/>
    <w:rsid w:val="006F43CD"/>
    <w:rsid w:val="006F46D2"/>
    <w:rsid w:val="006F4737"/>
    <w:rsid w:val="006F50C8"/>
    <w:rsid w:val="006F513C"/>
    <w:rsid w:val="006F5E2D"/>
    <w:rsid w:val="006F5E70"/>
    <w:rsid w:val="006F5E76"/>
    <w:rsid w:val="006F5F39"/>
    <w:rsid w:val="006F61F8"/>
    <w:rsid w:val="006F6789"/>
    <w:rsid w:val="006F68F6"/>
    <w:rsid w:val="006F70DB"/>
    <w:rsid w:val="006F74EA"/>
    <w:rsid w:val="006F77E7"/>
    <w:rsid w:val="006F7D2B"/>
    <w:rsid w:val="00700017"/>
    <w:rsid w:val="0070022B"/>
    <w:rsid w:val="007004C2"/>
    <w:rsid w:val="00700714"/>
    <w:rsid w:val="007007E6"/>
    <w:rsid w:val="00700A01"/>
    <w:rsid w:val="00700B98"/>
    <w:rsid w:val="00700BD4"/>
    <w:rsid w:val="00701027"/>
    <w:rsid w:val="007012C0"/>
    <w:rsid w:val="007012CD"/>
    <w:rsid w:val="007016AF"/>
    <w:rsid w:val="00701A74"/>
    <w:rsid w:val="00701D1F"/>
    <w:rsid w:val="00702372"/>
    <w:rsid w:val="007023B6"/>
    <w:rsid w:val="0070283F"/>
    <w:rsid w:val="00702B49"/>
    <w:rsid w:val="00702E7F"/>
    <w:rsid w:val="00703056"/>
    <w:rsid w:val="00703459"/>
    <w:rsid w:val="00703BB5"/>
    <w:rsid w:val="00703C0D"/>
    <w:rsid w:val="00703E31"/>
    <w:rsid w:val="00704407"/>
    <w:rsid w:val="007045AF"/>
    <w:rsid w:val="00704676"/>
    <w:rsid w:val="007047E3"/>
    <w:rsid w:val="007048DC"/>
    <w:rsid w:val="00704935"/>
    <w:rsid w:val="00704CB9"/>
    <w:rsid w:val="00704CBD"/>
    <w:rsid w:val="00704D3A"/>
    <w:rsid w:val="00705121"/>
    <w:rsid w:val="00705250"/>
    <w:rsid w:val="00705322"/>
    <w:rsid w:val="00705653"/>
    <w:rsid w:val="00705AD5"/>
    <w:rsid w:val="00705B0D"/>
    <w:rsid w:val="00705E62"/>
    <w:rsid w:val="00705EFC"/>
    <w:rsid w:val="00706065"/>
    <w:rsid w:val="0070608B"/>
    <w:rsid w:val="0070635D"/>
    <w:rsid w:val="00706390"/>
    <w:rsid w:val="0070676E"/>
    <w:rsid w:val="007067A8"/>
    <w:rsid w:val="00706A36"/>
    <w:rsid w:val="00706A8D"/>
    <w:rsid w:val="00706E83"/>
    <w:rsid w:val="00707489"/>
    <w:rsid w:val="007075CD"/>
    <w:rsid w:val="00707882"/>
    <w:rsid w:val="007078B4"/>
    <w:rsid w:val="007079E1"/>
    <w:rsid w:val="00707AAA"/>
    <w:rsid w:val="00707B1D"/>
    <w:rsid w:val="00707B2B"/>
    <w:rsid w:val="00707CC9"/>
    <w:rsid w:val="00707FD6"/>
    <w:rsid w:val="0071037E"/>
    <w:rsid w:val="007105D2"/>
    <w:rsid w:val="0071073E"/>
    <w:rsid w:val="00710855"/>
    <w:rsid w:val="007112C8"/>
    <w:rsid w:val="007113AF"/>
    <w:rsid w:val="00711462"/>
    <w:rsid w:val="007115BD"/>
    <w:rsid w:val="00711875"/>
    <w:rsid w:val="00711BA0"/>
    <w:rsid w:val="00711CB6"/>
    <w:rsid w:val="00711EEC"/>
    <w:rsid w:val="00712148"/>
    <w:rsid w:val="00712D58"/>
    <w:rsid w:val="00712FE6"/>
    <w:rsid w:val="00713110"/>
    <w:rsid w:val="0071340D"/>
    <w:rsid w:val="007134AA"/>
    <w:rsid w:val="00713938"/>
    <w:rsid w:val="00713D54"/>
    <w:rsid w:val="00713EEF"/>
    <w:rsid w:val="007143E5"/>
    <w:rsid w:val="00714433"/>
    <w:rsid w:val="00714D5B"/>
    <w:rsid w:val="00714FEA"/>
    <w:rsid w:val="0071519F"/>
    <w:rsid w:val="007155F1"/>
    <w:rsid w:val="00715977"/>
    <w:rsid w:val="00715B06"/>
    <w:rsid w:val="00715CED"/>
    <w:rsid w:val="00715DED"/>
    <w:rsid w:val="0071637B"/>
    <w:rsid w:val="0071687A"/>
    <w:rsid w:val="007169E8"/>
    <w:rsid w:val="00716ADF"/>
    <w:rsid w:val="00716BB5"/>
    <w:rsid w:val="00716D12"/>
    <w:rsid w:val="00716E53"/>
    <w:rsid w:val="00717522"/>
    <w:rsid w:val="00720335"/>
    <w:rsid w:val="00720DE0"/>
    <w:rsid w:val="00720F78"/>
    <w:rsid w:val="00721178"/>
    <w:rsid w:val="00721194"/>
    <w:rsid w:val="00721627"/>
    <w:rsid w:val="0072176F"/>
    <w:rsid w:val="00721B54"/>
    <w:rsid w:val="00722509"/>
    <w:rsid w:val="00722834"/>
    <w:rsid w:val="00722986"/>
    <w:rsid w:val="00722A78"/>
    <w:rsid w:val="00722E20"/>
    <w:rsid w:val="00722F2E"/>
    <w:rsid w:val="007232BF"/>
    <w:rsid w:val="007236C8"/>
    <w:rsid w:val="00723718"/>
    <w:rsid w:val="00723918"/>
    <w:rsid w:val="00723961"/>
    <w:rsid w:val="00723E17"/>
    <w:rsid w:val="00723E8E"/>
    <w:rsid w:val="0072437F"/>
    <w:rsid w:val="00724530"/>
    <w:rsid w:val="007245EF"/>
    <w:rsid w:val="007247D2"/>
    <w:rsid w:val="00724E45"/>
    <w:rsid w:val="00724F70"/>
    <w:rsid w:val="007251C7"/>
    <w:rsid w:val="007258F9"/>
    <w:rsid w:val="00725AE1"/>
    <w:rsid w:val="00725E74"/>
    <w:rsid w:val="00725F82"/>
    <w:rsid w:val="00726714"/>
    <w:rsid w:val="007276AC"/>
    <w:rsid w:val="00727961"/>
    <w:rsid w:val="00727F13"/>
    <w:rsid w:val="00727FE6"/>
    <w:rsid w:val="00730257"/>
    <w:rsid w:val="0073050E"/>
    <w:rsid w:val="00730824"/>
    <w:rsid w:val="007309FE"/>
    <w:rsid w:val="00730BC5"/>
    <w:rsid w:val="00731069"/>
    <w:rsid w:val="00731273"/>
    <w:rsid w:val="0073150E"/>
    <w:rsid w:val="007315C2"/>
    <w:rsid w:val="007315FD"/>
    <w:rsid w:val="007316EF"/>
    <w:rsid w:val="007318E9"/>
    <w:rsid w:val="00731A34"/>
    <w:rsid w:val="00731CFE"/>
    <w:rsid w:val="00731DBC"/>
    <w:rsid w:val="00731E1E"/>
    <w:rsid w:val="00731E22"/>
    <w:rsid w:val="00731EE5"/>
    <w:rsid w:val="00732307"/>
    <w:rsid w:val="00732999"/>
    <w:rsid w:val="00732E97"/>
    <w:rsid w:val="007333FC"/>
    <w:rsid w:val="0073358D"/>
    <w:rsid w:val="0073369D"/>
    <w:rsid w:val="00733B61"/>
    <w:rsid w:val="00733F32"/>
    <w:rsid w:val="007343B2"/>
    <w:rsid w:val="0073441B"/>
    <w:rsid w:val="007346A0"/>
    <w:rsid w:val="0073475F"/>
    <w:rsid w:val="007348EF"/>
    <w:rsid w:val="00734BB4"/>
    <w:rsid w:val="007350D1"/>
    <w:rsid w:val="00735462"/>
    <w:rsid w:val="007355D3"/>
    <w:rsid w:val="007356E3"/>
    <w:rsid w:val="007358D2"/>
    <w:rsid w:val="007359FA"/>
    <w:rsid w:val="00735CCB"/>
    <w:rsid w:val="007368F9"/>
    <w:rsid w:val="00736BF9"/>
    <w:rsid w:val="00736F63"/>
    <w:rsid w:val="007370A6"/>
    <w:rsid w:val="007371A5"/>
    <w:rsid w:val="00737966"/>
    <w:rsid w:val="00737A30"/>
    <w:rsid w:val="00737B32"/>
    <w:rsid w:val="00737C75"/>
    <w:rsid w:val="00737E12"/>
    <w:rsid w:val="00737FE1"/>
    <w:rsid w:val="0074018D"/>
    <w:rsid w:val="00740295"/>
    <w:rsid w:val="00740662"/>
    <w:rsid w:val="00740AA1"/>
    <w:rsid w:val="0074107A"/>
    <w:rsid w:val="007410B0"/>
    <w:rsid w:val="007412F4"/>
    <w:rsid w:val="00741560"/>
    <w:rsid w:val="00741671"/>
    <w:rsid w:val="00741BCC"/>
    <w:rsid w:val="00741BF1"/>
    <w:rsid w:val="0074295A"/>
    <w:rsid w:val="007429CA"/>
    <w:rsid w:val="00742B99"/>
    <w:rsid w:val="00742C38"/>
    <w:rsid w:val="00742DA3"/>
    <w:rsid w:val="0074315D"/>
    <w:rsid w:val="00743557"/>
    <w:rsid w:val="00743FF0"/>
    <w:rsid w:val="00744393"/>
    <w:rsid w:val="007448E2"/>
    <w:rsid w:val="00744F0A"/>
    <w:rsid w:val="007451C7"/>
    <w:rsid w:val="00745225"/>
    <w:rsid w:val="0074537E"/>
    <w:rsid w:val="0074547C"/>
    <w:rsid w:val="00745967"/>
    <w:rsid w:val="00746346"/>
    <w:rsid w:val="007466B6"/>
    <w:rsid w:val="00746716"/>
    <w:rsid w:val="007469B0"/>
    <w:rsid w:val="00746B93"/>
    <w:rsid w:val="00746EF0"/>
    <w:rsid w:val="00747392"/>
    <w:rsid w:val="0074771B"/>
    <w:rsid w:val="00747BD7"/>
    <w:rsid w:val="00747C06"/>
    <w:rsid w:val="00750DD0"/>
    <w:rsid w:val="0075126E"/>
    <w:rsid w:val="007514D7"/>
    <w:rsid w:val="00751707"/>
    <w:rsid w:val="00751752"/>
    <w:rsid w:val="007517EE"/>
    <w:rsid w:val="007518B5"/>
    <w:rsid w:val="0075201C"/>
    <w:rsid w:val="007520EF"/>
    <w:rsid w:val="007522C7"/>
    <w:rsid w:val="00752767"/>
    <w:rsid w:val="0075295D"/>
    <w:rsid w:val="00752D88"/>
    <w:rsid w:val="00753027"/>
    <w:rsid w:val="0075319E"/>
    <w:rsid w:val="007533A4"/>
    <w:rsid w:val="00753E3A"/>
    <w:rsid w:val="007544C3"/>
    <w:rsid w:val="00754993"/>
    <w:rsid w:val="00754D3F"/>
    <w:rsid w:val="00754D82"/>
    <w:rsid w:val="00754DE8"/>
    <w:rsid w:val="00755432"/>
    <w:rsid w:val="007556FD"/>
    <w:rsid w:val="00755C06"/>
    <w:rsid w:val="00755DB0"/>
    <w:rsid w:val="00755E39"/>
    <w:rsid w:val="00756547"/>
    <w:rsid w:val="00756B09"/>
    <w:rsid w:val="00756EEB"/>
    <w:rsid w:val="00756F1A"/>
    <w:rsid w:val="007571EA"/>
    <w:rsid w:val="007571FF"/>
    <w:rsid w:val="00757227"/>
    <w:rsid w:val="007572EC"/>
    <w:rsid w:val="00757388"/>
    <w:rsid w:val="007575C0"/>
    <w:rsid w:val="00757678"/>
    <w:rsid w:val="0075772A"/>
    <w:rsid w:val="007600F8"/>
    <w:rsid w:val="0076010A"/>
    <w:rsid w:val="0076020B"/>
    <w:rsid w:val="0076028F"/>
    <w:rsid w:val="007604C9"/>
    <w:rsid w:val="00760B48"/>
    <w:rsid w:val="00760C7B"/>
    <w:rsid w:val="00760F46"/>
    <w:rsid w:val="007611B5"/>
    <w:rsid w:val="0076124F"/>
    <w:rsid w:val="007613B7"/>
    <w:rsid w:val="00761810"/>
    <w:rsid w:val="007619D0"/>
    <w:rsid w:val="00761CD9"/>
    <w:rsid w:val="00761D8A"/>
    <w:rsid w:val="00761EDE"/>
    <w:rsid w:val="00762007"/>
    <w:rsid w:val="00762164"/>
    <w:rsid w:val="0076233F"/>
    <w:rsid w:val="00762442"/>
    <w:rsid w:val="0076249D"/>
    <w:rsid w:val="00762BE7"/>
    <w:rsid w:val="00762D9F"/>
    <w:rsid w:val="00762FE0"/>
    <w:rsid w:val="007631AF"/>
    <w:rsid w:val="0076339A"/>
    <w:rsid w:val="00763658"/>
    <w:rsid w:val="007636ED"/>
    <w:rsid w:val="00763873"/>
    <w:rsid w:val="0076392F"/>
    <w:rsid w:val="0076399F"/>
    <w:rsid w:val="00763EA4"/>
    <w:rsid w:val="00763F41"/>
    <w:rsid w:val="00764044"/>
    <w:rsid w:val="007646AF"/>
    <w:rsid w:val="00764AA1"/>
    <w:rsid w:val="00764E3D"/>
    <w:rsid w:val="0076545E"/>
    <w:rsid w:val="0076565B"/>
    <w:rsid w:val="00765A47"/>
    <w:rsid w:val="00765BCF"/>
    <w:rsid w:val="0076609F"/>
    <w:rsid w:val="007664A7"/>
    <w:rsid w:val="0076664B"/>
    <w:rsid w:val="007667E7"/>
    <w:rsid w:val="00766AF8"/>
    <w:rsid w:val="00766FA4"/>
    <w:rsid w:val="007670CA"/>
    <w:rsid w:val="00767202"/>
    <w:rsid w:val="007703D0"/>
    <w:rsid w:val="00770A1C"/>
    <w:rsid w:val="00770AEA"/>
    <w:rsid w:val="00771A7F"/>
    <w:rsid w:val="00771B1C"/>
    <w:rsid w:val="00771B52"/>
    <w:rsid w:val="00771C84"/>
    <w:rsid w:val="00771E24"/>
    <w:rsid w:val="00771F4C"/>
    <w:rsid w:val="00772522"/>
    <w:rsid w:val="00772561"/>
    <w:rsid w:val="00772E18"/>
    <w:rsid w:val="00773314"/>
    <w:rsid w:val="007734F4"/>
    <w:rsid w:val="00773A1C"/>
    <w:rsid w:val="00773DA0"/>
    <w:rsid w:val="00773DD3"/>
    <w:rsid w:val="007742B8"/>
    <w:rsid w:val="00774504"/>
    <w:rsid w:val="00774DF7"/>
    <w:rsid w:val="00775433"/>
    <w:rsid w:val="0077553B"/>
    <w:rsid w:val="007758FD"/>
    <w:rsid w:val="00777086"/>
    <w:rsid w:val="00777203"/>
    <w:rsid w:val="00777463"/>
    <w:rsid w:val="007775D7"/>
    <w:rsid w:val="007778E4"/>
    <w:rsid w:val="00777BE0"/>
    <w:rsid w:val="00777D4F"/>
    <w:rsid w:val="00777DD0"/>
    <w:rsid w:val="007801AC"/>
    <w:rsid w:val="00780314"/>
    <w:rsid w:val="0078034A"/>
    <w:rsid w:val="0078044D"/>
    <w:rsid w:val="007806A7"/>
    <w:rsid w:val="00780BA7"/>
    <w:rsid w:val="00780CA2"/>
    <w:rsid w:val="00780DAF"/>
    <w:rsid w:val="00781240"/>
    <w:rsid w:val="00781287"/>
    <w:rsid w:val="0078144F"/>
    <w:rsid w:val="0078170C"/>
    <w:rsid w:val="0078173E"/>
    <w:rsid w:val="0078173F"/>
    <w:rsid w:val="007818CA"/>
    <w:rsid w:val="00781AC4"/>
    <w:rsid w:val="00781CFE"/>
    <w:rsid w:val="00781D1E"/>
    <w:rsid w:val="0078238E"/>
    <w:rsid w:val="007823F9"/>
    <w:rsid w:val="007824AA"/>
    <w:rsid w:val="007824C2"/>
    <w:rsid w:val="007825C1"/>
    <w:rsid w:val="007826EF"/>
    <w:rsid w:val="0078276C"/>
    <w:rsid w:val="007827A0"/>
    <w:rsid w:val="00782875"/>
    <w:rsid w:val="00782A52"/>
    <w:rsid w:val="00782B0E"/>
    <w:rsid w:val="00782F78"/>
    <w:rsid w:val="00783331"/>
    <w:rsid w:val="00783366"/>
    <w:rsid w:val="0078366B"/>
    <w:rsid w:val="00783726"/>
    <w:rsid w:val="00783D4D"/>
    <w:rsid w:val="007841AA"/>
    <w:rsid w:val="0078468E"/>
    <w:rsid w:val="00784A6D"/>
    <w:rsid w:val="00784BB6"/>
    <w:rsid w:val="00784E90"/>
    <w:rsid w:val="007855CC"/>
    <w:rsid w:val="00785B6D"/>
    <w:rsid w:val="00785C47"/>
    <w:rsid w:val="0078649C"/>
    <w:rsid w:val="007865C5"/>
    <w:rsid w:val="00786789"/>
    <w:rsid w:val="0078689A"/>
    <w:rsid w:val="00786B2B"/>
    <w:rsid w:val="00786E0E"/>
    <w:rsid w:val="00790436"/>
    <w:rsid w:val="00790754"/>
    <w:rsid w:val="00790E3B"/>
    <w:rsid w:val="007910CF"/>
    <w:rsid w:val="00791223"/>
    <w:rsid w:val="007913B5"/>
    <w:rsid w:val="00791504"/>
    <w:rsid w:val="00791781"/>
    <w:rsid w:val="00791923"/>
    <w:rsid w:val="00791973"/>
    <w:rsid w:val="00791C30"/>
    <w:rsid w:val="00791DB5"/>
    <w:rsid w:val="00792077"/>
    <w:rsid w:val="007928D6"/>
    <w:rsid w:val="00793099"/>
    <w:rsid w:val="007930EB"/>
    <w:rsid w:val="007932A5"/>
    <w:rsid w:val="007933EB"/>
    <w:rsid w:val="00793877"/>
    <w:rsid w:val="00793D17"/>
    <w:rsid w:val="00794217"/>
    <w:rsid w:val="00794A31"/>
    <w:rsid w:val="00794B7C"/>
    <w:rsid w:val="00794F54"/>
    <w:rsid w:val="007951C7"/>
    <w:rsid w:val="00795410"/>
    <w:rsid w:val="007954DA"/>
    <w:rsid w:val="00795726"/>
    <w:rsid w:val="00795E10"/>
    <w:rsid w:val="00796150"/>
    <w:rsid w:val="007961C4"/>
    <w:rsid w:val="00796678"/>
    <w:rsid w:val="0079690E"/>
    <w:rsid w:val="00796A2B"/>
    <w:rsid w:val="00796B62"/>
    <w:rsid w:val="00796C04"/>
    <w:rsid w:val="00796CF4"/>
    <w:rsid w:val="00796E22"/>
    <w:rsid w:val="00797331"/>
    <w:rsid w:val="00797567"/>
    <w:rsid w:val="00797972"/>
    <w:rsid w:val="00797B5B"/>
    <w:rsid w:val="007A00ED"/>
    <w:rsid w:val="007A05CB"/>
    <w:rsid w:val="007A06E6"/>
    <w:rsid w:val="007A06FB"/>
    <w:rsid w:val="007A0AE9"/>
    <w:rsid w:val="007A0CBD"/>
    <w:rsid w:val="007A0CED"/>
    <w:rsid w:val="007A0E94"/>
    <w:rsid w:val="007A11CE"/>
    <w:rsid w:val="007A1246"/>
    <w:rsid w:val="007A181C"/>
    <w:rsid w:val="007A1ADA"/>
    <w:rsid w:val="007A1D64"/>
    <w:rsid w:val="007A1F9C"/>
    <w:rsid w:val="007A205C"/>
    <w:rsid w:val="007A2384"/>
    <w:rsid w:val="007A2AA3"/>
    <w:rsid w:val="007A2B61"/>
    <w:rsid w:val="007A2CF4"/>
    <w:rsid w:val="007A2F91"/>
    <w:rsid w:val="007A3104"/>
    <w:rsid w:val="007A31C0"/>
    <w:rsid w:val="007A31F5"/>
    <w:rsid w:val="007A3796"/>
    <w:rsid w:val="007A39CF"/>
    <w:rsid w:val="007A3D3B"/>
    <w:rsid w:val="007A3D56"/>
    <w:rsid w:val="007A4656"/>
    <w:rsid w:val="007A46EC"/>
    <w:rsid w:val="007A48DA"/>
    <w:rsid w:val="007A4A95"/>
    <w:rsid w:val="007A4FD8"/>
    <w:rsid w:val="007A5281"/>
    <w:rsid w:val="007A55DB"/>
    <w:rsid w:val="007A5834"/>
    <w:rsid w:val="007A5D16"/>
    <w:rsid w:val="007A62C1"/>
    <w:rsid w:val="007A6C81"/>
    <w:rsid w:val="007A7172"/>
    <w:rsid w:val="007A71DC"/>
    <w:rsid w:val="007A721A"/>
    <w:rsid w:val="007A738A"/>
    <w:rsid w:val="007A77DA"/>
    <w:rsid w:val="007A798D"/>
    <w:rsid w:val="007A7CC0"/>
    <w:rsid w:val="007B052C"/>
    <w:rsid w:val="007B06F0"/>
    <w:rsid w:val="007B07D4"/>
    <w:rsid w:val="007B0A8F"/>
    <w:rsid w:val="007B0CA3"/>
    <w:rsid w:val="007B1355"/>
    <w:rsid w:val="007B136F"/>
    <w:rsid w:val="007B137E"/>
    <w:rsid w:val="007B1592"/>
    <w:rsid w:val="007B192B"/>
    <w:rsid w:val="007B1D51"/>
    <w:rsid w:val="007B1F60"/>
    <w:rsid w:val="007B23C8"/>
    <w:rsid w:val="007B26CA"/>
    <w:rsid w:val="007B26FA"/>
    <w:rsid w:val="007B27AB"/>
    <w:rsid w:val="007B2D58"/>
    <w:rsid w:val="007B30F3"/>
    <w:rsid w:val="007B3359"/>
    <w:rsid w:val="007B3586"/>
    <w:rsid w:val="007B37B2"/>
    <w:rsid w:val="007B3F29"/>
    <w:rsid w:val="007B4161"/>
    <w:rsid w:val="007B4B6A"/>
    <w:rsid w:val="007B5AA1"/>
    <w:rsid w:val="007B5C1D"/>
    <w:rsid w:val="007B663E"/>
    <w:rsid w:val="007B666C"/>
    <w:rsid w:val="007B6A7C"/>
    <w:rsid w:val="007B6A99"/>
    <w:rsid w:val="007B6CF6"/>
    <w:rsid w:val="007B755C"/>
    <w:rsid w:val="007B7860"/>
    <w:rsid w:val="007B78B7"/>
    <w:rsid w:val="007B7C64"/>
    <w:rsid w:val="007B7D7F"/>
    <w:rsid w:val="007B7F77"/>
    <w:rsid w:val="007C0026"/>
    <w:rsid w:val="007C0730"/>
    <w:rsid w:val="007C096A"/>
    <w:rsid w:val="007C1068"/>
    <w:rsid w:val="007C11B8"/>
    <w:rsid w:val="007C17A2"/>
    <w:rsid w:val="007C1905"/>
    <w:rsid w:val="007C19C0"/>
    <w:rsid w:val="007C1B9A"/>
    <w:rsid w:val="007C1E2B"/>
    <w:rsid w:val="007C229C"/>
    <w:rsid w:val="007C29C9"/>
    <w:rsid w:val="007C2AA1"/>
    <w:rsid w:val="007C30BD"/>
    <w:rsid w:val="007C335F"/>
    <w:rsid w:val="007C3CE7"/>
    <w:rsid w:val="007C3D44"/>
    <w:rsid w:val="007C3D9B"/>
    <w:rsid w:val="007C3E29"/>
    <w:rsid w:val="007C4044"/>
    <w:rsid w:val="007C40BB"/>
    <w:rsid w:val="007C434A"/>
    <w:rsid w:val="007C4751"/>
    <w:rsid w:val="007C4935"/>
    <w:rsid w:val="007C4C69"/>
    <w:rsid w:val="007C4CD1"/>
    <w:rsid w:val="007C4E52"/>
    <w:rsid w:val="007C51A5"/>
    <w:rsid w:val="007C58A8"/>
    <w:rsid w:val="007C5E69"/>
    <w:rsid w:val="007C600E"/>
    <w:rsid w:val="007C62BF"/>
    <w:rsid w:val="007C62DB"/>
    <w:rsid w:val="007C65CC"/>
    <w:rsid w:val="007C6E48"/>
    <w:rsid w:val="007C7077"/>
    <w:rsid w:val="007C751A"/>
    <w:rsid w:val="007C75ED"/>
    <w:rsid w:val="007C7B7F"/>
    <w:rsid w:val="007C7E63"/>
    <w:rsid w:val="007D01EE"/>
    <w:rsid w:val="007D02AD"/>
    <w:rsid w:val="007D05FE"/>
    <w:rsid w:val="007D0D63"/>
    <w:rsid w:val="007D1164"/>
    <w:rsid w:val="007D13D5"/>
    <w:rsid w:val="007D174D"/>
    <w:rsid w:val="007D19F1"/>
    <w:rsid w:val="007D1B4F"/>
    <w:rsid w:val="007D1CF3"/>
    <w:rsid w:val="007D1E1D"/>
    <w:rsid w:val="007D210C"/>
    <w:rsid w:val="007D23DB"/>
    <w:rsid w:val="007D251D"/>
    <w:rsid w:val="007D26A3"/>
    <w:rsid w:val="007D282C"/>
    <w:rsid w:val="007D2FC1"/>
    <w:rsid w:val="007D302F"/>
    <w:rsid w:val="007D34E9"/>
    <w:rsid w:val="007D358F"/>
    <w:rsid w:val="007D4221"/>
    <w:rsid w:val="007D4534"/>
    <w:rsid w:val="007D45D6"/>
    <w:rsid w:val="007D4ACB"/>
    <w:rsid w:val="007D5319"/>
    <w:rsid w:val="007D53D5"/>
    <w:rsid w:val="007D5406"/>
    <w:rsid w:val="007D5548"/>
    <w:rsid w:val="007D56E5"/>
    <w:rsid w:val="007D575E"/>
    <w:rsid w:val="007D58AA"/>
    <w:rsid w:val="007D59B1"/>
    <w:rsid w:val="007D59D7"/>
    <w:rsid w:val="007D5B21"/>
    <w:rsid w:val="007D5B5A"/>
    <w:rsid w:val="007D5F07"/>
    <w:rsid w:val="007D5F5F"/>
    <w:rsid w:val="007D601C"/>
    <w:rsid w:val="007D675B"/>
    <w:rsid w:val="007D67C3"/>
    <w:rsid w:val="007D67ED"/>
    <w:rsid w:val="007D68F6"/>
    <w:rsid w:val="007D6C1C"/>
    <w:rsid w:val="007D70A1"/>
    <w:rsid w:val="007D71B8"/>
    <w:rsid w:val="007D740B"/>
    <w:rsid w:val="007D7590"/>
    <w:rsid w:val="007E0048"/>
    <w:rsid w:val="007E0285"/>
    <w:rsid w:val="007E0448"/>
    <w:rsid w:val="007E05D3"/>
    <w:rsid w:val="007E07EC"/>
    <w:rsid w:val="007E0C17"/>
    <w:rsid w:val="007E1335"/>
    <w:rsid w:val="007E1A7F"/>
    <w:rsid w:val="007E1B21"/>
    <w:rsid w:val="007E2275"/>
    <w:rsid w:val="007E2306"/>
    <w:rsid w:val="007E2956"/>
    <w:rsid w:val="007E2AB7"/>
    <w:rsid w:val="007E3776"/>
    <w:rsid w:val="007E3896"/>
    <w:rsid w:val="007E395A"/>
    <w:rsid w:val="007E3B5F"/>
    <w:rsid w:val="007E3D1B"/>
    <w:rsid w:val="007E3FED"/>
    <w:rsid w:val="007E45E1"/>
    <w:rsid w:val="007E4D23"/>
    <w:rsid w:val="007E5235"/>
    <w:rsid w:val="007E5326"/>
    <w:rsid w:val="007E53F4"/>
    <w:rsid w:val="007E5513"/>
    <w:rsid w:val="007E55F6"/>
    <w:rsid w:val="007E57BC"/>
    <w:rsid w:val="007E5AA7"/>
    <w:rsid w:val="007E5DFD"/>
    <w:rsid w:val="007E5E8D"/>
    <w:rsid w:val="007E6AA0"/>
    <w:rsid w:val="007E6BAB"/>
    <w:rsid w:val="007E6E9F"/>
    <w:rsid w:val="007E705D"/>
    <w:rsid w:val="007E7329"/>
    <w:rsid w:val="007E7445"/>
    <w:rsid w:val="007E751D"/>
    <w:rsid w:val="007E771A"/>
    <w:rsid w:val="007E7ABA"/>
    <w:rsid w:val="007E7EB1"/>
    <w:rsid w:val="007E7FBB"/>
    <w:rsid w:val="007F0233"/>
    <w:rsid w:val="007F09C3"/>
    <w:rsid w:val="007F0E42"/>
    <w:rsid w:val="007F12FE"/>
    <w:rsid w:val="007F1306"/>
    <w:rsid w:val="007F189B"/>
    <w:rsid w:val="007F1CD1"/>
    <w:rsid w:val="007F24E3"/>
    <w:rsid w:val="007F28F6"/>
    <w:rsid w:val="007F2A61"/>
    <w:rsid w:val="007F2C5C"/>
    <w:rsid w:val="007F2CAD"/>
    <w:rsid w:val="007F2F3D"/>
    <w:rsid w:val="007F34E6"/>
    <w:rsid w:val="007F3764"/>
    <w:rsid w:val="007F3913"/>
    <w:rsid w:val="007F3BE7"/>
    <w:rsid w:val="007F3F5A"/>
    <w:rsid w:val="007F40F2"/>
    <w:rsid w:val="007F4590"/>
    <w:rsid w:val="007F4E67"/>
    <w:rsid w:val="007F5573"/>
    <w:rsid w:val="007F5A83"/>
    <w:rsid w:val="007F5B9A"/>
    <w:rsid w:val="007F5D8E"/>
    <w:rsid w:val="007F6477"/>
    <w:rsid w:val="007F64BC"/>
    <w:rsid w:val="007F69C8"/>
    <w:rsid w:val="007F69E3"/>
    <w:rsid w:val="007F6AE1"/>
    <w:rsid w:val="007F723D"/>
    <w:rsid w:val="007F7269"/>
    <w:rsid w:val="007F74DE"/>
    <w:rsid w:val="007F7644"/>
    <w:rsid w:val="007F76F8"/>
    <w:rsid w:val="007F790C"/>
    <w:rsid w:val="007F7F94"/>
    <w:rsid w:val="008000A2"/>
    <w:rsid w:val="0080079C"/>
    <w:rsid w:val="008008FC"/>
    <w:rsid w:val="00801228"/>
    <w:rsid w:val="00801428"/>
    <w:rsid w:val="008014EA"/>
    <w:rsid w:val="00801512"/>
    <w:rsid w:val="00801D98"/>
    <w:rsid w:val="00801E4B"/>
    <w:rsid w:val="008026AC"/>
    <w:rsid w:val="00802752"/>
    <w:rsid w:val="0080283D"/>
    <w:rsid w:val="00802C86"/>
    <w:rsid w:val="00802E93"/>
    <w:rsid w:val="008030E7"/>
    <w:rsid w:val="0080316B"/>
    <w:rsid w:val="0080328F"/>
    <w:rsid w:val="008033EE"/>
    <w:rsid w:val="0080344A"/>
    <w:rsid w:val="0080348D"/>
    <w:rsid w:val="00803DC4"/>
    <w:rsid w:val="00803E8C"/>
    <w:rsid w:val="00804111"/>
    <w:rsid w:val="008048A3"/>
    <w:rsid w:val="00804CAB"/>
    <w:rsid w:val="00804DCE"/>
    <w:rsid w:val="00806291"/>
    <w:rsid w:val="008062CA"/>
    <w:rsid w:val="008065DF"/>
    <w:rsid w:val="008068C2"/>
    <w:rsid w:val="00807133"/>
    <w:rsid w:val="00807170"/>
    <w:rsid w:val="00807F2F"/>
    <w:rsid w:val="00810093"/>
    <w:rsid w:val="0081054C"/>
    <w:rsid w:val="00810933"/>
    <w:rsid w:val="00810A57"/>
    <w:rsid w:val="00810BA3"/>
    <w:rsid w:val="00810C38"/>
    <w:rsid w:val="00811265"/>
    <w:rsid w:val="0081163A"/>
    <w:rsid w:val="00811BAF"/>
    <w:rsid w:val="0081217E"/>
    <w:rsid w:val="008121FF"/>
    <w:rsid w:val="008126AB"/>
    <w:rsid w:val="00812766"/>
    <w:rsid w:val="00812D90"/>
    <w:rsid w:val="00813448"/>
    <w:rsid w:val="0081423A"/>
    <w:rsid w:val="00814313"/>
    <w:rsid w:val="0081474B"/>
    <w:rsid w:val="008147A3"/>
    <w:rsid w:val="008147EC"/>
    <w:rsid w:val="008148E1"/>
    <w:rsid w:val="00814990"/>
    <w:rsid w:val="00814C2B"/>
    <w:rsid w:val="00814D64"/>
    <w:rsid w:val="008152AC"/>
    <w:rsid w:val="008154D4"/>
    <w:rsid w:val="008158DF"/>
    <w:rsid w:val="00815AD3"/>
    <w:rsid w:val="00815B92"/>
    <w:rsid w:val="00815B9B"/>
    <w:rsid w:val="00816AB7"/>
    <w:rsid w:val="00816E5D"/>
    <w:rsid w:val="00816FE6"/>
    <w:rsid w:val="00817259"/>
    <w:rsid w:val="00817414"/>
    <w:rsid w:val="00817562"/>
    <w:rsid w:val="00817744"/>
    <w:rsid w:val="00817C60"/>
    <w:rsid w:val="0082006A"/>
    <w:rsid w:val="0082014E"/>
    <w:rsid w:val="008201E3"/>
    <w:rsid w:val="0082055E"/>
    <w:rsid w:val="008205EF"/>
    <w:rsid w:val="00820973"/>
    <w:rsid w:val="00820BAB"/>
    <w:rsid w:val="00820FFE"/>
    <w:rsid w:val="0082123B"/>
    <w:rsid w:val="00821972"/>
    <w:rsid w:val="00821DC8"/>
    <w:rsid w:val="00821F62"/>
    <w:rsid w:val="00822071"/>
    <w:rsid w:val="008221F9"/>
    <w:rsid w:val="00822ADD"/>
    <w:rsid w:val="00822C99"/>
    <w:rsid w:val="00822CAA"/>
    <w:rsid w:val="00822F4C"/>
    <w:rsid w:val="008236DC"/>
    <w:rsid w:val="00823E8A"/>
    <w:rsid w:val="00823F27"/>
    <w:rsid w:val="008240E4"/>
    <w:rsid w:val="0082412B"/>
    <w:rsid w:val="0082424A"/>
    <w:rsid w:val="008242B6"/>
    <w:rsid w:val="008243F6"/>
    <w:rsid w:val="0082445B"/>
    <w:rsid w:val="008249CC"/>
    <w:rsid w:val="00824F90"/>
    <w:rsid w:val="008259B7"/>
    <w:rsid w:val="00825F59"/>
    <w:rsid w:val="00826056"/>
    <w:rsid w:val="008268BB"/>
    <w:rsid w:val="00826917"/>
    <w:rsid w:val="00826B7A"/>
    <w:rsid w:val="00826BF3"/>
    <w:rsid w:val="00826C2D"/>
    <w:rsid w:val="00826F9A"/>
    <w:rsid w:val="00827005"/>
    <w:rsid w:val="0082793D"/>
    <w:rsid w:val="008300F2"/>
    <w:rsid w:val="0083034E"/>
    <w:rsid w:val="00830526"/>
    <w:rsid w:val="008305F8"/>
    <w:rsid w:val="00830979"/>
    <w:rsid w:val="00830B95"/>
    <w:rsid w:val="00830D58"/>
    <w:rsid w:val="00830FDA"/>
    <w:rsid w:val="0083121B"/>
    <w:rsid w:val="0083155A"/>
    <w:rsid w:val="00831A85"/>
    <w:rsid w:val="00831BD1"/>
    <w:rsid w:val="00831C72"/>
    <w:rsid w:val="00832366"/>
    <w:rsid w:val="008323FF"/>
    <w:rsid w:val="008327B7"/>
    <w:rsid w:val="008327E9"/>
    <w:rsid w:val="00832A04"/>
    <w:rsid w:val="008331A8"/>
    <w:rsid w:val="00833962"/>
    <w:rsid w:val="0083401E"/>
    <w:rsid w:val="00834467"/>
    <w:rsid w:val="008349CC"/>
    <w:rsid w:val="00834B5B"/>
    <w:rsid w:val="00834DFE"/>
    <w:rsid w:val="00834FB2"/>
    <w:rsid w:val="0083511B"/>
    <w:rsid w:val="00835558"/>
    <w:rsid w:val="008357AE"/>
    <w:rsid w:val="00835F33"/>
    <w:rsid w:val="008364A3"/>
    <w:rsid w:val="00836812"/>
    <w:rsid w:val="008368BB"/>
    <w:rsid w:val="00836B42"/>
    <w:rsid w:val="00836E07"/>
    <w:rsid w:val="00837477"/>
    <w:rsid w:val="00837B10"/>
    <w:rsid w:val="00837CD0"/>
    <w:rsid w:val="00837FD0"/>
    <w:rsid w:val="0084004E"/>
    <w:rsid w:val="0084015C"/>
    <w:rsid w:val="0084034D"/>
    <w:rsid w:val="008409FF"/>
    <w:rsid w:val="00840F84"/>
    <w:rsid w:val="00840FFD"/>
    <w:rsid w:val="0084116D"/>
    <w:rsid w:val="00841349"/>
    <w:rsid w:val="008413E7"/>
    <w:rsid w:val="008415C9"/>
    <w:rsid w:val="00841FF9"/>
    <w:rsid w:val="00842390"/>
    <w:rsid w:val="00842413"/>
    <w:rsid w:val="00842570"/>
    <w:rsid w:val="00842F58"/>
    <w:rsid w:val="008435F4"/>
    <w:rsid w:val="00843798"/>
    <w:rsid w:val="008438AD"/>
    <w:rsid w:val="00843BEA"/>
    <w:rsid w:val="00844178"/>
    <w:rsid w:val="00844390"/>
    <w:rsid w:val="00844498"/>
    <w:rsid w:val="0084457A"/>
    <w:rsid w:val="00844A96"/>
    <w:rsid w:val="00844DE4"/>
    <w:rsid w:val="008459B4"/>
    <w:rsid w:val="008459DC"/>
    <w:rsid w:val="00845A4B"/>
    <w:rsid w:val="00845FE8"/>
    <w:rsid w:val="008461E0"/>
    <w:rsid w:val="008463DD"/>
    <w:rsid w:val="008464B2"/>
    <w:rsid w:val="008464CA"/>
    <w:rsid w:val="008469C2"/>
    <w:rsid w:val="008474B9"/>
    <w:rsid w:val="008477AF"/>
    <w:rsid w:val="00847D33"/>
    <w:rsid w:val="00847E69"/>
    <w:rsid w:val="00850148"/>
    <w:rsid w:val="008501F3"/>
    <w:rsid w:val="0085023E"/>
    <w:rsid w:val="008502F6"/>
    <w:rsid w:val="00850458"/>
    <w:rsid w:val="00850839"/>
    <w:rsid w:val="00850997"/>
    <w:rsid w:val="00850A76"/>
    <w:rsid w:val="00850C40"/>
    <w:rsid w:val="00850CB8"/>
    <w:rsid w:val="00851140"/>
    <w:rsid w:val="00851156"/>
    <w:rsid w:val="0085133B"/>
    <w:rsid w:val="008513DD"/>
    <w:rsid w:val="008516B7"/>
    <w:rsid w:val="0085190E"/>
    <w:rsid w:val="00851952"/>
    <w:rsid w:val="0085198C"/>
    <w:rsid w:val="008519AB"/>
    <w:rsid w:val="00851B2E"/>
    <w:rsid w:val="00851C06"/>
    <w:rsid w:val="00851D82"/>
    <w:rsid w:val="008521EB"/>
    <w:rsid w:val="00852214"/>
    <w:rsid w:val="00852344"/>
    <w:rsid w:val="0085281F"/>
    <w:rsid w:val="00852944"/>
    <w:rsid w:val="00852B35"/>
    <w:rsid w:val="00852DD4"/>
    <w:rsid w:val="00852F9D"/>
    <w:rsid w:val="00853373"/>
    <w:rsid w:val="00853B35"/>
    <w:rsid w:val="00853C96"/>
    <w:rsid w:val="008547B0"/>
    <w:rsid w:val="008547BD"/>
    <w:rsid w:val="0085481E"/>
    <w:rsid w:val="00854B57"/>
    <w:rsid w:val="00854BB8"/>
    <w:rsid w:val="00854DB2"/>
    <w:rsid w:val="0085583F"/>
    <w:rsid w:val="00855BDB"/>
    <w:rsid w:val="00855E2E"/>
    <w:rsid w:val="00856167"/>
    <w:rsid w:val="0085624E"/>
    <w:rsid w:val="008563A7"/>
    <w:rsid w:val="008563D4"/>
    <w:rsid w:val="008567BC"/>
    <w:rsid w:val="0085689D"/>
    <w:rsid w:val="0085692D"/>
    <w:rsid w:val="00856A6B"/>
    <w:rsid w:val="00857024"/>
    <w:rsid w:val="0085782F"/>
    <w:rsid w:val="00857995"/>
    <w:rsid w:val="00857F60"/>
    <w:rsid w:val="0086011A"/>
    <w:rsid w:val="008607B6"/>
    <w:rsid w:val="00860A42"/>
    <w:rsid w:val="00860C5C"/>
    <w:rsid w:val="00860EA3"/>
    <w:rsid w:val="00861CAC"/>
    <w:rsid w:val="00861E55"/>
    <w:rsid w:val="00862220"/>
    <w:rsid w:val="0086266C"/>
    <w:rsid w:val="00862AFA"/>
    <w:rsid w:val="00862F14"/>
    <w:rsid w:val="008634C3"/>
    <w:rsid w:val="00863517"/>
    <w:rsid w:val="008635F7"/>
    <w:rsid w:val="008639AC"/>
    <w:rsid w:val="00863BA8"/>
    <w:rsid w:val="00863D0A"/>
    <w:rsid w:val="00863DB5"/>
    <w:rsid w:val="00863E9C"/>
    <w:rsid w:val="008644AF"/>
    <w:rsid w:val="00864827"/>
    <w:rsid w:val="00864910"/>
    <w:rsid w:val="00864C62"/>
    <w:rsid w:val="00865052"/>
    <w:rsid w:val="008654C5"/>
    <w:rsid w:val="00865594"/>
    <w:rsid w:val="00865753"/>
    <w:rsid w:val="00865A4D"/>
    <w:rsid w:val="00865CF8"/>
    <w:rsid w:val="00865F04"/>
    <w:rsid w:val="008671FE"/>
    <w:rsid w:val="00867360"/>
    <w:rsid w:val="0086747C"/>
    <w:rsid w:val="008675D9"/>
    <w:rsid w:val="008677C6"/>
    <w:rsid w:val="00867969"/>
    <w:rsid w:val="00867B5B"/>
    <w:rsid w:val="00867F2B"/>
    <w:rsid w:val="0087022F"/>
    <w:rsid w:val="008703DA"/>
    <w:rsid w:val="0087081C"/>
    <w:rsid w:val="008709E8"/>
    <w:rsid w:val="00870C02"/>
    <w:rsid w:val="00870DEA"/>
    <w:rsid w:val="008715C9"/>
    <w:rsid w:val="0087173D"/>
    <w:rsid w:val="00871849"/>
    <w:rsid w:val="00871C2E"/>
    <w:rsid w:val="008720CB"/>
    <w:rsid w:val="008723CD"/>
    <w:rsid w:val="008723F8"/>
    <w:rsid w:val="00872659"/>
    <w:rsid w:val="008726CC"/>
    <w:rsid w:val="00873478"/>
    <w:rsid w:val="008736F2"/>
    <w:rsid w:val="0087392B"/>
    <w:rsid w:val="00873D60"/>
    <w:rsid w:val="00873EA2"/>
    <w:rsid w:val="00873EFF"/>
    <w:rsid w:val="00873FB5"/>
    <w:rsid w:val="00874056"/>
    <w:rsid w:val="00874331"/>
    <w:rsid w:val="008744EE"/>
    <w:rsid w:val="00874BDC"/>
    <w:rsid w:val="00874C04"/>
    <w:rsid w:val="00874FC3"/>
    <w:rsid w:val="00875158"/>
    <w:rsid w:val="008752D8"/>
    <w:rsid w:val="00875714"/>
    <w:rsid w:val="00875BC5"/>
    <w:rsid w:val="00875DB1"/>
    <w:rsid w:val="00875DBE"/>
    <w:rsid w:val="00875E74"/>
    <w:rsid w:val="00875F00"/>
    <w:rsid w:val="0087616B"/>
    <w:rsid w:val="00876250"/>
    <w:rsid w:val="008762FE"/>
    <w:rsid w:val="008763CE"/>
    <w:rsid w:val="00876C5D"/>
    <w:rsid w:val="008771C1"/>
    <w:rsid w:val="008774DE"/>
    <w:rsid w:val="0087763B"/>
    <w:rsid w:val="00877972"/>
    <w:rsid w:val="00877B1A"/>
    <w:rsid w:val="00877DB6"/>
    <w:rsid w:val="00880262"/>
    <w:rsid w:val="00880500"/>
    <w:rsid w:val="008805CA"/>
    <w:rsid w:val="008805FA"/>
    <w:rsid w:val="0088111D"/>
    <w:rsid w:val="00881283"/>
    <w:rsid w:val="008812C6"/>
    <w:rsid w:val="0088154B"/>
    <w:rsid w:val="008822D0"/>
    <w:rsid w:val="008822FA"/>
    <w:rsid w:val="008827D0"/>
    <w:rsid w:val="008829BA"/>
    <w:rsid w:val="00882C3A"/>
    <w:rsid w:val="00883B6D"/>
    <w:rsid w:val="00883DD7"/>
    <w:rsid w:val="00884207"/>
    <w:rsid w:val="0088435E"/>
    <w:rsid w:val="00884E33"/>
    <w:rsid w:val="00884ED9"/>
    <w:rsid w:val="008851A5"/>
    <w:rsid w:val="00885284"/>
    <w:rsid w:val="0088537B"/>
    <w:rsid w:val="00885527"/>
    <w:rsid w:val="008859F7"/>
    <w:rsid w:val="00885BD8"/>
    <w:rsid w:val="00885E0A"/>
    <w:rsid w:val="00885F5E"/>
    <w:rsid w:val="00886073"/>
    <w:rsid w:val="008864D5"/>
    <w:rsid w:val="00886607"/>
    <w:rsid w:val="00886657"/>
    <w:rsid w:val="00886916"/>
    <w:rsid w:val="008877D1"/>
    <w:rsid w:val="008878D6"/>
    <w:rsid w:val="00887A4F"/>
    <w:rsid w:val="0089025D"/>
    <w:rsid w:val="00890672"/>
    <w:rsid w:val="00890762"/>
    <w:rsid w:val="00891B0D"/>
    <w:rsid w:val="00891BF5"/>
    <w:rsid w:val="00891F05"/>
    <w:rsid w:val="00891FFD"/>
    <w:rsid w:val="00892450"/>
    <w:rsid w:val="008926F9"/>
    <w:rsid w:val="00892AB3"/>
    <w:rsid w:val="00893018"/>
    <w:rsid w:val="0089335D"/>
    <w:rsid w:val="0089338C"/>
    <w:rsid w:val="00893814"/>
    <w:rsid w:val="00893E11"/>
    <w:rsid w:val="0089438A"/>
    <w:rsid w:val="00894398"/>
    <w:rsid w:val="00894684"/>
    <w:rsid w:val="00894A59"/>
    <w:rsid w:val="00894E81"/>
    <w:rsid w:val="008950FD"/>
    <w:rsid w:val="008956C6"/>
    <w:rsid w:val="008957F0"/>
    <w:rsid w:val="00895FEE"/>
    <w:rsid w:val="0089606E"/>
    <w:rsid w:val="0089616F"/>
    <w:rsid w:val="00896424"/>
    <w:rsid w:val="00896887"/>
    <w:rsid w:val="00896B6B"/>
    <w:rsid w:val="00896DFD"/>
    <w:rsid w:val="00896E4E"/>
    <w:rsid w:val="00896F12"/>
    <w:rsid w:val="00896F82"/>
    <w:rsid w:val="00896FC8"/>
    <w:rsid w:val="00897193"/>
    <w:rsid w:val="008975A0"/>
    <w:rsid w:val="008A0204"/>
    <w:rsid w:val="008A0341"/>
    <w:rsid w:val="008A03E5"/>
    <w:rsid w:val="008A0AB9"/>
    <w:rsid w:val="008A0B6E"/>
    <w:rsid w:val="008A1621"/>
    <w:rsid w:val="008A1666"/>
    <w:rsid w:val="008A17F3"/>
    <w:rsid w:val="008A1B7E"/>
    <w:rsid w:val="008A2249"/>
    <w:rsid w:val="008A25A5"/>
    <w:rsid w:val="008A25B9"/>
    <w:rsid w:val="008A27B3"/>
    <w:rsid w:val="008A2C3C"/>
    <w:rsid w:val="008A2E14"/>
    <w:rsid w:val="008A2FE5"/>
    <w:rsid w:val="008A324A"/>
    <w:rsid w:val="008A35BC"/>
    <w:rsid w:val="008A38C3"/>
    <w:rsid w:val="008A3998"/>
    <w:rsid w:val="008A3AA8"/>
    <w:rsid w:val="008A3AE4"/>
    <w:rsid w:val="008A3B00"/>
    <w:rsid w:val="008A3B78"/>
    <w:rsid w:val="008A422E"/>
    <w:rsid w:val="008A4523"/>
    <w:rsid w:val="008A4A19"/>
    <w:rsid w:val="008A4CCF"/>
    <w:rsid w:val="008A51A7"/>
    <w:rsid w:val="008A5731"/>
    <w:rsid w:val="008A5ABA"/>
    <w:rsid w:val="008A5C12"/>
    <w:rsid w:val="008A5F6F"/>
    <w:rsid w:val="008A5F89"/>
    <w:rsid w:val="008A6271"/>
    <w:rsid w:val="008A6326"/>
    <w:rsid w:val="008A6408"/>
    <w:rsid w:val="008A6502"/>
    <w:rsid w:val="008A6AFA"/>
    <w:rsid w:val="008A6B74"/>
    <w:rsid w:val="008A6EB1"/>
    <w:rsid w:val="008A78EF"/>
    <w:rsid w:val="008A791D"/>
    <w:rsid w:val="008B01B0"/>
    <w:rsid w:val="008B01D4"/>
    <w:rsid w:val="008B0292"/>
    <w:rsid w:val="008B0348"/>
    <w:rsid w:val="008B03C8"/>
    <w:rsid w:val="008B0463"/>
    <w:rsid w:val="008B0660"/>
    <w:rsid w:val="008B0AB5"/>
    <w:rsid w:val="008B0C02"/>
    <w:rsid w:val="008B1285"/>
    <w:rsid w:val="008B1296"/>
    <w:rsid w:val="008B1311"/>
    <w:rsid w:val="008B1370"/>
    <w:rsid w:val="008B15EE"/>
    <w:rsid w:val="008B1D08"/>
    <w:rsid w:val="008B1E63"/>
    <w:rsid w:val="008B2356"/>
    <w:rsid w:val="008B28CF"/>
    <w:rsid w:val="008B2903"/>
    <w:rsid w:val="008B2956"/>
    <w:rsid w:val="008B45BA"/>
    <w:rsid w:val="008B51C0"/>
    <w:rsid w:val="008B5382"/>
    <w:rsid w:val="008B53F6"/>
    <w:rsid w:val="008B561D"/>
    <w:rsid w:val="008B568F"/>
    <w:rsid w:val="008B574C"/>
    <w:rsid w:val="008B5978"/>
    <w:rsid w:val="008B5DD8"/>
    <w:rsid w:val="008B621E"/>
    <w:rsid w:val="008B64E9"/>
    <w:rsid w:val="008B6663"/>
    <w:rsid w:val="008B6B0D"/>
    <w:rsid w:val="008B6CE1"/>
    <w:rsid w:val="008B71E0"/>
    <w:rsid w:val="008B7302"/>
    <w:rsid w:val="008B7D50"/>
    <w:rsid w:val="008B7FBF"/>
    <w:rsid w:val="008C0182"/>
    <w:rsid w:val="008C04F2"/>
    <w:rsid w:val="008C14C0"/>
    <w:rsid w:val="008C1567"/>
    <w:rsid w:val="008C1868"/>
    <w:rsid w:val="008C1F4B"/>
    <w:rsid w:val="008C258F"/>
    <w:rsid w:val="008C275C"/>
    <w:rsid w:val="008C2B30"/>
    <w:rsid w:val="008C2BEA"/>
    <w:rsid w:val="008C2C61"/>
    <w:rsid w:val="008C2DF8"/>
    <w:rsid w:val="008C30D6"/>
    <w:rsid w:val="008C320F"/>
    <w:rsid w:val="008C3475"/>
    <w:rsid w:val="008C3895"/>
    <w:rsid w:val="008C3E19"/>
    <w:rsid w:val="008C4196"/>
    <w:rsid w:val="008C465B"/>
    <w:rsid w:val="008C46DD"/>
    <w:rsid w:val="008C48D4"/>
    <w:rsid w:val="008C4B36"/>
    <w:rsid w:val="008C4E8A"/>
    <w:rsid w:val="008C580D"/>
    <w:rsid w:val="008C6067"/>
    <w:rsid w:val="008C60AC"/>
    <w:rsid w:val="008C6988"/>
    <w:rsid w:val="008C6EAA"/>
    <w:rsid w:val="008C6F96"/>
    <w:rsid w:val="008C7112"/>
    <w:rsid w:val="008C7126"/>
    <w:rsid w:val="008C75F9"/>
    <w:rsid w:val="008C7653"/>
    <w:rsid w:val="008C7822"/>
    <w:rsid w:val="008C784F"/>
    <w:rsid w:val="008C7AAA"/>
    <w:rsid w:val="008C7C7C"/>
    <w:rsid w:val="008C7DAA"/>
    <w:rsid w:val="008C7ECE"/>
    <w:rsid w:val="008D00AB"/>
    <w:rsid w:val="008D0501"/>
    <w:rsid w:val="008D07A0"/>
    <w:rsid w:val="008D0B43"/>
    <w:rsid w:val="008D1628"/>
    <w:rsid w:val="008D18BF"/>
    <w:rsid w:val="008D1CBE"/>
    <w:rsid w:val="008D1DFE"/>
    <w:rsid w:val="008D1EDF"/>
    <w:rsid w:val="008D28F0"/>
    <w:rsid w:val="008D31EA"/>
    <w:rsid w:val="008D3504"/>
    <w:rsid w:val="008D3893"/>
    <w:rsid w:val="008D39A5"/>
    <w:rsid w:val="008D4068"/>
    <w:rsid w:val="008D413B"/>
    <w:rsid w:val="008D428A"/>
    <w:rsid w:val="008D47A3"/>
    <w:rsid w:val="008D4B6E"/>
    <w:rsid w:val="008D4EE3"/>
    <w:rsid w:val="008D548C"/>
    <w:rsid w:val="008D5601"/>
    <w:rsid w:val="008D579A"/>
    <w:rsid w:val="008D669E"/>
    <w:rsid w:val="008D66D1"/>
    <w:rsid w:val="008D6793"/>
    <w:rsid w:val="008D6842"/>
    <w:rsid w:val="008D6CAC"/>
    <w:rsid w:val="008D73BF"/>
    <w:rsid w:val="008D7436"/>
    <w:rsid w:val="008D7437"/>
    <w:rsid w:val="008D74BD"/>
    <w:rsid w:val="008D75C5"/>
    <w:rsid w:val="008D7C94"/>
    <w:rsid w:val="008D7F8D"/>
    <w:rsid w:val="008E006C"/>
    <w:rsid w:val="008E0925"/>
    <w:rsid w:val="008E0D52"/>
    <w:rsid w:val="008E0E12"/>
    <w:rsid w:val="008E0F35"/>
    <w:rsid w:val="008E1194"/>
    <w:rsid w:val="008E1265"/>
    <w:rsid w:val="008E1301"/>
    <w:rsid w:val="008E1894"/>
    <w:rsid w:val="008E1998"/>
    <w:rsid w:val="008E1A18"/>
    <w:rsid w:val="008E1C4C"/>
    <w:rsid w:val="008E1CFF"/>
    <w:rsid w:val="008E1D3D"/>
    <w:rsid w:val="008E1FFA"/>
    <w:rsid w:val="008E21CA"/>
    <w:rsid w:val="008E23B9"/>
    <w:rsid w:val="008E28F8"/>
    <w:rsid w:val="008E29E4"/>
    <w:rsid w:val="008E2AED"/>
    <w:rsid w:val="008E2D4E"/>
    <w:rsid w:val="008E30EF"/>
    <w:rsid w:val="008E3971"/>
    <w:rsid w:val="008E39CE"/>
    <w:rsid w:val="008E3BE8"/>
    <w:rsid w:val="008E3CE4"/>
    <w:rsid w:val="008E3D7E"/>
    <w:rsid w:val="008E4238"/>
    <w:rsid w:val="008E42AF"/>
    <w:rsid w:val="008E4D8C"/>
    <w:rsid w:val="008E4DEA"/>
    <w:rsid w:val="008E4F22"/>
    <w:rsid w:val="008E527F"/>
    <w:rsid w:val="008E52FD"/>
    <w:rsid w:val="008E53D2"/>
    <w:rsid w:val="008E5B17"/>
    <w:rsid w:val="008E5B64"/>
    <w:rsid w:val="008E5C20"/>
    <w:rsid w:val="008E5E59"/>
    <w:rsid w:val="008E5F71"/>
    <w:rsid w:val="008E6525"/>
    <w:rsid w:val="008E6A9A"/>
    <w:rsid w:val="008E6D97"/>
    <w:rsid w:val="008E715C"/>
    <w:rsid w:val="008E747F"/>
    <w:rsid w:val="008E779A"/>
    <w:rsid w:val="008E7E70"/>
    <w:rsid w:val="008F000C"/>
    <w:rsid w:val="008F01F1"/>
    <w:rsid w:val="008F0202"/>
    <w:rsid w:val="008F05E2"/>
    <w:rsid w:val="008F07F5"/>
    <w:rsid w:val="008F1058"/>
    <w:rsid w:val="008F13F1"/>
    <w:rsid w:val="008F1D2A"/>
    <w:rsid w:val="008F2167"/>
    <w:rsid w:val="008F238E"/>
    <w:rsid w:val="008F26C8"/>
    <w:rsid w:val="008F298D"/>
    <w:rsid w:val="008F2B9B"/>
    <w:rsid w:val="008F3187"/>
    <w:rsid w:val="008F3611"/>
    <w:rsid w:val="008F3841"/>
    <w:rsid w:val="008F3999"/>
    <w:rsid w:val="008F3B1D"/>
    <w:rsid w:val="008F3B69"/>
    <w:rsid w:val="008F3DD1"/>
    <w:rsid w:val="008F41F7"/>
    <w:rsid w:val="008F420B"/>
    <w:rsid w:val="008F4416"/>
    <w:rsid w:val="008F453A"/>
    <w:rsid w:val="008F48FC"/>
    <w:rsid w:val="008F4959"/>
    <w:rsid w:val="008F4A15"/>
    <w:rsid w:val="008F4E0B"/>
    <w:rsid w:val="008F4F60"/>
    <w:rsid w:val="008F5197"/>
    <w:rsid w:val="008F51EF"/>
    <w:rsid w:val="008F53E4"/>
    <w:rsid w:val="008F5901"/>
    <w:rsid w:val="008F5C8A"/>
    <w:rsid w:val="008F5D60"/>
    <w:rsid w:val="008F5E2A"/>
    <w:rsid w:val="008F62F9"/>
    <w:rsid w:val="008F68B2"/>
    <w:rsid w:val="008F6B68"/>
    <w:rsid w:val="009001DF"/>
    <w:rsid w:val="0090024F"/>
    <w:rsid w:val="009002D2"/>
    <w:rsid w:val="009002EC"/>
    <w:rsid w:val="0090070D"/>
    <w:rsid w:val="00900FCF"/>
    <w:rsid w:val="00901556"/>
    <w:rsid w:val="00901902"/>
    <w:rsid w:val="00901999"/>
    <w:rsid w:val="009019AA"/>
    <w:rsid w:val="00901D3C"/>
    <w:rsid w:val="009020B9"/>
    <w:rsid w:val="009020F5"/>
    <w:rsid w:val="0090273D"/>
    <w:rsid w:val="00902833"/>
    <w:rsid w:val="00903121"/>
    <w:rsid w:val="009032BD"/>
    <w:rsid w:val="009037CC"/>
    <w:rsid w:val="00903B95"/>
    <w:rsid w:val="00903D50"/>
    <w:rsid w:val="00904556"/>
    <w:rsid w:val="00904564"/>
    <w:rsid w:val="00904703"/>
    <w:rsid w:val="00904A60"/>
    <w:rsid w:val="00904B9A"/>
    <w:rsid w:val="009050CE"/>
    <w:rsid w:val="00905A07"/>
    <w:rsid w:val="00905A7E"/>
    <w:rsid w:val="00905EBD"/>
    <w:rsid w:val="0090609A"/>
    <w:rsid w:val="00906113"/>
    <w:rsid w:val="00906116"/>
    <w:rsid w:val="009061F7"/>
    <w:rsid w:val="00906749"/>
    <w:rsid w:val="00906C67"/>
    <w:rsid w:val="009070A6"/>
    <w:rsid w:val="00907516"/>
    <w:rsid w:val="009077E5"/>
    <w:rsid w:val="00907AD1"/>
    <w:rsid w:val="00907EB2"/>
    <w:rsid w:val="0091023A"/>
    <w:rsid w:val="00910498"/>
    <w:rsid w:val="0091081B"/>
    <w:rsid w:val="00910C10"/>
    <w:rsid w:val="00911081"/>
    <w:rsid w:val="00911691"/>
    <w:rsid w:val="009119DE"/>
    <w:rsid w:val="00911ADD"/>
    <w:rsid w:val="00911E8C"/>
    <w:rsid w:val="009126C8"/>
    <w:rsid w:val="00912B74"/>
    <w:rsid w:val="00912B86"/>
    <w:rsid w:val="00912C9E"/>
    <w:rsid w:val="00912DF8"/>
    <w:rsid w:val="00913081"/>
    <w:rsid w:val="00913DF4"/>
    <w:rsid w:val="009143DE"/>
    <w:rsid w:val="009147E7"/>
    <w:rsid w:val="00914B20"/>
    <w:rsid w:val="00914D78"/>
    <w:rsid w:val="00914DC5"/>
    <w:rsid w:val="00914F0C"/>
    <w:rsid w:val="00915408"/>
    <w:rsid w:val="009154B0"/>
    <w:rsid w:val="0091557B"/>
    <w:rsid w:val="0091583F"/>
    <w:rsid w:val="00915B54"/>
    <w:rsid w:val="00915E0E"/>
    <w:rsid w:val="00915F88"/>
    <w:rsid w:val="009166B7"/>
    <w:rsid w:val="00916886"/>
    <w:rsid w:val="00916B03"/>
    <w:rsid w:val="00916B9C"/>
    <w:rsid w:val="009170CE"/>
    <w:rsid w:val="0091712F"/>
    <w:rsid w:val="009174EF"/>
    <w:rsid w:val="00917599"/>
    <w:rsid w:val="00917AA5"/>
    <w:rsid w:val="00917DB1"/>
    <w:rsid w:val="00920004"/>
    <w:rsid w:val="00920AF7"/>
    <w:rsid w:val="00921094"/>
    <w:rsid w:val="009211E8"/>
    <w:rsid w:val="009219CF"/>
    <w:rsid w:val="00921CE1"/>
    <w:rsid w:val="00922030"/>
    <w:rsid w:val="00922837"/>
    <w:rsid w:val="00922F37"/>
    <w:rsid w:val="0092319A"/>
    <w:rsid w:val="00923627"/>
    <w:rsid w:val="0092399F"/>
    <w:rsid w:val="00923D78"/>
    <w:rsid w:val="00923D8D"/>
    <w:rsid w:val="00923DE9"/>
    <w:rsid w:val="00923EEE"/>
    <w:rsid w:val="00924404"/>
    <w:rsid w:val="0092443F"/>
    <w:rsid w:val="0092444B"/>
    <w:rsid w:val="0092459C"/>
    <w:rsid w:val="009247AD"/>
    <w:rsid w:val="009248AD"/>
    <w:rsid w:val="00924907"/>
    <w:rsid w:val="009249CE"/>
    <w:rsid w:val="00924EA8"/>
    <w:rsid w:val="009250C0"/>
    <w:rsid w:val="0092511E"/>
    <w:rsid w:val="00925521"/>
    <w:rsid w:val="009256D1"/>
    <w:rsid w:val="009257CF"/>
    <w:rsid w:val="009259FD"/>
    <w:rsid w:val="00925EDA"/>
    <w:rsid w:val="00925F87"/>
    <w:rsid w:val="00926139"/>
    <w:rsid w:val="0092613D"/>
    <w:rsid w:val="009263DD"/>
    <w:rsid w:val="0092695E"/>
    <w:rsid w:val="00926B7F"/>
    <w:rsid w:val="00927595"/>
    <w:rsid w:val="00927695"/>
    <w:rsid w:val="00927888"/>
    <w:rsid w:val="00927B80"/>
    <w:rsid w:val="00927DB5"/>
    <w:rsid w:val="00927E16"/>
    <w:rsid w:val="00927F2F"/>
    <w:rsid w:val="009303FB"/>
    <w:rsid w:val="00930407"/>
    <w:rsid w:val="00930419"/>
    <w:rsid w:val="009304C8"/>
    <w:rsid w:val="00930BC0"/>
    <w:rsid w:val="00930F75"/>
    <w:rsid w:val="00931034"/>
    <w:rsid w:val="00931087"/>
    <w:rsid w:val="00931743"/>
    <w:rsid w:val="009319FC"/>
    <w:rsid w:val="00931C60"/>
    <w:rsid w:val="00931D75"/>
    <w:rsid w:val="00931F77"/>
    <w:rsid w:val="00932205"/>
    <w:rsid w:val="00932883"/>
    <w:rsid w:val="009328F5"/>
    <w:rsid w:val="00932AA7"/>
    <w:rsid w:val="00932B09"/>
    <w:rsid w:val="00932E44"/>
    <w:rsid w:val="0093356A"/>
    <w:rsid w:val="00933616"/>
    <w:rsid w:val="00933A7C"/>
    <w:rsid w:val="00933DD8"/>
    <w:rsid w:val="00934CC5"/>
    <w:rsid w:val="009359E3"/>
    <w:rsid w:val="00936382"/>
    <w:rsid w:val="009368A7"/>
    <w:rsid w:val="00936A09"/>
    <w:rsid w:val="00936DAE"/>
    <w:rsid w:val="00936FF1"/>
    <w:rsid w:val="00937002"/>
    <w:rsid w:val="0093743D"/>
    <w:rsid w:val="00937B84"/>
    <w:rsid w:val="00937D55"/>
    <w:rsid w:val="00937DF0"/>
    <w:rsid w:val="00937EE0"/>
    <w:rsid w:val="009408FE"/>
    <w:rsid w:val="00940F01"/>
    <w:rsid w:val="009410B5"/>
    <w:rsid w:val="009411CE"/>
    <w:rsid w:val="009415E8"/>
    <w:rsid w:val="00941639"/>
    <w:rsid w:val="00941690"/>
    <w:rsid w:val="009422A5"/>
    <w:rsid w:val="0094246A"/>
    <w:rsid w:val="00942B1B"/>
    <w:rsid w:val="00942EAA"/>
    <w:rsid w:val="0094301E"/>
    <w:rsid w:val="009431DE"/>
    <w:rsid w:val="00943262"/>
    <w:rsid w:val="00943853"/>
    <w:rsid w:val="00943E55"/>
    <w:rsid w:val="00944989"/>
    <w:rsid w:val="00944DCC"/>
    <w:rsid w:val="00944F23"/>
    <w:rsid w:val="009450FE"/>
    <w:rsid w:val="00945157"/>
    <w:rsid w:val="00945485"/>
    <w:rsid w:val="00945C32"/>
    <w:rsid w:val="00945C8F"/>
    <w:rsid w:val="00946201"/>
    <w:rsid w:val="009463BE"/>
    <w:rsid w:val="00946440"/>
    <w:rsid w:val="009466D3"/>
    <w:rsid w:val="00946FAD"/>
    <w:rsid w:val="009501A6"/>
    <w:rsid w:val="009506E2"/>
    <w:rsid w:val="00950A43"/>
    <w:rsid w:val="00950B2E"/>
    <w:rsid w:val="00950B4E"/>
    <w:rsid w:val="00950BBD"/>
    <w:rsid w:val="00951270"/>
    <w:rsid w:val="009512B8"/>
    <w:rsid w:val="009516F6"/>
    <w:rsid w:val="0095191E"/>
    <w:rsid w:val="00951D23"/>
    <w:rsid w:val="0095215B"/>
    <w:rsid w:val="00952429"/>
    <w:rsid w:val="00952EAD"/>
    <w:rsid w:val="009530E5"/>
    <w:rsid w:val="0095328E"/>
    <w:rsid w:val="009536FC"/>
    <w:rsid w:val="00953724"/>
    <w:rsid w:val="009537AF"/>
    <w:rsid w:val="0095426A"/>
    <w:rsid w:val="00954BD6"/>
    <w:rsid w:val="00954CEC"/>
    <w:rsid w:val="00954D87"/>
    <w:rsid w:val="00955BBD"/>
    <w:rsid w:val="00955CBA"/>
    <w:rsid w:val="009560E5"/>
    <w:rsid w:val="0095617B"/>
    <w:rsid w:val="009564C9"/>
    <w:rsid w:val="00956697"/>
    <w:rsid w:val="00956787"/>
    <w:rsid w:val="009575A0"/>
    <w:rsid w:val="0095773C"/>
    <w:rsid w:val="00957753"/>
    <w:rsid w:val="00957936"/>
    <w:rsid w:val="009579EE"/>
    <w:rsid w:val="009579F7"/>
    <w:rsid w:val="00957C1B"/>
    <w:rsid w:val="00957DA8"/>
    <w:rsid w:val="00957E8B"/>
    <w:rsid w:val="009604C4"/>
    <w:rsid w:val="009604F3"/>
    <w:rsid w:val="009606D0"/>
    <w:rsid w:val="00961055"/>
    <w:rsid w:val="009612C2"/>
    <w:rsid w:val="009613A2"/>
    <w:rsid w:val="0096141C"/>
    <w:rsid w:val="009616FE"/>
    <w:rsid w:val="0096182C"/>
    <w:rsid w:val="00961DE1"/>
    <w:rsid w:val="009620D0"/>
    <w:rsid w:val="00962E14"/>
    <w:rsid w:val="00962EC1"/>
    <w:rsid w:val="00963ACB"/>
    <w:rsid w:val="00963D9E"/>
    <w:rsid w:val="00964089"/>
    <w:rsid w:val="0096410E"/>
    <w:rsid w:val="009642B7"/>
    <w:rsid w:val="009645AC"/>
    <w:rsid w:val="00964A1F"/>
    <w:rsid w:val="00964A3D"/>
    <w:rsid w:val="00964ABF"/>
    <w:rsid w:val="00964AD7"/>
    <w:rsid w:val="00964F10"/>
    <w:rsid w:val="00965084"/>
    <w:rsid w:val="00965455"/>
    <w:rsid w:val="00965485"/>
    <w:rsid w:val="00965A1A"/>
    <w:rsid w:val="00965B0F"/>
    <w:rsid w:val="00965BEA"/>
    <w:rsid w:val="00965D73"/>
    <w:rsid w:val="0096602B"/>
    <w:rsid w:val="0096632F"/>
    <w:rsid w:val="00966805"/>
    <w:rsid w:val="00966CDD"/>
    <w:rsid w:val="00966D86"/>
    <w:rsid w:val="00966E54"/>
    <w:rsid w:val="009670AF"/>
    <w:rsid w:val="00967A79"/>
    <w:rsid w:val="00967AF6"/>
    <w:rsid w:val="00967B9C"/>
    <w:rsid w:val="009700C9"/>
    <w:rsid w:val="00970BD9"/>
    <w:rsid w:val="00970EA4"/>
    <w:rsid w:val="00970FBB"/>
    <w:rsid w:val="00971B9B"/>
    <w:rsid w:val="00971DF9"/>
    <w:rsid w:val="009720E3"/>
    <w:rsid w:val="00972CB8"/>
    <w:rsid w:val="00972F36"/>
    <w:rsid w:val="009737F5"/>
    <w:rsid w:val="00973CF9"/>
    <w:rsid w:val="00973D85"/>
    <w:rsid w:val="00973F66"/>
    <w:rsid w:val="009741D8"/>
    <w:rsid w:val="009742F3"/>
    <w:rsid w:val="0097466B"/>
    <w:rsid w:val="00974A35"/>
    <w:rsid w:val="00975153"/>
    <w:rsid w:val="009753DA"/>
    <w:rsid w:val="00975679"/>
    <w:rsid w:val="00975838"/>
    <w:rsid w:val="00975A3C"/>
    <w:rsid w:val="00975F13"/>
    <w:rsid w:val="00975F49"/>
    <w:rsid w:val="0097639A"/>
    <w:rsid w:val="0097696C"/>
    <w:rsid w:val="00977014"/>
    <w:rsid w:val="00977247"/>
    <w:rsid w:val="00977993"/>
    <w:rsid w:val="00977D8A"/>
    <w:rsid w:val="00977FA5"/>
    <w:rsid w:val="00980351"/>
    <w:rsid w:val="0098038E"/>
    <w:rsid w:val="009805A7"/>
    <w:rsid w:val="009806CA"/>
    <w:rsid w:val="00980EF8"/>
    <w:rsid w:val="00980F0D"/>
    <w:rsid w:val="0098158D"/>
    <w:rsid w:val="009819D9"/>
    <w:rsid w:val="00981CAE"/>
    <w:rsid w:val="00981FA8"/>
    <w:rsid w:val="00982088"/>
    <w:rsid w:val="00982125"/>
    <w:rsid w:val="00982F55"/>
    <w:rsid w:val="00983235"/>
    <w:rsid w:val="00983AB5"/>
    <w:rsid w:val="00983AFD"/>
    <w:rsid w:val="00983DCF"/>
    <w:rsid w:val="00983F4D"/>
    <w:rsid w:val="0098401B"/>
    <w:rsid w:val="0098429A"/>
    <w:rsid w:val="009845C8"/>
    <w:rsid w:val="00984682"/>
    <w:rsid w:val="009847AA"/>
    <w:rsid w:val="0098489E"/>
    <w:rsid w:val="00984A6C"/>
    <w:rsid w:val="00984D4C"/>
    <w:rsid w:val="009850A0"/>
    <w:rsid w:val="0098514C"/>
    <w:rsid w:val="0098545B"/>
    <w:rsid w:val="009854F7"/>
    <w:rsid w:val="009857EF"/>
    <w:rsid w:val="00985AC6"/>
    <w:rsid w:val="00985D98"/>
    <w:rsid w:val="00985FC0"/>
    <w:rsid w:val="00986069"/>
    <w:rsid w:val="0098611D"/>
    <w:rsid w:val="009862FF"/>
    <w:rsid w:val="009863ED"/>
    <w:rsid w:val="00986400"/>
    <w:rsid w:val="009864AE"/>
    <w:rsid w:val="0098758E"/>
    <w:rsid w:val="0098777E"/>
    <w:rsid w:val="0098785C"/>
    <w:rsid w:val="00987A14"/>
    <w:rsid w:val="009908F4"/>
    <w:rsid w:val="00990C98"/>
    <w:rsid w:val="00990DDE"/>
    <w:rsid w:val="00991222"/>
    <w:rsid w:val="0099158E"/>
    <w:rsid w:val="00991846"/>
    <w:rsid w:val="00991B1A"/>
    <w:rsid w:val="00991D0E"/>
    <w:rsid w:val="00991F38"/>
    <w:rsid w:val="00992041"/>
    <w:rsid w:val="00992179"/>
    <w:rsid w:val="009921FA"/>
    <w:rsid w:val="00992802"/>
    <w:rsid w:val="009928C6"/>
    <w:rsid w:val="009928DC"/>
    <w:rsid w:val="0099298A"/>
    <w:rsid w:val="0099308D"/>
    <w:rsid w:val="00993203"/>
    <w:rsid w:val="00993387"/>
    <w:rsid w:val="00993B80"/>
    <w:rsid w:val="0099409E"/>
    <w:rsid w:val="00994274"/>
    <w:rsid w:val="00994305"/>
    <w:rsid w:val="0099479A"/>
    <w:rsid w:val="009948F1"/>
    <w:rsid w:val="00994F80"/>
    <w:rsid w:val="009954E6"/>
    <w:rsid w:val="0099575D"/>
    <w:rsid w:val="00995A0A"/>
    <w:rsid w:val="00995A25"/>
    <w:rsid w:val="00995B8B"/>
    <w:rsid w:val="00995F1F"/>
    <w:rsid w:val="00996749"/>
    <w:rsid w:val="00996A58"/>
    <w:rsid w:val="00996B53"/>
    <w:rsid w:val="00997417"/>
    <w:rsid w:val="009975F5"/>
    <w:rsid w:val="00997B7E"/>
    <w:rsid w:val="00997FC7"/>
    <w:rsid w:val="009A04A6"/>
    <w:rsid w:val="009A0B64"/>
    <w:rsid w:val="009A0F84"/>
    <w:rsid w:val="009A110B"/>
    <w:rsid w:val="009A1563"/>
    <w:rsid w:val="009A1E4F"/>
    <w:rsid w:val="009A20F3"/>
    <w:rsid w:val="009A21E2"/>
    <w:rsid w:val="009A21E3"/>
    <w:rsid w:val="009A24B3"/>
    <w:rsid w:val="009A268F"/>
    <w:rsid w:val="009A28D7"/>
    <w:rsid w:val="009A2D03"/>
    <w:rsid w:val="009A39DC"/>
    <w:rsid w:val="009A3B6A"/>
    <w:rsid w:val="009A3F27"/>
    <w:rsid w:val="009A43FC"/>
    <w:rsid w:val="009A4CB4"/>
    <w:rsid w:val="009A4EE2"/>
    <w:rsid w:val="009A5138"/>
    <w:rsid w:val="009A52B5"/>
    <w:rsid w:val="009A531C"/>
    <w:rsid w:val="009A5753"/>
    <w:rsid w:val="009A57EB"/>
    <w:rsid w:val="009A5967"/>
    <w:rsid w:val="009A5AB5"/>
    <w:rsid w:val="009A6437"/>
    <w:rsid w:val="009A6465"/>
    <w:rsid w:val="009A65B0"/>
    <w:rsid w:val="009A6612"/>
    <w:rsid w:val="009A667A"/>
    <w:rsid w:val="009A678E"/>
    <w:rsid w:val="009A67A3"/>
    <w:rsid w:val="009A68C8"/>
    <w:rsid w:val="009A699B"/>
    <w:rsid w:val="009A6CA4"/>
    <w:rsid w:val="009A7168"/>
    <w:rsid w:val="009A71BC"/>
    <w:rsid w:val="009A7BA5"/>
    <w:rsid w:val="009A7E7C"/>
    <w:rsid w:val="009B018D"/>
    <w:rsid w:val="009B0729"/>
    <w:rsid w:val="009B103D"/>
    <w:rsid w:val="009B10E7"/>
    <w:rsid w:val="009B1313"/>
    <w:rsid w:val="009B1721"/>
    <w:rsid w:val="009B180C"/>
    <w:rsid w:val="009B2036"/>
    <w:rsid w:val="009B209D"/>
    <w:rsid w:val="009B21D0"/>
    <w:rsid w:val="009B25E9"/>
    <w:rsid w:val="009B29AB"/>
    <w:rsid w:val="009B2C6E"/>
    <w:rsid w:val="009B3624"/>
    <w:rsid w:val="009B37AD"/>
    <w:rsid w:val="009B3C70"/>
    <w:rsid w:val="009B3EBA"/>
    <w:rsid w:val="009B3EFA"/>
    <w:rsid w:val="009B42F4"/>
    <w:rsid w:val="009B4A9B"/>
    <w:rsid w:val="009B585F"/>
    <w:rsid w:val="009B644B"/>
    <w:rsid w:val="009B68E6"/>
    <w:rsid w:val="009B6A52"/>
    <w:rsid w:val="009B6ACA"/>
    <w:rsid w:val="009B6DDA"/>
    <w:rsid w:val="009B6EBC"/>
    <w:rsid w:val="009B6FAE"/>
    <w:rsid w:val="009B73DE"/>
    <w:rsid w:val="009B7A84"/>
    <w:rsid w:val="009B7A96"/>
    <w:rsid w:val="009B7ADB"/>
    <w:rsid w:val="009B7C85"/>
    <w:rsid w:val="009B7E02"/>
    <w:rsid w:val="009B7E22"/>
    <w:rsid w:val="009B7FD9"/>
    <w:rsid w:val="009C04E9"/>
    <w:rsid w:val="009C06AF"/>
    <w:rsid w:val="009C0871"/>
    <w:rsid w:val="009C089A"/>
    <w:rsid w:val="009C08B7"/>
    <w:rsid w:val="009C09B8"/>
    <w:rsid w:val="009C0B9A"/>
    <w:rsid w:val="009C0D95"/>
    <w:rsid w:val="009C0F42"/>
    <w:rsid w:val="009C163C"/>
    <w:rsid w:val="009C17C5"/>
    <w:rsid w:val="009C17E2"/>
    <w:rsid w:val="009C181F"/>
    <w:rsid w:val="009C1AD6"/>
    <w:rsid w:val="009C2214"/>
    <w:rsid w:val="009C239A"/>
    <w:rsid w:val="009C2B4F"/>
    <w:rsid w:val="009C2E14"/>
    <w:rsid w:val="009C3130"/>
    <w:rsid w:val="009C34BB"/>
    <w:rsid w:val="009C3668"/>
    <w:rsid w:val="009C36AB"/>
    <w:rsid w:val="009C387F"/>
    <w:rsid w:val="009C394D"/>
    <w:rsid w:val="009C3F9C"/>
    <w:rsid w:val="009C404D"/>
    <w:rsid w:val="009C42D6"/>
    <w:rsid w:val="009C4A1B"/>
    <w:rsid w:val="009C4AE7"/>
    <w:rsid w:val="009C4CDB"/>
    <w:rsid w:val="009C4DC8"/>
    <w:rsid w:val="009C4ECF"/>
    <w:rsid w:val="009C53E7"/>
    <w:rsid w:val="009C5699"/>
    <w:rsid w:val="009C610F"/>
    <w:rsid w:val="009C659F"/>
    <w:rsid w:val="009C65A2"/>
    <w:rsid w:val="009C6DB8"/>
    <w:rsid w:val="009C6EA2"/>
    <w:rsid w:val="009C77BF"/>
    <w:rsid w:val="009C7C12"/>
    <w:rsid w:val="009C7C37"/>
    <w:rsid w:val="009D0196"/>
    <w:rsid w:val="009D0201"/>
    <w:rsid w:val="009D0DB2"/>
    <w:rsid w:val="009D0EA9"/>
    <w:rsid w:val="009D0FD1"/>
    <w:rsid w:val="009D1077"/>
    <w:rsid w:val="009D11E4"/>
    <w:rsid w:val="009D1AA9"/>
    <w:rsid w:val="009D1D04"/>
    <w:rsid w:val="009D2210"/>
    <w:rsid w:val="009D23A2"/>
    <w:rsid w:val="009D262A"/>
    <w:rsid w:val="009D262C"/>
    <w:rsid w:val="009D269B"/>
    <w:rsid w:val="009D28DB"/>
    <w:rsid w:val="009D29E0"/>
    <w:rsid w:val="009D2B03"/>
    <w:rsid w:val="009D2CBD"/>
    <w:rsid w:val="009D2F81"/>
    <w:rsid w:val="009D3F07"/>
    <w:rsid w:val="009D4309"/>
    <w:rsid w:val="009D4C9F"/>
    <w:rsid w:val="009D4D90"/>
    <w:rsid w:val="009D4F93"/>
    <w:rsid w:val="009D5054"/>
    <w:rsid w:val="009D5081"/>
    <w:rsid w:val="009D53F2"/>
    <w:rsid w:val="009D5402"/>
    <w:rsid w:val="009D5747"/>
    <w:rsid w:val="009D5F65"/>
    <w:rsid w:val="009D6407"/>
    <w:rsid w:val="009D649D"/>
    <w:rsid w:val="009D6576"/>
    <w:rsid w:val="009D65A0"/>
    <w:rsid w:val="009D65C9"/>
    <w:rsid w:val="009D6A08"/>
    <w:rsid w:val="009D6AC0"/>
    <w:rsid w:val="009D6C65"/>
    <w:rsid w:val="009D6D69"/>
    <w:rsid w:val="009D7226"/>
    <w:rsid w:val="009D72B3"/>
    <w:rsid w:val="009D73E3"/>
    <w:rsid w:val="009D78FA"/>
    <w:rsid w:val="009D7A5B"/>
    <w:rsid w:val="009D7DCA"/>
    <w:rsid w:val="009D7E2C"/>
    <w:rsid w:val="009E00F5"/>
    <w:rsid w:val="009E05A1"/>
    <w:rsid w:val="009E0E64"/>
    <w:rsid w:val="009E1113"/>
    <w:rsid w:val="009E1591"/>
    <w:rsid w:val="009E15BA"/>
    <w:rsid w:val="009E17D9"/>
    <w:rsid w:val="009E1A69"/>
    <w:rsid w:val="009E1B6C"/>
    <w:rsid w:val="009E24CA"/>
    <w:rsid w:val="009E25D4"/>
    <w:rsid w:val="009E3103"/>
    <w:rsid w:val="009E3284"/>
    <w:rsid w:val="009E3321"/>
    <w:rsid w:val="009E33BA"/>
    <w:rsid w:val="009E33D7"/>
    <w:rsid w:val="009E33EE"/>
    <w:rsid w:val="009E3CEB"/>
    <w:rsid w:val="009E3FF3"/>
    <w:rsid w:val="009E425A"/>
    <w:rsid w:val="009E4E20"/>
    <w:rsid w:val="009E505F"/>
    <w:rsid w:val="009E51CA"/>
    <w:rsid w:val="009E5F03"/>
    <w:rsid w:val="009E6094"/>
    <w:rsid w:val="009E610F"/>
    <w:rsid w:val="009E61EB"/>
    <w:rsid w:val="009E6753"/>
    <w:rsid w:val="009E688A"/>
    <w:rsid w:val="009E692D"/>
    <w:rsid w:val="009E6DDC"/>
    <w:rsid w:val="009E6EA8"/>
    <w:rsid w:val="009E6FCF"/>
    <w:rsid w:val="009E7068"/>
    <w:rsid w:val="009E72CB"/>
    <w:rsid w:val="009E73F1"/>
    <w:rsid w:val="009E7E26"/>
    <w:rsid w:val="009F0C2B"/>
    <w:rsid w:val="009F12F9"/>
    <w:rsid w:val="009F142E"/>
    <w:rsid w:val="009F1435"/>
    <w:rsid w:val="009F17B9"/>
    <w:rsid w:val="009F2187"/>
    <w:rsid w:val="009F22CF"/>
    <w:rsid w:val="009F3146"/>
    <w:rsid w:val="009F3357"/>
    <w:rsid w:val="009F3547"/>
    <w:rsid w:val="009F357F"/>
    <w:rsid w:val="009F364B"/>
    <w:rsid w:val="009F3787"/>
    <w:rsid w:val="009F384E"/>
    <w:rsid w:val="009F385A"/>
    <w:rsid w:val="009F3959"/>
    <w:rsid w:val="009F455F"/>
    <w:rsid w:val="009F456B"/>
    <w:rsid w:val="009F4D5A"/>
    <w:rsid w:val="009F50DF"/>
    <w:rsid w:val="009F5237"/>
    <w:rsid w:val="009F56AB"/>
    <w:rsid w:val="009F57AF"/>
    <w:rsid w:val="009F58DF"/>
    <w:rsid w:val="009F5D02"/>
    <w:rsid w:val="009F6117"/>
    <w:rsid w:val="009F6229"/>
    <w:rsid w:val="009F622D"/>
    <w:rsid w:val="009F6536"/>
    <w:rsid w:val="009F65D3"/>
    <w:rsid w:val="009F66E8"/>
    <w:rsid w:val="009F68F0"/>
    <w:rsid w:val="009F6A3F"/>
    <w:rsid w:val="009F6AB8"/>
    <w:rsid w:val="009F6E86"/>
    <w:rsid w:val="009F7015"/>
    <w:rsid w:val="009F7293"/>
    <w:rsid w:val="009F7437"/>
    <w:rsid w:val="009F7512"/>
    <w:rsid w:val="009F7857"/>
    <w:rsid w:val="009F79EB"/>
    <w:rsid w:val="00A00602"/>
    <w:rsid w:val="00A008B2"/>
    <w:rsid w:val="00A00FFC"/>
    <w:rsid w:val="00A0121D"/>
    <w:rsid w:val="00A0156B"/>
    <w:rsid w:val="00A0182E"/>
    <w:rsid w:val="00A018E6"/>
    <w:rsid w:val="00A01900"/>
    <w:rsid w:val="00A01AE7"/>
    <w:rsid w:val="00A02024"/>
    <w:rsid w:val="00A02E7A"/>
    <w:rsid w:val="00A032DC"/>
    <w:rsid w:val="00A032EE"/>
    <w:rsid w:val="00A03B4E"/>
    <w:rsid w:val="00A03DFB"/>
    <w:rsid w:val="00A03EDD"/>
    <w:rsid w:val="00A04005"/>
    <w:rsid w:val="00A04ADC"/>
    <w:rsid w:val="00A04C02"/>
    <w:rsid w:val="00A04C27"/>
    <w:rsid w:val="00A04F2A"/>
    <w:rsid w:val="00A05612"/>
    <w:rsid w:val="00A05DBE"/>
    <w:rsid w:val="00A063B1"/>
    <w:rsid w:val="00A06ABB"/>
    <w:rsid w:val="00A06AD0"/>
    <w:rsid w:val="00A06B15"/>
    <w:rsid w:val="00A06C25"/>
    <w:rsid w:val="00A07088"/>
    <w:rsid w:val="00A0751F"/>
    <w:rsid w:val="00A075DE"/>
    <w:rsid w:val="00A076CB"/>
    <w:rsid w:val="00A077BA"/>
    <w:rsid w:val="00A0794C"/>
    <w:rsid w:val="00A079E3"/>
    <w:rsid w:val="00A07AF7"/>
    <w:rsid w:val="00A07B61"/>
    <w:rsid w:val="00A07C9C"/>
    <w:rsid w:val="00A07F1E"/>
    <w:rsid w:val="00A10D39"/>
    <w:rsid w:val="00A10FDB"/>
    <w:rsid w:val="00A11302"/>
    <w:rsid w:val="00A1156A"/>
    <w:rsid w:val="00A11573"/>
    <w:rsid w:val="00A11AD2"/>
    <w:rsid w:val="00A11F58"/>
    <w:rsid w:val="00A12016"/>
    <w:rsid w:val="00A122AA"/>
    <w:rsid w:val="00A1242F"/>
    <w:rsid w:val="00A1287A"/>
    <w:rsid w:val="00A12940"/>
    <w:rsid w:val="00A12C70"/>
    <w:rsid w:val="00A12CE4"/>
    <w:rsid w:val="00A1328C"/>
    <w:rsid w:val="00A13377"/>
    <w:rsid w:val="00A135B0"/>
    <w:rsid w:val="00A13671"/>
    <w:rsid w:val="00A1395E"/>
    <w:rsid w:val="00A1400A"/>
    <w:rsid w:val="00A141FA"/>
    <w:rsid w:val="00A146D1"/>
    <w:rsid w:val="00A147A9"/>
    <w:rsid w:val="00A14E04"/>
    <w:rsid w:val="00A15012"/>
    <w:rsid w:val="00A1506E"/>
    <w:rsid w:val="00A150DF"/>
    <w:rsid w:val="00A150E9"/>
    <w:rsid w:val="00A1514F"/>
    <w:rsid w:val="00A152D9"/>
    <w:rsid w:val="00A15539"/>
    <w:rsid w:val="00A15544"/>
    <w:rsid w:val="00A1556E"/>
    <w:rsid w:val="00A15DBF"/>
    <w:rsid w:val="00A160D9"/>
    <w:rsid w:val="00A162F2"/>
    <w:rsid w:val="00A168B4"/>
    <w:rsid w:val="00A16D1B"/>
    <w:rsid w:val="00A16F8A"/>
    <w:rsid w:val="00A170DD"/>
    <w:rsid w:val="00A1710E"/>
    <w:rsid w:val="00A17435"/>
    <w:rsid w:val="00A17883"/>
    <w:rsid w:val="00A179E2"/>
    <w:rsid w:val="00A200E6"/>
    <w:rsid w:val="00A20330"/>
    <w:rsid w:val="00A205F5"/>
    <w:rsid w:val="00A20624"/>
    <w:rsid w:val="00A20838"/>
    <w:rsid w:val="00A20857"/>
    <w:rsid w:val="00A20997"/>
    <w:rsid w:val="00A20CA8"/>
    <w:rsid w:val="00A20E39"/>
    <w:rsid w:val="00A20F03"/>
    <w:rsid w:val="00A20F23"/>
    <w:rsid w:val="00A20FD3"/>
    <w:rsid w:val="00A215A1"/>
    <w:rsid w:val="00A217A3"/>
    <w:rsid w:val="00A217AB"/>
    <w:rsid w:val="00A21AD8"/>
    <w:rsid w:val="00A21B72"/>
    <w:rsid w:val="00A21B97"/>
    <w:rsid w:val="00A21BAC"/>
    <w:rsid w:val="00A21D55"/>
    <w:rsid w:val="00A21DAE"/>
    <w:rsid w:val="00A221B4"/>
    <w:rsid w:val="00A2235E"/>
    <w:rsid w:val="00A22490"/>
    <w:rsid w:val="00A2275D"/>
    <w:rsid w:val="00A228E9"/>
    <w:rsid w:val="00A22A43"/>
    <w:rsid w:val="00A22EC6"/>
    <w:rsid w:val="00A22F5D"/>
    <w:rsid w:val="00A22F70"/>
    <w:rsid w:val="00A23137"/>
    <w:rsid w:val="00A23559"/>
    <w:rsid w:val="00A235C2"/>
    <w:rsid w:val="00A23644"/>
    <w:rsid w:val="00A23999"/>
    <w:rsid w:val="00A23C96"/>
    <w:rsid w:val="00A23E9B"/>
    <w:rsid w:val="00A23F01"/>
    <w:rsid w:val="00A24133"/>
    <w:rsid w:val="00A243A3"/>
    <w:rsid w:val="00A245F3"/>
    <w:rsid w:val="00A2460A"/>
    <w:rsid w:val="00A24784"/>
    <w:rsid w:val="00A24F53"/>
    <w:rsid w:val="00A24F6F"/>
    <w:rsid w:val="00A2514B"/>
    <w:rsid w:val="00A25189"/>
    <w:rsid w:val="00A25192"/>
    <w:rsid w:val="00A255A1"/>
    <w:rsid w:val="00A25694"/>
    <w:rsid w:val="00A257FD"/>
    <w:rsid w:val="00A25ABE"/>
    <w:rsid w:val="00A25C82"/>
    <w:rsid w:val="00A2611F"/>
    <w:rsid w:val="00A26418"/>
    <w:rsid w:val="00A2645A"/>
    <w:rsid w:val="00A2661A"/>
    <w:rsid w:val="00A26A70"/>
    <w:rsid w:val="00A26CA1"/>
    <w:rsid w:val="00A26CE0"/>
    <w:rsid w:val="00A26E88"/>
    <w:rsid w:val="00A2716C"/>
    <w:rsid w:val="00A272A5"/>
    <w:rsid w:val="00A27384"/>
    <w:rsid w:val="00A274B1"/>
    <w:rsid w:val="00A27656"/>
    <w:rsid w:val="00A278C2"/>
    <w:rsid w:val="00A278ED"/>
    <w:rsid w:val="00A30214"/>
    <w:rsid w:val="00A306A3"/>
    <w:rsid w:val="00A308F7"/>
    <w:rsid w:val="00A30A4C"/>
    <w:rsid w:val="00A30B15"/>
    <w:rsid w:val="00A30CDE"/>
    <w:rsid w:val="00A30F44"/>
    <w:rsid w:val="00A31104"/>
    <w:rsid w:val="00A31230"/>
    <w:rsid w:val="00A313C7"/>
    <w:rsid w:val="00A316C7"/>
    <w:rsid w:val="00A318CD"/>
    <w:rsid w:val="00A31C08"/>
    <w:rsid w:val="00A32110"/>
    <w:rsid w:val="00A323F8"/>
    <w:rsid w:val="00A324E6"/>
    <w:rsid w:val="00A324E8"/>
    <w:rsid w:val="00A32976"/>
    <w:rsid w:val="00A33C06"/>
    <w:rsid w:val="00A344F5"/>
    <w:rsid w:val="00A3497D"/>
    <w:rsid w:val="00A356D0"/>
    <w:rsid w:val="00A35A01"/>
    <w:rsid w:val="00A36275"/>
    <w:rsid w:val="00A36303"/>
    <w:rsid w:val="00A36550"/>
    <w:rsid w:val="00A367F4"/>
    <w:rsid w:val="00A3690C"/>
    <w:rsid w:val="00A36A27"/>
    <w:rsid w:val="00A36E14"/>
    <w:rsid w:val="00A36EFB"/>
    <w:rsid w:val="00A36F86"/>
    <w:rsid w:val="00A37C64"/>
    <w:rsid w:val="00A37DF2"/>
    <w:rsid w:val="00A37EB8"/>
    <w:rsid w:val="00A405F1"/>
    <w:rsid w:val="00A40BC5"/>
    <w:rsid w:val="00A40BEE"/>
    <w:rsid w:val="00A40CE5"/>
    <w:rsid w:val="00A4108A"/>
    <w:rsid w:val="00A410F6"/>
    <w:rsid w:val="00A41489"/>
    <w:rsid w:val="00A41628"/>
    <w:rsid w:val="00A41808"/>
    <w:rsid w:val="00A41944"/>
    <w:rsid w:val="00A41D28"/>
    <w:rsid w:val="00A423D0"/>
    <w:rsid w:val="00A42B04"/>
    <w:rsid w:val="00A42FA3"/>
    <w:rsid w:val="00A43532"/>
    <w:rsid w:val="00A438FC"/>
    <w:rsid w:val="00A43911"/>
    <w:rsid w:val="00A43C72"/>
    <w:rsid w:val="00A43D37"/>
    <w:rsid w:val="00A4486E"/>
    <w:rsid w:val="00A44AE3"/>
    <w:rsid w:val="00A44C61"/>
    <w:rsid w:val="00A44F3C"/>
    <w:rsid w:val="00A4562C"/>
    <w:rsid w:val="00A457FA"/>
    <w:rsid w:val="00A45AB8"/>
    <w:rsid w:val="00A45BA7"/>
    <w:rsid w:val="00A45E22"/>
    <w:rsid w:val="00A46ABD"/>
    <w:rsid w:val="00A470DE"/>
    <w:rsid w:val="00A47B80"/>
    <w:rsid w:val="00A47EDC"/>
    <w:rsid w:val="00A47FD4"/>
    <w:rsid w:val="00A502FA"/>
    <w:rsid w:val="00A502FB"/>
    <w:rsid w:val="00A505E6"/>
    <w:rsid w:val="00A509A8"/>
    <w:rsid w:val="00A50CD9"/>
    <w:rsid w:val="00A5107F"/>
    <w:rsid w:val="00A51251"/>
    <w:rsid w:val="00A5134B"/>
    <w:rsid w:val="00A514C5"/>
    <w:rsid w:val="00A515E5"/>
    <w:rsid w:val="00A51858"/>
    <w:rsid w:val="00A519AB"/>
    <w:rsid w:val="00A51A1B"/>
    <w:rsid w:val="00A51CEB"/>
    <w:rsid w:val="00A51DEF"/>
    <w:rsid w:val="00A51EDE"/>
    <w:rsid w:val="00A51F45"/>
    <w:rsid w:val="00A521C4"/>
    <w:rsid w:val="00A5278C"/>
    <w:rsid w:val="00A52967"/>
    <w:rsid w:val="00A52A7A"/>
    <w:rsid w:val="00A52D1B"/>
    <w:rsid w:val="00A52EAB"/>
    <w:rsid w:val="00A536A6"/>
    <w:rsid w:val="00A53A2A"/>
    <w:rsid w:val="00A53D09"/>
    <w:rsid w:val="00A540B7"/>
    <w:rsid w:val="00A5424A"/>
    <w:rsid w:val="00A543E0"/>
    <w:rsid w:val="00A54446"/>
    <w:rsid w:val="00A544E6"/>
    <w:rsid w:val="00A54745"/>
    <w:rsid w:val="00A547A7"/>
    <w:rsid w:val="00A54D38"/>
    <w:rsid w:val="00A553B6"/>
    <w:rsid w:val="00A55655"/>
    <w:rsid w:val="00A5585F"/>
    <w:rsid w:val="00A55EB6"/>
    <w:rsid w:val="00A5689F"/>
    <w:rsid w:val="00A5690B"/>
    <w:rsid w:val="00A5694D"/>
    <w:rsid w:val="00A56CE6"/>
    <w:rsid w:val="00A56DBB"/>
    <w:rsid w:val="00A57043"/>
    <w:rsid w:val="00A571D0"/>
    <w:rsid w:val="00A57A51"/>
    <w:rsid w:val="00A57C8F"/>
    <w:rsid w:val="00A57CCE"/>
    <w:rsid w:val="00A57D8F"/>
    <w:rsid w:val="00A57DC8"/>
    <w:rsid w:val="00A60085"/>
    <w:rsid w:val="00A60334"/>
    <w:rsid w:val="00A603D4"/>
    <w:rsid w:val="00A60684"/>
    <w:rsid w:val="00A607E6"/>
    <w:rsid w:val="00A60A8D"/>
    <w:rsid w:val="00A60BF3"/>
    <w:rsid w:val="00A60CD8"/>
    <w:rsid w:val="00A60D0E"/>
    <w:rsid w:val="00A60DCE"/>
    <w:rsid w:val="00A60E40"/>
    <w:rsid w:val="00A60E81"/>
    <w:rsid w:val="00A615DC"/>
    <w:rsid w:val="00A61621"/>
    <w:rsid w:val="00A61BE6"/>
    <w:rsid w:val="00A61C57"/>
    <w:rsid w:val="00A61F6B"/>
    <w:rsid w:val="00A62077"/>
    <w:rsid w:val="00A623B3"/>
    <w:rsid w:val="00A6240E"/>
    <w:rsid w:val="00A624F3"/>
    <w:rsid w:val="00A624FF"/>
    <w:rsid w:val="00A62509"/>
    <w:rsid w:val="00A627D3"/>
    <w:rsid w:val="00A628F0"/>
    <w:rsid w:val="00A62C8F"/>
    <w:rsid w:val="00A62CFF"/>
    <w:rsid w:val="00A62E44"/>
    <w:rsid w:val="00A63157"/>
    <w:rsid w:val="00A63370"/>
    <w:rsid w:val="00A635D0"/>
    <w:rsid w:val="00A63748"/>
    <w:rsid w:val="00A63AED"/>
    <w:rsid w:val="00A63F11"/>
    <w:rsid w:val="00A63F61"/>
    <w:rsid w:val="00A6430D"/>
    <w:rsid w:val="00A64388"/>
    <w:rsid w:val="00A646A5"/>
    <w:rsid w:val="00A646C5"/>
    <w:rsid w:val="00A6477A"/>
    <w:rsid w:val="00A64AC4"/>
    <w:rsid w:val="00A65514"/>
    <w:rsid w:val="00A6637E"/>
    <w:rsid w:val="00A6652B"/>
    <w:rsid w:val="00A66A52"/>
    <w:rsid w:val="00A66E3F"/>
    <w:rsid w:val="00A66EF9"/>
    <w:rsid w:val="00A67147"/>
    <w:rsid w:val="00A6761C"/>
    <w:rsid w:val="00A67A83"/>
    <w:rsid w:val="00A67AF5"/>
    <w:rsid w:val="00A67BD4"/>
    <w:rsid w:val="00A67F45"/>
    <w:rsid w:val="00A703E7"/>
    <w:rsid w:val="00A70689"/>
    <w:rsid w:val="00A70B4B"/>
    <w:rsid w:val="00A70E9D"/>
    <w:rsid w:val="00A71362"/>
    <w:rsid w:val="00A717D3"/>
    <w:rsid w:val="00A71860"/>
    <w:rsid w:val="00A71AED"/>
    <w:rsid w:val="00A71B84"/>
    <w:rsid w:val="00A721D9"/>
    <w:rsid w:val="00A722BF"/>
    <w:rsid w:val="00A7244B"/>
    <w:rsid w:val="00A727FB"/>
    <w:rsid w:val="00A7289E"/>
    <w:rsid w:val="00A72F8B"/>
    <w:rsid w:val="00A72FF7"/>
    <w:rsid w:val="00A73059"/>
    <w:rsid w:val="00A73121"/>
    <w:rsid w:val="00A734C6"/>
    <w:rsid w:val="00A73AAD"/>
    <w:rsid w:val="00A73CAB"/>
    <w:rsid w:val="00A73D96"/>
    <w:rsid w:val="00A73EBE"/>
    <w:rsid w:val="00A7403D"/>
    <w:rsid w:val="00A74048"/>
    <w:rsid w:val="00A74528"/>
    <w:rsid w:val="00A74873"/>
    <w:rsid w:val="00A74F51"/>
    <w:rsid w:val="00A75133"/>
    <w:rsid w:val="00A752D3"/>
    <w:rsid w:val="00A75482"/>
    <w:rsid w:val="00A7565B"/>
    <w:rsid w:val="00A758CC"/>
    <w:rsid w:val="00A75AFD"/>
    <w:rsid w:val="00A75C0A"/>
    <w:rsid w:val="00A76359"/>
    <w:rsid w:val="00A763DA"/>
    <w:rsid w:val="00A76806"/>
    <w:rsid w:val="00A76973"/>
    <w:rsid w:val="00A769AA"/>
    <w:rsid w:val="00A769D2"/>
    <w:rsid w:val="00A76FAD"/>
    <w:rsid w:val="00A77187"/>
    <w:rsid w:val="00A7737D"/>
    <w:rsid w:val="00A77679"/>
    <w:rsid w:val="00A77789"/>
    <w:rsid w:val="00A778CE"/>
    <w:rsid w:val="00A77B09"/>
    <w:rsid w:val="00A77C7A"/>
    <w:rsid w:val="00A77EA0"/>
    <w:rsid w:val="00A77F42"/>
    <w:rsid w:val="00A800E8"/>
    <w:rsid w:val="00A80298"/>
    <w:rsid w:val="00A80459"/>
    <w:rsid w:val="00A8061D"/>
    <w:rsid w:val="00A80A52"/>
    <w:rsid w:val="00A80AF5"/>
    <w:rsid w:val="00A80BE4"/>
    <w:rsid w:val="00A81507"/>
    <w:rsid w:val="00A8165A"/>
    <w:rsid w:val="00A81A0C"/>
    <w:rsid w:val="00A81A2F"/>
    <w:rsid w:val="00A81B09"/>
    <w:rsid w:val="00A81BEB"/>
    <w:rsid w:val="00A8284D"/>
    <w:rsid w:val="00A82C1B"/>
    <w:rsid w:val="00A82E27"/>
    <w:rsid w:val="00A83786"/>
    <w:rsid w:val="00A83E67"/>
    <w:rsid w:val="00A83EC4"/>
    <w:rsid w:val="00A84301"/>
    <w:rsid w:val="00A84396"/>
    <w:rsid w:val="00A84988"/>
    <w:rsid w:val="00A84B75"/>
    <w:rsid w:val="00A84D03"/>
    <w:rsid w:val="00A85797"/>
    <w:rsid w:val="00A85BC3"/>
    <w:rsid w:val="00A8660D"/>
    <w:rsid w:val="00A867A3"/>
    <w:rsid w:val="00A86A7D"/>
    <w:rsid w:val="00A86B25"/>
    <w:rsid w:val="00A86EAA"/>
    <w:rsid w:val="00A8715A"/>
    <w:rsid w:val="00A87763"/>
    <w:rsid w:val="00A8785A"/>
    <w:rsid w:val="00A87AF7"/>
    <w:rsid w:val="00A87B6B"/>
    <w:rsid w:val="00A87F40"/>
    <w:rsid w:val="00A9047E"/>
    <w:rsid w:val="00A907A8"/>
    <w:rsid w:val="00A90F5C"/>
    <w:rsid w:val="00A9122B"/>
    <w:rsid w:val="00A917CE"/>
    <w:rsid w:val="00A9188E"/>
    <w:rsid w:val="00A91940"/>
    <w:rsid w:val="00A91B32"/>
    <w:rsid w:val="00A928E9"/>
    <w:rsid w:val="00A92969"/>
    <w:rsid w:val="00A92C30"/>
    <w:rsid w:val="00A92CCA"/>
    <w:rsid w:val="00A9346B"/>
    <w:rsid w:val="00A935A7"/>
    <w:rsid w:val="00A93E6A"/>
    <w:rsid w:val="00A93F0E"/>
    <w:rsid w:val="00A94017"/>
    <w:rsid w:val="00A94149"/>
    <w:rsid w:val="00A942FF"/>
    <w:rsid w:val="00A943B4"/>
    <w:rsid w:val="00A944C6"/>
    <w:rsid w:val="00A95944"/>
    <w:rsid w:val="00A959E1"/>
    <w:rsid w:val="00A95BC4"/>
    <w:rsid w:val="00A960CE"/>
    <w:rsid w:val="00A96165"/>
    <w:rsid w:val="00A9629E"/>
    <w:rsid w:val="00A96A6F"/>
    <w:rsid w:val="00A96B46"/>
    <w:rsid w:val="00A96CBC"/>
    <w:rsid w:val="00A96D51"/>
    <w:rsid w:val="00A96E5F"/>
    <w:rsid w:val="00A96E87"/>
    <w:rsid w:val="00A9704E"/>
    <w:rsid w:val="00A970B0"/>
    <w:rsid w:val="00A973F7"/>
    <w:rsid w:val="00A979F1"/>
    <w:rsid w:val="00A97E7A"/>
    <w:rsid w:val="00AA0264"/>
    <w:rsid w:val="00AA02ED"/>
    <w:rsid w:val="00AA0388"/>
    <w:rsid w:val="00AA0833"/>
    <w:rsid w:val="00AA0B41"/>
    <w:rsid w:val="00AA0BB9"/>
    <w:rsid w:val="00AA0CB5"/>
    <w:rsid w:val="00AA111F"/>
    <w:rsid w:val="00AA1445"/>
    <w:rsid w:val="00AA23E4"/>
    <w:rsid w:val="00AA2799"/>
    <w:rsid w:val="00AA2CC7"/>
    <w:rsid w:val="00AA30EC"/>
    <w:rsid w:val="00AA3325"/>
    <w:rsid w:val="00AA3350"/>
    <w:rsid w:val="00AA34B2"/>
    <w:rsid w:val="00AA35FE"/>
    <w:rsid w:val="00AA3734"/>
    <w:rsid w:val="00AA3917"/>
    <w:rsid w:val="00AA3E2F"/>
    <w:rsid w:val="00AA3EAF"/>
    <w:rsid w:val="00AA3EE1"/>
    <w:rsid w:val="00AA3F5F"/>
    <w:rsid w:val="00AA4119"/>
    <w:rsid w:val="00AA414C"/>
    <w:rsid w:val="00AA41C6"/>
    <w:rsid w:val="00AA47C9"/>
    <w:rsid w:val="00AA498D"/>
    <w:rsid w:val="00AA5249"/>
    <w:rsid w:val="00AA5510"/>
    <w:rsid w:val="00AA558B"/>
    <w:rsid w:val="00AA5BAB"/>
    <w:rsid w:val="00AA5FD2"/>
    <w:rsid w:val="00AA638C"/>
    <w:rsid w:val="00AA6646"/>
    <w:rsid w:val="00AA7131"/>
    <w:rsid w:val="00AA719D"/>
    <w:rsid w:val="00AA71CF"/>
    <w:rsid w:val="00AA747B"/>
    <w:rsid w:val="00AA750F"/>
    <w:rsid w:val="00AA798E"/>
    <w:rsid w:val="00AA79AD"/>
    <w:rsid w:val="00AA79C5"/>
    <w:rsid w:val="00AA7C22"/>
    <w:rsid w:val="00AA7C9B"/>
    <w:rsid w:val="00AA7D3E"/>
    <w:rsid w:val="00AA7E34"/>
    <w:rsid w:val="00AB09A0"/>
    <w:rsid w:val="00AB130D"/>
    <w:rsid w:val="00AB13B9"/>
    <w:rsid w:val="00AB1401"/>
    <w:rsid w:val="00AB1476"/>
    <w:rsid w:val="00AB1D65"/>
    <w:rsid w:val="00AB259D"/>
    <w:rsid w:val="00AB264F"/>
    <w:rsid w:val="00AB2C2B"/>
    <w:rsid w:val="00AB2FA3"/>
    <w:rsid w:val="00AB2FA6"/>
    <w:rsid w:val="00AB3359"/>
    <w:rsid w:val="00AB3381"/>
    <w:rsid w:val="00AB35DD"/>
    <w:rsid w:val="00AB38F0"/>
    <w:rsid w:val="00AB392B"/>
    <w:rsid w:val="00AB49AA"/>
    <w:rsid w:val="00AB4A1B"/>
    <w:rsid w:val="00AB4D53"/>
    <w:rsid w:val="00AB4EEF"/>
    <w:rsid w:val="00AB5485"/>
    <w:rsid w:val="00AB5569"/>
    <w:rsid w:val="00AB5A9F"/>
    <w:rsid w:val="00AB62F4"/>
    <w:rsid w:val="00AB63BC"/>
    <w:rsid w:val="00AB63DB"/>
    <w:rsid w:val="00AB6479"/>
    <w:rsid w:val="00AB66C3"/>
    <w:rsid w:val="00AB71B1"/>
    <w:rsid w:val="00AB7534"/>
    <w:rsid w:val="00AB758A"/>
    <w:rsid w:val="00AC0229"/>
    <w:rsid w:val="00AC056A"/>
    <w:rsid w:val="00AC07E2"/>
    <w:rsid w:val="00AC0A1B"/>
    <w:rsid w:val="00AC1381"/>
    <w:rsid w:val="00AC229E"/>
    <w:rsid w:val="00AC2985"/>
    <w:rsid w:val="00AC2ACA"/>
    <w:rsid w:val="00AC2BB7"/>
    <w:rsid w:val="00AC2E9C"/>
    <w:rsid w:val="00AC33F6"/>
    <w:rsid w:val="00AC35AF"/>
    <w:rsid w:val="00AC35C9"/>
    <w:rsid w:val="00AC36A4"/>
    <w:rsid w:val="00AC39C2"/>
    <w:rsid w:val="00AC45A5"/>
    <w:rsid w:val="00AC46E1"/>
    <w:rsid w:val="00AC4B96"/>
    <w:rsid w:val="00AC4D32"/>
    <w:rsid w:val="00AC4E64"/>
    <w:rsid w:val="00AC51C4"/>
    <w:rsid w:val="00AC5399"/>
    <w:rsid w:val="00AC5491"/>
    <w:rsid w:val="00AC56B6"/>
    <w:rsid w:val="00AC5700"/>
    <w:rsid w:val="00AC573D"/>
    <w:rsid w:val="00AC638C"/>
    <w:rsid w:val="00AC673A"/>
    <w:rsid w:val="00AC680F"/>
    <w:rsid w:val="00AC68A7"/>
    <w:rsid w:val="00AC6C64"/>
    <w:rsid w:val="00AC71A9"/>
    <w:rsid w:val="00AC77B9"/>
    <w:rsid w:val="00AC7CAC"/>
    <w:rsid w:val="00AC7D29"/>
    <w:rsid w:val="00AC7E98"/>
    <w:rsid w:val="00AD04AE"/>
    <w:rsid w:val="00AD05F0"/>
    <w:rsid w:val="00AD0E35"/>
    <w:rsid w:val="00AD1018"/>
    <w:rsid w:val="00AD109E"/>
    <w:rsid w:val="00AD1100"/>
    <w:rsid w:val="00AD190A"/>
    <w:rsid w:val="00AD1B0B"/>
    <w:rsid w:val="00AD1DD8"/>
    <w:rsid w:val="00AD2000"/>
    <w:rsid w:val="00AD20B2"/>
    <w:rsid w:val="00AD20E2"/>
    <w:rsid w:val="00AD2773"/>
    <w:rsid w:val="00AD29B6"/>
    <w:rsid w:val="00AD2FB7"/>
    <w:rsid w:val="00AD336C"/>
    <w:rsid w:val="00AD37E1"/>
    <w:rsid w:val="00AD436F"/>
    <w:rsid w:val="00AD45D1"/>
    <w:rsid w:val="00AD4EFB"/>
    <w:rsid w:val="00AD500F"/>
    <w:rsid w:val="00AD505B"/>
    <w:rsid w:val="00AD565B"/>
    <w:rsid w:val="00AD5740"/>
    <w:rsid w:val="00AD57FF"/>
    <w:rsid w:val="00AD5B7B"/>
    <w:rsid w:val="00AD5EEC"/>
    <w:rsid w:val="00AD681A"/>
    <w:rsid w:val="00AD6863"/>
    <w:rsid w:val="00AD6DF8"/>
    <w:rsid w:val="00AD6ECE"/>
    <w:rsid w:val="00AD6F53"/>
    <w:rsid w:val="00AD73BB"/>
    <w:rsid w:val="00AD73EA"/>
    <w:rsid w:val="00AD74E4"/>
    <w:rsid w:val="00AD7789"/>
    <w:rsid w:val="00AD78D4"/>
    <w:rsid w:val="00AD7C05"/>
    <w:rsid w:val="00AD7EB6"/>
    <w:rsid w:val="00AD7FE8"/>
    <w:rsid w:val="00AE0413"/>
    <w:rsid w:val="00AE0B82"/>
    <w:rsid w:val="00AE0BFA"/>
    <w:rsid w:val="00AE0DCF"/>
    <w:rsid w:val="00AE0F15"/>
    <w:rsid w:val="00AE13FA"/>
    <w:rsid w:val="00AE14BB"/>
    <w:rsid w:val="00AE1DD7"/>
    <w:rsid w:val="00AE1F86"/>
    <w:rsid w:val="00AE28D8"/>
    <w:rsid w:val="00AE2D20"/>
    <w:rsid w:val="00AE2E35"/>
    <w:rsid w:val="00AE2F23"/>
    <w:rsid w:val="00AE342D"/>
    <w:rsid w:val="00AE356F"/>
    <w:rsid w:val="00AE3696"/>
    <w:rsid w:val="00AE3908"/>
    <w:rsid w:val="00AE391E"/>
    <w:rsid w:val="00AE3999"/>
    <w:rsid w:val="00AE39E1"/>
    <w:rsid w:val="00AE4002"/>
    <w:rsid w:val="00AE424E"/>
    <w:rsid w:val="00AE427A"/>
    <w:rsid w:val="00AE4283"/>
    <w:rsid w:val="00AE4B96"/>
    <w:rsid w:val="00AE4BF3"/>
    <w:rsid w:val="00AE4D17"/>
    <w:rsid w:val="00AE52C3"/>
    <w:rsid w:val="00AE53BB"/>
    <w:rsid w:val="00AE5925"/>
    <w:rsid w:val="00AE653E"/>
    <w:rsid w:val="00AE6731"/>
    <w:rsid w:val="00AE6D4B"/>
    <w:rsid w:val="00AE75D3"/>
    <w:rsid w:val="00AE75F9"/>
    <w:rsid w:val="00AE7666"/>
    <w:rsid w:val="00AE7B90"/>
    <w:rsid w:val="00AE7C98"/>
    <w:rsid w:val="00AE7E21"/>
    <w:rsid w:val="00AE7F5C"/>
    <w:rsid w:val="00AF01F7"/>
    <w:rsid w:val="00AF06E4"/>
    <w:rsid w:val="00AF0868"/>
    <w:rsid w:val="00AF0AD2"/>
    <w:rsid w:val="00AF0B21"/>
    <w:rsid w:val="00AF1C82"/>
    <w:rsid w:val="00AF2311"/>
    <w:rsid w:val="00AF2F58"/>
    <w:rsid w:val="00AF3468"/>
    <w:rsid w:val="00AF3AEF"/>
    <w:rsid w:val="00AF3BD5"/>
    <w:rsid w:val="00AF3C81"/>
    <w:rsid w:val="00AF3CC6"/>
    <w:rsid w:val="00AF3F3E"/>
    <w:rsid w:val="00AF430E"/>
    <w:rsid w:val="00AF4972"/>
    <w:rsid w:val="00AF4DA5"/>
    <w:rsid w:val="00AF525C"/>
    <w:rsid w:val="00AF5711"/>
    <w:rsid w:val="00AF5833"/>
    <w:rsid w:val="00AF596A"/>
    <w:rsid w:val="00AF59B1"/>
    <w:rsid w:val="00AF5C54"/>
    <w:rsid w:val="00AF5C5B"/>
    <w:rsid w:val="00AF5D43"/>
    <w:rsid w:val="00AF60CF"/>
    <w:rsid w:val="00AF658C"/>
    <w:rsid w:val="00AF67B0"/>
    <w:rsid w:val="00AF6888"/>
    <w:rsid w:val="00AF6A67"/>
    <w:rsid w:val="00AF6C1F"/>
    <w:rsid w:val="00AF6CA5"/>
    <w:rsid w:val="00AF6D0C"/>
    <w:rsid w:val="00AF6E9D"/>
    <w:rsid w:val="00AF717F"/>
    <w:rsid w:val="00AF7301"/>
    <w:rsid w:val="00AF75DA"/>
    <w:rsid w:val="00AF7AF5"/>
    <w:rsid w:val="00AF7D33"/>
    <w:rsid w:val="00AF7F37"/>
    <w:rsid w:val="00B008AC"/>
    <w:rsid w:val="00B0092E"/>
    <w:rsid w:val="00B00AAB"/>
    <w:rsid w:val="00B00CA9"/>
    <w:rsid w:val="00B0125A"/>
    <w:rsid w:val="00B013A5"/>
    <w:rsid w:val="00B017EC"/>
    <w:rsid w:val="00B018CA"/>
    <w:rsid w:val="00B019F2"/>
    <w:rsid w:val="00B01CE9"/>
    <w:rsid w:val="00B021C8"/>
    <w:rsid w:val="00B027ED"/>
    <w:rsid w:val="00B02A25"/>
    <w:rsid w:val="00B02DC5"/>
    <w:rsid w:val="00B02E68"/>
    <w:rsid w:val="00B02EAF"/>
    <w:rsid w:val="00B02F6A"/>
    <w:rsid w:val="00B032A5"/>
    <w:rsid w:val="00B039F8"/>
    <w:rsid w:val="00B03BAF"/>
    <w:rsid w:val="00B03E96"/>
    <w:rsid w:val="00B04368"/>
    <w:rsid w:val="00B0446F"/>
    <w:rsid w:val="00B047A4"/>
    <w:rsid w:val="00B04BA4"/>
    <w:rsid w:val="00B04E55"/>
    <w:rsid w:val="00B054E2"/>
    <w:rsid w:val="00B0590E"/>
    <w:rsid w:val="00B05DBF"/>
    <w:rsid w:val="00B05FAB"/>
    <w:rsid w:val="00B066BD"/>
    <w:rsid w:val="00B06740"/>
    <w:rsid w:val="00B06ABF"/>
    <w:rsid w:val="00B07069"/>
    <w:rsid w:val="00B070F1"/>
    <w:rsid w:val="00B071CB"/>
    <w:rsid w:val="00B072E7"/>
    <w:rsid w:val="00B074F9"/>
    <w:rsid w:val="00B078E6"/>
    <w:rsid w:val="00B100BE"/>
    <w:rsid w:val="00B1023A"/>
    <w:rsid w:val="00B10311"/>
    <w:rsid w:val="00B10340"/>
    <w:rsid w:val="00B10570"/>
    <w:rsid w:val="00B10AAB"/>
    <w:rsid w:val="00B10AD2"/>
    <w:rsid w:val="00B10B33"/>
    <w:rsid w:val="00B10E33"/>
    <w:rsid w:val="00B11008"/>
    <w:rsid w:val="00B110CD"/>
    <w:rsid w:val="00B11939"/>
    <w:rsid w:val="00B11D8B"/>
    <w:rsid w:val="00B12898"/>
    <w:rsid w:val="00B12AC4"/>
    <w:rsid w:val="00B130EA"/>
    <w:rsid w:val="00B1324C"/>
    <w:rsid w:val="00B13F30"/>
    <w:rsid w:val="00B1512E"/>
    <w:rsid w:val="00B15377"/>
    <w:rsid w:val="00B15481"/>
    <w:rsid w:val="00B1558E"/>
    <w:rsid w:val="00B155C5"/>
    <w:rsid w:val="00B15810"/>
    <w:rsid w:val="00B15CC5"/>
    <w:rsid w:val="00B15D7F"/>
    <w:rsid w:val="00B15E8B"/>
    <w:rsid w:val="00B15F14"/>
    <w:rsid w:val="00B16557"/>
    <w:rsid w:val="00B16838"/>
    <w:rsid w:val="00B16924"/>
    <w:rsid w:val="00B16A9E"/>
    <w:rsid w:val="00B16AA9"/>
    <w:rsid w:val="00B16D99"/>
    <w:rsid w:val="00B16F91"/>
    <w:rsid w:val="00B17019"/>
    <w:rsid w:val="00B170E9"/>
    <w:rsid w:val="00B17169"/>
    <w:rsid w:val="00B17385"/>
    <w:rsid w:val="00B17899"/>
    <w:rsid w:val="00B20664"/>
    <w:rsid w:val="00B2077B"/>
    <w:rsid w:val="00B20C11"/>
    <w:rsid w:val="00B20DF1"/>
    <w:rsid w:val="00B210A8"/>
    <w:rsid w:val="00B211AB"/>
    <w:rsid w:val="00B2147B"/>
    <w:rsid w:val="00B214D8"/>
    <w:rsid w:val="00B2150D"/>
    <w:rsid w:val="00B216C5"/>
    <w:rsid w:val="00B21CAF"/>
    <w:rsid w:val="00B21D68"/>
    <w:rsid w:val="00B21FC8"/>
    <w:rsid w:val="00B225D8"/>
    <w:rsid w:val="00B22A63"/>
    <w:rsid w:val="00B22DBD"/>
    <w:rsid w:val="00B23291"/>
    <w:rsid w:val="00B23292"/>
    <w:rsid w:val="00B234BD"/>
    <w:rsid w:val="00B235E2"/>
    <w:rsid w:val="00B238C6"/>
    <w:rsid w:val="00B23CD9"/>
    <w:rsid w:val="00B23FB0"/>
    <w:rsid w:val="00B2406C"/>
    <w:rsid w:val="00B24812"/>
    <w:rsid w:val="00B249D0"/>
    <w:rsid w:val="00B24AD9"/>
    <w:rsid w:val="00B25002"/>
    <w:rsid w:val="00B250AF"/>
    <w:rsid w:val="00B251F0"/>
    <w:rsid w:val="00B25508"/>
    <w:rsid w:val="00B255AB"/>
    <w:rsid w:val="00B25C03"/>
    <w:rsid w:val="00B25F41"/>
    <w:rsid w:val="00B260F8"/>
    <w:rsid w:val="00B2695F"/>
    <w:rsid w:val="00B26CE3"/>
    <w:rsid w:val="00B26D2B"/>
    <w:rsid w:val="00B26D34"/>
    <w:rsid w:val="00B26FE2"/>
    <w:rsid w:val="00B2717C"/>
    <w:rsid w:val="00B273A9"/>
    <w:rsid w:val="00B27A3D"/>
    <w:rsid w:val="00B27CED"/>
    <w:rsid w:val="00B30216"/>
    <w:rsid w:val="00B307B2"/>
    <w:rsid w:val="00B30BB2"/>
    <w:rsid w:val="00B3149B"/>
    <w:rsid w:val="00B31771"/>
    <w:rsid w:val="00B31D29"/>
    <w:rsid w:val="00B31D5F"/>
    <w:rsid w:val="00B31DED"/>
    <w:rsid w:val="00B31F56"/>
    <w:rsid w:val="00B3206C"/>
    <w:rsid w:val="00B32120"/>
    <w:rsid w:val="00B3248E"/>
    <w:rsid w:val="00B324EC"/>
    <w:rsid w:val="00B32967"/>
    <w:rsid w:val="00B32C4A"/>
    <w:rsid w:val="00B32C69"/>
    <w:rsid w:val="00B32CDA"/>
    <w:rsid w:val="00B32E96"/>
    <w:rsid w:val="00B32F53"/>
    <w:rsid w:val="00B33705"/>
    <w:rsid w:val="00B33A27"/>
    <w:rsid w:val="00B33ACC"/>
    <w:rsid w:val="00B33C41"/>
    <w:rsid w:val="00B34100"/>
    <w:rsid w:val="00B34308"/>
    <w:rsid w:val="00B3450E"/>
    <w:rsid w:val="00B3463A"/>
    <w:rsid w:val="00B349E4"/>
    <w:rsid w:val="00B34D8B"/>
    <w:rsid w:val="00B34E6E"/>
    <w:rsid w:val="00B35218"/>
    <w:rsid w:val="00B35835"/>
    <w:rsid w:val="00B359A0"/>
    <w:rsid w:val="00B3607B"/>
    <w:rsid w:val="00B362AF"/>
    <w:rsid w:val="00B36426"/>
    <w:rsid w:val="00B3652C"/>
    <w:rsid w:val="00B3673D"/>
    <w:rsid w:val="00B36948"/>
    <w:rsid w:val="00B36BDB"/>
    <w:rsid w:val="00B36D04"/>
    <w:rsid w:val="00B3757A"/>
    <w:rsid w:val="00B37652"/>
    <w:rsid w:val="00B378E8"/>
    <w:rsid w:val="00B37EDE"/>
    <w:rsid w:val="00B40037"/>
    <w:rsid w:val="00B4011F"/>
    <w:rsid w:val="00B4026F"/>
    <w:rsid w:val="00B409E8"/>
    <w:rsid w:val="00B40B0D"/>
    <w:rsid w:val="00B41019"/>
    <w:rsid w:val="00B41034"/>
    <w:rsid w:val="00B41A81"/>
    <w:rsid w:val="00B41EBD"/>
    <w:rsid w:val="00B41F7E"/>
    <w:rsid w:val="00B42359"/>
    <w:rsid w:val="00B4236A"/>
    <w:rsid w:val="00B4255B"/>
    <w:rsid w:val="00B42663"/>
    <w:rsid w:val="00B426B6"/>
    <w:rsid w:val="00B42757"/>
    <w:rsid w:val="00B42C5A"/>
    <w:rsid w:val="00B435B7"/>
    <w:rsid w:val="00B43678"/>
    <w:rsid w:val="00B436AE"/>
    <w:rsid w:val="00B4390E"/>
    <w:rsid w:val="00B43930"/>
    <w:rsid w:val="00B439F7"/>
    <w:rsid w:val="00B44595"/>
    <w:rsid w:val="00B448A0"/>
    <w:rsid w:val="00B448EC"/>
    <w:rsid w:val="00B44D64"/>
    <w:rsid w:val="00B45567"/>
    <w:rsid w:val="00B455A4"/>
    <w:rsid w:val="00B45C6D"/>
    <w:rsid w:val="00B45FC1"/>
    <w:rsid w:val="00B462C6"/>
    <w:rsid w:val="00B46390"/>
    <w:rsid w:val="00B46433"/>
    <w:rsid w:val="00B465E7"/>
    <w:rsid w:val="00B466A4"/>
    <w:rsid w:val="00B46811"/>
    <w:rsid w:val="00B46846"/>
    <w:rsid w:val="00B46859"/>
    <w:rsid w:val="00B46D59"/>
    <w:rsid w:val="00B46FBE"/>
    <w:rsid w:val="00B46FD9"/>
    <w:rsid w:val="00B47667"/>
    <w:rsid w:val="00B47B6A"/>
    <w:rsid w:val="00B47C3D"/>
    <w:rsid w:val="00B47DA7"/>
    <w:rsid w:val="00B47E7F"/>
    <w:rsid w:val="00B47E94"/>
    <w:rsid w:val="00B504B9"/>
    <w:rsid w:val="00B5078E"/>
    <w:rsid w:val="00B50EBB"/>
    <w:rsid w:val="00B512CA"/>
    <w:rsid w:val="00B51303"/>
    <w:rsid w:val="00B51403"/>
    <w:rsid w:val="00B51519"/>
    <w:rsid w:val="00B515B9"/>
    <w:rsid w:val="00B516D3"/>
    <w:rsid w:val="00B5187B"/>
    <w:rsid w:val="00B52337"/>
    <w:rsid w:val="00B524FD"/>
    <w:rsid w:val="00B526C3"/>
    <w:rsid w:val="00B530A8"/>
    <w:rsid w:val="00B532B2"/>
    <w:rsid w:val="00B53512"/>
    <w:rsid w:val="00B53631"/>
    <w:rsid w:val="00B53813"/>
    <w:rsid w:val="00B53A04"/>
    <w:rsid w:val="00B53AF9"/>
    <w:rsid w:val="00B53E79"/>
    <w:rsid w:val="00B53F0B"/>
    <w:rsid w:val="00B53FA4"/>
    <w:rsid w:val="00B546B5"/>
    <w:rsid w:val="00B54AFB"/>
    <w:rsid w:val="00B54C97"/>
    <w:rsid w:val="00B54E35"/>
    <w:rsid w:val="00B55245"/>
    <w:rsid w:val="00B5546B"/>
    <w:rsid w:val="00B554BA"/>
    <w:rsid w:val="00B55A00"/>
    <w:rsid w:val="00B56584"/>
    <w:rsid w:val="00B567FE"/>
    <w:rsid w:val="00B56CD4"/>
    <w:rsid w:val="00B56D3D"/>
    <w:rsid w:val="00B56D7F"/>
    <w:rsid w:val="00B57409"/>
    <w:rsid w:val="00B576B6"/>
    <w:rsid w:val="00B57BA8"/>
    <w:rsid w:val="00B57C45"/>
    <w:rsid w:val="00B57D10"/>
    <w:rsid w:val="00B57F11"/>
    <w:rsid w:val="00B60418"/>
    <w:rsid w:val="00B60628"/>
    <w:rsid w:val="00B6066E"/>
    <w:rsid w:val="00B60A7A"/>
    <w:rsid w:val="00B60B20"/>
    <w:rsid w:val="00B614FF"/>
    <w:rsid w:val="00B62111"/>
    <w:rsid w:val="00B621ED"/>
    <w:rsid w:val="00B62236"/>
    <w:rsid w:val="00B6237B"/>
    <w:rsid w:val="00B626F3"/>
    <w:rsid w:val="00B628A0"/>
    <w:rsid w:val="00B62BC2"/>
    <w:rsid w:val="00B62C50"/>
    <w:rsid w:val="00B62DF9"/>
    <w:rsid w:val="00B632E9"/>
    <w:rsid w:val="00B6356C"/>
    <w:rsid w:val="00B637CF"/>
    <w:rsid w:val="00B63915"/>
    <w:rsid w:val="00B63AB2"/>
    <w:rsid w:val="00B63BA0"/>
    <w:rsid w:val="00B63E65"/>
    <w:rsid w:val="00B63FB4"/>
    <w:rsid w:val="00B646F0"/>
    <w:rsid w:val="00B651B4"/>
    <w:rsid w:val="00B65828"/>
    <w:rsid w:val="00B65833"/>
    <w:rsid w:val="00B6585E"/>
    <w:rsid w:val="00B6649C"/>
    <w:rsid w:val="00B66550"/>
    <w:rsid w:val="00B669FC"/>
    <w:rsid w:val="00B673C0"/>
    <w:rsid w:val="00B679D2"/>
    <w:rsid w:val="00B70164"/>
    <w:rsid w:val="00B704A5"/>
    <w:rsid w:val="00B70DB5"/>
    <w:rsid w:val="00B70FB3"/>
    <w:rsid w:val="00B712B9"/>
    <w:rsid w:val="00B718CC"/>
    <w:rsid w:val="00B71ABE"/>
    <w:rsid w:val="00B735C8"/>
    <w:rsid w:val="00B73A3D"/>
    <w:rsid w:val="00B73A55"/>
    <w:rsid w:val="00B73EFD"/>
    <w:rsid w:val="00B74169"/>
    <w:rsid w:val="00B7431C"/>
    <w:rsid w:val="00B744C5"/>
    <w:rsid w:val="00B74772"/>
    <w:rsid w:val="00B7496C"/>
    <w:rsid w:val="00B749AB"/>
    <w:rsid w:val="00B74F01"/>
    <w:rsid w:val="00B74F10"/>
    <w:rsid w:val="00B74FC4"/>
    <w:rsid w:val="00B7504E"/>
    <w:rsid w:val="00B75161"/>
    <w:rsid w:val="00B7563F"/>
    <w:rsid w:val="00B756E4"/>
    <w:rsid w:val="00B757AA"/>
    <w:rsid w:val="00B75AAE"/>
    <w:rsid w:val="00B763F0"/>
    <w:rsid w:val="00B76712"/>
    <w:rsid w:val="00B7686B"/>
    <w:rsid w:val="00B76A33"/>
    <w:rsid w:val="00B76F4E"/>
    <w:rsid w:val="00B77315"/>
    <w:rsid w:val="00B775C7"/>
    <w:rsid w:val="00B77A36"/>
    <w:rsid w:val="00B80BD6"/>
    <w:rsid w:val="00B80C3B"/>
    <w:rsid w:val="00B80D92"/>
    <w:rsid w:val="00B80F3E"/>
    <w:rsid w:val="00B81060"/>
    <w:rsid w:val="00B810B8"/>
    <w:rsid w:val="00B81E47"/>
    <w:rsid w:val="00B8222B"/>
    <w:rsid w:val="00B82264"/>
    <w:rsid w:val="00B829D9"/>
    <w:rsid w:val="00B82C93"/>
    <w:rsid w:val="00B82D53"/>
    <w:rsid w:val="00B82E48"/>
    <w:rsid w:val="00B83136"/>
    <w:rsid w:val="00B832D8"/>
    <w:rsid w:val="00B83ECB"/>
    <w:rsid w:val="00B83F4B"/>
    <w:rsid w:val="00B8404E"/>
    <w:rsid w:val="00B84618"/>
    <w:rsid w:val="00B84887"/>
    <w:rsid w:val="00B849BD"/>
    <w:rsid w:val="00B84E07"/>
    <w:rsid w:val="00B8534A"/>
    <w:rsid w:val="00B8574E"/>
    <w:rsid w:val="00B85FE2"/>
    <w:rsid w:val="00B863D2"/>
    <w:rsid w:val="00B86573"/>
    <w:rsid w:val="00B86732"/>
    <w:rsid w:val="00B86B5E"/>
    <w:rsid w:val="00B86C85"/>
    <w:rsid w:val="00B87271"/>
    <w:rsid w:val="00B875A4"/>
    <w:rsid w:val="00B877F4"/>
    <w:rsid w:val="00B8797F"/>
    <w:rsid w:val="00B879DC"/>
    <w:rsid w:val="00B87D6D"/>
    <w:rsid w:val="00B902AB"/>
    <w:rsid w:val="00B90E19"/>
    <w:rsid w:val="00B90F08"/>
    <w:rsid w:val="00B91025"/>
    <w:rsid w:val="00B91390"/>
    <w:rsid w:val="00B9203A"/>
    <w:rsid w:val="00B9207A"/>
    <w:rsid w:val="00B920CA"/>
    <w:rsid w:val="00B92123"/>
    <w:rsid w:val="00B926AD"/>
    <w:rsid w:val="00B929EC"/>
    <w:rsid w:val="00B92C64"/>
    <w:rsid w:val="00B92DCB"/>
    <w:rsid w:val="00B939BA"/>
    <w:rsid w:val="00B93D00"/>
    <w:rsid w:val="00B93DA8"/>
    <w:rsid w:val="00B9405C"/>
    <w:rsid w:val="00B940DF"/>
    <w:rsid w:val="00B940E7"/>
    <w:rsid w:val="00B9429C"/>
    <w:rsid w:val="00B9454B"/>
    <w:rsid w:val="00B9523A"/>
    <w:rsid w:val="00B961BC"/>
    <w:rsid w:val="00B9633D"/>
    <w:rsid w:val="00B96353"/>
    <w:rsid w:val="00B96D48"/>
    <w:rsid w:val="00B96EAE"/>
    <w:rsid w:val="00B97465"/>
    <w:rsid w:val="00B9778B"/>
    <w:rsid w:val="00B9787D"/>
    <w:rsid w:val="00B97CD9"/>
    <w:rsid w:val="00BA004D"/>
    <w:rsid w:val="00BA058B"/>
    <w:rsid w:val="00BA0C4C"/>
    <w:rsid w:val="00BA0DA6"/>
    <w:rsid w:val="00BA1094"/>
    <w:rsid w:val="00BA1103"/>
    <w:rsid w:val="00BA12A5"/>
    <w:rsid w:val="00BA138D"/>
    <w:rsid w:val="00BA18B0"/>
    <w:rsid w:val="00BA1965"/>
    <w:rsid w:val="00BA1976"/>
    <w:rsid w:val="00BA1BDA"/>
    <w:rsid w:val="00BA1C9F"/>
    <w:rsid w:val="00BA1D94"/>
    <w:rsid w:val="00BA22CB"/>
    <w:rsid w:val="00BA24AC"/>
    <w:rsid w:val="00BA2532"/>
    <w:rsid w:val="00BA2932"/>
    <w:rsid w:val="00BA2D9D"/>
    <w:rsid w:val="00BA3404"/>
    <w:rsid w:val="00BA39F7"/>
    <w:rsid w:val="00BA4029"/>
    <w:rsid w:val="00BA43F7"/>
    <w:rsid w:val="00BA4420"/>
    <w:rsid w:val="00BA459C"/>
    <w:rsid w:val="00BA4809"/>
    <w:rsid w:val="00BA48D4"/>
    <w:rsid w:val="00BA4E72"/>
    <w:rsid w:val="00BA5629"/>
    <w:rsid w:val="00BA57B2"/>
    <w:rsid w:val="00BA57B7"/>
    <w:rsid w:val="00BA5862"/>
    <w:rsid w:val="00BA5A5C"/>
    <w:rsid w:val="00BA5D78"/>
    <w:rsid w:val="00BA6385"/>
    <w:rsid w:val="00BA67F1"/>
    <w:rsid w:val="00BA68E1"/>
    <w:rsid w:val="00BA6E60"/>
    <w:rsid w:val="00BA6FB5"/>
    <w:rsid w:val="00BA76DF"/>
    <w:rsid w:val="00BA7842"/>
    <w:rsid w:val="00BA7B60"/>
    <w:rsid w:val="00BA7CBF"/>
    <w:rsid w:val="00BA7F96"/>
    <w:rsid w:val="00BB01EB"/>
    <w:rsid w:val="00BB061C"/>
    <w:rsid w:val="00BB119E"/>
    <w:rsid w:val="00BB1900"/>
    <w:rsid w:val="00BB1A63"/>
    <w:rsid w:val="00BB1DB4"/>
    <w:rsid w:val="00BB1E50"/>
    <w:rsid w:val="00BB2087"/>
    <w:rsid w:val="00BB22F7"/>
    <w:rsid w:val="00BB2C25"/>
    <w:rsid w:val="00BB2CF5"/>
    <w:rsid w:val="00BB36D8"/>
    <w:rsid w:val="00BB37E6"/>
    <w:rsid w:val="00BB3AC4"/>
    <w:rsid w:val="00BB3D8E"/>
    <w:rsid w:val="00BB4A08"/>
    <w:rsid w:val="00BB51D4"/>
    <w:rsid w:val="00BB5C41"/>
    <w:rsid w:val="00BB61CE"/>
    <w:rsid w:val="00BB67D7"/>
    <w:rsid w:val="00BB6868"/>
    <w:rsid w:val="00BB6948"/>
    <w:rsid w:val="00BB69C2"/>
    <w:rsid w:val="00BB69EA"/>
    <w:rsid w:val="00BB6AE9"/>
    <w:rsid w:val="00BB6C8A"/>
    <w:rsid w:val="00BB7180"/>
    <w:rsid w:val="00BB71E5"/>
    <w:rsid w:val="00BB71FB"/>
    <w:rsid w:val="00BB7727"/>
    <w:rsid w:val="00BB7AEC"/>
    <w:rsid w:val="00BB7EF5"/>
    <w:rsid w:val="00BC03CF"/>
    <w:rsid w:val="00BC0438"/>
    <w:rsid w:val="00BC0463"/>
    <w:rsid w:val="00BC0703"/>
    <w:rsid w:val="00BC0AAF"/>
    <w:rsid w:val="00BC0FCA"/>
    <w:rsid w:val="00BC14BE"/>
    <w:rsid w:val="00BC17DF"/>
    <w:rsid w:val="00BC1B8F"/>
    <w:rsid w:val="00BC1DBF"/>
    <w:rsid w:val="00BC1EE9"/>
    <w:rsid w:val="00BC1FC8"/>
    <w:rsid w:val="00BC2283"/>
    <w:rsid w:val="00BC22F5"/>
    <w:rsid w:val="00BC2BAA"/>
    <w:rsid w:val="00BC2D2D"/>
    <w:rsid w:val="00BC2F1E"/>
    <w:rsid w:val="00BC322F"/>
    <w:rsid w:val="00BC35AC"/>
    <w:rsid w:val="00BC3791"/>
    <w:rsid w:val="00BC3BBE"/>
    <w:rsid w:val="00BC3DB8"/>
    <w:rsid w:val="00BC3F17"/>
    <w:rsid w:val="00BC3F78"/>
    <w:rsid w:val="00BC3FFD"/>
    <w:rsid w:val="00BC428D"/>
    <w:rsid w:val="00BC42D6"/>
    <w:rsid w:val="00BC489D"/>
    <w:rsid w:val="00BC48AB"/>
    <w:rsid w:val="00BC48C6"/>
    <w:rsid w:val="00BC4C26"/>
    <w:rsid w:val="00BC4DD4"/>
    <w:rsid w:val="00BC4E91"/>
    <w:rsid w:val="00BC4FCA"/>
    <w:rsid w:val="00BC51BC"/>
    <w:rsid w:val="00BC5219"/>
    <w:rsid w:val="00BC613A"/>
    <w:rsid w:val="00BC6184"/>
    <w:rsid w:val="00BC6378"/>
    <w:rsid w:val="00BC64BF"/>
    <w:rsid w:val="00BC6A08"/>
    <w:rsid w:val="00BC6AEB"/>
    <w:rsid w:val="00BC768B"/>
    <w:rsid w:val="00BC772A"/>
    <w:rsid w:val="00BC7829"/>
    <w:rsid w:val="00BC788D"/>
    <w:rsid w:val="00BC7BAB"/>
    <w:rsid w:val="00BC7C6D"/>
    <w:rsid w:val="00BD0042"/>
    <w:rsid w:val="00BD023F"/>
    <w:rsid w:val="00BD03BA"/>
    <w:rsid w:val="00BD0487"/>
    <w:rsid w:val="00BD0687"/>
    <w:rsid w:val="00BD072F"/>
    <w:rsid w:val="00BD088E"/>
    <w:rsid w:val="00BD08A8"/>
    <w:rsid w:val="00BD0B76"/>
    <w:rsid w:val="00BD0BBB"/>
    <w:rsid w:val="00BD0D2A"/>
    <w:rsid w:val="00BD0D94"/>
    <w:rsid w:val="00BD0FE9"/>
    <w:rsid w:val="00BD1019"/>
    <w:rsid w:val="00BD1301"/>
    <w:rsid w:val="00BD18A7"/>
    <w:rsid w:val="00BD1907"/>
    <w:rsid w:val="00BD1B0C"/>
    <w:rsid w:val="00BD1CC3"/>
    <w:rsid w:val="00BD209D"/>
    <w:rsid w:val="00BD2180"/>
    <w:rsid w:val="00BD2400"/>
    <w:rsid w:val="00BD2493"/>
    <w:rsid w:val="00BD2972"/>
    <w:rsid w:val="00BD2980"/>
    <w:rsid w:val="00BD2C18"/>
    <w:rsid w:val="00BD2E0F"/>
    <w:rsid w:val="00BD318F"/>
    <w:rsid w:val="00BD383D"/>
    <w:rsid w:val="00BD4556"/>
    <w:rsid w:val="00BD4710"/>
    <w:rsid w:val="00BD4844"/>
    <w:rsid w:val="00BD490C"/>
    <w:rsid w:val="00BD50C8"/>
    <w:rsid w:val="00BD5627"/>
    <w:rsid w:val="00BD5702"/>
    <w:rsid w:val="00BD579A"/>
    <w:rsid w:val="00BD5954"/>
    <w:rsid w:val="00BD5A9B"/>
    <w:rsid w:val="00BD5FF9"/>
    <w:rsid w:val="00BD6143"/>
    <w:rsid w:val="00BD61C4"/>
    <w:rsid w:val="00BD621B"/>
    <w:rsid w:val="00BD6517"/>
    <w:rsid w:val="00BD677D"/>
    <w:rsid w:val="00BD74D3"/>
    <w:rsid w:val="00BD7657"/>
    <w:rsid w:val="00BD766F"/>
    <w:rsid w:val="00BD7731"/>
    <w:rsid w:val="00BD7CA0"/>
    <w:rsid w:val="00BD7E9E"/>
    <w:rsid w:val="00BE0272"/>
    <w:rsid w:val="00BE0A0D"/>
    <w:rsid w:val="00BE0C8F"/>
    <w:rsid w:val="00BE0D14"/>
    <w:rsid w:val="00BE1215"/>
    <w:rsid w:val="00BE1487"/>
    <w:rsid w:val="00BE1855"/>
    <w:rsid w:val="00BE18AD"/>
    <w:rsid w:val="00BE18E0"/>
    <w:rsid w:val="00BE1AE5"/>
    <w:rsid w:val="00BE1DB3"/>
    <w:rsid w:val="00BE1EA8"/>
    <w:rsid w:val="00BE1EAE"/>
    <w:rsid w:val="00BE29EB"/>
    <w:rsid w:val="00BE31B4"/>
    <w:rsid w:val="00BE33BD"/>
    <w:rsid w:val="00BE3508"/>
    <w:rsid w:val="00BE35BD"/>
    <w:rsid w:val="00BE3677"/>
    <w:rsid w:val="00BE3EA4"/>
    <w:rsid w:val="00BE41BD"/>
    <w:rsid w:val="00BE46BD"/>
    <w:rsid w:val="00BE4A44"/>
    <w:rsid w:val="00BE4D42"/>
    <w:rsid w:val="00BE4E1D"/>
    <w:rsid w:val="00BE5542"/>
    <w:rsid w:val="00BE57CE"/>
    <w:rsid w:val="00BE5BB8"/>
    <w:rsid w:val="00BE5C3F"/>
    <w:rsid w:val="00BE5D61"/>
    <w:rsid w:val="00BE5FB1"/>
    <w:rsid w:val="00BE6206"/>
    <w:rsid w:val="00BE63A0"/>
    <w:rsid w:val="00BE6579"/>
    <w:rsid w:val="00BE6B7C"/>
    <w:rsid w:val="00BE6C2A"/>
    <w:rsid w:val="00BE6F7E"/>
    <w:rsid w:val="00BE7008"/>
    <w:rsid w:val="00BE7364"/>
    <w:rsid w:val="00BE7423"/>
    <w:rsid w:val="00BE7503"/>
    <w:rsid w:val="00BE7ED9"/>
    <w:rsid w:val="00BF0322"/>
    <w:rsid w:val="00BF08EE"/>
    <w:rsid w:val="00BF0BD8"/>
    <w:rsid w:val="00BF14CF"/>
    <w:rsid w:val="00BF158D"/>
    <w:rsid w:val="00BF1771"/>
    <w:rsid w:val="00BF1986"/>
    <w:rsid w:val="00BF1BBE"/>
    <w:rsid w:val="00BF1CB1"/>
    <w:rsid w:val="00BF1D2B"/>
    <w:rsid w:val="00BF1DE9"/>
    <w:rsid w:val="00BF2002"/>
    <w:rsid w:val="00BF2354"/>
    <w:rsid w:val="00BF2378"/>
    <w:rsid w:val="00BF2556"/>
    <w:rsid w:val="00BF2A78"/>
    <w:rsid w:val="00BF2C5B"/>
    <w:rsid w:val="00BF2F0E"/>
    <w:rsid w:val="00BF2F5F"/>
    <w:rsid w:val="00BF3E3B"/>
    <w:rsid w:val="00BF3F2E"/>
    <w:rsid w:val="00BF4078"/>
    <w:rsid w:val="00BF479A"/>
    <w:rsid w:val="00BF4CA2"/>
    <w:rsid w:val="00BF4DFB"/>
    <w:rsid w:val="00BF4F01"/>
    <w:rsid w:val="00BF4F81"/>
    <w:rsid w:val="00BF5066"/>
    <w:rsid w:val="00BF5170"/>
    <w:rsid w:val="00BF5368"/>
    <w:rsid w:val="00BF55FF"/>
    <w:rsid w:val="00BF56CC"/>
    <w:rsid w:val="00BF5739"/>
    <w:rsid w:val="00BF594E"/>
    <w:rsid w:val="00BF59CD"/>
    <w:rsid w:val="00BF62EB"/>
    <w:rsid w:val="00BF63DC"/>
    <w:rsid w:val="00BF6871"/>
    <w:rsid w:val="00BF68E0"/>
    <w:rsid w:val="00BF6BB4"/>
    <w:rsid w:val="00BF6E99"/>
    <w:rsid w:val="00BF701B"/>
    <w:rsid w:val="00BF7792"/>
    <w:rsid w:val="00BF7A9B"/>
    <w:rsid w:val="00BF7BDB"/>
    <w:rsid w:val="00BF7C13"/>
    <w:rsid w:val="00BF7EF9"/>
    <w:rsid w:val="00BF7F48"/>
    <w:rsid w:val="00BF7FF1"/>
    <w:rsid w:val="00C006C5"/>
    <w:rsid w:val="00C009AF"/>
    <w:rsid w:val="00C00A57"/>
    <w:rsid w:val="00C0144E"/>
    <w:rsid w:val="00C01F5F"/>
    <w:rsid w:val="00C02065"/>
    <w:rsid w:val="00C02416"/>
    <w:rsid w:val="00C02585"/>
    <w:rsid w:val="00C028A0"/>
    <w:rsid w:val="00C0317B"/>
    <w:rsid w:val="00C031D2"/>
    <w:rsid w:val="00C0320C"/>
    <w:rsid w:val="00C03372"/>
    <w:rsid w:val="00C034E3"/>
    <w:rsid w:val="00C03A1C"/>
    <w:rsid w:val="00C0472F"/>
    <w:rsid w:val="00C04B8A"/>
    <w:rsid w:val="00C04C64"/>
    <w:rsid w:val="00C04DAA"/>
    <w:rsid w:val="00C05430"/>
    <w:rsid w:val="00C05483"/>
    <w:rsid w:val="00C055E0"/>
    <w:rsid w:val="00C0563C"/>
    <w:rsid w:val="00C0581A"/>
    <w:rsid w:val="00C05CB0"/>
    <w:rsid w:val="00C05E4D"/>
    <w:rsid w:val="00C05FE2"/>
    <w:rsid w:val="00C06160"/>
    <w:rsid w:val="00C062D4"/>
    <w:rsid w:val="00C063EB"/>
    <w:rsid w:val="00C06425"/>
    <w:rsid w:val="00C0657B"/>
    <w:rsid w:val="00C066EF"/>
    <w:rsid w:val="00C068F8"/>
    <w:rsid w:val="00C06A42"/>
    <w:rsid w:val="00C06B56"/>
    <w:rsid w:val="00C06C17"/>
    <w:rsid w:val="00C06CA1"/>
    <w:rsid w:val="00C06CAB"/>
    <w:rsid w:val="00C06F54"/>
    <w:rsid w:val="00C0701B"/>
    <w:rsid w:val="00C073F4"/>
    <w:rsid w:val="00C078D5"/>
    <w:rsid w:val="00C07B22"/>
    <w:rsid w:val="00C07EF2"/>
    <w:rsid w:val="00C102A1"/>
    <w:rsid w:val="00C10516"/>
    <w:rsid w:val="00C10567"/>
    <w:rsid w:val="00C1076D"/>
    <w:rsid w:val="00C1079E"/>
    <w:rsid w:val="00C108C2"/>
    <w:rsid w:val="00C10C02"/>
    <w:rsid w:val="00C11084"/>
    <w:rsid w:val="00C11BC4"/>
    <w:rsid w:val="00C11C13"/>
    <w:rsid w:val="00C11D13"/>
    <w:rsid w:val="00C11DC3"/>
    <w:rsid w:val="00C11E93"/>
    <w:rsid w:val="00C11ECD"/>
    <w:rsid w:val="00C121ED"/>
    <w:rsid w:val="00C122F7"/>
    <w:rsid w:val="00C12357"/>
    <w:rsid w:val="00C12901"/>
    <w:rsid w:val="00C12AFA"/>
    <w:rsid w:val="00C12B69"/>
    <w:rsid w:val="00C12C26"/>
    <w:rsid w:val="00C1309A"/>
    <w:rsid w:val="00C133CF"/>
    <w:rsid w:val="00C13402"/>
    <w:rsid w:val="00C1344F"/>
    <w:rsid w:val="00C13563"/>
    <w:rsid w:val="00C1363A"/>
    <w:rsid w:val="00C13E94"/>
    <w:rsid w:val="00C14120"/>
    <w:rsid w:val="00C14306"/>
    <w:rsid w:val="00C14677"/>
    <w:rsid w:val="00C148E6"/>
    <w:rsid w:val="00C14917"/>
    <w:rsid w:val="00C14A6B"/>
    <w:rsid w:val="00C14B33"/>
    <w:rsid w:val="00C14DA6"/>
    <w:rsid w:val="00C1564D"/>
    <w:rsid w:val="00C15977"/>
    <w:rsid w:val="00C159E5"/>
    <w:rsid w:val="00C15BE5"/>
    <w:rsid w:val="00C15CF5"/>
    <w:rsid w:val="00C15FFB"/>
    <w:rsid w:val="00C162FF"/>
    <w:rsid w:val="00C16311"/>
    <w:rsid w:val="00C163CB"/>
    <w:rsid w:val="00C1644D"/>
    <w:rsid w:val="00C167AF"/>
    <w:rsid w:val="00C16CE6"/>
    <w:rsid w:val="00C16E9B"/>
    <w:rsid w:val="00C17131"/>
    <w:rsid w:val="00C17464"/>
    <w:rsid w:val="00C17DFF"/>
    <w:rsid w:val="00C17F53"/>
    <w:rsid w:val="00C20E78"/>
    <w:rsid w:val="00C20EDE"/>
    <w:rsid w:val="00C20F84"/>
    <w:rsid w:val="00C21274"/>
    <w:rsid w:val="00C213CC"/>
    <w:rsid w:val="00C214A0"/>
    <w:rsid w:val="00C21996"/>
    <w:rsid w:val="00C21DCE"/>
    <w:rsid w:val="00C21E26"/>
    <w:rsid w:val="00C21F99"/>
    <w:rsid w:val="00C2227E"/>
    <w:rsid w:val="00C22643"/>
    <w:rsid w:val="00C226FA"/>
    <w:rsid w:val="00C22817"/>
    <w:rsid w:val="00C22A24"/>
    <w:rsid w:val="00C22CF9"/>
    <w:rsid w:val="00C22DF9"/>
    <w:rsid w:val="00C2356E"/>
    <w:rsid w:val="00C237B9"/>
    <w:rsid w:val="00C23AB3"/>
    <w:rsid w:val="00C24338"/>
    <w:rsid w:val="00C24A59"/>
    <w:rsid w:val="00C2546A"/>
    <w:rsid w:val="00C25A29"/>
    <w:rsid w:val="00C263FD"/>
    <w:rsid w:val="00C26B8B"/>
    <w:rsid w:val="00C26CC1"/>
    <w:rsid w:val="00C26D1C"/>
    <w:rsid w:val="00C26F5E"/>
    <w:rsid w:val="00C2703C"/>
    <w:rsid w:val="00C27118"/>
    <w:rsid w:val="00C2713C"/>
    <w:rsid w:val="00C2735D"/>
    <w:rsid w:val="00C27460"/>
    <w:rsid w:val="00C27A9F"/>
    <w:rsid w:val="00C27B1D"/>
    <w:rsid w:val="00C27C99"/>
    <w:rsid w:val="00C27D3A"/>
    <w:rsid w:val="00C27D5B"/>
    <w:rsid w:val="00C27DF1"/>
    <w:rsid w:val="00C27E47"/>
    <w:rsid w:val="00C302D1"/>
    <w:rsid w:val="00C305BF"/>
    <w:rsid w:val="00C30BAB"/>
    <w:rsid w:val="00C30CFD"/>
    <w:rsid w:val="00C3106A"/>
    <w:rsid w:val="00C31077"/>
    <w:rsid w:val="00C311C6"/>
    <w:rsid w:val="00C31224"/>
    <w:rsid w:val="00C3165F"/>
    <w:rsid w:val="00C31947"/>
    <w:rsid w:val="00C31AED"/>
    <w:rsid w:val="00C31C37"/>
    <w:rsid w:val="00C31C40"/>
    <w:rsid w:val="00C31DE0"/>
    <w:rsid w:val="00C31F96"/>
    <w:rsid w:val="00C32332"/>
    <w:rsid w:val="00C327FB"/>
    <w:rsid w:val="00C32C69"/>
    <w:rsid w:val="00C32D48"/>
    <w:rsid w:val="00C32E74"/>
    <w:rsid w:val="00C33175"/>
    <w:rsid w:val="00C332D7"/>
    <w:rsid w:val="00C33405"/>
    <w:rsid w:val="00C33524"/>
    <w:rsid w:val="00C33557"/>
    <w:rsid w:val="00C336E1"/>
    <w:rsid w:val="00C337DF"/>
    <w:rsid w:val="00C3384D"/>
    <w:rsid w:val="00C33D23"/>
    <w:rsid w:val="00C3462B"/>
    <w:rsid w:val="00C3462F"/>
    <w:rsid w:val="00C34C86"/>
    <w:rsid w:val="00C34FBD"/>
    <w:rsid w:val="00C35309"/>
    <w:rsid w:val="00C35BC6"/>
    <w:rsid w:val="00C35D41"/>
    <w:rsid w:val="00C36121"/>
    <w:rsid w:val="00C36244"/>
    <w:rsid w:val="00C36471"/>
    <w:rsid w:val="00C36567"/>
    <w:rsid w:val="00C36C95"/>
    <w:rsid w:val="00C36FED"/>
    <w:rsid w:val="00C370BC"/>
    <w:rsid w:val="00C3739A"/>
    <w:rsid w:val="00C37806"/>
    <w:rsid w:val="00C37963"/>
    <w:rsid w:val="00C37AB4"/>
    <w:rsid w:val="00C4005E"/>
    <w:rsid w:val="00C40C47"/>
    <w:rsid w:val="00C40CF8"/>
    <w:rsid w:val="00C41204"/>
    <w:rsid w:val="00C41370"/>
    <w:rsid w:val="00C41693"/>
    <w:rsid w:val="00C419B0"/>
    <w:rsid w:val="00C41BDE"/>
    <w:rsid w:val="00C41E8C"/>
    <w:rsid w:val="00C41F5E"/>
    <w:rsid w:val="00C42002"/>
    <w:rsid w:val="00C42360"/>
    <w:rsid w:val="00C423C7"/>
    <w:rsid w:val="00C423DB"/>
    <w:rsid w:val="00C4279E"/>
    <w:rsid w:val="00C42A14"/>
    <w:rsid w:val="00C42A7B"/>
    <w:rsid w:val="00C42E37"/>
    <w:rsid w:val="00C42EEF"/>
    <w:rsid w:val="00C43422"/>
    <w:rsid w:val="00C435DF"/>
    <w:rsid w:val="00C436BB"/>
    <w:rsid w:val="00C4376C"/>
    <w:rsid w:val="00C43778"/>
    <w:rsid w:val="00C438A8"/>
    <w:rsid w:val="00C43F30"/>
    <w:rsid w:val="00C43F9B"/>
    <w:rsid w:val="00C43FE6"/>
    <w:rsid w:val="00C440C3"/>
    <w:rsid w:val="00C44247"/>
    <w:rsid w:val="00C44555"/>
    <w:rsid w:val="00C446DF"/>
    <w:rsid w:val="00C451C8"/>
    <w:rsid w:val="00C45237"/>
    <w:rsid w:val="00C45312"/>
    <w:rsid w:val="00C453DB"/>
    <w:rsid w:val="00C45964"/>
    <w:rsid w:val="00C45C2E"/>
    <w:rsid w:val="00C45DF5"/>
    <w:rsid w:val="00C46139"/>
    <w:rsid w:val="00C46558"/>
    <w:rsid w:val="00C46C46"/>
    <w:rsid w:val="00C46F21"/>
    <w:rsid w:val="00C47040"/>
    <w:rsid w:val="00C473F0"/>
    <w:rsid w:val="00C47413"/>
    <w:rsid w:val="00C474DC"/>
    <w:rsid w:val="00C4755F"/>
    <w:rsid w:val="00C47672"/>
    <w:rsid w:val="00C47A91"/>
    <w:rsid w:val="00C47DA2"/>
    <w:rsid w:val="00C50366"/>
    <w:rsid w:val="00C50621"/>
    <w:rsid w:val="00C5096E"/>
    <w:rsid w:val="00C50C2A"/>
    <w:rsid w:val="00C50D17"/>
    <w:rsid w:val="00C50D22"/>
    <w:rsid w:val="00C50D63"/>
    <w:rsid w:val="00C51262"/>
    <w:rsid w:val="00C51951"/>
    <w:rsid w:val="00C51D67"/>
    <w:rsid w:val="00C52019"/>
    <w:rsid w:val="00C5205D"/>
    <w:rsid w:val="00C52486"/>
    <w:rsid w:val="00C52725"/>
    <w:rsid w:val="00C52950"/>
    <w:rsid w:val="00C52EC1"/>
    <w:rsid w:val="00C537E2"/>
    <w:rsid w:val="00C542ED"/>
    <w:rsid w:val="00C5438E"/>
    <w:rsid w:val="00C54563"/>
    <w:rsid w:val="00C545FF"/>
    <w:rsid w:val="00C54CAB"/>
    <w:rsid w:val="00C550D6"/>
    <w:rsid w:val="00C5516C"/>
    <w:rsid w:val="00C55368"/>
    <w:rsid w:val="00C556AA"/>
    <w:rsid w:val="00C55998"/>
    <w:rsid w:val="00C55B4B"/>
    <w:rsid w:val="00C55FAD"/>
    <w:rsid w:val="00C560D6"/>
    <w:rsid w:val="00C563AA"/>
    <w:rsid w:val="00C565E6"/>
    <w:rsid w:val="00C567A2"/>
    <w:rsid w:val="00C567B7"/>
    <w:rsid w:val="00C56873"/>
    <w:rsid w:val="00C5690E"/>
    <w:rsid w:val="00C56B58"/>
    <w:rsid w:val="00C56C71"/>
    <w:rsid w:val="00C56CCE"/>
    <w:rsid w:val="00C56F38"/>
    <w:rsid w:val="00C56F42"/>
    <w:rsid w:val="00C57340"/>
    <w:rsid w:val="00C57524"/>
    <w:rsid w:val="00C576DA"/>
    <w:rsid w:val="00C5786F"/>
    <w:rsid w:val="00C57A96"/>
    <w:rsid w:val="00C57D0B"/>
    <w:rsid w:val="00C57F91"/>
    <w:rsid w:val="00C6043A"/>
    <w:rsid w:val="00C60446"/>
    <w:rsid w:val="00C60509"/>
    <w:rsid w:val="00C60563"/>
    <w:rsid w:val="00C60596"/>
    <w:rsid w:val="00C60A0B"/>
    <w:rsid w:val="00C60E00"/>
    <w:rsid w:val="00C617BE"/>
    <w:rsid w:val="00C618E6"/>
    <w:rsid w:val="00C61DCB"/>
    <w:rsid w:val="00C62BC6"/>
    <w:rsid w:val="00C62F59"/>
    <w:rsid w:val="00C63367"/>
    <w:rsid w:val="00C6345F"/>
    <w:rsid w:val="00C63489"/>
    <w:rsid w:val="00C63B43"/>
    <w:rsid w:val="00C644F1"/>
    <w:rsid w:val="00C648BC"/>
    <w:rsid w:val="00C652EE"/>
    <w:rsid w:val="00C65466"/>
    <w:rsid w:val="00C65A3A"/>
    <w:rsid w:val="00C65CF2"/>
    <w:rsid w:val="00C65D62"/>
    <w:rsid w:val="00C65ED9"/>
    <w:rsid w:val="00C6607D"/>
    <w:rsid w:val="00C6619F"/>
    <w:rsid w:val="00C66474"/>
    <w:rsid w:val="00C664E7"/>
    <w:rsid w:val="00C665DB"/>
    <w:rsid w:val="00C667E2"/>
    <w:rsid w:val="00C668BD"/>
    <w:rsid w:val="00C668D5"/>
    <w:rsid w:val="00C66B33"/>
    <w:rsid w:val="00C66BA4"/>
    <w:rsid w:val="00C67260"/>
    <w:rsid w:val="00C6774D"/>
    <w:rsid w:val="00C67CCA"/>
    <w:rsid w:val="00C70004"/>
    <w:rsid w:val="00C7029E"/>
    <w:rsid w:val="00C70BCF"/>
    <w:rsid w:val="00C70DEA"/>
    <w:rsid w:val="00C711FC"/>
    <w:rsid w:val="00C71912"/>
    <w:rsid w:val="00C71C7C"/>
    <w:rsid w:val="00C71D36"/>
    <w:rsid w:val="00C72020"/>
    <w:rsid w:val="00C72062"/>
    <w:rsid w:val="00C72166"/>
    <w:rsid w:val="00C723F1"/>
    <w:rsid w:val="00C7241D"/>
    <w:rsid w:val="00C726B6"/>
    <w:rsid w:val="00C72820"/>
    <w:rsid w:val="00C72CA8"/>
    <w:rsid w:val="00C7326D"/>
    <w:rsid w:val="00C73788"/>
    <w:rsid w:val="00C73D1F"/>
    <w:rsid w:val="00C743F8"/>
    <w:rsid w:val="00C749B3"/>
    <w:rsid w:val="00C74A4A"/>
    <w:rsid w:val="00C75253"/>
    <w:rsid w:val="00C75E03"/>
    <w:rsid w:val="00C75EDF"/>
    <w:rsid w:val="00C76004"/>
    <w:rsid w:val="00C76356"/>
    <w:rsid w:val="00C7637A"/>
    <w:rsid w:val="00C76734"/>
    <w:rsid w:val="00C769E2"/>
    <w:rsid w:val="00C76BC0"/>
    <w:rsid w:val="00C77036"/>
    <w:rsid w:val="00C77503"/>
    <w:rsid w:val="00C7790A"/>
    <w:rsid w:val="00C77BA6"/>
    <w:rsid w:val="00C77BE5"/>
    <w:rsid w:val="00C77E4C"/>
    <w:rsid w:val="00C80072"/>
    <w:rsid w:val="00C801C3"/>
    <w:rsid w:val="00C802B3"/>
    <w:rsid w:val="00C80E20"/>
    <w:rsid w:val="00C80FB4"/>
    <w:rsid w:val="00C81106"/>
    <w:rsid w:val="00C81180"/>
    <w:rsid w:val="00C816F1"/>
    <w:rsid w:val="00C81AC1"/>
    <w:rsid w:val="00C826EE"/>
    <w:rsid w:val="00C82AB5"/>
    <w:rsid w:val="00C82DCA"/>
    <w:rsid w:val="00C82E03"/>
    <w:rsid w:val="00C82F60"/>
    <w:rsid w:val="00C831DF"/>
    <w:rsid w:val="00C83603"/>
    <w:rsid w:val="00C83861"/>
    <w:rsid w:val="00C838BD"/>
    <w:rsid w:val="00C83A0F"/>
    <w:rsid w:val="00C83D3B"/>
    <w:rsid w:val="00C8411E"/>
    <w:rsid w:val="00C8423D"/>
    <w:rsid w:val="00C8447F"/>
    <w:rsid w:val="00C8496E"/>
    <w:rsid w:val="00C84AC5"/>
    <w:rsid w:val="00C8504B"/>
    <w:rsid w:val="00C85490"/>
    <w:rsid w:val="00C858C8"/>
    <w:rsid w:val="00C859BA"/>
    <w:rsid w:val="00C85C22"/>
    <w:rsid w:val="00C85C69"/>
    <w:rsid w:val="00C86003"/>
    <w:rsid w:val="00C860FF"/>
    <w:rsid w:val="00C86678"/>
    <w:rsid w:val="00C86BC2"/>
    <w:rsid w:val="00C86BE3"/>
    <w:rsid w:val="00C86ED7"/>
    <w:rsid w:val="00C87256"/>
    <w:rsid w:val="00C8747B"/>
    <w:rsid w:val="00C90103"/>
    <w:rsid w:val="00C9022C"/>
    <w:rsid w:val="00C90322"/>
    <w:rsid w:val="00C90B59"/>
    <w:rsid w:val="00C90BE1"/>
    <w:rsid w:val="00C90E80"/>
    <w:rsid w:val="00C91552"/>
    <w:rsid w:val="00C91D01"/>
    <w:rsid w:val="00C9235E"/>
    <w:rsid w:val="00C923B8"/>
    <w:rsid w:val="00C92481"/>
    <w:rsid w:val="00C92578"/>
    <w:rsid w:val="00C92CC6"/>
    <w:rsid w:val="00C92D75"/>
    <w:rsid w:val="00C932FA"/>
    <w:rsid w:val="00C9389F"/>
    <w:rsid w:val="00C94152"/>
    <w:rsid w:val="00C9451D"/>
    <w:rsid w:val="00C948D6"/>
    <w:rsid w:val="00C949D7"/>
    <w:rsid w:val="00C94BFF"/>
    <w:rsid w:val="00C94DB0"/>
    <w:rsid w:val="00C94EFE"/>
    <w:rsid w:val="00C94F1A"/>
    <w:rsid w:val="00C9568B"/>
    <w:rsid w:val="00C95CC2"/>
    <w:rsid w:val="00C95E0F"/>
    <w:rsid w:val="00C96343"/>
    <w:rsid w:val="00C9638C"/>
    <w:rsid w:val="00C969C6"/>
    <w:rsid w:val="00C96A28"/>
    <w:rsid w:val="00C96C40"/>
    <w:rsid w:val="00C96D03"/>
    <w:rsid w:val="00C96DB7"/>
    <w:rsid w:val="00C97C4B"/>
    <w:rsid w:val="00C97DB0"/>
    <w:rsid w:val="00C97E49"/>
    <w:rsid w:val="00C97F38"/>
    <w:rsid w:val="00C97FB7"/>
    <w:rsid w:val="00CA0538"/>
    <w:rsid w:val="00CA096B"/>
    <w:rsid w:val="00CA0B1B"/>
    <w:rsid w:val="00CA0BF4"/>
    <w:rsid w:val="00CA14D6"/>
    <w:rsid w:val="00CA1858"/>
    <w:rsid w:val="00CA18A1"/>
    <w:rsid w:val="00CA1C43"/>
    <w:rsid w:val="00CA211D"/>
    <w:rsid w:val="00CA22DE"/>
    <w:rsid w:val="00CA240C"/>
    <w:rsid w:val="00CA259B"/>
    <w:rsid w:val="00CA26DE"/>
    <w:rsid w:val="00CA32D8"/>
    <w:rsid w:val="00CA332E"/>
    <w:rsid w:val="00CA33C6"/>
    <w:rsid w:val="00CA345A"/>
    <w:rsid w:val="00CA390A"/>
    <w:rsid w:val="00CA390C"/>
    <w:rsid w:val="00CA393D"/>
    <w:rsid w:val="00CA3D16"/>
    <w:rsid w:val="00CA3F6B"/>
    <w:rsid w:val="00CA47D3"/>
    <w:rsid w:val="00CA4E24"/>
    <w:rsid w:val="00CA50C9"/>
    <w:rsid w:val="00CA54F2"/>
    <w:rsid w:val="00CA56C1"/>
    <w:rsid w:val="00CA599A"/>
    <w:rsid w:val="00CA5B03"/>
    <w:rsid w:val="00CA5D56"/>
    <w:rsid w:val="00CA60EC"/>
    <w:rsid w:val="00CA64D4"/>
    <w:rsid w:val="00CA66DB"/>
    <w:rsid w:val="00CA6A23"/>
    <w:rsid w:val="00CA6F13"/>
    <w:rsid w:val="00CA7608"/>
    <w:rsid w:val="00CA7B79"/>
    <w:rsid w:val="00CA7CB5"/>
    <w:rsid w:val="00CB0363"/>
    <w:rsid w:val="00CB0665"/>
    <w:rsid w:val="00CB06CB"/>
    <w:rsid w:val="00CB0759"/>
    <w:rsid w:val="00CB08B0"/>
    <w:rsid w:val="00CB0CAD"/>
    <w:rsid w:val="00CB0E0F"/>
    <w:rsid w:val="00CB0E70"/>
    <w:rsid w:val="00CB0EF1"/>
    <w:rsid w:val="00CB1025"/>
    <w:rsid w:val="00CB105F"/>
    <w:rsid w:val="00CB13D7"/>
    <w:rsid w:val="00CB1F62"/>
    <w:rsid w:val="00CB23E4"/>
    <w:rsid w:val="00CB2964"/>
    <w:rsid w:val="00CB2A31"/>
    <w:rsid w:val="00CB2BAB"/>
    <w:rsid w:val="00CB2FC2"/>
    <w:rsid w:val="00CB325B"/>
    <w:rsid w:val="00CB3286"/>
    <w:rsid w:val="00CB3359"/>
    <w:rsid w:val="00CB33BF"/>
    <w:rsid w:val="00CB3676"/>
    <w:rsid w:val="00CB3996"/>
    <w:rsid w:val="00CB3D51"/>
    <w:rsid w:val="00CB3DC2"/>
    <w:rsid w:val="00CB3F2E"/>
    <w:rsid w:val="00CB4468"/>
    <w:rsid w:val="00CB46A9"/>
    <w:rsid w:val="00CB4E07"/>
    <w:rsid w:val="00CB4F35"/>
    <w:rsid w:val="00CB53AF"/>
    <w:rsid w:val="00CB53E6"/>
    <w:rsid w:val="00CB55C4"/>
    <w:rsid w:val="00CB572D"/>
    <w:rsid w:val="00CB5731"/>
    <w:rsid w:val="00CB5803"/>
    <w:rsid w:val="00CB5C5E"/>
    <w:rsid w:val="00CB63DB"/>
    <w:rsid w:val="00CB667E"/>
    <w:rsid w:val="00CB68B3"/>
    <w:rsid w:val="00CB6AE7"/>
    <w:rsid w:val="00CB71DF"/>
    <w:rsid w:val="00CB78CD"/>
    <w:rsid w:val="00CC00BB"/>
    <w:rsid w:val="00CC0473"/>
    <w:rsid w:val="00CC0849"/>
    <w:rsid w:val="00CC0BEA"/>
    <w:rsid w:val="00CC0C43"/>
    <w:rsid w:val="00CC0EF3"/>
    <w:rsid w:val="00CC128F"/>
    <w:rsid w:val="00CC148B"/>
    <w:rsid w:val="00CC14A5"/>
    <w:rsid w:val="00CC1642"/>
    <w:rsid w:val="00CC18DC"/>
    <w:rsid w:val="00CC1991"/>
    <w:rsid w:val="00CC1BC5"/>
    <w:rsid w:val="00CC1C4D"/>
    <w:rsid w:val="00CC1C94"/>
    <w:rsid w:val="00CC1D5D"/>
    <w:rsid w:val="00CC1FB5"/>
    <w:rsid w:val="00CC2304"/>
    <w:rsid w:val="00CC2576"/>
    <w:rsid w:val="00CC2800"/>
    <w:rsid w:val="00CC2838"/>
    <w:rsid w:val="00CC2A96"/>
    <w:rsid w:val="00CC33DC"/>
    <w:rsid w:val="00CC3A23"/>
    <w:rsid w:val="00CC3AF9"/>
    <w:rsid w:val="00CC3B76"/>
    <w:rsid w:val="00CC4222"/>
    <w:rsid w:val="00CC48BD"/>
    <w:rsid w:val="00CC48FC"/>
    <w:rsid w:val="00CC4F94"/>
    <w:rsid w:val="00CC540A"/>
    <w:rsid w:val="00CC565C"/>
    <w:rsid w:val="00CC5E07"/>
    <w:rsid w:val="00CC609D"/>
    <w:rsid w:val="00CC60B2"/>
    <w:rsid w:val="00CC61D8"/>
    <w:rsid w:val="00CC62EB"/>
    <w:rsid w:val="00CC6995"/>
    <w:rsid w:val="00CC72E5"/>
    <w:rsid w:val="00CC7559"/>
    <w:rsid w:val="00CC78DB"/>
    <w:rsid w:val="00CC79D0"/>
    <w:rsid w:val="00CC7BC0"/>
    <w:rsid w:val="00CC7F48"/>
    <w:rsid w:val="00CD0238"/>
    <w:rsid w:val="00CD0432"/>
    <w:rsid w:val="00CD0866"/>
    <w:rsid w:val="00CD0A2E"/>
    <w:rsid w:val="00CD0D19"/>
    <w:rsid w:val="00CD1128"/>
    <w:rsid w:val="00CD1408"/>
    <w:rsid w:val="00CD15E0"/>
    <w:rsid w:val="00CD169F"/>
    <w:rsid w:val="00CD177C"/>
    <w:rsid w:val="00CD17F5"/>
    <w:rsid w:val="00CD1879"/>
    <w:rsid w:val="00CD18CC"/>
    <w:rsid w:val="00CD1E15"/>
    <w:rsid w:val="00CD1E2F"/>
    <w:rsid w:val="00CD202B"/>
    <w:rsid w:val="00CD246B"/>
    <w:rsid w:val="00CD281C"/>
    <w:rsid w:val="00CD2A44"/>
    <w:rsid w:val="00CD2C52"/>
    <w:rsid w:val="00CD2C81"/>
    <w:rsid w:val="00CD3389"/>
    <w:rsid w:val="00CD3BFE"/>
    <w:rsid w:val="00CD3D74"/>
    <w:rsid w:val="00CD3DBF"/>
    <w:rsid w:val="00CD3E93"/>
    <w:rsid w:val="00CD44A5"/>
    <w:rsid w:val="00CD4C92"/>
    <w:rsid w:val="00CD4CCD"/>
    <w:rsid w:val="00CD5365"/>
    <w:rsid w:val="00CD5570"/>
    <w:rsid w:val="00CD5853"/>
    <w:rsid w:val="00CD5998"/>
    <w:rsid w:val="00CD5DAD"/>
    <w:rsid w:val="00CD6233"/>
    <w:rsid w:val="00CD6427"/>
    <w:rsid w:val="00CD648F"/>
    <w:rsid w:val="00CD6BBC"/>
    <w:rsid w:val="00CD6D15"/>
    <w:rsid w:val="00CD6E28"/>
    <w:rsid w:val="00CD6FD8"/>
    <w:rsid w:val="00CD736B"/>
    <w:rsid w:val="00CD797E"/>
    <w:rsid w:val="00CD7D27"/>
    <w:rsid w:val="00CE02C8"/>
    <w:rsid w:val="00CE0404"/>
    <w:rsid w:val="00CE0608"/>
    <w:rsid w:val="00CE09D1"/>
    <w:rsid w:val="00CE0AAB"/>
    <w:rsid w:val="00CE0C04"/>
    <w:rsid w:val="00CE0E5C"/>
    <w:rsid w:val="00CE100F"/>
    <w:rsid w:val="00CE1374"/>
    <w:rsid w:val="00CE1966"/>
    <w:rsid w:val="00CE19D4"/>
    <w:rsid w:val="00CE2117"/>
    <w:rsid w:val="00CE2278"/>
    <w:rsid w:val="00CE2502"/>
    <w:rsid w:val="00CE25A4"/>
    <w:rsid w:val="00CE3250"/>
    <w:rsid w:val="00CE37C4"/>
    <w:rsid w:val="00CE3867"/>
    <w:rsid w:val="00CE3F54"/>
    <w:rsid w:val="00CE4786"/>
    <w:rsid w:val="00CE4DD8"/>
    <w:rsid w:val="00CE52B9"/>
    <w:rsid w:val="00CE5401"/>
    <w:rsid w:val="00CE56D4"/>
    <w:rsid w:val="00CE573A"/>
    <w:rsid w:val="00CE57BC"/>
    <w:rsid w:val="00CE5929"/>
    <w:rsid w:val="00CE5C37"/>
    <w:rsid w:val="00CE5D8B"/>
    <w:rsid w:val="00CE5DAE"/>
    <w:rsid w:val="00CE6457"/>
    <w:rsid w:val="00CE6496"/>
    <w:rsid w:val="00CE64E4"/>
    <w:rsid w:val="00CE652E"/>
    <w:rsid w:val="00CE66CF"/>
    <w:rsid w:val="00CE67D6"/>
    <w:rsid w:val="00CE6E1B"/>
    <w:rsid w:val="00CE7092"/>
    <w:rsid w:val="00CE73C2"/>
    <w:rsid w:val="00CE744F"/>
    <w:rsid w:val="00CE74DB"/>
    <w:rsid w:val="00CE752D"/>
    <w:rsid w:val="00CE7807"/>
    <w:rsid w:val="00CE78CA"/>
    <w:rsid w:val="00CE7B50"/>
    <w:rsid w:val="00CF03DC"/>
    <w:rsid w:val="00CF06BA"/>
    <w:rsid w:val="00CF0807"/>
    <w:rsid w:val="00CF0943"/>
    <w:rsid w:val="00CF0E53"/>
    <w:rsid w:val="00CF103C"/>
    <w:rsid w:val="00CF111E"/>
    <w:rsid w:val="00CF1251"/>
    <w:rsid w:val="00CF14DF"/>
    <w:rsid w:val="00CF16EF"/>
    <w:rsid w:val="00CF1F3E"/>
    <w:rsid w:val="00CF1F6B"/>
    <w:rsid w:val="00CF2247"/>
    <w:rsid w:val="00CF2A64"/>
    <w:rsid w:val="00CF2AC7"/>
    <w:rsid w:val="00CF2D79"/>
    <w:rsid w:val="00CF2DC1"/>
    <w:rsid w:val="00CF31C1"/>
    <w:rsid w:val="00CF32DC"/>
    <w:rsid w:val="00CF335C"/>
    <w:rsid w:val="00CF346E"/>
    <w:rsid w:val="00CF38F9"/>
    <w:rsid w:val="00CF3C1A"/>
    <w:rsid w:val="00CF3F06"/>
    <w:rsid w:val="00CF3F36"/>
    <w:rsid w:val="00CF42B8"/>
    <w:rsid w:val="00CF42C3"/>
    <w:rsid w:val="00CF4729"/>
    <w:rsid w:val="00CF4B04"/>
    <w:rsid w:val="00CF4B56"/>
    <w:rsid w:val="00CF4DFD"/>
    <w:rsid w:val="00CF508A"/>
    <w:rsid w:val="00CF52C7"/>
    <w:rsid w:val="00CF57AA"/>
    <w:rsid w:val="00CF5932"/>
    <w:rsid w:val="00CF5CFD"/>
    <w:rsid w:val="00CF62D9"/>
    <w:rsid w:val="00CF6371"/>
    <w:rsid w:val="00CF6756"/>
    <w:rsid w:val="00CF680C"/>
    <w:rsid w:val="00CF6BC3"/>
    <w:rsid w:val="00CF6E2E"/>
    <w:rsid w:val="00CF71C2"/>
    <w:rsid w:val="00CF744F"/>
    <w:rsid w:val="00CF7655"/>
    <w:rsid w:val="00D002A3"/>
    <w:rsid w:val="00D00D86"/>
    <w:rsid w:val="00D01C1B"/>
    <w:rsid w:val="00D01D45"/>
    <w:rsid w:val="00D01E56"/>
    <w:rsid w:val="00D02840"/>
    <w:rsid w:val="00D02C7F"/>
    <w:rsid w:val="00D02DCC"/>
    <w:rsid w:val="00D02F55"/>
    <w:rsid w:val="00D048C7"/>
    <w:rsid w:val="00D04D5E"/>
    <w:rsid w:val="00D04E20"/>
    <w:rsid w:val="00D04E53"/>
    <w:rsid w:val="00D04E71"/>
    <w:rsid w:val="00D05AAE"/>
    <w:rsid w:val="00D05F07"/>
    <w:rsid w:val="00D06460"/>
    <w:rsid w:val="00D069C9"/>
    <w:rsid w:val="00D06A4C"/>
    <w:rsid w:val="00D06C78"/>
    <w:rsid w:val="00D06F47"/>
    <w:rsid w:val="00D07440"/>
    <w:rsid w:val="00D078CE"/>
    <w:rsid w:val="00D07A72"/>
    <w:rsid w:val="00D07D71"/>
    <w:rsid w:val="00D1043D"/>
    <w:rsid w:val="00D10C26"/>
    <w:rsid w:val="00D10DF7"/>
    <w:rsid w:val="00D112F4"/>
    <w:rsid w:val="00D1155C"/>
    <w:rsid w:val="00D11586"/>
    <w:rsid w:val="00D11594"/>
    <w:rsid w:val="00D11983"/>
    <w:rsid w:val="00D11AFB"/>
    <w:rsid w:val="00D1217E"/>
    <w:rsid w:val="00D12A33"/>
    <w:rsid w:val="00D12F3D"/>
    <w:rsid w:val="00D13044"/>
    <w:rsid w:val="00D13169"/>
    <w:rsid w:val="00D131D2"/>
    <w:rsid w:val="00D132DF"/>
    <w:rsid w:val="00D13842"/>
    <w:rsid w:val="00D13C6E"/>
    <w:rsid w:val="00D13DF4"/>
    <w:rsid w:val="00D140C6"/>
    <w:rsid w:val="00D141BC"/>
    <w:rsid w:val="00D14511"/>
    <w:rsid w:val="00D14538"/>
    <w:rsid w:val="00D14D42"/>
    <w:rsid w:val="00D14D8C"/>
    <w:rsid w:val="00D14DA5"/>
    <w:rsid w:val="00D150B1"/>
    <w:rsid w:val="00D158D5"/>
    <w:rsid w:val="00D1595F"/>
    <w:rsid w:val="00D15BCB"/>
    <w:rsid w:val="00D162D7"/>
    <w:rsid w:val="00D169A5"/>
    <w:rsid w:val="00D1705F"/>
    <w:rsid w:val="00D17742"/>
    <w:rsid w:val="00D17808"/>
    <w:rsid w:val="00D178B7"/>
    <w:rsid w:val="00D17F4E"/>
    <w:rsid w:val="00D208D4"/>
    <w:rsid w:val="00D209F3"/>
    <w:rsid w:val="00D20B8E"/>
    <w:rsid w:val="00D20C73"/>
    <w:rsid w:val="00D20E16"/>
    <w:rsid w:val="00D21D6E"/>
    <w:rsid w:val="00D228EE"/>
    <w:rsid w:val="00D2303E"/>
    <w:rsid w:val="00D2316F"/>
    <w:rsid w:val="00D234E4"/>
    <w:rsid w:val="00D238C0"/>
    <w:rsid w:val="00D23EA1"/>
    <w:rsid w:val="00D24118"/>
    <w:rsid w:val="00D2413E"/>
    <w:rsid w:val="00D24568"/>
    <w:rsid w:val="00D247DF"/>
    <w:rsid w:val="00D248A2"/>
    <w:rsid w:val="00D24B71"/>
    <w:rsid w:val="00D24F67"/>
    <w:rsid w:val="00D25BC6"/>
    <w:rsid w:val="00D26A13"/>
    <w:rsid w:val="00D26C91"/>
    <w:rsid w:val="00D26E66"/>
    <w:rsid w:val="00D27218"/>
    <w:rsid w:val="00D275E5"/>
    <w:rsid w:val="00D275EF"/>
    <w:rsid w:val="00D27755"/>
    <w:rsid w:val="00D27888"/>
    <w:rsid w:val="00D27A7F"/>
    <w:rsid w:val="00D27FA9"/>
    <w:rsid w:val="00D305BC"/>
    <w:rsid w:val="00D3083E"/>
    <w:rsid w:val="00D30AF0"/>
    <w:rsid w:val="00D30CAC"/>
    <w:rsid w:val="00D30ED3"/>
    <w:rsid w:val="00D310E0"/>
    <w:rsid w:val="00D31684"/>
    <w:rsid w:val="00D31CA7"/>
    <w:rsid w:val="00D3205A"/>
    <w:rsid w:val="00D322C8"/>
    <w:rsid w:val="00D32585"/>
    <w:rsid w:val="00D3284F"/>
    <w:rsid w:val="00D328C5"/>
    <w:rsid w:val="00D3293D"/>
    <w:rsid w:val="00D32AD1"/>
    <w:rsid w:val="00D32D9A"/>
    <w:rsid w:val="00D32E91"/>
    <w:rsid w:val="00D33422"/>
    <w:rsid w:val="00D337E3"/>
    <w:rsid w:val="00D33BBE"/>
    <w:rsid w:val="00D33ED1"/>
    <w:rsid w:val="00D342A2"/>
    <w:rsid w:val="00D343F1"/>
    <w:rsid w:val="00D34506"/>
    <w:rsid w:val="00D346A5"/>
    <w:rsid w:val="00D34A46"/>
    <w:rsid w:val="00D34B50"/>
    <w:rsid w:val="00D34CCB"/>
    <w:rsid w:val="00D35326"/>
    <w:rsid w:val="00D3558A"/>
    <w:rsid w:val="00D3576B"/>
    <w:rsid w:val="00D35B63"/>
    <w:rsid w:val="00D35DFF"/>
    <w:rsid w:val="00D35EAA"/>
    <w:rsid w:val="00D35EC4"/>
    <w:rsid w:val="00D36373"/>
    <w:rsid w:val="00D36423"/>
    <w:rsid w:val="00D36699"/>
    <w:rsid w:val="00D36A50"/>
    <w:rsid w:val="00D371B2"/>
    <w:rsid w:val="00D37258"/>
    <w:rsid w:val="00D374E9"/>
    <w:rsid w:val="00D37C80"/>
    <w:rsid w:val="00D400CA"/>
    <w:rsid w:val="00D4028C"/>
    <w:rsid w:val="00D40383"/>
    <w:rsid w:val="00D40789"/>
    <w:rsid w:val="00D40B90"/>
    <w:rsid w:val="00D40BA9"/>
    <w:rsid w:val="00D40CC0"/>
    <w:rsid w:val="00D4121D"/>
    <w:rsid w:val="00D4124A"/>
    <w:rsid w:val="00D41526"/>
    <w:rsid w:val="00D416AB"/>
    <w:rsid w:val="00D41A3B"/>
    <w:rsid w:val="00D41BAE"/>
    <w:rsid w:val="00D41BF8"/>
    <w:rsid w:val="00D41CDF"/>
    <w:rsid w:val="00D42381"/>
    <w:rsid w:val="00D42595"/>
    <w:rsid w:val="00D426BF"/>
    <w:rsid w:val="00D42B7B"/>
    <w:rsid w:val="00D42FCF"/>
    <w:rsid w:val="00D43081"/>
    <w:rsid w:val="00D43132"/>
    <w:rsid w:val="00D4313B"/>
    <w:rsid w:val="00D4345D"/>
    <w:rsid w:val="00D435C2"/>
    <w:rsid w:val="00D435EC"/>
    <w:rsid w:val="00D43BF2"/>
    <w:rsid w:val="00D43DA9"/>
    <w:rsid w:val="00D43EEA"/>
    <w:rsid w:val="00D4426B"/>
    <w:rsid w:val="00D448EC"/>
    <w:rsid w:val="00D44B4E"/>
    <w:rsid w:val="00D44FCC"/>
    <w:rsid w:val="00D453D8"/>
    <w:rsid w:val="00D456A7"/>
    <w:rsid w:val="00D4576A"/>
    <w:rsid w:val="00D45778"/>
    <w:rsid w:val="00D45B67"/>
    <w:rsid w:val="00D45FF8"/>
    <w:rsid w:val="00D46348"/>
    <w:rsid w:val="00D4660B"/>
    <w:rsid w:val="00D472CC"/>
    <w:rsid w:val="00D47820"/>
    <w:rsid w:val="00D47998"/>
    <w:rsid w:val="00D47D34"/>
    <w:rsid w:val="00D502CD"/>
    <w:rsid w:val="00D50458"/>
    <w:rsid w:val="00D50615"/>
    <w:rsid w:val="00D508EC"/>
    <w:rsid w:val="00D50C09"/>
    <w:rsid w:val="00D5103F"/>
    <w:rsid w:val="00D5104B"/>
    <w:rsid w:val="00D511B8"/>
    <w:rsid w:val="00D51551"/>
    <w:rsid w:val="00D515DF"/>
    <w:rsid w:val="00D516DB"/>
    <w:rsid w:val="00D517E5"/>
    <w:rsid w:val="00D51998"/>
    <w:rsid w:val="00D51B85"/>
    <w:rsid w:val="00D51E1A"/>
    <w:rsid w:val="00D51FB2"/>
    <w:rsid w:val="00D5245B"/>
    <w:rsid w:val="00D52D97"/>
    <w:rsid w:val="00D52EA5"/>
    <w:rsid w:val="00D53053"/>
    <w:rsid w:val="00D530DA"/>
    <w:rsid w:val="00D530FC"/>
    <w:rsid w:val="00D53189"/>
    <w:rsid w:val="00D532A0"/>
    <w:rsid w:val="00D536B6"/>
    <w:rsid w:val="00D53779"/>
    <w:rsid w:val="00D54020"/>
    <w:rsid w:val="00D545AB"/>
    <w:rsid w:val="00D5462F"/>
    <w:rsid w:val="00D5470A"/>
    <w:rsid w:val="00D54B2A"/>
    <w:rsid w:val="00D54C95"/>
    <w:rsid w:val="00D54CFA"/>
    <w:rsid w:val="00D5515E"/>
    <w:rsid w:val="00D5548E"/>
    <w:rsid w:val="00D55B27"/>
    <w:rsid w:val="00D55D77"/>
    <w:rsid w:val="00D5637E"/>
    <w:rsid w:val="00D56570"/>
    <w:rsid w:val="00D568BB"/>
    <w:rsid w:val="00D56C39"/>
    <w:rsid w:val="00D56D5D"/>
    <w:rsid w:val="00D56E8D"/>
    <w:rsid w:val="00D57019"/>
    <w:rsid w:val="00D5729A"/>
    <w:rsid w:val="00D572C6"/>
    <w:rsid w:val="00D5790B"/>
    <w:rsid w:val="00D57A78"/>
    <w:rsid w:val="00D57B9B"/>
    <w:rsid w:val="00D57BD1"/>
    <w:rsid w:val="00D57D8C"/>
    <w:rsid w:val="00D60358"/>
    <w:rsid w:val="00D60411"/>
    <w:rsid w:val="00D605ED"/>
    <w:rsid w:val="00D60677"/>
    <w:rsid w:val="00D607AE"/>
    <w:rsid w:val="00D60A0E"/>
    <w:rsid w:val="00D60B62"/>
    <w:rsid w:val="00D61046"/>
    <w:rsid w:val="00D6119E"/>
    <w:rsid w:val="00D615E0"/>
    <w:rsid w:val="00D61676"/>
    <w:rsid w:val="00D6172B"/>
    <w:rsid w:val="00D61CB6"/>
    <w:rsid w:val="00D62406"/>
    <w:rsid w:val="00D62782"/>
    <w:rsid w:val="00D62903"/>
    <w:rsid w:val="00D6299A"/>
    <w:rsid w:val="00D62AAB"/>
    <w:rsid w:val="00D62B0F"/>
    <w:rsid w:val="00D62B93"/>
    <w:rsid w:val="00D62C06"/>
    <w:rsid w:val="00D62C9B"/>
    <w:rsid w:val="00D6325B"/>
    <w:rsid w:val="00D633CC"/>
    <w:rsid w:val="00D634BE"/>
    <w:rsid w:val="00D636CE"/>
    <w:rsid w:val="00D63B87"/>
    <w:rsid w:val="00D63CBC"/>
    <w:rsid w:val="00D6406B"/>
    <w:rsid w:val="00D640ED"/>
    <w:rsid w:val="00D6456E"/>
    <w:rsid w:val="00D648CB"/>
    <w:rsid w:val="00D64913"/>
    <w:rsid w:val="00D64BAD"/>
    <w:rsid w:val="00D65555"/>
    <w:rsid w:val="00D65649"/>
    <w:rsid w:val="00D657D6"/>
    <w:rsid w:val="00D667F6"/>
    <w:rsid w:val="00D6680B"/>
    <w:rsid w:val="00D669CB"/>
    <w:rsid w:val="00D66EF2"/>
    <w:rsid w:val="00D67065"/>
    <w:rsid w:val="00D67371"/>
    <w:rsid w:val="00D67A93"/>
    <w:rsid w:val="00D702B8"/>
    <w:rsid w:val="00D7039D"/>
    <w:rsid w:val="00D703E5"/>
    <w:rsid w:val="00D71000"/>
    <w:rsid w:val="00D71005"/>
    <w:rsid w:val="00D71148"/>
    <w:rsid w:val="00D711AA"/>
    <w:rsid w:val="00D712B0"/>
    <w:rsid w:val="00D715F9"/>
    <w:rsid w:val="00D716D3"/>
    <w:rsid w:val="00D71A6B"/>
    <w:rsid w:val="00D71C0E"/>
    <w:rsid w:val="00D72A03"/>
    <w:rsid w:val="00D72C6D"/>
    <w:rsid w:val="00D72F92"/>
    <w:rsid w:val="00D730F3"/>
    <w:rsid w:val="00D736E0"/>
    <w:rsid w:val="00D73776"/>
    <w:rsid w:val="00D73892"/>
    <w:rsid w:val="00D73B16"/>
    <w:rsid w:val="00D73D8A"/>
    <w:rsid w:val="00D7406F"/>
    <w:rsid w:val="00D740E6"/>
    <w:rsid w:val="00D74165"/>
    <w:rsid w:val="00D7432A"/>
    <w:rsid w:val="00D746AC"/>
    <w:rsid w:val="00D75014"/>
    <w:rsid w:val="00D75025"/>
    <w:rsid w:val="00D75107"/>
    <w:rsid w:val="00D755FF"/>
    <w:rsid w:val="00D756BC"/>
    <w:rsid w:val="00D757D9"/>
    <w:rsid w:val="00D770F6"/>
    <w:rsid w:val="00D775D9"/>
    <w:rsid w:val="00D77C5C"/>
    <w:rsid w:val="00D8013C"/>
    <w:rsid w:val="00D802FE"/>
    <w:rsid w:val="00D8053C"/>
    <w:rsid w:val="00D80CBD"/>
    <w:rsid w:val="00D80D1B"/>
    <w:rsid w:val="00D815E5"/>
    <w:rsid w:val="00D818E9"/>
    <w:rsid w:val="00D81F78"/>
    <w:rsid w:val="00D821A6"/>
    <w:rsid w:val="00D828CC"/>
    <w:rsid w:val="00D82A11"/>
    <w:rsid w:val="00D8306B"/>
    <w:rsid w:val="00D83E21"/>
    <w:rsid w:val="00D84487"/>
    <w:rsid w:val="00D844E5"/>
    <w:rsid w:val="00D848F9"/>
    <w:rsid w:val="00D849F2"/>
    <w:rsid w:val="00D84B4A"/>
    <w:rsid w:val="00D84BAA"/>
    <w:rsid w:val="00D84F9A"/>
    <w:rsid w:val="00D86038"/>
    <w:rsid w:val="00D86180"/>
    <w:rsid w:val="00D863FD"/>
    <w:rsid w:val="00D8657E"/>
    <w:rsid w:val="00D865D0"/>
    <w:rsid w:val="00D866BA"/>
    <w:rsid w:val="00D86780"/>
    <w:rsid w:val="00D86B20"/>
    <w:rsid w:val="00D86BE4"/>
    <w:rsid w:val="00D86C64"/>
    <w:rsid w:val="00D86DAB"/>
    <w:rsid w:val="00D8700E"/>
    <w:rsid w:val="00D871C2"/>
    <w:rsid w:val="00D875C2"/>
    <w:rsid w:val="00D87761"/>
    <w:rsid w:val="00D87A74"/>
    <w:rsid w:val="00D87DCC"/>
    <w:rsid w:val="00D87F27"/>
    <w:rsid w:val="00D900AC"/>
    <w:rsid w:val="00D907E9"/>
    <w:rsid w:val="00D908C9"/>
    <w:rsid w:val="00D90DC6"/>
    <w:rsid w:val="00D911A4"/>
    <w:rsid w:val="00D9130F"/>
    <w:rsid w:val="00D9188B"/>
    <w:rsid w:val="00D91931"/>
    <w:rsid w:val="00D91948"/>
    <w:rsid w:val="00D91F15"/>
    <w:rsid w:val="00D9230B"/>
    <w:rsid w:val="00D92A46"/>
    <w:rsid w:val="00D931E7"/>
    <w:rsid w:val="00D932A5"/>
    <w:rsid w:val="00D935FF"/>
    <w:rsid w:val="00D93850"/>
    <w:rsid w:val="00D93C4C"/>
    <w:rsid w:val="00D94050"/>
    <w:rsid w:val="00D94139"/>
    <w:rsid w:val="00D942F5"/>
    <w:rsid w:val="00D944B6"/>
    <w:rsid w:val="00D9492C"/>
    <w:rsid w:val="00D94D85"/>
    <w:rsid w:val="00D957C4"/>
    <w:rsid w:val="00D958DF"/>
    <w:rsid w:val="00D95902"/>
    <w:rsid w:val="00D95EE7"/>
    <w:rsid w:val="00D95F90"/>
    <w:rsid w:val="00D9600A"/>
    <w:rsid w:val="00D9632B"/>
    <w:rsid w:val="00D9635E"/>
    <w:rsid w:val="00D96474"/>
    <w:rsid w:val="00D96818"/>
    <w:rsid w:val="00D96877"/>
    <w:rsid w:val="00D968A3"/>
    <w:rsid w:val="00D96AA6"/>
    <w:rsid w:val="00D96AAC"/>
    <w:rsid w:val="00D96B2F"/>
    <w:rsid w:val="00D96EDA"/>
    <w:rsid w:val="00D97411"/>
    <w:rsid w:val="00D9746B"/>
    <w:rsid w:val="00D978CE"/>
    <w:rsid w:val="00D97AA2"/>
    <w:rsid w:val="00D97EC4"/>
    <w:rsid w:val="00DA07FC"/>
    <w:rsid w:val="00DA0BBB"/>
    <w:rsid w:val="00DA0E70"/>
    <w:rsid w:val="00DA10FE"/>
    <w:rsid w:val="00DA1795"/>
    <w:rsid w:val="00DA205D"/>
    <w:rsid w:val="00DA20DA"/>
    <w:rsid w:val="00DA27F1"/>
    <w:rsid w:val="00DA27FB"/>
    <w:rsid w:val="00DA2A87"/>
    <w:rsid w:val="00DA2E25"/>
    <w:rsid w:val="00DA331D"/>
    <w:rsid w:val="00DA33B4"/>
    <w:rsid w:val="00DA37AC"/>
    <w:rsid w:val="00DA3878"/>
    <w:rsid w:val="00DA3B1B"/>
    <w:rsid w:val="00DA45A6"/>
    <w:rsid w:val="00DA484A"/>
    <w:rsid w:val="00DA4C61"/>
    <w:rsid w:val="00DA5B53"/>
    <w:rsid w:val="00DA5CB9"/>
    <w:rsid w:val="00DA5D37"/>
    <w:rsid w:val="00DA5F28"/>
    <w:rsid w:val="00DA62C9"/>
    <w:rsid w:val="00DA659B"/>
    <w:rsid w:val="00DA6AAF"/>
    <w:rsid w:val="00DA6BAD"/>
    <w:rsid w:val="00DA6C9B"/>
    <w:rsid w:val="00DA6D13"/>
    <w:rsid w:val="00DA6EB7"/>
    <w:rsid w:val="00DA73BB"/>
    <w:rsid w:val="00DA7492"/>
    <w:rsid w:val="00DA74A5"/>
    <w:rsid w:val="00DA7605"/>
    <w:rsid w:val="00DA7849"/>
    <w:rsid w:val="00DA78A0"/>
    <w:rsid w:val="00DA7A0E"/>
    <w:rsid w:val="00DA7A68"/>
    <w:rsid w:val="00DA7C64"/>
    <w:rsid w:val="00DA7D63"/>
    <w:rsid w:val="00DA7ECB"/>
    <w:rsid w:val="00DB03C6"/>
    <w:rsid w:val="00DB05C3"/>
    <w:rsid w:val="00DB09ED"/>
    <w:rsid w:val="00DB0B8D"/>
    <w:rsid w:val="00DB1281"/>
    <w:rsid w:val="00DB1437"/>
    <w:rsid w:val="00DB153C"/>
    <w:rsid w:val="00DB15CA"/>
    <w:rsid w:val="00DB17CC"/>
    <w:rsid w:val="00DB1913"/>
    <w:rsid w:val="00DB1DA3"/>
    <w:rsid w:val="00DB2106"/>
    <w:rsid w:val="00DB2519"/>
    <w:rsid w:val="00DB28A7"/>
    <w:rsid w:val="00DB28CE"/>
    <w:rsid w:val="00DB2B2F"/>
    <w:rsid w:val="00DB3122"/>
    <w:rsid w:val="00DB33B5"/>
    <w:rsid w:val="00DB3461"/>
    <w:rsid w:val="00DB3491"/>
    <w:rsid w:val="00DB35FB"/>
    <w:rsid w:val="00DB3F7E"/>
    <w:rsid w:val="00DB430E"/>
    <w:rsid w:val="00DB4649"/>
    <w:rsid w:val="00DB48AB"/>
    <w:rsid w:val="00DB4B0B"/>
    <w:rsid w:val="00DB4B18"/>
    <w:rsid w:val="00DB4B2A"/>
    <w:rsid w:val="00DB4B2C"/>
    <w:rsid w:val="00DB4C7F"/>
    <w:rsid w:val="00DB4D1D"/>
    <w:rsid w:val="00DB5199"/>
    <w:rsid w:val="00DB56A2"/>
    <w:rsid w:val="00DB580D"/>
    <w:rsid w:val="00DB585B"/>
    <w:rsid w:val="00DB59E1"/>
    <w:rsid w:val="00DB5A88"/>
    <w:rsid w:val="00DB5A8F"/>
    <w:rsid w:val="00DB5DA0"/>
    <w:rsid w:val="00DB6126"/>
    <w:rsid w:val="00DB676C"/>
    <w:rsid w:val="00DB6884"/>
    <w:rsid w:val="00DB6895"/>
    <w:rsid w:val="00DB6A9E"/>
    <w:rsid w:val="00DB6E79"/>
    <w:rsid w:val="00DB6F46"/>
    <w:rsid w:val="00DB7CC1"/>
    <w:rsid w:val="00DC1172"/>
    <w:rsid w:val="00DC1786"/>
    <w:rsid w:val="00DC1B54"/>
    <w:rsid w:val="00DC1BA5"/>
    <w:rsid w:val="00DC1CDF"/>
    <w:rsid w:val="00DC2100"/>
    <w:rsid w:val="00DC237C"/>
    <w:rsid w:val="00DC2527"/>
    <w:rsid w:val="00DC284F"/>
    <w:rsid w:val="00DC337F"/>
    <w:rsid w:val="00DC339F"/>
    <w:rsid w:val="00DC40FC"/>
    <w:rsid w:val="00DC45D3"/>
    <w:rsid w:val="00DC4963"/>
    <w:rsid w:val="00DC4F1E"/>
    <w:rsid w:val="00DC51A7"/>
    <w:rsid w:val="00DC53B8"/>
    <w:rsid w:val="00DC5488"/>
    <w:rsid w:val="00DC5499"/>
    <w:rsid w:val="00DC58E9"/>
    <w:rsid w:val="00DC5B23"/>
    <w:rsid w:val="00DC60A4"/>
    <w:rsid w:val="00DC62EA"/>
    <w:rsid w:val="00DC6945"/>
    <w:rsid w:val="00DC6C2D"/>
    <w:rsid w:val="00DC6DCD"/>
    <w:rsid w:val="00DC740F"/>
    <w:rsid w:val="00DC74C1"/>
    <w:rsid w:val="00DC760D"/>
    <w:rsid w:val="00DC7678"/>
    <w:rsid w:val="00DC7DC5"/>
    <w:rsid w:val="00DC7E8A"/>
    <w:rsid w:val="00DC7F84"/>
    <w:rsid w:val="00DC7FC2"/>
    <w:rsid w:val="00DD0167"/>
    <w:rsid w:val="00DD056D"/>
    <w:rsid w:val="00DD05B4"/>
    <w:rsid w:val="00DD0ADD"/>
    <w:rsid w:val="00DD0DC5"/>
    <w:rsid w:val="00DD122C"/>
    <w:rsid w:val="00DD16EF"/>
    <w:rsid w:val="00DD179D"/>
    <w:rsid w:val="00DD1837"/>
    <w:rsid w:val="00DD1905"/>
    <w:rsid w:val="00DD194E"/>
    <w:rsid w:val="00DD1B0C"/>
    <w:rsid w:val="00DD1C93"/>
    <w:rsid w:val="00DD1E0F"/>
    <w:rsid w:val="00DD20C1"/>
    <w:rsid w:val="00DD217C"/>
    <w:rsid w:val="00DD233B"/>
    <w:rsid w:val="00DD2370"/>
    <w:rsid w:val="00DD2404"/>
    <w:rsid w:val="00DD2F84"/>
    <w:rsid w:val="00DD3536"/>
    <w:rsid w:val="00DD3DB1"/>
    <w:rsid w:val="00DD41ED"/>
    <w:rsid w:val="00DD4356"/>
    <w:rsid w:val="00DD45EC"/>
    <w:rsid w:val="00DD483A"/>
    <w:rsid w:val="00DD4C71"/>
    <w:rsid w:val="00DD4EF9"/>
    <w:rsid w:val="00DD5246"/>
    <w:rsid w:val="00DD58C8"/>
    <w:rsid w:val="00DD58ED"/>
    <w:rsid w:val="00DD58F5"/>
    <w:rsid w:val="00DD59AB"/>
    <w:rsid w:val="00DD5A91"/>
    <w:rsid w:val="00DD5C06"/>
    <w:rsid w:val="00DD5ED6"/>
    <w:rsid w:val="00DD6120"/>
    <w:rsid w:val="00DD629D"/>
    <w:rsid w:val="00DD6386"/>
    <w:rsid w:val="00DD63D5"/>
    <w:rsid w:val="00DD6AB3"/>
    <w:rsid w:val="00DD6B16"/>
    <w:rsid w:val="00DD7053"/>
    <w:rsid w:val="00DD74AD"/>
    <w:rsid w:val="00DD789A"/>
    <w:rsid w:val="00DD7A63"/>
    <w:rsid w:val="00DE0005"/>
    <w:rsid w:val="00DE0049"/>
    <w:rsid w:val="00DE01CF"/>
    <w:rsid w:val="00DE033B"/>
    <w:rsid w:val="00DE04B2"/>
    <w:rsid w:val="00DE06CD"/>
    <w:rsid w:val="00DE0947"/>
    <w:rsid w:val="00DE0A8C"/>
    <w:rsid w:val="00DE0BA0"/>
    <w:rsid w:val="00DE0ED8"/>
    <w:rsid w:val="00DE0FFF"/>
    <w:rsid w:val="00DE1368"/>
    <w:rsid w:val="00DE14E5"/>
    <w:rsid w:val="00DE169D"/>
    <w:rsid w:val="00DE1D7F"/>
    <w:rsid w:val="00DE1DBE"/>
    <w:rsid w:val="00DE1EA3"/>
    <w:rsid w:val="00DE1F43"/>
    <w:rsid w:val="00DE2227"/>
    <w:rsid w:val="00DE22D9"/>
    <w:rsid w:val="00DE24D5"/>
    <w:rsid w:val="00DE265E"/>
    <w:rsid w:val="00DE2EDA"/>
    <w:rsid w:val="00DE39E4"/>
    <w:rsid w:val="00DE39F0"/>
    <w:rsid w:val="00DE3CEE"/>
    <w:rsid w:val="00DE43FC"/>
    <w:rsid w:val="00DE4758"/>
    <w:rsid w:val="00DE47E7"/>
    <w:rsid w:val="00DE47EA"/>
    <w:rsid w:val="00DE4A05"/>
    <w:rsid w:val="00DE4F03"/>
    <w:rsid w:val="00DE4FA9"/>
    <w:rsid w:val="00DE500E"/>
    <w:rsid w:val="00DE5550"/>
    <w:rsid w:val="00DE5663"/>
    <w:rsid w:val="00DE56D8"/>
    <w:rsid w:val="00DE601A"/>
    <w:rsid w:val="00DE684F"/>
    <w:rsid w:val="00DE6F16"/>
    <w:rsid w:val="00DE718A"/>
    <w:rsid w:val="00DE7DB7"/>
    <w:rsid w:val="00DF0684"/>
    <w:rsid w:val="00DF0872"/>
    <w:rsid w:val="00DF0A22"/>
    <w:rsid w:val="00DF139D"/>
    <w:rsid w:val="00DF168B"/>
    <w:rsid w:val="00DF1D2E"/>
    <w:rsid w:val="00DF2646"/>
    <w:rsid w:val="00DF27EF"/>
    <w:rsid w:val="00DF286D"/>
    <w:rsid w:val="00DF2D9C"/>
    <w:rsid w:val="00DF33A9"/>
    <w:rsid w:val="00DF3655"/>
    <w:rsid w:val="00DF36A7"/>
    <w:rsid w:val="00DF3C0C"/>
    <w:rsid w:val="00DF3FE8"/>
    <w:rsid w:val="00DF43B3"/>
    <w:rsid w:val="00DF4840"/>
    <w:rsid w:val="00DF4E43"/>
    <w:rsid w:val="00DF53FE"/>
    <w:rsid w:val="00DF55B6"/>
    <w:rsid w:val="00DF560F"/>
    <w:rsid w:val="00DF5A99"/>
    <w:rsid w:val="00DF5BC0"/>
    <w:rsid w:val="00DF5BF6"/>
    <w:rsid w:val="00DF5D98"/>
    <w:rsid w:val="00DF63D2"/>
    <w:rsid w:val="00DF647E"/>
    <w:rsid w:val="00DF6758"/>
    <w:rsid w:val="00DF6778"/>
    <w:rsid w:val="00DF6862"/>
    <w:rsid w:val="00DF68BD"/>
    <w:rsid w:val="00DF6CB1"/>
    <w:rsid w:val="00DF6CF2"/>
    <w:rsid w:val="00DF75E8"/>
    <w:rsid w:val="00DF7674"/>
    <w:rsid w:val="00DF7741"/>
    <w:rsid w:val="00DF797F"/>
    <w:rsid w:val="00DF7A37"/>
    <w:rsid w:val="00DF7F92"/>
    <w:rsid w:val="00E00390"/>
    <w:rsid w:val="00E003A7"/>
    <w:rsid w:val="00E004F7"/>
    <w:rsid w:val="00E00654"/>
    <w:rsid w:val="00E0073B"/>
    <w:rsid w:val="00E00DAA"/>
    <w:rsid w:val="00E00DD2"/>
    <w:rsid w:val="00E00FC1"/>
    <w:rsid w:val="00E01037"/>
    <w:rsid w:val="00E010D6"/>
    <w:rsid w:val="00E01110"/>
    <w:rsid w:val="00E02715"/>
    <w:rsid w:val="00E02A26"/>
    <w:rsid w:val="00E0316C"/>
    <w:rsid w:val="00E031C8"/>
    <w:rsid w:val="00E038A8"/>
    <w:rsid w:val="00E03A29"/>
    <w:rsid w:val="00E041F3"/>
    <w:rsid w:val="00E04474"/>
    <w:rsid w:val="00E0473F"/>
    <w:rsid w:val="00E048E2"/>
    <w:rsid w:val="00E04A11"/>
    <w:rsid w:val="00E04F60"/>
    <w:rsid w:val="00E053EF"/>
    <w:rsid w:val="00E054D8"/>
    <w:rsid w:val="00E05529"/>
    <w:rsid w:val="00E05777"/>
    <w:rsid w:val="00E05FB4"/>
    <w:rsid w:val="00E0778E"/>
    <w:rsid w:val="00E07F9C"/>
    <w:rsid w:val="00E108B0"/>
    <w:rsid w:val="00E10C35"/>
    <w:rsid w:val="00E11418"/>
    <w:rsid w:val="00E1159D"/>
    <w:rsid w:val="00E118E2"/>
    <w:rsid w:val="00E11A65"/>
    <w:rsid w:val="00E11B3E"/>
    <w:rsid w:val="00E11B5A"/>
    <w:rsid w:val="00E11E54"/>
    <w:rsid w:val="00E1200F"/>
    <w:rsid w:val="00E12080"/>
    <w:rsid w:val="00E12237"/>
    <w:rsid w:val="00E12882"/>
    <w:rsid w:val="00E12B6B"/>
    <w:rsid w:val="00E12EF5"/>
    <w:rsid w:val="00E12FA0"/>
    <w:rsid w:val="00E13658"/>
    <w:rsid w:val="00E139FC"/>
    <w:rsid w:val="00E13A61"/>
    <w:rsid w:val="00E13C63"/>
    <w:rsid w:val="00E13C95"/>
    <w:rsid w:val="00E13EB2"/>
    <w:rsid w:val="00E15136"/>
    <w:rsid w:val="00E156F0"/>
    <w:rsid w:val="00E158A3"/>
    <w:rsid w:val="00E162DD"/>
    <w:rsid w:val="00E16312"/>
    <w:rsid w:val="00E164F0"/>
    <w:rsid w:val="00E1651B"/>
    <w:rsid w:val="00E16697"/>
    <w:rsid w:val="00E169CE"/>
    <w:rsid w:val="00E16C56"/>
    <w:rsid w:val="00E17043"/>
    <w:rsid w:val="00E1722D"/>
    <w:rsid w:val="00E17658"/>
    <w:rsid w:val="00E179E0"/>
    <w:rsid w:val="00E17F1B"/>
    <w:rsid w:val="00E20072"/>
    <w:rsid w:val="00E201F9"/>
    <w:rsid w:val="00E205D5"/>
    <w:rsid w:val="00E2071F"/>
    <w:rsid w:val="00E2078F"/>
    <w:rsid w:val="00E21446"/>
    <w:rsid w:val="00E2150C"/>
    <w:rsid w:val="00E219AA"/>
    <w:rsid w:val="00E21F48"/>
    <w:rsid w:val="00E2231C"/>
    <w:rsid w:val="00E228A4"/>
    <w:rsid w:val="00E23187"/>
    <w:rsid w:val="00E232A2"/>
    <w:rsid w:val="00E233F7"/>
    <w:rsid w:val="00E23909"/>
    <w:rsid w:val="00E239D0"/>
    <w:rsid w:val="00E23A28"/>
    <w:rsid w:val="00E23A4A"/>
    <w:rsid w:val="00E23CAD"/>
    <w:rsid w:val="00E24113"/>
    <w:rsid w:val="00E24384"/>
    <w:rsid w:val="00E2444C"/>
    <w:rsid w:val="00E244D1"/>
    <w:rsid w:val="00E2461B"/>
    <w:rsid w:val="00E25060"/>
    <w:rsid w:val="00E2530E"/>
    <w:rsid w:val="00E25558"/>
    <w:rsid w:val="00E255E9"/>
    <w:rsid w:val="00E25CA6"/>
    <w:rsid w:val="00E25E1C"/>
    <w:rsid w:val="00E265AC"/>
    <w:rsid w:val="00E26602"/>
    <w:rsid w:val="00E26DB7"/>
    <w:rsid w:val="00E26E72"/>
    <w:rsid w:val="00E27127"/>
    <w:rsid w:val="00E2719F"/>
    <w:rsid w:val="00E272CD"/>
    <w:rsid w:val="00E273E3"/>
    <w:rsid w:val="00E27609"/>
    <w:rsid w:val="00E2797E"/>
    <w:rsid w:val="00E2799C"/>
    <w:rsid w:val="00E27D03"/>
    <w:rsid w:val="00E30879"/>
    <w:rsid w:val="00E30F38"/>
    <w:rsid w:val="00E3100F"/>
    <w:rsid w:val="00E3105C"/>
    <w:rsid w:val="00E31063"/>
    <w:rsid w:val="00E312BA"/>
    <w:rsid w:val="00E31321"/>
    <w:rsid w:val="00E31451"/>
    <w:rsid w:val="00E31685"/>
    <w:rsid w:val="00E31700"/>
    <w:rsid w:val="00E3181D"/>
    <w:rsid w:val="00E31852"/>
    <w:rsid w:val="00E318D6"/>
    <w:rsid w:val="00E31943"/>
    <w:rsid w:val="00E31C73"/>
    <w:rsid w:val="00E31CBD"/>
    <w:rsid w:val="00E31D4E"/>
    <w:rsid w:val="00E31F10"/>
    <w:rsid w:val="00E327CB"/>
    <w:rsid w:val="00E32A37"/>
    <w:rsid w:val="00E32C2C"/>
    <w:rsid w:val="00E32C6C"/>
    <w:rsid w:val="00E32FFF"/>
    <w:rsid w:val="00E332AB"/>
    <w:rsid w:val="00E33682"/>
    <w:rsid w:val="00E33DF7"/>
    <w:rsid w:val="00E33F44"/>
    <w:rsid w:val="00E34044"/>
    <w:rsid w:val="00E349B1"/>
    <w:rsid w:val="00E34D43"/>
    <w:rsid w:val="00E35A90"/>
    <w:rsid w:val="00E362F9"/>
    <w:rsid w:val="00E36481"/>
    <w:rsid w:val="00E36C62"/>
    <w:rsid w:val="00E36DC7"/>
    <w:rsid w:val="00E370E7"/>
    <w:rsid w:val="00E3733D"/>
    <w:rsid w:val="00E37947"/>
    <w:rsid w:val="00E37C21"/>
    <w:rsid w:val="00E37C61"/>
    <w:rsid w:val="00E37C69"/>
    <w:rsid w:val="00E37EE1"/>
    <w:rsid w:val="00E401E9"/>
    <w:rsid w:val="00E40369"/>
    <w:rsid w:val="00E40545"/>
    <w:rsid w:val="00E40565"/>
    <w:rsid w:val="00E4115D"/>
    <w:rsid w:val="00E4152B"/>
    <w:rsid w:val="00E41F3E"/>
    <w:rsid w:val="00E4213A"/>
    <w:rsid w:val="00E42630"/>
    <w:rsid w:val="00E426D7"/>
    <w:rsid w:val="00E427B8"/>
    <w:rsid w:val="00E428AB"/>
    <w:rsid w:val="00E428E0"/>
    <w:rsid w:val="00E42A95"/>
    <w:rsid w:val="00E42C47"/>
    <w:rsid w:val="00E42D72"/>
    <w:rsid w:val="00E42E25"/>
    <w:rsid w:val="00E432B1"/>
    <w:rsid w:val="00E43383"/>
    <w:rsid w:val="00E43AD5"/>
    <w:rsid w:val="00E44075"/>
    <w:rsid w:val="00E44C7A"/>
    <w:rsid w:val="00E44C99"/>
    <w:rsid w:val="00E44C9D"/>
    <w:rsid w:val="00E44D64"/>
    <w:rsid w:val="00E4525D"/>
    <w:rsid w:val="00E452DF"/>
    <w:rsid w:val="00E4577B"/>
    <w:rsid w:val="00E45DCC"/>
    <w:rsid w:val="00E4650F"/>
    <w:rsid w:val="00E46775"/>
    <w:rsid w:val="00E46926"/>
    <w:rsid w:val="00E46C32"/>
    <w:rsid w:val="00E474A1"/>
    <w:rsid w:val="00E47505"/>
    <w:rsid w:val="00E479EA"/>
    <w:rsid w:val="00E47D3F"/>
    <w:rsid w:val="00E50074"/>
    <w:rsid w:val="00E501E8"/>
    <w:rsid w:val="00E502E4"/>
    <w:rsid w:val="00E50311"/>
    <w:rsid w:val="00E50640"/>
    <w:rsid w:val="00E51AA2"/>
    <w:rsid w:val="00E51AB0"/>
    <w:rsid w:val="00E521BE"/>
    <w:rsid w:val="00E52711"/>
    <w:rsid w:val="00E52805"/>
    <w:rsid w:val="00E52816"/>
    <w:rsid w:val="00E52B7F"/>
    <w:rsid w:val="00E534EF"/>
    <w:rsid w:val="00E53642"/>
    <w:rsid w:val="00E536DE"/>
    <w:rsid w:val="00E53976"/>
    <w:rsid w:val="00E540FB"/>
    <w:rsid w:val="00E54184"/>
    <w:rsid w:val="00E54335"/>
    <w:rsid w:val="00E544B1"/>
    <w:rsid w:val="00E546BE"/>
    <w:rsid w:val="00E546D4"/>
    <w:rsid w:val="00E54A55"/>
    <w:rsid w:val="00E54D4D"/>
    <w:rsid w:val="00E54EBC"/>
    <w:rsid w:val="00E54EC8"/>
    <w:rsid w:val="00E553A8"/>
    <w:rsid w:val="00E55DA6"/>
    <w:rsid w:val="00E56042"/>
    <w:rsid w:val="00E56283"/>
    <w:rsid w:val="00E565F3"/>
    <w:rsid w:val="00E56B69"/>
    <w:rsid w:val="00E56CE1"/>
    <w:rsid w:val="00E56F37"/>
    <w:rsid w:val="00E5724E"/>
    <w:rsid w:val="00E5726C"/>
    <w:rsid w:val="00E576C4"/>
    <w:rsid w:val="00E579E6"/>
    <w:rsid w:val="00E57E51"/>
    <w:rsid w:val="00E60258"/>
    <w:rsid w:val="00E6034B"/>
    <w:rsid w:val="00E60754"/>
    <w:rsid w:val="00E60BDA"/>
    <w:rsid w:val="00E60C74"/>
    <w:rsid w:val="00E61070"/>
    <w:rsid w:val="00E610CC"/>
    <w:rsid w:val="00E61184"/>
    <w:rsid w:val="00E6126A"/>
    <w:rsid w:val="00E615A0"/>
    <w:rsid w:val="00E61920"/>
    <w:rsid w:val="00E61DB6"/>
    <w:rsid w:val="00E61E21"/>
    <w:rsid w:val="00E61ECE"/>
    <w:rsid w:val="00E61F58"/>
    <w:rsid w:val="00E625ED"/>
    <w:rsid w:val="00E631BE"/>
    <w:rsid w:val="00E63232"/>
    <w:rsid w:val="00E6359F"/>
    <w:rsid w:val="00E6369C"/>
    <w:rsid w:val="00E638C6"/>
    <w:rsid w:val="00E63B4F"/>
    <w:rsid w:val="00E644F3"/>
    <w:rsid w:val="00E644F5"/>
    <w:rsid w:val="00E6459D"/>
    <w:rsid w:val="00E64727"/>
    <w:rsid w:val="00E647F1"/>
    <w:rsid w:val="00E6487E"/>
    <w:rsid w:val="00E649CB"/>
    <w:rsid w:val="00E64A8C"/>
    <w:rsid w:val="00E64E7C"/>
    <w:rsid w:val="00E6506B"/>
    <w:rsid w:val="00E65112"/>
    <w:rsid w:val="00E65141"/>
    <w:rsid w:val="00E65453"/>
    <w:rsid w:val="00E654D2"/>
    <w:rsid w:val="00E65BC3"/>
    <w:rsid w:val="00E65E66"/>
    <w:rsid w:val="00E66150"/>
    <w:rsid w:val="00E66BC8"/>
    <w:rsid w:val="00E66DAC"/>
    <w:rsid w:val="00E66E95"/>
    <w:rsid w:val="00E6711D"/>
    <w:rsid w:val="00E677B9"/>
    <w:rsid w:val="00E67928"/>
    <w:rsid w:val="00E67B8D"/>
    <w:rsid w:val="00E67D52"/>
    <w:rsid w:val="00E704FA"/>
    <w:rsid w:val="00E70800"/>
    <w:rsid w:val="00E7120D"/>
    <w:rsid w:val="00E71247"/>
    <w:rsid w:val="00E71CCA"/>
    <w:rsid w:val="00E722B2"/>
    <w:rsid w:val="00E7237D"/>
    <w:rsid w:val="00E72750"/>
    <w:rsid w:val="00E728F1"/>
    <w:rsid w:val="00E72918"/>
    <w:rsid w:val="00E72938"/>
    <w:rsid w:val="00E72949"/>
    <w:rsid w:val="00E72BCF"/>
    <w:rsid w:val="00E730DF"/>
    <w:rsid w:val="00E73112"/>
    <w:rsid w:val="00E73985"/>
    <w:rsid w:val="00E73B58"/>
    <w:rsid w:val="00E73DDF"/>
    <w:rsid w:val="00E74197"/>
    <w:rsid w:val="00E74721"/>
    <w:rsid w:val="00E74A35"/>
    <w:rsid w:val="00E74B11"/>
    <w:rsid w:val="00E74DE8"/>
    <w:rsid w:val="00E74E7A"/>
    <w:rsid w:val="00E75416"/>
    <w:rsid w:val="00E758DE"/>
    <w:rsid w:val="00E75DCC"/>
    <w:rsid w:val="00E76514"/>
    <w:rsid w:val="00E76915"/>
    <w:rsid w:val="00E76B30"/>
    <w:rsid w:val="00E76C05"/>
    <w:rsid w:val="00E76CE2"/>
    <w:rsid w:val="00E76D14"/>
    <w:rsid w:val="00E778C7"/>
    <w:rsid w:val="00E8018C"/>
    <w:rsid w:val="00E8024C"/>
    <w:rsid w:val="00E8042C"/>
    <w:rsid w:val="00E8047B"/>
    <w:rsid w:val="00E80556"/>
    <w:rsid w:val="00E80666"/>
    <w:rsid w:val="00E80F5A"/>
    <w:rsid w:val="00E80FB8"/>
    <w:rsid w:val="00E8132B"/>
    <w:rsid w:val="00E81CB8"/>
    <w:rsid w:val="00E81CEC"/>
    <w:rsid w:val="00E82E2A"/>
    <w:rsid w:val="00E8338C"/>
    <w:rsid w:val="00E834AA"/>
    <w:rsid w:val="00E83747"/>
    <w:rsid w:val="00E83B57"/>
    <w:rsid w:val="00E83CF2"/>
    <w:rsid w:val="00E83DCA"/>
    <w:rsid w:val="00E83F30"/>
    <w:rsid w:val="00E8442C"/>
    <w:rsid w:val="00E848D1"/>
    <w:rsid w:val="00E84930"/>
    <w:rsid w:val="00E84AC5"/>
    <w:rsid w:val="00E85012"/>
    <w:rsid w:val="00E856EB"/>
    <w:rsid w:val="00E85786"/>
    <w:rsid w:val="00E8582D"/>
    <w:rsid w:val="00E8589C"/>
    <w:rsid w:val="00E85DE1"/>
    <w:rsid w:val="00E85EAB"/>
    <w:rsid w:val="00E860AB"/>
    <w:rsid w:val="00E8621B"/>
    <w:rsid w:val="00E86285"/>
    <w:rsid w:val="00E8628A"/>
    <w:rsid w:val="00E86326"/>
    <w:rsid w:val="00E86AF0"/>
    <w:rsid w:val="00E86B0F"/>
    <w:rsid w:val="00E86D5B"/>
    <w:rsid w:val="00E8704F"/>
    <w:rsid w:val="00E871E7"/>
    <w:rsid w:val="00E875DC"/>
    <w:rsid w:val="00E87927"/>
    <w:rsid w:val="00E87D0A"/>
    <w:rsid w:val="00E902EB"/>
    <w:rsid w:val="00E90B2B"/>
    <w:rsid w:val="00E90E34"/>
    <w:rsid w:val="00E910EA"/>
    <w:rsid w:val="00E91408"/>
    <w:rsid w:val="00E91459"/>
    <w:rsid w:val="00E914E0"/>
    <w:rsid w:val="00E914EE"/>
    <w:rsid w:val="00E91C6A"/>
    <w:rsid w:val="00E920D4"/>
    <w:rsid w:val="00E924AB"/>
    <w:rsid w:val="00E9256C"/>
    <w:rsid w:val="00E925C5"/>
    <w:rsid w:val="00E92779"/>
    <w:rsid w:val="00E92809"/>
    <w:rsid w:val="00E92B04"/>
    <w:rsid w:val="00E930D2"/>
    <w:rsid w:val="00E936E1"/>
    <w:rsid w:val="00E93C4A"/>
    <w:rsid w:val="00E93DA2"/>
    <w:rsid w:val="00E95076"/>
    <w:rsid w:val="00E9543D"/>
    <w:rsid w:val="00E9564F"/>
    <w:rsid w:val="00E96010"/>
    <w:rsid w:val="00E960F9"/>
    <w:rsid w:val="00E96482"/>
    <w:rsid w:val="00E968F3"/>
    <w:rsid w:val="00E9714F"/>
    <w:rsid w:val="00E971DD"/>
    <w:rsid w:val="00E9738A"/>
    <w:rsid w:val="00E974AA"/>
    <w:rsid w:val="00E97A6A"/>
    <w:rsid w:val="00E97A6B"/>
    <w:rsid w:val="00EA036C"/>
    <w:rsid w:val="00EA03DD"/>
    <w:rsid w:val="00EA0885"/>
    <w:rsid w:val="00EA0964"/>
    <w:rsid w:val="00EA0A64"/>
    <w:rsid w:val="00EA0A8A"/>
    <w:rsid w:val="00EA102B"/>
    <w:rsid w:val="00EA116A"/>
    <w:rsid w:val="00EA116C"/>
    <w:rsid w:val="00EA1395"/>
    <w:rsid w:val="00EA1435"/>
    <w:rsid w:val="00EA1737"/>
    <w:rsid w:val="00EA179A"/>
    <w:rsid w:val="00EA17E6"/>
    <w:rsid w:val="00EA1B2B"/>
    <w:rsid w:val="00EA1BE1"/>
    <w:rsid w:val="00EA1E72"/>
    <w:rsid w:val="00EA2113"/>
    <w:rsid w:val="00EA25BB"/>
    <w:rsid w:val="00EA26DD"/>
    <w:rsid w:val="00EA276C"/>
    <w:rsid w:val="00EA289D"/>
    <w:rsid w:val="00EA29A8"/>
    <w:rsid w:val="00EA30A4"/>
    <w:rsid w:val="00EA316C"/>
    <w:rsid w:val="00EA33E4"/>
    <w:rsid w:val="00EA368B"/>
    <w:rsid w:val="00EA3708"/>
    <w:rsid w:val="00EA385D"/>
    <w:rsid w:val="00EA3B6D"/>
    <w:rsid w:val="00EA3D28"/>
    <w:rsid w:val="00EA401A"/>
    <w:rsid w:val="00EA40FF"/>
    <w:rsid w:val="00EA41AE"/>
    <w:rsid w:val="00EA4456"/>
    <w:rsid w:val="00EA4806"/>
    <w:rsid w:val="00EA4E81"/>
    <w:rsid w:val="00EA5301"/>
    <w:rsid w:val="00EA5515"/>
    <w:rsid w:val="00EA6167"/>
    <w:rsid w:val="00EA6765"/>
    <w:rsid w:val="00EA67D5"/>
    <w:rsid w:val="00EA683C"/>
    <w:rsid w:val="00EA6D8A"/>
    <w:rsid w:val="00EA6ED9"/>
    <w:rsid w:val="00EA7279"/>
    <w:rsid w:val="00EA73E3"/>
    <w:rsid w:val="00EA7476"/>
    <w:rsid w:val="00EA7738"/>
    <w:rsid w:val="00EA7829"/>
    <w:rsid w:val="00EB0573"/>
    <w:rsid w:val="00EB07B6"/>
    <w:rsid w:val="00EB1003"/>
    <w:rsid w:val="00EB1300"/>
    <w:rsid w:val="00EB1574"/>
    <w:rsid w:val="00EB158F"/>
    <w:rsid w:val="00EB1906"/>
    <w:rsid w:val="00EB1926"/>
    <w:rsid w:val="00EB1C99"/>
    <w:rsid w:val="00EB1EAB"/>
    <w:rsid w:val="00EB214E"/>
    <w:rsid w:val="00EB2288"/>
    <w:rsid w:val="00EB2356"/>
    <w:rsid w:val="00EB24CF"/>
    <w:rsid w:val="00EB2895"/>
    <w:rsid w:val="00EB2990"/>
    <w:rsid w:val="00EB2A65"/>
    <w:rsid w:val="00EB3559"/>
    <w:rsid w:val="00EB371D"/>
    <w:rsid w:val="00EB3C8D"/>
    <w:rsid w:val="00EB41D2"/>
    <w:rsid w:val="00EB429C"/>
    <w:rsid w:val="00EB430D"/>
    <w:rsid w:val="00EB4465"/>
    <w:rsid w:val="00EB46BF"/>
    <w:rsid w:val="00EB4785"/>
    <w:rsid w:val="00EB4ABE"/>
    <w:rsid w:val="00EB5107"/>
    <w:rsid w:val="00EB51C6"/>
    <w:rsid w:val="00EB5658"/>
    <w:rsid w:val="00EB57EB"/>
    <w:rsid w:val="00EB5B11"/>
    <w:rsid w:val="00EB5C24"/>
    <w:rsid w:val="00EB5CA0"/>
    <w:rsid w:val="00EB62DF"/>
    <w:rsid w:val="00EB6894"/>
    <w:rsid w:val="00EB68F3"/>
    <w:rsid w:val="00EB68FB"/>
    <w:rsid w:val="00EB6C2A"/>
    <w:rsid w:val="00EB6CD0"/>
    <w:rsid w:val="00EB7191"/>
    <w:rsid w:val="00EB71CB"/>
    <w:rsid w:val="00EB7281"/>
    <w:rsid w:val="00EC0497"/>
    <w:rsid w:val="00EC06BD"/>
    <w:rsid w:val="00EC0ACE"/>
    <w:rsid w:val="00EC0B82"/>
    <w:rsid w:val="00EC0CE0"/>
    <w:rsid w:val="00EC0DD9"/>
    <w:rsid w:val="00EC0E6A"/>
    <w:rsid w:val="00EC1118"/>
    <w:rsid w:val="00EC11DE"/>
    <w:rsid w:val="00EC1344"/>
    <w:rsid w:val="00EC1484"/>
    <w:rsid w:val="00EC157B"/>
    <w:rsid w:val="00EC17C0"/>
    <w:rsid w:val="00EC21E1"/>
    <w:rsid w:val="00EC21F4"/>
    <w:rsid w:val="00EC2262"/>
    <w:rsid w:val="00EC22F9"/>
    <w:rsid w:val="00EC237A"/>
    <w:rsid w:val="00EC24C1"/>
    <w:rsid w:val="00EC2D86"/>
    <w:rsid w:val="00EC2FDE"/>
    <w:rsid w:val="00EC3261"/>
    <w:rsid w:val="00EC35CD"/>
    <w:rsid w:val="00EC38DA"/>
    <w:rsid w:val="00EC39FB"/>
    <w:rsid w:val="00EC3EA2"/>
    <w:rsid w:val="00EC3F42"/>
    <w:rsid w:val="00EC3FE2"/>
    <w:rsid w:val="00EC429F"/>
    <w:rsid w:val="00EC43D3"/>
    <w:rsid w:val="00EC48D5"/>
    <w:rsid w:val="00EC4AFE"/>
    <w:rsid w:val="00EC4D5F"/>
    <w:rsid w:val="00EC4EED"/>
    <w:rsid w:val="00EC5538"/>
    <w:rsid w:val="00EC5594"/>
    <w:rsid w:val="00EC597D"/>
    <w:rsid w:val="00EC5D0C"/>
    <w:rsid w:val="00EC5EF1"/>
    <w:rsid w:val="00EC6103"/>
    <w:rsid w:val="00EC66CA"/>
    <w:rsid w:val="00EC67E6"/>
    <w:rsid w:val="00EC6933"/>
    <w:rsid w:val="00EC6B3F"/>
    <w:rsid w:val="00EC6CC3"/>
    <w:rsid w:val="00EC71A5"/>
    <w:rsid w:val="00EC7222"/>
    <w:rsid w:val="00EC7697"/>
    <w:rsid w:val="00EC7EC8"/>
    <w:rsid w:val="00EC7FF6"/>
    <w:rsid w:val="00ED135C"/>
    <w:rsid w:val="00ED1755"/>
    <w:rsid w:val="00ED1AEA"/>
    <w:rsid w:val="00ED1E37"/>
    <w:rsid w:val="00ED1F47"/>
    <w:rsid w:val="00ED20FB"/>
    <w:rsid w:val="00ED2157"/>
    <w:rsid w:val="00ED295B"/>
    <w:rsid w:val="00ED300B"/>
    <w:rsid w:val="00ED30FD"/>
    <w:rsid w:val="00ED337F"/>
    <w:rsid w:val="00ED3750"/>
    <w:rsid w:val="00ED38CC"/>
    <w:rsid w:val="00ED3B12"/>
    <w:rsid w:val="00ED3CD3"/>
    <w:rsid w:val="00ED3EA4"/>
    <w:rsid w:val="00ED4481"/>
    <w:rsid w:val="00ED4657"/>
    <w:rsid w:val="00ED46D2"/>
    <w:rsid w:val="00ED4CE5"/>
    <w:rsid w:val="00ED53A0"/>
    <w:rsid w:val="00ED548B"/>
    <w:rsid w:val="00ED5E25"/>
    <w:rsid w:val="00ED5E35"/>
    <w:rsid w:val="00ED623B"/>
    <w:rsid w:val="00ED640E"/>
    <w:rsid w:val="00ED67E2"/>
    <w:rsid w:val="00ED6A05"/>
    <w:rsid w:val="00ED6A0A"/>
    <w:rsid w:val="00ED6CDF"/>
    <w:rsid w:val="00ED70FA"/>
    <w:rsid w:val="00ED7473"/>
    <w:rsid w:val="00ED7AAB"/>
    <w:rsid w:val="00ED7DE6"/>
    <w:rsid w:val="00EE0072"/>
    <w:rsid w:val="00EE00C8"/>
    <w:rsid w:val="00EE0462"/>
    <w:rsid w:val="00EE04C8"/>
    <w:rsid w:val="00EE0F6D"/>
    <w:rsid w:val="00EE1173"/>
    <w:rsid w:val="00EE135F"/>
    <w:rsid w:val="00EE17D0"/>
    <w:rsid w:val="00EE1823"/>
    <w:rsid w:val="00EE1C4C"/>
    <w:rsid w:val="00EE20DF"/>
    <w:rsid w:val="00EE2474"/>
    <w:rsid w:val="00EE25CA"/>
    <w:rsid w:val="00EE26AF"/>
    <w:rsid w:val="00EE285F"/>
    <w:rsid w:val="00EE28F0"/>
    <w:rsid w:val="00EE2951"/>
    <w:rsid w:val="00EE2B0F"/>
    <w:rsid w:val="00EE2E32"/>
    <w:rsid w:val="00EE2EA6"/>
    <w:rsid w:val="00EE329E"/>
    <w:rsid w:val="00EE3754"/>
    <w:rsid w:val="00EE3B92"/>
    <w:rsid w:val="00EE3BC6"/>
    <w:rsid w:val="00EE3CC8"/>
    <w:rsid w:val="00EE3CD1"/>
    <w:rsid w:val="00EE421F"/>
    <w:rsid w:val="00EE42DD"/>
    <w:rsid w:val="00EE4697"/>
    <w:rsid w:val="00EE46F1"/>
    <w:rsid w:val="00EE486E"/>
    <w:rsid w:val="00EE4A0F"/>
    <w:rsid w:val="00EE4B19"/>
    <w:rsid w:val="00EE50DD"/>
    <w:rsid w:val="00EE50EA"/>
    <w:rsid w:val="00EE5133"/>
    <w:rsid w:val="00EE549A"/>
    <w:rsid w:val="00EE5A17"/>
    <w:rsid w:val="00EE5C44"/>
    <w:rsid w:val="00EE62E8"/>
    <w:rsid w:val="00EE6618"/>
    <w:rsid w:val="00EE680E"/>
    <w:rsid w:val="00EE6939"/>
    <w:rsid w:val="00EE71F0"/>
    <w:rsid w:val="00EE74F5"/>
    <w:rsid w:val="00EF00BC"/>
    <w:rsid w:val="00EF00E1"/>
    <w:rsid w:val="00EF02AD"/>
    <w:rsid w:val="00EF0393"/>
    <w:rsid w:val="00EF0B50"/>
    <w:rsid w:val="00EF0C17"/>
    <w:rsid w:val="00EF11C4"/>
    <w:rsid w:val="00EF120E"/>
    <w:rsid w:val="00EF18AF"/>
    <w:rsid w:val="00EF1A5A"/>
    <w:rsid w:val="00EF1C6D"/>
    <w:rsid w:val="00EF1EB2"/>
    <w:rsid w:val="00EF228A"/>
    <w:rsid w:val="00EF293E"/>
    <w:rsid w:val="00EF2A72"/>
    <w:rsid w:val="00EF2BC0"/>
    <w:rsid w:val="00EF2FD1"/>
    <w:rsid w:val="00EF31E3"/>
    <w:rsid w:val="00EF322A"/>
    <w:rsid w:val="00EF35A0"/>
    <w:rsid w:val="00EF3B65"/>
    <w:rsid w:val="00EF4431"/>
    <w:rsid w:val="00EF44C3"/>
    <w:rsid w:val="00EF46E4"/>
    <w:rsid w:val="00EF4EF0"/>
    <w:rsid w:val="00EF4F2D"/>
    <w:rsid w:val="00EF4FD4"/>
    <w:rsid w:val="00EF508B"/>
    <w:rsid w:val="00EF51DE"/>
    <w:rsid w:val="00EF575B"/>
    <w:rsid w:val="00EF57CD"/>
    <w:rsid w:val="00EF57E4"/>
    <w:rsid w:val="00EF5BEA"/>
    <w:rsid w:val="00EF611D"/>
    <w:rsid w:val="00EF65C4"/>
    <w:rsid w:val="00EF66C5"/>
    <w:rsid w:val="00EF79C0"/>
    <w:rsid w:val="00F00261"/>
    <w:rsid w:val="00F00397"/>
    <w:rsid w:val="00F008B9"/>
    <w:rsid w:val="00F008D1"/>
    <w:rsid w:val="00F0111E"/>
    <w:rsid w:val="00F01885"/>
    <w:rsid w:val="00F01C1A"/>
    <w:rsid w:val="00F01DA9"/>
    <w:rsid w:val="00F0225C"/>
    <w:rsid w:val="00F023E7"/>
    <w:rsid w:val="00F024CC"/>
    <w:rsid w:val="00F02A5D"/>
    <w:rsid w:val="00F02E79"/>
    <w:rsid w:val="00F02E7A"/>
    <w:rsid w:val="00F02FB2"/>
    <w:rsid w:val="00F0317B"/>
    <w:rsid w:val="00F0341B"/>
    <w:rsid w:val="00F036E3"/>
    <w:rsid w:val="00F04052"/>
    <w:rsid w:val="00F04081"/>
    <w:rsid w:val="00F0452C"/>
    <w:rsid w:val="00F046C9"/>
    <w:rsid w:val="00F047FA"/>
    <w:rsid w:val="00F04FB0"/>
    <w:rsid w:val="00F0519D"/>
    <w:rsid w:val="00F051E7"/>
    <w:rsid w:val="00F05B63"/>
    <w:rsid w:val="00F05FF9"/>
    <w:rsid w:val="00F063B1"/>
    <w:rsid w:val="00F0670C"/>
    <w:rsid w:val="00F06D46"/>
    <w:rsid w:val="00F06E9B"/>
    <w:rsid w:val="00F073DF"/>
    <w:rsid w:val="00F0747B"/>
    <w:rsid w:val="00F07766"/>
    <w:rsid w:val="00F07F71"/>
    <w:rsid w:val="00F1033E"/>
    <w:rsid w:val="00F10431"/>
    <w:rsid w:val="00F10929"/>
    <w:rsid w:val="00F10F1C"/>
    <w:rsid w:val="00F1159B"/>
    <w:rsid w:val="00F116D4"/>
    <w:rsid w:val="00F12172"/>
    <w:rsid w:val="00F1278E"/>
    <w:rsid w:val="00F12AEF"/>
    <w:rsid w:val="00F13045"/>
    <w:rsid w:val="00F131F2"/>
    <w:rsid w:val="00F13355"/>
    <w:rsid w:val="00F13C06"/>
    <w:rsid w:val="00F13E84"/>
    <w:rsid w:val="00F140DF"/>
    <w:rsid w:val="00F142E1"/>
    <w:rsid w:val="00F1440E"/>
    <w:rsid w:val="00F14546"/>
    <w:rsid w:val="00F148A0"/>
    <w:rsid w:val="00F14949"/>
    <w:rsid w:val="00F14BC0"/>
    <w:rsid w:val="00F14C52"/>
    <w:rsid w:val="00F14DD5"/>
    <w:rsid w:val="00F15033"/>
    <w:rsid w:val="00F150B0"/>
    <w:rsid w:val="00F15B29"/>
    <w:rsid w:val="00F15F00"/>
    <w:rsid w:val="00F16828"/>
    <w:rsid w:val="00F16A91"/>
    <w:rsid w:val="00F16E4A"/>
    <w:rsid w:val="00F17209"/>
    <w:rsid w:val="00F17911"/>
    <w:rsid w:val="00F17A9C"/>
    <w:rsid w:val="00F17F7A"/>
    <w:rsid w:val="00F20203"/>
    <w:rsid w:val="00F20209"/>
    <w:rsid w:val="00F20359"/>
    <w:rsid w:val="00F209E2"/>
    <w:rsid w:val="00F20C15"/>
    <w:rsid w:val="00F20FF1"/>
    <w:rsid w:val="00F21116"/>
    <w:rsid w:val="00F2147C"/>
    <w:rsid w:val="00F21925"/>
    <w:rsid w:val="00F224A3"/>
    <w:rsid w:val="00F22919"/>
    <w:rsid w:val="00F22E59"/>
    <w:rsid w:val="00F22FE2"/>
    <w:rsid w:val="00F234FD"/>
    <w:rsid w:val="00F2351E"/>
    <w:rsid w:val="00F23681"/>
    <w:rsid w:val="00F23793"/>
    <w:rsid w:val="00F23C6D"/>
    <w:rsid w:val="00F24676"/>
    <w:rsid w:val="00F24CBD"/>
    <w:rsid w:val="00F25001"/>
    <w:rsid w:val="00F25104"/>
    <w:rsid w:val="00F2515F"/>
    <w:rsid w:val="00F2528F"/>
    <w:rsid w:val="00F256FB"/>
    <w:rsid w:val="00F2591B"/>
    <w:rsid w:val="00F25BCD"/>
    <w:rsid w:val="00F261B8"/>
    <w:rsid w:val="00F2631E"/>
    <w:rsid w:val="00F269AB"/>
    <w:rsid w:val="00F26CE9"/>
    <w:rsid w:val="00F26D78"/>
    <w:rsid w:val="00F26EF9"/>
    <w:rsid w:val="00F27107"/>
    <w:rsid w:val="00F2730E"/>
    <w:rsid w:val="00F2733D"/>
    <w:rsid w:val="00F273E2"/>
    <w:rsid w:val="00F2762E"/>
    <w:rsid w:val="00F27674"/>
    <w:rsid w:val="00F279A8"/>
    <w:rsid w:val="00F27AA6"/>
    <w:rsid w:val="00F27C6A"/>
    <w:rsid w:val="00F302F3"/>
    <w:rsid w:val="00F311A8"/>
    <w:rsid w:val="00F314F8"/>
    <w:rsid w:val="00F31785"/>
    <w:rsid w:val="00F317A6"/>
    <w:rsid w:val="00F31834"/>
    <w:rsid w:val="00F3205F"/>
    <w:rsid w:val="00F3234A"/>
    <w:rsid w:val="00F3276F"/>
    <w:rsid w:val="00F32AC8"/>
    <w:rsid w:val="00F32CB4"/>
    <w:rsid w:val="00F330D4"/>
    <w:rsid w:val="00F335DC"/>
    <w:rsid w:val="00F33731"/>
    <w:rsid w:val="00F33B32"/>
    <w:rsid w:val="00F33F21"/>
    <w:rsid w:val="00F34245"/>
    <w:rsid w:val="00F34459"/>
    <w:rsid w:val="00F349BA"/>
    <w:rsid w:val="00F34B5D"/>
    <w:rsid w:val="00F34BB8"/>
    <w:rsid w:val="00F34C75"/>
    <w:rsid w:val="00F34D41"/>
    <w:rsid w:val="00F35467"/>
    <w:rsid w:val="00F35583"/>
    <w:rsid w:val="00F356F4"/>
    <w:rsid w:val="00F357A4"/>
    <w:rsid w:val="00F35C4F"/>
    <w:rsid w:val="00F366D2"/>
    <w:rsid w:val="00F368DB"/>
    <w:rsid w:val="00F36DEC"/>
    <w:rsid w:val="00F3708C"/>
    <w:rsid w:val="00F3746F"/>
    <w:rsid w:val="00F37481"/>
    <w:rsid w:val="00F37771"/>
    <w:rsid w:val="00F37923"/>
    <w:rsid w:val="00F379DD"/>
    <w:rsid w:val="00F37BA0"/>
    <w:rsid w:val="00F4031C"/>
    <w:rsid w:val="00F4037A"/>
    <w:rsid w:val="00F404CF"/>
    <w:rsid w:val="00F404F5"/>
    <w:rsid w:val="00F40EFA"/>
    <w:rsid w:val="00F40F0E"/>
    <w:rsid w:val="00F410D0"/>
    <w:rsid w:val="00F411A5"/>
    <w:rsid w:val="00F41429"/>
    <w:rsid w:val="00F41502"/>
    <w:rsid w:val="00F4167D"/>
    <w:rsid w:val="00F41791"/>
    <w:rsid w:val="00F41A99"/>
    <w:rsid w:val="00F41AA2"/>
    <w:rsid w:val="00F41AAD"/>
    <w:rsid w:val="00F41B71"/>
    <w:rsid w:val="00F41CF3"/>
    <w:rsid w:val="00F41EC4"/>
    <w:rsid w:val="00F41F8E"/>
    <w:rsid w:val="00F41FE5"/>
    <w:rsid w:val="00F4216D"/>
    <w:rsid w:val="00F423FD"/>
    <w:rsid w:val="00F42D56"/>
    <w:rsid w:val="00F4368F"/>
    <w:rsid w:val="00F43732"/>
    <w:rsid w:val="00F437E1"/>
    <w:rsid w:val="00F43960"/>
    <w:rsid w:val="00F43C50"/>
    <w:rsid w:val="00F43DE1"/>
    <w:rsid w:val="00F441BD"/>
    <w:rsid w:val="00F44399"/>
    <w:rsid w:val="00F447ED"/>
    <w:rsid w:val="00F44F05"/>
    <w:rsid w:val="00F44FC6"/>
    <w:rsid w:val="00F45194"/>
    <w:rsid w:val="00F45242"/>
    <w:rsid w:val="00F45A91"/>
    <w:rsid w:val="00F45EC3"/>
    <w:rsid w:val="00F460F1"/>
    <w:rsid w:val="00F4633F"/>
    <w:rsid w:val="00F466D8"/>
    <w:rsid w:val="00F46B97"/>
    <w:rsid w:val="00F46CD4"/>
    <w:rsid w:val="00F46ED5"/>
    <w:rsid w:val="00F46FF9"/>
    <w:rsid w:val="00F47292"/>
    <w:rsid w:val="00F47530"/>
    <w:rsid w:val="00F476F5"/>
    <w:rsid w:val="00F4787B"/>
    <w:rsid w:val="00F47B38"/>
    <w:rsid w:val="00F47C22"/>
    <w:rsid w:val="00F501AE"/>
    <w:rsid w:val="00F50783"/>
    <w:rsid w:val="00F50869"/>
    <w:rsid w:val="00F5086C"/>
    <w:rsid w:val="00F50A01"/>
    <w:rsid w:val="00F50EC0"/>
    <w:rsid w:val="00F5122D"/>
    <w:rsid w:val="00F51433"/>
    <w:rsid w:val="00F524E0"/>
    <w:rsid w:val="00F526C3"/>
    <w:rsid w:val="00F52AD0"/>
    <w:rsid w:val="00F52F78"/>
    <w:rsid w:val="00F53290"/>
    <w:rsid w:val="00F53362"/>
    <w:rsid w:val="00F533CE"/>
    <w:rsid w:val="00F535C4"/>
    <w:rsid w:val="00F53928"/>
    <w:rsid w:val="00F53ACC"/>
    <w:rsid w:val="00F53BCB"/>
    <w:rsid w:val="00F53D26"/>
    <w:rsid w:val="00F53E65"/>
    <w:rsid w:val="00F53FFB"/>
    <w:rsid w:val="00F54997"/>
    <w:rsid w:val="00F54AE4"/>
    <w:rsid w:val="00F54BB3"/>
    <w:rsid w:val="00F54D41"/>
    <w:rsid w:val="00F55226"/>
    <w:rsid w:val="00F55A98"/>
    <w:rsid w:val="00F5685F"/>
    <w:rsid w:val="00F56A0A"/>
    <w:rsid w:val="00F56D63"/>
    <w:rsid w:val="00F576A4"/>
    <w:rsid w:val="00F576C9"/>
    <w:rsid w:val="00F60485"/>
    <w:rsid w:val="00F60771"/>
    <w:rsid w:val="00F60C9C"/>
    <w:rsid w:val="00F60EE6"/>
    <w:rsid w:val="00F6131D"/>
    <w:rsid w:val="00F61399"/>
    <w:rsid w:val="00F61730"/>
    <w:rsid w:val="00F61913"/>
    <w:rsid w:val="00F61F02"/>
    <w:rsid w:val="00F62D33"/>
    <w:rsid w:val="00F62F80"/>
    <w:rsid w:val="00F632C4"/>
    <w:rsid w:val="00F63712"/>
    <w:rsid w:val="00F63A87"/>
    <w:rsid w:val="00F64197"/>
    <w:rsid w:val="00F6422F"/>
    <w:rsid w:val="00F64280"/>
    <w:rsid w:val="00F644E2"/>
    <w:rsid w:val="00F6461E"/>
    <w:rsid w:val="00F64AEC"/>
    <w:rsid w:val="00F64ECC"/>
    <w:rsid w:val="00F65327"/>
    <w:rsid w:val="00F6544A"/>
    <w:rsid w:val="00F66290"/>
    <w:rsid w:val="00F662A5"/>
    <w:rsid w:val="00F6663E"/>
    <w:rsid w:val="00F667D5"/>
    <w:rsid w:val="00F6685A"/>
    <w:rsid w:val="00F669BB"/>
    <w:rsid w:val="00F66C18"/>
    <w:rsid w:val="00F66D4F"/>
    <w:rsid w:val="00F670F5"/>
    <w:rsid w:val="00F67308"/>
    <w:rsid w:val="00F674FD"/>
    <w:rsid w:val="00F70706"/>
    <w:rsid w:val="00F70719"/>
    <w:rsid w:val="00F70778"/>
    <w:rsid w:val="00F707E1"/>
    <w:rsid w:val="00F71508"/>
    <w:rsid w:val="00F71509"/>
    <w:rsid w:val="00F71623"/>
    <w:rsid w:val="00F7176C"/>
    <w:rsid w:val="00F717EB"/>
    <w:rsid w:val="00F71986"/>
    <w:rsid w:val="00F720CC"/>
    <w:rsid w:val="00F72538"/>
    <w:rsid w:val="00F725C3"/>
    <w:rsid w:val="00F72679"/>
    <w:rsid w:val="00F7270F"/>
    <w:rsid w:val="00F72805"/>
    <w:rsid w:val="00F72A48"/>
    <w:rsid w:val="00F72B90"/>
    <w:rsid w:val="00F72F8D"/>
    <w:rsid w:val="00F730ED"/>
    <w:rsid w:val="00F7317C"/>
    <w:rsid w:val="00F736F1"/>
    <w:rsid w:val="00F73AFF"/>
    <w:rsid w:val="00F73E85"/>
    <w:rsid w:val="00F73EC7"/>
    <w:rsid w:val="00F73F05"/>
    <w:rsid w:val="00F74009"/>
    <w:rsid w:val="00F74084"/>
    <w:rsid w:val="00F743C2"/>
    <w:rsid w:val="00F74601"/>
    <w:rsid w:val="00F74678"/>
    <w:rsid w:val="00F7484E"/>
    <w:rsid w:val="00F74993"/>
    <w:rsid w:val="00F74BD3"/>
    <w:rsid w:val="00F75A40"/>
    <w:rsid w:val="00F760E8"/>
    <w:rsid w:val="00F763CD"/>
    <w:rsid w:val="00F765BB"/>
    <w:rsid w:val="00F7667B"/>
    <w:rsid w:val="00F766F9"/>
    <w:rsid w:val="00F76B04"/>
    <w:rsid w:val="00F76C16"/>
    <w:rsid w:val="00F76EDA"/>
    <w:rsid w:val="00F77403"/>
    <w:rsid w:val="00F7776E"/>
    <w:rsid w:val="00F77C79"/>
    <w:rsid w:val="00F80082"/>
    <w:rsid w:val="00F800C4"/>
    <w:rsid w:val="00F802FF"/>
    <w:rsid w:val="00F8051A"/>
    <w:rsid w:val="00F805A4"/>
    <w:rsid w:val="00F80C59"/>
    <w:rsid w:val="00F81468"/>
    <w:rsid w:val="00F81551"/>
    <w:rsid w:val="00F81B60"/>
    <w:rsid w:val="00F81D20"/>
    <w:rsid w:val="00F82906"/>
    <w:rsid w:val="00F82B4B"/>
    <w:rsid w:val="00F82CBA"/>
    <w:rsid w:val="00F82D40"/>
    <w:rsid w:val="00F8314A"/>
    <w:rsid w:val="00F831C4"/>
    <w:rsid w:val="00F832CF"/>
    <w:rsid w:val="00F8344E"/>
    <w:rsid w:val="00F83728"/>
    <w:rsid w:val="00F838E5"/>
    <w:rsid w:val="00F84108"/>
    <w:rsid w:val="00F841B5"/>
    <w:rsid w:val="00F84290"/>
    <w:rsid w:val="00F8429D"/>
    <w:rsid w:val="00F84992"/>
    <w:rsid w:val="00F84CCF"/>
    <w:rsid w:val="00F84F62"/>
    <w:rsid w:val="00F854D5"/>
    <w:rsid w:val="00F85700"/>
    <w:rsid w:val="00F85A92"/>
    <w:rsid w:val="00F85AAC"/>
    <w:rsid w:val="00F85E18"/>
    <w:rsid w:val="00F86295"/>
    <w:rsid w:val="00F863F9"/>
    <w:rsid w:val="00F8694F"/>
    <w:rsid w:val="00F86C1F"/>
    <w:rsid w:val="00F86CA5"/>
    <w:rsid w:val="00F87CC2"/>
    <w:rsid w:val="00F90148"/>
    <w:rsid w:val="00F901C7"/>
    <w:rsid w:val="00F9041C"/>
    <w:rsid w:val="00F908C1"/>
    <w:rsid w:val="00F90DD7"/>
    <w:rsid w:val="00F911C5"/>
    <w:rsid w:val="00F914EB"/>
    <w:rsid w:val="00F9154F"/>
    <w:rsid w:val="00F91930"/>
    <w:rsid w:val="00F91E07"/>
    <w:rsid w:val="00F91EBE"/>
    <w:rsid w:val="00F92010"/>
    <w:rsid w:val="00F921DB"/>
    <w:rsid w:val="00F92DB2"/>
    <w:rsid w:val="00F938CF"/>
    <w:rsid w:val="00F93915"/>
    <w:rsid w:val="00F93AA5"/>
    <w:rsid w:val="00F93CBE"/>
    <w:rsid w:val="00F93E95"/>
    <w:rsid w:val="00F9420C"/>
    <w:rsid w:val="00F94932"/>
    <w:rsid w:val="00F950D1"/>
    <w:rsid w:val="00F953C9"/>
    <w:rsid w:val="00F957F3"/>
    <w:rsid w:val="00F95833"/>
    <w:rsid w:val="00F9592B"/>
    <w:rsid w:val="00F959C8"/>
    <w:rsid w:val="00F95E29"/>
    <w:rsid w:val="00F962B0"/>
    <w:rsid w:val="00F969A9"/>
    <w:rsid w:val="00F96B62"/>
    <w:rsid w:val="00F970BE"/>
    <w:rsid w:val="00F9792E"/>
    <w:rsid w:val="00F979BF"/>
    <w:rsid w:val="00F97B48"/>
    <w:rsid w:val="00F97CB5"/>
    <w:rsid w:val="00FA001F"/>
    <w:rsid w:val="00FA013F"/>
    <w:rsid w:val="00FA0522"/>
    <w:rsid w:val="00FA099F"/>
    <w:rsid w:val="00FA0C75"/>
    <w:rsid w:val="00FA0FE1"/>
    <w:rsid w:val="00FA115B"/>
    <w:rsid w:val="00FA14BA"/>
    <w:rsid w:val="00FA163D"/>
    <w:rsid w:val="00FA17F9"/>
    <w:rsid w:val="00FA18C1"/>
    <w:rsid w:val="00FA19C5"/>
    <w:rsid w:val="00FA1B85"/>
    <w:rsid w:val="00FA1EFA"/>
    <w:rsid w:val="00FA252D"/>
    <w:rsid w:val="00FA2635"/>
    <w:rsid w:val="00FA2662"/>
    <w:rsid w:val="00FA26BE"/>
    <w:rsid w:val="00FA26E7"/>
    <w:rsid w:val="00FA3534"/>
    <w:rsid w:val="00FA3789"/>
    <w:rsid w:val="00FA37B9"/>
    <w:rsid w:val="00FA3947"/>
    <w:rsid w:val="00FA3E06"/>
    <w:rsid w:val="00FA48B0"/>
    <w:rsid w:val="00FA4AD4"/>
    <w:rsid w:val="00FA4E1C"/>
    <w:rsid w:val="00FA513C"/>
    <w:rsid w:val="00FA5231"/>
    <w:rsid w:val="00FA541D"/>
    <w:rsid w:val="00FA5928"/>
    <w:rsid w:val="00FA5A93"/>
    <w:rsid w:val="00FA5DE4"/>
    <w:rsid w:val="00FA649C"/>
    <w:rsid w:val="00FA655E"/>
    <w:rsid w:val="00FA6560"/>
    <w:rsid w:val="00FA67A1"/>
    <w:rsid w:val="00FA693E"/>
    <w:rsid w:val="00FA6A2A"/>
    <w:rsid w:val="00FA6E9A"/>
    <w:rsid w:val="00FA6EDE"/>
    <w:rsid w:val="00FA7094"/>
    <w:rsid w:val="00FA7647"/>
    <w:rsid w:val="00FA76C9"/>
    <w:rsid w:val="00FA76CE"/>
    <w:rsid w:val="00FA79D6"/>
    <w:rsid w:val="00FA7A98"/>
    <w:rsid w:val="00FA7B2E"/>
    <w:rsid w:val="00FA7F43"/>
    <w:rsid w:val="00FB044B"/>
    <w:rsid w:val="00FB05BD"/>
    <w:rsid w:val="00FB0879"/>
    <w:rsid w:val="00FB0971"/>
    <w:rsid w:val="00FB12BD"/>
    <w:rsid w:val="00FB1989"/>
    <w:rsid w:val="00FB19A8"/>
    <w:rsid w:val="00FB1AA4"/>
    <w:rsid w:val="00FB2341"/>
    <w:rsid w:val="00FB255D"/>
    <w:rsid w:val="00FB2602"/>
    <w:rsid w:val="00FB2772"/>
    <w:rsid w:val="00FB2A88"/>
    <w:rsid w:val="00FB2D78"/>
    <w:rsid w:val="00FB2FA2"/>
    <w:rsid w:val="00FB314B"/>
    <w:rsid w:val="00FB32CE"/>
    <w:rsid w:val="00FB3339"/>
    <w:rsid w:val="00FB358F"/>
    <w:rsid w:val="00FB36D0"/>
    <w:rsid w:val="00FB39F1"/>
    <w:rsid w:val="00FB3E56"/>
    <w:rsid w:val="00FB421E"/>
    <w:rsid w:val="00FB4437"/>
    <w:rsid w:val="00FB4593"/>
    <w:rsid w:val="00FB473F"/>
    <w:rsid w:val="00FB48A6"/>
    <w:rsid w:val="00FB4918"/>
    <w:rsid w:val="00FB4A00"/>
    <w:rsid w:val="00FB4CC9"/>
    <w:rsid w:val="00FB4D01"/>
    <w:rsid w:val="00FB4D44"/>
    <w:rsid w:val="00FB4D89"/>
    <w:rsid w:val="00FB4EE1"/>
    <w:rsid w:val="00FB5952"/>
    <w:rsid w:val="00FB5DBC"/>
    <w:rsid w:val="00FB6297"/>
    <w:rsid w:val="00FB62E0"/>
    <w:rsid w:val="00FB6783"/>
    <w:rsid w:val="00FB685B"/>
    <w:rsid w:val="00FB6F34"/>
    <w:rsid w:val="00FB6F44"/>
    <w:rsid w:val="00FB778F"/>
    <w:rsid w:val="00FB77C8"/>
    <w:rsid w:val="00FB7DD0"/>
    <w:rsid w:val="00FB7E89"/>
    <w:rsid w:val="00FC0244"/>
    <w:rsid w:val="00FC08A3"/>
    <w:rsid w:val="00FC08AA"/>
    <w:rsid w:val="00FC148B"/>
    <w:rsid w:val="00FC17BD"/>
    <w:rsid w:val="00FC185A"/>
    <w:rsid w:val="00FC1BA0"/>
    <w:rsid w:val="00FC1DBA"/>
    <w:rsid w:val="00FC1DCE"/>
    <w:rsid w:val="00FC1E06"/>
    <w:rsid w:val="00FC2258"/>
    <w:rsid w:val="00FC2730"/>
    <w:rsid w:val="00FC3209"/>
    <w:rsid w:val="00FC3B1B"/>
    <w:rsid w:val="00FC3B83"/>
    <w:rsid w:val="00FC3C7E"/>
    <w:rsid w:val="00FC3CBE"/>
    <w:rsid w:val="00FC405B"/>
    <w:rsid w:val="00FC45EF"/>
    <w:rsid w:val="00FC47CC"/>
    <w:rsid w:val="00FC4B4B"/>
    <w:rsid w:val="00FC4BD2"/>
    <w:rsid w:val="00FC525E"/>
    <w:rsid w:val="00FC5369"/>
    <w:rsid w:val="00FC5E9D"/>
    <w:rsid w:val="00FC5F67"/>
    <w:rsid w:val="00FC6042"/>
    <w:rsid w:val="00FC6287"/>
    <w:rsid w:val="00FC6365"/>
    <w:rsid w:val="00FC64D0"/>
    <w:rsid w:val="00FC65A7"/>
    <w:rsid w:val="00FC679F"/>
    <w:rsid w:val="00FC6A32"/>
    <w:rsid w:val="00FC6D8C"/>
    <w:rsid w:val="00FC7204"/>
    <w:rsid w:val="00FC757A"/>
    <w:rsid w:val="00FC75F7"/>
    <w:rsid w:val="00FC76EB"/>
    <w:rsid w:val="00FC78A4"/>
    <w:rsid w:val="00FC79B7"/>
    <w:rsid w:val="00FD0001"/>
    <w:rsid w:val="00FD014C"/>
    <w:rsid w:val="00FD0188"/>
    <w:rsid w:val="00FD0318"/>
    <w:rsid w:val="00FD0A83"/>
    <w:rsid w:val="00FD1109"/>
    <w:rsid w:val="00FD11F1"/>
    <w:rsid w:val="00FD154E"/>
    <w:rsid w:val="00FD1874"/>
    <w:rsid w:val="00FD1E61"/>
    <w:rsid w:val="00FD1EEE"/>
    <w:rsid w:val="00FD2141"/>
    <w:rsid w:val="00FD23CA"/>
    <w:rsid w:val="00FD263C"/>
    <w:rsid w:val="00FD2788"/>
    <w:rsid w:val="00FD2832"/>
    <w:rsid w:val="00FD28B6"/>
    <w:rsid w:val="00FD28CF"/>
    <w:rsid w:val="00FD291A"/>
    <w:rsid w:val="00FD296A"/>
    <w:rsid w:val="00FD2AFD"/>
    <w:rsid w:val="00FD2EE9"/>
    <w:rsid w:val="00FD3702"/>
    <w:rsid w:val="00FD3997"/>
    <w:rsid w:val="00FD3C49"/>
    <w:rsid w:val="00FD3FF3"/>
    <w:rsid w:val="00FD439D"/>
    <w:rsid w:val="00FD446F"/>
    <w:rsid w:val="00FD4788"/>
    <w:rsid w:val="00FD479F"/>
    <w:rsid w:val="00FD4B10"/>
    <w:rsid w:val="00FD4CC9"/>
    <w:rsid w:val="00FD4E45"/>
    <w:rsid w:val="00FD505D"/>
    <w:rsid w:val="00FD56AD"/>
    <w:rsid w:val="00FD5BF9"/>
    <w:rsid w:val="00FD5C42"/>
    <w:rsid w:val="00FD5E9F"/>
    <w:rsid w:val="00FD648B"/>
    <w:rsid w:val="00FD64C4"/>
    <w:rsid w:val="00FD681A"/>
    <w:rsid w:val="00FD7515"/>
    <w:rsid w:val="00FD76B1"/>
    <w:rsid w:val="00FD777A"/>
    <w:rsid w:val="00FD7884"/>
    <w:rsid w:val="00FD7A5A"/>
    <w:rsid w:val="00FE04B8"/>
    <w:rsid w:val="00FE04E2"/>
    <w:rsid w:val="00FE04E6"/>
    <w:rsid w:val="00FE05D6"/>
    <w:rsid w:val="00FE06E0"/>
    <w:rsid w:val="00FE0A1D"/>
    <w:rsid w:val="00FE0AE2"/>
    <w:rsid w:val="00FE0B9E"/>
    <w:rsid w:val="00FE0DAE"/>
    <w:rsid w:val="00FE107D"/>
    <w:rsid w:val="00FE1176"/>
    <w:rsid w:val="00FE1249"/>
    <w:rsid w:val="00FE128D"/>
    <w:rsid w:val="00FE1414"/>
    <w:rsid w:val="00FE1629"/>
    <w:rsid w:val="00FE2184"/>
    <w:rsid w:val="00FE21B3"/>
    <w:rsid w:val="00FE2333"/>
    <w:rsid w:val="00FE2789"/>
    <w:rsid w:val="00FE27C4"/>
    <w:rsid w:val="00FE27F4"/>
    <w:rsid w:val="00FE29DB"/>
    <w:rsid w:val="00FE2A6B"/>
    <w:rsid w:val="00FE30F6"/>
    <w:rsid w:val="00FE3ABA"/>
    <w:rsid w:val="00FE3FF7"/>
    <w:rsid w:val="00FE436E"/>
    <w:rsid w:val="00FE4479"/>
    <w:rsid w:val="00FE44C9"/>
    <w:rsid w:val="00FE4A60"/>
    <w:rsid w:val="00FE4C3C"/>
    <w:rsid w:val="00FE4CD8"/>
    <w:rsid w:val="00FE4CEB"/>
    <w:rsid w:val="00FE4D9B"/>
    <w:rsid w:val="00FE4DAF"/>
    <w:rsid w:val="00FE4E8D"/>
    <w:rsid w:val="00FE546C"/>
    <w:rsid w:val="00FE5540"/>
    <w:rsid w:val="00FE560B"/>
    <w:rsid w:val="00FE56E8"/>
    <w:rsid w:val="00FE5B80"/>
    <w:rsid w:val="00FE5F3B"/>
    <w:rsid w:val="00FE6021"/>
    <w:rsid w:val="00FE634B"/>
    <w:rsid w:val="00FE6358"/>
    <w:rsid w:val="00FE63FD"/>
    <w:rsid w:val="00FE6E9B"/>
    <w:rsid w:val="00FE6EB2"/>
    <w:rsid w:val="00FE6F69"/>
    <w:rsid w:val="00FE725A"/>
    <w:rsid w:val="00FE7F15"/>
    <w:rsid w:val="00FF05EF"/>
    <w:rsid w:val="00FF0A05"/>
    <w:rsid w:val="00FF0AB8"/>
    <w:rsid w:val="00FF0CFB"/>
    <w:rsid w:val="00FF1095"/>
    <w:rsid w:val="00FF1163"/>
    <w:rsid w:val="00FF1338"/>
    <w:rsid w:val="00FF1389"/>
    <w:rsid w:val="00FF13DC"/>
    <w:rsid w:val="00FF16BE"/>
    <w:rsid w:val="00FF17F6"/>
    <w:rsid w:val="00FF184F"/>
    <w:rsid w:val="00FF1A7B"/>
    <w:rsid w:val="00FF208B"/>
    <w:rsid w:val="00FF2122"/>
    <w:rsid w:val="00FF2163"/>
    <w:rsid w:val="00FF2237"/>
    <w:rsid w:val="00FF240A"/>
    <w:rsid w:val="00FF2ADE"/>
    <w:rsid w:val="00FF2B19"/>
    <w:rsid w:val="00FF2D1C"/>
    <w:rsid w:val="00FF2D24"/>
    <w:rsid w:val="00FF2D6C"/>
    <w:rsid w:val="00FF31F8"/>
    <w:rsid w:val="00FF360A"/>
    <w:rsid w:val="00FF3B8E"/>
    <w:rsid w:val="00FF40ED"/>
    <w:rsid w:val="00FF4194"/>
    <w:rsid w:val="00FF41AC"/>
    <w:rsid w:val="00FF4B37"/>
    <w:rsid w:val="00FF501E"/>
    <w:rsid w:val="00FF50A1"/>
    <w:rsid w:val="00FF5327"/>
    <w:rsid w:val="00FF6347"/>
    <w:rsid w:val="00FF65A5"/>
    <w:rsid w:val="00FF65BA"/>
    <w:rsid w:val="00FF6BBB"/>
    <w:rsid w:val="00FF701E"/>
    <w:rsid w:val="00FF744F"/>
    <w:rsid w:val="00FF761B"/>
    <w:rsid w:val="00FF7AE4"/>
    <w:rsid w:val="00FF7C6D"/>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colormru v:ext="edit" colors="#bd1f2b,#cf1e24,#d90b13,#e31c18"/>
    </o:shapedefaults>
    <o:shapelayout v:ext="edit">
      <o:idmap v:ext="edit" data="1"/>
    </o:shapelayout>
  </w:shapeDefaults>
  <w:decimalSymbol w:val=","/>
  <w:listSeparator w:val=";"/>
  <w14:docId w14:val="0F84FECE"/>
  <w15:docId w15:val="{6744C4BB-C5A0-4EF2-ACBB-D1429FE3F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3">
    <w:name w:val="heading 3"/>
    <w:basedOn w:val="Normale"/>
    <w:next w:val="Normale"/>
    <w:link w:val="Titolo3Carattere"/>
    <w:unhideWhenUsed/>
    <w:qFormat/>
    <w:locked/>
    <w:rsid w:val="00931087"/>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CC0BEA"/>
    <w:pPr>
      <w:pBdr>
        <w:bottom w:val="single" w:sz="18" w:space="1" w:color="E426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CC0BEA"/>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Paragrafoelenco">
    <w:name w:val="List Paragraph"/>
    <w:basedOn w:val="Normale"/>
    <w:uiPriority w:val="34"/>
    <w:qFormat/>
    <w:rsid w:val="002E15DD"/>
    <w:pPr>
      <w:ind w:left="720"/>
      <w:contextualSpacing/>
    </w:pPr>
  </w:style>
  <w:style w:type="character" w:customStyle="1" w:styleId="Titolo3Carattere">
    <w:name w:val="Titolo 3 Carattere"/>
    <w:basedOn w:val="Carpredefinitoparagrafo"/>
    <w:link w:val="Titolo3"/>
    <w:rsid w:val="00931087"/>
    <w:rPr>
      <w:rFonts w:asciiTheme="majorHAnsi" w:eastAsiaTheme="majorEastAsia" w:hAnsiTheme="majorHAnsi" w:cstheme="majorBidi"/>
      <w:b/>
      <w:bCs/>
      <w:color w:val="4F81BD" w:themeColor="accent1"/>
      <w:kern w:val="28"/>
    </w:rPr>
  </w:style>
  <w:style w:type="character" w:styleId="Collegamentovisitato">
    <w:name w:val="FollowedHyperlink"/>
    <w:basedOn w:val="Carpredefinitoparagrafo"/>
    <w:uiPriority w:val="99"/>
    <w:semiHidden/>
    <w:unhideWhenUsed/>
    <w:rsid w:val="00307657"/>
    <w:rPr>
      <w:color w:val="800080" w:themeColor="followedHyperlink"/>
      <w:u w:val="single"/>
    </w:rPr>
  </w:style>
  <w:style w:type="paragraph" w:styleId="Revisione">
    <w:name w:val="Revision"/>
    <w:hidden/>
    <w:uiPriority w:val="71"/>
    <w:rsid w:val="00307657"/>
    <w:rPr>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4750334">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75593832">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17978310">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44344896">
      <w:bodyDiv w:val="1"/>
      <w:marLeft w:val="0"/>
      <w:marRight w:val="0"/>
      <w:marTop w:val="0"/>
      <w:marBottom w:val="0"/>
      <w:divBdr>
        <w:top w:val="none" w:sz="0" w:space="0" w:color="auto"/>
        <w:left w:val="none" w:sz="0" w:space="0" w:color="auto"/>
        <w:bottom w:val="none" w:sz="0" w:space="0" w:color="auto"/>
        <w:right w:val="none" w:sz="0" w:space="0" w:color="auto"/>
      </w:divBdr>
    </w:div>
    <w:div w:id="252589012">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3579130">
      <w:bodyDiv w:val="1"/>
      <w:marLeft w:val="0"/>
      <w:marRight w:val="0"/>
      <w:marTop w:val="0"/>
      <w:marBottom w:val="0"/>
      <w:divBdr>
        <w:top w:val="none" w:sz="0" w:space="0" w:color="auto"/>
        <w:left w:val="none" w:sz="0" w:space="0" w:color="auto"/>
        <w:bottom w:val="none" w:sz="0" w:space="0" w:color="auto"/>
        <w:right w:val="none" w:sz="0" w:space="0" w:color="auto"/>
      </w:divBdr>
    </w:div>
    <w:div w:id="368846764">
      <w:bodyDiv w:val="1"/>
      <w:marLeft w:val="0"/>
      <w:marRight w:val="0"/>
      <w:marTop w:val="0"/>
      <w:marBottom w:val="0"/>
      <w:divBdr>
        <w:top w:val="none" w:sz="0" w:space="0" w:color="auto"/>
        <w:left w:val="none" w:sz="0" w:space="0" w:color="auto"/>
        <w:bottom w:val="none" w:sz="0" w:space="0" w:color="auto"/>
        <w:right w:val="none" w:sz="0" w:space="0" w:color="auto"/>
      </w:divBdr>
    </w:div>
    <w:div w:id="378476468">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3695070">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10221207">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598607199">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098433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3602440">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60948896">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798761380">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20541236">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54880442">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5583641">
      <w:bodyDiv w:val="1"/>
      <w:marLeft w:val="0"/>
      <w:marRight w:val="0"/>
      <w:marTop w:val="0"/>
      <w:marBottom w:val="0"/>
      <w:divBdr>
        <w:top w:val="none" w:sz="0" w:space="0" w:color="auto"/>
        <w:left w:val="none" w:sz="0" w:space="0" w:color="auto"/>
        <w:bottom w:val="none" w:sz="0" w:space="0" w:color="auto"/>
        <w:right w:val="none" w:sz="0" w:space="0" w:color="auto"/>
      </w:divBdr>
    </w:div>
    <w:div w:id="880747628">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2663943">
      <w:bodyDiv w:val="1"/>
      <w:marLeft w:val="0"/>
      <w:marRight w:val="0"/>
      <w:marTop w:val="0"/>
      <w:marBottom w:val="0"/>
      <w:divBdr>
        <w:top w:val="none" w:sz="0" w:space="0" w:color="auto"/>
        <w:left w:val="none" w:sz="0" w:space="0" w:color="auto"/>
        <w:bottom w:val="none" w:sz="0" w:space="0" w:color="auto"/>
        <w:right w:val="none" w:sz="0" w:space="0" w:color="auto"/>
      </w:divBdr>
    </w:div>
    <w:div w:id="913321603">
      <w:bodyDiv w:val="1"/>
      <w:marLeft w:val="0"/>
      <w:marRight w:val="0"/>
      <w:marTop w:val="0"/>
      <w:marBottom w:val="0"/>
      <w:divBdr>
        <w:top w:val="none" w:sz="0" w:space="0" w:color="auto"/>
        <w:left w:val="none" w:sz="0" w:space="0" w:color="auto"/>
        <w:bottom w:val="none" w:sz="0" w:space="0" w:color="auto"/>
        <w:right w:val="none" w:sz="0" w:space="0" w:color="auto"/>
      </w:divBdr>
    </w:div>
    <w:div w:id="939801416">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33845968">
      <w:bodyDiv w:val="1"/>
      <w:marLeft w:val="0"/>
      <w:marRight w:val="0"/>
      <w:marTop w:val="0"/>
      <w:marBottom w:val="0"/>
      <w:divBdr>
        <w:top w:val="none" w:sz="0" w:space="0" w:color="auto"/>
        <w:left w:val="none" w:sz="0" w:space="0" w:color="auto"/>
        <w:bottom w:val="none" w:sz="0" w:space="0" w:color="auto"/>
        <w:right w:val="none" w:sz="0" w:space="0" w:color="auto"/>
      </w:divBdr>
      <w:divsChild>
        <w:div w:id="1088041986">
          <w:marLeft w:val="0"/>
          <w:marRight w:val="0"/>
          <w:marTop w:val="0"/>
          <w:marBottom w:val="0"/>
          <w:divBdr>
            <w:top w:val="none" w:sz="0" w:space="0" w:color="auto"/>
            <w:left w:val="none" w:sz="0" w:space="0" w:color="auto"/>
            <w:bottom w:val="none" w:sz="0" w:space="0" w:color="auto"/>
            <w:right w:val="none" w:sz="0" w:space="0" w:color="auto"/>
          </w:divBdr>
        </w:div>
      </w:divsChild>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065376930">
      <w:bodyDiv w:val="1"/>
      <w:marLeft w:val="0"/>
      <w:marRight w:val="0"/>
      <w:marTop w:val="0"/>
      <w:marBottom w:val="0"/>
      <w:divBdr>
        <w:top w:val="none" w:sz="0" w:space="0" w:color="auto"/>
        <w:left w:val="none" w:sz="0" w:space="0" w:color="auto"/>
        <w:bottom w:val="none" w:sz="0" w:space="0" w:color="auto"/>
        <w:right w:val="none" w:sz="0" w:space="0" w:color="auto"/>
      </w:divBdr>
    </w:div>
    <w:div w:id="1135608306">
      <w:bodyDiv w:val="1"/>
      <w:marLeft w:val="0"/>
      <w:marRight w:val="0"/>
      <w:marTop w:val="0"/>
      <w:marBottom w:val="0"/>
      <w:divBdr>
        <w:top w:val="none" w:sz="0" w:space="0" w:color="auto"/>
        <w:left w:val="none" w:sz="0" w:space="0" w:color="auto"/>
        <w:bottom w:val="none" w:sz="0" w:space="0" w:color="auto"/>
        <w:right w:val="none" w:sz="0" w:space="0" w:color="auto"/>
      </w:divBdr>
    </w:div>
    <w:div w:id="1168522307">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71565996">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21177192">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48029264">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1449103">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20394873">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782605394">
      <w:bodyDiv w:val="1"/>
      <w:marLeft w:val="0"/>
      <w:marRight w:val="0"/>
      <w:marTop w:val="0"/>
      <w:marBottom w:val="0"/>
      <w:divBdr>
        <w:top w:val="none" w:sz="0" w:space="0" w:color="auto"/>
        <w:left w:val="none" w:sz="0" w:space="0" w:color="auto"/>
        <w:bottom w:val="none" w:sz="0" w:space="0" w:color="auto"/>
        <w:right w:val="none" w:sz="0" w:space="0" w:color="auto"/>
      </w:divBdr>
      <w:divsChild>
        <w:div w:id="189226520">
          <w:marLeft w:val="0"/>
          <w:marRight w:val="0"/>
          <w:marTop w:val="0"/>
          <w:marBottom w:val="0"/>
          <w:divBdr>
            <w:top w:val="none" w:sz="0" w:space="0" w:color="auto"/>
            <w:left w:val="none" w:sz="0" w:space="0" w:color="auto"/>
            <w:bottom w:val="none" w:sz="0" w:space="0" w:color="auto"/>
            <w:right w:val="none" w:sz="0" w:space="0" w:color="auto"/>
          </w:divBdr>
        </w:div>
      </w:divsChild>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65555478">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23487114">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39755028">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7897202">
      <w:bodyDiv w:val="1"/>
      <w:marLeft w:val="0"/>
      <w:marRight w:val="0"/>
      <w:marTop w:val="0"/>
      <w:marBottom w:val="0"/>
      <w:divBdr>
        <w:top w:val="none" w:sz="0" w:space="0" w:color="auto"/>
        <w:left w:val="none" w:sz="0" w:space="0" w:color="auto"/>
        <w:bottom w:val="none" w:sz="0" w:space="0" w:color="auto"/>
        <w:right w:val="none" w:sz="0" w:space="0" w:color="auto"/>
      </w:divBdr>
    </w:div>
    <w:div w:id="211262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yperlink" Target="https://eur-lex.europa.eu/legal-content/IT/TXT/?uri=CELEX:32020R1148"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5.xml"/><Relationship Id="rId42" Type="http://schemas.openxmlformats.org/officeDocument/2006/relationships/image" Target="media/image19.png"/><Relationship Id="rId47" Type="http://schemas.openxmlformats.org/officeDocument/2006/relationships/hyperlink" Target="http://seriestoriche.istat.it/" TargetMode="External"/><Relationship Id="rId50" Type="http://schemas.openxmlformats.org/officeDocument/2006/relationships/hyperlink" Target="mailto:rosabel.ricci@istat.i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istat.it/it/congiuntura" TargetMode="External"/><Relationship Id="rId25" Type="http://schemas.openxmlformats.org/officeDocument/2006/relationships/header" Target="header4.xml"/><Relationship Id="rId33" Type="http://schemas.openxmlformats.org/officeDocument/2006/relationships/image" Target="media/image15.png"/><Relationship Id="rId38" Type="http://schemas.openxmlformats.org/officeDocument/2006/relationships/hyperlink" Target="http://eur-lex.europa.eu/legal-content/IT/TXT/?uri=CELEX%3A32016R0792" TargetMode="External"/><Relationship Id="rId46" Type="http://schemas.openxmlformats.org/officeDocument/2006/relationships/hyperlink" Target="http://dati-congiuntura.istat.it/" TargetMode="External"/><Relationship Id="rId2" Type="http://schemas.openxmlformats.org/officeDocument/2006/relationships/customXml" Target="../customXml/item2.xml"/><Relationship Id="rId16" Type="http://schemas.openxmlformats.org/officeDocument/2006/relationships/hyperlink" Target="http://dati.istat.it/" TargetMode="External"/><Relationship Id="rId20" Type="http://schemas.openxmlformats.org/officeDocument/2006/relationships/footer" Target="footer1.xml"/><Relationship Id="rId29" Type="http://schemas.openxmlformats.org/officeDocument/2006/relationships/image" Target="media/image11.png"/><Relationship Id="rId41" Type="http://schemas.openxmlformats.org/officeDocument/2006/relationships/hyperlink" Target="http://www.istat.it/it/congiuntura/revisioni"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7.xml"/><Relationship Id="rId40" Type="http://schemas.openxmlformats.org/officeDocument/2006/relationships/hyperlink" Target="https://www.istat.it/it/files/2011/04/dlgs322.pdf" TargetMode="External"/><Relationship Id="rId45" Type="http://schemas.openxmlformats.org/officeDocument/2006/relationships/hyperlink" Target="http://dati.istat.it"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hyperlink" Target="http://ec.europa.eu/eurostat/ramon/nomenclatures/index.cfm?TargetUrl=DSP_GEN_DESC_VIEW_NOHDR&amp;StrNom=COICOP_5&amp;StrLanguageCode=EN" TargetMode="External"/><Relationship Id="rId49"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hyperlink" Target="https://www.istat.it/it/archivio/prezzi+al+consumo"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hyperlink" Target="https://www.istat.it/it/informazioni-e-servizi/per-i-giornalisti/appuntamenti/calendario-diffusioni-ed-eventi" TargetMode="External"/><Relationship Id="rId48" Type="http://schemas.openxmlformats.org/officeDocument/2006/relationships/hyperlink" Target="http://ec.europa.eu/eurostat/data/database%20" TargetMode="External"/><Relationship Id="rId8" Type="http://schemas.openxmlformats.org/officeDocument/2006/relationships/styles" Target="styles.xml"/><Relationship Id="rId51" Type="http://schemas.openxmlformats.org/officeDocument/2006/relationships/hyperlink" Target="mailto:muratore@istat.it"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dati.istat.it/" TargetMode="External"/><Relationship Id="rId2" Type="http://schemas.openxmlformats.org/officeDocument/2006/relationships/hyperlink" Target="http://ec.europa.eu/eurostat/documents/3859598/5926625/KS-RA-13-017-EN.PDF/59eb2c1c-da1f-472c-b191-3d0c76521f9b?version=1.0" TargetMode="External"/><Relationship Id="rId1" Type="http://schemas.openxmlformats.org/officeDocument/2006/relationships/hyperlink" Target="http://ec.europa.eu/eurostat/ramon/nomenclatures/index.cfm?TargetUrl=LST_NOM_DTL&amp;StrNom=HICP_2000&amp;StrLanguageCode=EN&amp;IntPcKey=&amp;StrLayoutCo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83F46-1395-4645-806B-91E455B2C2F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886d22a-1eb9-406b-961e-e52bb60f5915"/>
    <ds:schemaRef ds:uri="http://www.w3.org/XML/1998/namespace"/>
    <ds:schemaRef ds:uri="http://purl.org/dc/dcmitype/"/>
  </ds:schemaRefs>
</ds:datastoreItem>
</file>

<file path=customXml/itemProps2.xml><?xml version="1.0" encoding="utf-8"?>
<ds:datastoreItem xmlns:ds="http://schemas.openxmlformats.org/officeDocument/2006/customXml" ds:itemID="{E2E68921-35FA-472F-9A9B-31C6B1C2992E}">
  <ds:schemaRefs>
    <ds:schemaRef ds:uri="http://schemas.microsoft.com/office/2006/metadata/longProperties"/>
  </ds:schemaRefs>
</ds:datastoreItem>
</file>

<file path=customXml/itemProps3.xml><?xml version="1.0" encoding="utf-8"?>
<ds:datastoreItem xmlns:ds="http://schemas.openxmlformats.org/officeDocument/2006/customXml" ds:itemID="{65E54356-5B5F-419C-B686-0B79A877A076}">
  <ds:schemaRefs>
    <ds:schemaRef ds:uri="http://schemas.microsoft.com/sharepoint/v3/contenttype/forms"/>
  </ds:schemaRefs>
</ds:datastoreItem>
</file>

<file path=customXml/itemProps4.xml><?xml version="1.0" encoding="utf-8"?>
<ds:datastoreItem xmlns:ds="http://schemas.openxmlformats.org/officeDocument/2006/customXml" ds:itemID="{D06F6CA5-FB0D-431F-8457-B546C50DE59F}">
  <ds:schemaRefs>
    <ds:schemaRef ds:uri="http://schemas.microsoft.com/sharepoint/events"/>
  </ds:schemaRefs>
</ds:datastoreItem>
</file>

<file path=customXml/itemProps5.xml><?xml version="1.0" encoding="utf-8"?>
<ds:datastoreItem xmlns:ds="http://schemas.openxmlformats.org/officeDocument/2006/customXml" ds:itemID="{8D47A1EC-2410-43DC-8477-27E106DC8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8D428C3-4E03-4C20-8A0B-6FD61C784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10830</TotalTime>
  <Pages>21</Pages>
  <Words>10796</Words>
  <Characters>62716</Characters>
  <Application>Microsoft Office Word</Application>
  <DocSecurity>0</DocSecurity>
  <Lines>522</Lines>
  <Paragraphs>146</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73366</CharactersWithSpaces>
  <SharedDoc>false</SharedDoc>
  <HLinks>
    <vt:vector size="102" baseType="variant">
      <vt:variant>
        <vt:i4>7340157</vt:i4>
      </vt:variant>
      <vt:variant>
        <vt:i4>63</vt:i4>
      </vt:variant>
      <vt:variant>
        <vt:i4>0</vt:i4>
      </vt:variant>
      <vt:variant>
        <vt:i4>5</vt:i4>
      </vt:variant>
      <vt:variant>
        <vt:lpwstr>http://ec.europa.eu/eurostat/data/database</vt:lpwstr>
      </vt:variant>
      <vt:variant>
        <vt:lpwstr/>
      </vt:variant>
      <vt:variant>
        <vt:i4>6291582</vt:i4>
      </vt:variant>
      <vt:variant>
        <vt:i4>60</vt:i4>
      </vt:variant>
      <vt:variant>
        <vt:i4>0</vt:i4>
      </vt:variant>
      <vt:variant>
        <vt:i4>5</vt:i4>
      </vt:variant>
      <vt:variant>
        <vt:lpwstr>http://seriestoriche.istat.it/</vt:lpwstr>
      </vt:variant>
      <vt:variant>
        <vt:lpwstr/>
      </vt:variant>
      <vt:variant>
        <vt:i4>720927</vt:i4>
      </vt:variant>
      <vt:variant>
        <vt:i4>57</vt:i4>
      </vt:variant>
      <vt:variant>
        <vt:i4>0</vt:i4>
      </vt:variant>
      <vt:variant>
        <vt:i4>5</vt:i4>
      </vt:variant>
      <vt:variant>
        <vt:lpwstr>http://dati-congiuntura.istat.it/</vt:lpwstr>
      </vt:variant>
      <vt:variant>
        <vt:lpwstr/>
      </vt:variant>
      <vt:variant>
        <vt:i4>6094849</vt:i4>
      </vt:variant>
      <vt:variant>
        <vt:i4>54</vt:i4>
      </vt:variant>
      <vt:variant>
        <vt:i4>0</vt:i4>
      </vt:variant>
      <vt:variant>
        <vt:i4>5</vt:i4>
      </vt:variant>
      <vt:variant>
        <vt:lpwstr>http://dati.istat.it/</vt:lpwstr>
      </vt:variant>
      <vt:variant>
        <vt:lpwstr/>
      </vt:variant>
      <vt:variant>
        <vt:i4>2031702</vt:i4>
      </vt:variant>
      <vt:variant>
        <vt:i4>51</vt:i4>
      </vt:variant>
      <vt:variant>
        <vt:i4>0</vt:i4>
      </vt:variant>
      <vt:variant>
        <vt:i4>5</vt:i4>
      </vt:variant>
      <vt:variant>
        <vt:lpwstr>http://www.istat.it/it/prezzi</vt:lpwstr>
      </vt:variant>
      <vt:variant>
        <vt:lpwstr/>
      </vt:variant>
      <vt:variant>
        <vt:i4>5832734</vt:i4>
      </vt:variant>
      <vt:variant>
        <vt:i4>48</vt:i4>
      </vt:variant>
      <vt:variant>
        <vt:i4>0</vt:i4>
      </vt:variant>
      <vt:variant>
        <vt:i4>5</vt:i4>
      </vt:variant>
      <vt:variant>
        <vt:lpwstr>https://www.istat.it/it/informazioni-e-servizi/per-i-giornalisti/appuntamenti/calendario-diffusioni-ed-eventi</vt:lpwstr>
      </vt:variant>
      <vt:variant>
        <vt:lpwstr/>
      </vt:variant>
      <vt:variant>
        <vt:i4>2031617</vt:i4>
      </vt:variant>
      <vt:variant>
        <vt:i4>42</vt:i4>
      </vt:variant>
      <vt:variant>
        <vt:i4>0</vt:i4>
      </vt:variant>
      <vt:variant>
        <vt:i4>5</vt:i4>
      </vt:variant>
      <vt:variant>
        <vt:lpwstr>http://www.istat.it/it/congiuntura/revisioni</vt:lpwstr>
      </vt:variant>
      <vt:variant>
        <vt:lpwstr/>
      </vt:variant>
      <vt:variant>
        <vt:i4>7012425</vt:i4>
      </vt:variant>
      <vt:variant>
        <vt:i4>39</vt:i4>
      </vt:variant>
      <vt:variant>
        <vt:i4>0</vt:i4>
      </vt:variant>
      <vt:variant>
        <vt:i4>5</vt:i4>
      </vt:variant>
      <vt:variant>
        <vt:lpwstr>http://siqual.istat.it/SIQual/files/impo_reg330_2009_it.pdf?cod=13472&amp;tipo=2</vt:lpwstr>
      </vt:variant>
      <vt:variant>
        <vt:lpwstr/>
      </vt:variant>
      <vt:variant>
        <vt:i4>1704030</vt:i4>
      </vt:variant>
      <vt:variant>
        <vt:i4>36</vt:i4>
      </vt:variant>
      <vt:variant>
        <vt:i4>0</vt:i4>
      </vt:variant>
      <vt:variant>
        <vt:i4>5</vt:i4>
      </vt:variant>
      <vt:variant>
        <vt:lpwstr>http://eur-lex.europa.eu/legal-content/IT/TXT/?uri=CELEX%3A32016R0792</vt:lpwstr>
      </vt:variant>
      <vt:variant>
        <vt:lpwstr/>
      </vt:variant>
      <vt:variant>
        <vt:i4>1835016</vt:i4>
      </vt:variant>
      <vt:variant>
        <vt:i4>33</vt:i4>
      </vt:variant>
      <vt:variant>
        <vt:i4>0</vt:i4>
      </vt:variant>
      <vt:variant>
        <vt:i4>5</vt:i4>
      </vt:variant>
      <vt:variant>
        <vt:lpwstr>https://www.istat.it/it/files/2011/04/dlgs322.pdf</vt:lpwstr>
      </vt:variant>
      <vt:variant>
        <vt:lpwstr/>
      </vt:variant>
      <vt:variant>
        <vt:i4>1704030</vt:i4>
      </vt:variant>
      <vt:variant>
        <vt:i4>30</vt:i4>
      </vt:variant>
      <vt:variant>
        <vt:i4>0</vt:i4>
      </vt:variant>
      <vt:variant>
        <vt:i4>5</vt:i4>
      </vt:variant>
      <vt:variant>
        <vt:lpwstr>http://eur-lex.europa.eu/legal-content/IT/TXT/?uri=CELEX%3A32016R0792</vt:lpwstr>
      </vt:variant>
      <vt:variant>
        <vt:lpwstr/>
      </vt:variant>
      <vt:variant>
        <vt:i4>393327</vt:i4>
      </vt:variant>
      <vt:variant>
        <vt:i4>27</vt:i4>
      </vt:variant>
      <vt:variant>
        <vt:i4>0</vt:i4>
      </vt:variant>
      <vt:variant>
        <vt:i4>5</vt:i4>
      </vt:variant>
      <vt:variant>
        <vt:lpwstr>http://ec.europa.eu/eurostat/ramon/nomenclatures/index.cfm?TargetUrl=DSP_GEN_DESC_VIEW_NOHDR&amp;StrNom=COICOP_5&amp;StrLanguageCode=EN</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ariant>
        <vt:i4>6094849</vt:i4>
      </vt:variant>
      <vt:variant>
        <vt:i4>6</vt:i4>
      </vt:variant>
      <vt:variant>
        <vt:i4>0</vt:i4>
      </vt:variant>
      <vt:variant>
        <vt:i4>5</vt:i4>
      </vt:variant>
      <vt:variant>
        <vt:lpwstr>http://dati.istat.it/</vt:lpwstr>
      </vt:variant>
      <vt:variant>
        <vt:lpwstr/>
      </vt:variant>
      <vt:variant>
        <vt:i4>6422641</vt:i4>
      </vt:variant>
      <vt:variant>
        <vt:i4>3</vt:i4>
      </vt:variant>
      <vt:variant>
        <vt:i4>0</vt:i4>
      </vt:variant>
      <vt:variant>
        <vt:i4>5</vt:i4>
      </vt:variant>
      <vt:variant>
        <vt:lpwstr>http://ec.europa.eu/eurostat/documents/3859598/5926625/KS-RA-13-017-EN.PDF/59eb2c1c-da1f-472c-b191-3d0c76521f9b?version=1.0</vt:lpwstr>
      </vt:variant>
      <vt:variant>
        <vt:lpwstr/>
      </vt:variant>
      <vt:variant>
        <vt:i4>5570613</vt:i4>
      </vt:variant>
      <vt:variant>
        <vt:i4>0</vt:i4>
      </vt:variant>
      <vt:variant>
        <vt:i4>0</vt:i4>
      </vt:variant>
      <vt:variant>
        <vt:i4>5</vt:i4>
      </vt:variant>
      <vt:variant>
        <vt:lpwstr>http://ec.europa.eu/eurostat/ramon/nomenclatures/index.cfm?TargetUrl=LST_NOM_DTL&amp;StrNom=HICP_2000&amp;StrLanguageCode=EN&amp;IntPcKey=&amp;StrLayoutCode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Rosabel RR. Ricci</cp:lastModifiedBy>
  <cp:revision>462</cp:revision>
  <cp:lastPrinted>2022-11-15T08:59:00Z</cp:lastPrinted>
  <dcterms:created xsi:type="dcterms:W3CDTF">2021-02-18T07:40:00Z</dcterms:created>
  <dcterms:modified xsi:type="dcterms:W3CDTF">2022-11-16T07:33:00Z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2QYKZWF4TN2A-29-1532</vt:lpwstr>
  </property>
  <property fmtid="{D5CDD505-2E9C-101B-9397-08002B2CF9AE}" pid="3" name="_dlc_DocIdItemGuid">
    <vt:lpwstr>6b6018b3-0771-4138-8967-ced6ea3fa960</vt:lpwstr>
  </property>
  <property fmtid="{D5CDD505-2E9C-101B-9397-08002B2CF9AE}" pid="4" name="_dlc_DocIdUrl">
    <vt:lpwstr>https://collaborazione.istat.it/siti/ed/ufficio_stampa/_layouts/DocIdRedir.aspx?ID=2QYKZWF4TN2A-29-1532, 2QYKZWF4TN2A-29-1532</vt:lpwstr>
  </property>
  <property fmtid="{D5CDD505-2E9C-101B-9397-08002B2CF9AE}" pid="5" name="ContentTypeId">
    <vt:lpwstr>0x010100B795A82E90F7744F8BBD5BCEA1E47B9D00412BB8B24175FB4599016A296A388103</vt:lpwstr>
  </property>
</Properties>
</file>